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header8.xml" ContentType="application/vnd.openxmlformats-officedocument.wordprocessingml.header+xml"/>
  <Override PartName="/word/header14.xml" ContentType="application/vnd.openxmlformats-officedocument.wordprocessingml.header+xml"/>
  <Override PartName="/word/header12.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55.xml" ContentType="application/vnd.openxmlformats-officedocument.drawingml.chart+xml"/>
  <Override PartName="/word/theme/theme1.xml" ContentType="application/vnd.openxmlformats-officedocument.theme+xml"/>
  <Override PartName="/word/charts/chart54.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charts/chart23.xml" ContentType="application/vnd.openxmlformats-officedocument.drawingml.chart+xml"/>
  <Override PartName="/word/charts/chart22.xml" ContentType="application/vnd.openxmlformats-officedocument.drawingml.chart+xml"/>
  <Override PartName="/word/charts/chart21.xml" ContentType="application/vnd.openxmlformats-officedocument.drawingml.chart+xml"/>
  <Override PartName="/word/charts/chart20.xml" ContentType="application/vnd.openxmlformats-officedocument.drawingml.chart+xml"/>
  <Override PartName="/word/theme/themeOverride5.xml" ContentType="application/vnd.openxmlformats-officedocument.themeOverride+xml"/>
  <Override PartName="/word/charts/chart27.xml" ContentType="application/vnd.openxmlformats-officedocument.drawingml.chart+xml"/>
  <Override PartName="/word/theme/themeOverride7.xml" ContentType="application/vnd.openxmlformats-officedocument.themeOverride+xml"/>
  <Override PartName="/word/charts/chart28.xml" ContentType="application/vnd.openxmlformats-officedocument.drawingml.chart+xml"/>
  <Override PartName="/word/theme/themeOverride11.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1.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charts/chart18.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51.xml" ContentType="application/vnd.openxmlformats-officedocument.drawingml.chart+xml"/>
  <Override PartName="/word/charts/chart53.xml" ContentType="application/vnd.openxmlformats-officedocument.drawingml.chart+xml"/>
  <Override PartName="/word/charts/chart52.xml" ContentType="application/vnd.openxmlformats-officedocument.drawingml.chart+xml"/>
  <Override PartName="/word/charts/chart50.xml" ContentType="application/vnd.openxmlformats-officedocument.drawingml.chart+xml"/>
  <Override PartName="/word/charts/chart49.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2.xml" ContentType="application/vnd.openxmlformats-officedocument.drawingml.chart+xml"/>
  <Override PartName="/word/charts/chart41.xml" ContentType="application/vnd.openxmlformats-officedocument.drawingml.chart+xml"/>
  <Override PartName="/word/theme/themeOverride12.xml" ContentType="application/vnd.openxmlformats-officedocument.themeOverride+xml"/>
  <Override PartName="/word/charts/chart40.xml" ContentType="application/vnd.openxmlformats-officedocument.drawingml.chart+xml"/>
  <Override PartName="/word/charts/chart39.xml" ContentType="application/vnd.openxmlformats-officedocument.drawingml.chart+xml"/>
  <Override PartName="/word/charts/chart38.xml" ContentType="application/vnd.openxmlformats-officedocument.drawingml.chart+xml"/>
  <Override PartName="/word/theme/themeOverride13.xml" ContentType="application/vnd.openxmlformats-officedocument.themeOverride+xml"/>
  <Override PartName="/word/charts/chart48.xml" ContentType="application/vnd.openxmlformats-officedocument.drawingml.chart+xml"/>
  <Override PartName="/word/charts/chart47.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DDCC9" w14:textId="77777777" w:rsidR="00620740" w:rsidRPr="0031701A" w:rsidRDefault="00620740" w:rsidP="0031701A">
      <w:bookmarkStart w:id="0" w:name="_GoBack"/>
      <w:bookmarkEnd w:id="0"/>
    </w:p>
    <w:p w14:paraId="334BEE27" w14:textId="77777777" w:rsidR="00620740" w:rsidRPr="0031701A" w:rsidRDefault="00620740" w:rsidP="0031701A"/>
    <w:p w14:paraId="02FC0DA3" w14:textId="77777777" w:rsidR="00620740" w:rsidRPr="0031701A" w:rsidRDefault="00620740" w:rsidP="0031701A"/>
    <w:p w14:paraId="1AA3D3EC" w14:textId="77777777" w:rsidR="00620740" w:rsidRPr="0031701A" w:rsidRDefault="00620740" w:rsidP="0031701A"/>
    <w:p w14:paraId="1A05D6F0" w14:textId="77777777" w:rsidR="0031701A" w:rsidRDefault="0031701A" w:rsidP="002028A6">
      <w:pPr>
        <w:pStyle w:val="ERFTitleHeading"/>
      </w:pPr>
      <w:r w:rsidRPr="00253003">
        <w:t xml:space="preserve">Independent Evaluation, </w:t>
      </w:r>
      <w:r>
        <w:br/>
      </w:r>
      <w:r w:rsidRPr="00253003">
        <w:t>Australia</w:t>
      </w:r>
      <w:r>
        <w:t>–</w:t>
      </w:r>
      <w:r w:rsidRPr="00253003">
        <w:t>Pacific Technical College Program</w:t>
      </w:r>
    </w:p>
    <w:p w14:paraId="47ADC364" w14:textId="702DB22F" w:rsidR="0068339D" w:rsidRPr="00253003" w:rsidRDefault="0068339D" w:rsidP="002028A6">
      <w:pPr>
        <w:pStyle w:val="ERFTitleHeading"/>
      </w:pPr>
      <w:r>
        <w:t>(APTC)</w:t>
      </w:r>
    </w:p>
    <w:p w14:paraId="6D136344" w14:textId="77777777" w:rsidR="00620740" w:rsidRPr="0031701A" w:rsidRDefault="00620740" w:rsidP="0031701A"/>
    <w:p w14:paraId="1BD41CBE" w14:textId="77777777" w:rsidR="00620740" w:rsidRPr="00253003" w:rsidRDefault="0031701A" w:rsidP="002028A6">
      <w:pPr>
        <w:pStyle w:val="ERFTitleHeading"/>
      </w:pPr>
      <w:r>
        <w:t>ANNEXES</w:t>
      </w:r>
    </w:p>
    <w:p w14:paraId="335F7460" w14:textId="77777777" w:rsidR="0031701A" w:rsidRDefault="0031701A" w:rsidP="0031701A">
      <w:pPr>
        <w:rPr>
          <w:rFonts w:cs="Arial"/>
          <w:szCs w:val="22"/>
        </w:rPr>
      </w:pPr>
    </w:p>
    <w:p w14:paraId="7000480F" w14:textId="77777777" w:rsidR="0031701A" w:rsidRDefault="0031701A" w:rsidP="0031701A">
      <w:pPr>
        <w:rPr>
          <w:rFonts w:cs="Arial"/>
          <w:szCs w:val="22"/>
        </w:rPr>
      </w:pPr>
    </w:p>
    <w:p w14:paraId="55D968B3" w14:textId="77777777" w:rsidR="0031701A" w:rsidRPr="008B3D1E" w:rsidRDefault="0031701A" w:rsidP="008B3D1E">
      <w:pPr>
        <w:ind w:left="720"/>
        <w:rPr>
          <w:b/>
        </w:rPr>
      </w:pPr>
      <w:r w:rsidRPr="008B3D1E">
        <w:rPr>
          <w:b/>
        </w:rPr>
        <w:t xml:space="preserve">Annex 1: Terms of </w:t>
      </w:r>
      <w:r w:rsidR="004E5482">
        <w:rPr>
          <w:b/>
        </w:rPr>
        <w:t>r</w:t>
      </w:r>
      <w:r w:rsidR="004E5482" w:rsidRPr="008B3D1E">
        <w:rPr>
          <w:b/>
        </w:rPr>
        <w:t xml:space="preserve">eference </w:t>
      </w:r>
    </w:p>
    <w:p w14:paraId="1092819B" w14:textId="77777777" w:rsidR="0031701A" w:rsidRPr="008B3D1E" w:rsidRDefault="0031701A" w:rsidP="008B3D1E">
      <w:pPr>
        <w:ind w:left="720"/>
        <w:rPr>
          <w:b/>
        </w:rPr>
      </w:pPr>
      <w:r w:rsidRPr="008B3D1E">
        <w:rPr>
          <w:b/>
        </w:rPr>
        <w:t xml:space="preserve">Annex 2: People and organisations met </w:t>
      </w:r>
    </w:p>
    <w:p w14:paraId="5F82E455" w14:textId="77777777" w:rsidR="0031701A" w:rsidRPr="008B3D1E" w:rsidRDefault="0031701A" w:rsidP="008B3D1E">
      <w:pPr>
        <w:ind w:left="720"/>
        <w:rPr>
          <w:b/>
        </w:rPr>
      </w:pPr>
      <w:r w:rsidRPr="008B3D1E">
        <w:rPr>
          <w:b/>
        </w:rPr>
        <w:t>Annex 3: Evaluation plan</w:t>
      </w:r>
      <w:r w:rsidR="00D4644C" w:rsidRPr="008B3D1E">
        <w:rPr>
          <w:b/>
        </w:rPr>
        <w:t xml:space="preserve"> –</w:t>
      </w:r>
      <w:r w:rsidRPr="008B3D1E">
        <w:rPr>
          <w:b/>
        </w:rPr>
        <w:t xml:space="preserve"> primary and secondary questions </w:t>
      </w:r>
    </w:p>
    <w:p w14:paraId="3B7E8698" w14:textId="77777777" w:rsidR="0031701A" w:rsidRPr="008B3D1E" w:rsidRDefault="0031701A" w:rsidP="008B3D1E">
      <w:pPr>
        <w:ind w:left="720"/>
        <w:rPr>
          <w:b/>
        </w:rPr>
      </w:pPr>
      <w:r w:rsidRPr="008B3D1E">
        <w:rPr>
          <w:b/>
        </w:rPr>
        <w:t xml:space="preserve">Annex 4: APTC statistical </w:t>
      </w:r>
      <w:r w:rsidR="003720CD">
        <w:rPr>
          <w:b/>
        </w:rPr>
        <w:t>profile</w:t>
      </w:r>
      <w:r w:rsidR="003720CD" w:rsidRPr="008B3D1E">
        <w:rPr>
          <w:b/>
        </w:rPr>
        <w:t xml:space="preserve"> </w:t>
      </w:r>
    </w:p>
    <w:p w14:paraId="7FFE3667" w14:textId="77777777" w:rsidR="0031701A" w:rsidRPr="008B3D1E" w:rsidRDefault="0031701A" w:rsidP="008B3D1E">
      <w:pPr>
        <w:ind w:left="720"/>
        <w:rPr>
          <w:b/>
        </w:rPr>
      </w:pPr>
      <w:r w:rsidRPr="008B3D1E">
        <w:rPr>
          <w:b/>
        </w:rPr>
        <w:t xml:space="preserve">Annex 5: Questionnaire results </w:t>
      </w:r>
    </w:p>
    <w:p w14:paraId="567A0EAB" w14:textId="77777777" w:rsidR="0031701A" w:rsidRPr="008B3D1E" w:rsidRDefault="0031701A" w:rsidP="008B3D1E">
      <w:pPr>
        <w:ind w:left="720"/>
        <w:rPr>
          <w:b/>
        </w:rPr>
      </w:pPr>
      <w:r w:rsidRPr="008B3D1E">
        <w:rPr>
          <w:b/>
        </w:rPr>
        <w:t xml:space="preserve">Annex 6: TVET </w:t>
      </w:r>
      <w:r w:rsidR="00D4644C" w:rsidRPr="008B3D1E">
        <w:rPr>
          <w:b/>
        </w:rPr>
        <w:t>c</w:t>
      </w:r>
      <w:r w:rsidRPr="008B3D1E">
        <w:rPr>
          <w:b/>
        </w:rPr>
        <w:t xml:space="preserve">apacity </w:t>
      </w:r>
    </w:p>
    <w:p w14:paraId="23919CB3" w14:textId="77777777" w:rsidR="0031701A" w:rsidRPr="008B3D1E" w:rsidRDefault="0031701A" w:rsidP="008B3D1E">
      <w:pPr>
        <w:ind w:left="720"/>
        <w:rPr>
          <w:b/>
        </w:rPr>
      </w:pPr>
      <w:r w:rsidRPr="008B3D1E">
        <w:rPr>
          <w:b/>
        </w:rPr>
        <w:t>Annex 7: Labour mobility</w:t>
      </w:r>
    </w:p>
    <w:p w14:paraId="24354C0E" w14:textId="77777777" w:rsidR="0031701A" w:rsidRPr="008B3D1E" w:rsidRDefault="0031701A" w:rsidP="008B3D1E">
      <w:pPr>
        <w:ind w:left="720"/>
        <w:rPr>
          <w:b/>
        </w:rPr>
      </w:pPr>
      <w:r w:rsidRPr="008B3D1E">
        <w:rPr>
          <w:b/>
        </w:rPr>
        <w:t>Annex 8: Impact on graduates and employers</w:t>
      </w:r>
    </w:p>
    <w:p w14:paraId="2BB38470" w14:textId="77777777" w:rsidR="0031701A" w:rsidRPr="008B3D1E" w:rsidRDefault="0031701A" w:rsidP="008B3D1E">
      <w:pPr>
        <w:ind w:left="720"/>
        <w:rPr>
          <w:b/>
        </w:rPr>
      </w:pPr>
      <w:r w:rsidRPr="008B3D1E">
        <w:rPr>
          <w:b/>
        </w:rPr>
        <w:t>Annex 9: Value for money</w:t>
      </w:r>
    </w:p>
    <w:p w14:paraId="20EC7DE1" w14:textId="77777777" w:rsidR="0031701A" w:rsidRPr="008B3D1E" w:rsidRDefault="0031701A" w:rsidP="008B3D1E">
      <w:pPr>
        <w:ind w:left="720"/>
        <w:rPr>
          <w:b/>
        </w:rPr>
      </w:pPr>
      <w:r w:rsidRPr="008B3D1E">
        <w:rPr>
          <w:b/>
        </w:rPr>
        <w:t>Annex 10: Future of the APTC</w:t>
      </w:r>
    </w:p>
    <w:p w14:paraId="13F351D8" w14:textId="77777777" w:rsidR="0031701A" w:rsidRPr="008B3D1E" w:rsidRDefault="00D4644C" w:rsidP="008B3D1E">
      <w:pPr>
        <w:ind w:left="720"/>
        <w:rPr>
          <w:b/>
        </w:rPr>
      </w:pPr>
      <w:r w:rsidRPr="008B3D1E">
        <w:rPr>
          <w:b/>
        </w:rPr>
        <w:t>References</w:t>
      </w:r>
    </w:p>
    <w:p w14:paraId="78979186" w14:textId="77777777" w:rsidR="00395FC0" w:rsidRPr="00253003" w:rsidRDefault="00395FC0" w:rsidP="00620740">
      <w:pPr>
        <w:spacing w:before="600"/>
        <w:jc w:val="center"/>
        <w:rPr>
          <w:rFonts w:cs="Arial"/>
          <w:b/>
          <w:bCs/>
          <w:color w:val="76923C"/>
          <w:szCs w:val="22"/>
          <w:lang w:val="en-US"/>
        </w:rPr>
      </w:pPr>
    </w:p>
    <w:p w14:paraId="69B6BB83" w14:textId="77777777" w:rsidR="00395FC0" w:rsidRPr="00253003" w:rsidRDefault="00395FC0" w:rsidP="00620740">
      <w:pPr>
        <w:spacing w:before="600"/>
        <w:jc w:val="center"/>
        <w:rPr>
          <w:rFonts w:cs="Arial"/>
          <w:b/>
          <w:bCs/>
          <w:color w:val="76923C"/>
          <w:szCs w:val="22"/>
          <w:lang w:val="en-US"/>
        </w:rPr>
        <w:sectPr w:rsidR="00395FC0" w:rsidRPr="00253003" w:rsidSect="00FF3EDE">
          <w:headerReference w:type="default" r:id="rId9"/>
          <w:footerReference w:type="default" r:id="rId10"/>
          <w:headerReference w:type="first" r:id="rId11"/>
          <w:footerReference w:type="first" r:id="rId12"/>
          <w:pgSz w:w="11901" w:h="16834"/>
          <w:pgMar w:top="1440" w:right="1531" w:bottom="1440" w:left="1531" w:header="709" w:footer="709" w:gutter="0"/>
          <w:pgNumType w:start="1"/>
          <w:cols w:space="708"/>
          <w:titlePg/>
          <w:docGrid w:linePitch="326"/>
        </w:sectPr>
      </w:pPr>
    </w:p>
    <w:p w14:paraId="224477EB" w14:textId="77777777" w:rsidR="00620740" w:rsidRPr="00253003" w:rsidRDefault="00620740" w:rsidP="00620740">
      <w:pPr>
        <w:spacing w:before="600"/>
        <w:jc w:val="center"/>
        <w:rPr>
          <w:rFonts w:cs="Arial"/>
          <w:b/>
          <w:bCs/>
          <w:color w:val="76923C"/>
          <w:szCs w:val="22"/>
          <w:lang w:val="en-US"/>
        </w:rPr>
      </w:pPr>
    </w:p>
    <w:p w14:paraId="37B9385B" w14:textId="77777777" w:rsidR="00620740" w:rsidRPr="006C41DC" w:rsidRDefault="00395FC0" w:rsidP="002028A6">
      <w:pPr>
        <w:pStyle w:val="Heading1"/>
        <w:rPr>
          <w:color w:val="365F91"/>
        </w:rPr>
      </w:pPr>
      <w:r w:rsidRPr="00253003">
        <w:br w:type="page"/>
      </w:r>
      <w:bookmarkStart w:id="1" w:name="_Toc273618341"/>
      <w:bookmarkStart w:id="2" w:name="_Toc274069965"/>
      <w:bookmarkStart w:id="3" w:name="_Toc274145025"/>
      <w:bookmarkStart w:id="4" w:name="_Toc274900417"/>
      <w:bookmarkStart w:id="5" w:name="_Toc274909795"/>
      <w:bookmarkStart w:id="6" w:name="_Toc278447810"/>
      <w:bookmarkStart w:id="7" w:name="_Toc278453283"/>
      <w:r w:rsidRPr="00253003">
        <w:lastRenderedPageBreak/>
        <w:t>Table of contents</w:t>
      </w:r>
      <w:bookmarkEnd w:id="1"/>
      <w:bookmarkEnd w:id="2"/>
      <w:bookmarkEnd w:id="3"/>
      <w:bookmarkEnd w:id="4"/>
      <w:bookmarkEnd w:id="5"/>
      <w:bookmarkEnd w:id="6"/>
      <w:bookmarkEnd w:id="7"/>
      <w:r w:rsidRPr="00253003">
        <w:t xml:space="preserve"> </w:t>
      </w:r>
    </w:p>
    <w:p w14:paraId="35C52EF6" w14:textId="3F970605" w:rsidR="00FC0A14" w:rsidRDefault="00546F37" w:rsidP="00441936">
      <w:pPr>
        <w:pStyle w:val="TOC1"/>
        <w:rPr>
          <w:rFonts w:asciiTheme="minorHAnsi" w:eastAsiaTheme="minorEastAsia" w:hAnsiTheme="minorHAnsi" w:cstheme="minorBidi"/>
          <w:sz w:val="24"/>
          <w:lang w:val="en-US" w:eastAsia="ja-JP"/>
        </w:rPr>
      </w:pPr>
      <w:r w:rsidRPr="00FF51CD">
        <w:fldChar w:fldCharType="begin"/>
      </w:r>
      <w:r w:rsidR="00395FC0" w:rsidRPr="00FF51CD">
        <w:instrText xml:space="preserve"> TOC \o "1-3" \h \z \u </w:instrText>
      </w:r>
      <w:r w:rsidRPr="00FF51CD">
        <w:fldChar w:fldCharType="separate"/>
      </w:r>
    </w:p>
    <w:p w14:paraId="68A75693" w14:textId="30C640E6" w:rsidR="00FC0A14" w:rsidRDefault="00CE7DA1" w:rsidP="00441936">
      <w:pPr>
        <w:pStyle w:val="TOC1"/>
        <w:rPr>
          <w:rFonts w:asciiTheme="minorHAnsi" w:eastAsiaTheme="minorEastAsia" w:hAnsiTheme="minorHAnsi" w:cstheme="minorBidi"/>
          <w:sz w:val="24"/>
          <w:lang w:val="en-US" w:eastAsia="ja-JP"/>
        </w:rPr>
      </w:pPr>
      <w:r>
        <w:t>ANNEX 1: TERMS OF REFERENCE</w:t>
      </w:r>
      <w:r>
        <w:tab/>
      </w:r>
      <w:r w:rsidR="00FC0A14">
        <w:fldChar w:fldCharType="begin"/>
      </w:r>
      <w:r w:rsidR="00FC0A14">
        <w:instrText xml:space="preserve"> PAGEREF _Toc278447811 \h </w:instrText>
      </w:r>
      <w:r w:rsidR="00FC0A14">
        <w:fldChar w:fldCharType="separate"/>
      </w:r>
      <w:r w:rsidR="00EA0B4D">
        <w:t>4</w:t>
      </w:r>
      <w:r w:rsidR="00FC0A14">
        <w:fldChar w:fldCharType="end"/>
      </w:r>
    </w:p>
    <w:p w14:paraId="76B142FB"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rFonts w:eastAsia="Calibri"/>
          <w:b w:val="0"/>
          <w:lang w:val="en-GB"/>
        </w:rPr>
        <w:t>1</w:t>
      </w:r>
      <w:r w:rsidRPr="00497CFB">
        <w:rPr>
          <w:rFonts w:asciiTheme="minorHAnsi" w:eastAsiaTheme="minorEastAsia" w:hAnsiTheme="minorHAnsi" w:cstheme="minorBidi"/>
          <w:b w:val="0"/>
          <w:sz w:val="24"/>
          <w:lang w:val="en-US" w:eastAsia="ja-JP"/>
        </w:rPr>
        <w:tab/>
      </w:r>
      <w:r w:rsidRPr="00497CFB">
        <w:rPr>
          <w:rFonts w:eastAsia="Calibri"/>
          <w:b w:val="0"/>
          <w:lang w:val="en-GB"/>
        </w:rPr>
        <w:t>Background and orientation to the evaluation</w:t>
      </w:r>
      <w:r w:rsidRPr="00497CFB">
        <w:rPr>
          <w:b w:val="0"/>
        </w:rPr>
        <w:tab/>
      </w:r>
      <w:r w:rsidRPr="00497CFB">
        <w:rPr>
          <w:b w:val="0"/>
        </w:rPr>
        <w:fldChar w:fldCharType="begin"/>
      </w:r>
      <w:r w:rsidRPr="00497CFB">
        <w:rPr>
          <w:b w:val="0"/>
        </w:rPr>
        <w:instrText xml:space="preserve"> PAGEREF _Toc278447812 \h </w:instrText>
      </w:r>
      <w:r w:rsidRPr="00497CFB">
        <w:rPr>
          <w:b w:val="0"/>
        </w:rPr>
      </w:r>
      <w:r w:rsidRPr="00497CFB">
        <w:rPr>
          <w:b w:val="0"/>
        </w:rPr>
        <w:fldChar w:fldCharType="separate"/>
      </w:r>
      <w:r w:rsidR="00EA0B4D">
        <w:rPr>
          <w:b w:val="0"/>
        </w:rPr>
        <w:t>4</w:t>
      </w:r>
      <w:r w:rsidRPr="00497CFB">
        <w:rPr>
          <w:b w:val="0"/>
        </w:rPr>
        <w:fldChar w:fldCharType="end"/>
      </w:r>
    </w:p>
    <w:p w14:paraId="70B756B7"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rFonts w:eastAsia="Calibri"/>
          <w:b w:val="0"/>
          <w:lang w:val="en-GB"/>
        </w:rPr>
        <w:t>2</w:t>
      </w:r>
      <w:r w:rsidRPr="00497CFB">
        <w:rPr>
          <w:rFonts w:asciiTheme="minorHAnsi" w:eastAsiaTheme="minorEastAsia" w:hAnsiTheme="minorHAnsi" w:cstheme="minorBidi"/>
          <w:b w:val="0"/>
          <w:sz w:val="24"/>
          <w:lang w:val="en-US" w:eastAsia="ja-JP"/>
        </w:rPr>
        <w:tab/>
      </w:r>
      <w:r w:rsidRPr="00497CFB">
        <w:rPr>
          <w:rFonts w:eastAsia="Calibri"/>
          <w:b w:val="0"/>
          <w:lang w:val="en-GB"/>
        </w:rPr>
        <w:t>Evaluation scope and duration</w:t>
      </w:r>
      <w:r w:rsidRPr="00497CFB">
        <w:rPr>
          <w:b w:val="0"/>
        </w:rPr>
        <w:tab/>
      </w:r>
      <w:r w:rsidRPr="00497CFB">
        <w:rPr>
          <w:b w:val="0"/>
        </w:rPr>
        <w:fldChar w:fldCharType="begin"/>
      </w:r>
      <w:r w:rsidRPr="00497CFB">
        <w:rPr>
          <w:b w:val="0"/>
        </w:rPr>
        <w:instrText xml:space="preserve"> PAGEREF _Toc278447819 \h </w:instrText>
      </w:r>
      <w:r w:rsidRPr="00497CFB">
        <w:rPr>
          <w:b w:val="0"/>
        </w:rPr>
      </w:r>
      <w:r w:rsidRPr="00497CFB">
        <w:rPr>
          <w:b w:val="0"/>
        </w:rPr>
        <w:fldChar w:fldCharType="separate"/>
      </w:r>
      <w:r w:rsidR="00EA0B4D">
        <w:rPr>
          <w:b w:val="0"/>
        </w:rPr>
        <w:t>8</w:t>
      </w:r>
      <w:r w:rsidRPr="00497CFB">
        <w:rPr>
          <w:b w:val="0"/>
        </w:rPr>
        <w:fldChar w:fldCharType="end"/>
      </w:r>
    </w:p>
    <w:p w14:paraId="2DCD92DE"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rFonts w:eastAsia="Calibri"/>
          <w:b w:val="0"/>
          <w:lang w:val="en-GB"/>
        </w:rPr>
        <w:t>3.</w:t>
      </w:r>
      <w:r w:rsidRPr="00497CFB">
        <w:rPr>
          <w:rFonts w:asciiTheme="minorHAnsi" w:eastAsiaTheme="minorEastAsia" w:hAnsiTheme="minorHAnsi" w:cstheme="minorBidi"/>
          <w:b w:val="0"/>
          <w:sz w:val="24"/>
          <w:lang w:val="en-US" w:eastAsia="ja-JP"/>
        </w:rPr>
        <w:tab/>
      </w:r>
      <w:r w:rsidRPr="00497CFB">
        <w:rPr>
          <w:rFonts w:eastAsia="Calibri"/>
          <w:b w:val="0"/>
          <w:lang w:val="en-GB"/>
        </w:rPr>
        <w:t>Evaluation process</w:t>
      </w:r>
      <w:r w:rsidRPr="00497CFB">
        <w:rPr>
          <w:b w:val="0"/>
        </w:rPr>
        <w:tab/>
      </w:r>
      <w:r w:rsidRPr="00497CFB">
        <w:rPr>
          <w:b w:val="0"/>
        </w:rPr>
        <w:fldChar w:fldCharType="begin"/>
      </w:r>
      <w:r w:rsidRPr="00497CFB">
        <w:rPr>
          <w:b w:val="0"/>
        </w:rPr>
        <w:instrText xml:space="preserve"> PAGEREF _Toc278447822 \h </w:instrText>
      </w:r>
      <w:r w:rsidRPr="00497CFB">
        <w:rPr>
          <w:b w:val="0"/>
        </w:rPr>
      </w:r>
      <w:r w:rsidRPr="00497CFB">
        <w:rPr>
          <w:b w:val="0"/>
        </w:rPr>
        <w:fldChar w:fldCharType="separate"/>
      </w:r>
      <w:r w:rsidR="00EA0B4D">
        <w:rPr>
          <w:b w:val="0"/>
        </w:rPr>
        <w:t>8</w:t>
      </w:r>
      <w:r w:rsidRPr="00497CFB">
        <w:rPr>
          <w:b w:val="0"/>
        </w:rPr>
        <w:fldChar w:fldCharType="end"/>
      </w:r>
    </w:p>
    <w:p w14:paraId="692AD766" w14:textId="0A4F2876" w:rsidR="00FC0A14" w:rsidRDefault="00BA3AEB" w:rsidP="00441936">
      <w:pPr>
        <w:pStyle w:val="TOC1"/>
        <w:rPr>
          <w:rFonts w:asciiTheme="minorHAnsi" w:eastAsiaTheme="minorEastAsia" w:hAnsiTheme="minorHAnsi" w:cstheme="minorBidi"/>
          <w:sz w:val="24"/>
          <w:lang w:val="en-US" w:eastAsia="ja-JP"/>
        </w:rPr>
      </w:pPr>
      <w:r>
        <w:br/>
      </w:r>
      <w:r w:rsidR="00CE7DA1">
        <w:t>ANNEX 2: PEOPLE AND ORGANISATIONS MET</w:t>
      </w:r>
      <w:r w:rsidR="00CE7DA1">
        <w:tab/>
      </w:r>
      <w:r w:rsidR="00FC0A14">
        <w:fldChar w:fldCharType="begin"/>
      </w:r>
      <w:r w:rsidR="00FC0A14">
        <w:instrText xml:space="preserve"> PAGEREF _Toc278447827 \h </w:instrText>
      </w:r>
      <w:r w:rsidR="00FC0A14">
        <w:fldChar w:fldCharType="separate"/>
      </w:r>
      <w:r w:rsidR="00EA0B4D">
        <w:t>11</w:t>
      </w:r>
      <w:r w:rsidR="00FC0A14">
        <w:fldChar w:fldCharType="end"/>
      </w:r>
    </w:p>
    <w:p w14:paraId="2B96562C" w14:textId="731AA0FF" w:rsidR="00FC0A14" w:rsidRPr="00497CFB" w:rsidRDefault="00CE7DA1" w:rsidP="00497CFB">
      <w:pPr>
        <w:pStyle w:val="TOC1"/>
        <w:spacing w:before="0"/>
        <w:rPr>
          <w:rFonts w:asciiTheme="minorHAnsi" w:eastAsiaTheme="minorEastAsia" w:hAnsiTheme="minorHAnsi" w:cstheme="minorBidi"/>
          <w:b w:val="0"/>
          <w:sz w:val="24"/>
          <w:lang w:val="en-US" w:eastAsia="ja-JP"/>
        </w:rPr>
      </w:pPr>
      <w:r w:rsidRPr="00497CFB">
        <w:rPr>
          <w:b w:val="0"/>
        </w:rPr>
        <w:t>Fiji</w:t>
      </w:r>
      <w:r w:rsidRPr="00497CFB">
        <w:rPr>
          <w:b w:val="0"/>
        </w:rPr>
        <w:tab/>
      </w:r>
      <w:r w:rsidR="00787B9B" w:rsidRPr="00497CFB">
        <w:rPr>
          <w:b w:val="0"/>
        </w:rPr>
        <w:tab/>
      </w:r>
      <w:r w:rsidR="00FC0A14" w:rsidRPr="00497CFB">
        <w:rPr>
          <w:b w:val="0"/>
        </w:rPr>
        <w:tab/>
      </w:r>
      <w:r w:rsidR="00FC0A14" w:rsidRPr="00497CFB">
        <w:rPr>
          <w:b w:val="0"/>
        </w:rPr>
        <w:fldChar w:fldCharType="begin"/>
      </w:r>
      <w:r w:rsidR="00FC0A14" w:rsidRPr="00497CFB">
        <w:rPr>
          <w:b w:val="0"/>
        </w:rPr>
        <w:instrText xml:space="preserve"> PAGEREF _Toc278447828 \h </w:instrText>
      </w:r>
      <w:r w:rsidR="00FC0A14" w:rsidRPr="00497CFB">
        <w:rPr>
          <w:b w:val="0"/>
        </w:rPr>
      </w:r>
      <w:r w:rsidR="00FC0A14" w:rsidRPr="00497CFB">
        <w:rPr>
          <w:b w:val="0"/>
        </w:rPr>
        <w:fldChar w:fldCharType="separate"/>
      </w:r>
      <w:r w:rsidR="00EA0B4D">
        <w:rPr>
          <w:b w:val="0"/>
        </w:rPr>
        <w:t>11</w:t>
      </w:r>
      <w:r w:rsidR="00FC0A14" w:rsidRPr="00497CFB">
        <w:rPr>
          <w:b w:val="0"/>
        </w:rPr>
        <w:fldChar w:fldCharType="end"/>
      </w:r>
    </w:p>
    <w:p w14:paraId="4174A1F6" w14:textId="3076CCCD" w:rsidR="00FC0A14" w:rsidRPr="00497CFB" w:rsidRDefault="00CE7DA1" w:rsidP="00497CFB">
      <w:pPr>
        <w:pStyle w:val="TOC1"/>
        <w:spacing w:before="0"/>
        <w:rPr>
          <w:rFonts w:asciiTheme="minorHAnsi" w:eastAsiaTheme="minorEastAsia" w:hAnsiTheme="minorHAnsi" w:cstheme="minorBidi"/>
          <w:b w:val="0"/>
          <w:sz w:val="24"/>
          <w:lang w:val="en-US" w:eastAsia="ja-JP"/>
        </w:rPr>
      </w:pPr>
      <w:r w:rsidRPr="00497CFB">
        <w:rPr>
          <w:b w:val="0"/>
        </w:rPr>
        <w:t>Australia</w:t>
      </w:r>
      <w:r w:rsidRPr="00497CFB">
        <w:rPr>
          <w:b w:val="0"/>
        </w:rPr>
        <w:tab/>
      </w:r>
      <w:r w:rsidR="00FC0A14" w:rsidRPr="00497CFB">
        <w:rPr>
          <w:b w:val="0"/>
        </w:rPr>
        <w:fldChar w:fldCharType="begin"/>
      </w:r>
      <w:r w:rsidR="00FC0A14" w:rsidRPr="00497CFB">
        <w:rPr>
          <w:b w:val="0"/>
        </w:rPr>
        <w:instrText xml:space="preserve"> PAGEREF _Toc278447829 \h </w:instrText>
      </w:r>
      <w:r w:rsidR="00FC0A14" w:rsidRPr="00497CFB">
        <w:rPr>
          <w:b w:val="0"/>
        </w:rPr>
      </w:r>
      <w:r w:rsidR="00FC0A14" w:rsidRPr="00497CFB">
        <w:rPr>
          <w:b w:val="0"/>
        </w:rPr>
        <w:fldChar w:fldCharType="separate"/>
      </w:r>
      <w:r w:rsidR="00EA0B4D">
        <w:rPr>
          <w:b w:val="0"/>
        </w:rPr>
        <w:t>13</w:t>
      </w:r>
      <w:r w:rsidR="00FC0A14" w:rsidRPr="00497CFB">
        <w:rPr>
          <w:b w:val="0"/>
        </w:rPr>
        <w:fldChar w:fldCharType="end"/>
      </w:r>
    </w:p>
    <w:p w14:paraId="32763B40" w14:textId="66B1CDC9" w:rsidR="00FC0A14" w:rsidRPr="00497CFB" w:rsidRDefault="00CE7DA1" w:rsidP="00497CFB">
      <w:pPr>
        <w:pStyle w:val="TOC1"/>
        <w:spacing w:before="0"/>
        <w:rPr>
          <w:rFonts w:asciiTheme="minorHAnsi" w:eastAsiaTheme="minorEastAsia" w:hAnsiTheme="minorHAnsi" w:cstheme="minorBidi"/>
          <w:b w:val="0"/>
          <w:sz w:val="24"/>
          <w:lang w:val="en-US" w:eastAsia="ja-JP"/>
        </w:rPr>
      </w:pPr>
      <w:r w:rsidRPr="00497CFB">
        <w:rPr>
          <w:b w:val="0"/>
        </w:rPr>
        <w:t>Samoa</w:t>
      </w:r>
      <w:r w:rsidRPr="00497CFB">
        <w:rPr>
          <w:b w:val="0"/>
        </w:rPr>
        <w:tab/>
      </w:r>
      <w:r w:rsidR="00FC0A14" w:rsidRPr="00497CFB">
        <w:rPr>
          <w:b w:val="0"/>
        </w:rPr>
        <w:fldChar w:fldCharType="begin"/>
      </w:r>
      <w:r w:rsidR="00FC0A14" w:rsidRPr="00497CFB">
        <w:rPr>
          <w:b w:val="0"/>
        </w:rPr>
        <w:instrText xml:space="preserve"> PAGEREF _Toc278447830 \h </w:instrText>
      </w:r>
      <w:r w:rsidR="00FC0A14" w:rsidRPr="00497CFB">
        <w:rPr>
          <w:b w:val="0"/>
        </w:rPr>
      </w:r>
      <w:r w:rsidR="00FC0A14" w:rsidRPr="00497CFB">
        <w:rPr>
          <w:b w:val="0"/>
        </w:rPr>
        <w:fldChar w:fldCharType="separate"/>
      </w:r>
      <w:r w:rsidR="00EA0B4D">
        <w:rPr>
          <w:b w:val="0"/>
        </w:rPr>
        <w:t>13</w:t>
      </w:r>
      <w:r w:rsidR="00FC0A14" w:rsidRPr="00497CFB">
        <w:rPr>
          <w:b w:val="0"/>
        </w:rPr>
        <w:fldChar w:fldCharType="end"/>
      </w:r>
    </w:p>
    <w:p w14:paraId="7CCBDAC4" w14:textId="129CF874" w:rsidR="00FC0A14" w:rsidRPr="00497CFB" w:rsidRDefault="00CE7DA1" w:rsidP="00497CFB">
      <w:pPr>
        <w:pStyle w:val="TOC1"/>
        <w:spacing w:before="0"/>
        <w:rPr>
          <w:rFonts w:asciiTheme="minorHAnsi" w:eastAsiaTheme="minorEastAsia" w:hAnsiTheme="minorHAnsi" w:cstheme="minorBidi"/>
          <w:b w:val="0"/>
          <w:sz w:val="24"/>
          <w:lang w:val="en-US" w:eastAsia="ja-JP"/>
        </w:rPr>
      </w:pPr>
      <w:r w:rsidRPr="00497CFB">
        <w:rPr>
          <w:b w:val="0"/>
        </w:rPr>
        <w:t>Papua New Guinea</w:t>
      </w:r>
      <w:r w:rsidRPr="00497CFB">
        <w:rPr>
          <w:b w:val="0"/>
        </w:rPr>
        <w:tab/>
      </w:r>
      <w:r w:rsidR="00FC0A14" w:rsidRPr="00497CFB">
        <w:rPr>
          <w:b w:val="0"/>
        </w:rPr>
        <w:fldChar w:fldCharType="begin"/>
      </w:r>
      <w:r w:rsidR="00FC0A14" w:rsidRPr="00497CFB">
        <w:rPr>
          <w:b w:val="0"/>
        </w:rPr>
        <w:instrText xml:space="preserve"> PAGEREF _Toc278447831 \h </w:instrText>
      </w:r>
      <w:r w:rsidR="00FC0A14" w:rsidRPr="00497CFB">
        <w:rPr>
          <w:b w:val="0"/>
        </w:rPr>
      </w:r>
      <w:r w:rsidR="00FC0A14" w:rsidRPr="00497CFB">
        <w:rPr>
          <w:b w:val="0"/>
        </w:rPr>
        <w:fldChar w:fldCharType="separate"/>
      </w:r>
      <w:r w:rsidR="00EA0B4D">
        <w:rPr>
          <w:b w:val="0"/>
        </w:rPr>
        <w:t>15</w:t>
      </w:r>
      <w:r w:rsidR="00FC0A14" w:rsidRPr="00497CFB">
        <w:rPr>
          <w:b w:val="0"/>
        </w:rPr>
        <w:fldChar w:fldCharType="end"/>
      </w:r>
    </w:p>
    <w:p w14:paraId="33948D36" w14:textId="75FC8741" w:rsidR="00FC0A14" w:rsidRPr="00497CFB" w:rsidRDefault="00CE7DA1" w:rsidP="00497CFB">
      <w:pPr>
        <w:pStyle w:val="TOC1"/>
        <w:spacing w:before="0"/>
        <w:rPr>
          <w:rFonts w:asciiTheme="minorHAnsi" w:eastAsiaTheme="minorEastAsia" w:hAnsiTheme="minorHAnsi" w:cstheme="minorBidi"/>
          <w:b w:val="0"/>
          <w:sz w:val="24"/>
          <w:lang w:val="en-US" w:eastAsia="ja-JP"/>
        </w:rPr>
      </w:pPr>
      <w:r w:rsidRPr="00497CFB">
        <w:rPr>
          <w:b w:val="0"/>
        </w:rPr>
        <w:t>Solomon Islands</w:t>
      </w:r>
      <w:r w:rsidRPr="00497CFB">
        <w:rPr>
          <w:b w:val="0"/>
        </w:rPr>
        <w:tab/>
      </w:r>
      <w:r w:rsidR="00FC0A14" w:rsidRPr="00497CFB">
        <w:rPr>
          <w:b w:val="0"/>
        </w:rPr>
        <w:fldChar w:fldCharType="begin"/>
      </w:r>
      <w:r w:rsidR="00FC0A14" w:rsidRPr="00497CFB">
        <w:rPr>
          <w:b w:val="0"/>
        </w:rPr>
        <w:instrText xml:space="preserve"> PAGEREF _Toc278447832 \h </w:instrText>
      </w:r>
      <w:r w:rsidR="00FC0A14" w:rsidRPr="00497CFB">
        <w:rPr>
          <w:b w:val="0"/>
        </w:rPr>
      </w:r>
      <w:r w:rsidR="00FC0A14" w:rsidRPr="00497CFB">
        <w:rPr>
          <w:b w:val="0"/>
        </w:rPr>
        <w:fldChar w:fldCharType="separate"/>
      </w:r>
      <w:r w:rsidR="00EA0B4D">
        <w:rPr>
          <w:b w:val="0"/>
        </w:rPr>
        <w:t>17</w:t>
      </w:r>
      <w:r w:rsidR="00FC0A14" w:rsidRPr="00497CFB">
        <w:rPr>
          <w:b w:val="0"/>
        </w:rPr>
        <w:fldChar w:fldCharType="end"/>
      </w:r>
    </w:p>
    <w:p w14:paraId="64FA1BC5" w14:textId="1B36E15B" w:rsidR="00FC0A14" w:rsidRPr="00497CFB" w:rsidRDefault="00CE7DA1" w:rsidP="00497CFB">
      <w:pPr>
        <w:pStyle w:val="TOC1"/>
        <w:spacing w:before="0"/>
        <w:rPr>
          <w:rFonts w:asciiTheme="minorHAnsi" w:eastAsiaTheme="minorEastAsia" w:hAnsiTheme="minorHAnsi" w:cstheme="minorBidi"/>
          <w:b w:val="0"/>
          <w:sz w:val="24"/>
          <w:lang w:val="en-US" w:eastAsia="ja-JP"/>
        </w:rPr>
      </w:pPr>
      <w:r w:rsidRPr="00497CFB">
        <w:rPr>
          <w:b w:val="0"/>
        </w:rPr>
        <w:t>Vanuatu</w:t>
      </w:r>
      <w:r w:rsidRPr="00497CFB">
        <w:rPr>
          <w:b w:val="0"/>
        </w:rPr>
        <w:tab/>
      </w:r>
      <w:r w:rsidR="00FC0A14" w:rsidRPr="00497CFB">
        <w:rPr>
          <w:b w:val="0"/>
        </w:rPr>
        <w:fldChar w:fldCharType="begin"/>
      </w:r>
      <w:r w:rsidR="00FC0A14" w:rsidRPr="00497CFB">
        <w:rPr>
          <w:b w:val="0"/>
        </w:rPr>
        <w:instrText xml:space="preserve"> PAGEREF _Toc278447833 \h </w:instrText>
      </w:r>
      <w:r w:rsidR="00FC0A14" w:rsidRPr="00497CFB">
        <w:rPr>
          <w:b w:val="0"/>
        </w:rPr>
      </w:r>
      <w:r w:rsidR="00FC0A14" w:rsidRPr="00497CFB">
        <w:rPr>
          <w:b w:val="0"/>
        </w:rPr>
        <w:fldChar w:fldCharType="separate"/>
      </w:r>
      <w:r w:rsidR="00EA0B4D">
        <w:rPr>
          <w:b w:val="0"/>
        </w:rPr>
        <w:t>18</w:t>
      </w:r>
      <w:r w:rsidR="00FC0A14" w:rsidRPr="00497CFB">
        <w:rPr>
          <w:b w:val="0"/>
        </w:rPr>
        <w:fldChar w:fldCharType="end"/>
      </w:r>
    </w:p>
    <w:p w14:paraId="6A083585" w14:textId="1CFDC834" w:rsidR="00FC0A14" w:rsidRPr="00497CFB" w:rsidRDefault="00CE7DA1" w:rsidP="00497CFB">
      <w:pPr>
        <w:pStyle w:val="TOC1"/>
        <w:spacing w:before="0"/>
        <w:rPr>
          <w:rFonts w:asciiTheme="minorHAnsi" w:eastAsiaTheme="minorEastAsia" w:hAnsiTheme="minorHAnsi" w:cstheme="minorBidi"/>
          <w:b w:val="0"/>
          <w:sz w:val="24"/>
          <w:lang w:val="en-US" w:eastAsia="ja-JP"/>
        </w:rPr>
      </w:pPr>
      <w:r w:rsidRPr="00497CFB">
        <w:rPr>
          <w:b w:val="0"/>
        </w:rPr>
        <w:t>Kiribati</w:t>
      </w:r>
      <w:r w:rsidRPr="00497CFB">
        <w:rPr>
          <w:b w:val="0"/>
        </w:rPr>
        <w:tab/>
      </w:r>
      <w:r w:rsidR="00FC0A14" w:rsidRPr="00497CFB">
        <w:rPr>
          <w:b w:val="0"/>
        </w:rPr>
        <w:fldChar w:fldCharType="begin"/>
      </w:r>
      <w:r w:rsidR="00FC0A14" w:rsidRPr="00497CFB">
        <w:rPr>
          <w:b w:val="0"/>
        </w:rPr>
        <w:instrText xml:space="preserve"> PAGEREF _Toc278447834 \h </w:instrText>
      </w:r>
      <w:r w:rsidR="00FC0A14" w:rsidRPr="00497CFB">
        <w:rPr>
          <w:b w:val="0"/>
        </w:rPr>
      </w:r>
      <w:r w:rsidR="00FC0A14" w:rsidRPr="00497CFB">
        <w:rPr>
          <w:b w:val="0"/>
        </w:rPr>
        <w:fldChar w:fldCharType="separate"/>
      </w:r>
      <w:r w:rsidR="00EA0B4D">
        <w:rPr>
          <w:b w:val="0"/>
        </w:rPr>
        <w:t>18</w:t>
      </w:r>
      <w:r w:rsidR="00FC0A14" w:rsidRPr="00497CFB">
        <w:rPr>
          <w:b w:val="0"/>
        </w:rPr>
        <w:fldChar w:fldCharType="end"/>
      </w:r>
    </w:p>
    <w:p w14:paraId="0758D1FE" w14:textId="19CFE95F" w:rsidR="00CE7DA1" w:rsidRDefault="00BA3AEB" w:rsidP="00441936">
      <w:pPr>
        <w:pStyle w:val="TOC1"/>
      </w:pPr>
      <w:r>
        <w:br/>
      </w:r>
      <w:r w:rsidR="00CE7DA1">
        <w:t>ANNEX 3: EVALUATION PLAN: PRIMARY AND SECONDARY QUESTIONS</w:t>
      </w:r>
      <w:r w:rsidR="00CE7DA1">
        <w:tab/>
      </w:r>
      <w:r w:rsidR="00FC0A14">
        <w:fldChar w:fldCharType="begin"/>
      </w:r>
      <w:r w:rsidR="00FC0A14">
        <w:instrText xml:space="preserve"> PAGEREF _Toc278447835 \h </w:instrText>
      </w:r>
      <w:r w:rsidR="00FC0A14">
        <w:fldChar w:fldCharType="separate"/>
      </w:r>
      <w:r w:rsidR="00EA0B4D">
        <w:t>19</w:t>
      </w:r>
      <w:r w:rsidR="00FC0A14">
        <w:fldChar w:fldCharType="end"/>
      </w:r>
    </w:p>
    <w:p w14:paraId="343D1025" w14:textId="5838A552" w:rsidR="00FC0A14" w:rsidRDefault="00BA3AEB" w:rsidP="00441936">
      <w:pPr>
        <w:pStyle w:val="TOC1"/>
        <w:rPr>
          <w:rFonts w:asciiTheme="minorHAnsi" w:eastAsiaTheme="minorEastAsia" w:hAnsiTheme="minorHAnsi" w:cstheme="minorBidi"/>
          <w:sz w:val="24"/>
          <w:lang w:val="en-US" w:eastAsia="ja-JP"/>
        </w:rPr>
      </w:pPr>
      <w:r>
        <w:br/>
      </w:r>
      <w:r w:rsidR="00CE7DA1">
        <w:t>ANNEX 4: APTC STATISTICAL PROFILE</w:t>
      </w:r>
      <w:r w:rsidR="00CE7DA1">
        <w:tab/>
      </w:r>
      <w:r w:rsidR="00FC0A14">
        <w:fldChar w:fldCharType="begin"/>
      </w:r>
      <w:r w:rsidR="00FC0A14">
        <w:instrText xml:space="preserve"> PAGEREF _Toc278447836 \h </w:instrText>
      </w:r>
      <w:r w:rsidR="00FC0A14">
        <w:fldChar w:fldCharType="separate"/>
      </w:r>
      <w:r w:rsidR="00EA0B4D">
        <w:t>23</w:t>
      </w:r>
      <w:r w:rsidR="00FC0A14">
        <w:fldChar w:fldCharType="end"/>
      </w:r>
    </w:p>
    <w:p w14:paraId="25A126E5"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rPr>
        <w:t>1</w:t>
      </w:r>
      <w:r w:rsidRPr="00497CFB">
        <w:rPr>
          <w:rFonts w:asciiTheme="minorHAnsi" w:eastAsiaTheme="minorEastAsia" w:hAnsiTheme="minorHAnsi" w:cstheme="minorBidi"/>
          <w:b w:val="0"/>
          <w:sz w:val="24"/>
          <w:lang w:val="en-US" w:eastAsia="ja-JP"/>
        </w:rPr>
        <w:tab/>
      </w:r>
      <w:r w:rsidRPr="00497CFB">
        <w:rPr>
          <w:b w:val="0"/>
        </w:rPr>
        <w:t>Summary</w:t>
      </w:r>
      <w:r w:rsidRPr="00497CFB">
        <w:rPr>
          <w:b w:val="0"/>
        </w:rPr>
        <w:tab/>
      </w:r>
      <w:r w:rsidRPr="00497CFB">
        <w:rPr>
          <w:b w:val="0"/>
        </w:rPr>
        <w:fldChar w:fldCharType="begin"/>
      </w:r>
      <w:r w:rsidRPr="00497CFB">
        <w:rPr>
          <w:b w:val="0"/>
        </w:rPr>
        <w:instrText xml:space="preserve"> PAGEREF _Toc278447837 \h </w:instrText>
      </w:r>
      <w:r w:rsidRPr="00497CFB">
        <w:rPr>
          <w:b w:val="0"/>
        </w:rPr>
      </w:r>
      <w:r w:rsidRPr="00497CFB">
        <w:rPr>
          <w:b w:val="0"/>
        </w:rPr>
        <w:fldChar w:fldCharType="separate"/>
      </w:r>
      <w:r w:rsidR="00EA0B4D">
        <w:rPr>
          <w:b w:val="0"/>
        </w:rPr>
        <w:t>25</w:t>
      </w:r>
      <w:r w:rsidRPr="00497CFB">
        <w:rPr>
          <w:b w:val="0"/>
        </w:rPr>
        <w:fldChar w:fldCharType="end"/>
      </w:r>
    </w:p>
    <w:p w14:paraId="325DF5A9"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rPr>
        <w:t xml:space="preserve">2 </w:t>
      </w:r>
      <w:r w:rsidRPr="00497CFB">
        <w:rPr>
          <w:rFonts w:asciiTheme="minorHAnsi" w:eastAsiaTheme="minorEastAsia" w:hAnsiTheme="minorHAnsi" w:cstheme="minorBidi"/>
          <w:b w:val="0"/>
          <w:sz w:val="24"/>
          <w:lang w:val="en-US" w:eastAsia="ja-JP"/>
        </w:rPr>
        <w:tab/>
      </w:r>
      <w:r w:rsidRPr="00497CFB">
        <w:rPr>
          <w:b w:val="0"/>
        </w:rPr>
        <w:t>Courses</w:t>
      </w:r>
      <w:r w:rsidRPr="00497CFB">
        <w:rPr>
          <w:b w:val="0"/>
        </w:rPr>
        <w:tab/>
      </w:r>
      <w:r w:rsidRPr="00497CFB">
        <w:rPr>
          <w:b w:val="0"/>
        </w:rPr>
        <w:fldChar w:fldCharType="begin"/>
      </w:r>
      <w:r w:rsidRPr="00497CFB">
        <w:rPr>
          <w:b w:val="0"/>
        </w:rPr>
        <w:instrText xml:space="preserve"> PAGEREF _Toc278447838 \h </w:instrText>
      </w:r>
      <w:r w:rsidRPr="00497CFB">
        <w:rPr>
          <w:b w:val="0"/>
        </w:rPr>
      </w:r>
      <w:r w:rsidRPr="00497CFB">
        <w:rPr>
          <w:b w:val="0"/>
        </w:rPr>
        <w:fldChar w:fldCharType="separate"/>
      </w:r>
      <w:r w:rsidR="00EA0B4D">
        <w:rPr>
          <w:b w:val="0"/>
        </w:rPr>
        <w:t>26</w:t>
      </w:r>
      <w:r w:rsidRPr="00497CFB">
        <w:rPr>
          <w:b w:val="0"/>
        </w:rPr>
        <w:fldChar w:fldCharType="end"/>
      </w:r>
    </w:p>
    <w:p w14:paraId="48F8FAA0"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rPr>
        <w:t xml:space="preserve">3 </w:t>
      </w:r>
      <w:r w:rsidRPr="00497CFB">
        <w:rPr>
          <w:rFonts w:asciiTheme="minorHAnsi" w:eastAsiaTheme="minorEastAsia" w:hAnsiTheme="minorHAnsi" w:cstheme="minorBidi"/>
          <w:b w:val="0"/>
          <w:sz w:val="24"/>
          <w:lang w:val="en-US" w:eastAsia="ja-JP"/>
        </w:rPr>
        <w:tab/>
      </w:r>
      <w:r w:rsidRPr="00497CFB">
        <w:rPr>
          <w:b w:val="0"/>
        </w:rPr>
        <w:t>Admissions and scholarships</w:t>
      </w:r>
      <w:r w:rsidRPr="00497CFB">
        <w:rPr>
          <w:b w:val="0"/>
        </w:rPr>
        <w:tab/>
      </w:r>
      <w:r w:rsidRPr="00497CFB">
        <w:rPr>
          <w:b w:val="0"/>
        </w:rPr>
        <w:fldChar w:fldCharType="begin"/>
      </w:r>
      <w:r w:rsidRPr="00497CFB">
        <w:rPr>
          <w:b w:val="0"/>
        </w:rPr>
        <w:instrText xml:space="preserve"> PAGEREF _Toc278447842 \h </w:instrText>
      </w:r>
      <w:r w:rsidRPr="00497CFB">
        <w:rPr>
          <w:b w:val="0"/>
        </w:rPr>
      </w:r>
      <w:r w:rsidRPr="00497CFB">
        <w:rPr>
          <w:b w:val="0"/>
        </w:rPr>
        <w:fldChar w:fldCharType="separate"/>
      </w:r>
      <w:r w:rsidR="00EA0B4D">
        <w:rPr>
          <w:b w:val="0"/>
        </w:rPr>
        <w:t>31</w:t>
      </w:r>
      <w:r w:rsidRPr="00497CFB">
        <w:rPr>
          <w:b w:val="0"/>
        </w:rPr>
        <w:fldChar w:fldCharType="end"/>
      </w:r>
    </w:p>
    <w:p w14:paraId="0592BC31"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rPr>
        <w:t xml:space="preserve">4 </w:t>
      </w:r>
      <w:r w:rsidRPr="00497CFB">
        <w:rPr>
          <w:rFonts w:asciiTheme="minorHAnsi" w:eastAsiaTheme="minorEastAsia" w:hAnsiTheme="minorHAnsi" w:cstheme="minorBidi"/>
          <w:b w:val="0"/>
          <w:sz w:val="24"/>
          <w:lang w:val="en-US" w:eastAsia="ja-JP"/>
        </w:rPr>
        <w:tab/>
      </w:r>
      <w:r w:rsidRPr="00497CFB">
        <w:rPr>
          <w:b w:val="0"/>
        </w:rPr>
        <w:t>Enrolments</w:t>
      </w:r>
      <w:r w:rsidRPr="00497CFB">
        <w:rPr>
          <w:b w:val="0"/>
        </w:rPr>
        <w:tab/>
      </w:r>
      <w:r w:rsidRPr="00497CFB">
        <w:rPr>
          <w:b w:val="0"/>
        </w:rPr>
        <w:fldChar w:fldCharType="begin"/>
      </w:r>
      <w:r w:rsidRPr="00497CFB">
        <w:rPr>
          <w:b w:val="0"/>
        </w:rPr>
        <w:instrText xml:space="preserve"> PAGEREF _Toc278447847 \h </w:instrText>
      </w:r>
      <w:r w:rsidRPr="00497CFB">
        <w:rPr>
          <w:b w:val="0"/>
        </w:rPr>
      </w:r>
      <w:r w:rsidRPr="00497CFB">
        <w:rPr>
          <w:b w:val="0"/>
        </w:rPr>
        <w:fldChar w:fldCharType="separate"/>
      </w:r>
      <w:r w:rsidR="00EA0B4D">
        <w:rPr>
          <w:b w:val="0"/>
        </w:rPr>
        <w:t>36</w:t>
      </w:r>
      <w:r w:rsidRPr="00497CFB">
        <w:rPr>
          <w:b w:val="0"/>
        </w:rPr>
        <w:fldChar w:fldCharType="end"/>
      </w:r>
    </w:p>
    <w:p w14:paraId="28DBBF8C"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rPr>
        <w:t xml:space="preserve">5 </w:t>
      </w:r>
      <w:r w:rsidRPr="00497CFB">
        <w:rPr>
          <w:rFonts w:asciiTheme="minorHAnsi" w:eastAsiaTheme="minorEastAsia" w:hAnsiTheme="minorHAnsi" w:cstheme="minorBidi"/>
          <w:b w:val="0"/>
          <w:sz w:val="24"/>
          <w:lang w:val="en-US" w:eastAsia="ja-JP"/>
        </w:rPr>
        <w:tab/>
      </w:r>
      <w:r w:rsidRPr="00497CFB">
        <w:rPr>
          <w:b w:val="0"/>
        </w:rPr>
        <w:t>Graduates and completion rates</w:t>
      </w:r>
      <w:r w:rsidRPr="00497CFB">
        <w:rPr>
          <w:b w:val="0"/>
        </w:rPr>
        <w:tab/>
      </w:r>
      <w:r w:rsidRPr="00497CFB">
        <w:rPr>
          <w:b w:val="0"/>
        </w:rPr>
        <w:fldChar w:fldCharType="begin"/>
      </w:r>
      <w:r w:rsidRPr="00497CFB">
        <w:rPr>
          <w:b w:val="0"/>
        </w:rPr>
        <w:instrText xml:space="preserve"> PAGEREF _Toc278447853 \h </w:instrText>
      </w:r>
      <w:r w:rsidRPr="00497CFB">
        <w:rPr>
          <w:b w:val="0"/>
        </w:rPr>
      </w:r>
      <w:r w:rsidRPr="00497CFB">
        <w:rPr>
          <w:b w:val="0"/>
        </w:rPr>
        <w:fldChar w:fldCharType="separate"/>
      </w:r>
      <w:r w:rsidR="00EA0B4D">
        <w:rPr>
          <w:b w:val="0"/>
        </w:rPr>
        <w:t>44</w:t>
      </w:r>
      <w:r w:rsidRPr="00497CFB">
        <w:rPr>
          <w:b w:val="0"/>
        </w:rPr>
        <w:fldChar w:fldCharType="end"/>
      </w:r>
    </w:p>
    <w:p w14:paraId="3B492192"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rPr>
        <w:t>6</w:t>
      </w:r>
      <w:r w:rsidRPr="00497CFB">
        <w:rPr>
          <w:rFonts w:asciiTheme="minorHAnsi" w:eastAsiaTheme="minorEastAsia" w:hAnsiTheme="minorHAnsi" w:cstheme="minorBidi"/>
          <w:b w:val="0"/>
          <w:sz w:val="24"/>
          <w:lang w:val="en-US" w:eastAsia="ja-JP"/>
        </w:rPr>
        <w:tab/>
      </w:r>
      <w:r w:rsidRPr="00497CFB">
        <w:rPr>
          <w:b w:val="0"/>
        </w:rPr>
        <w:t>Staffing</w:t>
      </w:r>
      <w:r w:rsidRPr="00497CFB">
        <w:rPr>
          <w:b w:val="0"/>
        </w:rPr>
        <w:tab/>
      </w:r>
      <w:r w:rsidRPr="00497CFB">
        <w:rPr>
          <w:b w:val="0"/>
        </w:rPr>
        <w:fldChar w:fldCharType="begin"/>
      </w:r>
      <w:r w:rsidRPr="00497CFB">
        <w:rPr>
          <w:b w:val="0"/>
        </w:rPr>
        <w:instrText xml:space="preserve"> PAGEREF _Toc278447856 \h </w:instrText>
      </w:r>
      <w:r w:rsidRPr="00497CFB">
        <w:rPr>
          <w:b w:val="0"/>
        </w:rPr>
      </w:r>
      <w:r w:rsidRPr="00497CFB">
        <w:rPr>
          <w:b w:val="0"/>
        </w:rPr>
        <w:fldChar w:fldCharType="separate"/>
      </w:r>
      <w:r w:rsidR="00EA0B4D">
        <w:rPr>
          <w:b w:val="0"/>
        </w:rPr>
        <w:t>48</w:t>
      </w:r>
      <w:r w:rsidRPr="00497CFB">
        <w:rPr>
          <w:b w:val="0"/>
        </w:rPr>
        <w:fldChar w:fldCharType="end"/>
      </w:r>
    </w:p>
    <w:p w14:paraId="2C3846D7" w14:textId="102B2364" w:rsidR="00FC0A14" w:rsidRDefault="00BA3AEB" w:rsidP="00441936">
      <w:pPr>
        <w:pStyle w:val="TOC1"/>
        <w:rPr>
          <w:rFonts w:asciiTheme="minorHAnsi" w:eastAsiaTheme="minorEastAsia" w:hAnsiTheme="minorHAnsi" w:cstheme="minorBidi"/>
          <w:sz w:val="24"/>
          <w:lang w:val="en-US" w:eastAsia="ja-JP"/>
        </w:rPr>
      </w:pPr>
      <w:r>
        <w:br/>
      </w:r>
      <w:r w:rsidR="00CE7DA1">
        <w:t>ANNEX 5: QUESTIONNAIRE RESULTS</w:t>
      </w:r>
      <w:r w:rsidR="00CE7DA1">
        <w:tab/>
      </w:r>
      <w:r w:rsidR="00FC0A14">
        <w:fldChar w:fldCharType="begin"/>
      </w:r>
      <w:r w:rsidR="00FC0A14">
        <w:instrText xml:space="preserve"> PAGEREF _Toc278447862 \h </w:instrText>
      </w:r>
      <w:r w:rsidR="00FC0A14">
        <w:fldChar w:fldCharType="separate"/>
      </w:r>
      <w:r w:rsidR="00EA0B4D">
        <w:t>57</w:t>
      </w:r>
      <w:r w:rsidR="00FC0A14">
        <w:fldChar w:fldCharType="end"/>
      </w:r>
    </w:p>
    <w:p w14:paraId="06027F0D"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rPr>
        <w:t>1</w:t>
      </w:r>
      <w:r w:rsidRPr="00497CFB">
        <w:rPr>
          <w:rFonts w:asciiTheme="minorHAnsi" w:eastAsiaTheme="minorEastAsia" w:hAnsiTheme="minorHAnsi" w:cstheme="minorBidi"/>
          <w:b w:val="0"/>
          <w:sz w:val="24"/>
          <w:lang w:val="en-US" w:eastAsia="ja-JP"/>
        </w:rPr>
        <w:tab/>
      </w:r>
      <w:r w:rsidRPr="00497CFB">
        <w:rPr>
          <w:b w:val="0"/>
        </w:rPr>
        <w:t>Responses from current APTC students, June–August 2014</w:t>
      </w:r>
      <w:r w:rsidRPr="00497CFB">
        <w:rPr>
          <w:b w:val="0"/>
        </w:rPr>
        <w:tab/>
      </w:r>
      <w:r w:rsidRPr="00497CFB">
        <w:rPr>
          <w:b w:val="0"/>
        </w:rPr>
        <w:fldChar w:fldCharType="begin"/>
      </w:r>
      <w:r w:rsidRPr="00497CFB">
        <w:rPr>
          <w:b w:val="0"/>
        </w:rPr>
        <w:instrText xml:space="preserve"> PAGEREF _Toc278447863 \h </w:instrText>
      </w:r>
      <w:r w:rsidRPr="00497CFB">
        <w:rPr>
          <w:b w:val="0"/>
        </w:rPr>
      </w:r>
      <w:r w:rsidRPr="00497CFB">
        <w:rPr>
          <w:b w:val="0"/>
        </w:rPr>
        <w:fldChar w:fldCharType="separate"/>
      </w:r>
      <w:r w:rsidR="00EA0B4D">
        <w:rPr>
          <w:b w:val="0"/>
        </w:rPr>
        <w:t>58</w:t>
      </w:r>
      <w:r w:rsidRPr="00497CFB">
        <w:rPr>
          <w:b w:val="0"/>
        </w:rPr>
        <w:fldChar w:fldCharType="end"/>
      </w:r>
    </w:p>
    <w:p w14:paraId="53E43F2E"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lang w:eastAsia="zh-CN"/>
        </w:rPr>
        <w:t>2</w:t>
      </w:r>
      <w:r w:rsidRPr="00497CFB">
        <w:rPr>
          <w:rFonts w:asciiTheme="minorHAnsi" w:eastAsiaTheme="minorEastAsia" w:hAnsiTheme="minorHAnsi" w:cstheme="minorBidi"/>
          <w:b w:val="0"/>
          <w:sz w:val="24"/>
          <w:lang w:val="en-US" w:eastAsia="ja-JP"/>
        </w:rPr>
        <w:tab/>
      </w:r>
      <w:r w:rsidRPr="00497CFB">
        <w:rPr>
          <w:b w:val="0"/>
          <w:lang w:eastAsia="zh-CN"/>
        </w:rPr>
        <w:t>Responses from APTC graduates</w:t>
      </w:r>
      <w:r w:rsidRPr="00497CFB">
        <w:rPr>
          <w:b w:val="0"/>
        </w:rPr>
        <w:tab/>
      </w:r>
      <w:r w:rsidRPr="00497CFB">
        <w:rPr>
          <w:b w:val="0"/>
        </w:rPr>
        <w:fldChar w:fldCharType="begin"/>
      </w:r>
      <w:r w:rsidRPr="00497CFB">
        <w:rPr>
          <w:b w:val="0"/>
        </w:rPr>
        <w:instrText xml:space="preserve"> PAGEREF _Toc278447870 \h </w:instrText>
      </w:r>
      <w:r w:rsidRPr="00497CFB">
        <w:rPr>
          <w:b w:val="0"/>
        </w:rPr>
      </w:r>
      <w:r w:rsidRPr="00497CFB">
        <w:rPr>
          <w:b w:val="0"/>
        </w:rPr>
        <w:fldChar w:fldCharType="separate"/>
      </w:r>
      <w:r w:rsidR="00EA0B4D">
        <w:rPr>
          <w:b w:val="0"/>
        </w:rPr>
        <w:t>60</w:t>
      </w:r>
      <w:r w:rsidRPr="00497CFB">
        <w:rPr>
          <w:b w:val="0"/>
        </w:rPr>
        <w:fldChar w:fldCharType="end"/>
      </w:r>
    </w:p>
    <w:p w14:paraId="59DAC870"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lang w:eastAsia="zh-CN"/>
        </w:rPr>
        <w:t>3</w:t>
      </w:r>
      <w:r w:rsidRPr="00497CFB">
        <w:rPr>
          <w:rFonts w:asciiTheme="minorHAnsi" w:eastAsiaTheme="minorEastAsia" w:hAnsiTheme="minorHAnsi" w:cstheme="minorBidi"/>
          <w:b w:val="0"/>
          <w:sz w:val="24"/>
          <w:lang w:val="en-US" w:eastAsia="ja-JP"/>
        </w:rPr>
        <w:tab/>
      </w:r>
      <w:r w:rsidRPr="00497CFB">
        <w:rPr>
          <w:b w:val="0"/>
          <w:lang w:eastAsia="zh-CN"/>
        </w:rPr>
        <w:t>Responses from employers</w:t>
      </w:r>
      <w:r w:rsidRPr="00497CFB">
        <w:rPr>
          <w:b w:val="0"/>
        </w:rPr>
        <w:tab/>
      </w:r>
      <w:r w:rsidRPr="00497CFB">
        <w:rPr>
          <w:b w:val="0"/>
        </w:rPr>
        <w:fldChar w:fldCharType="begin"/>
      </w:r>
      <w:r w:rsidRPr="00497CFB">
        <w:rPr>
          <w:b w:val="0"/>
        </w:rPr>
        <w:instrText xml:space="preserve"> PAGEREF _Toc278447880 \h </w:instrText>
      </w:r>
      <w:r w:rsidRPr="00497CFB">
        <w:rPr>
          <w:b w:val="0"/>
        </w:rPr>
      </w:r>
      <w:r w:rsidRPr="00497CFB">
        <w:rPr>
          <w:b w:val="0"/>
        </w:rPr>
        <w:fldChar w:fldCharType="separate"/>
      </w:r>
      <w:r w:rsidR="00EA0B4D">
        <w:rPr>
          <w:b w:val="0"/>
        </w:rPr>
        <w:t>65</w:t>
      </w:r>
      <w:r w:rsidRPr="00497CFB">
        <w:rPr>
          <w:b w:val="0"/>
        </w:rPr>
        <w:fldChar w:fldCharType="end"/>
      </w:r>
    </w:p>
    <w:p w14:paraId="4E1F7241"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rPr>
        <w:t>4</w:t>
      </w:r>
      <w:r w:rsidRPr="00497CFB">
        <w:rPr>
          <w:rFonts w:asciiTheme="minorHAnsi" w:eastAsiaTheme="minorEastAsia" w:hAnsiTheme="minorHAnsi" w:cstheme="minorBidi"/>
          <w:b w:val="0"/>
          <w:sz w:val="24"/>
          <w:lang w:val="en-US" w:eastAsia="ja-JP"/>
        </w:rPr>
        <w:tab/>
      </w:r>
      <w:r w:rsidRPr="00497CFB">
        <w:rPr>
          <w:b w:val="0"/>
        </w:rPr>
        <w:t>Trainers and tutors</w:t>
      </w:r>
      <w:r w:rsidRPr="00497CFB">
        <w:rPr>
          <w:b w:val="0"/>
        </w:rPr>
        <w:tab/>
      </w:r>
      <w:r w:rsidRPr="00497CFB">
        <w:rPr>
          <w:b w:val="0"/>
        </w:rPr>
        <w:fldChar w:fldCharType="begin"/>
      </w:r>
      <w:r w:rsidRPr="00497CFB">
        <w:rPr>
          <w:b w:val="0"/>
        </w:rPr>
        <w:instrText xml:space="preserve"> PAGEREF _Toc278447888 \h </w:instrText>
      </w:r>
      <w:r w:rsidRPr="00497CFB">
        <w:rPr>
          <w:b w:val="0"/>
        </w:rPr>
      </w:r>
      <w:r w:rsidRPr="00497CFB">
        <w:rPr>
          <w:b w:val="0"/>
        </w:rPr>
        <w:fldChar w:fldCharType="separate"/>
      </w:r>
      <w:r w:rsidR="00EA0B4D">
        <w:rPr>
          <w:b w:val="0"/>
        </w:rPr>
        <w:t>69</w:t>
      </w:r>
      <w:r w:rsidRPr="00497CFB">
        <w:rPr>
          <w:b w:val="0"/>
        </w:rPr>
        <w:fldChar w:fldCharType="end"/>
      </w:r>
    </w:p>
    <w:p w14:paraId="6115F7D0" w14:textId="77777777" w:rsidR="00FC0A14" w:rsidRPr="00497CFB" w:rsidRDefault="00FC0A14" w:rsidP="00497CFB">
      <w:pPr>
        <w:pStyle w:val="TOC1"/>
        <w:spacing w:before="0"/>
        <w:rPr>
          <w:rFonts w:asciiTheme="minorHAnsi" w:eastAsiaTheme="minorEastAsia" w:hAnsiTheme="minorHAnsi" w:cstheme="minorBidi"/>
          <w:b w:val="0"/>
          <w:sz w:val="24"/>
          <w:lang w:val="en-US" w:eastAsia="ja-JP"/>
        </w:rPr>
      </w:pPr>
      <w:r w:rsidRPr="00497CFB">
        <w:rPr>
          <w:b w:val="0"/>
        </w:rPr>
        <w:t>5</w:t>
      </w:r>
      <w:r w:rsidRPr="00497CFB">
        <w:rPr>
          <w:rFonts w:asciiTheme="minorHAnsi" w:eastAsiaTheme="minorEastAsia" w:hAnsiTheme="minorHAnsi" w:cstheme="minorBidi"/>
          <w:b w:val="0"/>
          <w:sz w:val="24"/>
          <w:lang w:val="en-US" w:eastAsia="ja-JP"/>
        </w:rPr>
        <w:tab/>
      </w:r>
      <w:r w:rsidRPr="00497CFB">
        <w:rPr>
          <w:b w:val="0"/>
        </w:rPr>
        <w:t>Administrative staff</w:t>
      </w:r>
      <w:r w:rsidRPr="00497CFB">
        <w:rPr>
          <w:b w:val="0"/>
        </w:rPr>
        <w:tab/>
      </w:r>
      <w:r w:rsidRPr="00497CFB">
        <w:rPr>
          <w:b w:val="0"/>
        </w:rPr>
        <w:fldChar w:fldCharType="begin"/>
      </w:r>
      <w:r w:rsidRPr="00497CFB">
        <w:rPr>
          <w:b w:val="0"/>
        </w:rPr>
        <w:instrText xml:space="preserve"> PAGEREF _Toc278447894 \h </w:instrText>
      </w:r>
      <w:r w:rsidRPr="00497CFB">
        <w:rPr>
          <w:b w:val="0"/>
        </w:rPr>
      </w:r>
      <w:r w:rsidRPr="00497CFB">
        <w:rPr>
          <w:b w:val="0"/>
        </w:rPr>
        <w:fldChar w:fldCharType="separate"/>
      </w:r>
      <w:r w:rsidR="00EA0B4D">
        <w:rPr>
          <w:b w:val="0"/>
        </w:rPr>
        <w:t>75</w:t>
      </w:r>
      <w:r w:rsidRPr="00497CFB">
        <w:rPr>
          <w:b w:val="0"/>
        </w:rPr>
        <w:fldChar w:fldCharType="end"/>
      </w:r>
    </w:p>
    <w:p w14:paraId="60BFC492" w14:textId="01AB3886" w:rsidR="00FC0A14" w:rsidRPr="00497CFB" w:rsidRDefault="00FC0A14" w:rsidP="00497CFB">
      <w:pPr>
        <w:pStyle w:val="TOC1"/>
        <w:spacing w:before="0"/>
        <w:ind w:left="351" w:hanging="351"/>
        <w:rPr>
          <w:rFonts w:asciiTheme="minorHAnsi" w:eastAsiaTheme="minorEastAsia" w:hAnsiTheme="minorHAnsi" w:cstheme="minorBidi"/>
          <w:b w:val="0"/>
          <w:sz w:val="24"/>
          <w:lang w:val="en-US" w:eastAsia="ja-JP"/>
        </w:rPr>
      </w:pPr>
      <w:r w:rsidRPr="00497CFB">
        <w:rPr>
          <w:b w:val="0"/>
        </w:rPr>
        <w:t xml:space="preserve">6 </w:t>
      </w:r>
      <w:r w:rsidRPr="00497CFB">
        <w:rPr>
          <w:rFonts w:asciiTheme="minorHAnsi" w:eastAsiaTheme="minorEastAsia" w:hAnsiTheme="minorHAnsi" w:cstheme="minorBidi"/>
          <w:b w:val="0"/>
          <w:sz w:val="24"/>
          <w:lang w:val="en-US" w:eastAsia="ja-JP"/>
        </w:rPr>
        <w:tab/>
      </w:r>
      <w:r w:rsidRPr="00497CFB">
        <w:rPr>
          <w:b w:val="0"/>
        </w:rPr>
        <w:t xml:space="preserve">Industry engagement at APTC – analysis of questionnaires completed by </w:t>
      </w:r>
      <w:r w:rsidR="00CE7DA1" w:rsidRPr="00497CFB">
        <w:rPr>
          <w:b w:val="0"/>
        </w:rPr>
        <w:br/>
      </w:r>
      <w:r w:rsidRPr="00497CFB">
        <w:rPr>
          <w:b w:val="0"/>
        </w:rPr>
        <w:t>country managers</w:t>
      </w:r>
      <w:r w:rsidRPr="00497CFB">
        <w:rPr>
          <w:b w:val="0"/>
        </w:rPr>
        <w:tab/>
      </w:r>
      <w:r w:rsidRPr="00497CFB">
        <w:rPr>
          <w:b w:val="0"/>
        </w:rPr>
        <w:fldChar w:fldCharType="begin"/>
      </w:r>
      <w:r w:rsidRPr="00497CFB">
        <w:rPr>
          <w:b w:val="0"/>
        </w:rPr>
        <w:instrText xml:space="preserve"> PAGEREF _Toc278447897 \h </w:instrText>
      </w:r>
      <w:r w:rsidRPr="00497CFB">
        <w:rPr>
          <w:b w:val="0"/>
        </w:rPr>
      </w:r>
      <w:r w:rsidRPr="00497CFB">
        <w:rPr>
          <w:b w:val="0"/>
        </w:rPr>
        <w:fldChar w:fldCharType="separate"/>
      </w:r>
      <w:r w:rsidR="00EA0B4D">
        <w:rPr>
          <w:b w:val="0"/>
        </w:rPr>
        <w:t>76</w:t>
      </w:r>
      <w:r w:rsidRPr="00497CFB">
        <w:rPr>
          <w:b w:val="0"/>
        </w:rPr>
        <w:fldChar w:fldCharType="end"/>
      </w:r>
    </w:p>
    <w:p w14:paraId="144D4E91" w14:textId="61F97CAE" w:rsidR="00FC0A14" w:rsidRDefault="00BA3AEB" w:rsidP="00441936">
      <w:pPr>
        <w:pStyle w:val="TOC1"/>
        <w:rPr>
          <w:rFonts w:asciiTheme="minorHAnsi" w:eastAsiaTheme="minorEastAsia" w:hAnsiTheme="minorHAnsi" w:cstheme="minorBidi"/>
          <w:sz w:val="24"/>
          <w:lang w:val="en-US" w:eastAsia="ja-JP"/>
        </w:rPr>
      </w:pPr>
      <w:r>
        <w:rPr>
          <w:lang w:eastAsia="zh-CN"/>
        </w:rPr>
        <w:br/>
      </w:r>
      <w:r w:rsidR="00D109E5">
        <w:rPr>
          <w:lang w:eastAsia="zh-CN"/>
        </w:rPr>
        <w:t xml:space="preserve">ANNEX 6: </w:t>
      </w:r>
      <w:r w:rsidR="00D109E5">
        <w:t>TVET CAPACITY</w:t>
      </w:r>
      <w:r w:rsidR="00D109E5">
        <w:tab/>
      </w:r>
      <w:r w:rsidR="00FC0A14">
        <w:fldChar w:fldCharType="begin"/>
      </w:r>
      <w:r w:rsidR="00FC0A14">
        <w:instrText xml:space="preserve"> PAGEREF _Toc278447900 \h </w:instrText>
      </w:r>
      <w:r w:rsidR="00FC0A14">
        <w:fldChar w:fldCharType="separate"/>
      </w:r>
      <w:r w:rsidR="00EA0B4D">
        <w:t>81</w:t>
      </w:r>
      <w:r w:rsidR="00FC0A14">
        <w:fldChar w:fldCharType="end"/>
      </w:r>
    </w:p>
    <w:p w14:paraId="74CBC0B4" w14:textId="46AD8499" w:rsidR="00FC0A14" w:rsidRPr="001D3CD9" w:rsidRDefault="00FC0A14" w:rsidP="001D3CD9">
      <w:pPr>
        <w:pStyle w:val="TOC1"/>
        <w:spacing w:before="0"/>
        <w:rPr>
          <w:rFonts w:asciiTheme="minorHAnsi" w:eastAsiaTheme="minorEastAsia" w:hAnsiTheme="minorHAnsi" w:cstheme="minorBidi"/>
          <w:b w:val="0"/>
          <w:sz w:val="24"/>
          <w:lang w:val="en-US" w:eastAsia="ja-JP"/>
        </w:rPr>
      </w:pPr>
      <w:r w:rsidRPr="001D3CD9">
        <w:rPr>
          <w:b w:val="0"/>
        </w:rPr>
        <w:t>1.</w:t>
      </w:r>
      <w:r w:rsidRPr="001D3CD9">
        <w:rPr>
          <w:rFonts w:asciiTheme="minorHAnsi" w:eastAsiaTheme="minorEastAsia" w:hAnsiTheme="minorHAnsi" w:cstheme="minorBidi"/>
          <w:b w:val="0"/>
          <w:sz w:val="24"/>
          <w:lang w:val="en-US" w:eastAsia="ja-JP"/>
        </w:rPr>
        <w:tab/>
      </w:r>
      <w:r w:rsidRPr="001D3CD9">
        <w:rPr>
          <w:b w:val="0"/>
        </w:rPr>
        <w:t xml:space="preserve">APTC capacity – What quantitative and qualitative capacity has APTC established </w:t>
      </w:r>
      <w:r w:rsidR="00D109E5" w:rsidRPr="001D3CD9">
        <w:rPr>
          <w:b w:val="0"/>
        </w:rPr>
        <w:br/>
      </w:r>
      <w:r w:rsidR="00787B9B" w:rsidRPr="001D3CD9">
        <w:rPr>
          <w:b w:val="0"/>
        </w:rPr>
        <w:tab/>
      </w:r>
      <w:r w:rsidRPr="001D3CD9">
        <w:rPr>
          <w:b w:val="0"/>
        </w:rPr>
        <w:t>or skills development?</w:t>
      </w:r>
      <w:r w:rsidRPr="001D3CD9">
        <w:rPr>
          <w:b w:val="0"/>
        </w:rPr>
        <w:tab/>
      </w:r>
      <w:r w:rsidRPr="001D3CD9">
        <w:rPr>
          <w:b w:val="0"/>
        </w:rPr>
        <w:fldChar w:fldCharType="begin"/>
      </w:r>
      <w:r w:rsidRPr="001D3CD9">
        <w:rPr>
          <w:b w:val="0"/>
        </w:rPr>
        <w:instrText xml:space="preserve"> PAGEREF _Toc278447901 \h </w:instrText>
      </w:r>
      <w:r w:rsidRPr="001D3CD9">
        <w:rPr>
          <w:b w:val="0"/>
        </w:rPr>
      </w:r>
      <w:r w:rsidRPr="001D3CD9">
        <w:rPr>
          <w:b w:val="0"/>
        </w:rPr>
        <w:fldChar w:fldCharType="separate"/>
      </w:r>
      <w:r w:rsidR="00EA0B4D">
        <w:rPr>
          <w:b w:val="0"/>
        </w:rPr>
        <w:t>82</w:t>
      </w:r>
      <w:r w:rsidRPr="001D3CD9">
        <w:rPr>
          <w:b w:val="0"/>
        </w:rPr>
        <w:fldChar w:fldCharType="end"/>
      </w:r>
    </w:p>
    <w:p w14:paraId="25DE3B25" w14:textId="77777777" w:rsidR="00FC0A14" w:rsidRPr="001D3CD9" w:rsidRDefault="00FC0A14" w:rsidP="001D3CD9">
      <w:pPr>
        <w:pStyle w:val="TOC1"/>
        <w:spacing w:before="0"/>
        <w:rPr>
          <w:rFonts w:asciiTheme="minorHAnsi" w:eastAsiaTheme="minorEastAsia" w:hAnsiTheme="minorHAnsi" w:cstheme="minorBidi"/>
          <w:b w:val="0"/>
          <w:sz w:val="24"/>
          <w:lang w:val="en-US" w:eastAsia="ja-JP"/>
        </w:rPr>
      </w:pPr>
      <w:r w:rsidRPr="001D3CD9">
        <w:rPr>
          <w:b w:val="0"/>
        </w:rPr>
        <w:t>2</w:t>
      </w:r>
      <w:r w:rsidRPr="001D3CD9">
        <w:rPr>
          <w:rFonts w:asciiTheme="minorHAnsi" w:eastAsiaTheme="minorEastAsia" w:hAnsiTheme="minorHAnsi" w:cstheme="minorBidi"/>
          <w:b w:val="0"/>
          <w:sz w:val="24"/>
          <w:lang w:val="en-US" w:eastAsia="ja-JP"/>
        </w:rPr>
        <w:tab/>
      </w:r>
      <w:r w:rsidRPr="001D3CD9">
        <w:rPr>
          <w:b w:val="0"/>
        </w:rPr>
        <w:t>How closely attuned is APTC to industry and employers?</w:t>
      </w:r>
      <w:r w:rsidRPr="001D3CD9">
        <w:rPr>
          <w:b w:val="0"/>
        </w:rPr>
        <w:tab/>
      </w:r>
      <w:r w:rsidRPr="001D3CD9">
        <w:rPr>
          <w:b w:val="0"/>
        </w:rPr>
        <w:fldChar w:fldCharType="begin"/>
      </w:r>
      <w:r w:rsidRPr="001D3CD9">
        <w:rPr>
          <w:b w:val="0"/>
        </w:rPr>
        <w:instrText xml:space="preserve"> PAGEREF _Toc278447908 \h </w:instrText>
      </w:r>
      <w:r w:rsidRPr="001D3CD9">
        <w:rPr>
          <w:b w:val="0"/>
        </w:rPr>
      </w:r>
      <w:r w:rsidRPr="001D3CD9">
        <w:rPr>
          <w:b w:val="0"/>
        </w:rPr>
        <w:fldChar w:fldCharType="separate"/>
      </w:r>
      <w:r w:rsidR="00EA0B4D">
        <w:rPr>
          <w:b w:val="0"/>
        </w:rPr>
        <w:t>92</w:t>
      </w:r>
      <w:r w:rsidRPr="001D3CD9">
        <w:rPr>
          <w:b w:val="0"/>
        </w:rPr>
        <w:fldChar w:fldCharType="end"/>
      </w:r>
    </w:p>
    <w:p w14:paraId="674233DB" w14:textId="77777777" w:rsidR="00FC0A14" w:rsidRPr="001D3CD9" w:rsidRDefault="00FC0A14" w:rsidP="001D3CD9">
      <w:pPr>
        <w:pStyle w:val="TOC1"/>
        <w:spacing w:before="0"/>
        <w:rPr>
          <w:rFonts w:asciiTheme="minorHAnsi" w:eastAsiaTheme="minorEastAsia" w:hAnsiTheme="minorHAnsi" w:cstheme="minorBidi"/>
          <w:b w:val="0"/>
          <w:sz w:val="24"/>
          <w:lang w:val="en-US" w:eastAsia="ja-JP"/>
        </w:rPr>
      </w:pPr>
      <w:r w:rsidRPr="001D3CD9">
        <w:rPr>
          <w:b w:val="0"/>
        </w:rPr>
        <w:t>3</w:t>
      </w:r>
      <w:r w:rsidRPr="001D3CD9">
        <w:rPr>
          <w:rFonts w:asciiTheme="minorHAnsi" w:eastAsiaTheme="minorEastAsia" w:hAnsiTheme="minorHAnsi" w:cstheme="minorBidi"/>
          <w:b w:val="0"/>
          <w:sz w:val="24"/>
          <w:lang w:val="en-US" w:eastAsia="ja-JP"/>
        </w:rPr>
        <w:tab/>
      </w:r>
      <w:r w:rsidRPr="001D3CD9">
        <w:rPr>
          <w:b w:val="0"/>
        </w:rPr>
        <w:t>How equitable is the provision of APTC services?</w:t>
      </w:r>
      <w:r w:rsidRPr="001D3CD9">
        <w:rPr>
          <w:b w:val="0"/>
        </w:rPr>
        <w:tab/>
      </w:r>
      <w:r w:rsidRPr="001D3CD9">
        <w:rPr>
          <w:b w:val="0"/>
        </w:rPr>
        <w:fldChar w:fldCharType="begin"/>
      </w:r>
      <w:r w:rsidRPr="001D3CD9">
        <w:rPr>
          <w:b w:val="0"/>
        </w:rPr>
        <w:instrText xml:space="preserve"> PAGEREF _Toc278447914 \h </w:instrText>
      </w:r>
      <w:r w:rsidRPr="001D3CD9">
        <w:rPr>
          <w:b w:val="0"/>
        </w:rPr>
      </w:r>
      <w:r w:rsidRPr="001D3CD9">
        <w:rPr>
          <w:b w:val="0"/>
        </w:rPr>
        <w:fldChar w:fldCharType="separate"/>
      </w:r>
      <w:r w:rsidR="00EA0B4D">
        <w:rPr>
          <w:b w:val="0"/>
        </w:rPr>
        <w:t>101</w:t>
      </w:r>
      <w:r w:rsidRPr="001D3CD9">
        <w:rPr>
          <w:b w:val="0"/>
        </w:rPr>
        <w:fldChar w:fldCharType="end"/>
      </w:r>
    </w:p>
    <w:p w14:paraId="71CC52C4" w14:textId="446689DB" w:rsidR="00FC0A14" w:rsidRPr="001D3CD9" w:rsidRDefault="00FC0A14" w:rsidP="001D3CD9">
      <w:pPr>
        <w:pStyle w:val="TOC1"/>
        <w:spacing w:before="0"/>
        <w:ind w:left="351" w:hanging="351"/>
        <w:rPr>
          <w:rFonts w:asciiTheme="minorHAnsi" w:eastAsiaTheme="minorEastAsia" w:hAnsiTheme="minorHAnsi" w:cstheme="minorBidi"/>
          <w:b w:val="0"/>
          <w:sz w:val="24"/>
          <w:lang w:val="en-US" w:eastAsia="ja-JP"/>
        </w:rPr>
      </w:pPr>
      <w:r w:rsidRPr="001D3CD9">
        <w:rPr>
          <w:b w:val="0"/>
        </w:rPr>
        <w:t>4</w:t>
      </w:r>
      <w:r w:rsidRPr="001D3CD9">
        <w:rPr>
          <w:rFonts w:asciiTheme="minorHAnsi" w:eastAsiaTheme="minorEastAsia" w:hAnsiTheme="minorHAnsi" w:cstheme="minorBidi"/>
          <w:b w:val="0"/>
          <w:sz w:val="24"/>
          <w:lang w:val="en-US" w:eastAsia="ja-JP"/>
        </w:rPr>
        <w:tab/>
      </w:r>
      <w:r w:rsidRPr="001D3CD9">
        <w:rPr>
          <w:b w:val="0"/>
        </w:rPr>
        <w:t xml:space="preserve">To what extent have the governance and management arrangements facilitated </w:t>
      </w:r>
      <w:r w:rsidR="00D109E5" w:rsidRPr="001D3CD9">
        <w:rPr>
          <w:b w:val="0"/>
        </w:rPr>
        <w:br/>
      </w:r>
      <w:r w:rsidRPr="001D3CD9">
        <w:rPr>
          <w:b w:val="0"/>
        </w:rPr>
        <w:t>or impeded APTC’s operations?</w:t>
      </w:r>
      <w:r w:rsidRPr="001D3CD9">
        <w:rPr>
          <w:b w:val="0"/>
        </w:rPr>
        <w:tab/>
      </w:r>
      <w:r w:rsidRPr="001D3CD9">
        <w:rPr>
          <w:b w:val="0"/>
        </w:rPr>
        <w:fldChar w:fldCharType="begin"/>
      </w:r>
      <w:r w:rsidRPr="001D3CD9">
        <w:rPr>
          <w:b w:val="0"/>
        </w:rPr>
        <w:instrText xml:space="preserve"> PAGEREF _Toc278447915 \h </w:instrText>
      </w:r>
      <w:r w:rsidRPr="001D3CD9">
        <w:rPr>
          <w:b w:val="0"/>
        </w:rPr>
      </w:r>
      <w:r w:rsidRPr="001D3CD9">
        <w:rPr>
          <w:b w:val="0"/>
        </w:rPr>
        <w:fldChar w:fldCharType="separate"/>
      </w:r>
      <w:r w:rsidR="00EA0B4D">
        <w:rPr>
          <w:b w:val="0"/>
        </w:rPr>
        <w:t>106</w:t>
      </w:r>
      <w:r w:rsidRPr="001D3CD9">
        <w:rPr>
          <w:b w:val="0"/>
        </w:rPr>
        <w:fldChar w:fldCharType="end"/>
      </w:r>
    </w:p>
    <w:p w14:paraId="4C08C129" w14:textId="2CC35FFD" w:rsidR="00FC0A14" w:rsidRPr="001D3CD9" w:rsidRDefault="00FC0A14" w:rsidP="001D3CD9">
      <w:pPr>
        <w:pStyle w:val="TOC1"/>
        <w:spacing w:before="0"/>
        <w:ind w:left="351" w:hanging="351"/>
        <w:rPr>
          <w:rFonts w:asciiTheme="minorHAnsi" w:eastAsiaTheme="minorEastAsia" w:hAnsiTheme="minorHAnsi" w:cstheme="minorBidi"/>
          <w:b w:val="0"/>
          <w:sz w:val="24"/>
          <w:lang w:val="en-US" w:eastAsia="ja-JP"/>
        </w:rPr>
      </w:pPr>
      <w:r w:rsidRPr="001D3CD9">
        <w:rPr>
          <w:b w:val="0"/>
        </w:rPr>
        <w:t xml:space="preserve">5  </w:t>
      </w:r>
      <w:r w:rsidRPr="001D3CD9">
        <w:rPr>
          <w:rFonts w:asciiTheme="minorHAnsi" w:eastAsiaTheme="minorEastAsia" w:hAnsiTheme="minorHAnsi" w:cstheme="minorBidi"/>
          <w:b w:val="0"/>
          <w:sz w:val="24"/>
          <w:lang w:val="en-US" w:eastAsia="ja-JP"/>
        </w:rPr>
        <w:tab/>
      </w:r>
      <w:r w:rsidRPr="001D3CD9">
        <w:rPr>
          <w:b w:val="0"/>
        </w:rPr>
        <w:t xml:space="preserve">What are the main constraints on, and opportunities for, further  development of </w:t>
      </w:r>
      <w:r w:rsidR="00D109E5" w:rsidRPr="001D3CD9">
        <w:rPr>
          <w:b w:val="0"/>
        </w:rPr>
        <w:br/>
      </w:r>
      <w:r w:rsidRPr="001D3CD9">
        <w:rPr>
          <w:b w:val="0"/>
        </w:rPr>
        <w:t>APTC capacity for skills development?</w:t>
      </w:r>
      <w:r w:rsidRPr="001D3CD9">
        <w:rPr>
          <w:b w:val="0"/>
        </w:rPr>
        <w:tab/>
      </w:r>
      <w:r w:rsidRPr="001D3CD9">
        <w:rPr>
          <w:b w:val="0"/>
        </w:rPr>
        <w:fldChar w:fldCharType="begin"/>
      </w:r>
      <w:r w:rsidRPr="001D3CD9">
        <w:rPr>
          <w:b w:val="0"/>
        </w:rPr>
        <w:instrText xml:space="preserve"> PAGEREF _Toc278447919 \h </w:instrText>
      </w:r>
      <w:r w:rsidRPr="001D3CD9">
        <w:rPr>
          <w:b w:val="0"/>
        </w:rPr>
      </w:r>
      <w:r w:rsidRPr="001D3CD9">
        <w:rPr>
          <w:b w:val="0"/>
        </w:rPr>
        <w:fldChar w:fldCharType="separate"/>
      </w:r>
      <w:r w:rsidR="00EA0B4D">
        <w:rPr>
          <w:b w:val="0"/>
        </w:rPr>
        <w:t>110</w:t>
      </w:r>
      <w:r w:rsidRPr="001D3CD9">
        <w:rPr>
          <w:b w:val="0"/>
        </w:rPr>
        <w:fldChar w:fldCharType="end"/>
      </w:r>
    </w:p>
    <w:p w14:paraId="00D22071" w14:textId="5E46470C" w:rsidR="00FC0A14" w:rsidRPr="001D3CD9" w:rsidRDefault="00FC0A14" w:rsidP="001D3CD9">
      <w:pPr>
        <w:pStyle w:val="TOC1"/>
        <w:spacing w:before="0"/>
        <w:rPr>
          <w:rFonts w:asciiTheme="minorHAnsi" w:eastAsiaTheme="minorEastAsia" w:hAnsiTheme="minorHAnsi" w:cstheme="minorBidi"/>
          <w:b w:val="0"/>
          <w:sz w:val="24"/>
          <w:lang w:val="en-US" w:eastAsia="ja-JP"/>
        </w:rPr>
      </w:pPr>
      <w:r w:rsidRPr="001D3CD9">
        <w:rPr>
          <w:b w:val="0"/>
        </w:rPr>
        <w:t>6</w:t>
      </w:r>
      <w:r w:rsidRPr="001D3CD9">
        <w:rPr>
          <w:rFonts w:asciiTheme="minorHAnsi" w:eastAsiaTheme="minorEastAsia" w:hAnsiTheme="minorHAnsi" w:cstheme="minorBidi"/>
          <w:b w:val="0"/>
          <w:sz w:val="24"/>
          <w:lang w:val="en-US" w:eastAsia="ja-JP"/>
        </w:rPr>
        <w:tab/>
      </w:r>
      <w:r w:rsidRPr="001D3CD9">
        <w:rPr>
          <w:b w:val="0"/>
        </w:rPr>
        <w:t xml:space="preserve">What influence has APTC had in building capacity of other Pacific TVET institutions, </w:t>
      </w:r>
      <w:r w:rsidR="00D109E5" w:rsidRPr="001D3CD9">
        <w:rPr>
          <w:b w:val="0"/>
        </w:rPr>
        <w:br/>
      </w:r>
      <w:r w:rsidR="00D109E5" w:rsidRPr="001D3CD9">
        <w:rPr>
          <w:b w:val="0"/>
        </w:rPr>
        <w:tab/>
      </w:r>
      <w:r w:rsidRPr="001D3CD9">
        <w:rPr>
          <w:b w:val="0"/>
        </w:rPr>
        <w:t>including direct support, and demonstration effects?</w:t>
      </w:r>
      <w:r w:rsidRPr="001D3CD9">
        <w:rPr>
          <w:b w:val="0"/>
        </w:rPr>
        <w:tab/>
      </w:r>
      <w:r w:rsidRPr="001D3CD9">
        <w:rPr>
          <w:b w:val="0"/>
        </w:rPr>
        <w:fldChar w:fldCharType="begin"/>
      </w:r>
      <w:r w:rsidRPr="001D3CD9">
        <w:rPr>
          <w:b w:val="0"/>
        </w:rPr>
        <w:instrText xml:space="preserve"> PAGEREF _Toc278447927 \h </w:instrText>
      </w:r>
      <w:r w:rsidRPr="001D3CD9">
        <w:rPr>
          <w:b w:val="0"/>
        </w:rPr>
      </w:r>
      <w:r w:rsidRPr="001D3CD9">
        <w:rPr>
          <w:b w:val="0"/>
        </w:rPr>
        <w:fldChar w:fldCharType="separate"/>
      </w:r>
      <w:r w:rsidR="00EA0B4D">
        <w:rPr>
          <w:b w:val="0"/>
        </w:rPr>
        <w:t>113</w:t>
      </w:r>
      <w:r w:rsidRPr="001D3CD9">
        <w:rPr>
          <w:b w:val="0"/>
        </w:rPr>
        <w:fldChar w:fldCharType="end"/>
      </w:r>
    </w:p>
    <w:p w14:paraId="554A752D" w14:textId="04C88A90" w:rsidR="00FC0A14" w:rsidRPr="00232C69" w:rsidRDefault="004B4F8C" w:rsidP="00441936">
      <w:pPr>
        <w:pStyle w:val="TOC1"/>
        <w:rPr>
          <w:rFonts w:asciiTheme="minorHAnsi" w:eastAsiaTheme="minorEastAsia" w:hAnsiTheme="minorHAnsi" w:cstheme="minorBidi"/>
          <w:sz w:val="24"/>
          <w:lang w:val="en-US" w:eastAsia="ja-JP"/>
        </w:rPr>
      </w:pPr>
      <w:r w:rsidRPr="00232C69">
        <w:br/>
      </w:r>
      <w:r w:rsidR="00FC0A14" w:rsidRPr="00232C69">
        <w:t>Attachment 1 to Annex 6: Overview of RTO Audit Schedules – Stage II</w:t>
      </w:r>
      <w:r w:rsidR="00FC0A14" w:rsidRPr="00232C69">
        <w:tab/>
      </w:r>
      <w:r w:rsidR="00FC0A14" w:rsidRPr="00232C69">
        <w:fldChar w:fldCharType="begin"/>
      </w:r>
      <w:r w:rsidR="00FC0A14" w:rsidRPr="00232C69">
        <w:instrText xml:space="preserve"> PAGEREF _Toc278447932 \h </w:instrText>
      </w:r>
      <w:r w:rsidR="00FC0A14" w:rsidRPr="00232C69">
        <w:fldChar w:fldCharType="separate"/>
      </w:r>
      <w:r w:rsidR="00EA0B4D">
        <w:t>119</w:t>
      </w:r>
      <w:r w:rsidR="00FC0A14" w:rsidRPr="00232C69">
        <w:fldChar w:fldCharType="end"/>
      </w:r>
    </w:p>
    <w:p w14:paraId="247E1C4D" w14:textId="77777777" w:rsidR="00FC0A14" w:rsidRPr="00232C69" w:rsidRDefault="00FC0A14" w:rsidP="00441936">
      <w:pPr>
        <w:pStyle w:val="TOC1"/>
        <w:rPr>
          <w:rFonts w:asciiTheme="minorHAnsi" w:eastAsiaTheme="minorEastAsia" w:hAnsiTheme="minorHAnsi" w:cstheme="minorBidi"/>
          <w:sz w:val="24"/>
          <w:lang w:val="en-US" w:eastAsia="ja-JP"/>
        </w:rPr>
      </w:pPr>
      <w:r w:rsidRPr="00232C69">
        <w:t>Attachment 2 to Annex 6: The future of APTC scholarships</w:t>
      </w:r>
      <w:r w:rsidRPr="00232C69">
        <w:tab/>
      </w:r>
      <w:r w:rsidRPr="00232C69">
        <w:fldChar w:fldCharType="begin"/>
      </w:r>
      <w:r w:rsidRPr="00232C69">
        <w:instrText xml:space="preserve"> PAGEREF _Toc278447933 \h </w:instrText>
      </w:r>
      <w:r w:rsidRPr="00232C69">
        <w:fldChar w:fldCharType="separate"/>
      </w:r>
      <w:r w:rsidR="00EA0B4D">
        <w:t>120</w:t>
      </w:r>
      <w:r w:rsidRPr="00232C69">
        <w:fldChar w:fldCharType="end"/>
      </w:r>
    </w:p>
    <w:p w14:paraId="52457BF9" w14:textId="177DB252" w:rsidR="00BA3AEB" w:rsidRPr="00232C69" w:rsidRDefault="00FC0A14" w:rsidP="00441936">
      <w:pPr>
        <w:pStyle w:val="TOC1"/>
        <w:rPr>
          <w:rFonts w:asciiTheme="minorHAnsi" w:eastAsiaTheme="minorEastAsia" w:hAnsiTheme="minorHAnsi" w:cstheme="minorBidi"/>
          <w:sz w:val="24"/>
          <w:lang w:val="en-US" w:eastAsia="ja-JP"/>
        </w:rPr>
      </w:pPr>
      <w:r w:rsidRPr="00232C69">
        <w:t>Attachment 3 to Annex 6: APTC engagement with the Pacific TVET sector</w:t>
      </w:r>
      <w:r w:rsidRPr="00232C69">
        <w:tab/>
      </w:r>
      <w:r w:rsidRPr="00232C69">
        <w:fldChar w:fldCharType="begin"/>
      </w:r>
      <w:r w:rsidRPr="00232C69">
        <w:instrText xml:space="preserve"> PAGEREF _Toc278447934 \h </w:instrText>
      </w:r>
      <w:r w:rsidRPr="00232C69">
        <w:fldChar w:fldCharType="separate"/>
      </w:r>
      <w:r w:rsidR="00EA0B4D">
        <w:t>123</w:t>
      </w:r>
      <w:r w:rsidRPr="00232C69">
        <w:fldChar w:fldCharType="end"/>
      </w:r>
      <w:r w:rsidR="00BA3AEB" w:rsidRPr="00232C69">
        <w:br w:type="page"/>
      </w:r>
    </w:p>
    <w:p w14:paraId="453D8233" w14:textId="743938D0" w:rsidR="00FC0A14" w:rsidRDefault="00D109E5" w:rsidP="00441936">
      <w:pPr>
        <w:pStyle w:val="TOC1"/>
        <w:rPr>
          <w:rFonts w:asciiTheme="minorHAnsi" w:eastAsiaTheme="minorEastAsia" w:hAnsiTheme="minorHAnsi" w:cstheme="minorBidi"/>
          <w:sz w:val="24"/>
          <w:lang w:val="en-US" w:eastAsia="ja-JP"/>
        </w:rPr>
      </w:pPr>
      <w:r>
        <w:lastRenderedPageBreak/>
        <w:t>ANNEX 7: LABOUR MOBILITY</w:t>
      </w:r>
      <w:r>
        <w:tab/>
      </w:r>
      <w:r w:rsidR="00FC0A14">
        <w:fldChar w:fldCharType="begin"/>
      </w:r>
      <w:r w:rsidR="00FC0A14">
        <w:instrText xml:space="preserve"> PAGEREF _Toc278447938 \h </w:instrText>
      </w:r>
      <w:r w:rsidR="00FC0A14">
        <w:fldChar w:fldCharType="separate"/>
      </w:r>
      <w:r w:rsidR="00EA0B4D">
        <w:t>130</w:t>
      </w:r>
      <w:r w:rsidR="00FC0A14">
        <w:fldChar w:fldCharType="end"/>
      </w:r>
    </w:p>
    <w:p w14:paraId="63B8C27B" w14:textId="60C0E9B2"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1</w:t>
      </w:r>
      <w:r w:rsidRPr="00B909C1">
        <w:rPr>
          <w:rFonts w:asciiTheme="minorHAnsi" w:eastAsiaTheme="minorEastAsia" w:hAnsiTheme="minorHAnsi" w:cstheme="minorBidi"/>
          <w:b w:val="0"/>
          <w:sz w:val="24"/>
          <w:lang w:val="en-US" w:eastAsia="ja-JP"/>
        </w:rPr>
        <w:tab/>
      </w:r>
      <w:r w:rsidRPr="00B909C1">
        <w:rPr>
          <w:b w:val="0"/>
        </w:rPr>
        <w:t xml:space="preserve">To what extent has APTC training enhanced access to regional and international </w:t>
      </w:r>
      <w:r w:rsidR="000E416E" w:rsidRPr="00B909C1">
        <w:rPr>
          <w:b w:val="0"/>
        </w:rPr>
        <w:br/>
      </w:r>
      <w:r w:rsidR="000E416E" w:rsidRPr="00B909C1">
        <w:rPr>
          <w:b w:val="0"/>
        </w:rPr>
        <w:tab/>
      </w:r>
      <w:r w:rsidRPr="00B909C1">
        <w:rPr>
          <w:b w:val="0"/>
        </w:rPr>
        <w:t>labour markets, and why?</w:t>
      </w:r>
      <w:r w:rsidRPr="00B909C1">
        <w:rPr>
          <w:b w:val="0"/>
        </w:rPr>
        <w:tab/>
      </w:r>
      <w:r w:rsidRPr="00B909C1">
        <w:rPr>
          <w:b w:val="0"/>
        </w:rPr>
        <w:fldChar w:fldCharType="begin"/>
      </w:r>
      <w:r w:rsidRPr="00B909C1">
        <w:rPr>
          <w:b w:val="0"/>
        </w:rPr>
        <w:instrText xml:space="preserve"> PAGEREF _Toc278447939 \h </w:instrText>
      </w:r>
      <w:r w:rsidRPr="00B909C1">
        <w:rPr>
          <w:b w:val="0"/>
        </w:rPr>
      </w:r>
      <w:r w:rsidRPr="00B909C1">
        <w:rPr>
          <w:b w:val="0"/>
        </w:rPr>
        <w:fldChar w:fldCharType="separate"/>
      </w:r>
      <w:r w:rsidR="00EA0B4D">
        <w:rPr>
          <w:b w:val="0"/>
        </w:rPr>
        <w:t>130</w:t>
      </w:r>
      <w:r w:rsidRPr="00B909C1">
        <w:rPr>
          <w:b w:val="0"/>
        </w:rPr>
        <w:fldChar w:fldCharType="end"/>
      </w:r>
    </w:p>
    <w:p w14:paraId="4209CE5D" w14:textId="5155C601"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2 </w:t>
      </w:r>
      <w:r w:rsidRPr="00B909C1">
        <w:rPr>
          <w:rFonts w:asciiTheme="minorHAnsi" w:eastAsiaTheme="minorEastAsia" w:hAnsiTheme="minorHAnsi" w:cstheme="minorBidi"/>
          <w:b w:val="0"/>
          <w:sz w:val="24"/>
          <w:lang w:val="en-US" w:eastAsia="ja-JP"/>
        </w:rPr>
        <w:tab/>
      </w:r>
      <w:r w:rsidRPr="00B909C1">
        <w:rPr>
          <w:b w:val="0"/>
        </w:rPr>
        <w:t>Incidence: APTC graduates take-up of Pacific regional and international employment</w:t>
      </w:r>
      <w:r w:rsidRPr="00B909C1">
        <w:rPr>
          <w:b w:val="0"/>
        </w:rPr>
        <w:tab/>
      </w:r>
      <w:r w:rsidRPr="00B909C1">
        <w:rPr>
          <w:b w:val="0"/>
        </w:rPr>
        <w:fldChar w:fldCharType="begin"/>
      </w:r>
      <w:r w:rsidRPr="00B909C1">
        <w:rPr>
          <w:b w:val="0"/>
        </w:rPr>
        <w:instrText xml:space="preserve"> PAGEREF _Toc278447940 \h </w:instrText>
      </w:r>
      <w:r w:rsidRPr="00B909C1">
        <w:rPr>
          <w:b w:val="0"/>
        </w:rPr>
      </w:r>
      <w:r w:rsidRPr="00B909C1">
        <w:rPr>
          <w:b w:val="0"/>
        </w:rPr>
        <w:fldChar w:fldCharType="separate"/>
      </w:r>
      <w:r w:rsidR="00EA0B4D">
        <w:rPr>
          <w:b w:val="0"/>
        </w:rPr>
        <w:t>131</w:t>
      </w:r>
      <w:r w:rsidRPr="00B909C1">
        <w:rPr>
          <w:b w:val="0"/>
        </w:rPr>
        <w:fldChar w:fldCharType="end"/>
      </w:r>
    </w:p>
    <w:p w14:paraId="0D3E8BEC"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3 </w:t>
      </w:r>
      <w:r w:rsidRPr="00B909C1">
        <w:rPr>
          <w:rFonts w:asciiTheme="minorHAnsi" w:eastAsiaTheme="minorEastAsia" w:hAnsiTheme="minorHAnsi" w:cstheme="minorBidi"/>
          <w:b w:val="0"/>
          <w:sz w:val="24"/>
          <w:lang w:val="en-US" w:eastAsia="ja-JP"/>
        </w:rPr>
        <w:tab/>
      </w:r>
      <w:r w:rsidRPr="00B909C1">
        <w:rPr>
          <w:b w:val="0"/>
        </w:rPr>
        <w:t>Age and migration</w:t>
      </w:r>
      <w:r w:rsidRPr="00B909C1">
        <w:rPr>
          <w:b w:val="0"/>
        </w:rPr>
        <w:tab/>
      </w:r>
      <w:r w:rsidRPr="00B909C1">
        <w:rPr>
          <w:b w:val="0"/>
        </w:rPr>
        <w:fldChar w:fldCharType="begin"/>
      </w:r>
      <w:r w:rsidRPr="00B909C1">
        <w:rPr>
          <w:b w:val="0"/>
        </w:rPr>
        <w:instrText xml:space="preserve"> PAGEREF _Toc278447941 \h </w:instrText>
      </w:r>
      <w:r w:rsidRPr="00B909C1">
        <w:rPr>
          <w:b w:val="0"/>
        </w:rPr>
      </w:r>
      <w:r w:rsidRPr="00B909C1">
        <w:rPr>
          <w:b w:val="0"/>
        </w:rPr>
        <w:fldChar w:fldCharType="separate"/>
      </w:r>
      <w:r w:rsidR="00EA0B4D">
        <w:rPr>
          <w:b w:val="0"/>
        </w:rPr>
        <w:t>132</w:t>
      </w:r>
      <w:r w:rsidRPr="00B909C1">
        <w:rPr>
          <w:b w:val="0"/>
        </w:rPr>
        <w:fldChar w:fldCharType="end"/>
      </w:r>
    </w:p>
    <w:p w14:paraId="338A90D0"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4 </w:t>
      </w:r>
      <w:r w:rsidRPr="00B909C1">
        <w:rPr>
          <w:rFonts w:asciiTheme="minorHAnsi" w:eastAsiaTheme="minorEastAsia" w:hAnsiTheme="minorHAnsi" w:cstheme="minorBidi"/>
          <w:b w:val="0"/>
          <w:sz w:val="24"/>
          <w:lang w:val="en-US" w:eastAsia="ja-JP"/>
        </w:rPr>
        <w:tab/>
      </w:r>
      <w:r w:rsidRPr="00B909C1">
        <w:rPr>
          <w:b w:val="0"/>
        </w:rPr>
        <w:t>Differences between Stage I and II graduates</w:t>
      </w:r>
      <w:r w:rsidRPr="00B909C1">
        <w:rPr>
          <w:b w:val="0"/>
        </w:rPr>
        <w:tab/>
      </w:r>
      <w:r w:rsidRPr="00B909C1">
        <w:rPr>
          <w:b w:val="0"/>
        </w:rPr>
        <w:fldChar w:fldCharType="begin"/>
      </w:r>
      <w:r w:rsidRPr="00B909C1">
        <w:rPr>
          <w:b w:val="0"/>
        </w:rPr>
        <w:instrText xml:space="preserve"> PAGEREF _Toc278447942 \h </w:instrText>
      </w:r>
      <w:r w:rsidRPr="00B909C1">
        <w:rPr>
          <w:b w:val="0"/>
        </w:rPr>
      </w:r>
      <w:r w:rsidRPr="00B909C1">
        <w:rPr>
          <w:b w:val="0"/>
        </w:rPr>
        <w:fldChar w:fldCharType="separate"/>
      </w:r>
      <w:r w:rsidR="00EA0B4D">
        <w:rPr>
          <w:b w:val="0"/>
        </w:rPr>
        <w:t>132</w:t>
      </w:r>
      <w:r w:rsidRPr="00B909C1">
        <w:rPr>
          <w:b w:val="0"/>
        </w:rPr>
        <w:fldChar w:fldCharType="end"/>
      </w:r>
    </w:p>
    <w:p w14:paraId="65E23841"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5 </w:t>
      </w:r>
      <w:r w:rsidRPr="00B909C1">
        <w:rPr>
          <w:rFonts w:asciiTheme="minorHAnsi" w:eastAsiaTheme="minorEastAsia" w:hAnsiTheme="minorHAnsi" w:cstheme="minorBidi"/>
          <w:b w:val="0"/>
          <w:sz w:val="24"/>
          <w:lang w:val="en-US" w:eastAsia="ja-JP"/>
        </w:rPr>
        <w:tab/>
      </w:r>
      <w:r w:rsidRPr="00B909C1">
        <w:rPr>
          <w:b w:val="0"/>
        </w:rPr>
        <w:t>Reasons given for migration</w:t>
      </w:r>
      <w:r w:rsidRPr="00B909C1">
        <w:rPr>
          <w:b w:val="0"/>
        </w:rPr>
        <w:tab/>
      </w:r>
      <w:r w:rsidRPr="00B909C1">
        <w:rPr>
          <w:b w:val="0"/>
        </w:rPr>
        <w:fldChar w:fldCharType="begin"/>
      </w:r>
      <w:r w:rsidRPr="00B909C1">
        <w:rPr>
          <w:b w:val="0"/>
        </w:rPr>
        <w:instrText xml:space="preserve"> PAGEREF _Toc278447943 \h </w:instrText>
      </w:r>
      <w:r w:rsidRPr="00B909C1">
        <w:rPr>
          <w:b w:val="0"/>
        </w:rPr>
      </w:r>
      <w:r w:rsidRPr="00B909C1">
        <w:rPr>
          <w:b w:val="0"/>
        </w:rPr>
        <w:fldChar w:fldCharType="separate"/>
      </w:r>
      <w:r w:rsidR="00EA0B4D">
        <w:rPr>
          <w:b w:val="0"/>
        </w:rPr>
        <w:t>132</w:t>
      </w:r>
      <w:r w:rsidRPr="00B909C1">
        <w:rPr>
          <w:b w:val="0"/>
        </w:rPr>
        <w:fldChar w:fldCharType="end"/>
      </w:r>
    </w:p>
    <w:p w14:paraId="3294F466"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6 </w:t>
      </w:r>
      <w:r w:rsidRPr="00B909C1">
        <w:rPr>
          <w:rFonts w:asciiTheme="minorHAnsi" w:eastAsiaTheme="minorEastAsia" w:hAnsiTheme="minorHAnsi" w:cstheme="minorBidi"/>
          <w:b w:val="0"/>
          <w:sz w:val="24"/>
          <w:lang w:val="en-US" w:eastAsia="ja-JP"/>
        </w:rPr>
        <w:tab/>
      </w:r>
      <w:r w:rsidRPr="00B909C1">
        <w:rPr>
          <w:b w:val="0"/>
        </w:rPr>
        <w:t>Qualifications of APTC migrants</w:t>
      </w:r>
      <w:r w:rsidRPr="00B909C1">
        <w:rPr>
          <w:b w:val="0"/>
        </w:rPr>
        <w:tab/>
      </w:r>
      <w:r w:rsidRPr="00B909C1">
        <w:rPr>
          <w:b w:val="0"/>
        </w:rPr>
        <w:fldChar w:fldCharType="begin"/>
      </w:r>
      <w:r w:rsidRPr="00B909C1">
        <w:rPr>
          <w:b w:val="0"/>
        </w:rPr>
        <w:instrText xml:space="preserve"> PAGEREF _Toc278447944 \h </w:instrText>
      </w:r>
      <w:r w:rsidRPr="00B909C1">
        <w:rPr>
          <w:b w:val="0"/>
        </w:rPr>
      </w:r>
      <w:r w:rsidRPr="00B909C1">
        <w:rPr>
          <w:b w:val="0"/>
        </w:rPr>
        <w:fldChar w:fldCharType="separate"/>
      </w:r>
      <w:r w:rsidR="00EA0B4D">
        <w:rPr>
          <w:b w:val="0"/>
        </w:rPr>
        <w:t>132</w:t>
      </w:r>
      <w:r w:rsidRPr="00B909C1">
        <w:rPr>
          <w:b w:val="0"/>
        </w:rPr>
        <w:fldChar w:fldCharType="end"/>
      </w:r>
    </w:p>
    <w:p w14:paraId="1770BE48"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7 </w:t>
      </w:r>
      <w:r w:rsidRPr="00B909C1">
        <w:rPr>
          <w:rFonts w:asciiTheme="minorHAnsi" w:eastAsiaTheme="minorEastAsia" w:hAnsiTheme="minorHAnsi" w:cstheme="minorBidi"/>
          <w:b w:val="0"/>
          <w:sz w:val="24"/>
          <w:lang w:val="en-US" w:eastAsia="ja-JP"/>
        </w:rPr>
        <w:tab/>
      </w:r>
      <w:r w:rsidRPr="00B909C1">
        <w:rPr>
          <w:b w:val="0"/>
        </w:rPr>
        <w:t>Is language a barrier to migration?</w:t>
      </w:r>
      <w:r w:rsidRPr="00B909C1">
        <w:rPr>
          <w:b w:val="0"/>
        </w:rPr>
        <w:tab/>
      </w:r>
      <w:r w:rsidRPr="00B909C1">
        <w:rPr>
          <w:b w:val="0"/>
        </w:rPr>
        <w:fldChar w:fldCharType="begin"/>
      </w:r>
      <w:r w:rsidRPr="00B909C1">
        <w:rPr>
          <w:b w:val="0"/>
        </w:rPr>
        <w:instrText xml:space="preserve"> PAGEREF _Toc278447945 \h </w:instrText>
      </w:r>
      <w:r w:rsidRPr="00B909C1">
        <w:rPr>
          <w:b w:val="0"/>
        </w:rPr>
      </w:r>
      <w:r w:rsidRPr="00B909C1">
        <w:rPr>
          <w:b w:val="0"/>
        </w:rPr>
        <w:fldChar w:fldCharType="separate"/>
      </w:r>
      <w:r w:rsidR="00EA0B4D">
        <w:rPr>
          <w:b w:val="0"/>
        </w:rPr>
        <w:t>133</w:t>
      </w:r>
      <w:r w:rsidRPr="00B909C1">
        <w:rPr>
          <w:b w:val="0"/>
        </w:rPr>
        <w:fldChar w:fldCharType="end"/>
      </w:r>
    </w:p>
    <w:p w14:paraId="5B407FBC"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8 </w:t>
      </w:r>
      <w:r w:rsidRPr="00B909C1">
        <w:rPr>
          <w:rFonts w:asciiTheme="minorHAnsi" w:eastAsiaTheme="minorEastAsia" w:hAnsiTheme="minorHAnsi" w:cstheme="minorBidi"/>
          <w:b w:val="0"/>
          <w:sz w:val="24"/>
          <w:lang w:val="en-US" w:eastAsia="ja-JP"/>
        </w:rPr>
        <w:tab/>
      </w:r>
      <w:r w:rsidRPr="00B909C1">
        <w:rPr>
          <w:b w:val="0"/>
        </w:rPr>
        <w:t>What were the major factors influencing APTC graduates choices?</w:t>
      </w:r>
      <w:r w:rsidRPr="00B909C1">
        <w:rPr>
          <w:b w:val="0"/>
        </w:rPr>
        <w:tab/>
      </w:r>
      <w:r w:rsidRPr="00B909C1">
        <w:rPr>
          <w:b w:val="0"/>
        </w:rPr>
        <w:fldChar w:fldCharType="begin"/>
      </w:r>
      <w:r w:rsidRPr="00B909C1">
        <w:rPr>
          <w:b w:val="0"/>
        </w:rPr>
        <w:instrText xml:space="preserve"> PAGEREF _Toc278447946 \h </w:instrText>
      </w:r>
      <w:r w:rsidRPr="00B909C1">
        <w:rPr>
          <w:b w:val="0"/>
        </w:rPr>
      </w:r>
      <w:r w:rsidRPr="00B909C1">
        <w:rPr>
          <w:b w:val="0"/>
        </w:rPr>
        <w:fldChar w:fldCharType="separate"/>
      </w:r>
      <w:r w:rsidR="00EA0B4D">
        <w:rPr>
          <w:b w:val="0"/>
        </w:rPr>
        <w:t>133</w:t>
      </w:r>
      <w:r w:rsidRPr="00B909C1">
        <w:rPr>
          <w:b w:val="0"/>
        </w:rPr>
        <w:fldChar w:fldCharType="end"/>
      </w:r>
    </w:p>
    <w:p w14:paraId="5471363F"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lang w:eastAsia="en-AU"/>
        </w:rPr>
        <w:t xml:space="preserve">9 </w:t>
      </w:r>
      <w:r w:rsidRPr="00B909C1">
        <w:rPr>
          <w:rFonts w:asciiTheme="minorHAnsi" w:eastAsiaTheme="minorEastAsia" w:hAnsiTheme="minorHAnsi" w:cstheme="minorBidi"/>
          <w:b w:val="0"/>
          <w:sz w:val="24"/>
          <w:lang w:val="en-US" w:eastAsia="ja-JP"/>
        </w:rPr>
        <w:tab/>
      </w:r>
      <w:r w:rsidRPr="00B909C1">
        <w:rPr>
          <w:b w:val="0"/>
          <w:lang w:eastAsia="en-AU"/>
        </w:rPr>
        <w:t>Obstacles to migration</w:t>
      </w:r>
      <w:r w:rsidRPr="00B909C1">
        <w:rPr>
          <w:b w:val="0"/>
        </w:rPr>
        <w:tab/>
      </w:r>
      <w:r w:rsidRPr="00B909C1">
        <w:rPr>
          <w:b w:val="0"/>
        </w:rPr>
        <w:fldChar w:fldCharType="begin"/>
      </w:r>
      <w:r w:rsidRPr="00B909C1">
        <w:rPr>
          <w:b w:val="0"/>
        </w:rPr>
        <w:instrText xml:space="preserve"> PAGEREF _Toc278447947 \h </w:instrText>
      </w:r>
      <w:r w:rsidRPr="00B909C1">
        <w:rPr>
          <w:b w:val="0"/>
        </w:rPr>
      </w:r>
      <w:r w:rsidRPr="00B909C1">
        <w:rPr>
          <w:b w:val="0"/>
        </w:rPr>
        <w:fldChar w:fldCharType="separate"/>
      </w:r>
      <w:r w:rsidR="00EA0B4D">
        <w:rPr>
          <w:b w:val="0"/>
        </w:rPr>
        <w:t>134</w:t>
      </w:r>
      <w:r w:rsidRPr="00B909C1">
        <w:rPr>
          <w:b w:val="0"/>
        </w:rPr>
        <w:fldChar w:fldCharType="end"/>
      </w:r>
    </w:p>
    <w:p w14:paraId="163AFEC2"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10 </w:t>
      </w:r>
      <w:r w:rsidRPr="00B909C1">
        <w:rPr>
          <w:rFonts w:asciiTheme="minorHAnsi" w:eastAsiaTheme="minorEastAsia" w:hAnsiTheme="minorHAnsi" w:cstheme="minorBidi"/>
          <w:b w:val="0"/>
          <w:sz w:val="24"/>
          <w:lang w:val="en-US" w:eastAsia="ja-JP"/>
        </w:rPr>
        <w:tab/>
      </w:r>
      <w:r w:rsidRPr="00B909C1">
        <w:rPr>
          <w:b w:val="0"/>
        </w:rPr>
        <w:t>Changes in labour market demand</w:t>
      </w:r>
      <w:r w:rsidRPr="00B909C1">
        <w:rPr>
          <w:b w:val="0"/>
        </w:rPr>
        <w:tab/>
      </w:r>
      <w:r w:rsidRPr="00B909C1">
        <w:rPr>
          <w:b w:val="0"/>
        </w:rPr>
        <w:fldChar w:fldCharType="begin"/>
      </w:r>
      <w:r w:rsidRPr="00B909C1">
        <w:rPr>
          <w:b w:val="0"/>
        </w:rPr>
        <w:instrText xml:space="preserve"> PAGEREF _Toc278447948 \h </w:instrText>
      </w:r>
      <w:r w:rsidRPr="00B909C1">
        <w:rPr>
          <w:b w:val="0"/>
        </w:rPr>
      </w:r>
      <w:r w:rsidRPr="00B909C1">
        <w:rPr>
          <w:b w:val="0"/>
        </w:rPr>
        <w:fldChar w:fldCharType="separate"/>
      </w:r>
      <w:r w:rsidR="00EA0B4D">
        <w:rPr>
          <w:b w:val="0"/>
        </w:rPr>
        <w:t>135</w:t>
      </w:r>
      <w:r w:rsidRPr="00B909C1">
        <w:rPr>
          <w:b w:val="0"/>
        </w:rPr>
        <w:fldChar w:fldCharType="end"/>
      </w:r>
    </w:p>
    <w:p w14:paraId="7B095AE7" w14:textId="7CFAF3A5"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11 </w:t>
      </w:r>
      <w:r w:rsidRPr="00B909C1">
        <w:rPr>
          <w:rFonts w:asciiTheme="minorHAnsi" w:eastAsiaTheme="minorEastAsia" w:hAnsiTheme="minorHAnsi" w:cstheme="minorBidi"/>
          <w:b w:val="0"/>
          <w:sz w:val="24"/>
          <w:lang w:val="en-US" w:eastAsia="ja-JP"/>
        </w:rPr>
        <w:tab/>
      </w:r>
      <w:r w:rsidRPr="00B909C1">
        <w:rPr>
          <w:b w:val="0"/>
        </w:rPr>
        <w:t xml:space="preserve">Supply factors: To what extent does APTC have the institutional capacity to train for </w:t>
      </w:r>
      <w:r w:rsidR="000E416E" w:rsidRPr="00B909C1">
        <w:rPr>
          <w:b w:val="0"/>
        </w:rPr>
        <w:br/>
      </w:r>
      <w:r w:rsidR="000E416E" w:rsidRPr="00B909C1">
        <w:rPr>
          <w:b w:val="0"/>
        </w:rPr>
        <w:tab/>
      </w:r>
      <w:r w:rsidRPr="00B909C1">
        <w:rPr>
          <w:b w:val="0"/>
        </w:rPr>
        <w:t>regional and international markets?</w:t>
      </w:r>
      <w:r w:rsidRPr="00B909C1">
        <w:rPr>
          <w:b w:val="0"/>
        </w:rPr>
        <w:tab/>
      </w:r>
      <w:r w:rsidRPr="00B909C1">
        <w:rPr>
          <w:b w:val="0"/>
        </w:rPr>
        <w:fldChar w:fldCharType="begin"/>
      </w:r>
      <w:r w:rsidRPr="00B909C1">
        <w:rPr>
          <w:b w:val="0"/>
        </w:rPr>
        <w:instrText xml:space="preserve"> PAGEREF _Toc278447952 \h </w:instrText>
      </w:r>
      <w:r w:rsidRPr="00B909C1">
        <w:rPr>
          <w:b w:val="0"/>
        </w:rPr>
      </w:r>
      <w:r w:rsidRPr="00B909C1">
        <w:rPr>
          <w:b w:val="0"/>
        </w:rPr>
        <w:fldChar w:fldCharType="separate"/>
      </w:r>
      <w:r w:rsidR="00EA0B4D">
        <w:rPr>
          <w:b w:val="0"/>
        </w:rPr>
        <w:t>137</w:t>
      </w:r>
      <w:r w:rsidRPr="00B909C1">
        <w:rPr>
          <w:b w:val="0"/>
        </w:rPr>
        <w:fldChar w:fldCharType="end"/>
      </w:r>
    </w:p>
    <w:p w14:paraId="3C3AF94C" w14:textId="42620ABC" w:rsidR="00FC0A14" w:rsidRPr="00B909C1" w:rsidRDefault="00FC0A14" w:rsidP="00B909C1">
      <w:pPr>
        <w:pStyle w:val="TOC1"/>
        <w:spacing w:before="0"/>
        <w:ind w:left="351" w:hanging="351"/>
        <w:rPr>
          <w:rFonts w:asciiTheme="minorHAnsi" w:eastAsiaTheme="minorEastAsia" w:hAnsiTheme="minorHAnsi" w:cstheme="minorBidi"/>
          <w:b w:val="0"/>
          <w:sz w:val="24"/>
          <w:lang w:val="en-US" w:eastAsia="ja-JP"/>
        </w:rPr>
      </w:pPr>
      <w:r w:rsidRPr="00B909C1">
        <w:rPr>
          <w:b w:val="0"/>
        </w:rPr>
        <w:t xml:space="preserve">12 </w:t>
      </w:r>
      <w:r w:rsidRPr="00B909C1">
        <w:rPr>
          <w:rFonts w:asciiTheme="minorHAnsi" w:eastAsiaTheme="minorEastAsia" w:hAnsiTheme="minorHAnsi" w:cstheme="minorBidi"/>
          <w:b w:val="0"/>
          <w:sz w:val="24"/>
          <w:lang w:val="en-US" w:eastAsia="ja-JP"/>
        </w:rPr>
        <w:tab/>
      </w:r>
      <w:r w:rsidRPr="00B909C1">
        <w:rPr>
          <w:b w:val="0"/>
        </w:rPr>
        <w:t xml:space="preserve">To what extent were APTC students and graduates provided information, </w:t>
      </w:r>
      <w:r w:rsidR="000E416E" w:rsidRPr="00B909C1">
        <w:rPr>
          <w:b w:val="0"/>
        </w:rPr>
        <w:br/>
      </w:r>
      <w:r w:rsidRPr="00B909C1">
        <w:rPr>
          <w:b w:val="0"/>
        </w:rPr>
        <w:t>search skills and support for regional and international employment?</w:t>
      </w:r>
      <w:r w:rsidRPr="00B909C1">
        <w:rPr>
          <w:b w:val="0"/>
        </w:rPr>
        <w:tab/>
      </w:r>
      <w:r w:rsidRPr="00B909C1">
        <w:rPr>
          <w:b w:val="0"/>
        </w:rPr>
        <w:fldChar w:fldCharType="begin"/>
      </w:r>
      <w:r w:rsidRPr="00B909C1">
        <w:rPr>
          <w:b w:val="0"/>
        </w:rPr>
        <w:instrText xml:space="preserve"> PAGEREF _Toc278447955 \h </w:instrText>
      </w:r>
      <w:r w:rsidRPr="00B909C1">
        <w:rPr>
          <w:b w:val="0"/>
        </w:rPr>
      </w:r>
      <w:r w:rsidRPr="00B909C1">
        <w:rPr>
          <w:b w:val="0"/>
        </w:rPr>
        <w:fldChar w:fldCharType="separate"/>
      </w:r>
      <w:r w:rsidR="00EA0B4D">
        <w:rPr>
          <w:b w:val="0"/>
        </w:rPr>
        <w:t>138</w:t>
      </w:r>
      <w:r w:rsidRPr="00B909C1">
        <w:rPr>
          <w:b w:val="0"/>
        </w:rPr>
        <w:fldChar w:fldCharType="end"/>
      </w:r>
    </w:p>
    <w:p w14:paraId="3D7AA6C3"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13 </w:t>
      </w:r>
      <w:r w:rsidRPr="00B909C1">
        <w:rPr>
          <w:rFonts w:asciiTheme="minorHAnsi" w:eastAsiaTheme="minorEastAsia" w:hAnsiTheme="minorHAnsi" w:cstheme="minorBidi"/>
          <w:b w:val="0"/>
          <w:sz w:val="24"/>
          <w:lang w:val="en-US" w:eastAsia="ja-JP"/>
        </w:rPr>
        <w:tab/>
      </w:r>
      <w:r w:rsidRPr="00B909C1">
        <w:rPr>
          <w:b w:val="0"/>
        </w:rPr>
        <w:t>Support needed to achieve APTC’s labour mobility objective</w:t>
      </w:r>
      <w:r w:rsidRPr="00B909C1">
        <w:rPr>
          <w:b w:val="0"/>
        </w:rPr>
        <w:tab/>
      </w:r>
      <w:r w:rsidRPr="00B909C1">
        <w:rPr>
          <w:b w:val="0"/>
        </w:rPr>
        <w:fldChar w:fldCharType="begin"/>
      </w:r>
      <w:r w:rsidRPr="00B909C1">
        <w:rPr>
          <w:b w:val="0"/>
        </w:rPr>
        <w:instrText xml:space="preserve"> PAGEREF _Toc278447956 \h </w:instrText>
      </w:r>
      <w:r w:rsidRPr="00B909C1">
        <w:rPr>
          <w:b w:val="0"/>
        </w:rPr>
      </w:r>
      <w:r w:rsidRPr="00B909C1">
        <w:rPr>
          <w:b w:val="0"/>
        </w:rPr>
        <w:fldChar w:fldCharType="separate"/>
      </w:r>
      <w:r w:rsidR="00EA0B4D">
        <w:rPr>
          <w:b w:val="0"/>
        </w:rPr>
        <w:t>139</w:t>
      </w:r>
      <w:r w:rsidRPr="00B909C1">
        <w:rPr>
          <w:b w:val="0"/>
        </w:rPr>
        <w:fldChar w:fldCharType="end"/>
      </w:r>
    </w:p>
    <w:p w14:paraId="255C4BA0"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14 </w:t>
      </w:r>
      <w:r w:rsidRPr="00B909C1">
        <w:rPr>
          <w:rFonts w:asciiTheme="minorHAnsi" w:eastAsiaTheme="minorEastAsia" w:hAnsiTheme="minorHAnsi" w:cstheme="minorBidi"/>
          <w:b w:val="0"/>
          <w:sz w:val="24"/>
          <w:lang w:val="en-US" w:eastAsia="ja-JP"/>
        </w:rPr>
        <w:tab/>
      </w:r>
      <w:r w:rsidRPr="00B909C1">
        <w:rPr>
          <w:b w:val="0"/>
        </w:rPr>
        <w:t>Conclusions</w:t>
      </w:r>
      <w:r w:rsidRPr="00B909C1">
        <w:rPr>
          <w:b w:val="0"/>
        </w:rPr>
        <w:tab/>
      </w:r>
      <w:r w:rsidRPr="00B909C1">
        <w:rPr>
          <w:b w:val="0"/>
        </w:rPr>
        <w:fldChar w:fldCharType="begin"/>
      </w:r>
      <w:r w:rsidRPr="00B909C1">
        <w:rPr>
          <w:b w:val="0"/>
        </w:rPr>
        <w:instrText xml:space="preserve"> PAGEREF _Toc278447957 \h </w:instrText>
      </w:r>
      <w:r w:rsidRPr="00B909C1">
        <w:rPr>
          <w:b w:val="0"/>
        </w:rPr>
      </w:r>
      <w:r w:rsidRPr="00B909C1">
        <w:rPr>
          <w:b w:val="0"/>
        </w:rPr>
        <w:fldChar w:fldCharType="separate"/>
      </w:r>
      <w:r w:rsidR="00EA0B4D">
        <w:rPr>
          <w:b w:val="0"/>
        </w:rPr>
        <w:t>140</w:t>
      </w:r>
      <w:r w:rsidRPr="00B909C1">
        <w:rPr>
          <w:b w:val="0"/>
        </w:rPr>
        <w:fldChar w:fldCharType="end"/>
      </w:r>
    </w:p>
    <w:p w14:paraId="60CE0939" w14:textId="4AEDE8F8" w:rsidR="00FC0A14" w:rsidRPr="00232C69" w:rsidRDefault="004B4F8C" w:rsidP="00441936">
      <w:pPr>
        <w:pStyle w:val="TOC1"/>
        <w:rPr>
          <w:rFonts w:asciiTheme="minorHAnsi" w:eastAsiaTheme="minorEastAsia" w:hAnsiTheme="minorHAnsi" w:cstheme="minorBidi"/>
          <w:sz w:val="24"/>
          <w:lang w:val="en-US" w:eastAsia="ja-JP"/>
        </w:rPr>
      </w:pPr>
      <w:r w:rsidRPr="00232C69">
        <w:br/>
      </w:r>
      <w:r w:rsidR="00FC0A14" w:rsidRPr="00232C69">
        <w:t>Attachment to Annex 7: Identifying</w:t>
      </w:r>
      <w:r w:rsidR="00985789" w:rsidRPr="00232C69">
        <w:t xml:space="preserve"> demand for APTC qualifications</w:t>
      </w:r>
      <w:r w:rsidR="00FC0A14" w:rsidRPr="00232C69">
        <w:tab/>
      </w:r>
      <w:r w:rsidR="00FC0A14" w:rsidRPr="00232C69">
        <w:fldChar w:fldCharType="begin"/>
      </w:r>
      <w:r w:rsidR="00FC0A14" w:rsidRPr="00232C69">
        <w:instrText xml:space="preserve"> PAGEREF _Toc278447958 \h </w:instrText>
      </w:r>
      <w:r w:rsidR="00FC0A14" w:rsidRPr="00232C69">
        <w:fldChar w:fldCharType="separate"/>
      </w:r>
      <w:r w:rsidR="00EA0B4D">
        <w:t>143</w:t>
      </w:r>
      <w:r w:rsidR="00FC0A14" w:rsidRPr="00232C69">
        <w:fldChar w:fldCharType="end"/>
      </w:r>
    </w:p>
    <w:p w14:paraId="5B44B037" w14:textId="658F22B0" w:rsidR="00FC0A14" w:rsidRDefault="00BA3AEB" w:rsidP="00441936">
      <w:pPr>
        <w:pStyle w:val="TOC1"/>
        <w:rPr>
          <w:rFonts w:asciiTheme="minorHAnsi" w:eastAsiaTheme="minorEastAsia" w:hAnsiTheme="minorHAnsi" w:cstheme="minorBidi"/>
          <w:sz w:val="24"/>
          <w:lang w:val="en-US" w:eastAsia="ja-JP"/>
        </w:rPr>
      </w:pPr>
      <w:r w:rsidRPr="000B4116">
        <w:br/>
      </w:r>
      <w:r w:rsidR="00E843A4">
        <w:t>ANNEX 8: IMPACT ON GRADUATES AND EMPLOYERS</w:t>
      </w:r>
      <w:r w:rsidR="00E843A4">
        <w:tab/>
      </w:r>
      <w:r w:rsidR="00FC0A14">
        <w:fldChar w:fldCharType="begin"/>
      </w:r>
      <w:r w:rsidR="00FC0A14">
        <w:instrText xml:space="preserve"> PAGEREF _Toc278447959 \h </w:instrText>
      </w:r>
      <w:r w:rsidR="00FC0A14">
        <w:fldChar w:fldCharType="separate"/>
      </w:r>
      <w:r w:rsidR="00EA0B4D">
        <w:t>145</w:t>
      </w:r>
      <w:r w:rsidR="00FC0A14">
        <w:fldChar w:fldCharType="end"/>
      </w:r>
    </w:p>
    <w:p w14:paraId="75290605"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1</w:t>
      </w:r>
      <w:r w:rsidRPr="00B909C1">
        <w:rPr>
          <w:rFonts w:asciiTheme="minorHAnsi" w:eastAsiaTheme="minorEastAsia" w:hAnsiTheme="minorHAnsi" w:cstheme="minorBidi"/>
          <w:b w:val="0"/>
          <w:sz w:val="24"/>
          <w:lang w:val="en-US" w:eastAsia="ja-JP"/>
        </w:rPr>
        <w:tab/>
      </w:r>
      <w:r w:rsidRPr="00B909C1">
        <w:rPr>
          <w:b w:val="0"/>
        </w:rPr>
        <w:t>Evidence of APTC impact on graduates</w:t>
      </w:r>
      <w:r w:rsidRPr="00B909C1">
        <w:rPr>
          <w:b w:val="0"/>
        </w:rPr>
        <w:tab/>
      </w:r>
      <w:r w:rsidRPr="00B909C1">
        <w:rPr>
          <w:b w:val="0"/>
        </w:rPr>
        <w:fldChar w:fldCharType="begin"/>
      </w:r>
      <w:r w:rsidRPr="00B909C1">
        <w:rPr>
          <w:b w:val="0"/>
        </w:rPr>
        <w:instrText xml:space="preserve"> PAGEREF _Toc278447960 \h </w:instrText>
      </w:r>
      <w:r w:rsidRPr="00B909C1">
        <w:rPr>
          <w:b w:val="0"/>
        </w:rPr>
      </w:r>
      <w:r w:rsidRPr="00B909C1">
        <w:rPr>
          <w:b w:val="0"/>
        </w:rPr>
        <w:fldChar w:fldCharType="separate"/>
      </w:r>
      <w:r w:rsidR="00EA0B4D">
        <w:rPr>
          <w:b w:val="0"/>
        </w:rPr>
        <w:t>146</w:t>
      </w:r>
      <w:r w:rsidRPr="00B909C1">
        <w:rPr>
          <w:b w:val="0"/>
        </w:rPr>
        <w:fldChar w:fldCharType="end"/>
      </w:r>
    </w:p>
    <w:p w14:paraId="41D8D811"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2</w:t>
      </w:r>
      <w:r w:rsidRPr="00B909C1">
        <w:rPr>
          <w:rFonts w:asciiTheme="minorHAnsi" w:eastAsiaTheme="minorEastAsia" w:hAnsiTheme="minorHAnsi" w:cstheme="minorBidi"/>
          <w:b w:val="0"/>
          <w:sz w:val="24"/>
          <w:lang w:val="en-US" w:eastAsia="ja-JP"/>
        </w:rPr>
        <w:tab/>
      </w:r>
      <w:r w:rsidRPr="00B909C1">
        <w:rPr>
          <w:b w:val="0"/>
        </w:rPr>
        <w:t>Employment rates by qualification</w:t>
      </w:r>
      <w:r w:rsidRPr="00B909C1">
        <w:rPr>
          <w:b w:val="0"/>
        </w:rPr>
        <w:tab/>
      </w:r>
      <w:r w:rsidRPr="00B909C1">
        <w:rPr>
          <w:b w:val="0"/>
        </w:rPr>
        <w:fldChar w:fldCharType="begin"/>
      </w:r>
      <w:r w:rsidRPr="00B909C1">
        <w:rPr>
          <w:b w:val="0"/>
        </w:rPr>
        <w:instrText xml:space="preserve"> PAGEREF _Toc278447961 \h </w:instrText>
      </w:r>
      <w:r w:rsidRPr="00B909C1">
        <w:rPr>
          <w:b w:val="0"/>
        </w:rPr>
      </w:r>
      <w:r w:rsidRPr="00B909C1">
        <w:rPr>
          <w:b w:val="0"/>
        </w:rPr>
        <w:fldChar w:fldCharType="separate"/>
      </w:r>
      <w:r w:rsidR="00EA0B4D">
        <w:rPr>
          <w:b w:val="0"/>
        </w:rPr>
        <w:t>146</w:t>
      </w:r>
      <w:r w:rsidRPr="00B909C1">
        <w:rPr>
          <w:b w:val="0"/>
        </w:rPr>
        <w:fldChar w:fldCharType="end"/>
      </w:r>
    </w:p>
    <w:p w14:paraId="290AAD94"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3 </w:t>
      </w:r>
      <w:r w:rsidRPr="00B909C1">
        <w:rPr>
          <w:rFonts w:asciiTheme="minorHAnsi" w:eastAsiaTheme="minorEastAsia" w:hAnsiTheme="minorHAnsi" w:cstheme="minorBidi"/>
          <w:b w:val="0"/>
          <w:sz w:val="24"/>
          <w:lang w:val="en-US" w:eastAsia="ja-JP"/>
        </w:rPr>
        <w:tab/>
      </w:r>
      <w:r w:rsidRPr="00B909C1">
        <w:rPr>
          <w:b w:val="0"/>
        </w:rPr>
        <w:t>Assessing the demand for APTC qualifications</w:t>
      </w:r>
      <w:r w:rsidRPr="00B909C1">
        <w:rPr>
          <w:b w:val="0"/>
        </w:rPr>
        <w:tab/>
      </w:r>
      <w:r w:rsidRPr="00B909C1">
        <w:rPr>
          <w:b w:val="0"/>
        </w:rPr>
        <w:fldChar w:fldCharType="begin"/>
      </w:r>
      <w:r w:rsidRPr="00B909C1">
        <w:rPr>
          <w:b w:val="0"/>
        </w:rPr>
        <w:instrText xml:space="preserve"> PAGEREF _Toc278447963 \h </w:instrText>
      </w:r>
      <w:r w:rsidRPr="00B909C1">
        <w:rPr>
          <w:b w:val="0"/>
        </w:rPr>
      </w:r>
      <w:r w:rsidRPr="00B909C1">
        <w:rPr>
          <w:b w:val="0"/>
        </w:rPr>
        <w:fldChar w:fldCharType="separate"/>
      </w:r>
      <w:r w:rsidR="00EA0B4D">
        <w:rPr>
          <w:b w:val="0"/>
        </w:rPr>
        <w:t>150</w:t>
      </w:r>
      <w:r w:rsidRPr="00B909C1">
        <w:rPr>
          <w:b w:val="0"/>
        </w:rPr>
        <w:fldChar w:fldCharType="end"/>
      </w:r>
    </w:p>
    <w:p w14:paraId="19B1D212"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lang w:eastAsia="en-AU"/>
        </w:rPr>
        <w:t xml:space="preserve">4 </w:t>
      </w:r>
      <w:r w:rsidRPr="00B909C1">
        <w:rPr>
          <w:rFonts w:asciiTheme="minorHAnsi" w:eastAsiaTheme="minorEastAsia" w:hAnsiTheme="minorHAnsi" w:cstheme="minorBidi"/>
          <w:b w:val="0"/>
          <w:sz w:val="24"/>
          <w:lang w:val="en-US" w:eastAsia="ja-JP"/>
        </w:rPr>
        <w:tab/>
      </w:r>
      <w:r w:rsidRPr="00B909C1">
        <w:rPr>
          <w:b w:val="0"/>
          <w:lang w:eastAsia="en-AU"/>
        </w:rPr>
        <w:t>Estimating the demand for APTC graduates</w:t>
      </w:r>
      <w:r w:rsidRPr="00B909C1">
        <w:rPr>
          <w:b w:val="0"/>
        </w:rPr>
        <w:tab/>
      </w:r>
      <w:r w:rsidRPr="00B909C1">
        <w:rPr>
          <w:b w:val="0"/>
        </w:rPr>
        <w:fldChar w:fldCharType="begin"/>
      </w:r>
      <w:r w:rsidRPr="00B909C1">
        <w:rPr>
          <w:b w:val="0"/>
        </w:rPr>
        <w:instrText xml:space="preserve"> PAGEREF _Toc278447964 \h </w:instrText>
      </w:r>
      <w:r w:rsidRPr="00B909C1">
        <w:rPr>
          <w:b w:val="0"/>
        </w:rPr>
      </w:r>
      <w:r w:rsidRPr="00B909C1">
        <w:rPr>
          <w:b w:val="0"/>
        </w:rPr>
        <w:fldChar w:fldCharType="separate"/>
      </w:r>
      <w:r w:rsidR="00EA0B4D">
        <w:rPr>
          <w:b w:val="0"/>
        </w:rPr>
        <w:t>150</w:t>
      </w:r>
      <w:r w:rsidRPr="00B909C1">
        <w:rPr>
          <w:b w:val="0"/>
        </w:rPr>
        <w:fldChar w:fldCharType="end"/>
      </w:r>
    </w:p>
    <w:p w14:paraId="237D496B"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5 </w:t>
      </w:r>
      <w:r w:rsidRPr="00B909C1">
        <w:rPr>
          <w:rFonts w:asciiTheme="minorHAnsi" w:eastAsiaTheme="minorEastAsia" w:hAnsiTheme="minorHAnsi" w:cstheme="minorBidi"/>
          <w:b w:val="0"/>
          <w:sz w:val="24"/>
          <w:lang w:val="en-US" w:eastAsia="ja-JP"/>
        </w:rPr>
        <w:tab/>
      </w:r>
      <w:r w:rsidRPr="00B909C1">
        <w:rPr>
          <w:b w:val="0"/>
        </w:rPr>
        <w:t>Evidence of APTC impact from employers</w:t>
      </w:r>
      <w:r w:rsidRPr="00B909C1">
        <w:rPr>
          <w:b w:val="0"/>
        </w:rPr>
        <w:tab/>
      </w:r>
      <w:r w:rsidRPr="00B909C1">
        <w:rPr>
          <w:b w:val="0"/>
        </w:rPr>
        <w:fldChar w:fldCharType="begin"/>
      </w:r>
      <w:r w:rsidRPr="00B909C1">
        <w:rPr>
          <w:b w:val="0"/>
        </w:rPr>
        <w:instrText xml:space="preserve"> PAGEREF _Toc278447970 \h </w:instrText>
      </w:r>
      <w:r w:rsidRPr="00B909C1">
        <w:rPr>
          <w:b w:val="0"/>
        </w:rPr>
      </w:r>
      <w:r w:rsidRPr="00B909C1">
        <w:rPr>
          <w:b w:val="0"/>
        </w:rPr>
        <w:fldChar w:fldCharType="separate"/>
      </w:r>
      <w:r w:rsidR="00EA0B4D">
        <w:rPr>
          <w:b w:val="0"/>
        </w:rPr>
        <w:t>155</w:t>
      </w:r>
      <w:r w:rsidRPr="00B909C1">
        <w:rPr>
          <w:b w:val="0"/>
        </w:rPr>
        <w:fldChar w:fldCharType="end"/>
      </w:r>
    </w:p>
    <w:p w14:paraId="6050D292"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6 </w:t>
      </w:r>
      <w:r w:rsidRPr="00B909C1">
        <w:rPr>
          <w:rFonts w:asciiTheme="minorHAnsi" w:eastAsiaTheme="minorEastAsia" w:hAnsiTheme="minorHAnsi" w:cstheme="minorBidi"/>
          <w:b w:val="0"/>
          <w:sz w:val="24"/>
          <w:lang w:val="en-US" w:eastAsia="ja-JP"/>
        </w:rPr>
        <w:tab/>
      </w:r>
      <w:r w:rsidRPr="00B909C1">
        <w:rPr>
          <w:b w:val="0"/>
        </w:rPr>
        <w:t>Were APTC graduates hired on the same or different salaries as others?</w:t>
      </w:r>
      <w:r w:rsidRPr="00B909C1">
        <w:rPr>
          <w:b w:val="0"/>
        </w:rPr>
        <w:tab/>
      </w:r>
      <w:r w:rsidRPr="00B909C1">
        <w:rPr>
          <w:b w:val="0"/>
        </w:rPr>
        <w:fldChar w:fldCharType="begin"/>
      </w:r>
      <w:r w:rsidRPr="00B909C1">
        <w:rPr>
          <w:b w:val="0"/>
        </w:rPr>
        <w:instrText xml:space="preserve"> PAGEREF _Toc278447975 \h </w:instrText>
      </w:r>
      <w:r w:rsidRPr="00B909C1">
        <w:rPr>
          <w:b w:val="0"/>
        </w:rPr>
      </w:r>
      <w:r w:rsidRPr="00B909C1">
        <w:rPr>
          <w:b w:val="0"/>
        </w:rPr>
        <w:fldChar w:fldCharType="separate"/>
      </w:r>
      <w:r w:rsidR="00EA0B4D">
        <w:rPr>
          <w:b w:val="0"/>
        </w:rPr>
        <w:t>156</w:t>
      </w:r>
      <w:r w:rsidRPr="00B909C1">
        <w:rPr>
          <w:b w:val="0"/>
        </w:rPr>
        <w:fldChar w:fldCharType="end"/>
      </w:r>
    </w:p>
    <w:p w14:paraId="17AB14FE" w14:textId="65619B53" w:rsidR="00FC0A14" w:rsidRPr="00B909C1" w:rsidRDefault="00FC0A14" w:rsidP="00B909C1">
      <w:pPr>
        <w:pStyle w:val="TOC1"/>
        <w:spacing w:before="0"/>
        <w:ind w:left="351" w:hanging="351"/>
        <w:rPr>
          <w:rFonts w:asciiTheme="minorHAnsi" w:eastAsiaTheme="minorEastAsia" w:hAnsiTheme="minorHAnsi" w:cstheme="minorBidi"/>
          <w:b w:val="0"/>
          <w:sz w:val="24"/>
          <w:lang w:val="en-US" w:eastAsia="ja-JP"/>
        </w:rPr>
      </w:pPr>
      <w:r w:rsidRPr="00B909C1">
        <w:rPr>
          <w:b w:val="0"/>
        </w:rPr>
        <w:t xml:space="preserve">7 </w:t>
      </w:r>
      <w:r w:rsidRPr="00B909C1">
        <w:rPr>
          <w:rFonts w:asciiTheme="minorHAnsi" w:eastAsiaTheme="minorEastAsia" w:hAnsiTheme="minorHAnsi" w:cstheme="minorBidi"/>
          <w:b w:val="0"/>
          <w:sz w:val="24"/>
          <w:lang w:val="en-US" w:eastAsia="ja-JP"/>
        </w:rPr>
        <w:tab/>
      </w:r>
      <w:r w:rsidRPr="00B909C1">
        <w:rPr>
          <w:b w:val="0"/>
        </w:rPr>
        <w:t xml:space="preserve">How productive are APTC graduates compared with others with </w:t>
      </w:r>
      <w:r w:rsidR="007406C2" w:rsidRPr="00B909C1">
        <w:rPr>
          <w:b w:val="0"/>
        </w:rPr>
        <w:br/>
      </w:r>
      <w:r w:rsidRPr="00B909C1">
        <w:rPr>
          <w:b w:val="0"/>
        </w:rPr>
        <w:t>same qualifications?</w:t>
      </w:r>
      <w:r w:rsidRPr="00B909C1">
        <w:rPr>
          <w:b w:val="0"/>
        </w:rPr>
        <w:tab/>
      </w:r>
      <w:r w:rsidRPr="00B909C1">
        <w:rPr>
          <w:b w:val="0"/>
        </w:rPr>
        <w:fldChar w:fldCharType="begin"/>
      </w:r>
      <w:r w:rsidRPr="00B909C1">
        <w:rPr>
          <w:b w:val="0"/>
        </w:rPr>
        <w:instrText xml:space="preserve"> PAGEREF _Toc278447976 \h </w:instrText>
      </w:r>
      <w:r w:rsidRPr="00B909C1">
        <w:rPr>
          <w:b w:val="0"/>
        </w:rPr>
      </w:r>
      <w:r w:rsidRPr="00B909C1">
        <w:rPr>
          <w:b w:val="0"/>
        </w:rPr>
        <w:fldChar w:fldCharType="separate"/>
      </w:r>
      <w:r w:rsidR="00EA0B4D">
        <w:rPr>
          <w:b w:val="0"/>
        </w:rPr>
        <w:t>156</w:t>
      </w:r>
      <w:r w:rsidRPr="00B909C1">
        <w:rPr>
          <w:b w:val="0"/>
        </w:rPr>
        <w:fldChar w:fldCharType="end"/>
      </w:r>
    </w:p>
    <w:p w14:paraId="1951019C"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8 </w:t>
      </w:r>
      <w:r w:rsidRPr="00B909C1">
        <w:rPr>
          <w:rFonts w:asciiTheme="minorHAnsi" w:eastAsiaTheme="minorEastAsia" w:hAnsiTheme="minorHAnsi" w:cstheme="minorBidi"/>
          <w:b w:val="0"/>
          <w:sz w:val="24"/>
          <w:lang w:val="en-US" w:eastAsia="ja-JP"/>
        </w:rPr>
        <w:tab/>
      </w:r>
      <w:r w:rsidRPr="00B909C1">
        <w:rPr>
          <w:b w:val="0"/>
        </w:rPr>
        <w:t>The value to employers of APTC graduates</w:t>
      </w:r>
      <w:r w:rsidRPr="00B909C1">
        <w:rPr>
          <w:b w:val="0"/>
        </w:rPr>
        <w:tab/>
      </w:r>
      <w:r w:rsidRPr="00B909C1">
        <w:rPr>
          <w:b w:val="0"/>
        </w:rPr>
        <w:fldChar w:fldCharType="begin"/>
      </w:r>
      <w:r w:rsidRPr="00B909C1">
        <w:rPr>
          <w:b w:val="0"/>
        </w:rPr>
        <w:instrText xml:space="preserve"> PAGEREF _Toc278447977 \h </w:instrText>
      </w:r>
      <w:r w:rsidRPr="00B909C1">
        <w:rPr>
          <w:b w:val="0"/>
        </w:rPr>
      </w:r>
      <w:r w:rsidRPr="00B909C1">
        <w:rPr>
          <w:b w:val="0"/>
        </w:rPr>
        <w:fldChar w:fldCharType="separate"/>
      </w:r>
      <w:r w:rsidR="00EA0B4D">
        <w:rPr>
          <w:b w:val="0"/>
        </w:rPr>
        <w:t>158</w:t>
      </w:r>
      <w:r w:rsidRPr="00B909C1">
        <w:rPr>
          <w:b w:val="0"/>
        </w:rPr>
        <w:fldChar w:fldCharType="end"/>
      </w:r>
    </w:p>
    <w:p w14:paraId="53B76D07"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9 </w:t>
      </w:r>
      <w:r w:rsidRPr="00B909C1">
        <w:rPr>
          <w:rFonts w:asciiTheme="minorHAnsi" w:eastAsiaTheme="minorEastAsia" w:hAnsiTheme="minorHAnsi" w:cstheme="minorBidi"/>
          <w:b w:val="0"/>
          <w:sz w:val="24"/>
          <w:lang w:val="en-US" w:eastAsia="ja-JP"/>
        </w:rPr>
        <w:tab/>
      </w:r>
      <w:r w:rsidRPr="00B909C1">
        <w:rPr>
          <w:b w:val="0"/>
        </w:rPr>
        <w:t>Conclusions</w:t>
      </w:r>
      <w:r w:rsidRPr="00B909C1">
        <w:rPr>
          <w:b w:val="0"/>
        </w:rPr>
        <w:tab/>
      </w:r>
      <w:r w:rsidRPr="00B909C1">
        <w:rPr>
          <w:b w:val="0"/>
        </w:rPr>
        <w:fldChar w:fldCharType="begin"/>
      </w:r>
      <w:r w:rsidRPr="00B909C1">
        <w:rPr>
          <w:b w:val="0"/>
        </w:rPr>
        <w:instrText xml:space="preserve"> PAGEREF _Toc278447978 \h </w:instrText>
      </w:r>
      <w:r w:rsidRPr="00B909C1">
        <w:rPr>
          <w:b w:val="0"/>
        </w:rPr>
      </w:r>
      <w:r w:rsidRPr="00B909C1">
        <w:rPr>
          <w:b w:val="0"/>
        </w:rPr>
        <w:fldChar w:fldCharType="separate"/>
      </w:r>
      <w:r w:rsidR="00EA0B4D">
        <w:rPr>
          <w:b w:val="0"/>
        </w:rPr>
        <w:t>159</w:t>
      </w:r>
      <w:r w:rsidRPr="00B909C1">
        <w:rPr>
          <w:b w:val="0"/>
        </w:rPr>
        <w:fldChar w:fldCharType="end"/>
      </w:r>
    </w:p>
    <w:p w14:paraId="3EDE7797" w14:textId="5003F8A3" w:rsidR="00FC0A14" w:rsidRPr="00232C69" w:rsidRDefault="004B4F8C" w:rsidP="00441936">
      <w:pPr>
        <w:pStyle w:val="TOC1"/>
        <w:rPr>
          <w:rFonts w:asciiTheme="minorHAnsi" w:eastAsiaTheme="minorEastAsia" w:hAnsiTheme="minorHAnsi" w:cstheme="minorBidi"/>
          <w:sz w:val="24"/>
          <w:lang w:val="en-US" w:eastAsia="ja-JP"/>
        </w:rPr>
      </w:pPr>
      <w:r w:rsidRPr="00232C69">
        <w:br/>
      </w:r>
      <w:r w:rsidR="00FC0A14" w:rsidRPr="00232C69">
        <w:t>Attachment 1 to Annex 8: Program evaluation</w:t>
      </w:r>
      <w:r w:rsidR="00FC0A14" w:rsidRPr="00232C69">
        <w:tab/>
      </w:r>
      <w:r w:rsidR="00FC0A14" w:rsidRPr="00232C69">
        <w:fldChar w:fldCharType="begin"/>
      </w:r>
      <w:r w:rsidR="00FC0A14" w:rsidRPr="00232C69">
        <w:instrText xml:space="preserve"> PAGEREF _Toc278447979 \h </w:instrText>
      </w:r>
      <w:r w:rsidR="00FC0A14" w:rsidRPr="00232C69">
        <w:fldChar w:fldCharType="separate"/>
      </w:r>
      <w:r w:rsidR="00EA0B4D">
        <w:t>161</w:t>
      </w:r>
      <w:r w:rsidR="00FC0A14" w:rsidRPr="00232C69">
        <w:fldChar w:fldCharType="end"/>
      </w:r>
    </w:p>
    <w:p w14:paraId="15261D34" w14:textId="3F32A8D5" w:rsidR="00FC0A14" w:rsidRDefault="00BA3AEB" w:rsidP="00441936">
      <w:pPr>
        <w:pStyle w:val="TOC1"/>
        <w:rPr>
          <w:rFonts w:asciiTheme="minorHAnsi" w:eastAsiaTheme="minorEastAsia" w:hAnsiTheme="minorHAnsi" w:cstheme="minorBidi"/>
          <w:sz w:val="24"/>
          <w:lang w:val="en-US" w:eastAsia="ja-JP"/>
        </w:rPr>
      </w:pPr>
      <w:r>
        <w:br/>
      </w:r>
      <w:r w:rsidR="00E843A4">
        <w:t>ANNEX 9: VALUE FOR MONEY</w:t>
      </w:r>
      <w:r w:rsidR="00E843A4">
        <w:tab/>
      </w:r>
      <w:r w:rsidR="00FC0A14">
        <w:fldChar w:fldCharType="begin"/>
      </w:r>
      <w:r w:rsidR="00FC0A14">
        <w:instrText xml:space="preserve"> PAGEREF _Toc278447983 \h </w:instrText>
      </w:r>
      <w:r w:rsidR="00FC0A14">
        <w:fldChar w:fldCharType="separate"/>
      </w:r>
      <w:r w:rsidR="00EA0B4D">
        <w:t>164</w:t>
      </w:r>
      <w:r w:rsidR="00FC0A14">
        <w:fldChar w:fldCharType="end"/>
      </w:r>
    </w:p>
    <w:p w14:paraId="723B1659"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1</w:t>
      </w:r>
      <w:r w:rsidRPr="00B909C1">
        <w:rPr>
          <w:rFonts w:asciiTheme="minorHAnsi" w:eastAsiaTheme="minorEastAsia" w:hAnsiTheme="minorHAnsi" w:cstheme="minorBidi"/>
          <w:b w:val="0"/>
          <w:sz w:val="24"/>
          <w:lang w:val="en-US" w:eastAsia="ja-JP"/>
        </w:rPr>
        <w:tab/>
      </w:r>
      <w:r w:rsidRPr="00B909C1">
        <w:rPr>
          <w:b w:val="0"/>
        </w:rPr>
        <w:t>Introduction: value for money</w:t>
      </w:r>
      <w:r w:rsidRPr="00B909C1">
        <w:rPr>
          <w:b w:val="0"/>
        </w:rPr>
        <w:tab/>
      </w:r>
      <w:r w:rsidRPr="00B909C1">
        <w:rPr>
          <w:b w:val="0"/>
        </w:rPr>
        <w:fldChar w:fldCharType="begin"/>
      </w:r>
      <w:r w:rsidRPr="00B909C1">
        <w:rPr>
          <w:b w:val="0"/>
        </w:rPr>
        <w:instrText xml:space="preserve"> PAGEREF _Toc278447984 \h </w:instrText>
      </w:r>
      <w:r w:rsidRPr="00B909C1">
        <w:rPr>
          <w:b w:val="0"/>
        </w:rPr>
      </w:r>
      <w:r w:rsidRPr="00B909C1">
        <w:rPr>
          <w:b w:val="0"/>
        </w:rPr>
        <w:fldChar w:fldCharType="separate"/>
      </w:r>
      <w:r w:rsidR="00EA0B4D">
        <w:rPr>
          <w:b w:val="0"/>
        </w:rPr>
        <w:t>167</w:t>
      </w:r>
      <w:r w:rsidRPr="00B909C1">
        <w:rPr>
          <w:b w:val="0"/>
        </w:rPr>
        <w:fldChar w:fldCharType="end"/>
      </w:r>
    </w:p>
    <w:p w14:paraId="5FD558F4"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2</w:t>
      </w:r>
      <w:r w:rsidRPr="00B909C1">
        <w:rPr>
          <w:rFonts w:asciiTheme="minorHAnsi" w:eastAsiaTheme="minorEastAsia" w:hAnsiTheme="minorHAnsi" w:cstheme="minorBidi"/>
          <w:b w:val="0"/>
          <w:sz w:val="24"/>
          <w:lang w:val="en-US" w:eastAsia="ja-JP"/>
        </w:rPr>
        <w:tab/>
      </w:r>
      <w:r w:rsidRPr="00B909C1">
        <w:rPr>
          <w:b w:val="0"/>
        </w:rPr>
        <w:t>Financial and education management information systems</w:t>
      </w:r>
      <w:r w:rsidRPr="00B909C1">
        <w:rPr>
          <w:b w:val="0"/>
        </w:rPr>
        <w:tab/>
      </w:r>
      <w:r w:rsidRPr="00B909C1">
        <w:rPr>
          <w:b w:val="0"/>
        </w:rPr>
        <w:fldChar w:fldCharType="begin"/>
      </w:r>
      <w:r w:rsidRPr="00B909C1">
        <w:rPr>
          <w:b w:val="0"/>
        </w:rPr>
        <w:instrText xml:space="preserve"> PAGEREF _Toc278447985 \h </w:instrText>
      </w:r>
      <w:r w:rsidRPr="00B909C1">
        <w:rPr>
          <w:b w:val="0"/>
        </w:rPr>
      </w:r>
      <w:r w:rsidRPr="00B909C1">
        <w:rPr>
          <w:b w:val="0"/>
        </w:rPr>
        <w:fldChar w:fldCharType="separate"/>
      </w:r>
      <w:r w:rsidR="00EA0B4D">
        <w:rPr>
          <w:b w:val="0"/>
        </w:rPr>
        <w:t>168</w:t>
      </w:r>
      <w:r w:rsidRPr="00B909C1">
        <w:rPr>
          <w:b w:val="0"/>
        </w:rPr>
        <w:fldChar w:fldCharType="end"/>
      </w:r>
    </w:p>
    <w:p w14:paraId="16C275F7"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3</w:t>
      </w:r>
      <w:r w:rsidRPr="00B909C1">
        <w:rPr>
          <w:rFonts w:asciiTheme="minorHAnsi" w:eastAsiaTheme="minorEastAsia" w:hAnsiTheme="minorHAnsi" w:cstheme="minorBidi"/>
          <w:b w:val="0"/>
          <w:sz w:val="24"/>
          <w:lang w:val="en-US" w:eastAsia="ja-JP"/>
        </w:rPr>
        <w:tab/>
      </w:r>
      <w:r w:rsidRPr="00B909C1">
        <w:rPr>
          <w:b w:val="0"/>
        </w:rPr>
        <w:t>Economy of inputs</w:t>
      </w:r>
      <w:r w:rsidRPr="00B909C1">
        <w:rPr>
          <w:b w:val="0"/>
        </w:rPr>
        <w:tab/>
      </w:r>
      <w:r w:rsidRPr="00B909C1">
        <w:rPr>
          <w:b w:val="0"/>
        </w:rPr>
        <w:fldChar w:fldCharType="begin"/>
      </w:r>
      <w:r w:rsidRPr="00B909C1">
        <w:rPr>
          <w:b w:val="0"/>
        </w:rPr>
        <w:instrText xml:space="preserve"> PAGEREF _Toc278447986 \h </w:instrText>
      </w:r>
      <w:r w:rsidRPr="00B909C1">
        <w:rPr>
          <w:b w:val="0"/>
        </w:rPr>
      </w:r>
      <w:r w:rsidRPr="00B909C1">
        <w:rPr>
          <w:b w:val="0"/>
        </w:rPr>
        <w:fldChar w:fldCharType="separate"/>
      </w:r>
      <w:r w:rsidR="00EA0B4D">
        <w:rPr>
          <w:b w:val="0"/>
        </w:rPr>
        <w:t>169</w:t>
      </w:r>
      <w:r w:rsidRPr="00B909C1">
        <w:rPr>
          <w:b w:val="0"/>
        </w:rPr>
        <w:fldChar w:fldCharType="end"/>
      </w:r>
    </w:p>
    <w:p w14:paraId="3D3438BB"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4</w:t>
      </w:r>
      <w:r w:rsidRPr="00B909C1">
        <w:rPr>
          <w:rFonts w:asciiTheme="minorHAnsi" w:eastAsiaTheme="minorEastAsia" w:hAnsiTheme="minorHAnsi" w:cstheme="minorBidi"/>
          <w:b w:val="0"/>
          <w:sz w:val="24"/>
          <w:lang w:val="en-US" w:eastAsia="ja-JP"/>
        </w:rPr>
        <w:tab/>
      </w:r>
      <w:r w:rsidRPr="00B909C1">
        <w:rPr>
          <w:b w:val="0"/>
        </w:rPr>
        <w:t>Cost structure analysis</w:t>
      </w:r>
      <w:r w:rsidRPr="00B909C1">
        <w:rPr>
          <w:b w:val="0"/>
        </w:rPr>
        <w:tab/>
      </w:r>
      <w:r w:rsidRPr="00B909C1">
        <w:rPr>
          <w:b w:val="0"/>
        </w:rPr>
        <w:fldChar w:fldCharType="begin"/>
      </w:r>
      <w:r w:rsidRPr="00B909C1">
        <w:rPr>
          <w:b w:val="0"/>
        </w:rPr>
        <w:instrText xml:space="preserve"> PAGEREF _Toc278447987 \h </w:instrText>
      </w:r>
      <w:r w:rsidRPr="00B909C1">
        <w:rPr>
          <w:b w:val="0"/>
        </w:rPr>
      </w:r>
      <w:r w:rsidRPr="00B909C1">
        <w:rPr>
          <w:b w:val="0"/>
        </w:rPr>
        <w:fldChar w:fldCharType="separate"/>
      </w:r>
      <w:r w:rsidR="00EA0B4D">
        <w:rPr>
          <w:b w:val="0"/>
        </w:rPr>
        <w:t>170</w:t>
      </w:r>
      <w:r w:rsidRPr="00B909C1">
        <w:rPr>
          <w:b w:val="0"/>
        </w:rPr>
        <w:fldChar w:fldCharType="end"/>
      </w:r>
    </w:p>
    <w:p w14:paraId="4EF84065"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5.</w:t>
      </w:r>
      <w:r w:rsidRPr="00B909C1">
        <w:rPr>
          <w:rFonts w:asciiTheme="minorHAnsi" w:eastAsiaTheme="minorEastAsia" w:hAnsiTheme="minorHAnsi" w:cstheme="minorBidi"/>
          <w:b w:val="0"/>
          <w:sz w:val="24"/>
          <w:lang w:val="en-US" w:eastAsia="ja-JP"/>
        </w:rPr>
        <w:tab/>
      </w:r>
      <w:r w:rsidRPr="00B909C1">
        <w:rPr>
          <w:b w:val="0"/>
        </w:rPr>
        <w:t>Cost-benefit analysis</w:t>
      </w:r>
      <w:r w:rsidRPr="00B909C1">
        <w:rPr>
          <w:b w:val="0"/>
        </w:rPr>
        <w:tab/>
      </w:r>
      <w:r w:rsidRPr="00B909C1">
        <w:rPr>
          <w:b w:val="0"/>
        </w:rPr>
        <w:fldChar w:fldCharType="begin"/>
      </w:r>
      <w:r w:rsidRPr="00B909C1">
        <w:rPr>
          <w:b w:val="0"/>
        </w:rPr>
        <w:instrText xml:space="preserve"> PAGEREF _Toc278447993 \h </w:instrText>
      </w:r>
      <w:r w:rsidRPr="00B909C1">
        <w:rPr>
          <w:b w:val="0"/>
        </w:rPr>
      </w:r>
      <w:r w:rsidRPr="00B909C1">
        <w:rPr>
          <w:b w:val="0"/>
        </w:rPr>
        <w:fldChar w:fldCharType="separate"/>
      </w:r>
      <w:r w:rsidR="00EA0B4D">
        <w:rPr>
          <w:b w:val="0"/>
        </w:rPr>
        <w:t>190</w:t>
      </w:r>
      <w:r w:rsidRPr="00B909C1">
        <w:rPr>
          <w:b w:val="0"/>
        </w:rPr>
        <w:fldChar w:fldCharType="end"/>
      </w:r>
    </w:p>
    <w:p w14:paraId="24CB2F6C"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6.</w:t>
      </w:r>
      <w:r w:rsidRPr="00B909C1">
        <w:rPr>
          <w:rFonts w:asciiTheme="minorHAnsi" w:eastAsiaTheme="minorEastAsia" w:hAnsiTheme="minorHAnsi" w:cstheme="minorBidi"/>
          <w:b w:val="0"/>
          <w:sz w:val="24"/>
          <w:lang w:val="en-US" w:eastAsia="ja-JP"/>
        </w:rPr>
        <w:tab/>
      </w:r>
      <w:r w:rsidRPr="00B909C1">
        <w:rPr>
          <w:b w:val="0"/>
        </w:rPr>
        <w:t>Sustainability</w:t>
      </w:r>
      <w:r w:rsidRPr="00B909C1">
        <w:rPr>
          <w:b w:val="0"/>
        </w:rPr>
        <w:tab/>
      </w:r>
      <w:r w:rsidRPr="00B909C1">
        <w:rPr>
          <w:b w:val="0"/>
        </w:rPr>
        <w:fldChar w:fldCharType="begin"/>
      </w:r>
      <w:r w:rsidRPr="00B909C1">
        <w:rPr>
          <w:b w:val="0"/>
        </w:rPr>
        <w:instrText xml:space="preserve"> PAGEREF _Toc278447994 \h </w:instrText>
      </w:r>
      <w:r w:rsidRPr="00B909C1">
        <w:rPr>
          <w:b w:val="0"/>
        </w:rPr>
      </w:r>
      <w:r w:rsidRPr="00B909C1">
        <w:rPr>
          <w:b w:val="0"/>
        </w:rPr>
        <w:fldChar w:fldCharType="separate"/>
      </w:r>
      <w:r w:rsidR="00EA0B4D">
        <w:rPr>
          <w:b w:val="0"/>
        </w:rPr>
        <w:t>198</w:t>
      </w:r>
      <w:r w:rsidRPr="00B909C1">
        <w:rPr>
          <w:b w:val="0"/>
        </w:rPr>
        <w:fldChar w:fldCharType="end"/>
      </w:r>
    </w:p>
    <w:p w14:paraId="21E6F5B6"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7.</w:t>
      </w:r>
      <w:r w:rsidRPr="00B909C1">
        <w:rPr>
          <w:rFonts w:asciiTheme="minorHAnsi" w:eastAsiaTheme="minorEastAsia" w:hAnsiTheme="minorHAnsi" w:cstheme="minorBidi"/>
          <w:b w:val="0"/>
          <w:sz w:val="24"/>
          <w:lang w:val="en-US" w:eastAsia="ja-JP"/>
        </w:rPr>
        <w:tab/>
      </w:r>
      <w:r w:rsidRPr="00B909C1">
        <w:rPr>
          <w:b w:val="0"/>
        </w:rPr>
        <w:t>Concluding remarks</w:t>
      </w:r>
      <w:r w:rsidRPr="00B909C1">
        <w:rPr>
          <w:b w:val="0"/>
        </w:rPr>
        <w:tab/>
      </w:r>
      <w:r w:rsidRPr="00B909C1">
        <w:rPr>
          <w:b w:val="0"/>
        </w:rPr>
        <w:fldChar w:fldCharType="begin"/>
      </w:r>
      <w:r w:rsidRPr="00B909C1">
        <w:rPr>
          <w:b w:val="0"/>
        </w:rPr>
        <w:instrText xml:space="preserve"> PAGEREF _Toc278447995 \h </w:instrText>
      </w:r>
      <w:r w:rsidRPr="00B909C1">
        <w:rPr>
          <w:b w:val="0"/>
        </w:rPr>
      </w:r>
      <w:r w:rsidRPr="00B909C1">
        <w:rPr>
          <w:b w:val="0"/>
        </w:rPr>
        <w:fldChar w:fldCharType="separate"/>
      </w:r>
      <w:r w:rsidR="00EA0B4D">
        <w:rPr>
          <w:b w:val="0"/>
        </w:rPr>
        <w:t>201</w:t>
      </w:r>
      <w:r w:rsidRPr="00B909C1">
        <w:rPr>
          <w:b w:val="0"/>
        </w:rPr>
        <w:fldChar w:fldCharType="end"/>
      </w:r>
    </w:p>
    <w:p w14:paraId="346D18CA"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8.</w:t>
      </w:r>
      <w:r w:rsidRPr="00B909C1">
        <w:rPr>
          <w:rFonts w:asciiTheme="minorHAnsi" w:eastAsiaTheme="minorEastAsia" w:hAnsiTheme="minorHAnsi" w:cstheme="minorBidi"/>
          <w:b w:val="0"/>
          <w:sz w:val="24"/>
          <w:lang w:val="en-US" w:eastAsia="ja-JP"/>
        </w:rPr>
        <w:tab/>
      </w:r>
      <w:r w:rsidRPr="00B909C1">
        <w:rPr>
          <w:b w:val="0"/>
        </w:rPr>
        <w:t>Appendix tables</w:t>
      </w:r>
      <w:r w:rsidRPr="00B909C1">
        <w:rPr>
          <w:b w:val="0"/>
        </w:rPr>
        <w:tab/>
      </w:r>
      <w:r w:rsidRPr="00B909C1">
        <w:rPr>
          <w:b w:val="0"/>
        </w:rPr>
        <w:fldChar w:fldCharType="begin"/>
      </w:r>
      <w:r w:rsidRPr="00B909C1">
        <w:rPr>
          <w:b w:val="0"/>
        </w:rPr>
        <w:instrText xml:space="preserve"> PAGEREF _Toc278447996 \h </w:instrText>
      </w:r>
      <w:r w:rsidRPr="00B909C1">
        <w:rPr>
          <w:b w:val="0"/>
        </w:rPr>
      </w:r>
      <w:r w:rsidRPr="00B909C1">
        <w:rPr>
          <w:b w:val="0"/>
        </w:rPr>
        <w:fldChar w:fldCharType="separate"/>
      </w:r>
      <w:r w:rsidR="00EA0B4D">
        <w:rPr>
          <w:b w:val="0"/>
        </w:rPr>
        <w:t>204</w:t>
      </w:r>
      <w:r w:rsidRPr="00B909C1">
        <w:rPr>
          <w:b w:val="0"/>
        </w:rPr>
        <w:fldChar w:fldCharType="end"/>
      </w:r>
    </w:p>
    <w:p w14:paraId="585CD6C5" w14:textId="1583C6A1" w:rsidR="00FC0A14" w:rsidRDefault="00BA3AEB" w:rsidP="00441936">
      <w:pPr>
        <w:pStyle w:val="TOC1"/>
        <w:rPr>
          <w:rFonts w:asciiTheme="minorHAnsi" w:eastAsiaTheme="minorEastAsia" w:hAnsiTheme="minorHAnsi" w:cstheme="minorBidi"/>
          <w:sz w:val="24"/>
          <w:lang w:val="en-US" w:eastAsia="ja-JP"/>
        </w:rPr>
      </w:pPr>
      <w:r>
        <w:br/>
      </w:r>
      <w:r w:rsidR="00E843A4">
        <w:t>ANNEX 10: FUTURE OF THE APTC</w:t>
      </w:r>
      <w:r w:rsidR="00E843A4">
        <w:tab/>
      </w:r>
      <w:r w:rsidR="00FC0A14">
        <w:fldChar w:fldCharType="begin"/>
      </w:r>
      <w:r w:rsidR="00FC0A14">
        <w:instrText xml:space="preserve"> PAGEREF _Toc278447997 \h </w:instrText>
      </w:r>
      <w:r w:rsidR="00FC0A14">
        <w:fldChar w:fldCharType="separate"/>
      </w:r>
      <w:r w:rsidR="00EA0B4D">
        <w:t>225</w:t>
      </w:r>
      <w:r w:rsidR="00FC0A14">
        <w:fldChar w:fldCharType="end"/>
      </w:r>
    </w:p>
    <w:p w14:paraId="7CA83827"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1</w:t>
      </w:r>
      <w:r w:rsidRPr="00B909C1">
        <w:rPr>
          <w:rFonts w:asciiTheme="minorHAnsi" w:eastAsiaTheme="minorEastAsia" w:hAnsiTheme="minorHAnsi" w:cstheme="minorBidi"/>
          <w:b w:val="0"/>
          <w:sz w:val="24"/>
          <w:lang w:val="en-US" w:eastAsia="ja-JP"/>
        </w:rPr>
        <w:tab/>
      </w:r>
      <w:r w:rsidRPr="00B909C1">
        <w:rPr>
          <w:b w:val="0"/>
        </w:rPr>
        <w:t>Short term: What could be done to strengthen APTC until the end of Stage II?</w:t>
      </w:r>
      <w:r w:rsidRPr="00B909C1">
        <w:rPr>
          <w:b w:val="0"/>
        </w:rPr>
        <w:tab/>
      </w:r>
      <w:r w:rsidRPr="00B909C1">
        <w:rPr>
          <w:b w:val="0"/>
        </w:rPr>
        <w:fldChar w:fldCharType="begin"/>
      </w:r>
      <w:r w:rsidRPr="00B909C1">
        <w:rPr>
          <w:b w:val="0"/>
        </w:rPr>
        <w:instrText xml:space="preserve"> PAGEREF _Toc278447998 \h </w:instrText>
      </w:r>
      <w:r w:rsidRPr="00B909C1">
        <w:rPr>
          <w:b w:val="0"/>
        </w:rPr>
      </w:r>
      <w:r w:rsidRPr="00B909C1">
        <w:rPr>
          <w:b w:val="0"/>
        </w:rPr>
        <w:fldChar w:fldCharType="separate"/>
      </w:r>
      <w:r w:rsidR="00EA0B4D">
        <w:rPr>
          <w:b w:val="0"/>
        </w:rPr>
        <w:t>225</w:t>
      </w:r>
      <w:r w:rsidRPr="00B909C1">
        <w:rPr>
          <w:b w:val="0"/>
        </w:rPr>
        <w:fldChar w:fldCharType="end"/>
      </w:r>
    </w:p>
    <w:p w14:paraId="5295C6E4" w14:textId="26F59AE8"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2 </w:t>
      </w:r>
      <w:r w:rsidRPr="00B909C1">
        <w:rPr>
          <w:rFonts w:asciiTheme="minorHAnsi" w:eastAsiaTheme="minorEastAsia" w:hAnsiTheme="minorHAnsi" w:cstheme="minorBidi"/>
          <w:b w:val="0"/>
          <w:sz w:val="24"/>
          <w:lang w:val="en-US" w:eastAsia="ja-JP"/>
        </w:rPr>
        <w:tab/>
      </w:r>
      <w:r w:rsidRPr="00B909C1">
        <w:rPr>
          <w:b w:val="0"/>
        </w:rPr>
        <w:t xml:space="preserve">Medium to long term: In what form and under what conditions could APTC </w:t>
      </w:r>
      <w:r w:rsidR="005D1494" w:rsidRPr="00B909C1">
        <w:rPr>
          <w:b w:val="0"/>
        </w:rPr>
        <w:br/>
      </w:r>
      <w:r w:rsidRPr="00B909C1">
        <w:rPr>
          <w:b w:val="0"/>
        </w:rPr>
        <w:t>c</w:t>
      </w:r>
      <w:r w:rsidR="00B909C1">
        <w:rPr>
          <w:b w:val="0"/>
        </w:rPr>
        <w:tab/>
      </w:r>
      <w:r w:rsidRPr="00B909C1">
        <w:rPr>
          <w:b w:val="0"/>
        </w:rPr>
        <w:t>ontinue beyond 2015?</w:t>
      </w:r>
      <w:r w:rsidRPr="00B909C1">
        <w:rPr>
          <w:b w:val="0"/>
        </w:rPr>
        <w:tab/>
      </w:r>
      <w:r w:rsidRPr="00B909C1">
        <w:rPr>
          <w:b w:val="0"/>
        </w:rPr>
        <w:fldChar w:fldCharType="begin"/>
      </w:r>
      <w:r w:rsidRPr="00B909C1">
        <w:rPr>
          <w:b w:val="0"/>
        </w:rPr>
        <w:instrText xml:space="preserve"> PAGEREF _Toc278448001 \h </w:instrText>
      </w:r>
      <w:r w:rsidRPr="00B909C1">
        <w:rPr>
          <w:b w:val="0"/>
        </w:rPr>
      </w:r>
      <w:r w:rsidRPr="00B909C1">
        <w:rPr>
          <w:b w:val="0"/>
        </w:rPr>
        <w:fldChar w:fldCharType="separate"/>
      </w:r>
      <w:r w:rsidR="00EA0B4D">
        <w:rPr>
          <w:b w:val="0"/>
        </w:rPr>
        <w:t>226</w:t>
      </w:r>
      <w:r w:rsidRPr="00B909C1">
        <w:rPr>
          <w:b w:val="0"/>
        </w:rPr>
        <w:fldChar w:fldCharType="end"/>
      </w:r>
    </w:p>
    <w:p w14:paraId="41BB35EA"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3 </w:t>
      </w:r>
      <w:r w:rsidRPr="00B909C1">
        <w:rPr>
          <w:rFonts w:asciiTheme="minorHAnsi" w:eastAsiaTheme="minorEastAsia" w:hAnsiTheme="minorHAnsi" w:cstheme="minorBidi"/>
          <w:b w:val="0"/>
          <w:sz w:val="24"/>
          <w:lang w:val="en-US" w:eastAsia="ja-JP"/>
        </w:rPr>
        <w:tab/>
      </w:r>
      <w:r w:rsidRPr="00B909C1">
        <w:rPr>
          <w:b w:val="0"/>
        </w:rPr>
        <w:t>How well does APTC fit within DFAT policies on future aid to  the region?</w:t>
      </w:r>
      <w:r w:rsidRPr="00B909C1">
        <w:rPr>
          <w:b w:val="0"/>
        </w:rPr>
        <w:tab/>
      </w:r>
      <w:r w:rsidRPr="00B909C1">
        <w:rPr>
          <w:b w:val="0"/>
        </w:rPr>
        <w:fldChar w:fldCharType="begin"/>
      </w:r>
      <w:r w:rsidRPr="00B909C1">
        <w:rPr>
          <w:b w:val="0"/>
        </w:rPr>
        <w:instrText xml:space="preserve"> PAGEREF _Toc278448004 \h </w:instrText>
      </w:r>
      <w:r w:rsidRPr="00B909C1">
        <w:rPr>
          <w:b w:val="0"/>
        </w:rPr>
      </w:r>
      <w:r w:rsidRPr="00B909C1">
        <w:rPr>
          <w:b w:val="0"/>
        </w:rPr>
        <w:fldChar w:fldCharType="separate"/>
      </w:r>
      <w:r w:rsidR="00EA0B4D">
        <w:rPr>
          <w:b w:val="0"/>
        </w:rPr>
        <w:t>228</w:t>
      </w:r>
      <w:r w:rsidRPr="00B909C1">
        <w:rPr>
          <w:b w:val="0"/>
        </w:rPr>
        <w:fldChar w:fldCharType="end"/>
      </w:r>
    </w:p>
    <w:p w14:paraId="46101764"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4 </w:t>
      </w:r>
      <w:r w:rsidRPr="00B909C1">
        <w:rPr>
          <w:rFonts w:asciiTheme="minorHAnsi" w:eastAsiaTheme="minorEastAsia" w:hAnsiTheme="minorHAnsi" w:cstheme="minorBidi"/>
          <w:b w:val="0"/>
          <w:sz w:val="24"/>
          <w:lang w:val="en-US" w:eastAsia="ja-JP"/>
        </w:rPr>
        <w:tab/>
      </w:r>
      <w:r w:rsidRPr="00B909C1">
        <w:rPr>
          <w:b w:val="0"/>
        </w:rPr>
        <w:t>What key principles and lessons should guide decisions about the future of APTC?</w:t>
      </w:r>
      <w:r w:rsidRPr="00B909C1">
        <w:rPr>
          <w:b w:val="0"/>
        </w:rPr>
        <w:tab/>
      </w:r>
      <w:r w:rsidRPr="00B909C1">
        <w:rPr>
          <w:b w:val="0"/>
        </w:rPr>
        <w:fldChar w:fldCharType="begin"/>
      </w:r>
      <w:r w:rsidRPr="00B909C1">
        <w:rPr>
          <w:b w:val="0"/>
        </w:rPr>
        <w:instrText xml:space="preserve"> PAGEREF _Toc278448005 \h </w:instrText>
      </w:r>
      <w:r w:rsidRPr="00B909C1">
        <w:rPr>
          <w:b w:val="0"/>
        </w:rPr>
      </w:r>
      <w:r w:rsidRPr="00B909C1">
        <w:rPr>
          <w:b w:val="0"/>
        </w:rPr>
        <w:fldChar w:fldCharType="separate"/>
      </w:r>
      <w:r w:rsidR="00EA0B4D">
        <w:rPr>
          <w:b w:val="0"/>
        </w:rPr>
        <w:t>230</w:t>
      </w:r>
      <w:r w:rsidRPr="00B909C1">
        <w:rPr>
          <w:b w:val="0"/>
        </w:rPr>
        <w:fldChar w:fldCharType="end"/>
      </w:r>
    </w:p>
    <w:p w14:paraId="725E38CF" w14:textId="77777777" w:rsidR="00FC0A14" w:rsidRPr="00B909C1" w:rsidRDefault="00FC0A14" w:rsidP="00B909C1">
      <w:pPr>
        <w:pStyle w:val="TOC1"/>
        <w:spacing w:before="0"/>
        <w:rPr>
          <w:rFonts w:asciiTheme="minorHAnsi" w:eastAsiaTheme="minorEastAsia" w:hAnsiTheme="minorHAnsi" w:cstheme="minorBidi"/>
          <w:b w:val="0"/>
          <w:sz w:val="24"/>
          <w:lang w:val="en-US" w:eastAsia="ja-JP"/>
        </w:rPr>
      </w:pPr>
      <w:r w:rsidRPr="00B909C1">
        <w:rPr>
          <w:b w:val="0"/>
        </w:rPr>
        <w:t xml:space="preserve">5 </w:t>
      </w:r>
      <w:r w:rsidRPr="00B909C1">
        <w:rPr>
          <w:rFonts w:asciiTheme="minorHAnsi" w:eastAsiaTheme="minorEastAsia" w:hAnsiTheme="minorHAnsi" w:cstheme="minorBidi"/>
          <w:b w:val="0"/>
          <w:sz w:val="24"/>
          <w:lang w:val="en-US" w:eastAsia="ja-JP"/>
        </w:rPr>
        <w:tab/>
      </w:r>
      <w:r w:rsidRPr="00B909C1">
        <w:rPr>
          <w:b w:val="0"/>
        </w:rPr>
        <w:t>What would success look like in the long term for APTC?</w:t>
      </w:r>
      <w:r w:rsidRPr="00B909C1">
        <w:rPr>
          <w:b w:val="0"/>
        </w:rPr>
        <w:tab/>
      </w:r>
      <w:r w:rsidRPr="00B909C1">
        <w:rPr>
          <w:b w:val="0"/>
        </w:rPr>
        <w:fldChar w:fldCharType="begin"/>
      </w:r>
      <w:r w:rsidRPr="00B909C1">
        <w:rPr>
          <w:b w:val="0"/>
        </w:rPr>
        <w:instrText xml:space="preserve"> PAGEREF _Toc278448006 \h </w:instrText>
      </w:r>
      <w:r w:rsidRPr="00B909C1">
        <w:rPr>
          <w:b w:val="0"/>
        </w:rPr>
      </w:r>
      <w:r w:rsidRPr="00B909C1">
        <w:rPr>
          <w:b w:val="0"/>
        </w:rPr>
        <w:fldChar w:fldCharType="separate"/>
      </w:r>
      <w:r w:rsidR="00EA0B4D">
        <w:rPr>
          <w:b w:val="0"/>
        </w:rPr>
        <w:t>233</w:t>
      </w:r>
      <w:r w:rsidRPr="00B909C1">
        <w:rPr>
          <w:b w:val="0"/>
        </w:rPr>
        <w:fldChar w:fldCharType="end"/>
      </w:r>
    </w:p>
    <w:p w14:paraId="2239177C" w14:textId="7B67BA65" w:rsidR="00FC0A14" w:rsidRDefault="00BA3AEB" w:rsidP="00441936">
      <w:pPr>
        <w:pStyle w:val="TOC1"/>
        <w:rPr>
          <w:rFonts w:asciiTheme="minorHAnsi" w:eastAsiaTheme="minorEastAsia" w:hAnsiTheme="minorHAnsi" w:cstheme="minorBidi"/>
          <w:sz w:val="24"/>
          <w:lang w:val="en-US" w:eastAsia="ja-JP"/>
        </w:rPr>
      </w:pPr>
      <w:r>
        <w:br/>
      </w:r>
      <w:r w:rsidR="00FC0A14">
        <w:t>REFERENCES</w:t>
      </w:r>
      <w:r w:rsidR="00FC0A14">
        <w:tab/>
      </w:r>
      <w:r w:rsidR="00FC0A14">
        <w:fldChar w:fldCharType="begin"/>
      </w:r>
      <w:r w:rsidR="00FC0A14">
        <w:instrText xml:space="preserve"> PAGEREF _Toc278448008 \h </w:instrText>
      </w:r>
      <w:r w:rsidR="00FC0A14">
        <w:fldChar w:fldCharType="separate"/>
      </w:r>
      <w:r w:rsidR="00EA0B4D">
        <w:t>239</w:t>
      </w:r>
      <w:r w:rsidR="00FC0A14">
        <w:fldChar w:fldCharType="end"/>
      </w:r>
    </w:p>
    <w:p w14:paraId="6BE84EA0" w14:textId="77777777" w:rsidR="00620740" w:rsidRPr="00363DC1" w:rsidRDefault="00546F37" w:rsidP="00620740">
      <w:pPr>
        <w:tabs>
          <w:tab w:val="right" w:leader="dot" w:pos="8505"/>
        </w:tabs>
        <w:rPr>
          <w:rFonts w:cs="Arial"/>
          <w:color w:val="000000"/>
          <w:sz w:val="20"/>
          <w:szCs w:val="22"/>
        </w:rPr>
      </w:pPr>
      <w:r w:rsidRPr="00FF51CD">
        <w:rPr>
          <w:rFonts w:cs="Arial"/>
          <w:sz w:val="20"/>
          <w:szCs w:val="20"/>
        </w:rPr>
        <w:fldChar w:fldCharType="end"/>
      </w:r>
    </w:p>
    <w:p w14:paraId="12065516" w14:textId="77777777" w:rsidR="00205707" w:rsidRDefault="00205707" w:rsidP="002028A6">
      <w:pPr>
        <w:pStyle w:val="Heading1"/>
        <w:sectPr w:rsidR="00205707" w:rsidSect="00EF7E8E">
          <w:type w:val="continuous"/>
          <w:pgSz w:w="11901" w:h="16834"/>
          <w:pgMar w:top="1440" w:right="1701" w:bottom="1440" w:left="1701" w:header="709" w:footer="709" w:gutter="0"/>
          <w:cols w:space="708"/>
          <w:titlePg/>
          <w:docGrid w:linePitch="326"/>
        </w:sectPr>
      </w:pPr>
    </w:p>
    <w:p w14:paraId="4D6D81D4" w14:textId="77777777" w:rsidR="005904E4" w:rsidRDefault="005904E4">
      <w:pPr>
        <w:spacing w:after="0"/>
        <w:rPr>
          <w:rFonts w:cs="Arial"/>
          <w:b/>
          <w:bCs/>
          <w:color w:val="76923C"/>
          <w:sz w:val="24"/>
          <w:szCs w:val="28"/>
        </w:rPr>
      </w:pPr>
      <w:r>
        <w:lastRenderedPageBreak/>
        <w:br w:type="page"/>
      </w:r>
    </w:p>
    <w:p w14:paraId="66CCD070" w14:textId="63D85098" w:rsidR="00620740" w:rsidRPr="0031701A" w:rsidRDefault="00C0631E" w:rsidP="005061C5">
      <w:pPr>
        <w:pStyle w:val="Heading1"/>
        <w:ind w:left="0" w:firstLine="0"/>
      </w:pPr>
      <w:bookmarkStart w:id="8" w:name="_Toc278447811"/>
      <w:bookmarkStart w:id="9" w:name="_Toc278453284"/>
      <w:r w:rsidRPr="0031701A">
        <w:lastRenderedPageBreak/>
        <w:t>ANNEX 1: TERMS OF REFERENCE</w:t>
      </w:r>
      <w:bookmarkEnd w:id="8"/>
      <w:bookmarkEnd w:id="9"/>
    </w:p>
    <w:p w14:paraId="5A65519F" w14:textId="77777777" w:rsidR="00253003" w:rsidRPr="00253003" w:rsidRDefault="00253003" w:rsidP="00253003">
      <w:pPr>
        <w:jc w:val="center"/>
        <w:rPr>
          <w:rFonts w:cs="Arial"/>
          <w:b/>
          <w:szCs w:val="22"/>
          <w:lang w:val="en-GB"/>
        </w:rPr>
      </w:pPr>
      <w:r w:rsidRPr="00253003">
        <w:rPr>
          <w:rFonts w:cs="Arial"/>
          <w:b/>
          <w:szCs w:val="22"/>
          <w:lang w:val="en-GB"/>
        </w:rPr>
        <w:t>Independent Evaluation, Australia</w:t>
      </w:r>
      <w:r w:rsidR="0031701A">
        <w:rPr>
          <w:rFonts w:cs="Arial"/>
          <w:b/>
          <w:szCs w:val="22"/>
          <w:lang w:val="en-GB"/>
        </w:rPr>
        <w:t>–</w:t>
      </w:r>
      <w:r w:rsidRPr="00253003">
        <w:rPr>
          <w:rFonts w:cs="Arial"/>
          <w:b/>
          <w:szCs w:val="22"/>
          <w:lang w:val="en-GB"/>
        </w:rPr>
        <w:t>Pacific Technical College Program</w:t>
      </w:r>
    </w:p>
    <w:p w14:paraId="7BF9210B" w14:textId="77777777" w:rsidR="00253003" w:rsidRPr="0031701A" w:rsidRDefault="00253003" w:rsidP="0031701A">
      <w:pPr>
        <w:jc w:val="center"/>
        <w:rPr>
          <w:rFonts w:cs="Arial"/>
          <w:b/>
          <w:szCs w:val="22"/>
          <w:lang w:val="en-GB"/>
        </w:rPr>
      </w:pPr>
      <w:r w:rsidRPr="00253003">
        <w:rPr>
          <w:rFonts w:cs="Arial"/>
          <w:b/>
          <w:szCs w:val="22"/>
          <w:lang w:val="en-GB"/>
        </w:rPr>
        <w:t>October 2013</w:t>
      </w:r>
    </w:p>
    <w:p w14:paraId="1F758C7F" w14:textId="14D7C205" w:rsidR="00253003" w:rsidRPr="00253003" w:rsidRDefault="007324D7" w:rsidP="002028A6">
      <w:pPr>
        <w:pStyle w:val="Heading1"/>
        <w:rPr>
          <w:lang w:val="en-GB"/>
        </w:rPr>
      </w:pPr>
      <w:bookmarkStart w:id="10" w:name="_Toc278447812"/>
      <w:bookmarkStart w:id="11" w:name="_Toc278453285"/>
      <w:r>
        <w:rPr>
          <w:rFonts w:eastAsia="Calibri"/>
          <w:lang w:val="en-GB"/>
        </w:rPr>
        <w:t>1</w:t>
      </w:r>
      <w:r>
        <w:rPr>
          <w:rFonts w:eastAsia="Calibri"/>
          <w:lang w:val="en-GB"/>
        </w:rPr>
        <w:tab/>
      </w:r>
      <w:r w:rsidR="00253003" w:rsidRPr="00253003">
        <w:rPr>
          <w:rFonts w:eastAsia="Calibri"/>
          <w:lang w:val="en-GB"/>
        </w:rPr>
        <w:t>Background and orientation to the evaluation</w:t>
      </w:r>
      <w:bookmarkEnd w:id="10"/>
      <w:bookmarkEnd w:id="11"/>
    </w:p>
    <w:p w14:paraId="7B9BB462" w14:textId="5EBA54F0" w:rsidR="00253003" w:rsidRPr="00253003" w:rsidRDefault="00D46A79" w:rsidP="002028A6">
      <w:pPr>
        <w:pStyle w:val="Heading2"/>
        <w:rPr>
          <w:lang w:val="en-GB"/>
        </w:rPr>
      </w:pPr>
      <w:bookmarkStart w:id="12" w:name="_Toc274071590"/>
      <w:bookmarkStart w:id="13" w:name="_Toc274145028"/>
      <w:bookmarkStart w:id="14" w:name="_Toc274900420"/>
      <w:bookmarkStart w:id="15" w:name="_Toc274908107"/>
      <w:bookmarkStart w:id="16" w:name="_Toc274909798"/>
      <w:bookmarkStart w:id="17" w:name="_Toc278447813"/>
      <w:bookmarkStart w:id="18" w:name="_Toc278453286"/>
      <w:r>
        <w:rPr>
          <w:lang w:val="en-GB"/>
        </w:rPr>
        <w:t>1.1</w:t>
      </w:r>
      <w:r>
        <w:rPr>
          <w:lang w:val="en-GB"/>
        </w:rPr>
        <w:tab/>
      </w:r>
      <w:r w:rsidR="00253003" w:rsidRPr="00253003">
        <w:rPr>
          <w:lang w:val="en-GB"/>
        </w:rPr>
        <w:t>Brief orientation to the APTC Program</w:t>
      </w:r>
      <w:bookmarkEnd w:id="12"/>
      <w:bookmarkEnd w:id="13"/>
      <w:bookmarkEnd w:id="14"/>
      <w:bookmarkEnd w:id="15"/>
      <w:bookmarkEnd w:id="16"/>
      <w:bookmarkEnd w:id="17"/>
      <w:bookmarkEnd w:id="18"/>
    </w:p>
    <w:p w14:paraId="1F64020C" w14:textId="77777777" w:rsidR="00253003" w:rsidRPr="00253003" w:rsidRDefault="00253003" w:rsidP="00253003">
      <w:pPr>
        <w:rPr>
          <w:rFonts w:cs="Arial"/>
          <w:szCs w:val="22"/>
          <w:lang w:val="en-GB"/>
        </w:rPr>
      </w:pPr>
      <w:r w:rsidRPr="00253003">
        <w:rPr>
          <w:rFonts w:cs="Arial"/>
          <w:szCs w:val="22"/>
          <w:lang w:val="en-GB"/>
        </w:rPr>
        <w:t xml:space="preserve">The Pacific faces high levels of unemployment, and skills shortages, exacerbated by the youth bulge. </w:t>
      </w:r>
    </w:p>
    <w:p w14:paraId="5AAF564E" w14:textId="14FA8529" w:rsidR="00253003" w:rsidRPr="00253003" w:rsidRDefault="00253003" w:rsidP="00253003">
      <w:pPr>
        <w:rPr>
          <w:rFonts w:cs="Arial"/>
          <w:szCs w:val="22"/>
          <w:lang w:val="en-GB"/>
        </w:rPr>
      </w:pPr>
      <w:r w:rsidRPr="00253003">
        <w:rPr>
          <w:rFonts w:cs="Arial"/>
          <w:szCs w:val="22"/>
          <w:lang w:val="en-GB"/>
        </w:rPr>
        <w:t>In its 2008 publication</w:t>
      </w:r>
      <w:r w:rsidR="009012D3">
        <w:rPr>
          <w:rFonts w:cs="Arial"/>
          <w:szCs w:val="22"/>
          <w:lang w:val="en-GB"/>
        </w:rPr>
        <w:t xml:space="preserve">, </w:t>
      </w:r>
      <w:r w:rsidRPr="001A0B56">
        <w:rPr>
          <w:rFonts w:cs="Arial"/>
          <w:i/>
          <w:szCs w:val="22"/>
          <w:lang w:val="en-GB"/>
        </w:rPr>
        <w:t>Skilling the Pacific</w:t>
      </w:r>
      <w:r w:rsidRPr="00253003">
        <w:rPr>
          <w:rFonts w:cs="Arial"/>
          <w:szCs w:val="22"/>
          <w:lang w:val="en-GB"/>
        </w:rPr>
        <w:t>, the Asian Developm</w:t>
      </w:r>
      <w:r w:rsidR="00470192">
        <w:rPr>
          <w:rFonts w:cs="Arial"/>
          <w:szCs w:val="22"/>
          <w:lang w:val="en-GB"/>
        </w:rPr>
        <w:t>ent Bank asserts that:</w:t>
      </w:r>
    </w:p>
    <w:p w14:paraId="138EE746" w14:textId="66F21BA5" w:rsidR="00253003" w:rsidRPr="00253003" w:rsidRDefault="00253003" w:rsidP="00470192">
      <w:pPr>
        <w:ind w:left="720"/>
        <w:rPr>
          <w:rFonts w:cs="Arial"/>
          <w:szCs w:val="22"/>
          <w:lang w:val="en-GB"/>
        </w:rPr>
      </w:pPr>
      <w:r w:rsidRPr="00253003">
        <w:rPr>
          <w:rFonts w:cs="Arial"/>
          <w:szCs w:val="22"/>
          <w:lang w:val="en-GB"/>
        </w:rPr>
        <w:t>Skills development is becoming a priority for countries in the Pacific, fuelled in part by the surging numbers of youth who have completed formal schooling yet lack the practical skills that are useful in the labour market. Skills formation has also become a priority in countries of the Pacific where job growth and emigratio</w:t>
      </w:r>
      <w:r w:rsidR="00470192">
        <w:rPr>
          <w:rFonts w:cs="Arial"/>
          <w:szCs w:val="22"/>
          <w:lang w:val="en-GB"/>
        </w:rPr>
        <w:t>n have created skills shortages.</w:t>
      </w:r>
      <w:r w:rsidRPr="00253003">
        <w:rPr>
          <w:rFonts w:cs="Arial"/>
          <w:szCs w:val="22"/>
          <w:lang w:val="en-GB"/>
        </w:rPr>
        <w:t xml:space="preserve"> (p. xvii) </w:t>
      </w:r>
    </w:p>
    <w:p w14:paraId="6C4B2259" w14:textId="77777777" w:rsidR="00253003" w:rsidRPr="00253003" w:rsidRDefault="00253003" w:rsidP="00253003">
      <w:pPr>
        <w:rPr>
          <w:rFonts w:cs="Arial"/>
          <w:szCs w:val="22"/>
          <w:lang w:val="en-GB"/>
        </w:rPr>
      </w:pPr>
      <w:r w:rsidRPr="00253003">
        <w:rPr>
          <w:rFonts w:cs="Arial"/>
          <w:szCs w:val="22"/>
          <w:lang w:val="en-GB"/>
        </w:rPr>
        <w:t xml:space="preserve">In addition, Technical, Vocational Education and Training (TVET) in most Pacific countries has not received the same priority from governments and donors as primary (and higher) education. It has also often not been ‘valued’ as highly by parents, students and employers. Pacific technical institutions often receive inadequate capital or recurrent budget support. As a result, many are rundown, function with out-dated or inoperable equipment and facilities, their teachers often lack recent industry experience and qualifications, and students often receive little or no workplace experience or assessment. </w:t>
      </w:r>
    </w:p>
    <w:p w14:paraId="197199D5" w14:textId="47D5081E" w:rsidR="00253003" w:rsidRPr="00253003" w:rsidRDefault="00253003" w:rsidP="00253003">
      <w:pPr>
        <w:rPr>
          <w:rFonts w:cs="Arial"/>
          <w:szCs w:val="22"/>
          <w:lang w:val="en-GB"/>
        </w:rPr>
      </w:pPr>
      <w:r w:rsidRPr="00253003">
        <w:rPr>
          <w:rFonts w:cs="Arial"/>
          <w:szCs w:val="22"/>
          <w:lang w:val="en-GB"/>
        </w:rPr>
        <w:t xml:space="preserve">Few </w:t>
      </w:r>
      <w:r w:rsidR="00470192">
        <w:rPr>
          <w:rFonts w:cs="Arial"/>
          <w:szCs w:val="22"/>
        </w:rPr>
        <w:t xml:space="preserve">Pacific Island </w:t>
      </w:r>
      <w:r w:rsidR="00D22D3E">
        <w:rPr>
          <w:rFonts w:cs="Arial"/>
          <w:szCs w:val="22"/>
        </w:rPr>
        <w:t>c</w:t>
      </w:r>
      <w:r w:rsidR="00470192">
        <w:rPr>
          <w:rFonts w:cs="Arial"/>
          <w:szCs w:val="22"/>
        </w:rPr>
        <w:t>ountries</w:t>
      </w:r>
      <w:r w:rsidRPr="00253003">
        <w:rPr>
          <w:rFonts w:cs="Arial"/>
          <w:szCs w:val="22"/>
          <w:lang w:val="en-GB"/>
        </w:rPr>
        <w:t xml:space="preserve"> have clear strategies, long-term plans or resources available to establish effective skills development systems. Quality-assured national skill standards or externally recognised qualifications are rare. Available training tends to be supply-driven and often of low or variable quality. Access to skills development is uneven and favours males in urban areas. With few exceptions, employer inputs to the direction, content, quality or financing of the skills development system are minimal. </w:t>
      </w:r>
    </w:p>
    <w:p w14:paraId="362750A1" w14:textId="77777777" w:rsidR="00253003" w:rsidRPr="00253003" w:rsidRDefault="00253003" w:rsidP="00253003">
      <w:pPr>
        <w:rPr>
          <w:rFonts w:cs="Arial"/>
          <w:szCs w:val="22"/>
        </w:rPr>
      </w:pPr>
      <w:r w:rsidRPr="00253003">
        <w:rPr>
          <w:rFonts w:cs="Arial"/>
          <w:szCs w:val="22"/>
        </w:rPr>
        <w:t>The Australia</w:t>
      </w:r>
      <w:r w:rsidR="00E73084">
        <w:rPr>
          <w:rFonts w:cs="Arial"/>
          <w:szCs w:val="22"/>
        </w:rPr>
        <w:t>–</w:t>
      </w:r>
      <w:r w:rsidRPr="00253003">
        <w:rPr>
          <w:rFonts w:cs="Arial"/>
          <w:szCs w:val="22"/>
        </w:rPr>
        <w:t xml:space="preserve">Pacific Technical College (APTC) is a development program delivering internationally recognised Australian qualifications in targeted industry sectors in the Pacific region. The APTC delivers a range of Australian Certificate III, IV and Diploma level training according to industry demand, including in the automotive, manufacturing, construction and electrical, tourism, hospitality, health and community sectors, designed to meet labour market needs. </w:t>
      </w:r>
    </w:p>
    <w:p w14:paraId="1D4CF892" w14:textId="0BD00AB3" w:rsidR="00253003" w:rsidRPr="00253003" w:rsidRDefault="00253003" w:rsidP="00253003">
      <w:pPr>
        <w:rPr>
          <w:rFonts w:cs="Arial"/>
          <w:szCs w:val="22"/>
        </w:rPr>
      </w:pPr>
      <w:r w:rsidRPr="00253003">
        <w:rPr>
          <w:rFonts w:cs="Arial"/>
          <w:szCs w:val="22"/>
        </w:rPr>
        <w:t xml:space="preserve">The APTC enrols adult students from 14 Pacific Island Countries (PIC) into existing campuses in Fiji, PNG, Samoa and Vanuatu, and a new Solomon Islands campus which commenced </w:t>
      </w:r>
      <w:r w:rsidR="00470192">
        <w:rPr>
          <w:rFonts w:cs="Arial"/>
          <w:szCs w:val="22"/>
        </w:rPr>
        <w:t xml:space="preserve">delivery in </w:t>
      </w:r>
      <w:r w:rsidR="00D22D3E">
        <w:rPr>
          <w:rFonts w:cs="Arial"/>
          <w:szCs w:val="22"/>
        </w:rPr>
        <w:t>s</w:t>
      </w:r>
      <w:r w:rsidR="00470192">
        <w:rPr>
          <w:rFonts w:cs="Arial"/>
          <w:szCs w:val="22"/>
        </w:rPr>
        <w:t>emester two</w:t>
      </w:r>
      <w:r w:rsidR="00D22D3E">
        <w:rPr>
          <w:rFonts w:cs="Arial"/>
          <w:szCs w:val="22"/>
        </w:rPr>
        <w:t>,</w:t>
      </w:r>
      <w:r w:rsidR="00470192">
        <w:rPr>
          <w:rFonts w:cs="Arial"/>
          <w:szCs w:val="22"/>
        </w:rPr>
        <w:t xml:space="preserve"> 2013. </w:t>
      </w:r>
      <w:r w:rsidRPr="00253003">
        <w:rPr>
          <w:rFonts w:cs="Arial"/>
          <w:szCs w:val="22"/>
        </w:rPr>
        <w:t>The APTC exists in the campus countries through partnerships with relevant government, ind</w:t>
      </w:r>
      <w:r w:rsidR="00D22D3E">
        <w:rPr>
          <w:rFonts w:cs="Arial"/>
          <w:szCs w:val="22"/>
        </w:rPr>
        <w:t>ustry bodies and national TVET i</w:t>
      </w:r>
      <w:r w:rsidRPr="00253003">
        <w:rPr>
          <w:rFonts w:cs="Arial"/>
          <w:szCs w:val="22"/>
        </w:rPr>
        <w:t>nstitutions to facilitate competency-based training and assessment activities in the workplace, reducing reliance on the a</w:t>
      </w:r>
      <w:r w:rsidR="00470192">
        <w:rPr>
          <w:rFonts w:cs="Arial"/>
          <w:szCs w:val="22"/>
        </w:rPr>
        <w:t xml:space="preserve">cquisition of physical assets. </w:t>
      </w:r>
      <w:r w:rsidRPr="00253003">
        <w:rPr>
          <w:rFonts w:cs="Arial"/>
          <w:szCs w:val="22"/>
        </w:rPr>
        <w:t>These partnerships help ensure that APTC is able to offer training that is relevant, connected and responsive to Pacific</w:t>
      </w:r>
      <w:r w:rsidR="00470192">
        <w:rPr>
          <w:rFonts w:cs="Arial"/>
          <w:szCs w:val="22"/>
        </w:rPr>
        <w:t xml:space="preserve"> Island industry requirements. </w:t>
      </w:r>
      <w:r w:rsidRPr="00253003">
        <w:rPr>
          <w:rFonts w:cs="Arial"/>
          <w:szCs w:val="22"/>
        </w:rPr>
        <w:t xml:space="preserve">APTC first commenced operations in June 2007 with </w:t>
      </w:r>
      <w:r w:rsidR="00470192">
        <w:rPr>
          <w:rFonts w:cs="Arial"/>
          <w:szCs w:val="22"/>
        </w:rPr>
        <w:t>AUD149.5</w:t>
      </w:r>
      <w:r w:rsidR="00212A74">
        <w:rPr>
          <w:rFonts w:cs="Arial"/>
          <w:szCs w:val="22"/>
        </w:rPr>
        <w:t xml:space="preserve"> </w:t>
      </w:r>
      <w:r w:rsidR="00470192">
        <w:rPr>
          <w:rFonts w:cs="Arial"/>
          <w:szCs w:val="22"/>
        </w:rPr>
        <w:t xml:space="preserve">million for 2007–2011. </w:t>
      </w:r>
      <w:r w:rsidRPr="00253003">
        <w:rPr>
          <w:rFonts w:cs="Arial"/>
          <w:szCs w:val="22"/>
        </w:rPr>
        <w:t>Australia invested an additional AUD152</w:t>
      </w:r>
      <w:r w:rsidR="00212A74">
        <w:rPr>
          <w:rFonts w:cs="Arial"/>
          <w:szCs w:val="22"/>
        </w:rPr>
        <w:t xml:space="preserve"> </w:t>
      </w:r>
      <w:r w:rsidRPr="00253003">
        <w:rPr>
          <w:rFonts w:cs="Arial"/>
          <w:szCs w:val="22"/>
        </w:rPr>
        <w:t>million into the APTC in response to the increasing demand from the Pacific Island countries for 2011</w:t>
      </w:r>
      <w:r w:rsidR="00212A74">
        <w:rPr>
          <w:rFonts w:cs="Arial"/>
          <w:szCs w:val="22"/>
        </w:rPr>
        <w:t>–</w:t>
      </w:r>
      <w:r w:rsidRPr="00253003">
        <w:rPr>
          <w:rFonts w:cs="Arial"/>
          <w:szCs w:val="22"/>
        </w:rPr>
        <w:t xml:space="preserve">2015.  </w:t>
      </w:r>
    </w:p>
    <w:p w14:paraId="2CE8C8D7" w14:textId="77777777" w:rsidR="00253003" w:rsidRPr="00E73084" w:rsidRDefault="00253003" w:rsidP="00253003">
      <w:pPr>
        <w:rPr>
          <w:rFonts w:cs="Arial"/>
          <w:szCs w:val="22"/>
        </w:rPr>
      </w:pPr>
      <w:r w:rsidRPr="00253003">
        <w:rPr>
          <w:rFonts w:cs="Arial"/>
          <w:szCs w:val="22"/>
        </w:rPr>
        <w:t>Within the program is a scholarship scheme that was developed to ensure that Pacific Islanders, particularly those from non-campus countries have</w:t>
      </w:r>
      <w:r w:rsidR="00212A74">
        <w:rPr>
          <w:rFonts w:cs="Arial"/>
          <w:szCs w:val="22"/>
        </w:rPr>
        <w:t xml:space="preserve"> access to the College (APTC). </w:t>
      </w:r>
      <w:r w:rsidRPr="00253003">
        <w:rPr>
          <w:rFonts w:cs="Arial"/>
          <w:szCs w:val="22"/>
        </w:rPr>
        <w:t xml:space="preserve">The scholarships are awarded under the principles of access, transparency, equity, and merit, and complement other sources of financial sponsorship of students such as private sector or other donors and Pacific Governments. The APTC </w:t>
      </w:r>
      <w:r w:rsidRPr="00253003">
        <w:rPr>
          <w:rFonts w:cs="Arial"/>
          <w:szCs w:val="22"/>
        </w:rPr>
        <w:lastRenderedPageBreak/>
        <w:t>scholarship scheme is structured a little differently from the core bilateral Australian Scholarships for the Pacific, because the courses are shorter term, block structure with flexible delivery modes, and have labour mobility objectives.</w:t>
      </w:r>
    </w:p>
    <w:p w14:paraId="796DA4BD" w14:textId="77777777" w:rsidR="00253003" w:rsidRPr="00253003" w:rsidRDefault="00253003" w:rsidP="00253003">
      <w:pPr>
        <w:rPr>
          <w:rFonts w:cs="Arial"/>
          <w:szCs w:val="22"/>
          <w:lang w:val="en-GB"/>
        </w:rPr>
      </w:pPr>
      <w:r w:rsidRPr="00253003">
        <w:rPr>
          <w:rFonts w:cs="Arial"/>
          <w:szCs w:val="22"/>
          <w:lang w:val="en-GB"/>
        </w:rPr>
        <w:t>The APTC provides Australian certificate and diploma training to achieve its objectives of:</w:t>
      </w:r>
    </w:p>
    <w:p w14:paraId="7E55CF2F" w14:textId="77777777" w:rsidR="00253003" w:rsidRPr="00253003" w:rsidRDefault="00253003" w:rsidP="00212A74">
      <w:pPr>
        <w:pStyle w:val="ListParagraph"/>
        <w:numPr>
          <w:ilvl w:val="0"/>
          <w:numId w:val="3"/>
        </w:numPr>
        <w:spacing w:after="0"/>
        <w:rPr>
          <w:rFonts w:cs="Arial"/>
          <w:szCs w:val="22"/>
          <w:lang w:val="en-GB"/>
        </w:rPr>
      </w:pPr>
      <w:r w:rsidRPr="00253003">
        <w:rPr>
          <w:rFonts w:cs="Arial"/>
          <w:szCs w:val="22"/>
          <w:lang w:val="en-GB"/>
        </w:rPr>
        <w:t>supporting skill development in the Pacific, in response to national, regional and internati</w:t>
      </w:r>
      <w:r w:rsidR="00212A74">
        <w:rPr>
          <w:rFonts w:cs="Arial"/>
          <w:szCs w:val="22"/>
          <w:lang w:val="en-GB"/>
        </w:rPr>
        <w:t>onal labour market requirements</w:t>
      </w:r>
    </w:p>
    <w:p w14:paraId="3CFA26E6" w14:textId="77777777" w:rsidR="00253003" w:rsidRPr="00253003" w:rsidRDefault="00253003" w:rsidP="00212A74">
      <w:pPr>
        <w:pStyle w:val="ListParagraph"/>
        <w:numPr>
          <w:ilvl w:val="0"/>
          <w:numId w:val="3"/>
        </w:numPr>
        <w:spacing w:after="0"/>
        <w:rPr>
          <w:rFonts w:cs="Arial"/>
          <w:szCs w:val="22"/>
          <w:lang w:val="en-GB"/>
        </w:rPr>
      </w:pPr>
      <w:r w:rsidRPr="00253003">
        <w:rPr>
          <w:rFonts w:cs="Arial"/>
          <w:szCs w:val="22"/>
          <w:lang w:val="en-GB"/>
        </w:rPr>
        <w:t>providing quality, demand-driven training that will present opportunities for Pacific Islanders to access i</w:t>
      </w:r>
      <w:r w:rsidR="00212A74">
        <w:rPr>
          <w:rFonts w:cs="Arial"/>
          <w:szCs w:val="22"/>
          <w:lang w:val="en-GB"/>
        </w:rPr>
        <w:t>nternational labour markets</w:t>
      </w:r>
    </w:p>
    <w:p w14:paraId="63B323E3" w14:textId="77777777" w:rsidR="00253003" w:rsidRPr="00E73084" w:rsidRDefault="00253003" w:rsidP="00212A74">
      <w:pPr>
        <w:pStyle w:val="ListParagraph"/>
        <w:numPr>
          <w:ilvl w:val="0"/>
          <w:numId w:val="3"/>
        </w:numPr>
        <w:spacing w:after="0"/>
        <w:rPr>
          <w:rFonts w:cs="Arial"/>
          <w:szCs w:val="22"/>
          <w:lang w:val="en-GB"/>
        </w:rPr>
      </w:pPr>
      <w:r w:rsidRPr="00253003">
        <w:rPr>
          <w:rFonts w:cs="Arial"/>
          <w:szCs w:val="22"/>
          <w:lang w:val="en-GB"/>
        </w:rPr>
        <w:t>increasing productivity of individuals and organisations in the targeted industries and sectors.</w:t>
      </w:r>
    </w:p>
    <w:p w14:paraId="6A74AF9A" w14:textId="62A96ECE" w:rsidR="00253003" w:rsidRPr="00253003" w:rsidRDefault="008C4F1B" w:rsidP="00253003">
      <w:pPr>
        <w:rPr>
          <w:rFonts w:cs="Arial"/>
          <w:szCs w:val="22"/>
          <w:lang w:val="en-GB"/>
        </w:rPr>
      </w:pPr>
      <w:r>
        <w:rPr>
          <w:rFonts w:cs="Arial"/>
          <w:szCs w:val="22"/>
          <w:lang w:val="en-GB"/>
        </w:rPr>
        <w:br/>
      </w:r>
      <w:r w:rsidR="00253003" w:rsidRPr="00253003">
        <w:rPr>
          <w:rFonts w:cs="Arial"/>
          <w:szCs w:val="22"/>
          <w:lang w:val="en-GB"/>
        </w:rPr>
        <w:t xml:space="preserve">It is anticipated that APTC will have produced 4000 graduates during </w:t>
      </w:r>
      <w:r w:rsidR="001F5811">
        <w:rPr>
          <w:rFonts w:cs="Arial"/>
          <w:szCs w:val="22"/>
          <w:lang w:val="en-GB"/>
        </w:rPr>
        <w:t>Stage II</w:t>
      </w:r>
      <w:r w:rsidR="00212A74">
        <w:rPr>
          <w:rFonts w:cs="Arial"/>
          <w:szCs w:val="22"/>
          <w:lang w:val="en-GB"/>
        </w:rPr>
        <w:t xml:space="preserve"> to a total of at least 7</w:t>
      </w:r>
      <w:r w:rsidR="00253003" w:rsidRPr="00253003">
        <w:rPr>
          <w:rFonts w:cs="Arial"/>
          <w:szCs w:val="22"/>
          <w:lang w:val="en-GB"/>
        </w:rPr>
        <w:t>000 graduates by June 2015.</w:t>
      </w:r>
    </w:p>
    <w:p w14:paraId="1981959E" w14:textId="17FA647C" w:rsidR="00253003" w:rsidRPr="00253003" w:rsidRDefault="00253003" w:rsidP="00253003">
      <w:pPr>
        <w:rPr>
          <w:rFonts w:cs="Arial"/>
          <w:szCs w:val="22"/>
          <w:lang w:val="en-GB"/>
        </w:rPr>
      </w:pPr>
      <w:r w:rsidRPr="00253003">
        <w:rPr>
          <w:rFonts w:cs="Arial"/>
          <w:szCs w:val="22"/>
          <w:lang w:val="en-GB"/>
        </w:rPr>
        <w:t>APTC is fully funded by DFAT’s Aid Program. Details of funding expended and a</w:t>
      </w:r>
      <w:r w:rsidR="008C4F1B">
        <w:rPr>
          <w:rFonts w:cs="Arial"/>
          <w:szCs w:val="22"/>
          <w:lang w:val="en-GB"/>
        </w:rPr>
        <w:t>llocated are in the table below.</w:t>
      </w:r>
    </w:p>
    <w:tbl>
      <w:tblPr>
        <w:tblStyle w:val="TableGrid"/>
        <w:tblW w:w="7938" w:type="dxa"/>
        <w:tblInd w:w="108" w:type="dxa"/>
        <w:tblLook w:val="04A0" w:firstRow="1" w:lastRow="0" w:firstColumn="1" w:lastColumn="0" w:noHBand="0" w:noVBand="1"/>
      </w:tblPr>
      <w:tblGrid>
        <w:gridCol w:w="4000"/>
        <w:gridCol w:w="3938"/>
      </w:tblGrid>
      <w:tr w:rsidR="00253003" w:rsidRPr="00E73084" w14:paraId="28DBDFE6" w14:textId="77777777" w:rsidTr="00855F9C">
        <w:tc>
          <w:tcPr>
            <w:tcW w:w="4317" w:type="dxa"/>
          </w:tcPr>
          <w:p w14:paraId="1B558CBE" w14:textId="77777777" w:rsidR="00253003" w:rsidRPr="00E73084" w:rsidRDefault="00253003" w:rsidP="00E73084">
            <w:pPr>
              <w:spacing w:before="120"/>
              <w:rPr>
                <w:rFonts w:cs="Arial"/>
                <w:b/>
                <w:sz w:val="20"/>
                <w:szCs w:val="22"/>
                <w:lang w:val="en-GB"/>
              </w:rPr>
            </w:pPr>
            <w:r w:rsidRPr="00E73084">
              <w:rPr>
                <w:rFonts w:cs="Arial"/>
                <w:b/>
                <w:sz w:val="20"/>
                <w:szCs w:val="22"/>
                <w:lang w:val="en-GB"/>
              </w:rPr>
              <w:t xml:space="preserve">APTC </w:t>
            </w:r>
            <w:r w:rsidR="001F5811">
              <w:rPr>
                <w:rFonts w:cs="Arial"/>
                <w:b/>
                <w:sz w:val="20"/>
                <w:szCs w:val="22"/>
                <w:lang w:val="en-GB"/>
              </w:rPr>
              <w:t>Stage I</w:t>
            </w:r>
            <w:r w:rsidRPr="00E73084">
              <w:rPr>
                <w:rFonts w:cs="Arial"/>
                <w:b/>
                <w:sz w:val="20"/>
                <w:szCs w:val="22"/>
                <w:lang w:val="en-GB"/>
              </w:rPr>
              <w:t xml:space="preserve"> (June 2007</w:t>
            </w:r>
            <w:r w:rsidR="00E73084" w:rsidRPr="00E73084">
              <w:rPr>
                <w:rFonts w:cs="Arial"/>
                <w:b/>
                <w:sz w:val="20"/>
                <w:szCs w:val="22"/>
                <w:lang w:val="en-GB"/>
              </w:rPr>
              <w:t xml:space="preserve"> –</w:t>
            </w:r>
            <w:r w:rsidRPr="00E73084">
              <w:rPr>
                <w:rFonts w:cs="Arial"/>
                <w:b/>
                <w:sz w:val="20"/>
                <w:szCs w:val="22"/>
                <w:lang w:val="en-GB"/>
              </w:rPr>
              <w:t xml:space="preserve"> June 2011)</w:t>
            </w:r>
          </w:p>
        </w:tc>
        <w:tc>
          <w:tcPr>
            <w:tcW w:w="4155" w:type="dxa"/>
          </w:tcPr>
          <w:p w14:paraId="3C050D4C" w14:textId="77777777" w:rsidR="00253003" w:rsidRPr="00E73084" w:rsidRDefault="00253003" w:rsidP="00E73084">
            <w:pPr>
              <w:spacing w:before="120"/>
              <w:rPr>
                <w:rFonts w:cs="Arial"/>
                <w:b/>
                <w:sz w:val="20"/>
                <w:szCs w:val="22"/>
                <w:lang w:val="en-GB"/>
              </w:rPr>
            </w:pPr>
            <w:r w:rsidRPr="00E73084">
              <w:rPr>
                <w:rFonts w:cs="Arial"/>
                <w:b/>
                <w:sz w:val="20"/>
                <w:szCs w:val="22"/>
                <w:lang w:val="en-GB"/>
              </w:rPr>
              <w:t xml:space="preserve">Total expenditure: </w:t>
            </w:r>
            <w:r w:rsidRPr="00E73084">
              <w:rPr>
                <w:rFonts w:cs="Arial"/>
                <w:sz w:val="20"/>
                <w:szCs w:val="22"/>
                <w:lang w:val="en-GB"/>
              </w:rPr>
              <w:t>$134,743,264.94</w:t>
            </w:r>
          </w:p>
        </w:tc>
      </w:tr>
      <w:tr w:rsidR="00253003" w:rsidRPr="00E73084" w14:paraId="1F1196D1" w14:textId="77777777" w:rsidTr="00855F9C">
        <w:tc>
          <w:tcPr>
            <w:tcW w:w="4317" w:type="dxa"/>
          </w:tcPr>
          <w:p w14:paraId="16293261" w14:textId="77777777" w:rsidR="00253003" w:rsidRPr="00E73084" w:rsidRDefault="00253003" w:rsidP="00E73084">
            <w:pPr>
              <w:spacing w:before="120"/>
              <w:rPr>
                <w:rFonts w:cs="Arial"/>
                <w:b/>
                <w:sz w:val="20"/>
                <w:szCs w:val="22"/>
                <w:lang w:val="en-GB"/>
              </w:rPr>
            </w:pPr>
            <w:r w:rsidRPr="00E73084">
              <w:rPr>
                <w:rFonts w:cs="Arial"/>
                <w:b/>
                <w:sz w:val="20"/>
                <w:szCs w:val="22"/>
                <w:lang w:val="en-GB"/>
              </w:rPr>
              <w:t xml:space="preserve">APTC </w:t>
            </w:r>
            <w:r w:rsidR="001F5811">
              <w:rPr>
                <w:rFonts w:cs="Arial"/>
                <w:b/>
                <w:sz w:val="20"/>
                <w:szCs w:val="22"/>
                <w:lang w:val="en-GB"/>
              </w:rPr>
              <w:t>Stage II</w:t>
            </w:r>
            <w:r w:rsidRPr="00E73084">
              <w:rPr>
                <w:rFonts w:cs="Arial"/>
                <w:b/>
                <w:sz w:val="20"/>
                <w:szCs w:val="22"/>
                <w:lang w:val="en-GB"/>
              </w:rPr>
              <w:t xml:space="preserve"> (June 2011</w:t>
            </w:r>
            <w:r w:rsidR="00E73084" w:rsidRPr="00E73084">
              <w:rPr>
                <w:rFonts w:cs="Arial"/>
                <w:b/>
                <w:sz w:val="20"/>
                <w:szCs w:val="22"/>
                <w:lang w:val="en-GB"/>
              </w:rPr>
              <w:t xml:space="preserve"> –</w:t>
            </w:r>
            <w:r w:rsidRPr="00E73084">
              <w:rPr>
                <w:rFonts w:cs="Arial"/>
                <w:b/>
                <w:sz w:val="20"/>
                <w:szCs w:val="22"/>
                <w:lang w:val="en-GB"/>
              </w:rPr>
              <w:t xml:space="preserve"> June 2015)</w:t>
            </w:r>
          </w:p>
        </w:tc>
        <w:tc>
          <w:tcPr>
            <w:tcW w:w="4155" w:type="dxa"/>
          </w:tcPr>
          <w:p w14:paraId="457E7314" w14:textId="77777777" w:rsidR="00253003" w:rsidRPr="00E73084" w:rsidRDefault="00253003" w:rsidP="00E73084">
            <w:pPr>
              <w:spacing w:before="120"/>
              <w:rPr>
                <w:rFonts w:cs="Arial"/>
                <w:sz w:val="20"/>
                <w:szCs w:val="22"/>
                <w:lang w:val="en-GB"/>
              </w:rPr>
            </w:pPr>
            <w:r w:rsidRPr="00E73084">
              <w:rPr>
                <w:rFonts w:cs="Arial"/>
                <w:b/>
                <w:sz w:val="20"/>
                <w:szCs w:val="22"/>
                <w:lang w:val="en-GB"/>
              </w:rPr>
              <w:t>Expenditure to date</w:t>
            </w:r>
            <w:r w:rsidRPr="00E73084">
              <w:rPr>
                <w:rFonts w:cs="Arial"/>
                <w:sz w:val="20"/>
                <w:szCs w:val="22"/>
                <w:lang w:val="en-GB"/>
              </w:rPr>
              <w:t>:</w:t>
            </w:r>
            <w:r w:rsidR="0049371F">
              <w:rPr>
                <w:rFonts w:cs="Arial"/>
                <w:sz w:val="20"/>
                <w:szCs w:val="22"/>
                <w:lang w:val="en-GB"/>
              </w:rPr>
              <w:t xml:space="preserve"> </w:t>
            </w:r>
            <w:r w:rsidRPr="00E73084">
              <w:rPr>
                <w:rFonts w:cs="Arial"/>
                <w:sz w:val="20"/>
                <w:szCs w:val="22"/>
                <w:lang w:val="en-GB"/>
              </w:rPr>
              <w:t>$</w:t>
            </w:r>
            <w:r w:rsidRPr="00E73084">
              <w:rPr>
                <w:rFonts w:cs="Arial"/>
                <w:sz w:val="20"/>
                <w:szCs w:val="22"/>
              </w:rPr>
              <w:t>94,181,397.70</w:t>
            </w:r>
            <w:r w:rsidR="00E73084" w:rsidRPr="00E73084">
              <w:rPr>
                <w:rFonts w:cs="Arial"/>
                <w:sz w:val="20"/>
                <w:szCs w:val="22"/>
                <w:lang w:val="en-GB"/>
              </w:rPr>
              <w:br/>
            </w:r>
            <w:r w:rsidRPr="00E73084">
              <w:rPr>
                <w:rFonts w:cs="Arial"/>
                <w:b/>
                <w:sz w:val="20"/>
                <w:szCs w:val="22"/>
                <w:lang w:val="en-GB"/>
              </w:rPr>
              <w:t>Allocation</w:t>
            </w:r>
            <w:r w:rsidRPr="00E73084">
              <w:rPr>
                <w:rFonts w:cs="Arial"/>
                <w:sz w:val="20"/>
                <w:szCs w:val="22"/>
                <w:lang w:val="en-GB"/>
              </w:rPr>
              <w:t>: $152,000,000</w:t>
            </w:r>
          </w:p>
        </w:tc>
      </w:tr>
    </w:tbl>
    <w:p w14:paraId="00D38D85" w14:textId="77777777" w:rsidR="00253003" w:rsidRPr="00253003" w:rsidRDefault="00253003" w:rsidP="00253003">
      <w:pPr>
        <w:rPr>
          <w:rFonts w:cs="Arial"/>
          <w:szCs w:val="22"/>
          <w:lang w:val="en-GB"/>
        </w:rPr>
      </w:pPr>
    </w:p>
    <w:p w14:paraId="4EE8E6A1" w14:textId="77777777" w:rsidR="00253003" w:rsidRPr="00253003" w:rsidRDefault="00253003" w:rsidP="00253003">
      <w:pPr>
        <w:rPr>
          <w:rFonts w:cs="Arial"/>
          <w:szCs w:val="22"/>
          <w:lang w:val="en-GB"/>
        </w:rPr>
      </w:pPr>
      <w:r w:rsidRPr="00253003">
        <w:rPr>
          <w:rFonts w:cs="Arial"/>
          <w:szCs w:val="22"/>
          <w:lang w:val="en-GB"/>
        </w:rPr>
        <w:t xml:space="preserve">Demand for APTC training has been strong from Pacific Island employers and students. Industry is recognising the high quality and standard of </w:t>
      </w:r>
      <w:r w:rsidR="00212A74">
        <w:rPr>
          <w:rFonts w:cs="Arial"/>
          <w:szCs w:val="22"/>
          <w:lang w:val="en-GB"/>
        </w:rPr>
        <w:t xml:space="preserve">the trainers and the training. </w:t>
      </w:r>
      <w:r w:rsidRPr="00253003">
        <w:rPr>
          <w:rFonts w:cs="Arial"/>
          <w:szCs w:val="22"/>
          <w:lang w:val="en-GB"/>
        </w:rPr>
        <w:t xml:space="preserve">An independent review of the APTC in 2009 concluded that in a relatively short period of time the APTC had found a unique and respected niche at the middle to top end of vocational training in the Pacific. The review of 2009 also found that by setting an international standard in TVET training, APTC has had a demonstrable positive effect and is increasing regional understanding of and appreciation for quality TVET delivery and the need for strong linkages to </w:t>
      </w:r>
      <w:r w:rsidR="000D3C5B">
        <w:rPr>
          <w:rFonts w:cs="Arial"/>
          <w:szCs w:val="22"/>
          <w:lang w:val="en-GB"/>
        </w:rPr>
        <w:t xml:space="preserve">the industry and employers. It </w:t>
      </w:r>
      <w:r w:rsidRPr="00253003">
        <w:rPr>
          <w:rFonts w:cs="Arial"/>
          <w:szCs w:val="22"/>
          <w:lang w:val="en-GB"/>
        </w:rPr>
        <w:t>also highlighted the need to rebuild and invest in local institutions.</w:t>
      </w:r>
    </w:p>
    <w:p w14:paraId="57E49AFC" w14:textId="5A77E59E" w:rsidR="00253003" w:rsidRPr="00253003" w:rsidRDefault="00253003" w:rsidP="00253003">
      <w:pPr>
        <w:rPr>
          <w:rFonts w:cs="Arial"/>
          <w:szCs w:val="22"/>
          <w:lang w:val="en-GB"/>
        </w:rPr>
      </w:pPr>
      <w:r w:rsidRPr="00253003">
        <w:rPr>
          <w:rFonts w:cs="Arial"/>
          <w:szCs w:val="22"/>
          <w:lang w:val="en-GB"/>
        </w:rPr>
        <w:t>Skills development and vocational education are key elements of some of the important pieces of regional policy architecture</w:t>
      </w:r>
      <w:r w:rsidR="00A37C0A">
        <w:rPr>
          <w:rFonts w:cs="Arial"/>
          <w:szCs w:val="22"/>
          <w:lang w:val="en-GB"/>
        </w:rPr>
        <w:t>,</w:t>
      </w:r>
      <w:r w:rsidRPr="00253003">
        <w:rPr>
          <w:rFonts w:cs="Arial"/>
          <w:szCs w:val="22"/>
          <w:lang w:val="en-GB"/>
        </w:rPr>
        <w:t xml:space="preserve"> including the Pacific Plan and Pacific Education Development Framework.</w:t>
      </w:r>
    </w:p>
    <w:p w14:paraId="781A9B72" w14:textId="77777777" w:rsidR="00253003" w:rsidRPr="00253003" w:rsidRDefault="00253003" w:rsidP="00253003">
      <w:pPr>
        <w:rPr>
          <w:rFonts w:cs="Arial"/>
          <w:szCs w:val="22"/>
          <w:lang w:val="en-GB"/>
        </w:rPr>
      </w:pPr>
      <w:r w:rsidRPr="00253003">
        <w:rPr>
          <w:rFonts w:cs="Arial"/>
          <w:szCs w:val="22"/>
          <w:lang w:val="en-GB"/>
        </w:rPr>
        <w:t>The Pacific Island Forum Leaders have formally endorsed their support for the APTC in two of their recent meetings, noting the continued contribution of the Australia</w:t>
      </w:r>
      <w:r w:rsidR="000D3C5B">
        <w:rPr>
          <w:rFonts w:cs="Arial"/>
          <w:szCs w:val="22"/>
          <w:lang w:val="en-GB"/>
        </w:rPr>
        <w:t>–</w:t>
      </w:r>
      <w:r w:rsidRPr="00253003">
        <w:rPr>
          <w:rFonts w:cs="Arial"/>
          <w:szCs w:val="22"/>
          <w:lang w:val="en-GB"/>
        </w:rPr>
        <w:t>Pacific Technical College to regional TVET development.</w:t>
      </w:r>
    </w:p>
    <w:p w14:paraId="2FCA65D1" w14:textId="77777777" w:rsidR="00253003" w:rsidRPr="00253003" w:rsidRDefault="00253003" w:rsidP="00253003">
      <w:pPr>
        <w:rPr>
          <w:rFonts w:cs="Arial"/>
          <w:szCs w:val="22"/>
          <w:lang w:val="en-GB"/>
        </w:rPr>
      </w:pPr>
      <w:r w:rsidRPr="00253003">
        <w:rPr>
          <w:rFonts w:cs="Arial"/>
          <w:szCs w:val="22"/>
          <w:lang w:val="en-GB"/>
        </w:rPr>
        <w:t>Two Pacific countries (Kiribati</w:t>
      </w:r>
      <w:r w:rsidRPr="00253003">
        <w:rPr>
          <w:rStyle w:val="FootnoteReference"/>
          <w:rFonts w:cs="Arial"/>
          <w:szCs w:val="22"/>
          <w:lang w:val="en-GB"/>
        </w:rPr>
        <w:footnoteReference w:id="1"/>
      </w:r>
      <w:r w:rsidRPr="00253003">
        <w:rPr>
          <w:rFonts w:cs="Arial"/>
          <w:szCs w:val="22"/>
          <w:lang w:val="en-GB"/>
        </w:rPr>
        <w:t xml:space="preserve"> and Samoa</w:t>
      </w:r>
      <w:r w:rsidRPr="00253003">
        <w:rPr>
          <w:rStyle w:val="FootnoteReference"/>
          <w:rFonts w:cs="Arial"/>
          <w:szCs w:val="22"/>
          <w:lang w:val="en-GB"/>
        </w:rPr>
        <w:footnoteReference w:id="2"/>
      </w:r>
      <w:r w:rsidRPr="00253003">
        <w:rPr>
          <w:rFonts w:cs="Arial"/>
          <w:szCs w:val="22"/>
          <w:lang w:val="en-GB"/>
        </w:rPr>
        <w:t>) have acknowledged APTC in their strategic plans, illustrating the growing relevance of the College.</w:t>
      </w:r>
    </w:p>
    <w:p w14:paraId="02B0D114" w14:textId="33860A87" w:rsidR="00253003" w:rsidRPr="00253003" w:rsidRDefault="00253003" w:rsidP="00253003">
      <w:pPr>
        <w:rPr>
          <w:rFonts w:cs="Arial"/>
          <w:szCs w:val="22"/>
          <w:lang w:val="en-GB"/>
        </w:rPr>
      </w:pPr>
      <w:r w:rsidRPr="00253003">
        <w:rPr>
          <w:rFonts w:cs="Arial"/>
          <w:szCs w:val="22"/>
          <w:lang w:val="en-GB"/>
        </w:rPr>
        <w:t xml:space="preserve">A number of Pacific Partnerships for Development and national education plans are including skill development (including </w:t>
      </w:r>
      <w:r w:rsidR="00A37C0A">
        <w:rPr>
          <w:rFonts w:cs="Arial"/>
          <w:szCs w:val="22"/>
          <w:lang w:val="en-GB"/>
        </w:rPr>
        <w:t>(TVET)</w:t>
      </w:r>
      <w:r w:rsidRPr="00253003">
        <w:rPr>
          <w:rFonts w:cs="Arial"/>
          <w:szCs w:val="22"/>
          <w:lang w:val="en-GB"/>
        </w:rPr>
        <w:t xml:space="preserve"> as a priority, in recognition of the importance of employment outcomes for school leavers and private sector productivity to drive economic growth.  </w:t>
      </w:r>
    </w:p>
    <w:p w14:paraId="5451B10D" w14:textId="77777777" w:rsidR="00253003" w:rsidRPr="00253003" w:rsidRDefault="00253003" w:rsidP="00253003">
      <w:pPr>
        <w:rPr>
          <w:rFonts w:cs="Arial"/>
          <w:szCs w:val="22"/>
          <w:lang w:val="en-GB"/>
        </w:rPr>
      </w:pPr>
      <w:r w:rsidRPr="00253003">
        <w:rPr>
          <w:rFonts w:cs="Arial"/>
          <w:szCs w:val="22"/>
          <w:lang w:val="en-GB"/>
        </w:rPr>
        <w:lastRenderedPageBreak/>
        <w:t xml:space="preserve">The Aid Program’s Pacific Education Strategy and Training Agenda, which addresses the broader skill development and employability needs across the Pacific, focuses on: </w:t>
      </w:r>
    </w:p>
    <w:p w14:paraId="5D020FD2" w14:textId="3FF1D2D3" w:rsidR="00253003" w:rsidRPr="000668BA" w:rsidRDefault="00253003" w:rsidP="000668BA">
      <w:pPr>
        <w:pStyle w:val="ListParagraph"/>
        <w:numPr>
          <w:ilvl w:val="0"/>
          <w:numId w:val="81"/>
        </w:numPr>
        <w:rPr>
          <w:rFonts w:cs="Arial"/>
          <w:szCs w:val="22"/>
          <w:lang w:val="en-GB"/>
        </w:rPr>
      </w:pPr>
      <w:r w:rsidRPr="000668BA">
        <w:rPr>
          <w:rFonts w:cs="Arial"/>
          <w:szCs w:val="22"/>
          <w:lang w:val="en-GB"/>
        </w:rPr>
        <w:t>making sure young people have the opportunities to gain the skills needed to connect to pathways to further educati</w:t>
      </w:r>
      <w:r w:rsidR="002A2E9A" w:rsidRPr="000668BA">
        <w:rPr>
          <w:rFonts w:cs="Arial"/>
          <w:szCs w:val="22"/>
          <w:lang w:val="en-GB"/>
        </w:rPr>
        <w:t>on, training and employment</w:t>
      </w:r>
    </w:p>
    <w:p w14:paraId="3325E2CD" w14:textId="070F7EF7" w:rsidR="00253003" w:rsidRPr="000668BA" w:rsidRDefault="00253003" w:rsidP="000668BA">
      <w:pPr>
        <w:pStyle w:val="ListParagraph"/>
        <w:numPr>
          <w:ilvl w:val="0"/>
          <w:numId w:val="81"/>
        </w:numPr>
        <w:rPr>
          <w:rFonts w:cs="Arial"/>
          <w:szCs w:val="22"/>
          <w:lang w:val="en-GB"/>
        </w:rPr>
      </w:pPr>
      <w:r w:rsidRPr="000668BA">
        <w:rPr>
          <w:rFonts w:cs="Arial"/>
          <w:szCs w:val="22"/>
          <w:lang w:val="en-GB"/>
        </w:rPr>
        <w:t xml:space="preserve">ensuring increased numbers of people gain valued qualifications in </w:t>
      </w:r>
      <w:r w:rsidR="000668BA">
        <w:rPr>
          <w:rFonts w:cs="Arial"/>
          <w:szCs w:val="22"/>
          <w:lang w:val="en-GB"/>
        </w:rPr>
        <w:br/>
      </w:r>
      <w:r w:rsidRPr="000668BA">
        <w:rPr>
          <w:rFonts w:cs="Arial"/>
          <w:szCs w:val="22"/>
          <w:lang w:val="en-GB"/>
        </w:rPr>
        <w:t>post-secondary education and training.</w:t>
      </w:r>
    </w:p>
    <w:p w14:paraId="4F7AA172" w14:textId="77777777" w:rsidR="00253003" w:rsidRPr="00392633" w:rsidRDefault="00253003" w:rsidP="00253003">
      <w:pPr>
        <w:rPr>
          <w:rFonts w:cs="Arial"/>
          <w:szCs w:val="22"/>
          <w:lang w:val="en-GB"/>
        </w:rPr>
      </w:pPr>
      <w:r w:rsidRPr="00253003">
        <w:rPr>
          <w:rFonts w:cs="Arial"/>
          <w:szCs w:val="22"/>
          <w:lang w:val="en-GB"/>
        </w:rPr>
        <w:t xml:space="preserve">The APTC, by providing internationally recognised qualifications, is central to these efforts. </w:t>
      </w:r>
    </w:p>
    <w:p w14:paraId="2E907D7D" w14:textId="77777777" w:rsidR="00253003" w:rsidRPr="00253003" w:rsidRDefault="00253003" w:rsidP="00253003">
      <w:pPr>
        <w:rPr>
          <w:rFonts w:cs="Arial"/>
          <w:szCs w:val="22"/>
        </w:rPr>
      </w:pPr>
      <w:r w:rsidRPr="00253003">
        <w:rPr>
          <w:rFonts w:cs="Arial"/>
          <w:szCs w:val="22"/>
          <w:lang w:val="en-GB"/>
        </w:rPr>
        <w:t xml:space="preserve">Australia is committed to strengthening economic growth in the Pacific and promoting private sector development. Given this commitment and the success stories of APTC graduates in these areas, an independent evaluation of the program needs to be undertaken to </w:t>
      </w:r>
      <w:r w:rsidRPr="00253003">
        <w:rPr>
          <w:rFonts w:cs="Arial"/>
          <w:szCs w:val="22"/>
        </w:rPr>
        <w:t xml:space="preserve">understand how APTC has performed in relation to its objectives. </w:t>
      </w:r>
    </w:p>
    <w:p w14:paraId="782AED89" w14:textId="2D596822" w:rsidR="00253003" w:rsidRPr="00253003" w:rsidRDefault="00D46A79" w:rsidP="002028A6">
      <w:pPr>
        <w:pStyle w:val="Heading2"/>
        <w:rPr>
          <w:lang w:val="en-GB"/>
        </w:rPr>
      </w:pPr>
      <w:bookmarkStart w:id="19" w:name="_Toc274071591"/>
      <w:bookmarkStart w:id="20" w:name="_Toc274145029"/>
      <w:bookmarkStart w:id="21" w:name="_Toc274900421"/>
      <w:bookmarkStart w:id="22" w:name="_Toc274908108"/>
      <w:bookmarkStart w:id="23" w:name="_Toc274909799"/>
      <w:bookmarkStart w:id="24" w:name="_Toc278447814"/>
      <w:bookmarkStart w:id="25" w:name="_Toc278453287"/>
      <w:r>
        <w:rPr>
          <w:lang w:val="en-GB"/>
        </w:rPr>
        <w:t>1.2</w:t>
      </w:r>
      <w:r>
        <w:rPr>
          <w:lang w:val="en-GB"/>
        </w:rPr>
        <w:tab/>
      </w:r>
      <w:r w:rsidR="00253003" w:rsidRPr="00253003">
        <w:rPr>
          <w:lang w:val="en-GB"/>
        </w:rPr>
        <w:t xml:space="preserve">APTC </w:t>
      </w:r>
      <w:r w:rsidR="005F45C2">
        <w:rPr>
          <w:lang w:val="en-GB"/>
        </w:rPr>
        <w:t>g</w:t>
      </w:r>
      <w:r w:rsidR="00253003" w:rsidRPr="00253003">
        <w:rPr>
          <w:lang w:val="en-GB"/>
        </w:rPr>
        <w:t xml:space="preserve">overnance </w:t>
      </w:r>
      <w:r w:rsidR="005F45C2">
        <w:rPr>
          <w:lang w:val="en-GB"/>
        </w:rPr>
        <w:t>m</w:t>
      </w:r>
      <w:r w:rsidR="00253003" w:rsidRPr="00253003">
        <w:rPr>
          <w:lang w:val="en-GB"/>
        </w:rPr>
        <w:t>odel</w:t>
      </w:r>
      <w:bookmarkEnd w:id="19"/>
      <w:bookmarkEnd w:id="20"/>
      <w:bookmarkEnd w:id="21"/>
      <w:bookmarkEnd w:id="22"/>
      <w:bookmarkEnd w:id="23"/>
      <w:bookmarkEnd w:id="24"/>
      <w:bookmarkEnd w:id="25"/>
    </w:p>
    <w:p w14:paraId="21E7ABC4" w14:textId="36DDBB54" w:rsidR="00253003" w:rsidRPr="00253003" w:rsidRDefault="00253003" w:rsidP="00253003">
      <w:pPr>
        <w:rPr>
          <w:rFonts w:cs="Arial"/>
          <w:szCs w:val="22"/>
        </w:rPr>
      </w:pPr>
      <w:r w:rsidRPr="00253003">
        <w:rPr>
          <w:rFonts w:cs="Arial"/>
          <w:szCs w:val="22"/>
        </w:rPr>
        <w:t>The Australian Government, through DFAT’s Aid Program are the owners of the APTC. DFAT entered into a contractual agreement with a consortium consisting of the Queensland Government (Sunshine Coast Institute of TAFE) as lead contractor, Box</w:t>
      </w:r>
      <w:r w:rsidR="00D57D0F">
        <w:rPr>
          <w:rFonts w:cs="Arial"/>
          <w:szCs w:val="22"/>
        </w:rPr>
        <w:t> </w:t>
      </w:r>
      <w:r w:rsidRPr="00253003">
        <w:rPr>
          <w:rFonts w:cs="Arial"/>
          <w:szCs w:val="22"/>
        </w:rPr>
        <w:t xml:space="preserve">Hill Institute and GRM International for </w:t>
      </w:r>
      <w:r w:rsidR="001F5811">
        <w:rPr>
          <w:rFonts w:cs="Arial"/>
          <w:szCs w:val="22"/>
        </w:rPr>
        <w:t>Stage II</w:t>
      </w:r>
      <w:r w:rsidRPr="00253003">
        <w:rPr>
          <w:rFonts w:cs="Arial"/>
          <w:szCs w:val="22"/>
        </w:rPr>
        <w:t xml:space="preserve"> of the APTC. </w:t>
      </w:r>
    </w:p>
    <w:p w14:paraId="4FB52F95" w14:textId="77777777" w:rsidR="00253003" w:rsidRPr="00253003" w:rsidRDefault="00253003" w:rsidP="00253003">
      <w:pPr>
        <w:rPr>
          <w:rFonts w:cs="Arial"/>
          <w:szCs w:val="22"/>
        </w:rPr>
      </w:pPr>
      <w:r w:rsidRPr="00253003">
        <w:rPr>
          <w:rFonts w:cs="Arial"/>
          <w:szCs w:val="22"/>
        </w:rPr>
        <w:t xml:space="preserve">A Board representing the Managing Contractor of the APTC Stage II contract was established under a Consortium Agreement to provide strategic guidance, oversight and exercise proper corporate governance in respect of the Chief Executive Officer (CEO) in the performance of the APTC Contract and the Scope of Service. </w:t>
      </w:r>
    </w:p>
    <w:p w14:paraId="74EF3580" w14:textId="77777777" w:rsidR="00253003" w:rsidRPr="00253003" w:rsidRDefault="00253003" w:rsidP="00253003">
      <w:pPr>
        <w:rPr>
          <w:rFonts w:cs="Arial"/>
          <w:szCs w:val="22"/>
        </w:rPr>
      </w:pPr>
      <w:r w:rsidRPr="00253003">
        <w:rPr>
          <w:rFonts w:cs="Arial"/>
          <w:szCs w:val="22"/>
        </w:rPr>
        <w:t>DFAT expects the Consortium to advance APTC’s objectives and ensure compliance with the Terms of the Contract. The functions of the Board are set out in clause 6.2 of the Agreement and provide the reference point for the accountabilities of the Board with respect to their governance accountabilities and contract performance with DFAT.</w:t>
      </w:r>
    </w:p>
    <w:p w14:paraId="17E46F8E" w14:textId="6CC5DFDE" w:rsidR="00253003" w:rsidRPr="00392633" w:rsidRDefault="00253003" w:rsidP="00253003">
      <w:pPr>
        <w:rPr>
          <w:rFonts w:cs="Arial"/>
          <w:szCs w:val="22"/>
        </w:rPr>
      </w:pPr>
      <w:r w:rsidRPr="00253003">
        <w:rPr>
          <w:rFonts w:cs="Arial"/>
          <w:szCs w:val="22"/>
        </w:rPr>
        <w:t xml:space="preserve">While the Board is the ultimate source of authority on behalf of the </w:t>
      </w:r>
      <w:r w:rsidR="00247597">
        <w:rPr>
          <w:rFonts w:cs="Arial"/>
          <w:szCs w:val="22"/>
        </w:rPr>
        <w:t>M</w:t>
      </w:r>
      <w:r w:rsidRPr="00253003">
        <w:rPr>
          <w:rFonts w:cs="Arial"/>
          <w:szCs w:val="22"/>
        </w:rPr>
        <w:t xml:space="preserve">anaging </w:t>
      </w:r>
      <w:r w:rsidR="00247597">
        <w:rPr>
          <w:rFonts w:cs="Arial"/>
          <w:szCs w:val="22"/>
        </w:rPr>
        <w:t>C</w:t>
      </w:r>
      <w:r w:rsidRPr="00253003">
        <w:rPr>
          <w:rFonts w:cs="Arial"/>
          <w:szCs w:val="22"/>
        </w:rPr>
        <w:t>ontractor for the APTC and must bear responsibility for the performance of APTC, the Board assigns certain powers, duties and responsibilities to the CEO and management team of the APTC as appropriate to carry out roles and responsibilities as prescribed in the contract with DFAT.</w:t>
      </w:r>
    </w:p>
    <w:p w14:paraId="31985E66" w14:textId="59FCBE3C" w:rsidR="00253003" w:rsidRPr="00253003" w:rsidRDefault="00D46A79" w:rsidP="002028A6">
      <w:pPr>
        <w:pStyle w:val="Heading2"/>
        <w:rPr>
          <w:lang w:val="en-GB"/>
        </w:rPr>
      </w:pPr>
      <w:bookmarkStart w:id="26" w:name="_Toc274071592"/>
      <w:bookmarkStart w:id="27" w:name="_Toc274145030"/>
      <w:bookmarkStart w:id="28" w:name="_Toc274900422"/>
      <w:bookmarkStart w:id="29" w:name="_Toc274908109"/>
      <w:bookmarkStart w:id="30" w:name="_Toc274909800"/>
      <w:bookmarkStart w:id="31" w:name="_Toc278447815"/>
      <w:bookmarkStart w:id="32" w:name="_Toc278453288"/>
      <w:r>
        <w:rPr>
          <w:lang w:val="en-GB"/>
        </w:rPr>
        <w:t>1.3</w:t>
      </w:r>
      <w:r>
        <w:rPr>
          <w:lang w:val="en-GB"/>
        </w:rPr>
        <w:tab/>
      </w:r>
      <w:r w:rsidR="00253003" w:rsidRPr="00253003">
        <w:rPr>
          <w:lang w:val="en-GB"/>
        </w:rPr>
        <w:t>Purpose of the independent evaluation</w:t>
      </w:r>
      <w:bookmarkEnd w:id="26"/>
      <w:bookmarkEnd w:id="27"/>
      <w:bookmarkEnd w:id="28"/>
      <w:bookmarkEnd w:id="29"/>
      <w:bookmarkEnd w:id="30"/>
      <w:bookmarkEnd w:id="31"/>
      <w:bookmarkEnd w:id="32"/>
    </w:p>
    <w:p w14:paraId="3D6A314B" w14:textId="77777777" w:rsidR="00253003" w:rsidRPr="00253003" w:rsidRDefault="00253003" w:rsidP="00253003">
      <w:pPr>
        <w:rPr>
          <w:rFonts w:eastAsia="Calibri" w:cs="Arial"/>
          <w:szCs w:val="22"/>
          <w:lang w:val="en-GB"/>
        </w:rPr>
      </w:pPr>
      <w:r w:rsidRPr="00253003">
        <w:rPr>
          <w:rFonts w:eastAsia="Calibri" w:cs="Arial"/>
          <w:szCs w:val="22"/>
          <w:lang w:val="en-GB"/>
        </w:rPr>
        <w:t xml:space="preserve">DFAT is conducting an independent evaluation of Australian aid to the APTC in order to:  </w:t>
      </w:r>
    </w:p>
    <w:p w14:paraId="2DF1D39A" w14:textId="77777777" w:rsidR="00253003" w:rsidRPr="00253003" w:rsidRDefault="00253003" w:rsidP="005F45C2">
      <w:pPr>
        <w:pStyle w:val="ListParagraph"/>
        <w:numPr>
          <w:ilvl w:val="0"/>
          <w:numId w:val="3"/>
        </w:numPr>
        <w:spacing w:after="0"/>
        <w:rPr>
          <w:rFonts w:cs="Arial"/>
          <w:szCs w:val="22"/>
          <w:lang w:val="en-GB"/>
        </w:rPr>
      </w:pPr>
      <w:r w:rsidRPr="00253003">
        <w:rPr>
          <w:rFonts w:cs="Arial"/>
          <w:szCs w:val="22"/>
          <w:lang w:val="en-GB"/>
        </w:rPr>
        <w:t xml:space="preserve">assess the performance of the APTC against its three stated objectives with regard to its relevance, effectiveness, efficiency and sustainability </w:t>
      </w:r>
    </w:p>
    <w:p w14:paraId="314F8E1E" w14:textId="77777777" w:rsidR="00253003" w:rsidRPr="00253003" w:rsidRDefault="00253003" w:rsidP="005F45C2">
      <w:pPr>
        <w:pStyle w:val="ListParagraph"/>
        <w:numPr>
          <w:ilvl w:val="0"/>
          <w:numId w:val="3"/>
        </w:numPr>
        <w:spacing w:after="0"/>
        <w:rPr>
          <w:rFonts w:cs="Arial"/>
          <w:szCs w:val="22"/>
          <w:lang w:val="en-GB"/>
        </w:rPr>
      </w:pPr>
      <w:r w:rsidRPr="00253003">
        <w:rPr>
          <w:rFonts w:cs="Arial"/>
          <w:szCs w:val="22"/>
          <w:lang w:val="en-GB"/>
        </w:rPr>
        <w:t>assess the contribution and impact of the APTC to skills development in the Pacific</w:t>
      </w:r>
    </w:p>
    <w:p w14:paraId="540BE033" w14:textId="77777777" w:rsidR="00253003" w:rsidRPr="00253003" w:rsidRDefault="00253003" w:rsidP="005F45C2">
      <w:pPr>
        <w:pStyle w:val="ListParagraph"/>
        <w:numPr>
          <w:ilvl w:val="0"/>
          <w:numId w:val="3"/>
        </w:numPr>
        <w:spacing w:after="0"/>
        <w:rPr>
          <w:rFonts w:cs="Arial"/>
          <w:szCs w:val="22"/>
          <w:lang w:val="en-GB"/>
        </w:rPr>
      </w:pPr>
      <w:r w:rsidRPr="00253003">
        <w:rPr>
          <w:rFonts w:cs="Arial"/>
          <w:szCs w:val="22"/>
          <w:lang w:val="en-GB"/>
        </w:rPr>
        <w:t xml:space="preserve">identify ways in which APTC’s value for money (i.e. economy, efficiency and effectiveness) could be enhanced during the remaining years of the program cycle </w:t>
      </w:r>
    </w:p>
    <w:p w14:paraId="66A4F36B" w14:textId="048A44E9" w:rsidR="00253003" w:rsidRPr="00392633" w:rsidRDefault="00253003" w:rsidP="005F45C2">
      <w:pPr>
        <w:pStyle w:val="ListParagraph"/>
        <w:numPr>
          <w:ilvl w:val="0"/>
          <w:numId w:val="3"/>
        </w:numPr>
        <w:spacing w:after="0"/>
        <w:rPr>
          <w:rFonts w:cs="Arial"/>
          <w:szCs w:val="22"/>
          <w:lang w:val="en-GB"/>
        </w:rPr>
      </w:pPr>
      <w:r w:rsidRPr="00253003">
        <w:rPr>
          <w:rFonts w:cs="Arial"/>
          <w:szCs w:val="22"/>
          <w:lang w:val="en-GB"/>
        </w:rPr>
        <w:t xml:space="preserve">provide an evidence base that will inform future programming decisions </w:t>
      </w:r>
      <w:r w:rsidR="00EF5268">
        <w:rPr>
          <w:rFonts w:cs="Arial"/>
          <w:szCs w:val="22"/>
          <w:lang w:val="en-GB"/>
        </w:rPr>
        <w:br/>
      </w:r>
      <w:r w:rsidRPr="00253003">
        <w:rPr>
          <w:rFonts w:cs="Arial"/>
          <w:szCs w:val="22"/>
          <w:lang w:val="en-GB"/>
        </w:rPr>
        <w:t>beyond 2015</w:t>
      </w:r>
      <w:r w:rsidR="00EF5268">
        <w:rPr>
          <w:rFonts w:cs="Arial"/>
          <w:szCs w:val="22"/>
          <w:lang w:val="en-GB"/>
        </w:rPr>
        <w:t>.</w:t>
      </w:r>
      <w:r w:rsidRPr="00253003">
        <w:rPr>
          <w:rFonts w:cs="Arial"/>
          <w:szCs w:val="22"/>
          <w:lang w:val="en-GB"/>
        </w:rPr>
        <w:t xml:space="preserve"> </w:t>
      </w:r>
    </w:p>
    <w:p w14:paraId="611B497A" w14:textId="501AF47D" w:rsidR="00253003" w:rsidRPr="00253003" w:rsidRDefault="00D46A79" w:rsidP="002028A6">
      <w:pPr>
        <w:pStyle w:val="Heading2"/>
        <w:rPr>
          <w:lang w:val="en-GB"/>
        </w:rPr>
      </w:pPr>
      <w:bookmarkStart w:id="33" w:name="_Toc274071593"/>
      <w:bookmarkStart w:id="34" w:name="_Toc274145031"/>
      <w:bookmarkStart w:id="35" w:name="_Toc274900423"/>
      <w:bookmarkStart w:id="36" w:name="_Toc274908110"/>
      <w:bookmarkStart w:id="37" w:name="_Toc274909801"/>
      <w:bookmarkStart w:id="38" w:name="_Toc278447816"/>
      <w:bookmarkStart w:id="39" w:name="_Toc278453289"/>
      <w:r>
        <w:rPr>
          <w:lang w:val="en-GB"/>
        </w:rPr>
        <w:t>1.4</w:t>
      </w:r>
      <w:r>
        <w:rPr>
          <w:lang w:val="en-GB"/>
        </w:rPr>
        <w:tab/>
      </w:r>
      <w:r w:rsidR="00253003" w:rsidRPr="00253003">
        <w:rPr>
          <w:lang w:val="en-GB"/>
        </w:rPr>
        <w:t>Primary users of the evaluation</w:t>
      </w:r>
      <w:bookmarkEnd w:id="33"/>
      <w:bookmarkEnd w:id="34"/>
      <w:bookmarkEnd w:id="35"/>
      <w:bookmarkEnd w:id="36"/>
      <w:bookmarkEnd w:id="37"/>
      <w:bookmarkEnd w:id="38"/>
      <w:bookmarkEnd w:id="39"/>
    </w:p>
    <w:p w14:paraId="6EDEC5F4" w14:textId="03EDC3BE" w:rsidR="00253003" w:rsidRPr="00392633" w:rsidRDefault="00253003" w:rsidP="00253003">
      <w:pPr>
        <w:rPr>
          <w:rFonts w:cs="Arial"/>
          <w:szCs w:val="22"/>
          <w:lang w:val="en-GB"/>
        </w:rPr>
      </w:pPr>
      <w:r w:rsidRPr="00253003">
        <w:rPr>
          <w:rFonts w:cs="Arial"/>
          <w:szCs w:val="22"/>
          <w:lang w:val="en-GB"/>
        </w:rPr>
        <w:t xml:space="preserve">The primary users of the evaluation are staff of the Department of Foreign Affairs and Trade including its Australian Aid Program (Senior Executive and Program staff at desk and </w:t>
      </w:r>
      <w:r w:rsidR="00EF5268">
        <w:rPr>
          <w:rFonts w:cs="Arial"/>
          <w:szCs w:val="22"/>
          <w:lang w:val="en-GB"/>
        </w:rPr>
        <w:t>P</w:t>
      </w:r>
      <w:r w:rsidRPr="00253003">
        <w:rPr>
          <w:rFonts w:cs="Arial"/>
          <w:szCs w:val="22"/>
          <w:lang w:val="en-GB"/>
        </w:rPr>
        <w:t xml:space="preserve">ost), and Pacific regional stakeholders including partner </w:t>
      </w:r>
      <w:r w:rsidR="00EF5268">
        <w:rPr>
          <w:rFonts w:cs="Arial"/>
          <w:szCs w:val="22"/>
          <w:lang w:val="en-GB"/>
        </w:rPr>
        <w:t>g</w:t>
      </w:r>
      <w:r w:rsidRPr="00253003">
        <w:rPr>
          <w:rFonts w:cs="Arial"/>
          <w:szCs w:val="22"/>
          <w:lang w:val="en-GB"/>
        </w:rPr>
        <w:t xml:space="preserve">overnment and TVET </w:t>
      </w:r>
      <w:r w:rsidR="00D57D0F">
        <w:rPr>
          <w:rFonts w:cs="Arial"/>
          <w:szCs w:val="22"/>
          <w:lang w:val="en-GB"/>
        </w:rPr>
        <w:t>p</w:t>
      </w:r>
      <w:r w:rsidRPr="00253003">
        <w:rPr>
          <w:rFonts w:cs="Arial"/>
          <w:szCs w:val="22"/>
          <w:lang w:val="en-GB"/>
        </w:rPr>
        <w:t xml:space="preserve">roviders, industry and employers.  </w:t>
      </w:r>
    </w:p>
    <w:p w14:paraId="735D0C69" w14:textId="35224071" w:rsidR="00253003" w:rsidRPr="00253003" w:rsidRDefault="00D46A79" w:rsidP="002028A6">
      <w:pPr>
        <w:pStyle w:val="Heading2"/>
        <w:rPr>
          <w:lang w:val="en-GB"/>
        </w:rPr>
      </w:pPr>
      <w:bookmarkStart w:id="40" w:name="_Toc274071594"/>
      <w:bookmarkStart w:id="41" w:name="_Toc274145032"/>
      <w:bookmarkStart w:id="42" w:name="_Toc274900424"/>
      <w:bookmarkStart w:id="43" w:name="_Toc274908111"/>
      <w:bookmarkStart w:id="44" w:name="_Toc274909802"/>
      <w:bookmarkStart w:id="45" w:name="_Toc278447817"/>
      <w:bookmarkStart w:id="46" w:name="_Toc278453290"/>
      <w:r>
        <w:rPr>
          <w:lang w:val="en-GB"/>
        </w:rPr>
        <w:lastRenderedPageBreak/>
        <w:t>1.5</w:t>
      </w:r>
      <w:r>
        <w:rPr>
          <w:lang w:val="en-GB"/>
        </w:rPr>
        <w:tab/>
      </w:r>
      <w:r w:rsidR="00253003" w:rsidRPr="00253003">
        <w:rPr>
          <w:lang w:val="en-GB"/>
        </w:rPr>
        <w:t>Management decisions to be informed by evaluation</w:t>
      </w:r>
      <w:bookmarkEnd w:id="40"/>
      <w:bookmarkEnd w:id="41"/>
      <w:bookmarkEnd w:id="42"/>
      <w:bookmarkEnd w:id="43"/>
      <w:bookmarkEnd w:id="44"/>
      <w:bookmarkEnd w:id="45"/>
      <w:bookmarkEnd w:id="46"/>
    </w:p>
    <w:p w14:paraId="53B21234" w14:textId="2964DFDC" w:rsidR="00253003" w:rsidRPr="00392633" w:rsidRDefault="00253003" w:rsidP="00253003">
      <w:pPr>
        <w:rPr>
          <w:rFonts w:eastAsia="Calibri" w:cs="Arial"/>
          <w:szCs w:val="22"/>
          <w:lang w:val="en-GB"/>
        </w:rPr>
      </w:pPr>
      <w:r w:rsidRPr="00253003">
        <w:rPr>
          <w:rFonts w:eastAsia="Calibri" w:cs="Arial"/>
          <w:szCs w:val="22"/>
          <w:lang w:val="en-GB"/>
        </w:rPr>
        <w:t xml:space="preserve">Evidence and lessons learned from the evaluation will be used to inform the future direction of the APTC beyond the life of the current contract and other areas of assistance being planned at the </w:t>
      </w:r>
      <w:r w:rsidR="00D57D0F">
        <w:rPr>
          <w:rFonts w:eastAsia="Calibri" w:cs="Arial"/>
          <w:szCs w:val="22"/>
          <w:lang w:val="en-GB"/>
        </w:rPr>
        <w:t>p</w:t>
      </w:r>
      <w:r w:rsidRPr="00253003">
        <w:rPr>
          <w:rFonts w:eastAsia="Calibri" w:cs="Arial"/>
          <w:szCs w:val="22"/>
          <w:lang w:val="en-GB"/>
        </w:rPr>
        <w:t>ost-</w:t>
      </w:r>
      <w:r w:rsidR="00D57D0F">
        <w:rPr>
          <w:rFonts w:eastAsia="Calibri" w:cs="Arial"/>
          <w:szCs w:val="22"/>
          <w:lang w:val="en-GB"/>
        </w:rPr>
        <w:t>s</w:t>
      </w:r>
      <w:r w:rsidRPr="00253003">
        <w:rPr>
          <w:rFonts w:eastAsia="Calibri" w:cs="Arial"/>
          <w:szCs w:val="22"/>
          <w:lang w:val="en-GB"/>
        </w:rPr>
        <w:t xml:space="preserve">econdary education level, including skills development and labour mobility schemes. Findings will also inform decisions about the refinement of programming and management within the current phase of the APTC.  </w:t>
      </w:r>
    </w:p>
    <w:p w14:paraId="71712AAE" w14:textId="7E0F1181" w:rsidR="00253003" w:rsidRPr="00253003" w:rsidRDefault="00D46A79" w:rsidP="002028A6">
      <w:pPr>
        <w:pStyle w:val="Heading2"/>
      </w:pPr>
      <w:bookmarkStart w:id="47" w:name="_Toc274071595"/>
      <w:bookmarkStart w:id="48" w:name="_Toc274145033"/>
      <w:bookmarkStart w:id="49" w:name="_Toc274900425"/>
      <w:bookmarkStart w:id="50" w:name="_Toc274908112"/>
      <w:bookmarkStart w:id="51" w:name="_Toc274909803"/>
      <w:bookmarkStart w:id="52" w:name="_Toc278447818"/>
      <w:bookmarkStart w:id="53" w:name="_Toc278453291"/>
      <w:r>
        <w:t>1.6</w:t>
      </w:r>
      <w:r>
        <w:tab/>
      </w:r>
      <w:r w:rsidR="00253003" w:rsidRPr="00253003">
        <w:t>Key issues</w:t>
      </w:r>
      <w:bookmarkEnd w:id="47"/>
      <w:bookmarkEnd w:id="48"/>
      <w:bookmarkEnd w:id="49"/>
      <w:bookmarkEnd w:id="50"/>
      <w:bookmarkEnd w:id="51"/>
      <w:bookmarkEnd w:id="52"/>
      <w:bookmarkEnd w:id="53"/>
    </w:p>
    <w:p w14:paraId="1D7F5497" w14:textId="1AF1671B" w:rsidR="00253003" w:rsidRPr="00392633" w:rsidRDefault="00253003" w:rsidP="00392633">
      <w:pPr>
        <w:rPr>
          <w:rFonts w:eastAsia="Calibri" w:cs="Arial"/>
          <w:szCs w:val="22"/>
          <w:lang w:val="en-GB"/>
        </w:rPr>
      </w:pPr>
      <w:r w:rsidRPr="00253003">
        <w:rPr>
          <w:rFonts w:eastAsia="Calibri" w:cs="Arial"/>
          <w:szCs w:val="22"/>
          <w:lang w:val="en-GB"/>
        </w:rPr>
        <w:t>The APTC has been operating in the Pacific since July 20</w:t>
      </w:r>
      <w:r w:rsidR="00392633">
        <w:rPr>
          <w:rFonts w:eastAsia="Calibri" w:cs="Arial"/>
          <w:szCs w:val="22"/>
          <w:lang w:val="en-GB"/>
        </w:rPr>
        <w:t xml:space="preserve">07. </w:t>
      </w:r>
      <w:r w:rsidRPr="00253003">
        <w:rPr>
          <w:rFonts w:eastAsia="Calibri" w:cs="Arial"/>
          <w:szCs w:val="22"/>
          <w:lang w:val="en-GB"/>
        </w:rPr>
        <w:t xml:space="preserve">The College has been acknowledged by Pacific </w:t>
      </w:r>
      <w:r w:rsidR="00D57D0F">
        <w:rPr>
          <w:rFonts w:eastAsia="Calibri" w:cs="Arial"/>
          <w:szCs w:val="22"/>
          <w:lang w:val="en-GB"/>
        </w:rPr>
        <w:t>l</w:t>
      </w:r>
      <w:r w:rsidRPr="00253003">
        <w:rPr>
          <w:rFonts w:eastAsia="Calibri" w:cs="Arial"/>
          <w:szCs w:val="22"/>
          <w:lang w:val="en-GB"/>
        </w:rPr>
        <w:t xml:space="preserve">eaders as contributing to closing the skills gap in the Pacific and </w:t>
      </w:r>
      <w:r w:rsidR="00D57D0F">
        <w:rPr>
          <w:rFonts w:eastAsia="Calibri" w:cs="Arial"/>
          <w:szCs w:val="22"/>
          <w:lang w:val="en-GB"/>
        </w:rPr>
        <w:t xml:space="preserve">is </w:t>
      </w:r>
      <w:r w:rsidRPr="00253003">
        <w:rPr>
          <w:rFonts w:eastAsia="Calibri" w:cs="Arial"/>
          <w:szCs w:val="22"/>
          <w:lang w:val="en-GB"/>
        </w:rPr>
        <w:t xml:space="preserve">appreciated by industry and employers. </w:t>
      </w:r>
    </w:p>
    <w:p w14:paraId="38DCF69A" w14:textId="7F992769" w:rsidR="00253003" w:rsidRPr="00253003" w:rsidRDefault="00253003" w:rsidP="00253003">
      <w:pPr>
        <w:rPr>
          <w:rFonts w:eastAsia="Calibri" w:cs="Arial"/>
          <w:szCs w:val="22"/>
          <w:lang w:val="en-GB"/>
        </w:rPr>
      </w:pPr>
      <w:r w:rsidRPr="00253003">
        <w:rPr>
          <w:rFonts w:eastAsia="Calibri" w:cs="Arial"/>
          <w:szCs w:val="22"/>
          <w:lang w:val="en-GB"/>
        </w:rPr>
        <w:t>APTC is</w:t>
      </w:r>
      <w:r w:rsidR="00392633">
        <w:rPr>
          <w:rFonts w:eastAsia="Calibri" w:cs="Arial"/>
          <w:szCs w:val="22"/>
          <w:lang w:val="en-GB"/>
        </w:rPr>
        <w:t xml:space="preserve"> moving into its seventh year. </w:t>
      </w:r>
      <w:r w:rsidRPr="00253003">
        <w:rPr>
          <w:rFonts w:eastAsia="Calibri" w:cs="Arial"/>
          <w:szCs w:val="22"/>
          <w:lang w:val="en-GB"/>
        </w:rPr>
        <w:t xml:space="preserve">It currently operates in </w:t>
      </w:r>
      <w:r w:rsidR="005F45C2">
        <w:rPr>
          <w:rFonts w:eastAsia="Calibri" w:cs="Arial"/>
          <w:szCs w:val="22"/>
          <w:lang w:val="en-GB"/>
        </w:rPr>
        <w:t>five</w:t>
      </w:r>
      <w:r w:rsidRPr="00253003">
        <w:rPr>
          <w:rFonts w:eastAsia="Calibri" w:cs="Arial"/>
          <w:szCs w:val="22"/>
          <w:lang w:val="en-GB"/>
        </w:rPr>
        <w:t xml:space="preserve"> countries</w:t>
      </w:r>
      <w:r w:rsidR="005F45C2">
        <w:rPr>
          <w:rFonts w:eastAsia="Calibri" w:cs="Arial"/>
          <w:szCs w:val="22"/>
          <w:lang w:val="en-GB"/>
        </w:rPr>
        <w:t>:</w:t>
      </w:r>
      <w:r w:rsidRPr="00253003">
        <w:rPr>
          <w:rFonts w:eastAsia="Calibri" w:cs="Arial"/>
          <w:szCs w:val="22"/>
          <w:lang w:val="en-GB"/>
        </w:rPr>
        <w:t xml:space="preserve"> Fiji, PNG, Samoa, S</w:t>
      </w:r>
      <w:r w:rsidR="00392633">
        <w:rPr>
          <w:rFonts w:eastAsia="Calibri" w:cs="Arial"/>
          <w:szCs w:val="22"/>
          <w:lang w:val="en-GB"/>
        </w:rPr>
        <w:t xml:space="preserve">olomon Islands and Vanuatu. </w:t>
      </w:r>
      <w:r w:rsidRPr="00253003">
        <w:rPr>
          <w:rFonts w:eastAsia="Calibri" w:cs="Arial"/>
          <w:szCs w:val="22"/>
          <w:lang w:val="en-GB"/>
        </w:rPr>
        <w:t>It ph</w:t>
      </w:r>
      <w:r w:rsidR="005F45C2">
        <w:rPr>
          <w:rFonts w:eastAsia="Calibri" w:cs="Arial"/>
          <w:szCs w:val="22"/>
          <w:lang w:val="en-GB"/>
        </w:rPr>
        <w:t>ysically exists in three forms:</w:t>
      </w:r>
      <w:r w:rsidRPr="00253003">
        <w:rPr>
          <w:rFonts w:eastAsia="Calibri" w:cs="Arial"/>
          <w:szCs w:val="22"/>
          <w:lang w:val="en-GB"/>
        </w:rPr>
        <w:t xml:space="preserve"> in partnership with industry (e.g. with Tanoa Group of Hotels based in Rakiraki, Fiji)</w:t>
      </w:r>
      <w:r w:rsidR="00060597">
        <w:rPr>
          <w:rFonts w:eastAsia="Calibri" w:cs="Arial"/>
          <w:szCs w:val="22"/>
          <w:lang w:val="en-GB"/>
        </w:rPr>
        <w:t>;</w:t>
      </w:r>
      <w:r w:rsidRPr="00253003">
        <w:rPr>
          <w:rFonts w:eastAsia="Calibri" w:cs="Arial"/>
          <w:szCs w:val="22"/>
          <w:lang w:val="en-GB"/>
        </w:rPr>
        <w:t xml:space="preserve"> in partnership with local TVET institution (e.g. with National University of Samoa in Apia, Samoa or Vanuatu Institute of Technology in Port Vila, Vanuatu)</w:t>
      </w:r>
      <w:r w:rsidR="00060597">
        <w:rPr>
          <w:rFonts w:eastAsia="Calibri" w:cs="Arial"/>
          <w:szCs w:val="22"/>
          <w:lang w:val="en-GB"/>
        </w:rPr>
        <w:t>;</w:t>
      </w:r>
      <w:r w:rsidRPr="00253003">
        <w:rPr>
          <w:rFonts w:eastAsia="Calibri" w:cs="Arial"/>
          <w:szCs w:val="22"/>
          <w:lang w:val="en-GB"/>
        </w:rPr>
        <w:t xml:space="preserve"> or on its own where a partnership agreement has not been negotiated (e.g. the School of Health and Comm</w:t>
      </w:r>
      <w:r w:rsidR="00392633">
        <w:rPr>
          <w:rFonts w:eastAsia="Calibri" w:cs="Arial"/>
          <w:szCs w:val="22"/>
          <w:lang w:val="en-GB"/>
        </w:rPr>
        <w:t xml:space="preserve">unity Services in Suva, Fiji). </w:t>
      </w:r>
      <w:r w:rsidRPr="00253003">
        <w:rPr>
          <w:rFonts w:eastAsia="Calibri" w:cs="Arial"/>
          <w:szCs w:val="22"/>
          <w:lang w:val="en-GB"/>
        </w:rPr>
        <w:t>The partnerships have proven to be a sustainable way of providing capacity building to partner institutions and im</w:t>
      </w:r>
      <w:r w:rsidR="00392633">
        <w:rPr>
          <w:rFonts w:eastAsia="Calibri" w:cs="Arial"/>
          <w:szCs w:val="22"/>
          <w:lang w:val="en-GB"/>
        </w:rPr>
        <w:t xml:space="preserve">proving standards in industry. </w:t>
      </w:r>
      <w:r w:rsidRPr="00253003">
        <w:rPr>
          <w:rFonts w:eastAsia="Calibri" w:cs="Arial"/>
          <w:szCs w:val="22"/>
          <w:lang w:val="en-GB"/>
        </w:rPr>
        <w:t xml:space="preserve">Pathway models with </w:t>
      </w:r>
      <w:r w:rsidR="00753CE9">
        <w:rPr>
          <w:rFonts w:eastAsia="Calibri" w:cs="Arial"/>
          <w:szCs w:val="22"/>
          <w:lang w:val="en-GB"/>
        </w:rPr>
        <w:t xml:space="preserve">the </w:t>
      </w:r>
      <w:r w:rsidRPr="00253003">
        <w:rPr>
          <w:rFonts w:eastAsia="Calibri" w:cs="Arial"/>
          <w:szCs w:val="22"/>
          <w:lang w:val="en-GB"/>
        </w:rPr>
        <w:t xml:space="preserve">Kiribati Institute of Technology and Don Bosco Institute in Honiara are also proving to be an efficient way to build up the local institutions, grow the numbers of skilled TVET trainers and provide an opportunity for further study with APTC for their graduates. </w:t>
      </w:r>
    </w:p>
    <w:p w14:paraId="0FED524E" w14:textId="135A690D" w:rsidR="00253003" w:rsidRPr="00253003" w:rsidRDefault="00253003" w:rsidP="00253003">
      <w:pPr>
        <w:rPr>
          <w:rFonts w:eastAsia="Calibri" w:cs="Arial"/>
          <w:szCs w:val="22"/>
          <w:lang w:val="en-GB"/>
        </w:rPr>
      </w:pPr>
      <w:r w:rsidRPr="00253003">
        <w:rPr>
          <w:rFonts w:eastAsia="Calibri" w:cs="Arial"/>
          <w:szCs w:val="22"/>
          <w:lang w:val="en-GB"/>
        </w:rPr>
        <w:t xml:space="preserve">As a college that is demand-driven, </w:t>
      </w:r>
      <w:r w:rsidR="00753CE9">
        <w:rPr>
          <w:rFonts w:eastAsia="Calibri" w:cs="Arial"/>
          <w:szCs w:val="22"/>
          <w:lang w:val="en-GB"/>
        </w:rPr>
        <w:t>APTC</w:t>
      </w:r>
      <w:r w:rsidRPr="00253003">
        <w:rPr>
          <w:rFonts w:eastAsia="Calibri" w:cs="Arial"/>
          <w:szCs w:val="22"/>
          <w:lang w:val="en-GB"/>
        </w:rPr>
        <w:t xml:space="preserve"> has unexpectedly had a very low rate of labour mobility. While the Clemens study</w:t>
      </w:r>
      <w:r w:rsidRPr="00253003">
        <w:rPr>
          <w:rStyle w:val="FootnoteReference"/>
          <w:rFonts w:eastAsia="Calibri" w:cs="Arial"/>
          <w:szCs w:val="22"/>
          <w:lang w:val="en-GB"/>
        </w:rPr>
        <w:footnoteReference w:id="3"/>
      </w:r>
      <w:r w:rsidRPr="00253003">
        <w:rPr>
          <w:rFonts w:eastAsia="Calibri" w:cs="Arial"/>
          <w:szCs w:val="22"/>
          <w:lang w:val="en-GB"/>
        </w:rPr>
        <w:t xml:space="preserve"> has identified that the skills recognition requirements for nations such as Australia is an impediment, these compliance requirement</w:t>
      </w:r>
      <w:r w:rsidR="00392633">
        <w:rPr>
          <w:rFonts w:eastAsia="Calibri" w:cs="Arial"/>
          <w:szCs w:val="22"/>
          <w:lang w:val="en-GB"/>
        </w:rPr>
        <w:t xml:space="preserve">s do not apply to all nations. </w:t>
      </w:r>
      <w:r w:rsidRPr="00253003">
        <w:rPr>
          <w:rFonts w:eastAsia="Calibri" w:cs="Arial"/>
          <w:szCs w:val="22"/>
          <w:lang w:val="en-GB"/>
        </w:rPr>
        <w:t>Identifying an enabling environment for labour mobility in the region and to other countries will be another focus of this evaluation, as this was part of the mandate of the original design of the APTC.</w:t>
      </w:r>
    </w:p>
    <w:p w14:paraId="1E7B4471" w14:textId="79DE81A7" w:rsidR="00253003" w:rsidRPr="00253003" w:rsidRDefault="00253003" w:rsidP="00253003">
      <w:pPr>
        <w:rPr>
          <w:rFonts w:eastAsia="Calibri" w:cs="Arial"/>
          <w:szCs w:val="22"/>
          <w:lang w:val="en-GB"/>
        </w:rPr>
      </w:pPr>
      <w:r w:rsidRPr="00253003">
        <w:rPr>
          <w:rFonts w:eastAsia="Calibri" w:cs="Arial"/>
          <w:szCs w:val="22"/>
          <w:lang w:val="en-GB"/>
        </w:rPr>
        <w:t xml:space="preserve">During the design of </w:t>
      </w:r>
      <w:r w:rsidR="001F5811">
        <w:rPr>
          <w:rFonts w:eastAsia="Calibri" w:cs="Arial"/>
          <w:szCs w:val="22"/>
          <w:lang w:val="en-GB"/>
        </w:rPr>
        <w:t>Stage II</w:t>
      </w:r>
      <w:r w:rsidRPr="00253003">
        <w:rPr>
          <w:rFonts w:eastAsia="Calibri" w:cs="Arial"/>
          <w:szCs w:val="22"/>
          <w:lang w:val="en-GB"/>
        </w:rPr>
        <w:t xml:space="preserve"> of the APTC, the longer</w:t>
      </w:r>
      <w:r w:rsidR="005F45C2">
        <w:rPr>
          <w:rFonts w:eastAsia="Calibri" w:cs="Arial"/>
          <w:szCs w:val="22"/>
          <w:lang w:val="en-GB"/>
        </w:rPr>
        <w:t>-</w:t>
      </w:r>
      <w:r w:rsidRPr="00253003">
        <w:rPr>
          <w:rFonts w:eastAsia="Calibri" w:cs="Arial"/>
          <w:szCs w:val="22"/>
          <w:lang w:val="en-GB"/>
        </w:rPr>
        <w:t xml:space="preserve">term form of the </w:t>
      </w:r>
      <w:r w:rsidR="00486A51">
        <w:rPr>
          <w:rFonts w:eastAsia="Calibri" w:cs="Arial"/>
          <w:szCs w:val="22"/>
          <w:lang w:val="en-GB"/>
        </w:rPr>
        <w:t>C</w:t>
      </w:r>
      <w:r w:rsidRPr="00253003">
        <w:rPr>
          <w:rFonts w:eastAsia="Calibri" w:cs="Arial"/>
          <w:szCs w:val="22"/>
          <w:lang w:val="en-GB"/>
        </w:rPr>
        <w:t xml:space="preserve">ollege was identified as a key issue to be </w:t>
      </w:r>
      <w:r w:rsidR="00392633">
        <w:rPr>
          <w:rFonts w:eastAsia="Calibri" w:cs="Arial"/>
          <w:szCs w:val="22"/>
          <w:lang w:val="en-GB"/>
        </w:rPr>
        <w:t xml:space="preserve">looked into during this stage. </w:t>
      </w:r>
      <w:r w:rsidRPr="00253003">
        <w:rPr>
          <w:rFonts w:eastAsia="Calibri" w:cs="Arial"/>
          <w:szCs w:val="22"/>
          <w:lang w:val="en-GB"/>
        </w:rPr>
        <w:t>Various options have been discussed which should be considered as background reading with the Skilling Youth of the Pacific draft design during this evaluation.</w:t>
      </w:r>
      <w:r w:rsidRPr="00253003">
        <w:rPr>
          <w:rStyle w:val="FootnoteReference"/>
          <w:rFonts w:eastAsia="Calibri" w:cs="Arial"/>
          <w:szCs w:val="22"/>
          <w:lang w:val="en-GB"/>
        </w:rPr>
        <w:footnoteReference w:id="4"/>
      </w:r>
      <w:r w:rsidR="00392633">
        <w:rPr>
          <w:rFonts w:eastAsia="Calibri" w:cs="Arial"/>
          <w:szCs w:val="22"/>
          <w:lang w:val="en-GB"/>
        </w:rPr>
        <w:t xml:space="preserve"> </w:t>
      </w:r>
      <w:r w:rsidRPr="00253003">
        <w:rPr>
          <w:rFonts w:eastAsia="Calibri" w:cs="Arial"/>
          <w:szCs w:val="22"/>
          <w:lang w:val="en-GB"/>
        </w:rPr>
        <w:t>The contracting aid budget will also be a consideration. The existing APTC contract ends in June 2015 with the option to extend the</w:t>
      </w:r>
      <w:r w:rsidR="00392633">
        <w:rPr>
          <w:rFonts w:eastAsia="Calibri" w:cs="Arial"/>
          <w:szCs w:val="22"/>
          <w:lang w:val="en-GB"/>
        </w:rPr>
        <w:t xml:space="preserve"> contract for another </w:t>
      </w:r>
      <w:r w:rsidR="00FE1E2C">
        <w:rPr>
          <w:rFonts w:eastAsia="Calibri" w:cs="Arial"/>
          <w:szCs w:val="22"/>
          <w:lang w:val="en-GB"/>
        </w:rPr>
        <w:t>four</w:t>
      </w:r>
      <w:r w:rsidR="00392633">
        <w:rPr>
          <w:rFonts w:eastAsia="Calibri" w:cs="Arial"/>
          <w:szCs w:val="22"/>
          <w:lang w:val="en-GB"/>
        </w:rPr>
        <w:t xml:space="preserve"> years. </w:t>
      </w:r>
      <w:r w:rsidRPr="00253003">
        <w:rPr>
          <w:rFonts w:eastAsia="Calibri" w:cs="Arial"/>
          <w:szCs w:val="22"/>
          <w:lang w:val="en-GB"/>
        </w:rPr>
        <w:t>Emerging initiatives for the Aid Program</w:t>
      </w:r>
      <w:r w:rsidR="00486A51">
        <w:rPr>
          <w:rFonts w:eastAsia="Calibri" w:cs="Arial"/>
          <w:szCs w:val="22"/>
          <w:lang w:val="en-GB"/>
        </w:rPr>
        <w:t>,</w:t>
      </w:r>
      <w:r w:rsidRPr="00253003">
        <w:rPr>
          <w:rFonts w:eastAsia="Calibri" w:cs="Arial"/>
          <w:szCs w:val="22"/>
          <w:lang w:val="en-GB"/>
        </w:rPr>
        <w:t xml:space="preserve"> including Skil</w:t>
      </w:r>
      <w:r w:rsidR="00486A51">
        <w:rPr>
          <w:rFonts w:eastAsia="Calibri" w:cs="Arial"/>
          <w:szCs w:val="22"/>
          <w:lang w:val="en-GB"/>
        </w:rPr>
        <w:t>ling Youth of the Pacific (SYP)</w:t>
      </w:r>
      <w:r w:rsidR="00392633">
        <w:rPr>
          <w:rFonts w:eastAsia="Calibri" w:cs="Arial"/>
          <w:szCs w:val="22"/>
          <w:lang w:val="en-GB"/>
        </w:rPr>
        <w:t xml:space="preserve"> </w:t>
      </w:r>
      <w:r w:rsidRPr="00253003">
        <w:rPr>
          <w:rFonts w:eastAsia="Calibri" w:cs="Arial"/>
          <w:szCs w:val="22"/>
          <w:lang w:val="en-GB"/>
        </w:rPr>
        <w:t>and the new design of the Labour Mobility part of the Seasonal Workers Scheme</w:t>
      </w:r>
      <w:r w:rsidR="00486A51">
        <w:rPr>
          <w:rFonts w:eastAsia="Calibri" w:cs="Arial"/>
          <w:szCs w:val="22"/>
          <w:lang w:val="en-GB"/>
        </w:rPr>
        <w:t>,</w:t>
      </w:r>
      <w:r w:rsidRPr="00253003">
        <w:rPr>
          <w:rFonts w:eastAsia="Calibri" w:cs="Arial"/>
          <w:szCs w:val="22"/>
          <w:lang w:val="en-GB"/>
        </w:rPr>
        <w:t xml:space="preserve"> are also to be considered in this evaluation to determine how best APTC can place itself to co</w:t>
      </w:r>
      <w:r w:rsidR="005F45C2">
        <w:rPr>
          <w:rFonts w:eastAsia="Calibri" w:cs="Arial"/>
          <w:szCs w:val="22"/>
          <w:lang w:val="en-GB"/>
        </w:rPr>
        <w:t xml:space="preserve">mplement upcoming initiatives. </w:t>
      </w:r>
      <w:r w:rsidRPr="00253003">
        <w:rPr>
          <w:rFonts w:eastAsia="Calibri" w:cs="Arial"/>
          <w:szCs w:val="22"/>
          <w:lang w:val="en-GB"/>
        </w:rPr>
        <w:t>APTC Scholarships has always been run separately from all the o</w:t>
      </w:r>
      <w:r w:rsidR="00392633">
        <w:rPr>
          <w:rFonts w:eastAsia="Calibri" w:cs="Arial"/>
          <w:szCs w:val="22"/>
          <w:lang w:val="en-GB"/>
        </w:rPr>
        <w:t xml:space="preserve">ther Aid Program Scholarships. </w:t>
      </w:r>
      <w:r w:rsidRPr="00253003">
        <w:rPr>
          <w:rFonts w:eastAsia="Calibri" w:cs="Arial"/>
          <w:szCs w:val="22"/>
          <w:lang w:val="en-GB"/>
        </w:rPr>
        <w:t>Opportunities for collaboration going forward are to be considered.</w:t>
      </w:r>
    </w:p>
    <w:p w14:paraId="0FB3367D" w14:textId="77777777" w:rsidR="001F3BF7" w:rsidRDefault="001F3BF7">
      <w:pPr>
        <w:spacing w:after="0"/>
        <w:rPr>
          <w:rFonts w:eastAsia="Calibri" w:cs="Arial"/>
          <w:b/>
          <w:bCs/>
          <w:color w:val="76923C"/>
          <w:sz w:val="24"/>
          <w:szCs w:val="28"/>
          <w:lang w:val="en-GB"/>
        </w:rPr>
      </w:pPr>
      <w:r>
        <w:rPr>
          <w:rFonts w:eastAsia="Calibri"/>
          <w:lang w:val="en-GB"/>
        </w:rPr>
        <w:br w:type="page"/>
      </w:r>
    </w:p>
    <w:p w14:paraId="79FD6F2D" w14:textId="343B02CC" w:rsidR="00253003" w:rsidRPr="00253003" w:rsidRDefault="007324D7" w:rsidP="002028A6">
      <w:pPr>
        <w:pStyle w:val="Heading1"/>
        <w:rPr>
          <w:lang w:val="en-GB"/>
        </w:rPr>
      </w:pPr>
      <w:bookmarkStart w:id="54" w:name="_Toc278447819"/>
      <w:bookmarkStart w:id="55" w:name="_Toc278453292"/>
      <w:r>
        <w:rPr>
          <w:rFonts w:eastAsia="Calibri"/>
          <w:lang w:val="en-GB"/>
        </w:rPr>
        <w:lastRenderedPageBreak/>
        <w:t>2</w:t>
      </w:r>
      <w:r>
        <w:rPr>
          <w:rFonts w:eastAsia="Calibri"/>
          <w:lang w:val="en-GB"/>
        </w:rPr>
        <w:tab/>
      </w:r>
      <w:r w:rsidR="00253003" w:rsidRPr="00253003">
        <w:rPr>
          <w:rFonts w:eastAsia="Calibri"/>
          <w:lang w:val="en-GB"/>
        </w:rPr>
        <w:t>Evaluation scope and duration</w:t>
      </w:r>
      <w:bookmarkEnd w:id="54"/>
      <w:bookmarkEnd w:id="55"/>
    </w:p>
    <w:p w14:paraId="0A9F002C" w14:textId="56E722CD" w:rsidR="003D355F" w:rsidRDefault="00A575A5" w:rsidP="002028A6">
      <w:pPr>
        <w:pStyle w:val="Heading2"/>
        <w:rPr>
          <w:lang w:val="en-GB"/>
        </w:rPr>
      </w:pPr>
      <w:bookmarkStart w:id="56" w:name="_Toc274145035"/>
      <w:bookmarkStart w:id="57" w:name="_Toc274900427"/>
      <w:bookmarkStart w:id="58" w:name="_Toc274908114"/>
      <w:bookmarkStart w:id="59" w:name="_Toc274909805"/>
      <w:bookmarkStart w:id="60" w:name="_Toc278447820"/>
      <w:bookmarkStart w:id="61" w:name="_Toc278453293"/>
      <w:r>
        <w:rPr>
          <w:lang w:val="en-GB"/>
        </w:rPr>
        <w:t xml:space="preserve">2.1 </w:t>
      </w:r>
      <w:r w:rsidR="007324D7">
        <w:rPr>
          <w:lang w:val="en-GB"/>
        </w:rPr>
        <w:tab/>
      </w:r>
      <w:r w:rsidR="00253003" w:rsidRPr="00253003">
        <w:rPr>
          <w:lang w:val="en-GB"/>
        </w:rPr>
        <w:t>Themes to be addressed</w:t>
      </w:r>
      <w:bookmarkEnd w:id="56"/>
      <w:bookmarkEnd w:id="57"/>
      <w:bookmarkEnd w:id="58"/>
      <w:bookmarkEnd w:id="59"/>
      <w:bookmarkEnd w:id="60"/>
      <w:bookmarkEnd w:id="61"/>
    </w:p>
    <w:p w14:paraId="10D63DFA" w14:textId="274BC902" w:rsidR="00253003" w:rsidRPr="00392633" w:rsidRDefault="00253003" w:rsidP="00253003">
      <w:pPr>
        <w:rPr>
          <w:rFonts w:eastAsia="Calibri" w:cs="Arial"/>
          <w:szCs w:val="22"/>
          <w:lang w:val="en-GB"/>
        </w:rPr>
      </w:pPr>
      <w:r w:rsidRPr="00253003">
        <w:rPr>
          <w:rFonts w:cs="Arial"/>
          <w:szCs w:val="22"/>
          <w:lang w:val="en-GB"/>
        </w:rPr>
        <w:t xml:space="preserve">Based on the management decisions and key issues that the evaluation will address, the independent evaluation will focus on five evaluation themes: </w:t>
      </w:r>
      <w:r w:rsidRPr="00253003">
        <w:rPr>
          <w:rFonts w:eastAsia="Calibri" w:cs="Arial"/>
          <w:szCs w:val="22"/>
          <w:lang w:val="en-GB"/>
        </w:rPr>
        <w:t xml:space="preserve">Cost </w:t>
      </w:r>
      <w:r w:rsidR="00B93D52">
        <w:rPr>
          <w:rFonts w:eastAsia="Calibri" w:cs="Arial"/>
          <w:szCs w:val="22"/>
          <w:lang w:val="en-GB"/>
        </w:rPr>
        <w:t>e</w:t>
      </w:r>
      <w:r w:rsidRPr="00253003">
        <w:rPr>
          <w:rFonts w:eastAsia="Calibri" w:cs="Arial"/>
          <w:szCs w:val="22"/>
          <w:lang w:val="en-GB"/>
        </w:rPr>
        <w:t xml:space="preserve">ffectiveness and </w:t>
      </w:r>
      <w:r w:rsidR="00B93D52">
        <w:rPr>
          <w:rFonts w:eastAsia="Calibri" w:cs="Arial"/>
          <w:szCs w:val="22"/>
          <w:lang w:val="en-GB"/>
        </w:rPr>
        <w:t>v</w:t>
      </w:r>
      <w:r w:rsidRPr="00253003">
        <w:rPr>
          <w:rFonts w:eastAsia="Calibri" w:cs="Arial"/>
          <w:szCs w:val="22"/>
          <w:lang w:val="en-GB"/>
        </w:rPr>
        <w:t xml:space="preserve">alue for </w:t>
      </w:r>
      <w:r w:rsidR="00B93D52">
        <w:rPr>
          <w:rFonts w:eastAsia="Calibri" w:cs="Arial"/>
          <w:szCs w:val="22"/>
          <w:lang w:val="en-GB"/>
        </w:rPr>
        <w:t>m</w:t>
      </w:r>
      <w:r w:rsidRPr="00253003">
        <w:rPr>
          <w:rFonts w:eastAsia="Calibri" w:cs="Arial"/>
          <w:szCs w:val="22"/>
          <w:lang w:val="en-GB"/>
        </w:rPr>
        <w:t xml:space="preserve">oney; Labour </w:t>
      </w:r>
      <w:r w:rsidR="00B93D52">
        <w:rPr>
          <w:rFonts w:eastAsia="Calibri" w:cs="Arial"/>
          <w:szCs w:val="22"/>
          <w:lang w:val="en-GB"/>
        </w:rPr>
        <w:t>m</w:t>
      </w:r>
      <w:r w:rsidRPr="00253003">
        <w:rPr>
          <w:rFonts w:eastAsia="Calibri" w:cs="Arial"/>
          <w:szCs w:val="22"/>
          <w:lang w:val="en-GB"/>
        </w:rPr>
        <w:t xml:space="preserve">obility; Private sector/industry linkage and skills demand; Capacity building of TVET sector; and Sustainability and </w:t>
      </w:r>
      <w:r w:rsidR="00B93D52">
        <w:rPr>
          <w:rFonts w:eastAsia="Calibri" w:cs="Arial"/>
          <w:szCs w:val="22"/>
          <w:lang w:val="en-GB"/>
        </w:rPr>
        <w:t>f</w:t>
      </w:r>
      <w:r w:rsidRPr="00253003">
        <w:rPr>
          <w:rFonts w:eastAsia="Calibri" w:cs="Arial"/>
          <w:szCs w:val="22"/>
          <w:lang w:val="en-GB"/>
        </w:rPr>
        <w:t xml:space="preserve">uture of the APTC. The team will evaluate the full life of the APTC to date and not just to the current stage of the </w:t>
      </w:r>
      <w:r w:rsidR="0040055E">
        <w:rPr>
          <w:rFonts w:eastAsia="Calibri" w:cs="Arial"/>
          <w:szCs w:val="22"/>
          <w:lang w:val="en-GB"/>
        </w:rPr>
        <w:t>C</w:t>
      </w:r>
      <w:r w:rsidRPr="00253003">
        <w:rPr>
          <w:rFonts w:eastAsia="Calibri" w:cs="Arial"/>
          <w:szCs w:val="22"/>
          <w:lang w:val="en-GB"/>
        </w:rPr>
        <w:t>ollege.</w:t>
      </w:r>
    </w:p>
    <w:p w14:paraId="061456D2" w14:textId="7C2EF261" w:rsidR="003D355F" w:rsidRDefault="00A575A5" w:rsidP="002028A6">
      <w:pPr>
        <w:pStyle w:val="Heading2"/>
        <w:rPr>
          <w:lang w:val="en-GB"/>
        </w:rPr>
      </w:pPr>
      <w:bookmarkStart w:id="62" w:name="_Toc274145036"/>
      <w:bookmarkStart w:id="63" w:name="_Toc274900428"/>
      <w:bookmarkStart w:id="64" w:name="_Toc274908115"/>
      <w:bookmarkStart w:id="65" w:name="_Toc274909806"/>
      <w:bookmarkStart w:id="66" w:name="_Toc278447821"/>
      <w:bookmarkStart w:id="67" w:name="_Toc278453294"/>
      <w:r>
        <w:rPr>
          <w:lang w:val="en-GB"/>
        </w:rPr>
        <w:t xml:space="preserve">2.2 </w:t>
      </w:r>
      <w:r w:rsidR="007324D7">
        <w:rPr>
          <w:lang w:val="en-GB"/>
        </w:rPr>
        <w:tab/>
      </w:r>
      <w:r w:rsidR="00253003" w:rsidRPr="00253003">
        <w:rPr>
          <w:lang w:val="en-GB"/>
        </w:rPr>
        <w:t>Primary evaluation questions</w:t>
      </w:r>
      <w:bookmarkEnd w:id="62"/>
      <w:bookmarkEnd w:id="63"/>
      <w:bookmarkEnd w:id="64"/>
      <w:bookmarkEnd w:id="65"/>
      <w:bookmarkEnd w:id="66"/>
      <w:bookmarkEnd w:id="67"/>
    </w:p>
    <w:p w14:paraId="55537634" w14:textId="77777777" w:rsidR="00253003" w:rsidRPr="00392633" w:rsidRDefault="00253003" w:rsidP="00253003">
      <w:pPr>
        <w:rPr>
          <w:rFonts w:cs="Arial"/>
          <w:szCs w:val="22"/>
          <w:lang w:val="en-GB"/>
        </w:rPr>
      </w:pPr>
      <w:r w:rsidRPr="00253003">
        <w:rPr>
          <w:rFonts w:eastAsia="Calibri" w:cs="Arial"/>
          <w:szCs w:val="22"/>
          <w:lang w:val="en-GB"/>
        </w:rPr>
        <w:t>Consistent with the purpose of this evaluation</w:t>
      </w:r>
      <w:r w:rsidRPr="00253003">
        <w:rPr>
          <w:rFonts w:cs="Arial"/>
          <w:szCs w:val="22"/>
          <w:lang w:val="en-GB"/>
        </w:rPr>
        <w:t>, the primary questions to be addressed by the eval</w:t>
      </w:r>
      <w:r w:rsidR="00392633">
        <w:rPr>
          <w:rFonts w:cs="Arial"/>
          <w:szCs w:val="22"/>
          <w:lang w:val="en-GB"/>
        </w:rPr>
        <w:t xml:space="preserve">uation team are set out below. </w:t>
      </w:r>
      <w:r w:rsidRPr="00253003">
        <w:rPr>
          <w:rFonts w:cs="Arial"/>
          <w:szCs w:val="22"/>
          <w:lang w:val="en-GB"/>
        </w:rPr>
        <w:t xml:space="preserve">These primary questions are </w:t>
      </w:r>
      <w:r w:rsidRPr="00253003">
        <w:rPr>
          <w:rFonts w:eastAsia="Calibri" w:cs="Arial"/>
          <w:szCs w:val="22"/>
          <w:lang w:val="en-GB"/>
        </w:rPr>
        <w:t>considered to be the priority questions for DFAT that must be answered with a good degree of rigor.  S</w:t>
      </w:r>
      <w:r w:rsidRPr="00253003">
        <w:rPr>
          <w:rFonts w:cs="Arial"/>
          <w:szCs w:val="22"/>
          <w:lang w:val="en-GB"/>
        </w:rPr>
        <w:t>econdary questions, methods and stakeholders to engage should be detailed in the evaluation plan.</w:t>
      </w:r>
    </w:p>
    <w:p w14:paraId="7DEA8067" w14:textId="1A91A489" w:rsidR="00253003" w:rsidRPr="00253003" w:rsidRDefault="00253003" w:rsidP="00260880">
      <w:pPr>
        <w:pStyle w:val="ListParagraph"/>
        <w:numPr>
          <w:ilvl w:val="0"/>
          <w:numId w:val="5"/>
        </w:numPr>
        <w:spacing w:before="40" w:after="40"/>
        <w:rPr>
          <w:rFonts w:cs="Arial"/>
          <w:szCs w:val="22"/>
        </w:rPr>
      </w:pPr>
      <w:r w:rsidRPr="00253003">
        <w:rPr>
          <w:rFonts w:cs="Arial"/>
          <w:szCs w:val="22"/>
        </w:rPr>
        <w:t xml:space="preserve">Value for </w:t>
      </w:r>
      <w:r w:rsidR="00FF1913">
        <w:rPr>
          <w:rFonts w:cs="Arial"/>
          <w:szCs w:val="22"/>
        </w:rPr>
        <w:t>m</w:t>
      </w:r>
      <w:r w:rsidRPr="00253003">
        <w:rPr>
          <w:rFonts w:cs="Arial"/>
          <w:szCs w:val="22"/>
        </w:rPr>
        <w:t>oney: To what extent have APTC activities been cost-efficient and implemented in the most efficient way compared to possible alternatives?</w:t>
      </w:r>
    </w:p>
    <w:p w14:paraId="284CF59E" w14:textId="0F96C600" w:rsidR="00253003" w:rsidRPr="00253003" w:rsidRDefault="00253003" w:rsidP="00260880">
      <w:pPr>
        <w:pStyle w:val="ListParagraph"/>
        <w:numPr>
          <w:ilvl w:val="0"/>
          <w:numId w:val="5"/>
        </w:numPr>
        <w:spacing w:before="40" w:after="40"/>
        <w:rPr>
          <w:rFonts w:cs="Arial"/>
          <w:szCs w:val="22"/>
        </w:rPr>
      </w:pPr>
      <w:r w:rsidRPr="00253003">
        <w:rPr>
          <w:rFonts w:cs="Arial"/>
          <w:szCs w:val="22"/>
        </w:rPr>
        <w:t xml:space="preserve">Labour </w:t>
      </w:r>
      <w:r w:rsidR="00FF1913">
        <w:rPr>
          <w:rFonts w:cs="Arial"/>
          <w:szCs w:val="22"/>
        </w:rPr>
        <w:t>m</w:t>
      </w:r>
      <w:r w:rsidRPr="00253003">
        <w:rPr>
          <w:rFonts w:cs="Arial"/>
          <w:szCs w:val="22"/>
        </w:rPr>
        <w:t xml:space="preserve">obility: To what extent has the APTC labour mobility objective been achieved, and what are the major factors influencing the achievement or </w:t>
      </w:r>
      <w:r w:rsidR="00FF1913">
        <w:rPr>
          <w:rFonts w:cs="Arial"/>
          <w:szCs w:val="22"/>
        </w:rPr>
        <w:br/>
      </w:r>
      <w:r w:rsidRPr="00253003">
        <w:rPr>
          <w:rFonts w:cs="Arial"/>
          <w:szCs w:val="22"/>
        </w:rPr>
        <w:t>non-achievement of this objective?</w:t>
      </w:r>
    </w:p>
    <w:p w14:paraId="2B776E2A" w14:textId="77777777" w:rsidR="00253003" w:rsidRPr="00253003" w:rsidRDefault="00253003" w:rsidP="00260880">
      <w:pPr>
        <w:pStyle w:val="ListParagraph"/>
        <w:numPr>
          <w:ilvl w:val="0"/>
          <w:numId w:val="5"/>
        </w:numPr>
        <w:spacing w:before="40" w:after="40"/>
        <w:rPr>
          <w:rFonts w:cs="Arial"/>
          <w:szCs w:val="22"/>
        </w:rPr>
      </w:pPr>
      <w:r w:rsidRPr="00253003">
        <w:rPr>
          <w:rFonts w:cs="Arial"/>
          <w:szCs w:val="22"/>
        </w:rPr>
        <w:t xml:space="preserve">Impact: What tangible differences has the APTC made to its primary beneficiaries – male and female students and industry – and to local and regional capacity for delivering quality TVET programs?    </w:t>
      </w:r>
    </w:p>
    <w:p w14:paraId="1FCA0AD7" w14:textId="77777777" w:rsidR="00253003" w:rsidRPr="00253003" w:rsidRDefault="002370AA" w:rsidP="00260880">
      <w:pPr>
        <w:pStyle w:val="ListParagraph"/>
        <w:numPr>
          <w:ilvl w:val="0"/>
          <w:numId w:val="5"/>
        </w:numPr>
        <w:spacing w:before="40" w:after="40"/>
        <w:rPr>
          <w:rFonts w:cs="Arial"/>
          <w:szCs w:val="22"/>
        </w:rPr>
      </w:pPr>
      <w:r>
        <w:rPr>
          <w:rFonts w:cs="Arial"/>
          <w:szCs w:val="22"/>
        </w:rPr>
        <w:t xml:space="preserve">Relevance: </w:t>
      </w:r>
      <w:r w:rsidR="00253003" w:rsidRPr="00253003">
        <w:rPr>
          <w:rFonts w:cs="Arial"/>
          <w:szCs w:val="22"/>
        </w:rPr>
        <w:t>To what extent is the APTC approach of continuing relevance to skills development in the Pacific taking into account any changes in demand for and supply of Australian qualifications in the Pacific since t</w:t>
      </w:r>
      <w:r>
        <w:rPr>
          <w:rFonts w:cs="Arial"/>
          <w:szCs w:val="22"/>
        </w:rPr>
        <w:t>he APTC was originally designed?</w:t>
      </w:r>
    </w:p>
    <w:p w14:paraId="250E9BD2" w14:textId="77777777" w:rsidR="00253003" w:rsidRPr="00253003" w:rsidRDefault="00253003" w:rsidP="00260880">
      <w:pPr>
        <w:pStyle w:val="ListParagraph"/>
        <w:numPr>
          <w:ilvl w:val="0"/>
          <w:numId w:val="5"/>
        </w:numPr>
        <w:spacing w:before="40" w:after="40"/>
        <w:rPr>
          <w:rFonts w:cs="Arial"/>
          <w:szCs w:val="22"/>
        </w:rPr>
      </w:pPr>
      <w:r w:rsidRPr="00253003">
        <w:rPr>
          <w:rFonts w:cs="Arial"/>
          <w:szCs w:val="22"/>
        </w:rPr>
        <w:t>Future of the APTC: What are the key principles and lessons that could guide decisions about the future of the APTC?</w:t>
      </w:r>
    </w:p>
    <w:p w14:paraId="10364F17" w14:textId="34844309" w:rsidR="00253003" w:rsidRPr="00175031" w:rsidRDefault="00175031" w:rsidP="00253003">
      <w:pPr>
        <w:rPr>
          <w:rFonts w:cs="Arial"/>
          <w:szCs w:val="22"/>
        </w:rPr>
      </w:pPr>
      <w:r>
        <w:rPr>
          <w:rFonts w:cs="Arial"/>
          <w:szCs w:val="22"/>
        </w:rPr>
        <w:br/>
      </w:r>
      <w:r w:rsidR="00253003" w:rsidRPr="00253003">
        <w:rPr>
          <w:rFonts w:cs="Arial"/>
          <w:szCs w:val="22"/>
        </w:rPr>
        <w:t>Secondary evaluation questions related to these will be refl</w:t>
      </w:r>
      <w:r>
        <w:rPr>
          <w:rFonts w:cs="Arial"/>
          <w:szCs w:val="22"/>
        </w:rPr>
        <w:t xml:space="preserve">ected in the Evaluation Plan. </w:t>
      </w:r>
      <w:r w:rsidR="00253003" w:rsidRPr="00253003">
        <w:rPr>
          <w:rFonts w:cs="Arial"/>
          <w:szCs w:val="22"/>
        </w:rPr>
        <w:t xml:space="preserve">Cross-cutting issues such as gender equality, disability, labour market analysis and learning and performance management should be integrated into the evaluation through use of secondary questions applied during document review and semi-structured field interviews. </w:t>
      </w:r>
    </w:p>
    <w:p w14:paraId="0E84EE0A" w14:textId="30156043" w:rsidR="00253003" w:rsidRPr="00253003" w:rsidRDefault="007324D7" w:rsidP="002028A6">
      <w:pPr>
        <w:pStyle w:val="Heading1"/>
        <w:rPr>
          <w:rFonts w:eastAsia="Calibri"/>
          <w:lang w:val="en-GB"/>
        </w:rPr>
      </w:pPr>
      <w:bookmarkStart w:id="68" w:name="_Toc278447822"/>
      <w:bookmarkStart w:id="69" w:name="_Toc278453295"/>
      <w:r>
        <w:rPr>
          <w:rFonts w:eastAsia="Calibri"/>
          <w:lang w:val="en-GB"/>
        </w:rPr>
        <w:t>3.</w:t>
      </w:r>
      <w:r>
        <w:rPr>
          <w:rFonts w:eastAsia="Calibri"/>
          <w:lang w:val="en-GB"/>
        </w:rPr>
        <w:tab/>
      </w:r>
      <w:r w:rsidR="00253003" w:rsidRPr="00253003">
        <w:rPr>
          <w:rFonts w:eastAsia="Calibri"/>
          <w:lang w:val="en-GB"/>
        </w:rPr>
        <w:t>Evaluation process</w:t>
      </w:r>
      <w:bookmarkEnd w:id="68"/>
      <w:bookmarkEnd w:id="69"/>
    </w:p>
    <w:p w14:paraId="1CACB074" w14:textId="3F1AA8E8" w:rsidR="003D355F" w:rsidRDefault="00A575A5" w:rsidP="002028A6">
      <w:pPr>
        <w:pStyle w:val="Heading2"/>
        <w:rPr>
          <w:rFonts w:eastAsia="Calibri"/>
          <w:lang w:val="en-GB"/>
        </w:rPr>
      </w:pPr>
      <w:bookmarkStart w:id="70" w:name="_Toc274145038"/>
      <w:bookmarkStart w:id="71" w:name="_Toc274900430"/>
      <w:bookmarkStart w:id="72" w:name="_Toc274908117"/>
      <w:bookmarkStart w:id="73" w:name="_Toc274909808"/>
      <w:bookmarkStart w:id="74" w:name="_Toc278447823"/>
      <w:bookmarkStart w:id="75" w:name="_Toc278453296"/>
      <w:r>
        <w:rPr>
          <w:rFonts w:eastAsia="Calibri"/>
          <w:lang w:val="en-GB"/>
        </w:rPr>
        <w:t xml:space="preserve">3.1 </w:t>
      </w:r>
      <w:r w:rsidR="007324D7">
        <w:rPr>
          <w:rFonts w:eastAsia="Calibri"/>
          <w:lang w:val="en-GB"/>
        </w:rPr>
        <w:tab/>
      </w:r>
      <w:r w:rsidR="00253003" w:rsidRPr="00253003">
        <w:rPr>
          <w:rFonts w:eastAsia="Calibri"/>
          <w:lang w:val="en-GB"/>
        </w:rPr>
        <w:t>Preparatory briefing</w:t>
      </w:r>
      <w:bookmarkEnd w:id="70"/>
      <w:bookmarkEnd w:id="71"/>
      <w:bookmarkEnd w:id="72"/>
      <w:bookmarkEnd w:id="73"/>
      <w:bookmarkEnd w:id="74"/>
      <w:bookmarkEnd w:id="75"/>
    </w:p>
    <w:p w14:paraId="27FA1C2C" w14:textId="245EF6C5" w:rsidR="00253003" w:rsidRPr="00392633" w:rsidRDefault="00253003" w:rsidP="00253003">
      <w:pPr>
        <w:rPr>
          <w:rFonts w:eastAsia="Calibri" w:cs="Arial"/>
          <w:szCs w:val="22"/>
          <w:lang w:val="en-GB"/>
        </w:rPr>
      </w:pPr>
      <w:r w:rsidRPr="00253003">
        <w:rPr>
          <w:rFonts w:eastAsia="Calibri" w:cs="Arial"/>
          <w:szCs w:val="22"/>
          <w:lang w:val="en-GB"/>
        </w:rPr>
        <w:t>Suva Post will provide a verbal briefing of the key issues and priority information to the Team Leader before s/he prepares the draft Evaluation Plan and will provide a verbal briefing for the tea</w:t>
      </w:r>
      <w:r w:rsidR="007324D7">
        <w:rPr>
          <w:rFonts w:eastAsia="Calibri" w:cs="Arial"/>
          <w:szCs w:val="22"/>
          <w:lang w:val="en-GB"/>
        </w:rPr>
        <w:t>m before field</w:t>
      </w:r>
      <w:r w:rsidR="00392633">
        <w:rPr>
          <w:rFonts w:eastAsia="Calibri" w:cs="Arial"/>
          <w:szCs w:val="22"/>
          <w:lang w:val="en-GB"/>
        </w:rPr>
        <w:t xml:space="preserve">work commences. </w:t>
      </w:r>
      <w:r w:rsidRPr="00253003">
        <w:rPr>
          <w:rFonts w:eastAsia="Calibri" w:cs="Arial"/>
          <w:szCs w:val="22"/>
          <w:lang w:val="en-GB"/>
        </w:rPr>
        <w:t xml:space="preserve">The briefings will </w:t>
      </w:r>
      <w:r w:rsidR="00A6318E">
        <w:rPr>
          <w:rFonts w:cs="Arial"/>
          <w:szCs w:val="22"/>
          <w:lang w:val="en-GB"/>
        </w:rPr>
        <w:t>discuss the back</w:t>
      </w:r>
      <w:r w:rsidRPr="00253003">
        <w:rPr>
          <w:rFonts w:cs="Arial"/>
          <w:szCs w:val="22"/>
          <w:lang w:val="en-GB"/>
        </w:rPr>
        <w:t>ground, issues and priorities for the independent evaluation and clarify the expectations of DFAT’s Aid Program and other stakeholders from the evaluation.</w:t>
      </w:r>
    </w:p>
    <w:p w14:paraId="41178925" w14:textId="7CCE9974" w:rsidR="003D355F" w:rsidRDefault="00A575A5" w:rsidP="002028A6">
      <w:pPr>
        <w:pStyle w:val="Heading2"/>
        <w:rPr>
          <w:rFonts w:eastAsia="Calibri"/>
          <w:lang w:val="en-GB"/>
        </w:rPr>
      </w:pPr>
      <w:bookmarkStart w:id="76" w:name="_Toc274145039"/>
      <w:bookmarkStart w:id="77" w:name="_Toc274900431"/>
      <w:bookmarkStart w:id="78" w:name="_Toc274908118"/>
      <w:bookmarkStart w:id="79" w:name="_Toc274909809"/>
      <w:bookmarkStart w:id="80" w:name="_Toc278447824"/>
      <w:bookmarkStart w:id="81" w:name="_Toc278453297"/>
      <w:r>
        <w:rPr>
          <w:rFonts w:eastAsia="Calibri"/>
          <w:lang w:val="en-GB"/>
        </w:rPr>
        <w:t xml:space="preserve">3.2 </w:t>
      </w:r>
      <w:r w:rsidR="007324D7">
        <w:rPr>
          <w:rFonts w:eastAsia="Calibri"/>
          <w:lang w:val="en-GB"/>
        </w:rPr>
        <w:tab/>
      </w:r>
      <w:r w:rsidR="00253003" w:rsidRPr="00253003">
        <w:rPr>
          <w:rFonts w:eastAsia="Calibri"/>
          <w:lang w:val="en-GB"/>
        </w:rPr>
        <w:t>Evaluation Plan</w:t>
      </w:r>
      <w:bookmarkEnd w:id="76"/>
      <w:bookmarkEnd w:id="77"/>
      <w:bookmarkEnd w:id="78"/>
      <w:bookmarkEnd w:id="79"/>
      <w:bookmarkEnd w:id="80"/>
      <w:bookmarkEnd w:id="81"/>
    </w:p>
    <w:p w14:paraId="3EF51D05" w14:textId="774FEB58" w:rsidR="00253003" w:rsidRPr="00253003" w:rsidRDefault="00253003" w:rsidP="00253003">
      <w:pPr>
        <w:rPr>
          <w:rFonts w:cs="Arial"/>
          <w:szCs w:val="22"/>
          <w:lang w:val="en-GB"/>
        </w:rPr>
      </w:pPr>
      <w:r w:rsidRPr="00253003">
        <w:rPr>
          <w:rFonts w:eastAsia="Calibri" w:cs="Arial"/>
          <w:szCs w:val="22"/>
          <w:lang w:val="en-GB"/>
        </w:rPr>
        <w:t xml:space="preserve">The Team Leader will prepare a detailed draft </w:t>
      </w:r>
      <w:r w:rsidR="0040055E">
        <w:rPr>
          <w:rFonts w:eastAsia="Calibri" w:cs="Arial"/>
          <w:szCs w:val="22"/>
          <w:lang w:val="en-GB"/>
        </w:rPr>
        <w:t>E</w:t>
      </w:r>
      <w:r w:rsidRPr="00253003">
        <w:rPr>
          <w:rFonts w:eastAsia="Calibri" w:cs="Arial"/>
          <w:szCs w:val="22"/>
          <w:lang w:val="en-GB"/>
        </w:rPr>
        <w:t xml:space="preserve">valuation </w:t>
      </w:r>
      <w:r w:rsidR="0040055E">
        <w:rPr>
          <w:rFonts w:eastAsia="Calibri" w:cs="Arial"/>
          <w:szCs w:val="22"/>
          <w:lang w:val="en-GB"/>
        </w:rPr>
        <w:t>P</w:t>
      </w:r>
      <w:r w:rsidRPr="00253003">
        <w:rPr>
          <w:rFonts w:eastAsia="Calibri" w:cs="Arial"/>
          <w:szCs w:val="22"/>
          <w:lang w:val="en-GB"/>
        </w:rPr>
        <w:t>lan for review by and discussion with DFAT’s Ai</w:t>
      </w:r>
      <w:r w:rsidR="00A6318E">
        <w:rPr>
          <w:rFonts w:eastAsia="Calibri" w:cs="Arial"/>
          <w:szCs w:val="22"/>
          <w:lang w:val="en-GB"/>
        </w:rPr>
        <w:t xml:space="preserve">d Program before it is agreed. </w:t>
      </w:r>
      <w:r w:rsidRPr="00253003">
        <w:rPr>
          <w:rFonts w:eastAsia="Calibri" w:cs="Arial"/>
          <w:szCs w:val="22"/>
          <w:lang w:val="en-GB"/>
        </w:rPr>
        <w:t xml:space="preserve">This should outline the approach, evaluation questions, methods and tools, as well as </w:t>
      </w:r>
      <w:r w:rsidR="00A6318E">
        <w:rPr>
          <w:rFonts w:eastAsia="Calibri" w:cs="Arial"/>
          <w:szCs w:val="22"/>
          <w:lang w:val="en-GB"/>
        </w:rPr>
        <w:t xml:space="preserve">a stakeholder engagement plan. </w:t>
      </w:r>
      <w:r w:rsidRPr="00253003">
        <w:rPr>
          <w:rFonts w:eastAsia="Calibri" w:cs="Arial"/>
          <w:szCs w:val="22"/>
          <w:lang w:val="en-GB"/>
        </w:rPr>
        <w:t xml:space="preserve">The draft Evaluation Plan will be prepared after </w:t>
      </w:r>
      <w:r w:rsidRPr="00253003">
        <w:rPr>
          <w:rFonts w:cs="Arial"/>
          <w:szCs w:val="22"/>
          <w:lang w:val="en-GB"/>
        </w:rPr>
        <w:t>desk review of program documentation. Full document review of key documents will form part of the independent evaluation and will be conducted after the plan has been approved by Suva Post.</w:t>
      </w:r>
    </w:p>
    <w:p w14:paraId="5C6714B8" w14:textId="17C39DD1" w:rsidR="00253003" w:rsidRPr="00392633" w:rsidRDefault="00253003" w:rsidP="00253003">
      <w:pPr>
        <w:rPr>
          <w:rFonts w:cs="Arial"/>
          <w:szCs w:val="22"/>
          <w:lang w:val="en-GB"/>
        </w:rPr>
      </w:pPr>
      <w:r w:rsidRPr="00392633">
        <w:rPr>
          <w:rFonts w:cs="Arial"/>
          <w:szCs w:val="22"/>
          <w:lang w:val="en-GB"/>
        </w:rPr>
        <w:lastRenderedPageBreak/>
        <w:t xml:space="preserve">At a minimum the evaluation plan should be consistent with the Australian Aid Program’s Standard 5 for Independent Evaluation Plans </w:t>
      </w:r>
      <w:r w:rsidRPr="00392633">
        <w:rPr>
          <w:rFonts w:cs="Arial"/>
          <w:szCs w:val="22"/>
        </w:rPr>
        <w:t xml:space="preserve">(see: </w:t>
      </w:r>
      <w:hyperlink r:id="rId13" w:history="1">
        <w:r w:rsidRPr="00392633">
          <w:rPr>
            <w:rFonts w:cs="Arial"/>
            <w:szCs w:val="22"/>
            <w:u w:val="single"/>
          </w:rPr>
          <w:t>http://aid.dfat.gov.au/Publications/Pages/monitoring-evaluation-standards.aspx</w:t>
        </w:r>
      </w:hyperlink>
      <w:r w:rsidRPr="00392633">
        <w:rPr>
          <w:rFonts w:cs="Arial"/>
          <w:szCs w:val="22"/>
        </w:rPr>
        <w:t xml:space="preserve">) </w:t>
      </w:r>
      <w:r w:rsidRPr="00392633">
        <w:rPr>
          <w:rFonts w:cs="Arial"/>
          <w:szCs w:val="22"/>
          <w:lang w:val="en-GB"/>
        </w:rPr>
        <w:t>and reflect the Australasian Evaluation Society Code of Ethics (</w:t>
      </w:r>
      <w:hyperlink r:id="rId14" w:history="1">
        <w:r w:rsidRPr="00392633">
          <w:rPr>
            <w:rStyle w:val="Hyperlink"/>
            <w:rFonts w:cs="Arial"/>
            <w:color w:val="auto"/>
            <w:szCs w:val="22"/>
            <w:lang w:val="en-GB"/>
          </w:rPr>
          <w:t>http://www.aes.asn.au/about/Documents%20-%20ongoing/code_of_ethics.pdf</w:t>
        </w:r>
      </w:hyperlink>
      <w:r w:rsidRPr="00392633">
        <w:rPr>
          <w:rFonts w:cs="Arial"/>
          <w:szCs w:val="22"/>
          <w:lang w:val="en-GB"/>
        </w:rPr>
        <w:t>) and the American Evaluation Association Guiding Principles for Evaluators (</w:t>
      </w:r>
      <w:hyperlink r:id="rId15" w:history="1">
        <w:r w:rsidRPr="00392633">
          <w:rPr>
            <w:rStyle w:val="Hyperlink"/>
            <w:rFonts w:cs="Arial"/>
            <w:color w:val="auto"/>
            <w:szCs w:val="22"/>
            <w:lang w:val="en-GB"/>
          </w:rPr>
          <w:t>http://www.eval.org/Publications/GuidingPrinciples.asp</w:t>
        </w:r>
      </w:hyperlink>
      <w:r w:rsidR="00A6318E">
        <w:rPr>
          <w:rFonts w:cs="Arial"/>
          <w:szCs w:val="22"/>
          <w:lang w:val="en-GB"/>
        </w:rPr>
        <w:t xml:space="preserve">). </w:t>
      </w:r>
      <w:r w:rsidRPr="00392633">
        <w:rPr>
          <w:rFonts w:cs="Arial"/>
          <w:szCs w:val="22"/>
          <w:lang w:val="en-GB"/>
        </w:rPr>
        <w:t>The means that the evaluation plan should</w:t>
      </w:r>
      <w:r w:rsidRPr="00392633">
        <w:rPr>
          <w:rStyle w:val="FootnoteReference"/>
          <w:rFonts w:cs="Arial"/>
          <w:szCs w:val="22"/>
          <w:lang w:val="en-GB"/>
        </w:rPr>
        <w:footnoteReference w:id="5"/>
      </w:r>
      <w:r w:rsidRPr="00392633">
        <w:rPr>
          <w:rFonts w:cs="Arial"/>
          <w:szCs w:val="22"/>
          <w:lang w:val="en-GB"/>
        </w:rPr>
        <w:t>:</w:t>
      </w:r>
    </w:p>
    <w:p w14:paraId="7992B0C1" w14:textId="77777777" w:rsidR="00253003" w:rsidRPr="00253003" w:rsidRDefault="00253003" w:rsidP="00392633">
      <w:pPr>
        <w:pStyle w:val="ListBullet"/>
        <w:jc w:val="left"/>
        <w:rPr>
          <w:rFonts w:ascii="Arial" w:hAnsi="Arial" w:cs="Arial"/>
          <w:sz w:val="22"/>
          <w:szCs w:val="22"/>
          <w:lang w:val="en-GB"/>
        </w:rPr>
      </w:pPr>
      <w:r w:rsidRPr="00253003">
        <w:rPr>
          <w:rFonts w:ascii="Arial" w:hAnsi="Arial" w:cs="Arial"/>
          <w:sz w:val="22"/>
          <w:szCs w:val="22"/>
          <w:lang w:val="en-GB"/>
        </w:rPr>
        <w:t>be deve</w:t>
      </w:r>
      <w:r w:rsidR="00A6318E">
        <w:rPr>
          <w:rFonts w:ascii="Arial" w:hAnsi="Arial" w:cs="Arial"/>
          <w:sz w:val="22"/>
          <w:szCs w:val="22"/>
          <w:lang w:val="en-GB"/>
        </w:rPr>
        <w:t>loped collaboratively with DFAT</w:t>
      </w:r>
    </w:p>
    <w:p w14:paraId="0B93DB1F" w14:textId="47CE4D75"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clearly identify the primary intended users of the evaluation and ensure their evaluat</w:t>
      </w:r>
      <w:r w:rsidR="00D504F0">
        <w:rPr>
          <w:rFonts w:ascii="Arial" w:hAnsi="Arial" w:cs="Arial"/>
          <w:sz w:val="22"/>
          <w:szCs w:val="22"/>
          <w:lang w:val="en-GB"/>
        </w:rPr>
        <w:t>ion needs are</w:t>
      </w:r>
      <w:r w:rsidR="00A6318E">
        <w:rPr>
          <w:rFonts w:ascii="Arial" w:hAnsi="Arial" w:cs="Arial"/>
          <w:sz w:val="22"/>
          <w:szCs w:val="22"/>
          <w:lang w:val="en-GB"/>
        </w:rPr>
        <w:t xml:space="preserve"> in line with ToR</w:t>
      </w:r>
    </w:p>
    <w:p w14:paraId="4249E33E"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describe limitations or constraints of the evaluation (</w:t>
      </w:r>
      <w:r w:rsidRPr="00253003">
        <w:rPr>
          <w:rFonts w:ascii="Arial" w:hAnsi="Arial" w:cs="Arial"/>
          <w:i/>
          <w:sz w:val="22"/>
          <w:szCs w:val="22"/>
          <w:lang w:val="en-GB"/>
        </w:rPr>
        <w:t>e.g</w:t>
      </w:r>
      <w:r w:rsidRPr="00253003">
        <w:rPr>
          <w:rFonts w:ascii="Arial" w:hAnsi="Arial" w:cs="Arial"/>
          <w:sz w:val="22"/>
          <w:szCs w:val="22"/>
          <w:lang w:val="en-GB"/>
        </w:rPr>
        <w:t>. time frame; resources; available</w:t>
      </w:r>
      <w:r w:rsidR="00A6318E">
        <w:rPr>
          <w:rFonts w:ascii="Arial" w:hAnsi="Arial" w:cs="Arial"/>
          <w:sz w:val="22"/>
          <w:szCs w:val="22"/>
          <w:lang w:val="en-GB"/>
        </w:rPr>
        <w:t xml:space="preserve"> data; political sensitivities)</w:t>
      </w:r>
    </w:p>
    <w:p w14:paraId="279F9718"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state the purpose and/or objectives o</w:t>
      </w:r>
      <w:r w:rsidR="00A6318E">
        <w:rPr>
          <w:rFonts w:ascii="Arial" w:hAnsi="Arial" w:cs="Arial"/>
          <w:sz w:val="22"/>
          <w:szCs w:val="22"/>
          <w:lang w:val="en-GB"/>
        </w:rPr>
        <w:t>f the evaluation as per the ToR</w:t>
      </w:r>
    </w:p>
    <w:p w14:paraId="307437D4"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provide a broad investigatory framework to orient the reader to the overall evaluatio</w:t>
      </w:r>
      <w:r w:rsidR="00A6318E">
        <w:rPr>
          <w:rFonts w:ascii="Arial" w:hAnsi="Arial" w:cs="Arial"/>
          <w:sz w:val="22"/>
          <w:szCs w:val="22"/>
          <w:lang w:val="en-GB"/>
        </w:rPr>
        <w:t>n design</w:t>
      </w:r>
    </w:p>
    <w:p w14:paraId="758E9E1F"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 xml:space="preserve">pose more detailed evaluation questions, based on the primary questions set out in these terms of reference (see Section 2.2) and demonstrate how the terms of reference a) have been </w:t>
      </w:r>
      <w:r w:rsidR="00A6318E">
        <w:rPr>
          <w:rFonts w:ascii="Arial" w:hAnsi="Arial" w:cs="Arial"/>
          <w:sz w:val="22"/>
          <w:szCs w:val="22"/>
          <w:lang w:val="en-GB"/>
        </w:rPr>
        <w:t>interpreted; and b) will be met</w:t>
      </w:r>
    </w:p>
    <w:p w14:paraId="7B5510DB"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explain which questions are of higher priority and are expected to provide</w:t>
      </w:r>
      <w:r w:rsidR="00A6318E">
        <w:rPr>
          <w:rFonts w:ascii="Arial" w:hAnsi="Arial" w:cs="Arial"/>
          <w:sz w:val="22"/>
          <w:szCs w:val="22"/>
          <w:lang w:val="en-GB"/>
        </w:rPr>
        <w:t xml:space="preserve"> the most important information</w:t>
      </w:r>
    </w:p>
    <w:p w14:paraId="09749CAB"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be flexible enough to allow unexpected issues that may emerge to be</w:t>
      </w:r>
      <w:r w:rsidR="00A6318E">
        <w:rPr>
          <w:rFonts w:ascii="Arial" w:hAnsi="Arial" w:cs="Arial"/>
          <w:sz w:val="22"/>
          <w:szCs w:val="22"/>
          <w:lang w:val="en-GB"/>
        </w:rPr>
        <w:t xml:space="preserve"> incorporated in the evaluation</w:t>
      </w:r>
    </w:p>
    <w:p w14:paraId="59AB1061"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describe appropriate methods proposed to collect</w:t>
      </w:r>
      <w:r w:rsidR="00A6318E">
        <w:rPr>
          <w:rFonts w:ascii="Arial" w:hAnsi="Arial" w:cs="Arial"/>
          <w:sz w:val="22"/>
          <w:szCs w:val="22"/>
          <w:lang w:val="en-GB"/>
        </w:rPr>
        <w:t xml:space="preserve"> data for each primary question</w:t>
      </w:r>
    </w:p>
    <w:p w14:paraId="12A0454A"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propose triangulation of data collection methods to strengthen</w:t>
      </w:r>
      <w:r w:rsidR="00DB2075">
        <w:rPr>
          <w:rFonts w:ascii="Arial" w:hAnsi="Arial" w:cs="Arial"/>
          <w:sz w:val="22"/>
          <w:szCs w:val="22"/>
          <w:lang w:val="en-GB"/>
        </w:rPr>
        <w:t xml:space="preserve"> the confidence in the findings</w:t>
      </w:r>
    </w:p>
    <w:p w14:paraId="298ED883"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have a clear and appropriate sampling strategy for t</w:t>
      </w:r>
      <w:r w:rsidR="00DB2075">
        <w:rPr>
          <w:rFonts w:ascii="Arial" w:hAnsi="Arial" w:cs="Arial"/>
          <w:sz w:val="22"/>
          <w:szCs w:val="22"/>
          <w:lang w:val="en-GB"/>
        </w:rPr>
        <w:t>he primary evaluation questions</w:t>
      </w:r>
    </w:p>
    <w:p w14:paraId="6814EF02"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describe an approach to data processing that is consistent with the time an</w:t>
      </w:r>
      <w:r w:rsidR="00DB2075">
        <w:rPr>
          <w:rFonts w:ascii="Arial" w:hAnsi="Arial" w:cs="Arial"/>
          <w:sz w:val="22"/>
          <w:szCs w:val="22"/>
          <w:lang w:val="en-GB"/>
        </w:rPr>
        <w:t>d resources available</w:t>
      </w:r>
    </w:p>
    <w:p w14:paraId="0621FC44"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address ethical considerations where relevant (</w:t>
      </w:r>
      <w:r w:rsidRPr="00253003">
        <w:rPr>
          <w:rFonts w:ascii="Arial" w:hAnsi="Arial" w:cs="Arial"/>
          <w:i/>
          <w:sz w:val="22"/>
          <w:szCs w:val="22"/>
          <w:lang w:val="en-GB"/>
        </w:rPr>
        <w:t>e.g</w:t>
      </w:r>
      <w:r w:rsidR="00DB2075">
        <w:rPr>
          <w:rFonts w:ascii="Arial" w:hAnsi="Arial" w:cs="Arial"/>
          <w:sz w:val="22"/>
          <w:szCs w:val="22"/>
          <w:lang w:val="en-GB"/>
        </w:rPr>
        <w:t>. privacy and confidentiality)</w:t>
      </w:r>
    </w:p>
    <w:p w14:paraId="60D77CB1"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make clear w</w:t>
      </w:r>
      <w:r w:rsidR="00DB2075">
        <w:rPr>
          <w:rFonts w:ascii="Arial" w:hAnsi="Arial" w:cs="Arial"/>
          <w:sz w:val="22"/>
          <w:szCs w:val="22"/>
          <w:lang w:val="en-GB"/>
        </w:rPr>
        <w:t>ho will be making the judgments</w:t>
      </w:r>
    </w:p>
    <w:p w14:paraId="45D770C9"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clearly allocate evaluation tasks to team members (</w:t>
      </w:r>
      <w:r w:rsidRPr="00253003">
        <w:rPr>
          <w:rFonts w:ascii="Arial" w:hAnsi="Arial" w:cs="Arial"/>
          <w:i/>
          <w:sz w:val="22"/>
          <w:szCs w:val="22"/>
          <w:lang w:val="en-GB"/>
        </w:rPr>
        <w:t>i.e</w:t>
      </w:r>
      <w:r w:rsidRPr="00253003">
        <w:rPr>
          <w:rFonts w:ascii="Arial" w:hAnsi="Arial" w:cs="Arial"/>
          <w:sz w:val="22"/>
          <w:szCs w:val="22"/>
          <w:lang w:val="en-GB"/>
        </w:rPr>
        <w:t>. data collection</w:t>
      </w:r>
      <w:r w:rsidR="00DB2075">
        <w:rPr>
          <w:rFonts w:ascii="Arial" w:hAnsi="Arial" w:cs="Arial"/>
          <w:sz w:val="22"/>
          <w:szCs w:val="22"/>
          <w:lang w:val="en-GB"/>
        </w:rPr>
        <w:t>, processing and reporting)</w:t>
      </w:r>
    </w:p>
    <w:p w14:paraId="750EAABB"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provide guidance on scheduling that reflects adequate time to answer the posed evaluation questions</w:t>
      </w:r>
    </w:p>
    <w:p w14:paraId="4EB8AE5C" w14:textId="77777777" w:rsidR="00253003" w:rsidRPr="00253003" w:rsidRDefault="00253003" w:rsidP="00392633">
      <w:pPr>
        <w:pStyle w:val="ListBullet"/>
        <w:spacing w:before="0" w:after="0"/>
        <w:ind w:left="357" w:hanging="357"/>
        <w:jc w:val="left"/>
        <w:rPr>
          <w:rFonts w:ascii="Arial" w:hAnsi="Arial" w:cs="Arial"/>
          <w:sz w:val="22"/>
          <w:szCs w:val="22"/>
          <w:lang w:val="en-GB"/>
        </w:rPr>
      </w:pPr>
      <w:r w:rsidRPr="00253003">
        <w:rPr>
          <w:rFonts w:ascii="Arial" w:hAnsi="Arial" w:cs="Arial"/>
          <w:sz w:val="22"/>
          <w:szCs w:val="22"/>
          <w:lang w:val="en-GB"/>
        </w:rPr>
        <w:t>outline a draft interview protocol for</w:t>
      </w:r>
      <w:r w:rsidR="00DB2075">
        <w:rPr>
          <w:rFonts w:ascii="Arial" w:hAnsi="Arial" w:cs="Arial"/>
          <w:sz w:val="22"/>
          <w:szCs w:val="22"/>
          <w:lang w:val="en-GB"/>
        </w:rPr>
        <w:t xml:space="preserve"> the semi-structured interviews</w:t>
      </w:r>
      <w:r w:rsidRPr="00253003">
        <w:rPr>
          <w:rFonts w:ascii="Arial" w:hAnsi="Arial" w:cs="Arial"/>
          <w:sz w:val="22"/>
          <w:szCs w:val="22"/>
          <w:lang w:val="en-GB"/>
        </w:rPr>
        <w:t>.</w:t>
      </w:r>
    </w:p>
    <w:p w14:paraId="1E05E4F4" w14:textId="77777777" w:rsidR="00253003" w:rsidRPr="00253003" w:rsidRDefault="00253003" w:rsidP="00253003">
      <w:pPr>
        <w:rPr>
          <w:rFonts w:cs="Arial"/>
          <w:szCs w:val="22"/>
          <w:lang w:val="en-GB"/>
        </w:rPr>
      </w:pPr>
    </w:p>
    <w:p w14:paraId="632D1CD6" w14:textId="6A2D9FCE" w:rsidR="003D355F" w:rsidRDefault="00A575A5" w:rsidP="002028A6">
      <w:pPr>
        <w:pStyle w:val="Heading2"/>
        <w:rPr>
          <w:lang w:val="en-GB"/>
        </w:rPr>
      </w:pPr>
      <w:bookmarkStart w:id="82" w:name="_Toc274145040"/>
      <w:bookmarkStart w:id="83" w:name="_Toc274900432"/>
      <w:bookmarkStart w:id="84" w:name="_Toc274908119"/>
      <w:bookmarkStart w:id="85" w:name="_Toc274909810"/>
      <w:bookmarkStart w:id="86" w:name="_Toc278447825"/>
      <w:bookmarkStart w:id="87" w:name="_Toc278453298"/>
      <w:r>
        <w:rPr>
          <w:lang w:val="en-GB"/>
        </w:rPr>
        <w:t>3.</w:t>
      </w:r>
      <w:r w:rsidR="00A2793E">
        <w:rPr>
          <w:lang w:val="en-GB"/>
        </w:rPr>
        <w:t>3</w:t>
      </w:r>
      <w:r>
        <w:rPr>
          <w:lang w:val="en-GB"/>
        </w:rPr>
        <w:t xml:space="preserve"> </w:t>
      </w:r>
      <w:r w:rsidR="007324D7">
        <w:rPr>
          <w:lang w:val="en-GB"/>
        </w:rPr>
        <w:tab/>
      </w:r>
      <w:r w:rsidR="00253003" w:rsidRPr="00253003">
        <w:rPr>
          <w:lang w:val="en-GB"/>
        </w:rPr>
        <w:t>Data collection and analysis</w:t>
      </w:r>
      <w:bookmarkEnd w:id="82"/>
      <w:bookmarkEnd w:id="83"/>
      <w:bookmarkEnd w:id="84"/>
      <w:bookmarkEnd w:id="85"/>
      <w:bookmarkEnd w:id="86"/>
      <w:bookmarkEnd w:id="87"/>
    </w:p>
    <w:p w14:paraId="54B8206C" w14:textId="2A86A8B8" w:rsidR="00253003" w:rsidRDefault="00253003" w:rsidP="00253003">
      <w:pPr>
        <w:rPr>
          <w:rFonts w:cs="Arial"/>
          <w:szCs w:val="22"/>
          <w:lang w:val="en-GB"/>
        </w:rPr>
      </w:pPr>
      <w:r w:rsidRPr="00253003">
        <w:rPr>
          <w:rFonts w:cs="Arial"/>
          <w:szCs w:val="22"/>
          <w:lang w:val="en-GB"/>
        </w:rPr>
        <w:t>Data col</w:t>
      </w:r>
      <w:r w:rsidR="007324D7">
        <w:rPr>
          <w:rFonts w:cs="Arial"/>
          <w:szCs w:val="22"/>
          <w:lang w:val="en-GB"/>
        </w:rPr>
        <w:t>lected by the team during field</w:t>
      </w:r>
      <w:r w:rsidRPr="00253003">
        <w:rPr>
          <w:rFonts w:cs="Arial"/>
          <w:szCs w:val="22"/>
          <w:lang w:val="en-GB"/>
        </w:rPr>
        <w:t>work and collated from document review and other meta-data will be systematically analysed using rigorous methods to provide evidence, wherever possible, or to inform professi</w:t>
      </w:r>
      <w:r w:rsidR="00DB2075">
        <w:rPr>
          <w:rFonts w:cs="Arial"/>
          <w:szCs w:val="22"/>
          <w:lang w:val="en-GB"/>
        </w:rPr>
        <w:t xml:space="preserve">onal judgement in other cases. </w:t>
      </w:r>
      <w:r w:rsidRPr="00253003">
        <w:rPr>
          <w:rFonts w:cs="Arial"/>
          <w:szCs w:val="22"/>
          <w:lang w:val="en-GB"/>
        </w:rPr>
        <w:t>The resulting information will be interpreted and presented in the evaluation report.</w:t>
      </w:r>
    </w:p>
    <w:p w14:paraId="693E1EB7" w14:textId="0F2D535C" w:rsidR="001F3BF7" w:rsidRDefault="001F3BF7">
      <w:pPr>
        <w:spacing w:after="0"/>
        <w:rPr>
          <w:rFonts w:cs="Arial"/>
          <w:szCs w:val="22"/>
          <w:lang w:val="en-GB"/>
        </w:rPr>
      </w:pPr>
      <w:r>
        <w:rPr>
          <w:rFonts w:cs="Arial"/>
          <w:szCs w:val="22"/>
          <w:lang w:val="en-GB"/>
        </w:rPr>
        <w:br w:type="page"/>
      </w:r>
    </w:p>
    <w:p w14:paraId="58E3B415" w14:textId="77777777" w:rsidR="001F3BF7" w:rsidRPr="001F3BF7" w:rsidRDefault="001F3BF7" w:rsidP="00253003">
      <w:pPr>
        <w:rPr>
          <w:rFonts w:cs="Arial"/>
          <w:sz w:val="12"/>
          <w:szCs w:val="22"/>
          <w:lang w:val="en-GB"/>
        </w:rPr>
      </w:pPr>
    </w:p>
    <w:p w14:paraId="36C0B18B" w14:textId="0B036EB1" w:rsidR="003D355F" w:rsidRDefault="00A575A5" w:rsidP="002028A6">
      <w:pPr>
        <w:pStyle w:val="Heading2"/>
        <w:rPr>
          <w:lang w:val="en-GB"/>
        </w:rPr>
      </w:pPr>
      <w:bookmarkStart w:id="88" w:name="_Toc274145041"/>
      <w:bookmarkStart w:id="89" w:name="_Toc274900433"/>
      <w:bookmarkStart w:id="90" w:name="_Toc274908120"/>
      <w:bookmarkStart w:id="91" w:name="_Toc274909811"/>
      <w:bookmarkStart w:id="92" w:name="_Toc278447826"/>
      <w:bookmarkStart w:id="93" w:name="_Toc278453299"/>
      <w:r>
        <w:rPr>
          <w:lang w:val="en-GB"/>
        </w:rPr>
        <w:t>3.</w:t>
      </w:r>
      <w:r w:rsidR="00A2793E">
        <w:rPr>
          <w:lang w:val="en-GB"/>
        </w:rPr>
        <w:t>4</w:t>
      </w:r>
      <w:r>
        <w:rPr>
          <w:lang w:val="en-GB"/>
        </w:rPr>
        <w:t xml:space="preserve"> </w:t>
      </w:r>
      <w:r w:rsidR="007324D7">
        <w:rPr>
          <w:lang w:val="en-GB"/>
        </w:rPr>
        <w:tab/>
      </w:r>
      <w:r w:rsidR="00253003" w:rsidRPr="00253003">
        <w:rPr>
          <w:lang w:val="en-GB"/>
        </w:rPr>
        <w:t>Reporting requirements</w:t>
      </w:r>
      <w:bookmarkEnd w:id="88"/>
      <w:bookmarkEnd w:id="89"/>
      <w:bookmarkEnd w:id="90"/>
      <w:bookmarkEnd w:id="91"/>
      <w:bookmarkEnd w:id="92"/>
      <w:bookmarkEnd w:id="93"/>
    </w:p>
    <w:p w14:paraId="1967E0F7" w14:textId="0BFBE2A3" w:rsidR="00253003" w:rsidRPr="00253003" w:rsidRDefault="00253003" w:rsidP="00253003">
      <w:pPr>
        <w:rPr>
          <w:rFonts w:cs="Arial"/>
          <w:szCs w:val="22"/>
          <w:lang w:val="en-GB"/>
        </w:rPr>
      </w:pPr>
      <w:r w:rsidRPr="00253003">
        <w:rPr>
          <w:rFonts w:cs="Arial"/>
          <w:szCs w:val="22"/>
          <w:lang w:val="en-GB"/>
        </w:rPr>
        <w:t>The evaluation team will not be required to provide progress reports to DFAT during imp</w:t>
      </w:r>
      <w:r w:rsidR="00A7622E">
        <w:rPr>
          <w:rFonts w:cs="Arial"/>
          <w:szCs w:val="22"/>
          <w:lang w:val="en-GB"/>
        </w:rPr>
        <w:t>lementation of the field</w:t>
      </w:r>
      <w:r w:rsidR="00392633">
        <w:rPr>
          <w:rFonts w:cs="Arial"/>
          <w:szCs w:val="22"/>
          <w:lang w:val="en-GB"/>
        </w:rPr>
        <w:t xml:space="preserve">work. </w:t>
      </w:r>
      <w:r w:rsidRPr="00253003">
        <w:rPr>
          <w:rFonts w:cs="Arial"/>
          <w:szCs w:val="22"/>
          <w:lang w:val="en-GB"/>
        </w:rPr>
        <w:t>An aide memoire at</w:t>
      </w:r>
      <w:r w:rsidR="00A7622E">
        <w:rPr>
          <w:rFonts w:cs="Arial"/>
          <w:szCs w:val="22"/>
          <w:lang w:val="en-GB"/>
        </w:rPr>
        <w:t xml:space="preserve"> the end of each block of field</w:t>
      </w:r>
      <w:r w:rsidRPr="00253003">
        <w:rPr>
          <w:rFonts w:cs="Arial"/>
          <w:szCs w:val="22"/>
          <w:lang w:val="en-GB"/>
        </w:rPr>
        <w:t xml:space="preserve">work will report initial findings and progress against the </w:t>
      </w:r>
      <w:r w:rsidR="00C0631E">
        <w:rPr>
          <w:rFonts w:cs="Arial"/>
          <w:szCs w:val="22"/>
          <w:lang w:val="en-GB"/>
        </w:rPr>
        <w:t>E</w:t>
      </w:r>
      <w:r w:rsidRPr="00253003">
        <w:rPr>
          <w:rFonts w:cs="Arial"/>
          <w:szCs w:val="22"/>
          <w:lang w:val="en-GB"/>
        </w:rPr>
        <w:t xml:space="preserve">valuation </w:t>
      </w:r>
      <w:r w:rsidR="00C0631E">
        <w:rPr>
          <w:rFonts w:cs="Arial"/>
          <w:szCs w:val="22"/>
          <w:lang w:val="en-GB"/>
        </w:rPr>
        <w:t>P</w:t>
      </w:r>
      <w:r w:rsidRPr="00253003">
        <w:rPr>
          <w:rFonts w:cs="Arial"/>
          <w:szCs w:val="22"/>
          <w:lang w:val="en-GB"/>
        </w:rPr>
        <w:t>lan.</w:t>
      </w:r>
    </w:p>
    <w:p w14:paraId="412E1170" w14:textId="507E50ED" w:rsidR="00253003" w:rsidRPr="00253003" w:rsidRDefault="00253003" w:rsidP="00253003">
      <w:pPr>
        <w:rPr>
          <w:rFonts w:cs="Arial"/>
          <w:szCs w:val="22"/>
          <w:lang w:val="en-GB"/>
        </w:rPr>
      </w:pPr>
      <w:r w:rsidRPr="00253003">
        <w:rPr>
          <w:rFonts w:cs="Arial"/>
          <w:szCs w:val="22"/>
          <w:lang w:val="en-GB"/>
        </w:rPr>
        <w:t xml:space="preserve">A draft evaluation report will be submitted to </w:t>
      </w:r>
      <w:r w:rsidR="00A7622E">
        <w:rPr>
          <w:rFonts w:cs="Arial"/>
          <w:szCs w:val="22"/>
          <w:lang w:val="en-GB"/>
        </w:rPr>
        <w:t>DFAT – Suva Post by 5 September</w:t>
      </w:r>
      <w:r w:rsidRPr="00253003">
        <w:rPr>
          <w:rFonts w:cs="Arial"/>
          <w:szCs w:val="22"/>
          <w:lang w:val="en-GB"/>
        </w:rPr>
        <w:t xml:space="preserve"> 2014.  The final draft report will</w:t>
      </w:r>
      <w:r w:rsidR="00392633">
        <w:rPr>
          <w:rFonts w:cs="Arial"/>
          <w:szCs w:val="22"/>
          <w:lang w:val="en-GB"/>
        </w:rPr>
        <w:t xml:space="preserve"> include all necessary annexes.</w:t>
      </w:r>
      <w:r w:rsidRPr="00253003">
        <w:rPr>
          <w:rFonts w:cs="Arial"/>
          <w:szCs w:val="22"/>
          <w:lang w:val="en-GB"/>
        </w:rPr>
        <w:t xml:space="preserve"> Consistent with DFAT Australian Aid Monitoring and Evaluation Standard 6, the final draft evaluation </w:t>
      </w:r>
      <w:r w:rsidR="00D504F0">
        <w:rPr>
          <w:rFonts w:cs="Arial"/>
          <w:szCs w:val="22"/>
          <w:lang w:val="en-GB"/>
        </w:rPr>
        <w:br/>
      </w:r>
      <w:r w:rsidRPr="00253003">
        <w:rPr>
          <w:rFonts w:cs="Arial"/>
          <w:szCs w:val="22"/>
          <w:lang w:val="en-GB"/>
        </w:rPr>
        <w:t>report will</w:t>
      </w:r>
      <w:r w:rsidRPr="00253003">
        <w:rPr>
          <w:rStyle w:val="FootnoteReference"/>
          <w:rFonts w:cs="Arial"/>
          <w:szCs w:val="22"/>
          <w:lang w:val="en-GB"/>
        </w:rPr>
        <w:footnoteReference w:id="6"/>
      </w:r>
      <w:r w:rsidRPr="00253003">
        <w:rPr>
          <w:rFonts w:cs="Arial"/>
          <w:szCs w:val="22"/>
          <w:lang w:val="en-GB"/>
        </w:rPr>
        <w:t>:</w:t>
      </w:r>
    </w:p>
    <w:p w14:paraId="1F5FC7E3" w14:textId="77777777" w:rsidR="00253003" w:rsidRPr="00253003" w:rsidRDefault="00253003" w:rsidP="0049316F">
      <w:pPr>
        <w:pStyle w:val="ListBullet"/>
        <w:spacing w:before="0" w:after="0"/>
        <w:jc w:val="left"/>
        <w:rPr>
          <w:rFonts w:ascii="Arial" w:hAnsi="Arial" w:cs="Arial"/>
          <w:sz w:val="22"/>
          <w:szCs w:val="22"/>
          <w:lang w:val="en-GB"/>
        </w:rPr>
      </w:pPr>
      <w:r w:rsidRPr="00253003">
        <w:rPr>
          <w:rFonts w:ascii="Arial" w:hAnsi="Arial" w:cs="Arial"/>
          <w:sz w:val="22"/>
          <w:szCs w:val="22"/>
          <w:lang w:val="en-GB"/>
        </w:rPr>
        <w:t>orient readers by including background information such as the total value of program initiatives; the duration of initiatives and their stage of delivery; key outcomes of the program; and the key issues ident</w:t>
      </w:r>
      <w:r w:rsidR="0049316F">
        <w:rPr>
          <w:rFonts w:ascii="Arial" w:hAnsi="Arial" w:cs="Arial"/>
          <w:sz w:val="22"/>
          <w:szCs w:val="22"/>
          <w:lang w:val="en-GB"/>
        </w:rPr>
        <w:t>ified in the terms of reference</w:t>
      </w:r>
    </w:p>
    <w:p w14:paraId="38840CE8"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provide a brief summ</w:t>
      </w:r>
      <w:r w:rsidR="0049316F">
        <w:rPr>
          <w:rFonts w:ascii="Arial" w:hAnsi="Arial" w:cs="Arial"/>
          <w:sz w:val="22"/>
          <w:szCs w:val="22"/>
          <w:lang w:val="en-GB"/>
        </w:rPr>
        <w:t>ary of the methodology employed</w:t>
      </w:r>
    </w:p>
    <w:p w14:paraId="3CEFF806" w14:textId="77777777" w:rsidR="00253003" w:rsidRPr="00253003" w:rsidRDefault="00253003" w:rsidP="00B203F8">
      <w:pPr>
        <w:pStyle w:val="ListBullet"/>
        <w:spacing w:before="0" w:after="0"/>
        <w:jc w:val="left"/>
        <w:rPr>
          <w:rFonts w:ascii="Arial" w:hAnsi="Arial" w:cs="Arial"/>
          <w:sz w:val="22"/>
          <w:szCs w:val="22"/>
          <w:lang w:val="en-GB"/>
        </w:rPr>
      </w:pPr>
      <w:r w:rsidRPr="00253003">
        <w:rPr>
          <w:rFonts w:ascii="Arial" w:hAnsi="Arial" w:cs="Arial"/>
          <w:sz w:val="22"/>
          <w:szCs w:val="22"/>
          <w:lang w:val="en-GB"/>
        </w:rPr>
        <w:t>describe key limitations of the methodology and provide any relevant guidance to enable appropriate interpretation of t</w:t>
      </w:r>
      <w:r w:rsidR="0049316F">
        <w:rPr>
          <w:rFonts w:ascii="Arial" w:hAnsi="Arial" w:cs="Arial"/>
          <w:sz w:val="22"/>
          <w:szCs w:val="22"/>
          <w:lang w:val="en-GB"/>
        </w:rPr>
        <w:t>he findings</w:t>
      </w:r>
    </w:p>
    <w:p w14:paraId="5D0ACC8E" w14:textId="77777777" w:rsidR="00253003" w:rsidRPr="00253003" w:rsidRDefault="00253003" w:rsidP="00B203F8">
      <w:pPr>
        <w:pStyle w:val="ListBullet"/>
        <w:spacing w:before="0" w:after="0"/>
        <w:jc w:val="left"/>
        <w:rPr>
          <w:rFonts w:ascii="Arial" w:hAnsi="Arial" w:cs="Arial"/>
          <w:sz w:val="22"/>
          <w:szCs w:val="22"/>
          <w:lang w:val="en-GB"/>
        </w:rPr>
      </w:pPr>
      <w:r w:rsidRPr="00253003">
        <w:rPr>
          <w:rFonts w:ascii="Arial" w:hAnsi="Arial" w:cs="Arial"/>
          <w:sz w:val="22"/>
          <w:szCs w:val="22"/>
          <w:lang w:val="en-GB"/>
        </w:rPr>
        <w:t>include an executive summary that provides all the necessary information to enable primary users to make good quality decisio</w:t>
      </w:r>
      <w:r w:rsidR="00B203F8">
        <w:rPr>
          <w:rFonts w:ascii="Arial" w:hAnsi="Arial" w:cs="Arial"/>
          <w:sz w:val="22"/>
          <w:szCs w:val="22"/>
          <w:lang w:val="en-GB"/>
        </w:rPr>
        <w:t>ns based on evaluation findings</w:t>
      </w:r>
    </w:p>
    <w:p w14:paraId="02563D47"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clearly address all questi</w:t>
      </w:r>
      <w:r w:rsidR="00B203F8">
        <w:rPr>
          <w:rFonts w:ascii="Arial" w:hAnsi="Arial" w:cs="Arial"/>
          <w:sz w:val="22"/>
          <w:szCs w:val="22"/>
          <w:lang w:val="en-GB"/>
        </w:rPr>
        <w:t>ons in these terms of reference</w:t>
      </w:r>
    </w:p>
    <w:p w14:paraId="41799087" w14:textId="77777777" w:rsidR="00253003" w:rsidRPr="00253003" w:rsidRDefault="00253003" w:rsidP="00B203F8">
      <w:pPr>
        <w:pStyle w:val="ListBullet"/>
        <w:spacing w:before="0" w:after="0"/>
        <w:jc w:val="left"/>
        <w:rPr>
          <w:rFonts w:ascii="Arial" w:hAnsi="Arial" w:cs="Arial"/>
          <w:sz w:val="22"/>
          <w:szCs w:val="22"/>
          <w:lang w:val="en-GB"/>
        </w:rPr>
      </w:pPr>
      <w:r w:rsidRPr="00253003">
        <w:rPr>
          <w:rFonts w:ascii="Arial" w:hAnsi="Arial" w:cs="Arial"/>
          <w:sz w:val="22"/>
          <w:szCs w:val="22"/>
          <w:lang w:val="en-GB"/>
        </w:rPr>
        <w:t>fully describe each of the issues identified so that the reader feels they h</w:t>
      </w:r>
      <w:r w:rsidR="00B203F8">
        <w:rPr>
          <w:rFonts w:ascii="Arial" w:hAnsi="Arial" w:cs="Arial"/>
          <w:sz w:val="22"/>
          <w:szCs w:val="22"/>
          <w:lang w:val="en-GB"/>
        </w:rPr>
        <w:t>ave been given the full picture</w:t>
      </w:r>
    </w:p>
    <w:p w14:paraId="6FAA6CAD"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communicate the re</w:t>
      </w:r>
      <w:r w:rsidR="00B203F8">
        <w:rPr>
          <w:rFonts w:ascii="Arial" w:hAnsi="Arial" w:cs="Arial"/>
          <w:sz w:val="22"/>
          <w:szCs w:val="22"/>
          <w:lang w:val="en-GB"/>
        </w:rPr>
        <w:t>lative importance of the issues</w:t>
      </w:r>
    </w:p>
    <w:p w14:paraId="78180D53"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present an appropriate balance between o</w:t>
      </w:r>
      <w:r w:rsidR="00B203F8">
        <w:rPr>
          <w:rFonts w:ascii="Arial" w:hAnsi="Arial" w:cs="Arial"/>
          <w:sz w:val="22"/>
          <w:szCs w:val="22"/>
          <w:lang w:val="en-GB"/>
        </w:rPr>
        <w:t>perational and strategic issues</w:t>
      </w:r>
    </w:p>
    <w:p w14:paraId="4DC41952"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clearly establish that the eviden</w:t>
      </w:r>
      <w:r w:rsidR="00B203F8">
        <w:rPr>
          <w:rFonts w:ascii="Arial" w:hAnsi="Arial" w:cs="Arial"/>
          <w:sz w:val="22"/>
          <w:szCs w:val="22"/>
          <w:lang w:val="en-GB"/>
        </w:rPr>
        <w:t>ce supports the arguments posed</w:t>
      </w:r>
    </w:p>
    <w:p w14:paraId="770C357A"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consider alternative p</w:t>
      </w:r>
      <w:r w:rsidR="00B203F8">
        <w:rPr>
          <w:rFonts w:ascii="Arial" w:hAnsi="Arial" w:cs="Arial"/>
          <w:sz w:val="22"/>
          <w:szCs w:val="22"/>
          <w:lang w:val="en-GB"/>
        </w:rPr>
        <w:t>oints of view where appropriate</w:t>
      </w:r>
    </w:p>
    <w:p w14:paraId="2A6C8F98" w14:textId="77777777" w:rsidR="00253003" w:rsidRPr="00253003" w:rsidRDefault="00B203F8" w:rsidP="00253003">
      <w:pPr>
        <w:pStyle w:val="ListBullet"/>
        <w:spacing w:before="0" w:after="0"/>
        <w:rPr>
          <w:rFonts w:ascii="Arial" w:hAnsi="Arial" w:cs="Arial"/>
          <w:sz w:val="22"/>
          <w:szCs w:val="22"/>
          <w:lang w:val="en-GB"/>
        </w:rPr>
      </w:pPr>
      <w:r>
        <w:rPr>
          <w:rFonts w:ascii="Arial" w:hAnsi="Arial" w:cs="Arial"/>
          <w:sz w:val="22"/>
          <w:szCs w:val="22"/>
          <w:lang w:val="en-GB"/>
        </w:rPr>
        <w:t>fully explore complex issues</w:t>
      </w:r>
    </w:p>
    <w:p w14:paraId="21CD80E1"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explore the role of the</w:t>
      </w:r>
      <w:r w:rsidR="00B203F8">
        <w:rPr>
          <w:rFonts w:ascii="Arial" w:hAnsi="Arial" w:cs="Arial"/>
          <w:sz w:val="22"/>
          <w:szCs w:val="22"/>
          <w:lang w:val="en-GB"/>
        </w:rPr>
        <w:t xml:space="preserve"> context in program performance</w:t>
      </w:r>
    </w:p>
    <w:p w14:paraId="63D5F63A" w14:textId="77777777" w:rsidR="00253003" w:rsidRPr="00253003" w:rsidRDefault="00253003" w:rsidP="00B203F8">
      <w:pPr>
        <w:pStyle w:val="ListBullet"/>
        <w:spacing w:before="0" w:after="0"/>
        <w:jc w:val="left"/>
        <w:rPr>
          <w:rFonts w:ascii="Arial" w:hAnsi="Arial" w:cs="Arial"/>
          <w:sz w:val="22"/>
          <w:szCs w:val="22"/>
          <w:lang w:val="en-GB"/>
        </w:rPr>
      </w:pPr>
      <w:r w:rsidRPr="00253003">
        <w:rPr>
          <w:rFonts w:ascii="Arial" w:hAnsi="Arial" w:cs="Arial"/>
          <w:sz w:val="22"/>
          <w:szCs w:val="22"/>
          <w:lang w:val="en-GB"/>
        </w:rPr>
        <w:t>use appropriate methods/language to give the reader confidence in the finding</w:t>
      </w:r>
      <w:r w:rsidR="00B203F8">
        <w:rPr>
          <w:rFonts w:ascii="Arial" w:hAnsi="Arial" w:cs="Arial"/>
          <w:sz w:val="22"/>
          <w:szCs w:val="22"/>
          <w:lang w:val="en-GB"/>
        </w:rPr>
        <w:t>s and conclusions</w:t>
      </w:r>
    </w:p>
    <w:p w14:paraId="2253FBA5" w14:textId="77777777" w:rsidR="00253003" w:rsidRPr="00253003" w:rsidRDefault="00253003" w:rsidP="00B203F8">
      <w:pPr>
        <w:pStyle w:val="ListBullet"/>
        <w:spacing w:before="0" w:after="0"/>
        <w:jc w:val="left"/>
        <w:rPr>
          <w:rFonts w:ascii="Arial" w:hAnsi="Arial" w:cs="Arial"/>
          <w:sz w:val="22"/>
          <w:szCs w:val="22"/>
          <w:lang w:val="en-GB"/>
        </w:rPr>
      </w:pPr>
      <w:r w:rsidRPr="00253003">
        <w:rPr>
          <w:rFonts w:ascii="Arial" w:hAnsi="Arial" w:cs="Arial"/>
          <w:sz w:val="22"/>
          <w:szCs w:val="22"/>
          <w:lang w:val="en-GB"/>
        </w:rPr>
        <w:t>explore the factors that have influenced the issues i</w:t>
      </w:r>
      <w:r w:rsidR="00B203F8">
        <w:rPr>
          <w:rFonts w:ascii="Arial" w:hAnsi="Arial" w:cs="Arial"/>
          <w:sz w:val="22"/>
          <w:szCs w:val="22"/>
          <w:lang w:val="en-GB"/>
        </w:rPr>
        <w:t>dentified and conclusions drawn</w:t>
      </w:r>
    </w:p>
    <w:p w14:paraId="0AE9A3FD"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explore t</w:t>
      </w:r>
      <w:r w:rsidR="00B203F8">
        <w:rPr>
          <w:rFonts w:ascii="Arial" w:hAnsi="Arial" w:cs="Arial"/>
          <w:sz w:val="22"/>
          <w:szCs w:val="22"/>
          <w:lang w:val="en-GB"/>
        </w:rPr>
        <w:t>he implications of key findings</w:t>
      </w:r>
    </w:p>
    <w:p w14:paraId="4044D97B"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make clear the overall position of the team</w:t>
      </w:r>
      <w:r w:rsidR="00B203F8">
        <w:rPr>
          <w:rFonts w:ascii="Arial" w:hAnsi="Arial" w:cs="Arial"/>
          <w:sz w:val="22"/>
          <w:szCs w:val="22"/>
          <w:lang w:val="en-GB"/>
        </w:rPr>
        <w:t xml:space="preserve"> and its professional judgments</w:t>
      </w:r>
    </w:p>
    <w:p w14:paraId="2C5822D8" w14:textId="77777777" w:rsidR="00253003" w:rsidRPr="00253003" w:rsidRDefault="00253003" w:rsidP="00B203F8">
      <w:pPr>
        <w:pStyle w:val="ListBullet"/>
        <w:spacing w:before="0" w:after="0"/>
        <w:jc w:val="left"/>
        <w:rPr>
          <w:rFonts w:ascii="Arial" w:hAnsi="Arial" w:cs="Arial"/>
          <w:sz w:val="22"/>
          <w:szCs w:val="22"/>
          <w:lang w:val="en-GB"/>
        </w:rPr>
      </w:pPr>
      <w:r w:rsidRPr="00253003">
        <w:rPr>
          <w:rFonts w:ascii="Arial" w:hAnsi="Arial" w:cs="Arial"/>
          <w:sz w:val="22"/>
          <w:szCs w:val="22"/>
          <w:lang w:val="en-GB"/>
        </w:rPr>
        <w:t>ensure conclusions and recommendations logically flow from the presentation of findi</w:t>
      </w:r>
      <w:r w:rsidR="00B203F8">
        <w:rPr>
          <w:rFonts w:ascii="Arial" w:hAnsi="Arial" w:cs="Arial"/>
          <w:sz w:val="22"/>
          <w:szCs w:val="22"/>
          <w:lang w:val="en-GB"/>
        </w:rPr>
        <w:t>ngs and any associated analyses</w:t>
      </w:r>
    </w:p>
    <w:p w14:paraId="4C3D862B"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make re</w:t>
      </w:r>
      <w:r w:rsidR="00B203F8">
        <w:rPr>
          <w:rFonts w:ascii="Arial" w:hAnsi="Arial" w:cs="Arial"/>
          <w:sz w:val="22"/>
          <w:szCs w:val="22"/>
          <w:lang w:val="en-GB"/>
        </w:rPr>
        <w:t>commendations that are feasible</w:t>
      </w:r>
    </w:p>
    <w:p w14:paraId="6F510752" w14:textId="77777777" w:rsidR="00253003" w:rsidRPr="00253003" w:rsidRDefault="00253003" w:rsidP="00253003">
      <w:pPr>
        <w:pStyle w:val="ListBullet"/>
        <w:spacing w:before="0" w:after="0"/>
        <w:rPr>
          <w:rFonts w:ascii="Arial" w:hAnsi="Arial" w:cs="Arial"/>
          <w:sz w:val="22"/>
          <w:szCs w:val="22"/>
          <w:lang w:val="en-GB"/>
        </w:rPr>
      </w:pPr>
      <w:r w:rsidRPr="00253003">
        <w:rPr>
          <w:rFonts w:ascii="Arial" w:hAnsi="Arial" w:cs="Arial"/>
          <w:sz w:val="22"/>
          <w:szCs w:val="22"/>
          <w:lang w:val="en-GB"/>
        </w:rPr>
        <w:t>allocate responsibility to stakeholders for responding to recommendations.</w:t>
      </w:r>
    </w:p>
    <w:p w14:paraId="1292BD9E" w14:textId="77777777" w:rsidR="00253003" w:rsidRPr="00253003" w:rsidRDefault="00253003" w:rsidP="00253003">
      <w:pPr>
        <w:rPr>
          <w:rFonts w:cs="Arial"/>
          <w:szCs w:val="22"/>
          <w:lang w:val="en-GB"/>
        </w:rPr>
      </w:pPr>
    </w:p>
    <w:p w14:paraId="22810E5F" w14:textId="59323D76" w:rsidR="00253003" w:rsidRPr="00253003" w:rsidRDefault="00253003" w:rsidP="00253003">
      <w:pPr>
        <w:rPr>
          <w:rFonts w:cs="Arial"/>
          <w:szCs w:val="22"/>
          <w:lang w:val="en-GB"/>
        </w:rPr>
      </w:pPr>
      <w:r w:rsidRPr="00253003">
        <w:rPr>
          <w:rFonts w:cs="Arial"/>
          <w:szCs w:val="22"/>
          <w:lang w:val="en-GB"/>
        </w:rPr>
        <w:t>DFAT Suva Post will review the draft report submitted by</w:t>
      </w:r>
      <w:r w:rsidR="00344EC0">
        <w:rPr>
          <w:rFonts w:cs="Arial"/>
          <w:szCs w:val="22"/>
          <w:lang w:val="en-GB"/>
        </w:rPr>
        <w:t xml:space="preserve"> 5 September</w:t>
      </w:r>
      <w:r w:rsidRPr="00253003">
        <w:rPr>
          <w:rFonts w:cs="Arial"/>
          <w:szCs w:val="22"/>
          <w:lang w:val="en-GB"/>
        </w:rPr>
        <w:t xml:space="preserve"> 2014 with its partners and return comments within 10 days to enable the final report to be co</w:t>
      </w:r>
      <w:r w:rsidR="00344EC0">
        <w:rPr>
          <w:rFonts w:cs="Arial"/>
          <w:szCs w:val="22"/>
          <w:lang w:val="en-GB"/>
        </w:rPr>
        <w:t>mpleted before</w:t>
      </w:r>
      <w:r w:rsidR="00C0631E">
        <w:rPr>
          <w:rFonts w:cs="Arial"/>
          <w:szCs w:val="22"/>
          <w:lang w:val="en-GB"/>
        </w:rPr>
        <w:t xml:space="preserve"> </w:t>
      </w:r>
      <w:r w:rsidR="00344EC0">
        <w:rPr>
          <w:rFonts w:cs="Arial"/>
          <w:szCs w:val="22"/>
          <w:lang w:val="en-GB"/>
        </w:rPr>
        <w:t>11 October</w:t>
      </w:r>
      <w:r w:rsidR="00392633">
        <w:rPr>
          <w:rFonts w:cs="Arial"/>
          <w:szCs w:val="22"/>
          <w:lang w:val="en-GB"/>
        </w:rPr>
        <w:t xml:space="preserve"> 2014.</w:t>
      </w:r>
      <w:r w:rsidRPr="00253003">
        <w:rPr>
          <w:rFonts w:cs="Arial"/>
          <w:szCs w:val="22"/>
          <w:lang w:val="en-GB"/>
        </w:rPr>
        <w:t xml:space="preserve"> A formal peer review of the</w:t>
      </w:r>
      <w:r w:rsidR="00344EC0">
        <w:rPr>
          <w:rFonts w:cs="Arial"/>
          <w:szCs w:val="22"/>
          <w:lang w:val="en-GB"/>
        </w:rPr>
        <w:t xml:space="preserve"> evaluation will be conducted. </w:t>
      </w:r>
      <w:r w:rsidRPr="00253003">
        <w:rPr>
          <w:rFonts w:cs="Arial"/>
          <w:szCs w:val="22"/>
          <w:lang w:val="en-GB"/>
        </w:rPr>
        <w:t>The final evaluation report will be provided within 10 working days of receiving the feedback, incorporati</w:t>
      </w:r>
      <w:r w:rsidR="00392633">
        <w:rPr>
          <w:rFonts w:cs="Arial"/>
          <w:szCs w:val="22"/>
          <w:lang w:val="en-GB"/>
        </w:rPr>
        <w:t xml:space="preserve">ng feedback from stakeholders. </w:t>
      </w:r>
      <w:r w:rsidRPr="00253003">
        <w:rPr>
          <w:rFonts w:cs="Arial"/>
          <w:szCs w:val="22"/>
          <w:lang w:val="en-GB"/>
        </w:rPr>
        <w:t xml:space="preserve">The report will be no more than 30 pages (plus annexes). This will include an Executive Summary, which </w:t>
      </w:r>
      <w:r w:rsidRPr="00253003">
        <w:rPr>
          <w:rFonts w:cs="Arial"/>
          <w:szCs w:val="22"/>
        </w:rPr>
        <w:t>could act as a standalone summary of main findings and recommendations for DFAT senior management.</w:t>
      </w:r>
      <w:r w:rsidR="00344EC0">
        <w:rPr>
          <w:rFonts w:cs="Arial"/>
          <w:szCs w:val="22"/>
          <w:lang w:val="en-GB"/>
        </w:rPr>
        <w:t xml:space="preserve"> </w:t>
      </w:r>
      <w:r w:rsidRPr="00253003">
        <w:rPr>
          <w:rFonts w:cs="Arial"/>
          <w:szCs w:val="22"/>
          <w:lang w:val="en-GB"/>
        </w:rPr>
        <w:t>Findings, lessons, and recommendations should be cle</w:t>
      </w:r>
      <w:r w:rsidR="00344EC0">
        <w:rPr>
          <w:rFonts w:cs="Arial"/>
          <w:szCs w:val="22"/>
          <w:lang w:val="en-GB"/>
        </w:rPr>
        <w:t xml:space="preserve">arly documented in the report. </w:t>
      </w:r>
      <w:r w:rsidRPr="00253003">
        <w:rPr>
          <w:rFonts w:cs="Arial"/>
          <w:szCs w:val="22"/>
          <w:lang w:val="en-GB"/>
        </w:rPr>
        <w:t>The final evaluation report will be published on DFAT’s Aid Program website.</w:t>
      </w:r>
    </w:p>
    <w:p w14:paraId="071A2BC8" w14:textId="77777777" w:rsidR="00DA3F5A" w:rsidRDefault="00DA3F5A" w:rsidP="002028A6">
      <w:pPr>
        <w:pStyle w:val="Heading1"/>
        <w:sectPr w:rsidR="00DA3F5A" w:rsidSect="00EF7E8E">
          <w:headerReference w:type="default" r:id="rId16"/>
          <w:type w:val="continuous"/>
          <w:pgSz w:w="11901" w:h="16834"/>
          <w:pgMar w:top="1440" w:right="1701" w:bottom="1440" w:left="1701" w:header="709" w:footer="709" w:gutter="0"/>
          <w:cols w:space="708"/>
          <w:titlePg/>
          <w:docGrid w:linePitch="326"/>
        </w:sectPr>
      </w:pPr>
    </w:p>
    <w:p w14:paraId="3FB81277" w14:textId="1C39C687" w:rsidR="003D355F" w:rsidRDefault="00395FC0" w:rsidP="002028A6">
      <w:pPr>
        <w:pStyle w:val="Heading1"/>
      </w:pPr>
      <w:r w:rsidRPr="00253003">
        <w:lastRenderedPageBreak/>
        <w:br w:type="page"/>
      </w:r>
      <w:bookmarkStart w:id="94" w:name="_Toc278447827"/>
      <w:bookmarkStart w:id="95" w:name="_Toc278453300"/>
      <w:r w:rsidR="00C0631E" w:rsidRPr="00253003">
        <w:lastRenderedPageBreak/>
        <w:t xml:space="preserve">ANNEX 2: PEOPLE AND </w:t>
      </w:r>
      <w:r w:rsidR="00C0631E">
        <w:t>O</w:t>
      </w:r>
      <w:r w:rsidR="00C0631E" w:rsidRPr="00253003">
        <w:t xml:space="preserve">RGANISATIONS </w:t>
      </w:r>
      <w:r w:rsidR="00C0631E">
        <w:t>M</w:t>
      </w:r>
      <w:r w:rsidR="00C0631E" w:rsidRPr="00253003">
        <w:t>ET</w:t>
      </w:r>
      <w:bookmarkEnd w:id="94"/>
      <w:bookmarkEnd w:id="95"/>
    </w:p>
    <w:p w14:paraId="4F98449F" w14:textId="77777777" w:rsidR="00E74BB4" w:rsidRPr="00C87852" w:rsidRDefault="00E74BB4" w:rsidP="008F00FD">
      <w:r w:rsidRPr="00C87852">
        <w:t xml:space="preserve">The review team met with a wide range of stakeholders, including: </w:t>
      </w:r>
    </w:p>
    <w:p w14:paraId="18F3829F" w14:textId="7979C48C" w:rsidR="00D504F0" w:rsidRPr="00C87852" w:rsidRDefault="00E74BB4" w:rsidP="00E74BB4">
      <w:pPr>
        <w:pStyle w:val="ListParagraph"/>
        <w:numPr>
          <w:ilvl w:val="0"/>
          <w:numId w:val="82"/>
        </w:numPr>
      </w:pPr>
      <w:r w:rsidRPr="00C87852">
        <w:t>in-country meetings with donors, government officials, TVET providers and APTC management</w:t>
      </w:r>
    </w:p>
    <w:p w14:paraId="2995F8E2" w14:textId="04FDDEDF" w:rsidR="00E74BB4" w:rsidRPr="00C87852" w:rsidRDefault="00E74BB4" w:rsidP="00E74BB4">
      <w:pPr>
        <w:pStyle w:val="ListParagraph"/>
        <w:numPr>
          <w:ilvl w:val="0"/>
          <w:numId w:val="82"/>
        </w:numPr>
      </w:pPr>
      <w:r w:rsidRPr="00C87852">
        <w:t>meetings with the two RTOs, qualifications assessment agency and immigration authorities in Australia</w:t>
      </w:r>
    </w:p>
    <w:p w14:paraId="4F7635E1" w14:textId="0ED0BE0B" w:rsidR="00E74BB4" w:rsidRPr="00C87852" w:rsidRDefault="00E74BB4" w:rsidP="00E74BB4">
      <w:pPr>
        <w:pStyle w:val="ListParagraph"/>
        <w:numPr>
          <w:ilvl w:val="0"/>
          <w:numId w:val="82"/>
        </w:numPr>
      </w:pPr>
      <w:r w:rsidRPr="00C87852">
        <w:t>focus groups with employers, APTC trainers, tutors, administrative staff, students and graduates.</w:t>
      </w:r>
    </w:p>
    <w:p w14:paraId="13A925D1" w14:textId="25B8DAD4" w:rsidR="008F00FD" w:rsidRPr="00C87852" w:rsidRDefault="00C87852" w:rsidP="008F00FD">
      <w:r w:rsidRPr="00C87852">
        <w:t>This annex provides a list of p</w:t>
      </w:r>
      <w:r w:rsidR="008F00FD" w:rsidRPr="00C87852">
        <w:t>eople and organisations met</w:t>
      </w:r>
      <w:r w:rsidR="002E52B6" w:rsidRPr="00C87852">
        <w:t xml:space="preserve"> in</w:t>
      </w:r>
      <w:r w:rsidR="00DD6E3C">
        <w:t xml:space="preserve"> the following countries: </w:t>
      </w:r>
    </w:p>
    <w:p w14:paraId="5B1C7A72" w14:textId="77777777" w:rsidR="008F00FD" w:rsidRPr="00C87852" w:rsidRDefault="008F00FD" w:rsidP="00C87852">
      <w:pPr>
        <w:pStyle w:val="ListParagraph"/>
        <w:numPr>
          <w:ilvl w:val="0"/>
          <w:numId w:val="83"/>
        </w:numPr>
        <w:spacing w:after="160"/>
      </w:pPr>
      <w:r w:rsidRPr="00C87852">
        <w:t>Fiji</w:t>
      </w:r>
    </w:p>
    <w:p w14:paraId="6E92581B" w14:textId="77777777" w:rsidR="008F00FD" w:rsidRPr="00C87852" w:rsidRDefault="008F00FD" w:rsidP="00C87852">
      <w:pPr>
        <w:pStyle w:val="ListParagraph"/>
        <w:numPr>
          <w:ilvl w:val="0"/>
          <w:numId w:val="83"/>
        </w:numPr>
        <w:spacing w:after="160"/>
      </w:pPr>
      <w:r w:rsidRPr="00C87852">
        <w:t>Australia</w:t>
      </w:r>
    </w:p>
    <w:p w14:paraId="7F4AE4D6" w14:textId="77777777" w:rsidR="008F00FD" w:rsidRPr="00C87852" w:rsidRDefault="008F00FD" w:rsidP="00C87852">
      <w:pPr>
        <w:pStyle w:val="ListParagraph"/>
        <w:numPr>
          <w:ilvl w:val="0"/>
          <w:numId w:val="83"/>
        </w:numPr>
        <w:spacing w:after="160"/>
      </w:pPr>
      <w:r w:rsidRPr="00C87852">
        <w:t>Samoa</w:t>
      </w:r>
    </w:p>
    <w:p w14:paraId="7739EEA2" w14:textId="77777777" w:rsidR="008F00FD" w:rsidRPr="00C87852" w:rsidRDefault="008F00FD" w:rsidP="00C87852">
      <w:pPr>
        <w:pStyle w:val="ListParagraph"/>
        <w:numPr>
          <w:ilvl w:val="0"/>
          <w:numId w:val="83"/>
        </w:numPr>
        <w:spacing w:after="160"/>
      </w:pPr>
      <w:r w:rsidRPr="00C87852">
        <w:t>Papua New Guinea</w:t>
      </w:r>
    </w:p>
    <w:p w14:paraId="0484B7AA" w14:textId="77777777" w:rsidR="008F00FD" w:rsidRPr="00C87852" w:rsidRDefault="008F00FD" w:rsidP="00C87852">
      <w:pPr>
        <w:pStyle w:val="ListParagraph"/>
        <w:numPr>
          <w:ilvl w:val="0"/>
          <w:numId w:val="83"/>
        </w:numPr>
        <w:spacing w:after="160"/>
      </w:pPr>
      <w:r w:rsidRPr="00C87852">
        <w:t>Solomon Islands</w:t>
      </w:r>
    </w:p>
    <w:p w14:paraId="72869D24" w14:textId="77777777" w:rsidR="008F00FD" w:rsidRPr="00C87852" w:rsidRDefault="008F00FD" w:rsidP="00C87852">
      <w:pPr>
        <w:pStyle w:val="ListParagraph"/>
        <w:numPr>
          <w:ilvl w:val="0"/>
          <w:numId w:val="83"/>
        </w:numPr>
        <w:spacing w:after="160"/>
      </w:pPr>
      <w:r w:rsidRPr="00C87852">
        <w:t>Vanuatu</w:t>
      </w:r>
    </w:p>
    <w:p w14:paraId="31476A9C" w14:textId="63B749CE" w:rsidR="00E75687" w:rsidRPr="00C87852" w:rsidRDefault="00E75687" w:rsidP="00C87852">
      <w:pPr>
        <w:pStyle w:val="ListParagraph"/>
        <w:numPr>
          <w:ilvl w:val="0"/>
          <w:numId w:val="83"/>
        </w:numPr>
        <w:spacing w:after="160"/>
      </w:pPr>
      <w:r w:rsidRPr="00C87852">
        <w:t>Kiribati</w:t>
      </w:r>
      <w:r w:rsidR="00C87852">
        <w:t>.</w:t>
      </w:r>
    </w:p>
    <w:p w14:paraId="1BD1B851" w14:textId="77777777" w:rsidR="008F00FD" w:rsidRDefault="008F00FD" w:rsidP="008F00FD">
      <w:pPr>
        <w:rPr>
          <w:b/>
          <w:color w:val="A5A5A5" w:themeColor="accent3"/>
        </w:rPr>
      </w:pPr>
    </w:p>
    <w:p w14:paraId="5798C681" w14:textId="77777777" w:rsidR="008F00FD" w:rsidRPr="00C645FA" w:rsidRDefault="008F00FD" w:rsidP="002028A6">
      <w:pPr>
        <w:pStyle w:val="Heading1"/>
      </w:pPr>
      <w:bookmarkStart w:id="96" w:name="_Toc278447828"/>
      <w:bookmarkStart w:id="97" w:name="_Toc278453301"/>
      <w:r w:rsidRPr="00C645FA">
        <w:t>FIJI</w:t>
      </w:r>
      <w:bookmarkEnd w:id="96"/>
      <w:bookmarkEnd w:id="97"/>
    </w:p>
    <w:p w14:paraId="0A6AE46B" w14:textId="77777777" w:rsidR="00C87852" w:rsidRDefault="008F00FD" w:rsidP="008F00FD">
      <w:pPr>
        <w:rPr>
          <w:b/>
        </w:rPr>
      </w:pPr>
      <w:r w:rsidRPr="007C1864">
        <w:rPr>
          <w:b/>
        </w:rPr>
        <w:t xml:space="preserve">APTC students – </w:t>
      </w:r>
      <w:r w:rsidRPr="00C87852">
        <w:t>47 individuals</w:t>
      </w:r>
      <w:r w:rsidR="00BB0716">
        <w:rPr>
          <w:b/>
        </w:rPr>
        <w:tab/>
      </w:r>
    </w:p>
    <w:p w14:paraId="44A9B774" w14:textId="41C9A015" w:rsidR="00160FD3" w:rsidRPr="007C1864" w:rsidRDefault="00160FD3" w:rsidP="008F00FD">
      <w:pPr>
        <w:rPr>
          <w:b/>
        </w:rPr>
      </w:pPr>
      <w:r>
        <w:rPr>
          <w:b/>
        </w:rPr>
        <w:t xml:space="preserve">APTC graduates – </w:t>
      </w:r>
      <w:r w:rsidRPr="00C87852">
        <w:t xml:space="preserve">29 </w:t>
      </w:r>
      <w:r w:rsidR="000F0E6E" w:rsidRPr="00C87852">
        <w:t>individuals</w:t>
      </w:r>
    </w:p>
    <w:p w14:paraId="4CFEBE72" w14:textId="77777777" w:rsidR="00943DC5" w:rsidRDefault="00943DC5" w:rsidP="008F00FD">
      <w:pPr>
        <w:rPr>
          <w:b/>
        </w:rPr>
      </w:pPr>
    </w:p>
    <w:p w14:paraId="07D3B6CF" w14:textId="3CF2ACA4" w:rsidR="008F00FD" w:rsidRPr="007C1864" w:rsidRDefault="008F00FD" w:rsidP="008F00FD">
      <w:pPr>
        <w:rPr>
          <w:b/>
        </w:rPr>
      </w:pPr>
      <w:r w:rsidRPr="007C1864">
        <w:rPr>
          <w:b/>
        </w:rPr>
        <w:t>APTC management</w:t>
      </w:r>
      <w:r w:rsidR="00160FD3">
        <w:rPr>
          <w:b/>
        </w:rPr>
        <w:t xml:space="preserve"> and</w:t>
      </w:r>
      <w:r w:rsidR="00160FD3" w:rsidRPr="007C1864">
        <w:rPr>
          <w:b/>
        </w:rPr>
        <w:t xml:space="preserve"> </w:t>
      </w:r>
      <w:r w:rsidRPr="007C1864">
        <w:rPr>
          <w:b/>
        </w:rPr>
        <w:t xml:space="preserve">staff </w:t>
      </w:r>
    </w:p>
    <w:tbl>
      <w:tblPr>
        <w:tblW w:w="8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985"/>
        <w:gridCol w:w="283"/>
        <w:gridCol w:w="3049"/>
        <w:gridCol w:w="1022"/>
      </w:tblGrid>
      <w:tr w:rsidR="002C6D78" w:rsidRPr="00381A55" w14:paraId="76399621" w14:textId="0BDF1DE0" w:rsidTr="00D66E89">
        <w:trPr>
          <w:trHeight w:val="280"/>
        </w:trPr>
        <w:tc>
          <w:tcPr>
            <w:tcW w:w="2268" w:type="dxa"/>
            <w:tcBorders>
              <w:top w:val="nil"/>
              <w:left w:val="nil"/>
              <w:bottom w:val="single" w:sz="4" w:space="0" w:color="A8D08D" w:themeColor="accent6" w:themeTint="99"/>
              <w:right w:val="single" w:sz="4" w:space="0" w:color="A8D08D" w:themeColor="accent6" w:themeTint="99"/>
            </w:tcBorders>
            <w:shd w:val="clear" w:color="auto" w:fill="auto"/>
            <w:noWrap/>
            <w:vAlign w:val="bottom"/>
          </w:tcPr>
          <w:p w14:paraId="6018CDFB"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Betty Jitoko</w:t>
            </w:r>
          </w:p>
        </w:tc>
        <w:tc>
          <w:tcPr>
            <w:tcW w:w="1985" w:type="dxa"/>
            <w:tcBorders>
              <w:top w:val="nil"/>
              <w:left w:val="single" w:sz="4" w:space="0" w:color="A8D08D" w:themeColor="accent6" w:themeTint="99"/>
              <w:bottom w:val="single" w:sz="4" w:space="0" w:color="A8D08D" w:themeColor="accent6" w:themeTint="99"/>
              <w:right w:val="nil"/>
            </w:tcBorders>
            <w:shd w:val="clear" w:color="auto" w:fill="auto"/>
            <w:noWrap/>
            <w:vAlign w:val="bottom"/>
          </w:tcPr>
          <w:p w14:paraId="32A30B86"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nil"/>
              <w:left w:val="nil"/>
              <w:bottom w:val="single" w:sz="4" w:space="0" w:color="A8D08D" w:themeColor="accent6" w:themeTint="99"/>
              <w:right w:val="single" w:sz="4" w:space="0" w:color="A8D08D" w:themeColor="accent6" w:themeTint="99"/>
            </w:tcBorders>
          </w:tcPr>
          <w:p w14:paraId="31D25A5F" w14:textId="77777777" w:rsidR="002C6D78" w:rsidRPr="00381A55" w:rsidRDefault="002C6D78">
            <w:pPr>
              <w:spacing w:after="0"/>
              <w:rPr>
                <w:rFonts w:cstheme="minorBidi"/>
                <w:color w:val="000000"/>
                <w:sz w:val="18"/>
                <w:szCs w:val="22"/>
              </w:rPr>
            </w:pPr>
          </w:p>
        </w:tc>
        <w:tc>
          <w:tcPr>
            <w:tcW w:w="3049" w:type="dxa"/>
            <w:tcBorders>
              <w:top w:val="nil"/>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0989C17E" w14:textId="0785C48F" w:rsidR="002C6D78" w:rsidRPr="00381A55" w:rsidRDefault="002C6D78">
            <w:pPr>
              <w:spacing w:after="0"/>
            </w:pPr>
            <w:r w:rsidRPr="00381A55">
              <w:rPr>
                <w:rFonts w:cstheme="minorBidi"/>
                <w:color w:val="000000"/>
                <w:sz w:val="18"/>
                <w:szCs w:val="22"/>
              </w:rPr>
              <w:t>Amanda Young</w:t>
            </w:r>
          </w:p>
        </w:tc>
        <w:tc>
          <w:tcPr>
            <w:tcW w:w="1022" w:type="dxa"/>
            <w:tcBorders>
              <w:top w:val="nil"/>
              <w:left w:val="single" w:sz="4" w:space="0" w:color="A8D08D" w:themeColor="accent6" w:themeTint="99"/>
              <w:bottom w:val="single" w:sz="4" w:space="0" w:color="A8D08D" w:themeColor="accent6" w:themeTint="99"/>
              <w:right w:val="nil"/>
            </w:tcBorders>
            <w:shd w:val="clear" w:color="auto" w:fill="auto"/>
            <w:vAlign w:val="bottom"/>
          </w:tcPr>
          <w:p w14:paraId="04D0AB36" w14:textId="712EDF66" w:rsidR="002C6D78" w:rsidRPr="00381A55" w:rsidRDefault="002C6D78">
            <w:pPr>
              <w:spacing w:after="0"/>
            </w:pPr>
            <w:r w:rsidRPr="00381A55">
              <w:rPr>
                <w:rFonts w:cstheme="minorBidi"/>
                <w:color w:val="000000"/>
                <w:sz w:val="18"/>
                <w:szCs w:val="22"/>
              </w:rPr>
              <w:t>Trainer</w:t>
            </w:r>
          </w:p>
        </w:tc>
      </w:tr>
      <w:tr w:rsidR="002C6D78" w:rsidRPr="00381A55" w14:paraId="60E4D87B" w14:textId="2E3D43CB"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1A416E05"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Bridget Gray</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5B267D5F"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0885653E"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7F5E8069" w14:textId="6DE1BFBB" w:rsidR="002C6D78" w:rsidRPr="00381A55" w:rsidRDefault="002C6D78">
            <w:pPr>
              <w:spacing w:after="0"/>
            </w:pPr>
            <w:r w:rsidRPr="00381A55">
              <w:rPr>
                <w:rFonts w:cstheme="minorBidi"/>
                <w:color w:val="000000"/>
                <w:sz w:val="18"/>
                <w:szCs w:val="22"/>
              </w:rPr>
              <w:t>Douglas Battison</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677128CA" w14:textId="7CED6E07" w:rsidR="002C6D78" w:rsidRPr="00381A55" w:rsidRDefault="002C6D78">
            <w:pPr>
              <w:spacing w:after="0"/>
            </w:pPr>
            <w:r w:rsidRPr="00381A55">
              <w:rPr>
                <w:rFonts w:cstheme="minorBidi"/>
                <w:color w:val="000000"/>
                <w:sz w:val="18"/>
                <w:szCs w:val="22"/>
              </w:rPr>
              <w:t>Trainer</w:t>
            </w:r>
          </w:p>
        </w:tc>
      </w:tr>
      <w:tr w:rsidR="002C6D78" w:rsidRPr="00381A55" w14:paraId="23C41952" w14:textId="3BA30059"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4651C8B1"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Denise O'Brien</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4A8CF841"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3F054DE9"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77512F45" w14:textId="0089BC31" w:rsidR="002C6D78" w:rsidRPr="00381A55" w:rsidRDefault="002C6D78">
            <w:pPr>
              <w:spacing w:after="0"/>
            </w:pPr>
            <w:r w:rsidRPr="00381A55">
              <w:rPr>
                <w:rFonts w:cstheme="minorBidi"/>
                <w:color w:val="000000"/>
                <w:sz w:val="18"/>
                <w:szCs w:val="22"/>
              </w:rPr>
              <w:t>Glenn Ferguson</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008F5B36" w14:textId="351B89C5" w:rsidR="002C6D78" w:rsidRPr="00381A55" w:rsidRDefault="002C6D78">
            <w:pPr>
              <w:spacing w:after="0"/>
            </w:pPr>
            <w:r w:rsidRPr="00381A55">
              <w:rPr>
                <w:rFonts w:cstheme="minorBidi"/>
                <w:color w:val="000000"/>
                <w:sz w:val="18"/>
                <w:szCs w:val="22"/>
              </w:rPr>
              <w:t>Trainer</w:t>
            </w:r>
          </w:p>
        </w:tc>
      </w:tr>
      <w:tr w:rsidR="002C6D78" w:rsidRPr="00381A55" w14:paraId="5330F5ED" w14:textId="7C811D79"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350C15DD"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James Knynenburg</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2BAF862B"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6B0CD5C0"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0054976C" w14:textId="498AC0A2" w:rsidR="002C6D78" w:rsidRPr="00381A55" w:rsidRDefault="002C6D78">
            <w:pPr>
              <w:spacing w:after="0"/>
            </w:pPr>
            <w:r w:rsidRPr="00381A55">
              <w:rPr>
                <w:rFonts w:cstheme="minorBidi"/>
                <w:color w:val="000000"/>
                <w:sz w:val="18"/>
                <w:szCs w:val="22"/>
              </w:rPr>
              <w:t>Karen Phillips-Ross</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4841A7AE" w14:textId="0E6E514F" w:rsidR="002C6D78" w:rsidRPr="00381A55" w:rsidRDefault="002C6D78">
            <w:pPr>
              <w:spacing w:after="0"/>
            </w:pPr>
            <w:r w:rsidRPr="00381A55">
              <w:rPr>
                <w:rFonts w:cstheme="minorBidi"/>
                <w:color w:val="000000"/>
                <w:sz w:val="18"/>
                <w:szCs w:val="22"/>
              </w:rPr>
              <w:t>Trainer</w:t>
            </w:r>
          </w:p>
        </w:tc>
      </w:tr>
      <w:tr w:rsidR="002C6D78" w:rsidRPr="00381A55" w14:paraId="18FDF6B4" w14:textId="3931EBB6"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18575978"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Julius Zsadony</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6A10184C"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19BA40D0"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4B2C7ECE" w14:textId="66710ADA" w:rsidR="002C6D78" w:rsidRPr="00381A55" w:rsidRDefault="002C6D78">
            <w:pPr>
              <w:spacing w:after="0"/>
            </w:pPr>
            <w:r w:rsidRPr="00381A55">
              <w:rPr>
                <w:rFonts w:cstheme="minorBidi"/>
                <w:color w:val="000000"/>
                <w:sz w:val="18"/>
                <w:szCs w:val="22"/>
              </w:rPr>
              <w:t>Kerry Kirk</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05098EF0" w14:textId="2A917DFB" w:rsidR="002C6D78" w:rsidRPr="00381A55" w:rsidRDefault="002C6D78">
            <w:pPr>
              <w:spacing w:after="0"/>
            </w:pPr>
            <w:r w:rsidRPr="00381A55">
              <w:rPr>
                <w:rFonts w:cstheme="minorBidi"/>
                <w:color w:val="000000"/>
                <w:sz w:val="18"/>
                <w:szCs w:val="22"/>
              </w:rPr>
              <w:t>Trainer</w:t>
            </w:r>
          </w:p>
        </w:tc>
      </w:tr>
      <w:tr w:rsidR="002C6D78" w:rsidRPr="00381A55" w14:paraId="6FC8F829" w14:textId="2A9AD8FB"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61EE0505"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Salome Tukuafu</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03438269"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73242253"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1182E403" w14:textId="19552975" w:rsidR="002C6D78" w:rsidRPr="00381A55" w:rsidRDefault="002C6D78">
            <w:pPr>
              <w:spacing w:after="0"/>
            </w:pPr>
            <w:r w:rsidRPr="00381A55">
              <w:rPr>
                <w:rFonts w:cstheme="minorBidi"/>
                <w:color w:val="000000"/>
                <w:sz w:val="18"/>
                <w:szCs w:val="22"/>
              </w:rPr>
              <w:t>Neil Atkinson</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6571FDDC" w14:textId="5D9888E9" w:rsidR="002C6D78" w:rsidRPr="00381A55" w:rsidRDefault="002C6D78">
            <w:pPr>
              <w:spacing w:after="0"/>
            </w:pPr>
            <w:r w:rsidRPr="00381A55">
              <w:rPr>
                <w:rFonts w:cstheme="minorBidi"/>
                <w:color w:val="000000"/>
                <w:sz w:val="18"/>
                <w:szCs w:val="22"/>
              </w:rPr>
              <w:t>Trainer</w:t>
            </w:r>
          </w:p>
        </w:tc>
      </w:tr>
      <w:tr w:rsidR="002C6D78" w:rsidRPr="00381A55" w14:paraId="4AD37237" w14:textId="3FC9315B"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0BE52220"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Wendy Draayers</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705AE862"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2CC432FB"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24773A51" w14:textId="4C45CC87" w:rsidR="002C6D78" w:rsidRPr="00381A55" w:rsidRDefault="002C6D78">
            <w:pPr>
              <w:spacing w:after="0"/>
            </w:pPr>
            <w:r w:rsidRPr="00381A55">
              <w:rPr>
                <w:rFonts w:cstheme="minorBidi"/>
                <w:color w:val="000000"/>
                <w:sz w:val="18"/>
                <w:szCs w:val="22"/>
              </w:rPr>
              <w:t>Roger West</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0D04E921" w14:textId="40CE32EB" w:rsidR="002C6D78" w:rsidRPr="00381A55" w:rsidRDefault="002C6D78">
            <w:pPr>
              <w:spacing w:after="0"/>
            </w:pPr>
            <w:r w:rsidRPr="00381A55">
              <w:rPr>
                <w:rFonts w:cstheme="minorBidi"/>
                <w:color w:val="000000"/>
                <w:sz w:val="18"/>
                <w:szCs w:val="22"/>
              </w:rPr>
              <w:t>Trainer</w:t>
            </w:r>
          </w:p>
        </w:tc>
      </w:tr>
      <w:tr w:rsidR="002C6D78" w:rsidRPr="00381A55" w14:paraId="4BDA6B86" w14:textId="418430B8"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2CD17622"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Benita McGovern</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7AADBB22"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46475D42"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074DEA66" w14:textId="7DE49C26" w:rsidR="002C6D78" w:rsidRPr="00381A55" w:rsidRDefault="002C6D78">
            <w:pPr>
              <w:spacing w:after="0"/>
            </w:pPr>
            <w:r w:rsidRPr="00381A55">
              <w:rPr>
                <w:rFonts w:cstheme="minorBidi"/>
                <w:color w:val="000000"/>
                <w:sz w:val="18"/>
                <w:szCs w:val="22"/>
              </w:rPr>
              <w:t>Sajendra Bali</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5325FF94" w14:textId="42E59820" w:rsidR="002C6D78" w:rsidRPr="00381A55" w:rsidRDefault="002C6D78">
            <w:pPr>
              <w:spacing w:after="0"/>
            </w:pPr>
            <w:r w:rsidRPr="00381A55">
              <w:rPr>
                <w:rFonts w:cstheme="minorBidi"/>
                <w:color w:val="000000"/>
                <w:sz w:val="18"/>
                <w:szCs w:val="22"/>
              </w:rPr>
              <w:t>Trainer</w:t>
            </w:r>
          </w:p>
        </w:tc>
      </w:tr>
      <w:tr w:rsidR="002C6D78" w:rsidRPr="00381A55" w14:paraId="128FDC9D" w14:textId="7D09D72B"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155BE0C7"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Jennie Dehn</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00CAF7C1"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13059369"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7D907AC3" w14:textId="3AD185C4" w:rsidR="002C6D78" w:rsidRPr="00381A55" w:rsidRDefault="002C6D78">
            <w:pPr>
              <w:spacing w:after="0"/>
            </w:pPr>
            <w:r w:rsidRPr="00381A55">
              <w:rPr>
                <w:rFonts w:cstheme="minorBidi"/>
                <w:color w:val="000000"/>
                <w:sz w:val="18"/>
                <w:szCs w:val="22"/>
              </w:rPr>
              <w:t>Temalesi Lutu</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2AC28BA5" w14:textId="6FA60681" w:rsidR="002C6D78" w:rsidRPr="00381A55" w:rsidRDefault="002C6D78">
            <w:pPr>
              <w:spacing w:after="0"/>
            </w:pPr>
            <w:r w:rsidRPr="00381A55">
              <w:rPr>
                <w:rFonts w:cstheme="minorBidi"/>
                <w:color w:val="000000"/>
                <w:sz w:val="18"/>
                <w:szCs w:val="22"/>
              </w:rPr>
              <w:t>Trainer</w:t>
            </w:r>
          </w:p>
        </w:tc>
      </w:tr>
      <w:tr w:rsidR="002C6D78" w:rsidRPr="00381A55" w14:paraId="39F4EA0F" w14:textId="4F547654"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340F1E45"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Marty Rollings</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43090F7D"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69AEC2D7"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764C4AE8" w14:textId="57F4E980" w:rsidR="002C6D78" w:rsidRPr="00381A55" w:rsidRDefault="002C6D78">
            <w:pPr>
              <w:spacing w:after="0"/>
            </w:pPr>
            <w:r w:rsidRPr="00381A55">
              <w:rPr>
                <w:rFonts w:cstheme="minorBidi"/>
                <w:color w:val="000000"/>
                <w:sz w:val="18"/>
                <w:szCs w:val="22"/>
              </w:rPr>
              <w:t>Vincent Edwards</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67E290AD" w14:textId="042C720E" w:rsidR="002C6D78" w:rsidRPr="00381A55" w:rsidRDefault="002C6D78">
            <w:pPr>
              <w:spacing w:after="0"/>
            </w:pPr>
            <w:r w:rsidRPr="00381A55">
              <w:rPr>
                <w:rFonts w:cstheme="minorBidi"/>
                <w:color w:val="000000"/>
                <w:sz w:val="18"/>
                <w:szCs w:val="22"/>
              </w:rPr>
              <w:t>Trainer</w:t>
            </w:r>
          </w:p>
        </w:tc>
      </w:tr>
      <w:tr w:rsidR="002C6D78" w:rsidRPr="00381A55" w14:paraId="64D10E58" w14:textId="3820312B"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03C41094"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Carol-Anne Blecich</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13BCAA0D"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6DCD97CD"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460B0D4C" w14:textId="7075AF28" w:rsidR="002C6D78" w:rsidRPr="00381A55" w:rsidRDefault="002C6D78">
            <w:pPr>
              <w:spacing w:after="0"/>
            </w:pPr>
            <w:r w:rsidRPr="00381A55">
              <w:rPr>
                <w:rFonts w:cstheme="minorBidi"/>
                <w:color w:val="000000"/>
                <w:sz w:val="18"/>
                <w:szCs w:val="22"/>
              </w:rPr>
              <w:t>Ashbin Singh</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3109EBCF" w14:textId="255837B2" w:rsidR="002C6D78" w:rsidRPr="00381A55" w:rsidRDefault="002C6D78">
            <w:pPr>
              <w:spacing w:after="0"/>
            </w:pPr>
            <w:r w:rsidRPr="00381A55">
              <w:rPr>
                <w:rFonts w:cstheme="minorBidi"/>
                <w:color w:val="000000"/>
                <w:sz w:val="18"/>
                <w:szCs w:val="22"/>
              </w:rPr>
              <w:t>Tutor</w:t>
            </w:r>
          </w:p>
        </w:tc>
      </w:tr>
      <w:tr w:rsidR="002C6D78" w:rsidRPr="00381A55" w14:paraId="0AFA5FD4" w14:textId="445D670E"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432030E4"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Geoff Cooper</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45007C63"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Management</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1C5F46B4"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4E475130" w14:textId="0345807F" w:rsidR="002C6D78" w:rsidRPr="00381A55" w:rsidRDefault="002C6D78">
            <w:pPr>
              <w:spacing w:after="0"/>
            </w:pPr>
            <w:r w:rsidRPr="00381A55">
              <w:rPr>
                <w:rFonts w:cstheme="minorBidi"/>
                <w:color w:val="000000"/>
                <w:sz w:val="18"/>
                <w:szCs w:val="22"/>
              </w:rPr>
              <w:t>Isikeli Nayaga</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210274C2" w14:textId="749CF6C2" w:rsidR="002C6D78" w:rsidRPr="00381A55" w:rsidRDefault="002C6D78">
            <w:pPr>
              <w:spacing w:after="0"/>
            </w:pPr>
            <w:r w:rsidRPr="00381A55">
              <w:rPr>
                <w:rFonts w:cstheme="minorBidi"/>
                <w:color w:val="000000"/>
                <w:sz w:val="18"/>
                <w:szCs w:val="22"/>
              </w:rPr>
              <w:t>Tutor</w:t>
            </w:r>
          </w:p>
        </w:tc>
      </w:tr>
      <w:tr w:rsidR="002C6D78" w:rsidRPr="00381A55" w14:paraId="4797E125" w14:textId="44B3539B"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423B024F"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Kesaia Paulo</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6CD476AD"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Administration</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377592F7"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2E9B4723" w14:textId="0E283493" w:rsidR="002C6D78" w:rsidRPr="00381A55" w:rsidRDefault="002C6D78">
            <w:pPr>
              <w:spacing w:after="0"/>
            </w:pPr>
            <w:r w:rsidRPr="00381A55">
              <w:rPr>
                <w:rFonts w:cstheme="minorBidi"/>
                <w:color w:val="000000"/>
                <w:sz w:val="18"/>
                <w:szCs w:val="22"/>
              </w:rPr>
              <w:t>Jioje Marieta-Asiea</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1604DDCA" w14:textId="1D6F33CA" w:rsidR="002C6D78" w:rsidRPr="00381A55" w:rsidRDefault="002C6D78">
            <w:pPr>
              <w:spacing w:after="0"/>
            </w:pPr>
            <w:r w:rsidRPr="00381A55">
              <w:rPr>
                <w:rFonts w:cstheme="minorBidi"/>
                <w:color w:val="000000"/>
                <w:sz w:val="18"/>
                <w:szCs w:val="22"/>
              </w:rPr>
              <w:t>Tutor</w:t>
            </w:r>
          </w:p>
        </w:tc>
      </w:tr>
      <w:tr w:rsidR="002C6D78" w:rsidRPr="00381A55" w14:paraId="4449A076" w14:textId="4E227DC3"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28A51924"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Lydia Ting</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60C2459B"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Administration</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289DA3EC"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1C3F7038" w14:textId="3493E3F9" w:rsidR="002C6D78" w:rsidRPr="00381A55" w:rsidRDefault="002C6D78">
            <w:pPr>
              <w:spacing w:after="0"/>
            </w:pPr>
            <w:r w:rsidRPr="00381A55">
              <w:rPr>
                <w:rFonts w:cstheme="minorBidi"/>
                <w:color w:val="000000"/>
                <w:sz w:val="18"/>
                <w:szCs w:val="22"/>
              </w:rPr>
              <w:t>Margaret Bulivorovoro</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48C0C7AB" w14:textId="1BD8A6FA" w:rsidR="002C6D78" w:rsidRPr="00381A55" w:rsidRDefault="002C6D78">
            <w:pPr>
              <w:spacing w:after="0"/>
            </w:pPr>
            <w:r w:rsidRPr="00381A55">
              <w:rPr>
                <w:rFonts w:cstheme="minorBidi"/>
                <w:color w:val="000000"/>
                <w:sz w:val="18"/>
                <w:szCs w:val="22"/>
              </w:rPr>
              <w:t>Tutor</w:t>
            </w:r>
          </w:p>
        </w:tc>
      </w:tr>
      <w:tr w:rsidR="002C6D78" w:rsidRPr="00381A55" w14:paraId="33735FD5" w14:textId="618A924B"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579DAF13"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Margaret Tunaulu</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57524E6F"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Administration</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0101C7B9"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1C1B4068" w14:textId="42A64DC1" w:rsidR="002C6D78" w:rsidRPr="00381A55" w:rsidRDefault="002C6D78">
            <w:pPr>
              <w:spacing w:after="0"/>
            </w:pPr>
            <w:r w:rsidRPr="00381A55">
              <w:rPr>
                <w:rFonts w:cstheme="minorBidi"/>
                <w:color w:val="000000"/>
                <w:sz w:val="18"/>
                <w:szCs w:val="22"/>
              </w:rPr>
              <w:t>Mavuku Tokona</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5C82A49B" w14:textId="444B05C9" w:rsidR="002C6D78" w:rsidRPr="00381A55" w:rsidRDefault="002C6D78">
            <w:pPr>
              <w:spacing w:after="0"/>
            </w:pPr>
            <w:r w:rsidRPr="00381A55">
              <w:rPr>
                <w:rFonts w:cstheme="minorBidi"/>
                <w:color w:val="000000"/>
                <w:sz w:val="18"/>
                <w:szCs w:val="22"/>
              </w:rPr>
              <w:t>Tutor</w:t>
            </w:r>
          </w:p>
        </w:tc>
      </w:tr>
      <w:tr w:rsidR="002C6D78" w:rsidRPr="00381A55" w14:paraId="6B53E565" w14:textId="0D29D3E7" w:rsidTr="00D66E89">
        <w:trPr>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6C30479E"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Sheba Cavu</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13385F0E"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Administration</w:t>
            </w:r>
          </w:p>
        </w:tc>
        <w:tc>
          <w:tcPr>
            <w:tcW w:w="283" w:type="dxa"/>
            <w:tcBorders>
              <w:top w:val="single" w:sz="4" w:space="0" w:color="A8D08D" w:themeColor="accent6" w:themeTint="99"/>
              <w:left w:val="nil"/>
              <w:bottom w:val="single" w:sz="4" w:space="0" w:color="A8D08D" w:themeColor="accent6" w:themeTint="99"/>
              <w:right w:val="single" w:sz="4" w:space="0" w:color="A8D08D" w:themeColor="accent6" w:themeTint="99"/>
            </w:tcBorders>
          </w:tcPr>
          <w:p w14:paraId="0C6803AA" w14:textId="77777777" w:rsidR="002C6D78" w:rsidRPr="00381A55" w:rsidRDefault="002C6D78">
            <w:pPr>
              <w:spacing w:after="0"/>
              <w:rPr>
                <w:rFonts w:cstheme="minorBidi"/>
                <w:color w:val="000000"/>
                <w:sz w:val="18"/>
                <w:szCs w:val="22"/>
              </w:rPr>
            </w:pPr>
          </w:p>
        </w:tc>
        <w:tc>
          <w:tcPr>
            <w:tcW w:w="304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bottom"/>
          </w:tcPr>
          <w:p w14:paraId="18B2FD44" w14:textId="3C57B92F" w:rsidR="002C6D78" w:rsidRPr="00381A55" w:rsidRDefault="002C6D78">
            <w:pPr>
              <w:spacing w:after="0"/>
            </w:pPr>
            <w:r w:rsidRPr="00381A55">
              <w:rPr>
                <w:rFonts w:cstheme="minorBidi"/>
                <w:color w:val="000000"/>
                <w:sz w:val="18"/>
                <w:szCs w:val="22"/>
              </w:rPr>
              <w:t>Mohammed Don-Kadir</w:t>
            </w:r>
          </w:p>
        </w:tc>
        <w:tc>
          <w:tcPr>
            <w:tcW w:w="1022"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vAlign w:val="bottom"/>
          </w:tcPr>
          <w:p w14:paraId="25AAE3F6" w14:textId="715A5AC0" w:rsidR="002C6D78" w:rsidRPr="00381A55" w:rsidRDefault="002C6D78">
            <w:pPr>
              <w:spacing w:after="0"/>
            </w:pPr>
            <w:r w:rsidRPr="00381A55">
              <w:rPr>
                <w:rFonts w:cstheme="minorBidi"/>
                <w:color w:val="000000"/>
                <w:sz w:val="18"/>
                <w:szCs w:val="22"/>
              </w:rPr>
              <w:t>Tutor</w:t>
            </w:r>
          </w:p>
        </w:tc>
      </w:tr>
      <w:tr w:rsidR="002C6D78" w:rsidRPr="00381A55" w14:paraId="77A0F45A" w14:textId="0D61498F" w:rsidTr="00D66E89">
        <w:trPr>
          <w:gridAfter w:val="2"/>
          <w:wAfter w:w="4071" w:type="dxa"/>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0C9439BF"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Soweri Qumivutia</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2D781726"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Administration</w:t>
            </w:r>
          </w:p>
        </w:tc>
        <w:tc>
          <w:tcPr>
            <w:tcW w:w="283" w:type="dxa"/>
            <w:tcBorders>
              <w:top w:val="single" w:sz="4" w:space="0" w:color="A8D08D" w:themeColor="accent6" w:themeTint="99"/>
              <w:left w:val="nil"/>
              <w:bottom w:val="single" w:sz="4" w:space="0" w:color="A8D08D" w:themeColor="accent6" w:themeTint="99"/>
              <w:right w:val="nil"/>
            </w:tcBorders>
          </w:tcPr>
          <w:p w14:paraId="684F9A49" w14:textId="77777777" w:rsidR="002C6D78" w:rsidRPr="00381A55" w:rsidRDefault="002C6D78" w:rsidP="005F77A1">
            <w:pPr>
              <w:spacing w:before="20" w:after="20"/>
              <w:rPr>
                <w:rFonts w:cstheme="minorBidi"/>
                <w:color w:val="000000"/>
                <w:sz w:val="18"/>
                <w:szCs w:val="22"/>
              </w:rPr>
            </w:pPr>
          </w:p>
        </w:tc>
      </w:tr>
      <w:tr w:rsidR="002C6D78" w:rsidRPr="00381A55" w14:paraId="6CB2FA1D" w14:textId="50DECA38" w:rsidTr="00D66E89">
        <w:trPr>
          <w:gridAfter w:val="2"/>
          <w:wAfter w:w="4071" w:type="dxa"/>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74CB2444"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Timaima Marawa</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303B4368" w14:textId="77777777" w:rsidR="002C6D78" w:rsidRPr="00381A55" w:rsidRDefault="002C6D78" w:rsidP="005F77A1">
            <w:pPr>
              <w:spacing w:before="20" w:after="20"/>
              <w:rPr>
                <w:rFonts w:cstheme="minorBidi"/>
                <w:color w:val="000000"/>
                <w:sz w:val="18"/>
                <w:szCs w:val="22"/>
              </w:rPr>
            </w:pPr>
            <w:r w:rsidRPr="00381A55">
              <w:rPr>
                <w:rFonts w:cstheme="minorBidi"/>
                <w:color w:val="000000"/>
                <w:sz w:val="18"/>
                <w:szCs w:val="22"/>
              </w:rPr>
              <w:t>Administration</w:t>
            </w:r>
          </w:p>
        </w:tc>
        <w:tc>
          <w:tcPr>
            <w:tcW w:w="283" w:type="dxa"/>
            <w:tcBorders>
              <w:top w:val="single" w:sz="4" w:space="0" w:color="A8D08D" w:themeColor="accent6" w:themeTint="99"/>
              <w:left w:val="nil"/>
              <w:bottom w:val="single" w:sz="4" w:space="0" w:color="A8D08D" w:themeColor="accent6" w:themeTint="99"/>
              <w:right w:val="nil"/>
            </w:tcBorders>
          </w:tcPr>
          <w:p w14:paraId="0E00AF2C" w14:textId="77777777" w:rsidR="002C6D78" w:rsidRPr="00381A55" w:rsidRDefault="002C6D78" w:rsidP="005F77A1">
            <w:pPr>
              <w:spacing w:before="20" w:after="20"/>
              <w:rPr>
                <w:rFonts w:cstheme="minorBidi"/>
                <w:color w:val="000000"/>
                <w:sz w:val="18"/>
                <w:szCs w:val="22"/>
              </w:rPr>
            </w:pPr>
          </w:p>
        </w:tc>
      </w:tr>
      <w:tr w:rsidR="00CB3BBD" w:rsidRPr="00381A55" w14:paraId="19B4EEDF" w14:textId="77777777" w:rsidTr="00D66E89">
        <w:trPr>
          <w:gridAfter w:val="2"/>
          <w:wAfter w:w="4071" w:type="dxa"/>
          <w:trHeight w:val="280"/>
        </w:trPr>
        <w:tc>
          <w:tcPr>
            <w:tcW w:w="2268" w:type="dxa"/>
            <w:tcBorders>
              <w:top w:val="single" w:sz="4" w:space="0" w:color="A8D08D" w:themeColor="accent6" w:themeTint="99"/>
              <w:left w:val="nil"/>
              <w:bottom w:val="single" w:sz="4" w:space="0" w:color="A8D08D" w:themeColor="accent6" w:themeTint="99"/>
              <w:right w:val="single" w:sz="4" w:space="0" w:color="A8D08D" w:themeColor="accent6" w:themeTint="99"/>
            </w:tcBorders>
            <w:shd w:val="clear" w:color="auto" w:fill="auto"/>
            <w:noWrap/>
            <w:vAlign w:val="bottom"/>
          </w:tcPr>
          <w:p w14:paraId="7C3E2752" w14:textId="4D3C9F80" w:rsidR="00CB3BBD" w:rsidRPr="00381A55" w:rsidRDefault="00CB3BBD" w:rsidP="005F77A1">
            <w:pPr>
              <w:spacing w:before="20" w:after="20"/>
              <w:rPr>
                <w:rFonts w:cstheme="minorBidi"/>
                <w:color w:val="000000"/>
                <w:sz w:val="18"/>
                <w:szCs w:val="22"/>
              </w:rPr>
            </w:pPr>
            <w:r>
              <w:rPr>
                <w:rFonts w:cstheme="minorBidi"/>
                <w:color w:val="000000"/>
                <w:sz w:val="18"/>
                <w:szCs w:val="22"/>
              </w:rPr>
              <w:t>Cathy Joyce</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nil"/>
            </w:tcBorders>
            <w:shd w:val="clear" w:color="auto" w:fill="auto"/>
            <w:noWrap/>
            <w:vAlign w:val="bottom"/>
          </w:tcPr>
          <w:p w14:paraId="77776999" w14:textId="29BFDE13" w:rsidR="00CB3BBD" w:rsidRPr="00381A55" w:rsidRDefault="00CB3BBD" w:rsidP="005F77A1">
            <w:pPr>
              <w:spacing w:before="20" w:after="20"/>
              <w:rPr>
                <w:rFonts w:cstheme="minorBidi"/>
                <w:color w:val="000000"/>
                <w:sz w:val="18"/>
                <w:szCs w:val="22"/>
              </w:rPr>
            </w:pPr>
            <w:r>
              <w:rPr>
                <w:rFonts w:cstheme="minorBidi"/>
                <w:color w:val="000000"/>
                <w:sz w:val="18"/>
                <w:szCs w:val="22"/>
              </w:rPr>
              <w:t>Administration</w:t>
            </w:r>
          </w:p>
        </w:tc>
        <w:tc>
          <w:tcPr>
            <w:tcW w:w="283" w:type="dxa"/>
            <w:tcBorders>
              <w:top w:val="single" w:sz="4" w:space="0" w:color="A8D08D" w:themeColor="accent6" w:themeTint="99"/>
              <w:left w:val="nil"/>
              <w:bottom w:val="single" w:sz="4" w:space="0" w:color="A8D08D" w:themeColor="accent6" w:themeTint="99"/>
              <w:right w:val="nil"/>
            </w:tcBorders>
          </w:tcPr>
          <w:p w14:paraId="3B1B19AE" w14:textId="77777777" w:rsidR="00CB3BBD" w:rsidRPr="00381A55" w:rsidRDefault="00CB3BBD" w:rsidP="005F77A1">
            <w:pPr>
              <w:spacing w:before="20" w:after="20"/>
              <w:rPr>
                <w:rFonts w:cstheme="minorBidi"/>
                <w:color w:val="000000"/>
                <w:sz w:val="18"/>
                <w:szCs w:val="22"/>
              </w:rPr>
            </w:pPr>
          </w:p>
        </w:tc>
      </w:tr>
    </w:tbl>
    <w:p w14:paraId="45EDA2C8" w14:textId="77777777" w:rsidR="008F00FD" w:rsidRPr="00381A55" w:rsidRDefault="008F00FD" w:rsidP="008F00FD">
      <w:pPr>
        <w:spacing w:before="20" w:after="20"/>
        <w:rPr>
          <w:sz w:val="18"/>
        </w:rPr>
      </w:pPr>
    </w:p>
    <w:p w14:paraId="488AA6F3" w14:textId="77777777" w:rsidR="008F00FD" w:rsidRPr="00C645FA" w:rsidRDefault="008F00FD" w:rsidP="0042584A">
      <w:pPr>
        <w:pStyle w:val="Header"/>
      </w:pPr>
      <w:r>
        <w:rPr>
          <w:sz w:val="18"/>
        </w:rPr>
        <w:br w:type="page"/>
      </w:r>
      <w:r w:rsidRPr="00C645FA">
        <w:lastRenderedPageBreak/>
        <w:t>Fiji, other organisations</w:t>
      </w:r>
    </w:p>
    <w:p w14:paraId="0A339F62" w14:textId="77777777" w:rsidR="008F00FD" w:rsidRDefault="008F00FD" w:rsidP="008F00FD">
      <w:pPr>
        <w:spacing w:before="20" w:after="20"/>
      </w:pPr>
    </w:p>
    <w:tbl>
      <w:tblPr>
        <w:tblW w:w="8222" w:type="dxa"/>
        <w:tblInd w:w="108" w:type="dxa"/>
        <w:tblBorders>
          <w:insideH w:val="single" w:sz="4" w:space="0" w:color="A8D08D" w:themeColor="accent6" w:themeTint="99"/>
          <w:insideV w:val="single" w:sz="4" w:space="0" w:color="A8D08D" w:themeColor="accent6" w:themeTint="99"/>
        </w:tblBorders>
        <w:tblLook w:val="0000" w:firstRow="0" w:lastRow="0" w:firstColumn="0" w:lastColumn="0" w:noHBand="0" w:noVBand="0"/>
      </w:tblPr>
      <w:tblGrid>
        <w:gridCol w:w="2874"/>
        <w:gridCol w:w="3138"/>
        <w:gridCol w:w="2493"/>
      </w:tblGrid>
      <w:tr w:rsidR="008F00FD" w:rsidRPr="009C2EF1" w14:paraId="6C33533E" w14:textId="77777777" w:rsidTr="00D66E89">
        <w:trPr>
          <w:trHeight w:val="280"/>
        </w:trPr>
        <w:tc>
          <w:tcPr>
            <w:tcW w:w="2874" w:type="dxa"/>
            <w:shd w:val="clear" w:color="auto" w:fill="C5E0B3" w:themeFill="accent6" w:themeFillTint="66"/>
            <w:noWrap/>
            <w:vAlign w:val="bottom"/>
          </w:tcPr>
          <w:p w14:paraId="797623AD" w14:textId="77777777" w:rsidR="008F00FD" w:rsidRPr="009C2EF1" w:rsidRDefault="008F00FD" w:rsidP="005F77A1">
            <w:pPr>
              <w:spacing w:before="20" w:after="20"/>
              <w:rPr>
                <w:rFonts w:cstheme="minorBidi"/>
                <w:b/>
                <w:color w:val="000000"/>
                <w:sz w:val="18"/>
                <w:szCs w:val="22"/>
              </w:rPr>
            </w:pPr>
            <w:r w:rsidRPr="009C2EF1">
              <w:rPr>
                <w:rFonts w:cstheme="minorBidi"/>
                <w:b/>
                <w:color w:val="000000"/>
                <w:sz w:val="18"/>
                <w:szCs w:val="22"/>
              </w:rPr>
              <w:t>Individual</w:t>
            </w:r>
          </w:p>
        </w:tc>
        <w:tc>
          <w:tcPr>
            <w:tcW w:w="3138" w:type="dxa"/>
            <w:shd w:val="clear" w:color="auto" w:fill="C5E0B3" w:themeFill="accent6" w:themeFillTint="66"/>
            <w:noWrap/>
            <w:vAlign w:val="bottom"/>
          </w:tcPr>
          <w:p w14:paraId="4443A313" w14:textId="77777777" w:rsidR="008F00FD" w:rsidRPr="009C2EF1" w:rsidRDefault="008F00FD" w:rsidP="005F77A1">
            <w:pPr>
              <w:spacing w:before="20" w:after="20"/>
              <w:rPr>
                <w:rFonts w:cstheme="minorBidi"/>
                <w:b/>
                <w:color w:val="000000"/>
                <w:sz w:val="18"/>
                <w:szCs w:val="22"/>
              </w:rPr>
            </w:pPr>
            <w:r w:rsidRPr="009C2EF1">
              <w:rPr>
                <w:rFonts w:cstheme="minorBidi"/>
                <w:b/>
                <w:color w:val="000000"/>
                <w:sz w:val="18"/>
                <w:szCs w:val="22"/>
              </w:rPr>
              <w:t>Organisation</w:t>
            </w:r>
          </w:p>
        </w:tc>
        <w:tc>
          <w:tcPr>
            <w:tcW w:w="2493" w:type="dxa"/>
            <w:shd w:val="clear" w:color="auto" w:fill="C5E0B3" w:themeFill="accent6" w:themeFillTint="66"/>
            <w:noWrap/>
            <w:vAlign w:val="bottom"/>
          </w:tcPr>
          <w:p w14:paraId="71D3FA39" w14:textId="77777777" w:rsidR="008F00FD" w:rsidRPr="009C2EF1" w:rsidRDefault="008F00FD" w:rsidP="005F77A1">
            <w:pPr>
              <w:spacing w:before="20" w:after="20"/>
              <w:rPr>
                <w:rFonts w:cstheme="minorBidi"/>
                <w:b/>
                <w:color w:val="000000"/>
                <w:sz w:val="18"/>
                <w:szCs w:val="22"/>
              </w:rPr>
            </w:pPr>
            <w:r w:rsidRPr="009C2EF1">
              <w:rPr>
                <w:rFonts w:cstheme="minorBidi"/>
                <w:b/>
                <w:color w:val="000000"/>
                <w:sz w:val="18"/>
                <w:szCs w:val="22"/>
              </w:rPr>
              <w:t>Type of group</w:t>
            </w:r>
          </w:p>
        </w:tc>
      </w:tr>
      <w:tr w:rsidR="008F00FD" w:rsidRPr="00381A55" w14:paraId="28176B9F" w14:textId="77777777" w:rsidTr="00D66E89">
        <w:trPr>
          <w:trHeight w:val="280"/>
        </w:trPr>
        <w:tc>
          <w:tcPr>
            <w:tcW w:w="2874" w:type="dxa"/>
            <w:shd w:val="clear" w:color="auto" w:fill="auto"/>
            <w:noWrap/>
            <w:vAlign w:val="bottom"/>
          </w:tcPr>
          <w:p w14:paraId="080D592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John Davidson</w:t>
            </w:r>
          </w:p>
        </w:tc>
        <w:tc>
          <w:tcPr>
            <w:tcW w:w="3138" w:type="dxa"/>
            <w:shd w:val="clear" w:color="auto" w:fill="auto"/>
            <w:noWrap/>
            <w:vAlign w:val="bottom"/>
          </w:tcPr>
          <w:p w14:paraId="0321E8BD"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Australian High Commission</w:t>
            </w:r>
          </w:p>
        </w:tc>
        <w:tc>
          <w:tcPr>
            <w:tcW w:w="2493" w:type="dxa"/>
            <w:shd w:val="clear" w:color="auto" w:fill="auto"/>
            <w:noWrap/>
            <w:vAlign w:val="bottom"/>
          </w:tcPr>
          <w:p w14:paraId="46EA5DA5"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Development Partner</w:t>
            </w:r>
          </w:p>
        </w:tc>
      </w:tr>
      <w:tr w:rsidR="008F00FD" w:rsidRPr="00381A55" w14:paraId="13A6475E" w14:textId="77777777" w:rsidTr="00D66E89">
        <w:trPr>
          <w:trHeight w:val="280"/>
        </w:trPr>
        <w:tc>
          <w:tcPr>
            <w:tcW w:w="2874" w:type="dxa"/>
            <w:shd w:val="clear" w:color="auto" w:fill="auto"/>
            <w:noWrap/>
            <w:vAlign w:val="bottom"/>
          </w:tcPr>
          <w:p w14:paraId="258873BA"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Lori Dutta</w:t>
            </w:r>
          </w:p>
        </w:tc>
        <w:tc>
          <w:tcPr>
            <w:tcW w:w="3138" w:type="dxa"/>
            <w:shd w:val="clear" w:color="auto" w:fill="auto"/>
            <w:noWrap/>
            <w:vAlign w:val="bottom"/>
          </w:tcPr>
          <w:p w14:paraId="7ECC6C8D"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Australian High Commission</w:t>
            </w:r>
          </w:p>
        </w:tc>
        <w:tc>
          <w:tcPr>
            <w:tcW w:w="2493" w:type="dxa"/>
            <w:shd w:val="clear" w:color="auto" w:fill="auto"/>
            <w:noWrap/>
            <w:vAlign w:val="bottom"/>
          </w:tcPr>
          <w:p w14:paraId="036D501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Development Partner</w:t>
            </w:r>
          </w:p>
        </w:tc>
      </w:tr>
      <w:tr w:rsidR="008F00FD" w:rsidRPr="00381A55" w14:paraId="36D6B0CF" w14:textId="77777777" w:rsidTr="00D66E89">
        <w:trPr>
          <w:trHeight w:val="280"/>
        </w:trPr>
        <w:tc>
          <w:tcPr>
            <w:tcW w:w="2874" w:type="dxa"/>
            <w:shd w:val="clear" w:color="auto" w:fill="auto"/>
            <w:noWrap/>
            <w:vAlign w:val="bottom"/>
          </w:tcPr>
          <w:p w14:paraId="6D0C9FC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Sheona McKenna</w:t>
            </w:r>
          </w:p>
        </w:tc>
        <w:tc>
          <w:tcPr>
            <w:tcW w:w="3138" w:type="dxa"/>
            <w:shd w:val="clear" w:color="auto" w:fill="auto"/>
            <w:noWrap/>
            <w:vAlign w:val="bottom"/>
          </w:tcPr>
          <w:p w14:paraId="185ADC88"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Australian High Commission</w:t>
            </w:r>
          </w:p>
        </w:tc>
        <w:tc>
          <w:tcPr>
            <w:tcW w:w="2493" w:type="dxa"/>
            <w:shd w:val="clear" w:color="auto" w:fill="auto"/>
            <w:noWrap/>
            <w:vAlign w:val="bottom"/>
          </w:tcPr>
          <w:p w14:paraId="70CB0048"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Development Partner</w:t>
            </w:r>
          </w:p>
        </w:tc>
      </w:tr>
      <w:tr w:rsidR="008F00FD" w:rsidRPr="00381A55" w14:paraId="1CF44763" w14:textId="77777777" w:rsidTr="00D66E89">
        <w:trPr>
          <w:trHeight w:val="280"/>
        </w:trPr>
        <w:tc>
          <w:tcPr>
            <w:tcW w:w="2874" w:type="dxa"/>
            <w:shd w:val="clear" w:color="auto" w:fill="auto"/>
            <w:noWrap/>
            <w:vAlign w:val="bottom"/>
          </w:tcPr>
          <w:p w14:paraId="6549C95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Helen Tavola</w:t>
            </w:r>
          </w:p>
        </w:tc>
        <w:tc>
          <w:tcPr>
            <w:tcW w:w="3138" w:type="dxa"/>
            <w:shd w:val="clear" w:color="auto" w:fill="auto"/>
            <w:noWrap/>
            <w:vAlign w:val="bottom"/>
          </w:tcPr>
          <w:p w14:paraId="5ABE0E22"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Education Consultant</w:t>
            </w:r>
          </w:p>
        </w:tc>
        <w:tc>
          <w:tcPr>
            <w:tcW w:w="2493" w:type="dxa"/>
            <w:shd w:val="clear" w:color="auto" w:fill="auto"/>
            <w:noWrap/>
            <w:vAlign w:val="bottom"/>
          </w:tcPr>
          <w:p w14:paraId="48310E0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Education community</w:t>
            </w:r>
          </w:p>
        </w:tc>
      </w:tr>
      <w:tr w:rsidR="008F00FD" w:rsidRPr="00381A55" w14:paraId="463AE912" w14:textId="77777777" w:rsidTr="00D66E89">
        <w:trPr>
          <w:trHeight w:val="280"/>
        </w:trPr>
        <w:tc>
          <w:tcPr>
            <w:tcW w:w="2874" w:type="dxa"/>
            <w:shd w:val="clear" w:color="auto" w:fill="auto"/>
            <w:noWrap/>
            <w:vAlign w:val="bottom"/>
          </w:tcPr>
          <w:p w14:paraId="62636BD1"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Nesbitt Hazelman</w:t>
            </w:r>
          </w:p>
        </w:tc>
        <w:tc>
          <w:tcPr>
            <w:tcW w:w="3138" w:type="dxa"/>
            <w:shd w:val="clear" w:color="auto" w:fill="auto"/>
            <w:noWrap/>
            <w:vAlign w:val="bottom"/>
          </w:tcPr>
          <w:p w14:paraId="1B2C1C60"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APTC Advisory Group</w:t>
            </w:r>
          </w:p>
        </w:tc>
        <w:tc>
          <w:tcPr>
            <w:tcW w:w="2493" w:type="dxa"/>
            <w:shd w:val="clear" w:color="auto" w:fill="auto"/>
            <w:noWrap/>
            <w:vAlign w:val="bottom"/>
          </w:tcPr>
          <w:p w14:paraId="0649547D"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Rep</w:t>
            </w:r>
          </w:p>
        </w:tc>
      </w:tr>
      <w:tr w:rsidR="008F00FD" w:rsidRPr="00381A55" w14:paraId="5FBFB9AF" w14:textId="77777777" w:rsidTr="00D66E89">
        <w:trPr>
          <w:trHeight w:val="280"/>
        </w:trPr>
        <w:tc>
          <w:tcPr>
            <w:tcW w:w="2874" w:type="dxa"/>
            <w:shd w:val="clear" w:color="auto" w:fill="auto"/>
            <w:noWrap/>
            <w:vAlign w:val="bottom"/>
          </w:tcPr>
          <w:p w14:paraId="5D0C3114"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Akuila Savu</w:t>
            </w:r>
          </w:p>
        </w:tc>
        <w:tc>
          <w:tcPr>
            <w:tcW w:w="3138" w:type="dxa"/>
            <w:shd w:val="clear" w:color="auto" w:fill="auto"/>
            <w:noWrap/>
            <w:vAlign w:val="bottom"/>
          </w:tcPr>
          <w:p w14:paraId="37C3A86E"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Higher Education Commission</w:t>
            </w:r>
          </w:p>
        </w:tc>
        <w:tc>
          <w:tcPr>
            <w:tcW w:w="2493" w:type="dxa"/>
            <w:shd w:val="clear" w:color="auto" w:fill="auto"/>
            <w:noWrap/>
            <w:vAlign w:val="bottom"/>
          </w:tcPr>
          <w:p w14:paraId="68214778"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4C6E75AC" w14:textId="77777777" w:rsidTr="00D66E89">
        <w:trPr>
          <w:trHeight w:val="280"/>
        </w:trPr>
        <w:tc>
          <w:tcPr>
            <w:tcW w:w="2874" w:type="dxa"/>
            <w:shd w:val="clear" w:color="auto" w:fill="auto"/>
            <w:noWrap/>
            <w:vAlign w:val="bottom"/>
          </w:tcPr>
          <w:p w14:paraId="5943486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Charmaine Kwan</w:t>
            </w:r>
          </w:p>
        </w:tc>
        <w:tc>
          <w:tcPr>
            <w:tcW w:w="3138" w:type="dxa"/>
            <w:shd w:val="clear" w:color="auto" w:fill="auto"/>
            <w:noWrap/>
            <w:vAlign w:val="bottom"/>
          </w:tcPr>
          <w:p w14:paraId="053DDC2F"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Higher Education Commission</w:t>
            </w:r>
          </w:p>
        </w:tc>
        <w:tc>
          <w:tcPr>
            <w:tcW w:w="2493" w:type="dxa"/>
            <w:shd w:val="clear" w:color="auto" w:fill="auto"/>
            <w:noWrap/>
            <w:vAlign w:val="bottom"/>
          </w:tcPr>
          <w:p w14:paraId="3134AA1A"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1ECDD41A" w14:textId="77777777" w:rsidTr="00D66E89">
        <w:trPr>
          <w:trHeight w:val="280"/>
        </w:trPr>
        <w:tc>
          <w:tcPr>
            <w:tcW w:w="2874" w:type="dxa"/>
            <w:shd w:val="clear" w:color="auto" w:fill="auto"/>
            <w:noWrap/>
            <w:vAlign w:val="bottom"/>
          </w:tcPr>
          <w:p w14:paraId="44A5133D"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Dr Richard Wah</w:t>
            </w:r>
          </w:p>
        </w:tc>
        <w:tc>
          <w:tcPr>
            <w:tcW w:w="3138" w:type="dxa"/>
            <w:shd w:val="clear" w:color="auto" w:fill="auto"/>
            <w:noWrap/>
            <w:vAlign w:val="bottom"/>
          </w:tcPr>
          <w:p w14:paraId="0BDFD724"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Higher Education Commission</w:t>
            </w:r>
          </w:p>
        </w:tc>
        <w:tc>
          <w:tcPr>
            <w:tcW w:w="2493" w:type="dxa"/>
            <w:shd w:val="clear" w:color="auto" w:fill="auto"/>
            <w:noWrap/>
            <w:vAlign w:val="bottom"/>
          </w:tcPr>
          <w:p w14:paraId="254D3A9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45C188AC" w14:textId="77777777" w:rsidTr="00D66E89">
        <w:trPr>
          <w:trHeight w:val="280"/>
        </w:trPr>
        <w:tc>
          <w:tcPr>
            <w:tcW w:w="2874" w:type="dxa"/>
            <w:shd w:val="clear" w:color="auto" w:fill="auto"/>
            <w:noWrap/>
            <w:vAlign w:val="bottom"/>
          </w:tcPr>
          <w:p w14:paraId="594EBF16"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Salote Rabuka</w:t>
            </w:r>
          </w:p>
        </w:tc>
        <w:tc>
          <w:tcPr>
            <w:tcW w:w="3138" w:type="dxa"/>
            <w:shd w:val="clear" w:color="auto" w:fill="auto"/>
            <w:noWrap/>
            <w:vAlign w:val="bottom"/>
          </w:tcPr>
          <w:p w14:paraId="3D05A06F"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Higher Education Commission</w:t>
            </w:r>
          </w:p>
        </w:tc>
        <w:tc>
          <w:tcPr>
            <w:tcW w:w="2493" w:type="dxa"/>
            <w:shd w:val="clear" w:color="auto" w:fill="auto"/>
            <w:noWrap/>
            <w:vAlign w:val="bottom"/>
          </w:tcPr>
          <w:p w14:paraId="1BE89C51"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65BBE5B3" w14:textId="77777777" w:rsidTr="00D66E89">
        <w:trPr>
          <w:trHeight w:val="280"/>
        </w:trPr>
        <w:tc>
          <w:tcPr>
            <w:tcW w:w="2874" w:type="dxa"/>
            <w:shd w:val="clear" w:color="auto" w:fill="auto"/>
            <w:noWrap/>
            <w:vAlign w:val="bottom"/>
          </w:tcPr>
          <w:p w14:paraId="2CA4FFA2"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Sereseini Vuki</w:t>
            </w:r>
          </w:p>
        </w:tc>
        <w:tc>
          <w:tcPr>
            <w:tcW w:w="3138" w:type="dxa"/>
            <w:shd w:val="clear" w:color="auto" w:fill="auto"/>
            <w:noWrap/>
            <w:vAlign w:val="bottom"/>
          </w:tcPr>
          <w:p w14:paraId="50EFB8D3"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Higher Education Commission</w:t>
            </w:r>
          </w:p>
        </w:tc>
        <w:tc>
          <w:tcPr>
            <w:tcW w:w="2493" w:type="dxa"/>
            <w:shd w:val="clear" w:color="auto" w:fill="auto"/>
            <w:noWrap/>
            <w:vAlign w:val="bottom"/>
          </w:tcPr>
          <w:p w14:paraId="179261BA"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6276DDE0" w14:textId="77777777" w:rsidTr="00D66E89">
        <w:trPr>
          <w:trHeight w:val="280"/>
        </w:trPr>
        <w:tc>
          <w:tcPr>
            <w:tcW w:w="2874" w:type="dxa"/>
            <w:shd w:val="clear" w:color="auto" w:fill="auto"/>
            <w:noWrap/>
            <w:vAlign w:val="bottom"/>
          </w:tcPr>
          <w:p w14:paraId="7467E8A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Waisea Rokobera</w:t>
            </w:r>
          </w:p>
        </w:tc>
        <w:tc>
          <w:tcPr>
            <w:tcW w:w="3138" w:type="dxa"/>
            <w:shd w:val="clear" w:color="auto" w:fill="auto"/>
            <w:noWrap/>
            <w:vAlign w:val="bottom"/>
          </w:tcPr>
          <w:p w14:paraId="51554CB2"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Higher Education Commission</w:t>
            </w:r>
          </w:p>
        </w:tc>
        <w:tc>
          <w:tcPr>
            <w:tcW w:w="2493" w:type="dxa"/>
            <w:shd w:val="clear" w:color="auto" w:fill="auto"/>
            <w:noWrap/>
            <w:vAlign w:val="bottom"/>
          </w:tcPr>
          <w:p w14:paraId="506C3695"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3A8AAD5B" w14:textId="77777777" w:rsidTr="00D66E89">
        <w:trPr>
          <w:trHeight w:val="280"/>
        </w:trPr>
        <w:tc>
          <w:tcPr>
            <w:tcW w:w="2874" w:type="dxa"/>
            <w:shd w:val="clear" w:color="auto" w:fill="auto"/>
            <w:noWrap/>
            <w:vAlign w:val="bottom"/>
          </w:tcPr>
          <w:p w14:paraId="052ABBDC"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Ledua Vakaloloma</w:t>
            </w:r>
          </w:p>
        </w:tc>
        <w:tc>
          <w:tcPr>
            <w:tcW w:w="3138" w:type="dxa"/>
            <w:shd w:val="clear" w:color="auto" w:fill="auto"/>
            <w:noWrap/>
            <w:vAlign w:val="bottom"/>
          </w:tcPr>
          <w:p w14:paraId="5375A676"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 xml:space="preserve">Ministry of Finance </w:t>
            </w:r>
            <w:r>
              <w:rPr>
                <w:rFonts w:cstheme="minorBidi"/>
                <w:color w:val="000000"/>
                <w:sz w:val="18"/>
                <w:szCs w:val="22"/>
              </w:rPr>
              <w:t>–</w:t>
            </w:r>
            <w:r w:rsidRPr="00381A55">
              <w:rPr>
                <w:rFonts w:cstheme="minorBidi"/>
                <w:color w:val="000000"/>
                <w:sz w:val="18"/>
                <w:szCs w:val="22"/>
              </w:rPr>
              <w:t xml:space="preserve"> ODA Unit</w:t>
            </w:r>
          </w:p>
        </w:tc>
        <w:tc>
          <w:tcPr>
            <w:tcW w:w="2493" w:type="dxa"/>
            <w:shd w:val="clear" w:color="auto" w:fill="auto"/>
            <w:noWrap/>
            <w:vAlign w:val="bottom"/>
          </w:tcPr>
          <w:p w14:paraId="637FD7E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46CCD513" w14:textId="77777777" w:rsidTr="00D66E89">
        <w:trPr>
          <w:trHeight w:val="280"/>
        </w:trPr>
        <w:tc>
          <w:tcPr>
            <w:tcW w:w="2874" w:type="dxa"/>
            <w:shd w:val="clear" w:color="auto" w:fill="auto"/>
            <w:noWrap/>
            <w:vAlign w:val="bottom"/>
          </w:tcPr>
          <w:p w14:paraId="7529603C"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Robert Sovatabua</w:t>
            </w:r>
          </w:p>
        </w:tc>
        <w:tc>
          <w:tcPr>
            <w:tcW w:w="3138" w:type="dxa"/>
            <w:shd w:val="clear" w:color="auto" w:fill="auto"/>
            <w:noWrap/>
            <w:vAlign w:val="bottom"/>
          </w:tcPr>
          <w:p w14:paraId="4F5DD861"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 xml:space="preserve">Ministry of Finance </w:t>
            </w:r>
            <w:r>
              <w:rPr>
                <w:rFonts w:cstheme="minorBidi"/>
                <w:color w:val="000000"/>
                <w:sz w:val="18"/>
                <w:szCs w:val="22"/>
              </w:rPr>
              <w:t>–</w:t>
            </w:r>
            <w:r w:rsidRPr="00381A55">
              <w:rPr>
                <w:rFonts w:cstheme="minorBidi"/>
                <w:color w:val="000000"/>
                <w:sz w:val="18"/>
                <w:szCs w:val="22"/>
              </w:rPr>
              <w:t xml:space="preserve"> ODA Unit</w:t>
            </w:r>
          </w:p>
        </w:tc>
        <w:tc>
          <w:tcPr>
            <w:tcW w:w="2493" w:type="dxa"/>
            <w:shd w:val="clear" w:color="auto" w:fill="auto"/>
            <w:noWrap/>
            <w:vAlign w:val="bottom"/>
          </w:tcPr>
          <w:p w14:paraId="5E42E15F"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77496ABC" w14:textId="77777777" w:rsidTr="00D66E89">
        <w:trPr>
          <w:trHeight w:val="280"/>
        </w:trPr>
        <w:tc>
          <w:tcPr>
            <w:tcW w:w="2874" w:type="dxa"/>
            <w:shd w:val="clear" w:color="auto" w:fill="auto"/>
            <w:noWrap/>
            <w:vAlign w:val="bottom"/>
          </w:tcPr>
          <w:p w14:paraId="3B171265"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Alumeci Tuisawau</w:t>
            </w:r>
          </w:p>
        </w:tc>
        <w:tc>
          <w:tcPr>
            <w:tcW w:w="3138" w:type="dxa"/>
            <w:shd w:val="clear" w:color="auto" w:fill="auto"/>
            <w:noWrap/>
            <w:vAlign w:val="bottom"/>
          </w:tcPr>
          <w:p w14:paraId="7F297405"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Ministry of Education</w:t>
            </w:r>
          </w:p>
        </w:tc>
        <w:tc>
          <w:tcPr>
            <w:tcW w:w="2493" w:type="dxa"/>
            <w:shd w:val="clear" w:color="auto" w:fill="auto"/>
            <w:noWrap/>
            <w:vAlign w:val="bottom"/>
          </w:tcPr>
          <w:p w14:paraId="7454E105"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5005D6D6" w14:textId="77777777" w:rsidTr="00D66E89">
        <w:trPr>
          <w:trHeight w:val="280"/>
        </w:trPr>
        <w:tc>
          <w:tcPr>
            <w:tcW w:w="2874" w:type="dxa"/>
            <w:shd w:val="clear" w:color="auto" w:fill="auto"/>
            <w:noWrap/>
            <w:vAlign w:val="bottom"/>
          </w:tcPr>
          <w:p w14:paraId="56909A1E"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Dr Brij Lal</w:t>
            </w:r>
          </w:p>
        </w:tc>
        <w:tc>
          <w:tcPr>
            <w:tcW w:w="3138" w:type="dxa"/>
            <w:shd w:val="clear" w:color="auto" w:fill="auto"/>
            <w:noWrap/>
            <w:vAlign w:val="bottom"/>
          </w:tcPr>
          <w:p w14:paraId="0475596D"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Ministry of Education</w:t>
            </w:r>
          </w:p>
        </w:tc>
        <w:tc>
          <w:tcPr>
            <w:tcW w:w="2493" w:type="dxa"/>
            <w:shd w:val="clear" w:color="auto" w:fill="auto"/>
            <w:noWrap/>
            <w:vAlign w:val="bottom"/>
          </w:tcPr>
          <w:p w14:paraId="24F46CFC"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14150321" w14:textId="77777777" w:rsidTr="00D66E89">
        <w:trPr>
          <w:trHeight w:val="280"/>
        </w:trPr>
        <w:tc>
          <w:tcPr>
            <w:tcW w:w="2874" w:type="dxa"/>
            <w:shd w:val="clear" w:color="auto" w:fill="auto"/>
            <w:noWrap/>
            <w:vAlign w:val="bottom"/>
          </w:tcPr>
          <w:p w14:paraId="0B0FC10A"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Saimoni Waibuta</w:t>
            </w:r>
          </w:p>
        </w:tc>
        <w:tc>
          <w:tcPr>
            <w:tcW w:w="3138" w:type="dxa"/>
            <w:shd w:val="clear" w:color="auto" w:fill="auto"/>
            <w:noWrap/>
            <w:vAlign w:val="bottom"/>
          </w:tcPr>
          <w:p w14:paraId="766D4252"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Ministry of Education</w:t>
            </w:r>
          </w:p>
        </w:tc>
        <w:tc>
          <w:tcPr>
            <w:tcW w:w="2493" w:type="dxa"/>
            <w:shd w:val="clear" w:color="auto" w:fill="auto"/>
            <w:noWrap/>
            <w:vAlign w:val="bottom"/>
          </w:tcPr>
          <w:p w14:paraId="58962BA3"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127A2D4D" w14:textId="77777777" w:rsidTr="00D66E89">
        <w:trPr>
          <w:trHeight w:val="280"/>
        </w:trPr>
        <w:tc>
          <w:tcPr>
            <w:tcW w:w="2874" w:type="dxa"/>
            <w:shd w:val="clear" w:color="auto" w:fill="auto"/>
            <w:noWrap/>
            <w:vAlign w:val="bottom"/>
          </w:tcPr>
          <w:p w14:paraId="0525C695"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Epeli Waqavonovono</w:t>
            </w:r>
          </w:p>
        </w:tc>
        <w:tc>
          <w:tcPr>
            <w:tcW w:w="3138" w:type="dxa"/>
            <w:shd w:val="clear" w:color="auto" w:fill="auto"/>
            <w:noWrap/>
            <w:vAlign w:val="bottom"/>
          </w:tcPr>
          <w:p w14:paraId="15400172"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Bureau of Statistics</w:t>
            </w:r>
          </w:p>
        </w:tc>
        <w:tc>
          <w:tcPr>
            <w:tcW w:w="2493" w:type="dxa"/>
            <w:shd w:val="clear" w:color="auto" w:fill="auto"/>
            <w:noWrap/>
            <w:vAlign w:val="bottom"/>
          </w:tcPr>
          <w:p w14:paraId="5384388C"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Government of Fiji</w:t>
            </w:r>
          </w:p>
        </w:tc>
      </w:tr>
      <w:tr w:rsidR="008F00FD" w:rsidRPr="00381A55" w14:paraId="4AF86CA8" w14:textId="77777777" w:rsidTr="00D66E89">
        <w:trPr>
          <w:trHeight w:val="280"/>
        </w:trPr>
        <w:tc>
          <w:tcPr>
            <w:tcW w:w="2874" w:type="dxa"/>
            <w:shd w:val="clear" w:color="auto" w:fill="auto"/>
            <w:noWrap/>
            <w:vAlign w:val="bottom"/>
          </w:tcPr>
          <w:p w14:paraId="74289FA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Dr Kandasamy Angamuthu</w:t>
            </w:r>
          </w:p>
        </w:tc>
        <w:tc>
          <w:tcPr>
            <w:tcW w:w="3138" w:type="dxa"/>
            <w:shd w:val="clear" w:color="auto" w:fill="auto"/>
            <w:noWrap/>
            <w:vAlign w:val="bottom"/>
          </w:tcPr>
          <w:p w14:paraId="55821B8B"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National University</w:t>
            </w:r>
          </w:p>
        </w:tc>
        <w:tc>
          <w:tcPr>
            <w:tcW w:w="2493" w:type="dxa"/>
            <w:shd w:val="clear" w:color="auto" w:fill="auto"/>
            <w:noWrap/>
            <w:vAlign w:val="bottom"/>
          </w:tcPr>
          <w:p w14:paraId="7B6774CA"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Provider</w:t>
            </w:r>
          </w:p>
        </w:tc>
      </w:tr>
      <w:tr w:rsidR="008F00FD" w:rsidRPr="00381A55" w14:paraId="65205A5C" w14:textId="77777777" w:rsidTr="00D66E89">
        <w:trPr>
          <w:trHeight w:val="280"/>
        </w:trPr>
        <w:tc>
          <w:tcPr>
            <w:tcW w:w="2874" w:type="dxa"/>
            <w:shd w:val="clear" w:color="auto" w:fill="auto"/>
            <w:noWrap/>
            <w:vAlign w:val="bottom"/>
          </w:tcPr>
          <w:p w14:paraId="376D4BDD"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Hasmukh Lal</w:t>
            </w:r>
          </w:p>
        </w:tc>
        <w:tc>
          <w:tcPr>
            <w:tcW w:w="3138" w:type="dxa"/>
            <w:shd w:val="clear" w:color="auto" w:fill="auto"/>
            <w:noWrap/>
            <w:vAlign w:val="bottom"/>
          </w:tcPr>
          <w:p w14:paraId="7704272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University of the South Pacific</w:t>
            </w:r>
          </w:p>
        </w:tc>
        <w:tc>
          <w:tcPr>
            <w:tcW w:w="2493" w:type="dxa"/>
            <w:shd w:val="clear" w:color="auto" w:fill="auto"/>
            <w:noWrap/>
            <w:vAlign w:val="bottom"/>
          </w:tcPr>
          <w:p w14:paraId="755F53D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Provider</w:t>
            </w:r>
          </w:p>
        </w:tc>
      </w:tr>
      <w:tr w:rsidR="008F00FD" w:rsidRPr="00381A55" w14:paraId="7D4FB10A" w14:textId="77777777" w:rsidTr="00D66E89">
        <w:trPr>
          <w:trHeight w:val="280"/>
        </w:trPr>
        <w:tc>
          <w:tcPr>
            <w:tcW w:w="2874" w:type="dxa"/>
            <w:shd w:val="clear" w:color="auto" w:fill="auto"/>
            <w:noWrap/>
            <w:vAlign w:val="bottom"/>
          </w:tcPr>
          <w:p w14:paraId="253773FC"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Professor John Blythe</w:t>
            </w:r>
          </w:p>
        </w:tc>
        <w:tc>
          <w:tcPr>
            <w:tcW w:w="3138" w:type="dxa"/>
            <w:shd w:val="clear" w:color="auto" w:fill="auto"/>
            <w:noWrap/>
            <w:vAlign w:val="bottom"/>
          </w:tcPr>
          <w:p w14:paraId="5B6947FD"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University of the South Pacific</w:t>
            </w:r>
          </w:p>
        </w:tc>
        <w:tc>
          <w:tcPr>
            <w:tcW w:w="2493" w:type="dxa"/>
            <w:shd w:val="clear" w:color="auto" w:fill="auto"/>
            <w:noWrap/>
            <w:vAlign w:val="bottom"/>
          </w:tcPr>
          <w:p w14:paraId="70FB8CA6"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Provider</w:t>
            </w:r>
          </w:p>
        </w:tc>
      </w:tr>
      <w:tr w:rsidR="008F00FD" w:rsidRPr="00381A55" w14:paraId="0346B58C" w14:textId="77777777" w:rsidTr="00D66E89">
        <w:trPr>
          <w:trHeight w:val="280"/>
        </w:trPr>
        <w:tc>
          <w:tcPr>
            <w:tcW w:w="2874" w:type="dxa"/>
            <w:shd w:val="clear" w:color="auto" w:fill="auto"/>
            <w:noWrap/>
            <w:vAlign w:val="bottom"/>
          </w:tcPr>
          <w:p w14:paraId="7547CCD5"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Litea Bola</w:t>
            </w:r>
          </w:p>
        </w:tc>
        <w:tc>
          <w:tcPr>
            <w:tcW w:w="3138" w:type="dxa"/>
            <w:shd w:val="clear" w:color="auto" w:fill="auto"/>
            <w:noWrap/>
            <w:vAlign w:val="bottom"/>
          </w:tcPr>
          <w:p w14:paraId="5E89FF7D"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ADRA Fiji</w:t>
            </w:r>
          </w:p>
        </w:tc>
        <w:tc>
          <w:tcPr>
            <w:tcW w:w="2493" w:type="dxa"/>
            <w:shd w:val="clear" w:color="auto" w:fill="auto"/>
            <w:noWrap/>
            <w:vAlign w:val="bottom"/>
          </w:tcPr>
          <w:p w14:paraId="6F1B3ED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1F9020BA" w14:textId="77777777" w:rsidTr="00D66E89">
        <w:trPr>
          <w:trHeight w:val="280"/>
        </w:trPr>
        <w:tc>
          <w:tcPr>
            <w:tcW w:w="2874" w:type="dxa"/>
            <w:shd w:val="clear" w:color="auto" w:fill="auto"/>
            <w:noWrap/>
            <w:vAlign w:val="bottom"/>
          </w:tcPr>
          <w:p w14:paraId="4AAF5DA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Sina Suliano</w:t>
            </w:r>
          </w:p>
        </w:tc>
        <w:tc>
          <w:tcPr>
            <w:tcW w:w="3138" w:type="dxa"/>
            <w:shd w:val="clear" w:color="auto" w:fill="auto"/>
            <w:noWrap/>
            <w:vAlign w:val="bottom"/>
          </w:tcPr>
          <w:p w14:paraId="44A8A670"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ADRA Fiji</w:t>
            </w:r>
          </w:p>
        </w:tc>
        <w:tc>
          <w:tcPr>
            <w:tcW w:w="2493" w:type="dxa"/>
            <w:shd w:val="clear" w:color="auto" w:fill="auto"/>
            <w:noWrap/>
            <w:vAlign w:val="bottom"/>
          </w:tcPr>
          <w:p w14:paraId="1505EE35"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2EE18BC2" w14:textId="77777777" w:rsidTr="00D66E89">
        <w:trPr>
          <w:trHeight w:val="280"/>
        </w:trPr>
        <w:tc>
          <w:tcPr>
            <w:tcW w:w="2874" w:type="dxa"/>
            <w:shd w:val="clear" w:color="auto" w:fill="auto"/>
            <w:noWrap/>
            <w:vAlign w:val="bottom"/>
          </w:tcPr>
          <w:p w14:paraId="77443F42"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Jeegar Bhavsar</w:t>
            </w:r>
          </w:p>
        </w:tc>
        <w:tc>
          <w:tcPr>
            <w:tcW w:w="3138" w:type="dxa"/>
            <w:shd w:val="clear" w:color="auto" w:fill="auto"/>
            <w:noWrap/>
            <w:vAlign w:val="bottom"/>
          </w:tcPr>
          <w:p w14:paraId="103BAFF4"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FASANOC</w:t>
            </w:r>
          </w:p>
        </w:tc>
        <w:tc>
          <w:tcPr>
            <w:tcW w:w="2493" w:type="dxa"/>
            <w:shd w:val="clear" w:color="auto" w:fill="auto"/>
            <w:noWrap/>
            <w:vAlign w:val="bottom"/>
          </w:tcPr>
          <w:p w14:paraId="5CD9E98C"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33AA6EC3" w14:textId="77777777" w:rsidTr="00D66E89">
        <w:trPr>
          <w:trHeight w:val="280"/>
        </w:trPr>
        <w:tc>
          <w:tcPr>
            <w:tcW w:w="2874" w:type="dxa"/>
            <w:shd w:val="clear" w:color="auto" w:fill="auto"/>
            <w:noWrap/>
            <w:vAlign w:val="bottom"/>
          </w:tcPr>
          <w:p w14:paraId="1DBB5A8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Mere Tikoduadua-Fonmoa</w:t>
            </w:r>
          </w:p>
        </w:tc>
        <w:tc>
          <w:tcPr>
            <w:tcW w:w="3138" w:type="dxa"/>
            <w:shd w:val="clear" w:color="auto" w:fill="auto"/>
            <w:noWrap/>
            <w:vAlign w:val="bottom"/>
          </w:tcPr>
          <w:p w14:paraId="378CF111"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Fenc Fiji</w:t>
            </w:r>
          </w:p>
        </w:tc>
        <w:tc>
          <w:tcPr>
            <w:tcW w:w="2493" w:type="dxa"/>
            <w:shd w:val="clear" w:color="auto" w:fill="auto"/>
            <w:noWrap/>
            <w:vAlign w:val="bottom"/>
          </w:tcPr>
          <w:p w14:paraId="3508F4F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1436AB47" w14:textId="77777777" w:rsidTr="00D66E89">
        <w:trPr>
          <w:trHeight w:val="280"/>
        </w:trPr>
        <w:tc>
          <w:tcPr>
            <w:tcW w:w="2874" w:type="dxa"/>
            <w:shd w:val="clear" w:color="auto" w:fill="auto"/>
            <w:noWrap/>
            <w:vAlign w:val="bottom"/>
          </w:tcPr>
          <w:p w14:paraId="2C68102C"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Gael Seru</w:t>
            </w:r>
          </w:p>
        </w:tc>
        <w:tc>
          <w:tcPr>
            <w:tcW w:w="3138" w:type="dxa"/>
            <w:shd w:val="clear" w:color="auto" w:fill="auto"/>
            <w:noWrap/>
            <w:vAlign w:val="bottom"/>
          </w:tcPr>
          <w:p w14:paraId="2F413FF4"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Association for the Deaf</w:t>
            </w:r>
          </w:p>
        </w:tc>
        <w:tc>
          <w:tcPr>
            <w:tcW w:w="2493" w:type="dxa"/>
            <w:shd w:val="clear" w:color="auto" w:fill="auto"/>
            <w:noWrap/>
            <w:vAlign w:val="bottom"/>
          </w:tcPr>
          <w:p w14:paraId="753F308E"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204621FE" w14:textId="77777777" w:rsidTr="00D66E89">
        <w:trPr>
          <w:trHeight w:val="280"/>
        </w:trPr>
        <w:tc>
          <w:tcPr>
            <w:tcW w:w="2874" w:type="dxa"/>
            <w:shd w:val="clear" w:color="auto" w:fill="auto"/>
            <w:noWrap/>
            <w:vAlign w:val="bottom"/>
          </w:tcPr>
          <w:p w14:paraId="105587A8"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Joe Ramulo</w:t>
            </w:r>
          </w:p>
        </w:tc>
        <w:tc>
          <w:tcPr>
            <w:tcW w:w="3138" w:type="dxa"/>
            <w:shd w:val="clear" w:color="auto" w:fill="auto"/>
            <w:noWrap/>
            <w:vAlign w:val="bottom"/>
          </w:tcPr>
          <w:p w14:paraId="3C41E8BC"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Disabled Association</w:t>
            </w:r>
          </w:p>
        </w:tc>
        <w:tc>
          <w:tcPr>
            <w:tcW w:w="2493" w:type="dxa"/>
            <w:shd w:val="clear" w:color="auto" w:fill="auto"/>
            <w:noWrap/>
            <w:vAlign w:val="bottom"/>
          </w:tcPr>
          <w:p w14:paraId="478A50AF"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4626E23A" w14:textId="77777777" w:rsidTr="00D66E89">
        <w:trPr>
          <w:trHeight w:val="280"/>
        </w:trPr>
        <w:tc>
          <w:tcPr>
            <w:tcW w:w="2874" w:type="dxa"/>
            <w:shd w:val="clear" w:color="auto" w:fill="auto"/>
            <w:noWrap/>
            <w:vAlign w:val="bottom"/>
          </w:tcPr>
          <w:p w14:paraId="3D92CDA3"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Emosi Uluilakeba</w:t>
            </w:r>
          </w:p>
        </w:tc>
        <w:tc>
          <w:tcPr>
            <w:tcW w:w="3138" w:type="dxa"/>
            <w:shd w:val="clear" w:color="auto" w:fill="auto"/>
            <w:noWrap/>
            <w:vAlign w:val="bottom"/>
          </w:tcPr>
          <w:p w14:paraId="43E7C12E"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 xml:space="preserve">Fiji Police </w:t>
            </w:r>
            <w:r>
              <w:rPr>
                <w:rFonts w:cstheme="minorBidi"/>
                <w:color w:val="000000"/>
                <w:sz w:val="18"/>
                <w:szCs w:val="22"/>
              </w:rPr>
              <w:t>–</w:t>
            </w:r>
            <w:r w:rsidRPr="00381A55">
              <w:rPr>
                <w:rFonts w:cstheme="minorBidi"/>
                <w:color w:val="000000"/>
                <w:sz w:val="18"/>
                <w:szCs w:val="22"/>
              </w:rPr>
              <w:t xml:space="preserve"> Juvenile Bureau </w:t>
            </w:r>
          </w:p>
        </w:tc>
        <w:tc>
          <w:tcPr>
            <w:tcW w:w="2493" w:type="dxa"/>
            <w:shd w:val="clear" w:color="auto" w:fill="auto"/>
            <w:noWrap/>
            <w:vAlign w:val="bottom"/>
          </w:tcPr>
          <w:p w14:paraId="2CEAC8D2"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3EFD6BEE" w14:textId="77777777" w:rsidTr="00D66E89">
        <w:trPr>
          <w:trHeight w:val="280"/>
        </w:trPr>
        <w:tc>
          <w:tcPr>
            <w:tcW w:w="2874" w:type="dxa"/>
            <w:shd w:val="clear" w:color="auto" w:fill="auto"/>
            <w:noWrap/>
            <w:vAlign w:val="bottom"/>
          </w:tcPr>
          <w:p w14:paraId="5CC19EEA"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Lasaro Senibulu</w:t>
            </w:r>
          </w:p>
        </w:tc>
        <w:tc>
          <w:tcPr>
            <w:tcW w:w="3138" w:type="dxa"/>
            <w:shd w:val="clear" w:color="auto" w:fill="auto"/>
            <w:noWrap/>
            <w:vAlign w:val="bottom"/>
          </w:tcPr>
          <w:p w14:paraId="0AFA5AAA"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International Wise</w:t>
            </w:r>
          </w:p>
        </w:tc>
        <w:tc>
          <w:tcPr>
            <w:tcW w:w="2493" w:type="dxa"/>
            <w:shd w:val="clear" w:color="auto" w:fill="auto"/>
            <w:noWrap/>
            <w:vAlign w:val="bottom"/>
          </w:tcPr>
          <w:p w14:paraId="4174F590"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085091AD" w14:textId="77777777" w:rsidTr="00D66E89">
        <w:trPr>
          <w:trHeight w:val="280"/>
        </w:trPr>
        <w:tc>
          <w:tcPr>
            <w:tcW w:w="2874" w:type="dxa"/>
            <w:shd w:val="clear" w:color="auto" w:fill="auto"/>
            <w:noWrap/>
            <w:vAlign w:val="bottom"/>
          </w:tcPr>
          <w:p w14:paraId="1B22626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John Barton</w:t>
            </w:r>
          </w:p>
        </w:tc>
        <w:tc>
          <w:tcPr>
            <w:tcW w:w="3138" w:type="dxa"/>
            <w:shd w:val="clear" w:color="auto" w:fill="auto"/>
            <w:noWrap/>
            <w:vAlign w:val="bottom"/>
          </w:tcPr>
          <w:p w14:paraId="1125D433"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Lydhurst Limited (Kookai)</w:t>
            </w:r>
          </w:p>
        </w:tc>
        <w:tc>
          <w:tcPr>
            <w:tcW w:w="2493" w:type="dxa"/>
            <w:shd w:val="clear" w:color="auto" w:fill="auto"/>
            <w:noWrap/>
            <w:vAlign w:val="bottom"/>
          </w:tcPr>
          <w:p w14:paraId="734A66A4"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272AFAA6" w14:textId="77777777" w:rsidTr="00D66E89">
        <w:trPr>
          <w:trHeight w:val="280"/>
        </w:trPr>
        <w:tc>
          <w:tcPr>
            <w:tcW w:w="2874" w:type="dxa"/>
            <w:shd w:val="clear" w:color="auto" w:fill="auto"/>
            <w:noWrap/>
            <w:vAlign w:val="bottom"/>
          </w:tcPr>
          <w:p w14:paraId="15F14323"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Mark Halabe</w:t>
            </w:r>
          </w:p>
        </w:tc>
        <w:tc>
          <w:tcPr>
            <w:tcW w:w="3138" w:type="dxa"/>
            <w:shd w:val="clear" w:color="auto" w:fill="auto"/>
            <w:noWrap/>
            <w:vAlign w:val="bottom"/>
          </w:tcPr>
          <w:p w14:paraId="63A94C6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Mark One Apparel</w:t>
            </w:r>
          </w:p>
        </w:tc>
        <w:tc>
          <w:tcPr>
            <w:tcW w:w="2493" w:type="dxa"/>
            <w:shd w:val="clear" w:color="auto" w:fill="auto"/>
            <w:noWrap/>
            <w:vAlign w:val="bottom"/>
          </w:tcPr>
          <w:p w14:paraId="70E548E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31C444AC" w14:textId="77777777" w:rsidTr="00D66E89">
        <w:trPr>
          <w:trHeight w:val="280"/>
        </w:trPr>
        <w:tc>
          <w:tcPr>
            <w:tcW w:w="2874" w:type="dxa"/>
            <w:shd w:val="clear" w:color="auto" w:fill="auto"/>
            <w:noWrap/>
            <w:vAlign w:val="bottom"/>
          </w:tcPr>
          <w:p w14:paraId="36DE6A4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Peni Taoi</w:t>
            </w:r>
          </w:p>
        </w:tc>
        <w:tc>
          <w:tcPr>
            <w:tcW w:w="3138" w:type="dxa"/>
            <w:shd w:val="clear" w:color="auto" w:fill="auto"/>
            <w:noWrap/>
            <w:vAlign w:val="bottom"/>
          </w:tcPr>
          <w:p w14:paraId="0D9FF392"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National Training and Productivity Centre</w:t>
            </w:r>
          </w:p>
        </w:tc>
        <w:tc>
          <w:tcPr>
            <w:tcW w:w="2493" w:type="dxa"/>
            <w:shd w:val="clear" w:color="auto" w:fill="auto"/>
            <w:noWrap/>
            <w:vAlign w:val="bottom"/>
          </w:tcPr>
          <w:p w14:paraId="4C4FF058"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7F43C632" w14:textId="77777777" w:rsidTr="00D66E89">
        <w:trPr>
          <w:trHeight w:val="280"/>
        </w:trPr>
        <w:tc>
          <w:tcPr>
            <w:tcW w:w="2874" w:type="dxa"/>
            <w:shd w:val="clear" w:color="auto" w:fill="auto"/>
            <w:noWrap/>
            <w:vAlign w:val="bottom"/>
          </w:tcPr>
          <w:p w14:paraId="518B591E"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Suresh Singh</w:t>
            </w:r>
          </w:p>
        </w:tc>
        <w:tc>
          <w:tcPr>
            <w:tcW w:w="3138" w:type="dxa"/>
            <w:shd w:val="clear" w:color="auto" w:fill="auto"/>
            <w:noWrap/>
            <w:vAlign w:val="bottom"/>
          </w:tcPr>
          <w:p w14:paraId="69E6BD8C"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Nivis Motor and Machinery Co.</w:t>
            </w:r>
            <w:r>
              <w:rPr>
                <w:rFonts w:cstheme="minorBidi"/>
                <w:color w:val="000000"/>
                <w:sz w:val="18"/>
                <w:szCs w:val="22"/>
              </w:rPr>
              <w:t xml:space="preserve"> </w:t>
            </w:r>
            <w:r w:rsidRPr="00381A55">
              <w:rPr>
                <w:rFonts w:cstheme="minorBidi"/>
                <w:color w:val="000000"/>
                <w:sz w:val="18"/>
                <w:szCs w:val="22"/>
              </w:rPr>
              <w:t>Ltd</w:t>
            </w:r>
          </w:p>
        </w:tc>
        <w:tc>
          <w:tcPr>
            <w:tcW w:w="2493" w:type="dxa"/>
            <w:shd w:val="clear" w:color="auto" w:fill="auto"/>
            <w:noWrap/>
            <w:vAlign w:val="bottom"/>
          </w:tcPr>
          <w:p w14:paraId="5402820B"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30155A2F" w14:textId="77777777" w:rsidTr="00D66E89">
        <w:trPr>
          <w:trHeight w:val="280"/>
        </w:trPr>
        <w:tc>
          <w:tcPr>
            <w:tcW w:w="2874" w:type="dxa"/>
            <w:shd w:val="clear" w:color="auto" w:fill="auto"/>
            <w:noWrap/>
            <w:vAlign w:val="bottom"/>
          </w:tcPr>
          <w:p w14:paraId="66176313"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Vani Cokanasiga</w:t>
            </w:r>
          </w:p>
        </w:tc>
        <w:tc>
          <w:tcPr>
            <w:tcW w:w="3138" w:type="dxa"/>
            <w:shd w:val="clear" w:color="auto" w:fill="auto"/>
            <w:noWrap/>
            <w:vAlign w:val="bottom"/>
          </w:tcPr>
          <w:p w14:paraId="2A40B3EF"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Pacific Centre for Peacebuilding</w:t>
            </w:r>
          </w:p>
        </w:tc>
        <w:tc>
          <w:tcPr>
            <w:tcW w:w="2493" w:type="dxa"/>
            <w:shd w:val="clear" w:color="auto" w:fill="auto"/>
            <w:noWrap/>
            <w:vAlign w:val="bottom"/>
          </w:tcPr>
          <w:p w14:paraId="0F439E1C"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50CA10CE" w14:textId="77777777" w:rsidTr="00D66E89">
        <w:trPr>
          <w:trHeight w:val="280"/>
        </w:trPr>
        <w:tc>
          <w:tcPr>
            <w:tcW w:w="2874" w:type="dxa"/>
            <w:shd w:val="clear" w:color="auto" w:fill="auto"/>
            <w:noWrap/>
            <w:vAlign w:val="bottom"/>
          </w:tcPr>
          <w:p w14:paraId="3E3197E3"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Tarusila Bradburgh</w:t>
            </w:r>
          </w:p>
        </w:tc>
        <w:tc>
          <w:tcPr>
            <w:tcW w:w="3138" w:type="dxa"/>
            <w:shd w:val="clear" w:color="auto" w:fill="auto"/>
            <w:noWrap/>
            <w:vAlign w:val="bottom"/>
          </w:tcPr>
          <w:p w14:paraId="0F9CBF00"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Pacific Youth Council</w:t>
            </w:r>
          </w:p>
        </w:tc>
        <w:tc>
          <w:tcPr>
            <w:tcW w:w="2493" w:type="dxa"/>
            <w:shd w:val="clear" w:color="auto" w:fill="auto"/>
            <w:noWrap/>
            <w:vAlign w:val="bottom"/>
          </w:tcPr>
          <w:p w14:paraId="0B582D2F"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00626C7A" w14:textId="77777777" w:rsidTr="00D66E89">
        <w:trPr>
          <w:trHeight w:val="280"/>
        </w:trPr>
        <w:tc>
          <w:tcPr>
            <w:tcW w:w="2874" w:type="dxa"/>
            <w:shd w:val="clear" w:color="auto" w:fill="auto"/>
            <w:noWrap/>
            <w:vAlign w:val="bottom"/>
          </w:tcPr>
          <w:p w14:paraId="72F39988"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Akuila Temo</w:t>
            </w:r>
          </w:p>
        </w:tc>
        <w:tc>
          <w:tcPr>
            <w:tcW w:w="3138" w:type="dxa"/>
            <w:shd w:val="clear" w:color="auto" w:fill="auto"/>
            <w:noWrap/>
            <w:vAlign w:val="bottom"/>
          </w:tcPr>
          <w:p w14:paraId="0655E96D"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Public Works Department</w:t>
            </w:r>
          </w:p>
        </w:tc>
        <w:tc>
          <w:tcPr>
            <w:tcW w:w="2493" w:type="dxa"/>
            <w:shd w:val="clear" w:color="auto" w:fill="auto"/>
            <w:noWrap/>
            <w:vAlign w:val="bottom"/>
          </w:tcPr>
          <w:p w14:paraId="28E8A72F"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3DECEC5F" w14:textId="77777777" w:rsidTr="00D66E89">
        <w:trPr>
          <w:trHeight w:val="280"/>
        </w:trPr>
        <w:tc>
          <w:tcPr>
            <w:tcW w:w="2874" w:type="dxa"/>
            <w:shd w:val="clear" w:color="auto" w:fill="auto"/>
            <w:noWrap/>
            <w:vAlign w:val="bottom"/>
          </w:tcPr>
          <w:p w14:paraId="5AE832D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Abdulla Muny</w:t>
            </w:r>
          </w:p>
        </w:tc>
        <w:tc>
          <w:tcPr>
            <w:tcW w:w="3138" w:type="dxa"/>
            <w:shd w:val="clear" w:color="auto" w:fill="auto"/>
            <w:noWrap/>
            <w:vAlign w:val="bottom"/>
          </w:tcPr>
          <w:p w14:paraId="18F3A752"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Salon Owner</w:t>
            </w:r>
          </w:p>
        </w:tc>
        <w:tc>
          <w:tcPr>
            <w:tcW w:w="2493" w:type="dxa"/>
            <w:shd w:val="clear" w:color="auto" w:fill="auto"/>
            <w:noWrap/>
            <w:vAlign w:val="bottom"/>
          </w:tcPr>
          <w:p w14:paraId="5666B9A6"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7CDC4E40" w14:textId="77777777" w:rsidTr="00D66E89">
        <w:trPr>
          <w:trHeight w:val="280"/>
        </w:trPr>
        <w:tc>
          <w:tcPr>
            <w:tcW w:w="2874" w:type="dxa"/>
            <w:shd w:val="clear" w:color="auto" w:fill="auto"/>
            <w:noWrap/>
            <w:vAlign w:val="bottom"/>
          </w:tcPr>
          <w:p w14:paraId="4534D4E6"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Bipin Patel</w:t>
            </w:r>
          </w:p>
        </w:tc>
        <w:tc>
          <w:tcPr>
            <w:tcW w:w="3138" w:type="dxa"/>
            <w:shd w:val="clear" w:color="auto" w:fill="auto"/>
            <w:noWrap/>
            <w:vAlign w:val="bottom"/>
          </w:tcPr>
          <w:p w14:paraId="16D853F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United Apparel</w:t>
            </w:r>
          </w:p>
        </w:tc>
        <w:tc>
          <w:tcPr>
            <w:tcW w:w="2493" w:type="dxa"/>
            <w:shd w:val="clear" w:color="auto" w:fill="auto"/>
            <w:noWrap/>
            <w:vAlign w:val="bottom"/>
          </w:tcPr>
          <w:p w14:paraId="041A37D3"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518A9610" w14:textId="77777777" w:rsidTr="00D66E89">
        <w:trPr>
          <w:trHeight w:val="280"/>
        </w:trPr>
        <w:tc>
          <w:tcPr>
            <w:tcW w:w="2874" w:type="dxa"/>
            <w:shd w:val="clear" w:color="auto" w:fill="auto"/>
            <w:noWrap/>
            <w:vAlign w:val="bottom"/>
          </w:tcPr>
          <w:p w14:paraId="2AB2DAB9"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Michael Farrugia</w:t>
            </w:r>
          </w:p>
        </w:tc>
        <w:tc>
          <w:tcPr>
            <w:tcW w:w="3138" w:type="dxa"/>
            <w:shd w:val="clear" w:color="auto" w:fill="auto"/>
            <w:noWrap/>
            <w:vAlign w:val="bottom"/>
          </w:tcPr>
          <w:p w14:paraId="2A7DAD38"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EduBytes</w:t>
            </w:r>
          </w:p>
        </w:tc>
        <w:tc>
          <w:tcPr>
            <w:tcW w:w="2493" w:type="dxa"/>
            <w:shd w:val="clear" w:color="auto" w:fill="auto"/>
            <w:noWrap/>
            <w:vAlign w:val="bottom"/>
          </w:tcPr>
          <w:p w14:paraId="326B1828"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0DAA554E" w14:textId="77777777" w:rsidTr="00D66E89">
        <w:trPr>
          <w:trHeight w:val="280"/>
        </w:trPr>
        <w:tc>
          <w:tcPr>
            <w:tcW w:w="2874" w:type="dxa"/>
            <w:shd w:val="clear" w:color="auto" w:fill="auto"/>
            <w:noWrap/>
            <w:vAlign w:val="bottom"/>
          </w:tcPr>
          <w:p w14:paraId="4CABD45B"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Michael Wong</w:t>
            </w:r>
          </w:p>
        </w:tc>
        <w:tc>
          <w:tcPr>
            <w:tcW w:w="3138" w:type="dxa"/>
            <w:shd w:val="clear" w:color="auto" w:fill="auto"/>
            <w:noWrap/>
            <w:vAlign w:val="bottom"/>
          </w:tcPr>
          <w:p w14:paraId="76FE7A27"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Fiji Hotel &amp; Tourism Association</w:t>
            </w:r>
          </w:p>
        </w:tc>
        <w:tc>
          <w:tcPr>
            <w:tcW w:w="2493" w:type="dxa"/>
            <w:shd w:val="clear" w:color="auto" w:fill="auto"/>
            <w:noWrap/>
            <w:vAlign w:val="bottom"/>
          </w:tcPr>
          <w:p w14:paraId="1BA114DE"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0D9AF0CF" w14:textId="77777777" w:rsidTr="00D66E89">
        <w:trPr>
          <w:trHeight w:val="280"/>
        </w:trPr>
        <w:tc>
          <w:tcPr>
            <w:tcW w:w="2874" w:type="dxa"/>
            <w:shd w:val="clear" w:color="auto" w:fill="auto"/>
            <w:noWrap/>
            <w:vAlign w:val="bottom"/>
          </w:tcPr>
          <w:p w14:paraId="5A973DD8"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Netani Sukanaivalu</w:t>
            </w:r>
          </w:p>
        </w:tc>
        <w:tc>
          <w:tcPr>
            <w:tcW w:w="3138" w:type="dxa"/>
            <w:shd w:val="clear" w:color="auto" w:fill="auto"/>
            <w:noWrap/>
            <w:vAlign w:val="bottom"/>
          </w:tcPr>
          <w:p w14:paraId="772C5D42"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Horeb Engineering</w:t>
            </w:r>
          </w:p>
        </w:tc>
        <w:tc>
          <w:tcPr>
            <w:tcW w:w="2493" w:type="dxa"/>
            <w:shd w:val="clear" w:color="auto" w:fill="auto"/>
            <w:noWrap/>
            <w:vAlign w:val="bottom"/>
          </w:tcPr>
          <w:p w14:paraId="7C02AC5A"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Employer/Industry</w:t>
            </w:r>
          </w:p>
        </w:tc>
      </w:tr>
      <w:tr w:rsidR="008F00FD" w:rsidRPr="00381A55" w14:paraId="6D2F80D2" w14:textId="77777777" w:rsidTr="00900F04">
        <w:trPr>
          <w:trHeight w:val="280"/>
        </w:trPr>
        <w:tc>
          <w:tcPr>
            <w:tcW w:w="2874" w:type="dxa"/>
            <w:tcBorders>
              <w:bottom w:val="single" w:sz="4" w:space="0" w:color="A8D08D" w:themeColor="accent6" w:themeTint="99"/>
            </w:tcBorders>
            <w:shd w:val="clear" w:color="auto" w:fill="auto"/>
            <w:noWrap/>
            <w:vAlign w:val="bottom"/>
          </w:tcPr>
          <w:p w14:paraId="0C14EF46"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Ana Raivoce</w:t>
            </w:r>
          </w:p>
        </w:tc>
        <w:tc>
          <w:tcPr>
            <w:tcW w:w="3138" w:type="dxa"/>
            <w:tcBorders>
              <w:bottom w:val="single" w:sz="4" w:space="0" w:color="A8D08D" w:themeColor="accent6" w:themeTint="99"/>
            </w:tcBorders>
            <w:shd w:val="clear" w:color="auto" w:fill="auto"/>
            <w:noWrap/>
            <w:vAlign w:val="bottom"/>
          </w:tcPr>
          <w:p w14:paraId="1A2BFB24"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 xml:space="preserve">SPC </w:t>
            </w:r>
            <w:r>
              <w:rPr>
                <w:rFonts w:cstheme="minorBidi"/>
                <w:color w:val="000000"/>
                <w:sz w:val="18"/>
                <w:szCs w:val="22"/>
              </w:rPr>
              <w:t>–</w:t>
            </w:r>
            <w:r w:rsidRPr="00381A55">
              <w:rPr>
                <w:rFonts w:cstheme="minorBidi"/>
                <w:color w:val="000000"/>
                <w:sz w:val="18"/>
                <w:szCs w:val="22"/>
              </w:rPr>
              <w:t xml:space="preserve"> SPBEA</w:t>
            </w:r>
          </w:p>
        </w:tc>
        <w:tc>
          <w:tcPr>
            <w:tcW w:w="2493" w:type="dxa"/>
            <w:tcBorders>
              <w:bottom w:val="single" w:sz="4" w:space="0" w:color="A8D08D" w:themeColor="accent6" w:themeTint="99"/>
            </w:tcBorders>
            <w:shd w:val="clear" w:color="auto" w:fill="auto"/>
            <w:noWrap/>
            <w:vAlign w:val="bottom"/>
          </w:tcPr>
          <w:p w14:paraId="244E5C16"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Development Partner</w:t>
            </w:r>
          </w:p>
        </w:tc>
      </w:tr>
      <w:tr w:rsidR="008F00FD" w:rsidRPr="00381A55" w14:paraId="129E81B9" w14:textId="77777777" w:rsidTr="00900F04">
        <w:trPr>
          <w:trHeight w:val="280"/>
        </w:trPr>
        <w:tc>
          <w:tcPr>
            <w:tcW w:w="2874" w:type="dxa"/>
            <w:tcBorders>
              <w:top w:val="single" w:sz="4" w:space="0" w:color="A8D08D" w:themeColor="accent6" w:themeTint="99"/>
              <w:bottom w:val="single" w:sz="4" w:space="0" w:color="A8D08D" w:themeColor="accent6" w:themeTint="99"/>
            </w:tcBorders>
            <w:shd w:val="clear" w:color="auto" w:fill="auto"/>
            <w:noWrap/>
            <w:vAlign w:val="bottom"/>
          </w:tcPr>
          <w:p w14:paraId="526DE768"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Lafi Sanerivi</w:t>
            </w:r>
          </w:p>
        </w:tc>
        <w:tc>
          <w:tcPr>
            <w:tcW w:w="3138" w:type="dxa"/>
            <w:tcBorders>
              <w:top w:val="single" w:sz="4" w:space="0" w:color="A8D08D" w:themeColor="accent6" w:themeTint="99"/>
              <w:bottom w:val="single" w:sz="4" w:space="0" w:color="A8D08D" w:themeColor="accent6" w:themeTint="99"/>
            </w:tcBorders>
            <w:shd w:val="clear" w:color="auto" w:fill="auto"/>
            <w:noWrap/>
            <w:vAlign w:val="bottom"/>
          </w:tcPr>
          <w:p w14:paraId="5D536901"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 xml:space="preserve">SPC </w:t>
            </w:r>
            <w:r>
              <w:rPr>
                <w:rFonts w:cstheme="minorBidi"/>
                <w:color w:val="000000"/>
                <w:sz w:val="18"/>
                <w:szCs w:val="22"/>
              </w:rPr>
              <w:t>–</w:t>
            </w:r>
            <w:r w:rsidRPr="00381A55">
              <w:rPr>
                <w:rFonts w:cstheme="minorBidi"/>
                <w:color w:val="000000"/>
                <w:sz w:val="18"/>
                <w:szCs w:val="22"/>
              </w:rPr>
              <w:t xml:space="preserve"> SPBEA</w:t>
            </w:r>
          </w:p>
        </w:tc>
        <w:tc>
          <w:tcPr>
            <w:tcW w:w="2493" w:type="dxa"/>
            <w:tcBorders>
              <w:top w:val="single" w:sz="4" w:space="0" w:color="A8D08D" w:themeColor="accent6" w:themeTint="99"/>
              <w:bottom w:val="single" w:sz="4" w:space="0" w:color="A8D08D" w:themeColor="accent6" w:themeTint="99"/>
            </w:tcBorders>
            <w:shd w:val="clear" w:color="auto" w:fill="auto"/>
            <w:noWrap/>
            <w:vAlign w:val="bottom"/>
          </w:tcPr>
          <w:p w14:paraId="63F03E9A" w14:textId="77777777" w:rsidR="008F00FD" w:rsidRPr="00381A55" w:rsidRDefault="008F00FD" w:rsidP="005F77A1">
            <w:pPr>
              <w:spacing w:before="20" w:after="20"/>
              <w:rPr>
                <w:rFonts w:cstheme="minorBidi"/>
                <w:color w:val="000000"/>
                <w:sz w:val="18"/>
                <w:szCs w:val="22"/>
              </w:rPr>
            </w:pPr>
            <w:r w:rsidRPr="00381A55">
              <w:rPr>
                <w:rFonts w:cstheme="minorBidi"/>
                <w:color w:val="000000"/>
                <w:sz w:val="18"/>
                <w:szCs w:val="22"/>
              </w:rPr>
              <w:t>Development Partner</w:t>
            </w:r>
          </w:p>
        </w:tc>
      </w:tr>
    </w:tbl>
    <w:p w14:paraId="65E35FA3" w14:textId="77777777" w:rsidR="008F00FD" w:rsidRDefault="008F00FD" w:rsidP="008F00FD"/>
    <w:p w14:paraId="5ED8CA5A" w14:textId="77777777" w:rsidR="008F00FD" w:rsidRPr="00C645FA" w:rsidRDefault="008F00FD" w:rsidP="002028A6">
      <w:pPr>
        <w:pStyle w:val="Heading1"/>
      </w:pPr>
      <w:r>
        <w:br w:type="page"/>
      </w:r>
      <w:bookmarkStart w:id="98" w:name="_Toc278447829"/>
      <w:bookmarkStart w:id="99" w:name="_Toc278453302"/>
      <w:r w:rsidRPr="00C645FA">
        <w:lastRenderedPageBreak/>
        <w:t>AUSTRALIA</w:t>
      </w:r>
      <w:bookmarkEnd w:id="98"/>
      <w:bookmarkEnd w:id="99"/>
    </w:p>
    <w:tbl>
      <w:tblPr>
        <w:tblW w:w="8222" w:type="dxa"/>
        <w:tblInd w:w="108" w:type="dxa"/>
        <w:tblBorders>
          <w:insideH w:val="single" w:sz="4" w:space="0" w:color="A8D08D" w:themeColor="accent6" w:themeTint="99"/>
          <w:insideV w:val="single" w:sz="4" w:space="0" w:color="A8D08D" w:themeColor="accent6" w:themeTint="99"/>
        </w:tblBorders>
        <w:tblLook w:val="0000" w:firstRow="0" w:lastRow="0" w:firstColumn="0" w:lastColumn="0" w:noHBand="0" w:noVBand="0"/>
      </w:tblPr>
      <w:tblGrid>
        <w:gridCol w:w="2835"/>
        <w:gridCol w:w="2694"/>
        <w:gridCol w:w="2976"/>
      </w:tblGrid>
      <w:tr w:rsidR="008F00FD" w:rsidRPr="008F11BD" w14:paraId="7BE0439A" w14:textId="77777777" w:rsidTr="00D66E89">
        <w:trPr>
          <w:trHeight w:val="280"/>
        </w:trPr>
        <w:tc>
          <w:tcPr>
            <w:tcW w:w="2835" w:type="dxa"/>
            <w:shd w:val="clear" w:color="auto" w:fill="auto"/>
            <w:noWrap/>
            <w:vAlign w:val="bottom"/>
          </w:tcPr>
          <w:p w14:paraId="3DD7CC3E" w14:textId="77777777" w:rsidR="008F00FD" w:rsidRPr="008F11BD" w:rsidRDefault="008F00FD" w:rsidP="005F77A1">
            <w:pPr>
              <w:spacing w:before="20" w:after="20"/>
              <w:rPr>
                <w:rFonts w:cstheme="minorBidi"/>
                <w:color w:val="000000"/>
                <w:sz w:val="18"/>
                <w:szCs w:val="22"/>
              </w:rPr>
            </w:pPr>
            <w:r w:rsidRPr="008F11BD">
              <w:rPr>
                <w:rFonts w:cstheme="minorBidi"/>
                <w:color w:val="000000"/>
                <w:sz w:val="18"/>
                <w:szCs w:val="22"/>
              </w:rPr>
              <w:t>Denise O'Brien</w:t>
            </w:r>
          </w:p>
        </w:tc>
        <w:tc>
          <w:tcPr>
            <w:tcW w:w="2694" w:type="dxa"/>
            <w:shd w:val="clear" w:color="auto" w:fill="auto"/>
            <w:noWrap/>
            <w:vAlign w:val="bottom"/>
          </w:tcPr>
          <w:p w14:paraId="1AC32F6E" w14:textId="77777777" w:rsidR="008F00FD" w:rsidRPr="008F11BD" w:rsidRDefault="008F00FD" w:rsidP="005F77A1">
            <w:pPr>
              <w:spacing w:before="20" w:after="20"/>
              <w:rPr>
                <w:rFonts w:cstheme="minorBidi"/>
                <w:color w:val="000000"/>
                <w:sz w:val="18"/>
                <w:szCs w:val="22"/>
              </w:rPr>
            </w:pPr>
            <w:r w:rsidRPr="008F11BD">
              <w:rPr>
                <w:rFonts w:cstheme="minorBidi"/>
                <w:color w:val="000000"/>
                <w:sz w:val="18"/>
                <w:szCs w:val="22"/>
              </w:rPr>
              <w:t>APTC</w:t>
            </w:r>
          </w:p>
        </w:tc>
        <w:tc>
          <w:tcPr>
            <w:tcW w:w="2976" w:type="dxa"/>
            <w:shd w:val="clear" w:color="auto" w:fill="auto"/>
            <w:noWrap/>
            <w:vAlign w:val="bottom"/>
          </w:tcPr>
          <w:p w14:paraId="4CFF5EAF" w14:textId="77777777" w:rsidR="008F00FD" w:rsidRPr="008F11BD" w:rsidRDefault="008F00FD" w:rsidP="005F77A1">
            <w:pPr>
              <w:spacing w:before="20" w:after="20"/>
              <w:rPr>
                <w:rFonts w:cstheme="minorBidi"/>
                <w:color w:val="000000"/>
                <w:sz w:val="18"/>
                <w:szCs w:val="22"/>
              </w:rPr>
            </w:pPr>
            <w:r w:rsidRPr="008F11BD">
              <w:rPr>
                <w:rFonts w:cstheme="minorBidi"/>
                <w:color w:val="000000"/>
                <w:sz w:val="18"/>
                <w:szCs w:val="22"/>
              </w:rPr>
              <w:t>Management</w:t>
            </w:r>
          </w:p>
        </w:tc>
      </w:tr>
      <w:tr w:rsidR="008F00FD" w:rsidRPr="008F11BD" w14:paraId="2DBC1234" w14:textId="77777777" w:rsidTr="00D66E89">
        <w:trPr>
          <w:trHeight w:val="280"/>
        </w:trPr>
        <w:tc>
          <w:tcPr>
            <w:tcW w:w="2835" w:type="dxa"/>
            <w:shd w:val="clear" w:color="auto" w:fill="auto"/>
            <w:noWrap/>
            <w:vAlign w:val="bottom"/>
          </w:tcPr>
          <w:p w14:paraId="658E5797" w14:textId="77777777" w:rsidR="008F00FD" w:rsidRPr="008F11BD" w:rsidRDefault="008F00FD" w:rsidP="005F77A1">
            <w:pPr>
              <w:spacing w:before="20" w:after="20"/>
              <w:rPr>
                <w:rFonts w:cstheme="minorBidi"/>
                <w:color w:val="000000"/>
                <w:sz w:val="18"/>
                <w:szCs w:val="22"/>
              </w:rPr>
            </w:pPr>
            <w:r w:rsidRPr="008F11BD">
              <w:rPr>
                <w:rFonts w:cstheme="minorBidi"/>
                <w:color w:val="000000"/>
                <w:sz w:val="18"/>
                <w:szCs w:val="22"/>
              </w:rPr>
              <w:t>Jodi Schmidt</w:t>
            </w:r>
          </w:p>
        </w:tc>
        <w:tc>
          <w:tcPr>
            <w:tcW w:w="2694" w:type="dxa"/>
            <w:shd w:val="clear" w:color="auto" w:fill="auto"/>
            <w:noWrap/>
            <w:vAlign w:val="bottom"/>
          </w:tcPr>
          <w:p w14:paraId="20C32462" w14:textId="77777777" w:rsidR="008F00FD" w:rsidRPr="008F11BD" w:rsidRDefault="008F00FD" w:rsidP="005F77A1">
            <w:pPr>
              <w:spacing w:before="20" w:after="20"/>
              <w:rPr>
                <w:rFonts w:cstheme="minorBidi"/>
                <w:color w:val="000000"/>
                <w:sz w:val="18"/>
                <w:szCs w:val="22"/>
              </w:rPr>
            </w:pPr>
            <w:r w:rsidRPr="008F11BD">
              <w:rPr>
                <w:rFonts w:cstheme="minorBidi"/>
                <w:color w:val="000000"/>
                <w:sz w:val="18"/>
                <w:szCs w:val="22"/>
              </w:rPr>
              <w:t>TAFE Queensland</w:t>
            </w:r>
          </w:p>
        </w:tc>
        <w:tc>
          <w:tcPr>
            <w:tcW w:w="2976" w:type="dxa"/>
            <w:shd w:val="clear" w:color="auto" w:fill="auto"/>
            <w:noWrap/>
            <w:vAlign w:val="bottom"/>
          </w:tcPr>
          <w:p w14:paraId="795785FC" w14:textId="77777777" w:rsidR="008F00FD" w:rsidRPr="008F11BD" w:rsidRDefault="008F00FD" w:rsidP="005F77A1">
            <w:pPr>
              <w:spacing w:before="20" w:after="20"/>
              <w:rPr>
                <w:rFonts w:cstheme="minorBidi"/>
                <w:color w:val="000000"/>
                <w:sz w:val="18"/>
                <w:szCs w:val="22"/>
              </w:rPr>
            </w:pPr>
            <w:r w:rsidRPr="008F11BD">
              <w:rPr>
                <w:rFonts w:cstheme="minorBidi"/>
                <w:color w:val="000000"/>
                <w:sz w:val="18"/>
                <w:szCs w:val="22"/>
              </w:rPr>
              <w:t>Management</w:t>
            </w:r>
          </w:p>
        </w:tc>
      </w:tr>
      <w:tr w:rsidR="00337330" w:rsidRPr="00337330" w14:paraId="3D2A351B" w14:textId="77777777" w:rsidTr="00900F04">
        <w:trPr>
          <w:trHeight w:val="280"/>
        </w:trPr>
        <w:tc>
          <w:tcPr>
            <w:tcW w:w="2835" w:type="dxa"/>
            <w:tcBorders>
              <w:bottom w:val="single" w:sz="4" w:space="0" w:color="A8D08D" w:themeColor="accent6" w:themeTint="99"/>
            </w:tcBorders>
            <w:shd w:val="clear" w:color="auto" w:fill="auto"/>
            <w:noWrap/>
            <w:vAlign w:val="bottom"/>
          </w:tcPr>
          <w:p w14:paraId="23131FE5" w14:textId="6C022E8B" w:rsidR="00337330" w:rsidRPr="00337330" w:rsidRDefault="00337330" w:rsidP="00337330">
            <w:pPr>
              <w:spacing w:before="20" w:after="20"/>
              <w:rPr>
                <w:color w:val="000000"/>
                <w:sz w:val="18"/>
                <w:szCs w:val="22"/>
              </w:rPr>
            </w:pPr>
            <w:r w:rsidRPr="00337330">
              <w:rPr>
                <w:color w:val="000000"/>
                <w:sz w:val="18"/>
                <w:szCs w:val="22"/>
              </w:rPr>
              <w:t>Mari</w:t>
            </w:r>
            <w:r w:rsidR="00CB3BBD">
              <w:rPr>
                <w:color w:val="000000"/>
                <w:sz w:val="18"/>
                <w:szCs w:val="22"/>
              </w:rPr>
              <w:t>a</w:t>
            </w:r>
            <w:r w:rsidRPr="00337330">
              <w:rPr>
                <w:color w:val="000000"/>
                <w:sz w:val="18"/>
                <w:szCs w:val="22"/>
              </w:rPr>
              <w:t>n Wilkinson</w:t>
            </w:r>
          </w:p>
        </w:tc>
        <w:tc>
          <w:tcPr>
            <w:tcW w:w="2694" w:type="dxa"/>
            <w:tcBorders>
              <w:bottom w:val="single" w:sz="4" w:space="0" w:color="A8D08D" w:themeColor="accent6" w:themeTint="99"/>
            </w:tcBorders>
            <w:shd w:val="clear" w:color="auto" w:fill="auto"/>
            <w:noWrap/>
            <w:vAlign w:val="bottom"/>
          </w:tcPr>
          <w:p w14:paraId="2FBB6737" w14:textId="77777777" w:rsidR="00337330" w:rsidRPr="00337330" w:rsidRDefault="00337330" w:rsidP="00337330">
            <w:pPr>
              <w:spacing w:before="20" w:after="20"/>
              <w:rPr>
                <w:color w:val="000000"/>
                <w:sz w:val="18"/>
                <w:szCs w:val="22"/>
              </w:rPr>
            </w:pPr>
            <w:r w:rsidRPr="00337330">
              <w:rPr>
                <w:color w:val="000000"/>
                <w:sz w:val="18"/>
                <w:szCs w:val="22"/>
              </w:rPr>
              <w:t>Box Hill Institute</w:t>
            </w:r>
          </w:p>
        </w:tc>
        <w:tc>
          <w:tcPr>
            <w:tcW w:w="2976" w:type="dxa"/>
            <w:tcBorders>
              <w:bottom w:val="single" w:sz="4" w:space="0" w:color="A8D08D" w:themeColor="accent6" w:themeTint="99"/>
            </w:tcBorders>
            <w:shd w:val="clear" w:color="auto" w:fill="auto"/>
            <w:noWrap/>
            <w:vAlign w:val="bottom"/>
          </w:tcPr>
          <w:p w14:paraId="43736659" w14:textId="77777777" w:rsidR="00337330" w:rsidRPr="00337330" w:rsidRDefault="00337330" w:rsidP="00337330">
            <w:pPr>
              <w:spacing w:before="20" w:after="20"/>
              <w:rPr>
                <w:color w:val="000000"/>
                <w:sz w:val="18"/>
                <w:szCs w:val="22"/>
              </w:rPr>
            </w:pPr>
            <w:r w:rsidRPr="00337330">
              <w:rPr>
                <w:color w:val="000000"/>
                <w:sz w:val="18"/>
                <w:szCs w:val="22"/>
              </w:rPr>
              <w:t>Management</w:t>
            </w:r>
          </w:p>
        </w:tc>
      </w:tr>
      <w:tr w:rsidR="00337330" w:rsidRPr="00337330" w14:paraId="684EF8F8" w14:textId="77777777" w:rsidTr="00900F04">
        <w:trPr>
          <w:trHeight w:val="280"/>
        </w:trPr>
        <w:tc>
          <w:tcPr>
            <w:tcW w:w="2835" w:type="dxa"/>
            <w:tcBorders>
              <w:top w:val="single" w:sz="4" w:space="0" w:color="A8D08D" w:themeColor="accent6" w:themeTint="99"/>
              <w:bottom w:val="single" w:sz="4" w:space="0" w:color="A8D08D" w:themeColor="accent6" w:themeTint="99"/>
            </w:tcBorders>
            <w:shd w:val="clear" w:color="auto" w:fill="auto"/>
            <w:noWrap/>
            <w:vAlign w:val="bottom"/>
          </w:tcPr>
          <w:p w14:paraId="17441F4F" w14:textId="77777777" w:rsidR="00337330" w:rsidRPr="00337330" w:rsidRDefault="00337330" w:rsidP="00337330">
            <w:pPr>
              <w:spacing w:before="20" w:after="20"/>
              <w:rPr>
                <w:color w:val="000000"/>
                <w:sz w:val="18"/>
                <w:szCs w:val="22"/>
              </w:rPr>
            </w:pPr>
            <w:r w:rsidRPr="00337330">
              <w:rPr>
                <w:color w:val="000000"/>
                <w:sz w:val="18"/>
                <w:szCs w:val="22"/>
              </w:rPr>
              <w:t>Mark Reilly</w:t>
            </w:r>
          </w:p>
        </w:tc>
        <w:tc>
          <w:tcPr>
            <w:tcW w:w="2694" w:type="dxa"/>
            <w:tcBorders>
              <w:top w:val="single" w:sz="4" w:space="0" w:color="A8D08D" w:themeColor="accent6" w:themeTint="99"/>
              <w:bottom w:val="single" w:sz="4" w:space="0" w:color="A8D08D" w:themeColor="accent6" w:themeTint="99"/>
            </w:tcBorders>
            <w:shd w:val="clear" w:color="auto" w:fill="auto"/>
            <w:noWrap/>
            <w:vAlign w:val="bottom"/>
          </w:tcPr>
          <w:p w14:paraId="2B71CCA7" w14:textId="77777777" w:rsidR="00337330" w:rsidRPr="00337330" w:rsidRDefault="00337330" w:rsidP="00337330">
            <w:pPr>
              <w:spacing w:before="20" w:after="20"/>
              <w:rPr>
                <w:color w:val="000000"/>
                <w:sz w:val="18"/>
                <w:szCs w:val="22"/>
              </w:rPr>
            </w:pPr>
            <w:r w:rsidRPr="00337330">
              <w:rPr>
                <w:color w:val="000000"/>
                <w:sz w:val="18"/>
                <w:szCs w:val="22"/>
              </w:rPr>
              <w:t>TAFE Queensland East Coast</w:t>
            </w:r>
          </w:p>
        </w:tc>
        <w:tc>
          <w:tcPr>
            <w:tcW w:w="2976" w:type="dxa"/>
            <w:tcBorders>
              <w:top w:val="single" w:sz="4" w:space="0" w:color="A8D08D" w:themeColor="accent6" w:themeTint="99"/>
              <w:bottom w:val="single" w:sz="4" w:space="0" w:color="A8D08D" w:themeColor="accent6" w:themeTint="99"/>
            </w:tcBorders>
            <w:shd w:val="clear" w:color="auto" w:fill="auto"/>
            <w:noWrap/>
            <w:vAlign w:val="bottom"/>
          </w:tcPr>
          <w:p w14:paraId="47C4E9ED" w14:textId="77777777" w:rsidR="00337330" w:rsidRPr="00337330" w:rsidRDefault="00337330" w:rsidP="00337330">
            <w:pPr>
              <w:spacing w:before="20" w:after="20"/>
              <w:rPr>
                <w:color w:val="000000"/>
                <w:sz w:val="18"/>
                <w:szCs w:val="22"/>
              </w:rPr>
            </w:pPr>
            <w:r w:rsidRPr="00337330">
              <w:rPr>
                <w:color w:val="000000"/>
                <w:sz w:val="18"/>
                <w:szCs w:val="22"/>
              </w:rPr>
              <w:t>Management</w:t>
            </w:r>
          </w:p>
        </w:tc>
      </w:tr>
    </w:tbl>
    <w:p w14:paraId="38B2340F" w14:textId="77777777" w:rsidR="00337330" w:rsidRPr="00337330" w:rsidRDefault="00337330" w:rsidP="00337330"/>
    <w:p w14:paraId="278407DB" w14:textId="77777777" w:rsidR="00337330" w:rsidRDefault="00337330" w:rsidP="00337330">
      <w:pPr>
        <w:keepNext/>
        <w:keepLines/>
        <w:spacing w:before="120"/>
        <w:outlineLvl w:val="0"/>
        <w:rPr>
          <w:rFonts w:cs="Arial"/>
          <w:b/>
          <w:bCs/>
          <w:color w:val="76923C"/>
          <w:sz w:val="24"/>
          <w:szCs w:val="28"/>
        </w:rPr>
      </w:pPr>
      <w:r w:rsidRPr="00337330">
        <w:rPr>
          <w:rFonts w:cs="Arial"/>
          <w:b/>
          <w:bCs/>
          <w:color w:val="76923C"/>
          <w:sz w:val="24"/>
          <w:szCs w:val="28"/>
        </w:rPr>
        <w:t>Australia, other organisations/individuals</w:t>
      </w:r>
    </w:p>
    <w:tbl>
      <w:tblPr>
        <w:tblW w:w="8222" w:type="dxa"/>
        <w:tblInd w:w="108" w:type="dxa"/>
        <w:tblBorders>
          <w:insideH w:val="single" w:sz="4" w:space="0" w:color="A8D08D" w:themeColor="accent6" w:themeTint="99"/>
          <w:insideV w:val="single" w:sz="4" w:space="0" w:color="A8D08D" w:themeColor="accent6" w:themeTint="99"/>
        </w:tblBorders>
        <w:tblLayout w:type="fixed"/>
        <w:tblLook w:val="0000" w:firstRow="0" w:lastRow="0" w:firstColumn="0" w:lastColumn="0" w:noHBand="0" w:noVBand="0"/>
      </w:tblPr>
      <w:tblGrid>
        <w:gridCol w:w="2058"/>
        <w:gridCol w:w="3423"/>
        <w:gridCol w:w="2741"/>
      </w:tblGrid>
      <w:tr w:rsidR="00BB0716" w:rsidRPr="009C2EF1" w14:paraId="50C37E39" w14:textId="77777777" w:rsidTr="00D66E89">
        <w:trPr>
          <w:trHeight w:val="280"/>
        </w:trPr>
        <w:tc>
          <w:tcPr>
            <w:tcW w:w="2058" w:type="dxa"/>
            <w:shd w:val="clear" w:color="auto" w:fill="C5E0B3" w:themeFill="accent6" w:themeFillTint="66"/>
            <w:noWrap/>
            <w:vAlign w:val="bottom"/>
          </w:tcPr>
          <w:p w14:paraId="57D8623F" w14:textId="77777777" w:rsidR="00BB0716" w:rsidRPr="00BB0716" w:rsidRDefault="00BB0716" w:rsidP="0018793F">
            <w:pPr>
              <w:spacing w:before="20" w:after="20"/>
              <w:rPr>
                <w:b/>
                <w:color w:val="000000"/>
                <w:sz w:val="18"/>
                <w:szCs w:val="22"/>
              </w:rPr>
            </w:pPr>
            <w:r w:rsidRPr="00BB0716">
              <w:rPr>
                <w:b/>
                <w:color w:val="000000"/>
                <w:sz w:val="18"/>
                <w:szCs w:val="22"/>
              </w:rPr>
              <w:t>Individual</w:t>
            </w:r>
          </w:p>
        </w:tc>
        <w:tc>
          <w:tcPr>
            <w:tcW w:w="3423" w:type="dxa"/>
            <w:shd w:val="clear" w:color="auto" w:fill="C5E0B3" w:themeFill="accent6" w:themeFillTint="66"/>
            <w:noWrap/>
            <w:vAlign w:val="bottom"/>
          </w:tcPr>
          <w:p w14:paraId="233DE3D4" w14:textId="77777777" w:rsidR="00BB0716" w:rsidRPr="00BB0716" w:rsidRDefault="00BB0716" w:rsidP="0018793F">
            <w:pPr>
              <w:spacing w:before="20" w:after="20"/>
              <w:rPr>
                <w:b/>
                <w:color w:val="000000"/>
                <w:sz w:val="18"/>
                <w:szCs w:val="22"/>
              </w:rPr>
            </w:pPr>
            <w:r w:rsidRPr="00BB0716">
              <w:rPr>
                <w:b/>
                <w:color w:val="000000"/>
                <w:sz w:val="18"/>
                <w:szCs w:val="22"/>
              </w:rPr>
              <w:t>Organisation</w:t>
            </w:r>
          </w:p>
        </w:tc>
        <w:tc>
          <w:tcPr>
            <w:tcW w:w="2741" w:type="dxa"/>
            <w:shd w:val="clear" w:color="auto" w:fill="C5E0B3" w:themeFill="accent6" w:themeFillTint="66"/>
            <w:noWrap/>
            <w:vAlign w:val="bottom"/>
          </w:tcPr>
          <w:p w14:paraId="185A06CC" w14:textId="77777777" w:rsidR="00BB0716" w:rsidRPr="00BB0716" w:rsidRDefault="00BB0716" w:rsidP="0018793F">
            <w:pPr>
              <w:spacing w:before="20" w:after="20"/>
              <w:rPr>
                <w:b/>
                <w:color w:val="000000"/>
                <w:sz w:val="18"/>
                <w:szCs w:val="22"/>
              </w:rPr>
            </w:pPr>
            <w:r w:rsidRPr="00BB0716">
              <w:rPr>
                <w:b/>
                <w:color w:val="000000"/>
                <w:sz w:val="18"/>
                <w:szCs w:val="22"/>
              </w:rPr>
              <w:t>Type of group</w:t>
            </w:r>
          </w:p>
        </w:tc>
      </w:tr>
      <w:tr w:rsidR="00943DC5" w:rsidRPr="00337330" w14:paraId="1C48E8D4" w14:textId="77777777" w:rsidTr="00D66E89">
        <w:trPr>
          <w:trHeight w:val="280"/>
        </w:trPr>
        <w:tc>
          <w:tcPr>
            <w:tcW w:w="2058" w:type="dxa"/>
            <w:shd w:val="clear" w:color="auto" w:fill="auto"/>
            <w:noWrap/>
            <w:vAlign w:val="bottom"/>
          </w:tcPr>
          <w:p w14:paraId="33318431" w14:textId="77777777" w:rsidR="00337330" w:rsidRPr="00337330" w:rsidRDefault="00337330" w:rsidP="00337330">
            <w:pPr>
              <w:spacing w:before="20" w:after="20"/>
              <w:rPr>
                <w:color w:val="000000"/>
                <w:sz w:val="18"/>
                <w:szCs w:val="22"/>
              </w:rPr>
            </w:pPr>
            <w:r w:rsidRPr="00337330">
              <w:rPr>
                <w:color w:val="000000"/>
                <w:sz w:val="18"/>
                <w:szCs w:val="22"/>
              </w:rPr>
              <w:t>Peter Morris</w:t>
            </w:r>
          </w:p>
        </w:tc>
        <w:tc>
          <w:tcPr>
            <w:tcW w:w="3423" w:type="dxa"/>
            <w:shd w:val="clear" w:color="auto" w:fill="auto"/>
            <w:noWrap/>
            <w:vAlign w:val="bottom"/>
          </w:tcPr>
          <w:p w14:paraId="0DA92425" w14:textId="77777777" w:rsidR="00337330" w:rsidRPr="00337330" w:rsidRDefault="00337330" w:rsidP="00337330">
            <w:pPr>
              <w:spacing w:before="20" w:after="20"/>
              <w:rPr>
                <w:color w:val="000000"/>
                <w:sz w:val="18"/>
                <w:szCs w:val="22"/>
              </w:rPr>
            </w:pPr>
            <w:r w:rsidRPr="00337330">
              <w:rPr>
                <w:color w:val="000000"/>
                <w:sz w:val="18"/>
                <w:szCs w:val="22"/>
              </w:rPr>
              <w:t>Pacific TVET expert</w:t>
            </w:r>
          </w:p>
        </w:tc>
        <w:tc>
          <w:tcPr>
            <w:tcW w:w="2741" w:type="dxa"/>
            <w:shd w:val="clear" w:color="auto" w:fill="auto"/>
            <w:noWrap/>
            <w:vAlign w:val="bottom"/>
          </w:tcPr>
          <w:p w14:paraId="2CDC58D7" w14:textId="77777777" w:rsidR="00337330" w:rsidRPr="00337330" w:rsidRDefault="00337330" w:rsidP="00337330">
            <w:pPr>
              <w:spacing w:before="20" w:after="20"/>
              <w:rPr>
                <w:color w:val="000000"/>
                <w:sz w:val="18"/>
                <w:szCs w:val="22"/>
              </w:rPr>
            </w:pPr>
            <w:r w:rsidRPr="00337330">
              <w:rPr>
                <w:color w:val="000000"/>
                <w:sz w:val="18"/>
                <w:szCs w:val="22"/>
              </w:rPr>
              <w:t>Consultant</w:t>
            </w:r>
            <w:r w:rsidR="00365A7C">
              <w:rPr>
                <w:color w:val="000000"/>
                <w:sz w:val="18"/>
                <w:szCs w:val="22"/>
              </w:rPr>
              <w:t xml:space="preserve"> to DFAT</w:t>
            </w:r>
          </w:p>
        </w:tc>
      </w:tr>
      <w:tr w:rsidR="00943DC5" w:rsidRPr="00337330" w14:paraId="00B23E9D" w14:textId="77777777" w:rsidTr="00D66E89">
        <w:trPr>
          <w:trHeight w:val="280"/>
        </w:trPr>
        <w:tc>
          <w:tcPr>
            <w:tcW w:w="2058" w:type="dxa"/>
            <w:shd w:val="clear" w:color="auto" w:fill="auto"/>
            <w:noWrap/>
            <w:vAlign w:val="bottom"/>
          </w:tcPr>
          <w:p w14:paraId="187FDEB4" w14:textId="77777777" w:rsidR="00126023" w:rsidRPr="00337330" w:rsidRDefault="00126023" w:rsidP="00126023">
            <w:pPr>
              <w:spacing w:before="20" w:after="20"/>
              <w:rPr>
                <w:color w:val="000000"/>
                <w:sz w:val="18"/>
                <w:szCs w:val="22"/>
              </w:rPr>
            </w:pPr>
            <w:r w:rsidRPr="00337330">
              <w:rPr>
                <w:color w:val="000000"/>
                <w:sz w:val="18"/>
                <w:szCs w:val="22"/>
              </w:rPr>
              <w:t>Barry Peddle</w:t>
            </w:r>
          </w:p>
        </w:tc>
        <w:tc>
          <w:tcPr>
            <w:tcW w:w="3423" w:type="dxa"/>
            <w:shd w:val="clear" w:color="auto" w:fill="auto"/>
            <w:noWrap/>
            <w:vAlign w:val="bottom"/>
          </w:tcPr>
          <w:p w14:paraId="7C8F4F31" w14:textId="77777777" w:rsidR="00126023" w:rsidRPr="00337330" w:rsidRDefault="00126023" w:rsidP="00126023">
            <w:pPr>
              <w:spacing w:before="20" w:after="20"/>
              <w:rPr>
                <w:color w:val="000000"/>
                <w:sz w:val="18"/>
                <w:szCs w:val="22"/>
              </w:rPr>
            </w:pPr>
            <w:r w:rsidRPr="00337330">
              <w:rPr>
                <w:color w:val="000000"/>
                <w:sz w:val="18"/>
                <w:szCs w:val="22"/>
              </w:rPr>
              <w:t>Former APTC CEO</w:t>
            </w:r>
          </w:p>
        </w:tc>
        <w:tc>
          <w:tcPr>
            <w:tcW w:w="2741" w:type="dxa"/>
            <w:shd w:val="clear" w:color="auto" w:fill="auto"/>
            <w:noWrap/>
            <w:vAlign w:val="bottom"/>
          </w:tcPr>
          <w:p w14:paraId="20DE06A9" w14:textId="77777777" w:rsidR="00126023" w:rsidRPr="00337330" w:rsidRDefault="00126023" w:rsidP="00126023">
            <w:pPr>
              <w:spacing w:before="20" w:after="20"/>
              <w:rPr>
                <w:color w:val="000000"/>
                <w:sz w:val="18"/>
                <w:szCs w:val="22"/>
              </w:rPr>
            </w:pPr>
            <w:r w:rsidRPr="00337330">
              <w:rPr>
                <w:color w:val="000000"/>
                <w:sz w:val="18"/>
                <w:szCs w:val="22"/>
              </w:rPr>
              <w:t>Consultant</w:t>
            </w:r>
          </w:p>
        </w:tc>
      </w:tr>
      <w:tr w:rsidR="00943DC5" w:rsidRPr="00950268" w14:paraId="1081F22D" w14:textId="77777777" w:rsidTr="00D66E89">
        <w:trPr>
          <w:trHeight w:val="280"/>
        </w:trPr>
        <w:tc>
          <w:tcPr>
            <w:tcW w:w="2058" w:type="dxa"/>
            <w:shd w:val="clear" w:color="auto" w:fill="auto"/>
            <w:noWrap/>
            <w:vAlign w:val="bottom"/>
          </w:tcPr>
          <w:p w14:paraId="3418D3C0" w14:textId="77777777" w:rsidR="00365A7C" w:rsidRPr="00126023" w:rsidRDefault="00365A7C" w:rsidP="00E902EA">
            <w:pPr>
              <w:spacing w:before="20" w:after="20"/>
              <w:rPr>
                <w:rFonts w:cstheme="minorBidi"/>
                <w:color w:val="000000"/>
                <w:sz w:val="18"/>
                <w:szCs w:val="22"/>
              </w:rPr>
            </w:pPr>
            <w:r w:rsidRPr="00126023">
              <w:rPr>
                <w:rFonts w:cstheme="minorBidi"/>
                <w:color w:val="000000"/>
                <w:sz w:val="18"/>
                <w:szCs w:val="22"/>
              </w:rPr>
              <w:t>Stephen Kaleb</w:t>
            </w:r>
          </w:p>
        </w:tc>
        <w:tc>
          <w:tcPr>
            <w:tcW w:w="3423" w:type="dxa"/>
            <w:shd w:val="clear" w:color="auto" w:fill="auto"/>
            <w:noWrap/>
            <w:vAlign w:val="bottom"/>
          </w:tcPr>
          <w:p w14:paraId="37803236" w14:textId="08FFF1C6" w:rsidR="00365A7C" w:rsidRPr="001152FB" w:rsidRDefault="00365A7C" w:rsidP="00DD6E3C">
            <w:pPr>
              <w:spacing w:before="20" w:after="20"/>
              <w:rPr>
                <w:rFonts w:cstheme="minorBidi"/>
                <w:color w:val="000000"/>
                <w:sz w:val="18"/>
                <w:szCs w:val="22"/>
              </w:rPr>
            </w:pPr>
            <w:r w:rsidRPr="001152FB">
              <w:rPr>
                <w:rFonts w:cstheme="minorBidi"/>
                <w:color w:val="000000"/>
                <w:sz w:val="18"/>
                <w:szCs w:val="22"/>
              </w:rPr>
              <w:t xml:space="preserve">Labour </w:t>
            </w:r>
            <w:r w:rsidR="00DD6E3C">
              <w:rPr>
                <w:rFonts w:cstheme="minorBidi"/>
                <w:color w:val="000000"/>
                <w:sz w:val="18"/>
                <w:szCs w:val="22"/>
              </w:rPr>
              <w:t>M</w:t>
            </w:r>
            <w:r w:rsidRPr="001152FB">
              <w:rPr>
                <w:rFonts w:cstheme="minorBidi"/>
                <w:color w:val="000000"/>
                <w:sz w:val="18"/>
                <w:szCs w:val="22"/>
              </w:rPr>
              <w:t>obility Section, DFAT</w:t>
            </w:r>
          </w:p>
        </w:tc>
        <w:tc>
          <w:tcPr>
            <w:tcW w:w="2741" w:type="dxa"/>
            <w:shd w:val="clear" w:color="auto" w:fill="auto"/>
            <w:noWrap/>
            <w:vAlign w:val="bottom"/>
          </w:tcPr>
          <w:p w14:paraId="4C1303B4" w14:textId="58603DFD" w:rsidR="00365A7C" w:rsidRPr="00CF6C69" w:rsidRDefault="00365A7C" w:rsidP="00E902EA">
            <w:pPr>
              <w:spacing w:before="20" w:after="20"/>
              <w:rPr>
                <w:rFonts w:cstheme="minorBidi"/>
                <w:color w:val="000000"/>
                <w:sz w:val="18"/>
                <w:szCs w:val="22"/>
              </w:rPr>
            </w:pPr>
            <w:r w:rsidRPr="00CF6C69">
              <w:rPr>
                <w:rFonts w:cstheme="minorBidi"/>
                <w:color w:val="000000"/>
                <w:sz w:val="18"/>
                <w:szCs w:val="22"/>
              </w:rPr>
              <w:t>Development Partner</w:t>
            </w:r>
          </w:p>
        </w:tc>
      </w:tr>
      <w:tr w:rsidR="00943DC5" w:rsidRPr="00337330" w14:paraId="3716D5B6" w14:textId="77777777" w:rsidTr="00D66E89">
        <w:trPr>
          <w:trHeight w:val="280"/>
        </w:trPr>
        <w:tc>
          <w:tcPr>
            <w:tcW w:w="2058" w:type="dxa"/>
            <w:shd w:val="clear" w:color="auto" w:fill="auto"/>
            <w:noWrap/>
            <w:vAlign w:val="bottom"/>
          </w:tcPr>
          <w:p w14:paraId="47EFDC9C" w14:textId="51B04EAA" w:rsidR="00365A7C" w:rsidRDefault="00365A7C" w:rsidP="00E902EA">
            <w:pPr>
              <w:spacing w:before="20" w:after="20"/>
              <w:rPr>
                <w:color w:val="000000"/>
                <w:sz w:val="18"/>
                <w:szCs w:val="22"/>
              </w:rPr>
            </w:pPr>
            <w:r>
              <w:rPr>
                <w:color w:val="000000"/>
                <w:sz w:val="18"/>
                <w:szCs w:val="22"/>
              </w:rPr>
              <w:t>Michael Dean</w:t>
            </w:r>
          </w:p>
        </w:tc>
        <w:tc>
          <w:tcPr>
            <w:tcW w:w="3423" w:type="dxa"/>
            <w:shd w:val="clear" w:color="auto" w:fill="auto"/>
            <w:noWrap/>
          </w:tcPr>
          <w:p w14:paraId="57EF1C3F" w14:textId="77777777" w:rsidR="00365A7C" w:rsidRDefault="00365A7C" w:rsidP="00943DC5">
            <w:pPr>
              <w:spacing w:before="20" w:after="20"/>
              <w:rPr>
                <w:color w:val="000000"/>
                <w:sz w:val="18"/>
                <w:szCs w:val="22"/>
              </w:rPr>
            </w:pPr>
            <w:r w:rsidRPr="00B61B81">
              <w:rPr>
                <w:color w:val="000000"/>
                <w:sz w:val="18"/>
                <w:szCs w:val="22"/>
              </w:rPr>
              <w:t>Director</w:t>
            </w:r>
            <w:r>
              <w:rPr>
                <w:color w:val="000000"/>
                <w:sz w:val="18"/>
                <w:szCs w:val="22"/>
              </w:rPr>
              <w:t>, P</w:t>
            </w:r>
            <w:r w:rsidRPr="00B61B81">
              <w:rPr>
                <w:color w:val="000000"/>
                <w:sz w:val="18"/>
                <w:szCs w:val="22"/>
              </w:rPr>
              <w:t xml:space="preserve">acer Plus </w:t>
            </w:r>
            <w:r>
              <w:rPr>
                <w:color w:val="000000"/>
                <w:sz w:val="18"/>
                <w:szCs w:val="22"/>
              </w:rPr>
              <w:t>Section, DFAT</w:t>
            </w:r>
          </w:p>
        </w:tc>
        <w:tc>
          <w:tcPr>
            <w:tcW w:w="2741" w:type="dxa"/>
            <w:shd w:val="clear" w:color="auto" w:fill="auto"/>
            <w:noWrap/>
          </w:tcPr>
          <w:p w14:paraId="0B1B72FC" w14:textId="77777777" w:rsidR="00365A7C" w:rsidRDefault="00365A7C" w:rsidP="00E902EA">
            <w:pPr>
              <w:spacing w:before="20" w:after="20"/>
              <w:rPr>
                <w:color w:val="000000"/>
                <w:sz w:val="18"/>
                <w:szCs w:val="22"/>
              </w:rPr>
            </w:pPr>
            <w:r>
              <w:rPr>
                <w:color w:val="000000"/>
                <w:sz w:val="18"/>
                <w:szCs w:val="22"/>
              </w:rPr>
              <w:t>Australian Government</w:t>
            </w:r>
          </w:p>
        </w:tc>
      </w:tr>
      <w:tr w:rsidR="00943DC5" w:rsidRPr="00337330" w14:paraId="3C7293B0" w14:textId="77777777" w:rsidTr="00D66E89">
        <w:trPr>
          <w:trHeight w:val="280"/>
        </w:trPr>
        <w:tc>
          <w:tcPr>
            <w:tcW w:w="2058" w:type="dxa"/>
            <w:shd w:val="clear" w:color="auto" w:fill="auto"/>
            <w:noWrap/>
          </w:tcPr>
          <w:p w14:paraId="176B1D5C" w14:textId="77777777" w:rsidR="00126023" w:rsidRDefault="00126023" w:rsidP="00126023">
            <w:pPr>
              <w:spacing w:before="20" w:after="20"/>
              <w:rPr>
                <w:color w:val="000000"/>
                <w:sz w:val="18"/>
                <w:szCs w:val="22"/>
              </w:rPr>
            </w:pPr>
            <w:r w:rsidRPr="00B61B81">
              <w:rPr>
                <w:color w:val="000000"/>
                <w:sz w:val="18"/>
                <w:szCs w:val="22"/>
              </w:rPr>
              <w:t xml:space="preserve">Sophie </w:t>
            </w:r>
            <w:r>
              <w:rPr>
                <w:color w:val="000000"/>
                <w:sz w:val="18"/>
                <w:szCs w:val="22"/>
              </w:rPr>
              <w:t>Montgomery</w:t>
            </w:r>
          </w:p>
        </w:tc>
        <w:tc>
          <w:tcPr>
            <w:tcW w:w="3423" w:type="dxa"/>
            <w:shd w:val="clear" w:color="auto" w:fill="auto"/>
            <w:noWrap/>
          </w:tcPr>
          <w:p w14:paraId="03521423" w14:textId="77777777" w:rsidR="00126023" w:rsidRPr="00B61B81" w:rsidRDefault="00126023" w:rsidP="00126023">
            <w:pPr>
              <w:spacing w:before="20" w:after="20"/>
              <w:rPr>
                <w:color w:val="000000"/>
                <w:sz w:val="18"/>
                <w:szCs w:val="22"/>
              </w:rPr>
            </w:pPr>
            <w:r>
              <w:rPr>
                <w:color w:val="000000"/>
                <w:sz w:val="18"/>
                <w:szCs w:val="22"/>
              </w:rPr>
              <w:t xml:space="preserve">Assistant Secretary, </w:t>
            </w:r>
            <w:r w:rsidRPr="0060172F">
              <w:rPr>
                <w:color w:val="000000"/>
                <w:sz w:val="18"/>
                <w:szCs w:val="22"/>
              </w:rPr>
              <w:t xml:space="preserve">Regulatory Strategy </w:t>
            </w:r>
            <w:r>
              <w:rPr>
                <w:color w:val="000000"/>
                <w:sz w:val="18"/>
                <w:szCs w:val="22"/>
              </w:rPr>
              <w:t xml:space="preserve">&amp; </w:t>
            </w:r>
            <w:r w:rsidRPr="0060172F">
              <w:rPr>
                <w:color w:val="000000"/>
                <w:sz w:val="18"/>
                <w:szCs w:val="22"/>
              </w:rPr>
              <w:t>Special Projects</w:t>
            </w:r>
            <w:r>
              <w:rPr>
                <w:color w:val="000000"/>
                <w:sz w:val="18"/>
                <w:szCs w:val="22"/>
              </w:rPr>
              <w:t xml:space="preserve"> Branch, DIBP</w:t>
            </w:r>
          </w:p>
        </w:tc>
        <w:tc>
          <w:tcPr>
            <w:tcW w:w="2741" w:type="dxa"/>
            <w:shd w:val="clear" w:color="auto" w:fill="auto"/>
            <w:noWrap/>
          </w:tcPr>
          <w:p w14:paraId="7EDB41A7" w14:textId="77777777" w:rsidR="00126023" w:rsidRDefault="00126023" w:rsidP="00126023">
            <w:pPr>
              <w:spacing w:before="20" w:after="20"/>
              <w:rPr>
                <w:color w:val="000000"/>
                <w:sz w:val="18"/>
                <w:szCs w:val="22"/>
              </w:rPr>
            </w:pPr>
            <w:r>
              <w:rPr>
                <w:color w:val="000000"/>
                <w:sz w:val="18"/>
                <w:szCs w:val="22"/>
              </w:rPr>
              <w:t>Australian Government</w:t>
            </w:r>
          </w:p>
        </w:tc>
      </w:tr>
      <w:tr w:rsidR="00943DC5" w:rsidRPr="00337330" w14:paraId="6A7AF3F3" w14:textId="77777777" w:rsidTr="00D66E89">
        <w:trPr>
          <w:trHeight w:val="280"/>
        </w:trPr>
        <w:tc>
          <w:tcPr>
            <w:tcW w:w="2058" w:type="dxa"/>
            <w:shd w:val="clear" w:color="auto" w:fill="auto"/>
            <w:noWrap/>
          </w:tcPr>
          <w:p w14:paraId="71FFB0FB" w14:textId="77777777" w:rsidR="00337330" w:rsidRPr="00337330" w:rsidRDefault="00337330" w:rsidP="003A781E">
            <w:pPr>
              <w:spacing w:before="20" w:after="20"/>
              <w:rPr>
                <w:color w:val="000000"/>
                <w:sz w:val="18"/>
                <w:szCs w:val="22"/>
              </w:rPr>
            </w:pPr>
            <w:r w:rsidRPr="00337330">
              <w:rPr>
                <w:color w:val="000000"/>
                <w:sz w:val="18"/>
                <w:szCs w:val="22"/>
              </w:rPr>
              <w:t>Megan Lilly</w:t>
            </w:r>
          </w:p>
        </w:tc>
        <w:tc>
          <w:tcPr>
            <w:tcW w:w="3423" w:type="dxa"/>
            <w:shd w:val="clear" w:color="auto" w:fill="auto"/>
            <w:noWrap/>
          </w:tcPr>
          <w:p w14:paraId="793586F0" w14:textId="77777777" w:rsidR="00337330" w:rsidRPr="00337330" w:rsidRDefault="00337330" w:rsidP="003A781E">
            <w:pPr>
              <w:spacing w:before="20" w:after="20"/>
              <w:rPr>
                <w:color w:val="000000"/>
                <w:sz w:val="18"/>
                <w:szCs w:val="22"/>
              </w:rPr>
            </w:pPr>
            <w:r w:rsidRPr="00337330">
              <w:rPr>
                <w:color w:val="000000"/>
                <w:sz w:val="18"/>
                <w:szCs w:val="22"/>
              </w:rPr>
              <w:t>Advisory group member</w:t>
            </w:r>
          </w:p>
        </w:tc>
        <w:tc>
          <w:tcPr>
            <w:tcW w:w="2741" w:type="dxa"/>
            <w:shd w:val="clear" w:color="auto" w:fill="auto"/>
            <w:noWrap/>
          </w:tcPr>
          <w:p w14:paraId="1586ABD6" w14:textId="77777777" w:rsidR="00337330" w:rsidRPr="00337330" w:rsidRDefault="00337330" w:rsidP="003A781E">
            <w:pPr>
              <w:spacing w:before="20" w:after="20"/>
              <w:rPr>
                <w:color w:val="000000"/>
                <w:sz w:val="18"/>
                <w:szCs w:val="22"/>
              </w:rPr>
            </w:pPr>
            <w:r w:rsidRPr="00337330">
              <w:rPr>
                <w:color w:val="000000"/>
                <w:sz w:val="18"/>
                <w:szCs w:val="22"/>
              </w:rPr>
              <w:t>Australian Industry Group (AIG)</w:t>
            </w:r>
          </w:p>
        </w:tc>
      </w:tr>
      <w:tr w:rsidR="00943DC5" w:rsidRPr="00337330" w14:paraId="536BD40E" w14:textId="77777777" w:rsidTr="00900F04">
        <w:trPr>
          <w:trHeight w:val="280"/>
        </w:trPr>
        <w:tc>
          <w:tcPr>
            <w:tcW w:w="2058" w:type="dxa"/>
            <w:tcBorders>
              <w:bottom w:val="single" w:sz="4" w:space="0" w:color="A8D08D" w:themeColor="accent6" w:themeTint="99"/>
            </w:tcBorders>
            <w:shd w:val="clear" w:color="auto" w:fill="auto"/>
            <w:noWrap/>
          </w:tcPr>
          <w:p w14:paraId="09EDAEDC" w14:textId="77777777" w:rsidR="00337330" w:rsidRPr="00337330" w:rsidRDefault="00337330" w:rsidP="003A781E">
            <w:pPr>
              <w:spacing w:before="20" w:after="20"/>
              <w:rPr>
                <w:color w:val="000000"/>
                <w:sz w:val="18"/>
                <w:szCs w:val="22"/>
              </w:rPr>
            </w:pPr>
            <w:r w:rsidRPr="00337330">
              <w:rPr>
                <w:color w:val="000000"/>
                <w:sz w:val="18"/>
                <w:szCs w:val="22"/>
              </w:rPr>
              <w:t>Rosemary Woodger</w:t>
            </w:r>
          </w:p>
        </w:tc>
        <w:tc>
          <w:tcPr>
            <w:tcW w:w="3423" w:type="dxa"/>
            <w:tcBorders>
              <w:bottom w:val="single" w:sz="4" w:space="0" w:color="A8D08D" w:themeColor="accent6" w:themeTint="99"/>
            </w:tcBorders>
            <w:shd w:val="clear" w:color="auto" w:fill="auto"/>
            <w:noWrap/>
          </w:tcPr>
          <w:p w14:paraId="7E59F1E1" w14:textId="77777777" w:rsidR="00337330" w:rsidRPr="00337330" w:rsidRDefault="00337330" w:rsidP="003A781E">
            <w:pPr>
              <w:spacing w:before="20" w:after="20"/>
              <w:rPr>
                <w:color w:val="000000"/>
                <w:sz w:val="18"/>
                <w:szCs w:val="22"/>
              </w:rPr>
            </w:pPr>
            <w:r w:rsidRPr="00337330">
              <w:rPr>
                <w:color w:val="000000"/>
                <w:sz w:val="18"/>
                <w:szCs w:val="22"/>
              </w:rPr>
              <w:t>Acting CEO, VETASSESS</w:t>
            </w:r>
          </w:p>
        </w:tc>
        <w:tc>
          <w:tcPr>
            <w:tcW w:w="2741" w:type="dxa"/>
            <w:tcBorders>
              <w:bottom w:val="single" w:sz="4" w:space="0" w:color="A8D08D" w:themeColor="accent6" w:themeTint="99"/>
            </w:tcBorders>
            <w:shd w:val="clear" w:color="auto" w:fill="auto"/>
            <w:noWrap/>
          </w:tcPr>
          <w:p w14:paraId="5BA13B46" w14:textId="781D2E88" w:rsidR="00337330" w:rsidRPr="00337330" w:rsidRDefault="00974AC9" w:rsidP="003A781E">
            <w:pPr>
              <w:spacing w:before="20" w:after="20"/>
              <w:rPr>
                <w:color w:val="000000"/>
                <w:sz w:val="18"/>
                <w:szCs w:val="22"/>
              </w:rPr>
            </w:pPr>
            <w:r>
              <w:rPr>
                <w:color w:val="000000"/>
                <w:sz w:val="18"/>
                <w:szCs w:val="22"/>
              </w:rPr>
              <w:t>Specialist</w:t>
            </w:r>
            <w:r w:rsidR="00337330" w:rsidRPr="00337330">
              <w:rPr>
                <w:color w:val="000000"/>
                <w:sz w:val="18"/>
                <w:szCs w:val="22"/>
              </w:rPr>
              <w:t xml:space="preserve"> TVET assessment body</w:t>
            </w:r>
          </w:p>
        </w:tc>
      </w:tr>
      <w:tr w:rsidR="00943DC5" w:rsidRPr="00337330" w14:paraId="3ED1BBED" w14:textId="77777777" w:rsidTr="00900F04">
        <w:trPr>
          <w:trHeight w:val="280"/>
        </w:trPr>
        <w:tc>
          <w:tcPr>
            <w:tcW w:w="2058" w:type="dxa"/>
            <w:tcBorders>
              <w:top w:val="single" w:sz="4" w:space="0" w:color="A8D08D" w:themeColor="accent6" w:themeTint="99"/>
              <w:bottom w:val="single" w:sz="4" w:space="0" w:color="A8D08D" w:themeColor="accent6" w:themeTint="99"/>
            </w:tcBorders>
            <w:shd w:val="clear" w:color="auto" w:fill="auto"/>
            <w:noWrap/>
          </w:tcPr>
          <w:p w14:paraId="6AB2FEF1" w14:textId="77777777" w:rsidR="00337330" w:rsidRPr="00337330" w:rsidRDefault="00337330" w:rsidP="003A781E">
            <w:pPr>
              <w:spacing w:before="20" w:after="20"/>
              <w:rPr>
                <w:color w:val="000000"/>
                <w:sz w:val="18"/>
                <w:szCs w:val="22"/>
              </w:rPr>
            </w:pPr>
            <w:r w:rsidRPr="00337330">
              <w:rPr>
                <w:color w:val="000000"/>
                <w:sz w:val="18"/>
                <w:szCs w:val="22"/>
              </w:rPr>
              <w:t>Michelle Lucas</w:t>
            </w:r>
          </w:p>
        </w:tc>
        <w:tc>
          <w:tcPr>
            <w:tcW w:w="3423" w:type="dxa"/>
            <w:tcBorders>
              <w:top w:val="single" w:sz="4" w:space="0" w:color="A8D08D" w:themeColor="accent6" w:themeTint="99"/>
              <w:bottom w:val="single" w:sz="4" w:space="0" w:color="A8D08D" w:themeColor="accent6" w:themeTint="99"/>
            </w:tcBorders>
            <w:shd w:val="clear" w:color="auto" w:fill="auto"/>
            <w:noWrap/>
          </w:tcPr>
          <w:p w14:paraId="6FEB45EE" w14:textId="77777777" w:rsidR="00337330" w:rsidRPr="00337330" w:rsidRDefault="00337330" w:rsidP="003A781E">
            <w:pPr>
              <w:spacing w:before="20" w:after="20"/>
              <w:rPr>
                <w:color w:val="000000"/>
                <w:sz w:val="18"/>
                <w:szCs w:val="22"/>
              </w:rPr>
            </w:pPr>
            <w:r w:rsidRPr="00337330">
              <w:rPr>
                <w:color w:val="000000"/>
                <w:sz w:val="18"/>
                <w:szCs w:val="22"/>
              </w:rPr>
              <w:t>Manager Skills Recognition International, VETASSESS</w:t>
            </w:r>
          </w:p>
        </w:tc>
        <w:tc>
          <w:tcPr>
            <w:tcW w:w="2741" w:type="dxa"/>
            <w:tcBorders>
              <w:top w:val="single" w:sz="4" w:space="0" w:color="A8D08D" w:themeColor="accent6" w:themeTint="99"/>
              <w:bottom w:val="single" w:sz="4" w:space="0" w:color="A8D08D" w:themeColor="accent6" w:themeTint="99"/>
            </w:tcBorders>
            <w:shd w:val="clear" w:color="auto" w:fill="auto"/>
            <w:noWrap/>
          </w:tcPr>
          <w:p w14:paraId="2FE6A842" w14:textId="77777777" w:rsidR="00337330" w:rsidRPr="00337330" w:rsidRDefault="00337330" w:rsidP="003A781E">
            <w:pPr>
              <w:spacing w:before="20" w:after="20"/>
              <w:rPr>
                <w:color w:val="000000"/>
                <w:sz w:val="18"/>
                <w:szCs w:val="22"/>
              </w:rPr>
            </w:pPr>
            <w:r w:rsidRPr="00337330">
              <w:rPr>
                <w:color w:val="000000"/>
                <w:sz w:val="18"/>
                <w:szCs w:val="22"/>
              </w:rPr>
              <w:t>Specialist TVET assessment body</w:t>
            </w:r>
          </w:p>
        </w:tc>
      </w:tr>
    </w:tbl>
    <w:p w14:paraId="79BF00B9" w14:textId="77777777" w:rsidR="008F00FD" w:rsidRDefault="008F00FD" w:rsidP="008F00FD"/>
    <w:p w14:paraId="428FB938" w14:textId="77777777" w:rsidR="00C728AA" w:rsidRDefault="00C728AA" w:rsidP="008F00FD"/>
    <w:p w14:paraId="2F8BB8D0" w14:textId="77777777" w:rsidR="008F00FD" w:rsidRPr="00C645FA" w:rsidRDefault="008F00FD" w:rsidP="002028A6">
      <w:pPr>
        <w:pStyle w:val="Heading1"/>
      </w:pPr>
      <w:bookmarkStart w:id="100" w:name="_Toc278447830"/>
      <w:bookmarkStart w:id="101" w:name="_Toc278453303"/>
      <w:r w:rsidRPr="00C645FA">
        <w:t>SAMOA</w:t>
      </w:r>
      <w:bookmarkEnd w:id="100"/>
      <w:bookmarkEnd w:id="101"/>
    </w:p>
    <w:p w14:paraId="5463F317" w14:textId="77777777" w:rsidR="00DD6E3C" w:rsidRDefault="008F00FD" w:rsidP="008F00FD">
      <w:pPr>
        <w:rPr>
          <w:b/>
        </w:rPr>
      </w:pPr>
      <w:r w:rsidRPr="00D9489F">
        <w:rPr>
          <w:b/>
        </w:rPr>
        <w:t xml:space="preserve">APTC students – </w:t>
      </w:r>
      <w:r w:rsidRPr="00DD6E3C">
        <w:t>21 individuals</w:t>
      </w:r>
      <w:r w:rsidR="00BB0716">
        <w:rPr>
          <w:b/>
        </w:rPr>
        <w:tab/>
      </w:r>
      <w:r w:rsidR="00BB0716">
        <w:rPr>
          <w:b/>
        </w:rPr>
        <w:tab/>
      </w:r>
    </w:p>
    <w:p w14:paraId="374E21D7" w14:textId="1971AE2C" w:rsidR="002A761F" w:rsidRPr="00D9489F" w:rsidRDefault="002A761F" w:rsidP="008F00FD">
      <w:pPr>
        <w:rPr>
          <w:b/>
        </w:rPr>
      </w:pPr>
      <w:r>
        <w:rPr>
          <w:b/>
        </w:rPr>
        <w:t xml:space="preserve">APTC graduates </w:t>
      </w:r>
      <w:r w:rsidR="00B75C5C">
        <w:rPr>
          <w:b/>
        </w:rPr>
        <w:t>–</w:t>
      </w:r>
      <w:r>
        <w:rPr>
          <w:b/>
        </w:rPr>
        <w:t xml:space="preserve"> </w:t>
      </w:r>
      <w:r w:rsidR="00B75C5C" w:rsidRPr="00DD6E3C">
        <w:t xml:space="preserve">24 </w:t>
      </w:r>
      <w:r w:rsidR="000F0E6E" w:rsidRPr="00DD6E3C">
        <w:t>individuals</w:t>
      </w:r>
    </w:p>
    <w:p w14:paraId="42923610" w14:textId="66E165B6" w:rsidR="008F00FD" w:rsidRPr="004168C2" w:rsidRDefault="008F00FD" w:rsidP="008F00FD">
      <w:pPr>
        <w:rPr>
          <w:b/>
        </w:rPr>
      </w:pPr>
      <w:r w:rsidRPr="004168C2">
        <w:rPr>
          <w:b/>
        </w:rPr>
        <w:t>APTC management</w:t>
      </w:r>
      <w:r w:rsidR="002A761F">
        <w:rPr>
          <w:b/>
        </w:rPr>
        <w:t xml:space="preserve"> and</w:t>
      </w:r>
      <w:r w:rsidRPr="004168C2">
        <w:rPr>
          <w:b/>
        </w:rPr>
        <w:t xml:space="preserve"> staff </w:t>
      </w:r>
    </w:p>
    <w:tbl>
      <w:tblPr>
        <w:tblW w:w="8222" w:type="dxa"/>
        <w:tblInd w:w="103" w:type="dxa"/>
        <w:tblBorders>
          <w:insideH w:val="single" w:sz="4" w:space="0" w:color="A8D08D" w:themeColor="accent6" w:themeTint="99"/>
          <w:insideV w:val="single" w:sz="4" w:space="0" w:color="A8D08D" w:themeColor="accent6" w:themeTint="99"/>
        </w:tblBorders>
        <w:tblLayout w:type="fixed"/>
        <w:tblLook w:val="0000" w:firstRow="0" w:lastRow="0" w:firstColumn="0" w:lastColumn="0" w:noHBand="0" w:noVBand="0"/>
      </w:tblPr>
      <w:tblGrid>
        <w:gridCol w:w="1990"/>
        <w:gridCol w:w="1843"/>
        <w:gridCol w:w="567"/>
        <w:gridCol w:w="2409"/>
        <w:gridCol w:w="1413"/>
      </w:tblGrid>
      <w:tr w:rsidR="002C6D78" w:rsidRPr="009B1BE5" w14:paraId="06B522F1" w14:textId="01C1C8AE" w:rsidTr="00DD6E3C">
        <w:trPr>
          <w:trHeight w:val="280"/>
        </w:trPr>
        <w:tc>
          <w:tcPr>
            <w:tcW w:w="1990" w:type="dxa"/>
            <w:shd w:val="clear" w:color="auto" w:fill="auto"/>
            <w:noWrap/>
            <w:vAlign w:val="bottom"/>
          </w:tcPr>
          <w:p w14:paraId="7E30CAEA"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Anisefo Chanting</w:t>
            </w:r>
          </w:p>
        </w:tc>
        <w:tc>
          <w:tcPr>
            <w:tcW w:w="1843" w:type="dxa"/>
            <w:shd w:val="clear" w:color="auto" w:fill="auto"/>
            <w:noWrap/>
            <w:vAlign w:val="bottom"/>
          </w:tcPr>
          <w:p w14:paraId="30E581AC"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Administration</w:t>
            </w:r>
          </w:p>
        </w:tc>
        <w:tc>
          <w:tcPr>
            <w:tcW w:w="567" w:type="dxa"/>
          </w:tcPr>
          <w:p w14:paraId="60A9FBBA" w14:textId="77777777" w:rsidR="002C6D78" w:rsidRPr="009B1BE5" w:rsidRDefault="002C6D78" w:rsidP="001F60F2">
            <w:pPr>
              <w:spacing w:before="20" w:after="20"/>
              <w:rPr>
                <w:rFonts w:cstheme="minorBidi"/>
                <w:color w:val="000000"/>
                <w:sz w:val="18"/>
                <w:szCs w:val="22"/>
              </w:rPr>
            </w:pPr>
          </w:p>
        </w:tc>
        <w:tc>
          <w:tcPr>
            <w:tcW w:w="2409" w:type="dxa"/>
            <w:shd w:val="clear" w:color="auto" w:fill="auto"/>
            <w:vAlign w:val="bottom"/>
          </w:tcPr>
          <w:p w14:paraId="023C5AD6" w14:textId="286909CE" w:rsidR="002C6D78" w:rsidRPr="009B1BE5" w:rsidRDefault="002C6D78" w:rsidP="001F60F2">
            <w:pPr>
              <w:spacing w:before="20" w:after="20"/>
            </w:pPr>
            <w:r w:rsidRPr="009B1BE5">
              <w:rPr>
                <w:rFonts w:cstheme="minorBidi"/>
                <w:color w:val="000000"/>
                <w:sz w:val="18"/>
                <w:szCs w:val="22"/>
              </w:rPr>
              <w:t>Aaitui Palaamo</w:t>
            </w:r>
          </w:p>
        </w:tc>
        <w:tc>
          <w:tcPr>
            <w:tcW w:w="1413" w:type="dxa"/>
            <w:shd w:val="clear" w:color="auto" w:fill="auto"/>
            <w:vAlign w:val="bottom"/>
          </w:tcPr>
          <w:p w14:paraId="607569E2" w14:textId="2C582999" w:rsidR="002C6D78" w:rsidRPr="009B1BE5" w:rsidRDefault="002C6D78" w:rsidP="001F60F2">
            <w:pPr>
              <w:spacing w:before="20" w:after="20"/>
            </w:pPr>
            <w:r w:rsidRPr="009B1BE5">
              <w:rPr>
                <w:rFonts w:cstheme="minorBidi"/>
                <w:color w:val="000000"/>
                <w:sz w:val="18"/>
                <w:szCs w:val="22"/>
              </w:rPr>
              <w:t>Tutor</w:t>
            </w:r>
          </w:p>
        </w:tc>
      </w:tr>
      <w:tr w:rsidR="002C6D78" w:rsidRPr="009B1BE5" w14:paraId="3C6FF812" w14:textId="4D409771" w:rsidTr="00DD6E3C">
        <w:trPr>
          <w:trHeight w:val="280"/>
        </w:trPr>
        <w:tc>
          <w:tcPr>
            <w:tcW w:w="1990" w:type="dxa"/>
            <w:shd w:val="clear" w:color="auto" w:fill="auto"/>
            <w:noWrap/>
            <w:vAlign w:val="bottom"/>
          </w:tcPr>
          <w:p w14:paraId="6E0A35BD"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Christabelle Schuster</w:t>
            </w:r>
          </w:p>
        </w:tc>
        <w:tc>
          <w:tcPr>
            <w:tcW w:w="1843" w:type="dxa"/>
            <w:shd w:val="clear" w:color="auto" w:fill="auto"/>
            <w:noWrap/>
            <w:vAlign w:val="bottom"/>
          </w:tcPr>
          <w:p w14:paraId="18BC8AB9"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Administration</w:t>
            </w:r>
          </w:p>
        </w:tc>
        <w:tc>
          <w:tcPr>
            <w:tcW w:w="567" w:type="dxa"/>
          </w:tcPr>
          <w:p w14:paraId="30F429D9" w14:textId="77777777" w:rsidR="002C6D78" w:rsidRPr="009B1BE5" w:rsidRDefault="002C6D78" w:rsidP="001F60F2">
            <w:pPr>
              <w:spacing w:before="20" w:after="20"/>
              <w:rPr>
                <w:rFonts w:cstheme="minorBidi"/>
                <w:color w:val="000000"/>
                <w:sz w:val="18"/>
                <w:szCs w:val="22"/>
              </w:rPr>
            </w:pPr>
          </w:p>
        </w:tc>
        <w:tc>
          <w:tcPr>
            <w:tcW w:w="2409" w:type="dxa"/>
            <w:shd w:val="clear" w:color="auto" w:fill="auto"/>
            <w:vAlign w:val="bottom"/>
          </w:tcPr>
          <w:p w14:paraId="41FEA11E" w14:textId="742B01E2" w:rsidR="002C6D78" w:rsidRPr="009B1BE5" w:rsidRDefault="002C6D78" w:rsidP="001F60F2">
            <w:pPr>
              <w:spacing w:before="20" w:after="20"/>
            </w:pPr>
            <w:r w:rsidRPr="009B1BE5">
              <w:rPr>
                <w:rFonts w:cstheme="minorBidi"/>
                <w:color w:val="000000"/>
                <w:sz w:val="18"/>
                <w:szCs w:val="22"/>
              </w:rPr>
              <w:t>Daniella AhLeong - Leota</w:t>
            </w:r>
          </w:p>
        </w:tc>
        <w:tc>
          <w:tcPr>
            <w:tcW w:w="1413" w:type="dxa"/>
            <w:shd w:val="clear" w:color="auto" w:fill="auto"/>
            <w:vAlign w:val="bottom"/>
          </w:tcPr>
          <w:p w14:paraId="6077D849" w14:textId="5B14F78D" w:rsidR="002C6D78" w:rsidRPr="009B1BE5" w:rsidRDefault="002C6D78" w:rsidP="001F60F2">
            <w:pPr>
              <w:spacing w:before="20" w:after="20"/>
            </w:pPr>
            <w:r w:rsidRPr="009B1BE5">
              <w:rPr>
                <w:rFonts w:cstheme="minorBidi"/>
                <w:color w:val="000000"/>
                <w:sz w:val="18"/>
                <w:szCs w:val="22"/>
              </w:rPr>
              <w:t>Tutor</w:t>
            </w:r>
          </w:p>
        </w:tc>
      </w:tr>
      <w:tr w:rsidR="002C6D78" w:rsidRPr="009B1BE5" w14:paraId="730563FF" w14:textId="4E69B743" w:rsidTr="00DD6E3C">
        <w:trPr>
          <w:trHeight w:val="280"/>
        </w:trPr>
        <w:tc>
          <w:tcPr>
            <w:tcW w:w="1990" w:type="dxa"/>
            <w:shd w:val="clear" w:color="auto" w:fill="auto"/>
            <w:noWrap/>
            <w:vAlign w:val="bottom"/>
          </w:tcPr>
          <w:p w14:paraId="2E8C9E4F"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Donna Stanley</w:t>
            </w:r>
          </w:p>
        </w:tc>
        <w:tc>
          <w:tcPr>
            <w:tcW w:w="1843" w:type="dxa"/>
            <w:shd w:val="clear" w:color="auto" w:fill="auto"/>
            <w:noWrap/>
            <w:vAlign w:val="bottom"/>
          </w:tcPr>
          <w:p w14:paraId="63A21962"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Administration</w:t>
            </w:r>
          </w:p>
        </w:tc>
        <w:tc>
          <w:tcPr>
            <w:tcW w:w="567" w:type="dxa"/>
          </w:tcPr>
          <w:p w14:paraId="7C811254" w14:textId="77777777" w:rsidR="002C6D78" w:rsidRPr="009B1BE5" w:rsidRDefault="002C6D78" w:rsidP="001F60F2">
            <w:pPr>
              <w:spacing w:before="20" w:after="20"/>
              <w:rPr>
                <w:rFonts w:cstheme="minorBidi"/>
                <w:color w:val="000000"/>
                <w:sz w:val="18"/>
                <w:szCs w:val="22"/>
              </w:rPr>
            </w:pPr>
          </w:p>
        </w:tc>
        <w:tc>
          <w:tcPr>
            <w:tcW w:w="2409" w:type="dxa"/>
            <w:shd w:val="clear" w:color="auto" w:fill="auto"/>
            <w:vAlign w:val="bottom"/>
          </w:tcPr>
          <w:p w14:paraId="48A8536A" w14:textId="21F62F4B" w:rsidR="002C6D78" w:rsidRPr="009B1BE5" w:rsidRDefault="002C6D78" w:rsidP="001F60F2">
            <w:pPr>
              <w:spacing w:before="20" w:after="20"/>
            </w:pPr>
            <w:r w:rsidRPr="009B1BE5">
              <w:rPr>
                <w:rFonts w:cstheme="minorBidi"/>
                <w:color w:val="000000"/>
                <w:sz w:val="18"/>
                <w:szCs w:val="22"/>
              </w:rPr>
              <w:t>Devendhran Reddy</w:t>
            </w:r>
          </w:p>
        </w:tc>
        <w:tc>
          <w:tcPr>
            <w:tcW w:w="1413" w:type="dxa"/>
            <w:shd w:val="clear" w:color="auto" w:fill="auto"/>
            <w:vAlign w:val="bottom"/>
          </w:tcPr>
          <w:p w14:paraId="7C94EDAF" w14:textId="60EFD7AA" w:rsidR="002C6D78" w:rsidRPr="009B1BE5" w:rsidRDefault="002C6D78" w:rsidP="001F60F2">
            <w:pPr>
              <w:spacing w:before="20" w:after="20"/>
            </w:pPr>
            <w:r w:rsidRPr="009B1BE5">
              <w:rPr>
                <w:rFonts w:cstheme="minorBidi"/>
                <w:color w:val="000000"/>
                <w:sz w:val="18"/>
                <w:szCs w:val="22"/>
              </w:rPr>
              <w:t>Tutor</w:t>
            </w:r>
          </w:p>
        </w:tc>
      </w:tr>
      <w:tr w:rsidR="002C6D78" w:rsidRPr="009B1BE5" w14:paraId="070FCDBD" w14:textId="6C317065" w:rsidTr="00DD6E3C">
        <w:trPr>
          <w:trHeight w:val="280"/>
        </w:trPr>
        <w:tc>
          <w:tcPr>
            <w:tcW w:w="1990" w:type="dxa"/>
            <w:shd w:val="clear" w:color="auto" w:fill="auto"/>
            <w:noWrap/>
            <w:vAlign w:val="bottom"/>
          </w:tcPr>
          <w:p w14:paraId="30DA3363"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Patricia Pulegs</w:t>
            </w:r>
          </w:p>
        </w:tc>
        <w:tc>
          <w:tcPr>
            <w:tcW w:w="1843" w:type="dxa"/>
            <w:shd w:val="clear" w:color="auto" w:fill="auto"/>
            <w:noWrap/>
            <w:vAlign w:val="bottom"/>
          </w:tcPr>
          <w:p w14:paraId="3DF21948"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Administration</w:t>
            </w:r>
          </w:p>
        </w:tc>
        <w:tc>
          <w:tcPr>
            <w:tcW w:w="567" w:type="dxa"/>
          </w:tcPr>
          <w:p w14:paraId="3A89B6E2" w14:textId="77777777" w:rsidR="002C6D78" w:rsidRPr="009B1BE5" w:rsidRDefault="002C6D78" w:rsidP="001F60F2">
            <w:pPr>
              <w:spacing w:before="20" w:after="20"/>
              <w:rPr>
                <w:rFonts w:cstheme="minorBidi"/>
                <w:color w:val="000000"/>
                <w:sz w:val="18"/>
                <w:szCs w:val="22"/>
              </w:rPr>
            </w:pPr>
          </w:p>
        </w:tc>
        <w:tc>
          <w:tcPr>
            <w:tcW w:w="2409" w:type="dxa"/>
            <w:shd w:val="clear" w:color="auto" w:fill="auto"/>
            <w:vAlign w:val="bottom"/>
          </w:tcPr>
          <w:p w14:paraId="3FB1B227" w14:textId="7EA928A8" w:rsidR="002C6D78" w:rsidRPr="009B1BE5" w:rsidRDefault="002C6D78" w:rsidP="001F60F2">
            <w:pPr>
              <w:spacing w:before="20" w:after="20"/>
            </w:pPr>
            <w:r w:rsidRPr="009B1BE5">
              <w:rPr>
                <w:rFonts w:cstheme="minorBidi"/>
                <w:color w:val="000000"/>
                <w:sz w:val="18"/>
                <w:szCs w:val="22"/>
              </w:rPr>
              <w:t>Keri Lino</w:t>
            </w:r>
          </w:p>
        </w:tc>
        <w:tc>
          <w:tcPr>
            <w:tcW w:w="1413" w:type="dxa"/>
            <w:shd w:val="clear" w:color="auto" w:fill="auto"/>
            <w:vAlign w:val="bottom"/>
          </w:tcPr>
          <w:p w14:paraId="1F0C4588" w14:textId="4B702D3F" w:rsidR="002C6D78" w:rsidRPr="009B1BE5" w:rsidRDefault="002C6D78" w:rsidP="001F60F2">
            <w:pPr>
              <w:spacing w:before="20" w:after="20"/>
            </w:pPr>
            <w:r w:rsidRPr="009B1BE5">
              <w:rPr>
                <w:rFonts w:cstheme="minorBidi"/>
                <w:color w:val="000000"/>
                <w:sz w:val="18"/>
                <w:szCs w:val="22"/>
              </w:rPr>
              <w:t>Tutor</w:t>
            </w:r>
          </w:p>
        </w:tc>
      </w:tr>
      <w:tr w:rsidR="002C6D78" w:rsidRPr="009B1BE5" w14:paraId="4F830E5F" w14:textId="29849AD0" w:rsidTr="00DD6E3C">
        <w:trPr>
          <w:trHeight w:val="280"/>
        </w:trPr>
        <w:tc>
          <w:tcPr>
            <w:tcW w:w="1990" w:type="dxa"/>
            <w:shd w:val="clear" w:color="auto" w:fill="auto"/>
            <w:noWrap/>
            <w:vAlign w:val="bottom"/>
          </w:tcPr>
          <w:p w14:paraId="045477A6"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Rita Malele</w:t>
            </w:r>
          </w:p>
        </w:tc>
        <w:tc>
          <w:tcPr>
            <w:tcW w:w="1843" w:type="dxa"/>
            <w:shd w:val="clear" w:color="auto" w:fill="auto"/>
            <w:noWrap/>
            <w:vAlign w:val="bottom"/>
          </w:tcPr>
          <w:p w14:paraId="377EC052"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Administration</w:t>
            </w:r>
          </w:p>
        </w:tc>
        <w:tc>
          <w:tcPr>
            <w:tcW w:w="567" w:type="dxa"/>
          </w:tcPr>
          <w:p w14:paraId="54951E73" w14:textId="77777777" w:rsidR="002C6D78" w:rsidRPr="009B1BE5" w:rsidRDefault="002C6D78" w:rsidP="001F60F2">
            <w:pPr>
              <w:spacing w:before="20" w:after="20"/>
              <w:rPr>
                <w:rFonts w:cstheme="minorBidi"/>
                <w:color w:val="000000"/>
                <w:sz w:val="18"/>
                <w:szCs w:val="22"/>
              </w:rPr>
            </w:pPr>
          </w:p>
        </w:tc>
        <w:tc>
          <w:tcPr>
            <w:tcW w:w="2409" w:type="dxa"/>
            <w:shd w:val="clear" w:color="auto" w:fill="auto"/>
            <w:vAlign w:val="bottom"/>
          </w:tcPr>
          <w:p w14:paraId="5F33D7A1" w14:textId="5039CDB3" w:rsidR="002C6D78" w:rsidRPr="009B1BE5" w:rsidRDefault="002C6D78" w:rsidP="001F60F2">
            <w:pPr>
              <w:spacing w:before="20" w:after="20"/>
            </w:pPr>
            <w:r w:rsidRPr="009B1BE5">
              <w:rPr>
                <w:rFonts w:cstheme="minorBidi"/>
                <w:color w:val="000000"/>
                <w:sz w:val="18"/>
                <w:szCs w:val="22"/>
              </w:rPr>
              <w:t>Lina Visinia</w:t>
            </w:r>
          </w:p>
        </w:tc>
        <w:tc>
          <w:tcPr>
            <w:tcW w:w="1413" w:type="dxa"/>
            <w:shd w:val="clear" w:color="auto" w:fill="auto"/>
            <w:vAlign w:val="bottom"/>
          </w:tcPr>
          <w:p w14:paraId="62E432EC" w14:textId="12F9B2A4" w:rsidR="002C6D78" w:rsidRPr="009B1BE5" w:rsidRDefault="002C6D78" w:rsidP="001F60F2">
            <w:pPr>
              <w:spacing w:before="20" w:after="20"/>
            </w:pPr>
            <w:r w:rsidRPr="009B1BE5">
              <w:rPr>
                <w:rFonts w:cstheme="minorBidi"/>
                <w:color w:val="000000"/>
                <w:sz w:val="18"/>
                <w:szCs w:val="22"/>
              </w:rPr>
              <w:t>Tutor</w:t>
            </w:r>
          </w:p>
        </w:tc>
      </w:tr>
      <w:tr w:rsidR="002C6D78" w:rsidRPr="009B1BE5" w14:paraId="7F08BB1D" w14:textId="10470656" w:rsidTr="00DD6E3C">
        <w:trPr>
          <w:trHeight w:val="280"/>
        </w:trPr>
        <w:tc>
          <w:tcPr>
            <w:tcW w:w="1990" w:type="dxa"/>
            <w:shd w:val="clear" w:color="auto" w:fill="auto"/>
            <w:noWrap/>
            <w:vAlign w:val="bottom"/>
          </w:tcPr>
          <w:p w14:paraId="71CB39C3"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Ruta Tofaeono</w:t>
            </w:r>
          </w:p>
        </w:tc>
        <w:tc>
          <w:tcPr>
            <w:tcW w:w="1843" w:type="dxa"/>
            <w:shd w:val="clear" w:color="auto" w:fill="auto"/>
            <w:noWrap/>
            <w:vAlign w:val="bottom"/>
          </w:tcPr>
          <w:p w14:paraId="1C73D338"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Administration</w:t>
            </w:r>
          </w:p>
        </w:tc>
        <w:tc>
          <w:tcPr>
            <w:tcW w:w="567" w:type="dxa"/>
          </w:tcPr>
          <w:p w14:paraId="4D4B3B01" w14:textId="77777777" w:rsidR="002C6D78" w:rsidRPr="009B1BE5" w:rsidRDefault="002C6D78" w:rsidP="001F60F2">
            <w:pPr>
              <w:spacing w:before="20" w:after="20"/>
              <w:rPr>
                <w:rFonts w:cstheme="minorBidi"/>
                <w:color w:val="000000"/>
                <w:sz w:val="18"/>
                <w:szCs w:val="22"/>
              </w:rPr>
            </w:pPr>
          </w:p>
        </w:tc>
        <w:tc>
          <w:tcPr>
            <w:tcW w:w="2409" w:type="dxa"/>
            <w:shd w:val="clear" w:color="auto" w:fill="auto"/>
            <w:vAlign w:val="bottom"/>
          </w:tcPr>
          <w:p w14:paraId="0FCAD308" w14:textId="77BDF41F" w:rsidR="002C6D78" w:rsidRPr="009B1BE5" w:rsidRDefault="002C6D78" w:rsidP="001F60F2">
            <w:pPr>
              <w:spacing w:before="20" w:after="20"/>
            </w:pPr>
            <w:r w:rsidRPr="009B1BE5">
              <w:rPr>
                <w:rFonts w:cstheme="minorBidi"/>
                <w:color w:val="000000"/>
                <w:sz w:val="18"/>
                <w:szCs w:val="22"/>
              </w:rPr>
              <w:t>Naomi Asi</w:t>
            </w:r>
          </w:p>
        </w:tc>
        <w:tc>
          <w:tcPr>
            <w:tcW w:w="1413" w:type="dxa"/>
            <w:shd w:val="clear" w:color="auto" w:fill="auto"/>
            <w:vAlign w:val="bottom"/>
          </w:tcPr>
          <w:p w14:paraId="730E9FD0" w14:textId="486AA9EC" w:rsidR="002C6D78" w:rsidRPr="009B1BE5" w:rsidRDefault="002C6D78" w:rsidP="001F60F2">
            <w:pPr>
              <w:spacing w:before="20" w:after="20"/>
            </w:pPr>
            <w:r w:rsidRPr="009B1BE5">
              <w:rPr>
                <w:rFonts w:cstheme="minorBidi"/>
                <w:color w:val="000000"/>
                <w:sz w:val="18"/>
                <w:szCs w:val="22"/>
              </w:rPr>
              <w:t>Tutor</w:t>
            </w:r>
          </w:p>
        </w:tc>
      </w:tr>
      <w:tr w:rsidR="002C6D78" w:rsidRPr="009B1BE5" w14:paraId="7A5EB30C" w14:textId="3F05A065" w:rsidTr="00DD6E3C">
        <w:trPr>
          <w:trHeight w:val="280"/>
        </w:trPr>
        <w:tc>
          <w:tcPr>
            <w:tcW w:w="1990" w:type="dxa"/>
            <w:shd w:val="clear" w:color="auto" w:fill="auto"/>
            <w:noWrap/>
            <w:vAlign w:val="bottom"/>
          </w:tcPr>
          <w:p w14:paraId="0CFF34C9"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Soteria Tufugu</w:t>
            </w:r>
          </w:p>
        </w:tc>
        <w:tc>
          <w:tcPr>
            <w:tcW w:w="1843" w:type="dxa"/>
            <w:shd w:val="clear" w:color="auto" w:fill="auto"/>
            <w:noWrap/>
            <w:vAlign w:val="bottom"/>
          </w:tcPr>
          <w:p w14:paraId="3598B034"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Administration</w:t>
            </w:r>
          </w:p>
        </w:tc>
        <w:tc>
          <w:tcPr>
            <w:tcW w:w="567" w:type="dxa"/>
          </w:tcPr>
          <w:p w14:paraId="1AE70127" w14:textId="77777777" w:rsidR="002C6D78" w:rsidRPr="009B1BE5" w:rsidRDefault="002C6D78" w:rsidP="001F60F2">
            <w:pPr>
              <w:spacing w:before="20" w:after="20"/>
              <w:rPr>
                <w:rFonts w:cstheme="minorBidi"/>
                <w:color w:val="000000"/>
                <w:sz w:val="18"/>
                <w:szCs w:val="22"/>
              </w:rPr>
            </w:pPr>
          </w:p>
        </w:tc>
        <w:tc>
          <w:tcPr>
            <w:tcW w:w="2409" w:type="dxa"/>
            <w:shd w:val="clear" w:color="auto" w:fill="auto"/>
            <w:vAlign w:val="bottom"/>
          </w:tcPr>
          <w:p w14:paraId="55E71E7A" w14:textId="5A236503" w:rsidR="002C6D78" w:rsidRPr="009B1BE5" w:rsidRDefault="002C6D78" w:rsidP="001F60F2">
            <w:pPr>
              <w:spacing w:before="20" w:after="20"/>
            </w:pPr>
            <w:r w:rsidRPr="009B1BE5">
              <w:rPr>
                <w:rFonts w:cstheme="minorBidi"/>
                <w:color w:val="000000"/>
                <w:sz w:val="18"/>
                <w:szCs w:val="22"/>
              </w:rPr>
              <w:t>Takemora Vaifale</w:t>
            </w:r>
          </w:p>
        </w:tc>
        <w:tc>
          <w:tcPr>
            <w:tcW w:w="1413" w:type="dxa"/>
            <w:shd w:val="clear" w:color="auto" w:fill="auto"/>
            <w:vAlign w:val="bottom"/>
          </w:tcPr>
          <w:p w14:paraId="1E891BB8" w14:textId="4BD32F87" w:rsidR="002C6D78" w:rsidRPr="009B1BE5" w:rsidRDefault="002C6D78" w:rsidP="001F60F2">
            <w:pPr>
              <w:spacing w:before="20" w:after="20"/>
            </w:pPr>
            <w:r w:rsidRPr="009B1BE5">
              <w:rPr>
                <w:rFonts w:cstheme="minorBidi"/>
                <w:color w:val="000000"/>
                <w:sz w:val="18"/>
                <w:szCs w:val="22"/>
              </w:rPr>
              <w:t>Tutor</w:t>
            </w:r>
          </w:p>
        </w:tc>
      </w:tr>
      <w:tr w:rsidR="002C6D78" w:rsidRPr="009B1BE5" w14:paraId="55089B7B" w14:textId="7FD33152" w:rsidTr="00DD6E3C">
        <w:trPr>
          <w:trHeight w:val="280"/>
        </w:trPr>
        <w:tc>
          <w:tcPr>
            <w:tcW w:w="1990" w:type="dxa"/>
            <w:shd w:val="clear" w:color="auto" w:fill="auto"/>
            <w:noWrap/>
            <w:vAlign w:val="bottom"/>
          </w:tcPr>
          <w:p w14:paraId="1E07BA63"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Tekoa Tafea</w:t>
            </w:r>
          </w:p>
        </w:tc>
        <w:tc>
          <w:tcPr>
            <w:tcW w:w="1843" w:type="dxa"/>
            <w:shd w:val="clear" w:color="auto" w:fill="auto"/>
            <w:noWrap/>
            <w:vAlign w:val="bottom"/>
          </w:tcPr>
          <w:p w14:paraId="29863884"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Administration</w:t>
            </w:r>
          </w:p>
        </w:tc>
        <w:tc>
          <w:tcPr>
            <w:tcW w:w="567" w:type="dxa"/>
          </w:tcPr>
          <w:p w14:paraId="1F106C0B" w14:textId="77777777" w:rsidR="002C6D78" w:rsidRPr="009B1BE5" w:rsidRDefault="002C6D78" w:rsidP="001F60F2">
            <w:pPr>
              <w:spacing w:before="20" w:after="20"/>
              <w:rPr>
                <w:rFonts w:cstheme="minorBidi"/>
                <w:color w:val="000000"/>
                <w:sz w:val="18"/>
                <w:szCs w:val="22"/>
              </w:rPr>
            </w:pPr>
          </w:p>
        </w:tc>
        <w:tc>
          <w:tcPr>
            <w:tcW w:w="2409" w:type="dxa"/>
            <w:shd w:val="clear" w:color="auto" w:fill="auto"/>
            <w:vAlign w:val="bottom"/>
          </w:tcPr>
          <w:p w14:paraId="64180A7A" w14:textId="2B23FF93" w:rsidR="002C6D78" w:rsidRPr="009B1BE5" w:rsidRDefault="002C6D78" w:rsidP="001F60F2">
            <w:pPr>
              <w:spacing w:before="20" w:after="20"/>
            </w:pPr>
            <w:r w:rsidRPr="009B1BE5">
              <w:rPr>
                <w:rFonts w:cstheme="minorBidi"/>
                <w:color w:val="000000"/>
                <w:sz w:val="18"/>
                <w:szCs w:val="22"/>
              </w:rPr>
              <w:t>Tuasivi Kaleopa</w:t>
            </w:r>
          </w:p>
        </w:tc>
        <w:tc>
          <w:tcPr>
            <w:tcW w:w="1413" w:type="dxa"/>
            <w:shd w:val="clear" w:color="auto" w:fill="auto"/>
            <w:vAlign w:val="bottom"/>
          </w:tcPr>
          <w:p w14:paraId="0956D58C" w14:textId="512DCCB3" w:rsidR="002C6D78" w:rsidRPr="009B1BE5" w:rsidRDefault="002C6D78" w:rsidP="001F60F2">
            <w:pPr>
              <w:spacing w:before="20" w:after="20"/>
            </w:pPr>
            <w:r w:rsidRPr="009B1BE5">
              <w:rPr>
                <w:rFonts w:cstheme="minorBidi"/>
                <w:color w:val="000000"/>
                <w:sz w:val="18"/>
                <w:szCs w:val="22"/>
              </w:rPr>
              <w:t>Tutor</w:t>
            </w:r>
          </w:p>
        </w:tc>
      </w:tr>
      <w:tr w:rsidR="002C6D78" w:rsidRPr="009B1BE5" w14:paraId="589EA80C" w14:textId="6512C771" w:rsidTr="00DD6E3C">
        <w:trPr>
          <w:trHeight w:val="280"/>
        </w:trPr>
        <w:tc>
          <w:tcPr>
            <w:tcW w:w="1990" w:type="dxa"/>
            <w:shd w:val="clear" w:color="auto" w:fill="auto"/>
            <w:noWrap/>
            <w:vAlign w:val="bottom"/>
          </w:tcPr>
          <w:p w14:paraId="4641981F"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Veratina Isaia-Iosia</w:t>
            </w:r>
          </w:p>
        </w:tc>
        <w:tc>
          <w:tcPr>
            <w:tcW w:w="1843" w:type="dxa"/>
            <w:shd w:val="clear" w:color="auto" w:fill="auto"/>
            <w:noWrap/>
            <w:vAlign w:val="bottom"/>
          </w:tcPr>
          <w:p w14:paraId="5D75C051"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Administration</w:t>
            </w:r>
          </w:p>
        </w:tc>
        <w:tc>
          <w:tcPr>
            <w:tcW w:w="567" w:type="dxa"/>
          </w:tcPr>
          <w:p w14:paraId="28D88CDF" w14:textId="77777777" w:rsidR="002C6D78" w:rsidRPr="009B1BE5" w:rsidRDefault="002C6D78" w:rsidP="001F60F2">
            <w:pPr>
              <w:spacing w:before="20" w:after="20"/>
              <w:rPr>
                <w:rFonts w:cstheme="minorBidi"/>
                <w:color w:val="000000"/>
                <w:sz w:val="18"/>
                <w:szCs w:val="22"/>
              </w:rPr>
            </w:pPr>
          </w:p>
        </w:tc>
        <w:tc>
          <w:tcPr>
            <w:tcW w:w="2409" w:type="dxa"/>
            <w:shd w:val="clear" w:color="auto" w:fill="auto"/>
            <w:vAlign w:val="bottom"/>
          </w:tcPr>
          <w:p w14:paraId="1C7A20C8" w14:textId="540D99F7" w:rsidR="002C6D78" w:rsidRPr="009B1BE5" w:rsidRDefault="002C6D78" w:rsidP="001F60F2">
            <w:pPr>
              <w:spacing w:before="20" w:after="20"/>
            </w:pPr>
            <w:r w:rsidRPr="009B1BE5">
              <w:rPr>
                <w:rFonts w:cstheme="minorBidi"/>
                <w:color w:val="000000"/>
                <w:sz w:val="18"/>
                <w:szCs w:val="22"/>
              </w:rPr>
              <w:t>Francis Howes</w:t>
            </w:r>
          </w:p>
        </w:tc>
        <w:tc>
          <w:tcPr>
            <w:tcW w:w="1413" w:type="dxa"/>
            <w:shd w:val="clear" w:color="auto" w:fill="auto"/>
            <w:vAlign w:val="bottom"/>
          </w:tcPr>
          <w:p w14:paraId="14484D42" w14:textId="104BA1EF" w:rsidR="002C6D78" w:rsidRPr="009B1BE5" w:rsidRDefault="002C6D78" w:rsidP="001F60F2">
            <w:pPr>
              <w:spacing w:before="20" w:after="20"/>
            </w:pPr>
            <w:r w:rsidRPr="009B1BE5">
              <w:rPr>
                <w:rFonts w:cstheme="minorBidi"/>
                <w:color w:val="000000"/>
                <w:sz w:val="18"/>
                <w:szCs w:val="22"/>
              </w:rPr>
              <w:t>Management</w:t>
            </w:r>
          </w:p>
        </w:tc>
      </w:tr>
      <w:tr w:rsidR="002C6D78" w:rsidRPr="009B1BE5" w14:paraId="0A3D44FD" w14:textId="16A10F52" w:rsidTr="00DD6E3C">
        <w:trPr>
          <w:gridAfter w:val="2"/>
          <w:wAfter w:w="3822" w:type="dxa"/>
          <w:trHeight w:val="280"/>
        </w:trPr>
        <w:tc>
          <w:tcPr>
            <w:tcW w:w="1990" w:type="dxa"/>
            <w:shd w:val="clear" w:color="auto" w:fill="auto"/>
            <w:noWrap/>
            <w:vAlign w:val="bottom"/>
          </w:tcPr>
          <w:p w14:paraId="59A1BB4F" w14:textId="00644F9A"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Angela Stent</w:t>
            </w:r>
          </w:p>
        </w:tc>
        <w:tc>
          <w:tcPr>
            <w:tcW w:w="1843" w:type="dxa"/>
            <w:shd w:val="clear" w:color="auto" w:fill="auto"/>
            <w:noWrap/>
            <w:vAlign w:val="bottom"/>
          </w:tcPr>
          <w:p w14:paraId="2C9BB592" w14:textId="495FEF18"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Trainer</w:t>
            </w:r>
          </w:p>
        </w:tc>
        <w:tc>
          <w:tcPr>
            <w:tcW w:w="567" w:type="dxa"/>
          </w:tcPr>
          <w:p w14:paraId="3BD57B21" w14:textId="77777777" w:rsidR="002C6D78" w:rsidRPr="009B1BE5" w:rsidRDefault="002C6D78" w:rsidP="001F60F2">
            <w:pPr>
              <w:spacing w:before="20" w:after="20"/>
              <w:rPr>
                <w:rFonts w:cstheme="minorBidi"/>
                <w:color w:val="000000"/>
                <w:sz w:val="18"/>
                <w:szCs w:val="22"/>
              </w:rPr>
            </w:pPr>
          </w:p>
        </w:tc>
      </w:tr>
      <w:tr w:rsidR="002C6D78" w:rsidRPr="009B1BE5" w14:paraId="28DD2DF6" w14:textId="07E17FA0" w:rsidTr="00DD6E3C">
        <w:trPr>
          <w:gridAfter w:val="2"/>
          <w:wAfter w:w="3822" w:type="dxa"/>
          <w:trHeight w:val="280"/>
        </w:trPr>
        <w:tc>
          <w:tcPr>
            <w:tcW w:w="1990" w:type="dxa"/>
            <w:shd w:val="clear" w:color="auto" w:fill="auto"/>
            <w:noWrap/>
            <w:vAlign w:val="bottom"/>
          </w:tcPr>
          <w:p w14:paraId="6B8C4AB7"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Cheryl Payne</w:t>
            </w:r>
          </w:p>
        </w:tc>
        <w:tc>
          <w:tcPr>
            <w:tcW w:w="1843" w:type="dxa"/>
            <w:shd w:val="clear" w:color="auto" w:fill="auto"/>
            <w:noWrap/>
            <w:vAlign w:val="bottom"/>
          </w:tcPr>
          <w:p w14:paraId="001B4027" w14:textId="234E7F4B"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Trainer</w:t>
            </w:r>
          </w:p>
        </w:tc>
        <w:tc>
          <w:tcPr>
            <w:tcW w:w="567" w:type="dxa"/>
          </w:tcPr>
          <w:p w14:paraId="70E9E068" w14:textId="77777777" w:rsidR="002C6D78" w:rsidRPr="009B1BE5" w:rsidRDefault="002C6D78" w:rsidP="001F60F2">
            <w:pPr>
              <w:spacing w:before="20" w:after="20"/>
              <w:rPr>
                <w:rFonts w:cstheme="minorBidi"/>
                <w:color w:val="000000"/>
                <w:sz w:val="18"/>
                <w:szCs w:val="22"/>
              </w:rPr>
            </w:pPr>
          </w:p>
        </w:tc>
      </w:tr>
      <w:tr w:rsidR="002C6D78" w:rsidRPr="009B1BE5" w14:paraId="36CD9EAA" w14:textId="5752FA54" w:rsidTr="00DD6E3C">
        <w:trPr>
          <w:gridAfter w:val="2"/>
          <w:wAfter w:w="3822" w:type="dxa"/>
          <w:trHeight w:val="280"/>
        </w:trPr>
        <w:tc>
          <w:tcPr>
            <w:tcW w:w="1990" w:type="dxa"/>
            <w:shd w:val="clear" w:color="auto" w:fill="auto"/>
            <w:noWrap/>
            <w:vAlign w:val="bottom"/>
          </w:tcPr>
          <w:p w14:paraId="4838F65B"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Dave Holak</w:t>
            </w:r>
          </w:p>
        </w:tc>
        <w:tc>
          <w:tcPr>
            <w:tcW w:w="1843" w:type="dxa"/>
            <w:shd w:val="clear" w:color="auto" w:fill="auto"/>
            <w:noWrap/>
            <w:vAlign w:val="bottom"/>
          </w:tcPr>
          <w:p w14:paraId="4C4FDF8B" w14:textId="714958F3"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Trainer</w:t>
            </w:r>
          </w:p>
        </w:tc>
        <w:tc>
          <w:tcPr>
            <w:tcW w:w="567" w:type="dxa"/>
          </w:tcPr>
          <w:p w14:paraId="255A4ECB" w14:textId="77777777" w:rsidR="002C6D78" w:rsidRPr="009B1BE5" w:rsidRDefault="002C6D78" w:rsidP="001F60F2">
            <w:pPr>
              <w:spacing w:before="20" w:after="20"/>
              <w:rPr>
                <w:rFonts w:cstheme="minorBidi"/>
                <w:color w:val="000000"/>
                <w:sz w:val="18"/>
                <w:szCs w:val="22"/>
              </w:rPr>
            </w:pPr>
          </w:p>
        </w:tc>
      </w:tr>
      <w:tr w:rsidR="002C6D78" w:rsidRPr="009B1BE5" w14:paraId="276B268A" w14:textId="148D9944" w:rsidTr="00DD6E3C">
        <w:trPr>
          <w:gridAfter w:val="2"/>
          <w:wAfter w:w="3822" w:type="dxa"/>
          <w:trHeight w:val="280"/>
        </w:trPr>
        <w:tc>
          <w:tcPr>
            <w:tcW w:w="1990" w:type="dxa"/>
            <w:shd w:val="clear" w:color="auto" w:fill="auto"/>
            <w:noWrap/>
            <w:vAlign w:val="bottom"/>
          </w:tcPr>
          <w:p w14:paraId="094CB75A"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Mark Robertson</w:t>
            </w:r>
          </w:p>
        </w:tc>
        <w:tc>
          <w:tcPr>
            <w:tcW w:w="1843" w:type="dxa"/>
            <w:shd w:val="clear" w:color="auto" w:fill="auto"/>
            <w:noWrap/>
            <w:vAlign w:val="bottom"/>
          </w:tcPr>
          <w:p w14:paraId="5F22B822" w14:textId="0DCDCEF1"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Trainer</w:t>
            </w:r>
          </w:p>
        </w:tc>
        <w:tc>
          <w:tcPr>
            <w:tcW w:w="567" w:type="dxa"/>
          </w:tcPr>
          <w:p w14:paraId="173D7F2D" w14:textId="77777777" w:rsidR="002C6D78" w:rsidRPr="009B1BE5" w:rsidRDefault="002C6D78" w:rsidP="001F60F2">
            <w:pPr>
              <w:spacing w:before="20" w:after="20"/>
              <w:rPr>
                <w:rFonts w:cstheme="minorBidi"/>
                <w:color w:val="000000"/>
                <w:sz w:val="18"/>
                <w:szCs w:val="22"/>
              </w:rPr>
            </w:pPr>
          </w:p>
        </w:tc>
      </w:tr>
      <w:tr w:rsidR="002C6D78" w:rsidRPr="009B1BE5" w14:paraId="5058D61F" w14:textId="2D44A10A" w:rsidTr="00DD6E3C">
        <w:trPr>
          <w:gridAfter w:val="2"/>
          <w:wAfter w:w="3822" w:type="dxa"/>
          <w:trHeight w:val="280"/>
        </w:trPr>
        <w:tc>
          <w:tcPr>
            <w:tcW w:w="1990" w:type="dxa"/>
            <w:shd w:val="clear" w:color="auto" w:fill="auto"/>
            <w:noWrap/>
            <w:vAlign w:val="bottom"/>
          </w:tcPr>
          <w:p w14:paraId="54B24C74"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Michael Mollier</w:t>
            </w:r>
          </w:p>
        </w:tc>
        <w:tc>
          <w:tcPr>
            <w:tcW w:w="1843" w:type="dxa"/>
            <w:shd w:val="clear" w:color="auto" w:fill="auto"/>
            <w:noWrap/>
            <w:vAlign w:val="bottom"/>
          </w:tcPr>
          <w:p w14:paraId="572BF38D" w14:textId="333D7792"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Trainer</w:t>
            </w:r>
          </w:p>
        </w:tc>
        <w:tc>
          <w:tcPr>
            <w:tcW w:w="567" w:type="dxa"/>
          </w:tcPr>
          <w:p w14:paraId="3CE2BF3F" w14:textId="77777777" w:rsidR="002C6D78" w:rsidRPr="009B1BE5" w:rsidRDefault="002C6D78" w:rsidP="001F60F2">
            <w:pPr>
              <w:spacing w:before="20" w:after="20"/>
              <w:rPr>
                <w:rFonts w:cstheme="minorBidi"/>
                <w:color w:val="000000"/>
                <w:sz w:val="18"/>
                <w:szCs w:val="22"/>
              </w:rPr>
            </w:pPr>
          </w:p>
        </w:tc>
      </w:tr>
      <w:tr w:rsidR="002C6D78" w:rsidRPr="009B1BE5" w14:paraId="1C338AD0" w14:textId="61CF99B8" w:rsidTr="00DD6E3C">
        <w:trPr>
          <w:gridAfter w:val="2"/>
          <w:wAfter w:w="3822" w:type="dxa"/>
          <w:trHeight w:val="280"/>
        </w:trPr>
        <w:tc>
          <w:tcPr>
            <w:tcW w:w="1990" w:type="dxa"/>
            <w:tcBorders>
              <w:bottom w:val="single" w:sz="4" w:space="0" w:color="A8D08D" w:themeColor="accent6" w:themeTint="99"/>
            </w:tcBorders>
            <w:shd w:val="clear" w:color="auto" w:fill="auto"/>
            <w:noWrap/>
            <w:vAlign w:val="bottom"/>
          </w:tcPr>
          <w:p w14:paraId="7B1B3767"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Rachel Fox</w:t>
            </w:r>
          </w:p>
        </w:tc>
        <w:tc>
          <w:tcPr>
            <w:tcW w:w="1843" w:type="dxa"/>
            <w:tcBorders>
              <w:bottom w:val="single" w:sz="4" w:space="0" w:color="A8D08D" w:themeColor="accent6" w:themeTint="99"/>
            </w:tcBorders>
            <w:shd w:val="clear" w:color="auto" w:fill="auto"/>
            <w:noWrap/>
            <w:vAlign w:val="bottom"/>
          </w:tcPr>
          <w:p w14:paraId="5E2969F2" w14:textId="0304303C"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Trainer</w:t>
            </w:r>
          </w:p>
        </w:tc>
        <w:tc>
          <w:tcPr>
            <w:tcW w:w="567" w:type="dxa"/>
            <w:tcBorders>
              <w:bottom w:val="single" w:sz="4" w:space="0" w:color="A8D08D" w:themeColor="accent6" w:themeTint="99"/>
            </w:tcBorders>
          </w:tcPr>
          <w:p w14:paraId="74490CC5" w14:textId="77777777" w:rsidR="002C6D78" w:rsidRPr="009B1BE5" w:rsidRDefault="002C6D78" w:rsidP="001F60F2">
            <w:pPr>
              <w:spacing w:before="20" w:after="20"/>
              <w:rPr>
                <w:rFonts w:cstheme="minorBidi"/>
                <w:color w:val="000000"/>
                <w:sz w:val="18"/>
                <w:szCs w:val="22"/>
              </w:rPr>
            </w:pPr>
          </w:p>
        </w:tc>
      </w:tr>
      <w:tr w:rsidR="002C6D78" w:rsidRPr="009B1BE5" w14:paraId="3823AD12" w14:textId="317BD51B" w:rsidTr="00DD6E3C">
        <w:trPr>
          <w:gridAfter w:val="2"/>
          <w:wAfter w:w="3822" w:type="dxa"/>
          <w:trHeight w:val="280"/>
        </w:trPr>
        <w:tc>
          <w:tcPr>
            <w:tcW w:w="1990" w:type="dxa"/>
            <w:tcBorders>
              <w:top w:val="single" w:sz="4" w:space="0" w:color="A8D08D" w:themeColor="accent6" w:themeTint="99"/>
              <w:bottom w:val="single" w:sz="4" w:space="0" w:color="A8D08D" w:themeColor="accent6" w:themeTint="99"/>
            </w:tcBorders>
            <w:shd w:val="clear" w:color="auto" w:fill="auto"/>
            <w:noWrap/>
            <w:vAlign w:val="bottom"/>
          </w:tcPr>
          <w:p w14:paraId="00612156" w14:textId="77777777"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Steve Johnston</w:t>
            </w:r>
          </w:p>
        </w:tc>
        <w:tc>
          <w:tcPr>
            <w:tcW w:w="1843" w:type="dxa"/>
            <w:tcBorders>
              <w:top w:val="single" w:sz="4" w:space="0" w:color="A8D08D" w:themeColor="accent6" w:themeTint="99"/>
              <w:bottom w:val="single" w:sz="4" w:space="0" w:color="A8D08D" w:themeColor="accent6" w:themeTint="99"/>
            </w:tcBorders>
            <w:shd w:val="clear" w:color="auto" w:fill="auto"/>
            <w:noWrap/>
            <w:vAlign w:val="bottom"/>
          </w:tcPr>
          <w:p w14:paraId="29489691" w14:textId="6EF2B7DF" w:rsidR="002C6D78" w:rsidRPr="009B1BE5" w:rsidRDefault="002C6D78" w:rsidP="001F60F2">
            <w:pPr>
              <w:spacing w:before="20" w:after="20"/>
              <w:rPr>
                <w:rFonts w:cstheme="minorBidi"/>
                <w:color w:val="000000"/>
                <w:sz w:val="18"/>
                <w:szCs w:val="22"/>
              </w:rPr>
            </w:pPr>
            <w:r w:rsidRPr="009B1BE5">
              <w:rPr>
                <w:rFonts w:cstheme="minorBidi"/>
                <w:color w:val="000000"/>
                <w:sz w:val="18"/>
                <w:szCs w:val="22"/>
              </w:rPr>
              <w:t>Trainer</w:t>
            </w:r>
          </w:p>
        </w:tc>
        <w:tc>
          <w:tcPr>
            <w:tcW w:w="567" w:type="dxa"/>
            <w:tcBorders>
              <w:top w:val="single" w:sz="4" w:space="0" w:color="A8D08D" w:themeColor="accent6" w:themeTint="99"/>
              <w:bottom w:val="single" w:sz="4" w:space="0" w:color="A8D08D" w:themeColor="accent6" w:themeTint="99"/>
            </w:tcBorders>
          </w:tcPr>
          <w:p w14:paraId="76AB4A3E" w14:textId="77777777" w:rsidR="002C6D78" w:rsidRPr="009B1BE5" w:rsidRDefault="002C6D78" w:rsidP="001F60F2">
            <w:pPr>
              <w:spacing w:before="20" w:after="20"/>
              <w:rPr>
                <w:rFonts w:cstheme="minorBidi"/>
                <w:color w:val="000000"/>
                <w:sz w:val="18"/>
                <w:szCs w:val="22"/>
              </w:rPr>
            </w:pPr>
          </w:p>
        </w:tc>
      </w:tr>
    </w:tbl>
    <w:p w14:paraId="2BA971D8" w14:textId="77777777" w:rsidR="008F00FD" w:rsidRDefault="008F00FD" w:rsidP="008F00FD"/>
    <w:p w14:paraId="1E812431" w14:textId="77777777" w:rsidR="003D355F" w:rsidRDefault="008F00FD">
      <w:pPr>
        <w:pStyle w:val="Header"/>
      </w:pPr>
      <w:r>
        <w:br w:type="page"/>
      </w:r>
      <w:r w:rsidRPr="00C645FA">
        <w:lastRenderedPageBreak/>
        <w:t>Samoa, other organisations</w:t>
      </w:r>
    </w:p>
    <w:tbl>
      <w:tblPr>
        <w:tblW w:w="8505" w:type="dxa"/>
        <w:tblInd w:w="103" w:type="dxa"/>
        <w:tblBorders>
          <w:insideH w:val="single" w:sz="4" w:space="0" w:color="A8D08D" w:themeColor="accent6" w:themeTint="99"/>
          <w:insideV w:val="single" w:sz="4" w:space="0" w:color="A8D08D" w:themeColor="accent6" w:themeTint="99"/>
        </w:tblBorders>
        <w:tblLayout w:type="fixed"/>
        <w:tblLook w:val="0000" w:firstRow="0" w:lastRow="0" w:firstColumn="0" w:lastColumn="0" w:noHBand="0" w:noVBand="0"/>
      </w:tblPr>
      <w:tblGrid>
        <w:gridCol w:w="2415"/>
        <w:gridCol w:w="3544"/>
        <w:gridCol w:w="2546"/>
      </w:tblGrid>
      <w:tr w:rsidR="008F00FD" w:rsidRPr="009C2EF1" w14:paraId="526CD419" w14:textId="77777777" w:rsidTr="00DD6E3C">
        <w:trPr>
          <w:trHeight w:val="280"/>
        </w:trPr>
        <w:tc>
          <w:tcPr>
            <w:tcW w:w="2415" w:type="dxa"/>
            <w:shd w:val="clear" w:color="auto" w:fill="C5E0B3" w:themeFill="accent6" w:themeFillTint="66"/>
            <w:noWrap/>
            <w:vAlign w:val="bottom"/>
          </w:tcPr>
          <w:p w14:paraId="5B563288" w14:textId="77777777" w:rsidR="008F00FD" w:rsidRPr="009C2EF1" w:rsidRDefault="008F00FD" w:rsidP="005F77A1">
            <w:pPr>
              <w:spacing w:before="20" w:after="20"/>
              <w:rPr>
                <w:rFonts w:cstheme="minorBidi"/>
                <w:b/>
                <w:color w:val="000000"/>
                <w:sz w:val="18"/>
                <w:szCs w:val="22"/>
              </w:rPr>
            </w:pPr>
            <w:r w:rsidRPr="009C2EF1">
              <w:rPr>
                <w:rFonts w:cstheme="minorBidi"/>
                <w:b/>
                <w:color w:val="000000"/>
                <w:sz w:val="18"/>
                <w:szCs w:val="22"/>
              </w:rPr>
              <w:t>Individual</w:t>
            </w:r>
          </w:p>
        </w:tc>
        <w:tc>
          <w:tcPr>
            <w:tcW w:w="3544" w:type="dxa"/>
            <w:shd w:val="clear" w:color="auto" w:fill="C5E0B3" w:themeFill="accent6" w:themeFillTint="66"/>
            <w:noWrap/>
            <w:vAlign w:val="bottom"/>
          </w:tcPr>
          <w:p w14:paraId="14DD773B" w14:textId="77777777" w:rsidR="008F00FD" w:rsidRPr="009C2EF1" w:rsidRDefault="008F00FD" w:rsidP="005F77A1">
            <w:pPr>
              <w:spacing w:before="20" w:after="20"/>
              <w:rPr>
                <w:rFonts w:cstheme="minorBidi"/>
                <w:b/>
                <w:color w:val="000000"/>
                <w:sz w:val="18"/>
                <w:szCs w:val="22"/>
              </w:rPr>
            </w:pPr>
            <w:r w:rsidRPr="009C2EF1">
              <w:rPr>
                <w:rFonts w:cstheme="minorBidi"/>
                <w:b/>
                <w:color w:val="000000"/>
                <w:sz w:val="18"/>
                <w:szCs w:val="22"/>
              </w:rPr>
              <w:t>Organisation</w:t>
            </w:r>
          </w:p>
        </w:tc>
        <w:tc>
          <w:tcPr>
            <w:tcW w:w="2546" w:type="dxa"/>
            <w:shd w:val="clear" w:color="auto" w:fill="C5E0B3" w:themeFill="accent6" w:themeFillTint="66"/>
            <w:noWrap/>
            <w:vAlign w:val="bottom"/>
          </w:tcPr>
          <w:p w14:paraId="0F33D486" w14:textId="77777777" w:rsidR="008F00FD" w:rsidRPr="009C2EF1" w:rsidRDefault="008F00FD" w:rsidP="005F77A1">
            <w:pPr>
              <w:spacing w:before="20" w:after="20"/>
              <w:rPr>
                <w:rFonts w:cstheme="minorBidi"/>
                <w:b/>
                <w:color w:val="000000"/>
                <w:sz w:val="18"/>
                <w:szCs w:val="22"/>
              </w:rPr>
            </w:pPr>
            <w:r w:rsidRPr="009C2EF1">
              <w:rPr>
                <w:rFonts w:cstheme="minorBidi"/>
                <w:b/>
                <w:color w:val="000000"/>
                <w:sz w:val="18"/>
                <w:szCs w:val="22"/>
              </w:rPr>
              <w:t>Type of group</w:t>
            </w:r>
          </w:p>
        </w:tc>
      </w:tr>
      <w:tr w:rsidR="008F00FD" w:rsidRPr="009B1BE5" w14:paraId="48E44078" w14:textId="77777777" w:rsidTr="00DD6E3C">
        <w:trPr>
          <w:trHeight w:val="280"/>
        </w:trPr>
        <w:tc>
          <w:tcPr>
            <w:tcW w:w="2415" w:type="dxa"/>
            <w:shd w:val="clear" w:color="auto" w:fill="auto"/>
            <w:noWrap/>
            <w:vAlign w:val="bottom"/>
          </w:tcPr>
          <w:p w14:paraId="34119E7F"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Anthony Stannard</w:t>
            </w:r>
          </w:p>
        </w:tc>
        <w:tc>
          <w:tcPr>
            <w:tcW w:w="3544" w:type="dxa"/>
            <w:shd w:val="clear" w:color="auto" w:fill="auto"/>
            <w:noWrap/>
            <w:vAlign w:val="bottom"/>
          </w:tcPr>
          <w:p w14:paraId="22FA38B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Australian High Commission</w:t>
            </w:r>
          </w:p>
        </w:tc>
        <w:tc>
          <w:tcPr>
            <w:tcW w:w="2546" w:type="dxa"/>
            <w:shd w:val="clear" w:color="auto" w:fill="auto"/>
            <w:noWrap/>
            <w:vAlign w:val="bottom"/>
          </w:tcPr>
          <w:p w14:paraId="745DADDF"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Development Partner</w:t>
            </w:r>
          </w:p>
        </w:tc>
      </w:tr>
      <w:tr w:rsidR="008F00FD" w:rsidRPr="009B1BE5" w14:paraId="7C64605A" w14:textId="77777777" w:rsidTr="00DD6E3C">
        <w:trPr>
          <w:trHeight w:val="280"/>
        </w:trPr>
        <w:tc>
          <w:tcPr>
            <w:tcW w:w="2415" w:type="dxa"/>
            <w:shd w:val="clear" w:color="auto" w:fill="auto"/>
            <w:noWrap/>
            <w:vAlign w:val="bottom"/>
          </w:tcPr>
          <w:p w14:paraId="778A0A3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H.E. Sue Langford</w:t>
            </w:r>
          </w:p>
        </w:tc>
        <w:tc>
          <w:tcPr>
            <w:tcW w:w="3544" w:type="dxa"/>
            <w:shd w:val="clear" w:color="auto" w:fill="auto"/>
            <w:noWrap/>
            <w:vAlign w:val="bottom"/>
          </w:tcPr>
          <w:p w14:paraId="05B5E866"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Australian High Commission</w:t>
            </w:r>
          </w:p>
        </w:tc>
        <w:tc>
          <w:tcPr>
            <w:tcW w:w="2546" w:type="dxa"/>
            <w:shd w:val="clear" w:color="auto" w:fill="auto"/>
            <w:noWrap/>
            <w:vAlign w:val="bottom"/>
          </w:tcPr>
          <w:p w14:paraId="2EA1486E"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Development Partner</w:t>
            </w:r>
          </w:p>
        </w:tc>
      </w:tr>
      <w:tr w:rsidR="008F00FD" w:rsidRPr="009B1BE5" w14:paraId="367847F0" w14:textId="77777777" w:rsidTr="00DD6E3C">
        <w:trPr>
          <w:trHeight w:val="280"/>
        </w:trPr>
        <w:tc>
          <w:tcPr>
            <w:tcW w:w="2415" w:type="dxa"/>
            <w:shd w:val="clear" w:color="auto" w:fill="auto"/>
            <w:noWrap/>
            <w:vAlign w:val="bottom"/>
          </w:tcPr>
          <w:p w14:paraId="31D145F9"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Michael Upton</w:t>
            </w:r>
          </w:p>
        </w:tc>
        <w:tc>
          <w:tcPr>
            <w:tcW w:w="3544" w:type="dxa"/>
            <w:shd w:val="clear" w:color="auto" w:fill="auto"/>
            <w:noWrap/>
            <w:vAlign w:val="bottom"/>
          </w:tcPr>
          <w:p w14:paraId="44761CE0"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NZMFAT</w:t>
            </w:r>
          </w:p>
        </w:tc>
        <w:tc>
          <w:tcPr>
            <w:tcW w:w="2546" w:type="dxa"/>
            <w:shd w:val="clear" w:color="auto" w:fill="auto"/>
            <w:noWrap/>
            <w:vAlign w:val="bottom"/>
          </w:tcPr>
          <w:p w14:paraId="023E98CB"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Development Partner</w:t>
            </w:r>
          </w:p>
        </w:tc>
      </w:tr>
      <w:tr w:rsidR="008F00FD" w:rsidRPr="009B1BE5" w14:paraId="5590D064" w14:textId="77777777" w:rsidTr="00DD6E3C">
        <w:trPr>
          <w:trHeight w:val="280"/>
        </w:trPr>
        <w:tc>
          <w:tcPr>
            <w:tcW w:w="2415" w:type="dxa"/>
            <w:shd w:val="clear" w:color="auto" w:fill="auto"/>
            <w:noWrap/>
            <w:vAlign w:val="bottom"/>
          </w:tcPr>
          <w:p w14:paraId="3F6C91C4"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Su</w:t>
            </w:r>
            <w:r>
              <w:rPr>
                <w:rFonts w:cstheme="minorBidi"/>
                <w:color w:val="000000"/>
                <w:sz w:val="18"/>
                <w:szCs w:val="22"/>
              </w:rPr>
              <w:t>’</w:t>
            </w:r>
            <w:r w:rsidRPr="009B1BE5">
              <w:rPr>
                <w:rFonts w:cstheme="minorBidi"/>
                <w:color w:val="000000"/>
                <w:sz w:val="18"/>
                <w:szCs w:val="22"/>
              </w:rPr>
              <w:t>a Julia Wallwork</w:t>
            </w:r>
          </w:p>
        </w:tc>
        <w:tc>
          <w:tcPr>
            <w:tcW w:w="3544" w:type="dxa"/>
            <w:shd w:val="clear" w:color="auto" w:fill="auto"/>
            <w:noWrap/>
            <w:vAlign w:val="bottom"/>
          </w:tcPr>
          <w:p w14:paraId="4320D2F0"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ADRA</w:t>
            </w:r>
          </w:p>
        </w:tc>
        <w:tc>
          <w:tcPr>
            <w:tcW w:w="2546" w:type="dxa"/>
            <w:shd w:val="clear" w:color="auto" w:fill="auto"/>
            <w:noWrap/>
            <w:vAlign w:val="bottom"/>
          </w:tcPr>
          <w:p w14:paraId="5D4906A5"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Development Partner</w:t>
            </w:r>
          </w:p>
        </w:tc>
      </w:tr>
      <w:tr w:rsidR="008F00FD" w:rsidRPr="009B1BE5" w14:paraId="22FE07EF" w14:textId="77777777" w:rsidTr="00DD6E3C">
        <w:trPr>
          <w:trHeight w:val="280"/>
        </w:trPr>
        <w:tc>
          <w:tcPr>
            <w:tcW w:w="2415" w:type="dxa"/>
            <w:shd w:val="clear" w:color="auto" w:fill="auto"/>
            <w:noWrap/>
            <w:vAlign w:val="bottom"/>
          </w:tcPr>
          <w:p w14:paraId="2F976E1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Hideyuki Suzuki</w:t>
            </w:r>
          </w:p>
        </w:tc>
        <w:tc>
          <w:tcPr>
            <w:tcW w:w="3544" w:type="dxa"/>
            <w:shd w:val="clear" w:color="auto" w:fill="auto"/>
            <w:noWrap/>
            <w:vAlign w:val="bottom"/>
          </w:tcPr>
          <w:p w14:paraId="5F680395"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JICA</w:t>
            </w:r>
          </w:p>
        </w:tc>
        <w:tc>
          <w:tcPr>
            <w:tcW w:w="2546" w:type="dxa"/>
            <w:shd w:val="clear" w:color="auto" w:fill="auto"/>
            <w:noWrap/>
            <w:vAlign w:val="bottom"/>
          </w:tcPr>
          <w:p w14:paraId="345E5C0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Development Partner</w:t>
            </w:r>
          </w:p>
        </w:tc>
      </w:tr>
      <w:tr w:rsidR="008F00FD" w:rsidRPr="009B1BE5" w14:paraId="06E06DDC" w14:textId="77777777" w:rsidTr="00DD6E3C">
        <w:trPr>
          <w:trHeight w:val="280"/>
        </w:trPr>
        <w:tc>
          <w:tcPr>
            <w:tcW w:w="2415" w:type="dxa"/>
            <w:shd w:val="clear" w:color="auto" w:fill="auto"/>
            <w:noWrap/>
            <w:vAlign w:val="bottom"/>
          </w:tcPr>
          <w:p w14:paraId="068331E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Tetsuji Nakasone</w:t>
            </w:r>
          </w:p>
        </w:tc>
        <w:tc>
          <w:tcPr>
            <w:tcW w:w="3544" w:type="dxa"/>
            <w:shd w:val="clear" w:color="auto" w:fill="auto"/>
            <w:noWrap/>
            <w:vAlign w:val="bottom"/>
          </w:tcPr>
          <w:p w14:paraId="721ED2E5"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JICA</w:t>
            </w:r>
          </w:p>
        </w:tc>
        <w:tc>
          <w:tcPr>
            <w:tcW w:w="2546" w:type="dxa"/>
            <w:shd w:val="clear" w:color="auto" w:fill="auto"/>
            <w:noWrap/>
            <w:vAlign w:val="bottom"/>
          </w:tcPr>
          <w:p w14:paraId="238D82D2"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Development Partner</w:t>
            </w:r>
          </w:p>
        </w:tc>
      </w:tr>
      <w:tr w:rsidR="008F00FD" w:rsidRPr="009B1BE5" w14:paraId="4CD6FB6F" w14:textId="77777777" w:rsidTr="00DD6E3C">
        <w:trPr>
          <w:trHeight w:val="280"/>
        </w:trPr>
        <w:tc>
          <w:tcPr>
            <w:tcW w:w="2415" w:type="dxa"/>
            <w:shd w:val="clear" w:color="auto" w:fill="auto"/>
            <w:noWrap/>
            <w:vAlign w:val="bottom"/>
          </w:tcPr>
          <w:p w14:paraId="6AE353E8"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Seiuli Paul Wallwork</w:t>
            </w:r>
          </w:p>
        </w:tc>
        <w:tc>
          <w:tcPr>
            <w:tcW w:w="3544" w:type="dxa"/>
            <w:shd w:val="clear" w:color="auto" w:fill="auto"/>
            <w:noWrap/>
            <w:vAlign w:val="bottom"/>
          </w:tcPr>
          <w:p w14:paraId="2E16D3F5"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APTC Advisory Group</w:t>
            </w:r>
          </w:p>
        </w:tc>
        <w:tc>
          <w:tcPr>
            <w:tcW w:w="2546" w:type="dxa"/>
            <w:shd w:val="clear" w:color="auto" w:fill="auto"/>
            <w:noWrap/>
            <w:vAlign w:val="bottom"/>
          </w:tcPr>
          <w:p w14:paraId="3CCE2E67"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Samoa Rep</w:t>
            </w:r>
          </w:p>
        </w:tc>
      </w:tr>
      <w:tr w:rsidR="008F00FD" w:rsidRPr="009B1BE5" w14:paraId="43C91981" w14:textId="77777777" w:rsidTr="00DD6E3C">
        <w:trPr>
          <w:trHeight w:val="280"/>
        </w:trPr>
        <w:tc>
          <w:tcPr>
            <w:tcW w:w="2415" w:type="dxa"/>
            <w:shd w:val="clear" w:color="auto" w:fill="auto"/>
            <w:noWrap/>
            <w:vAlign w:val="bottom"/>
          </w:tcPr>
          <w:p w14:paraId="6E78BF3E"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Andrew Sheck</w:t>
            </w:r>
          </w:p>
        </w:tc>
        <w:tc>
          <w:tcPr>
            <w:tcW w:w="3544" w:type="dxa"/>
            <w:shd w:val="clear" w:color="auto" w:fill="auto"/>
            <w:noWrap/>
            <w:vAlign w:val="bottom"/>
          </w:tcPr>
          <w:p w14:paraId="294D9946"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Ministry of Commerce, Industry and Labour</w:t>
            </w:r>
          </w:p>
        </w:tc>
        <w:tc>
          <w:tcPr>
            <w:tcW w:w="2546" w:type="dxa"/>
            <w:shd w:val="clear" w:color="auto" w:fill="auto"/>
            <w:noWrap/>
            <w:vAlign w:val="bottom"/>
          </w:tcPr>
          <w:p w14:paraId="20FDCDB3"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1ADDBB0F" w14:textId="77777777" w:rsidTr="00DD6E3C">
        <w:trPr>
          <w:trHeight w:val="280"/>
        </w:trPr>
        <w:tc>
          <w:tcPr>
            <w:tcW w:w="2415" w:type="dxa"/>
            <w:shd w:val="clear" w:color="auto" w:fill="auto"/>
            <w:noWrap/>
            <w:vAlign w:val="bottom"/>
          </w:tcPr>
          <w:p w14:paraId="14E43CA9"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Sauleone T. Eti</w:t>
            </w:r>
          </w:p>
        </w:tc>
        <w:tc>
          <w:tcPr>
            <w:tcW w:w="3544" w:type="dxa"/>
            <w:shd w:val="clear" w:color="auto" w:fill="auto"/>
            <w:noWrap/>
            <w:vAlign w:val="bottom"/>
          </w:tcPr>
          <w:p w14:paraId="12F7EE39"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Ministry of Commerce, Industry and Labour</w:t>
            </w:r>
          </w:p>
        </w:tc>
        <w:tc>
          <w:tcPr>
            <w:tcW w:w="2546" w:type="dxa"/>
            <w:shd w:val="clear" w:color="auto" w:fill="auto"/>
            <w:noWrap/>
            <w:vAlign w:val="bottom"/>
          </w:tcPr>
          <w:p w14:paraId="4C7AB77B"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1FCCC87A" w14:textId="77777777" w:rsidTr="00DD6E3C">
        <w:trPr>
          <w:trHeight w:val="280"/>
        </w:trPr>
        <w:tc>
          <w:tcPr>
            <w:tcW w:w="2415" w:type="dxa"/>
            <w:shd w:val="clear" w:color="auto" w:fill="auto"/>
            <w:noWrap/>
            <w:vAlign w:val="bottom"/>
          </w:tcPr>
          <w:p w14:paraId="475DEBF7"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Tanuvasa Faamanatu Solomona</w:t>
            </w:r>
          </w:p>
        </w:tc>
        <w:tc>
          <w:tcPr>
            <w:tcW w:w="3544" w:type="dxa"/>
            <w:shd w:val="clear" w:color="auto" w:fill="auto"/>
            <w:noWrap/>
            <w:vAlign w:val="bottom"/>
          </w:tcPr>
          <w:p w14:paraId="79324170"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Ministry of Commerce, Industry and Labour</w:t>
            </w:r>
          </w:p>
        </w:tc>
        <w:tc>
          <w:tcPr>
            <w:tcW w:w="2546" w:type="dxa"/>
            <w:shd w:val="clear" w:color="auto" w:fill="auto"/>
            <w:noWrap/>
            <w:vAlign w:val="bottom"/>
          </w:tcPr>
          <w:p w14:paraId="1805564F"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69B133E9" w14:textId="77777777" w:rsidTr="00DD6E3C">
        <w:trPr>
          <w:trHeight w:val="280"/>
        </w:trPr>
        <w:tc>
          <w:tcPr>
            <w:tcW w:w="2415" w:type="dxa"/>
            <w:shd w:val="clear" w:color="auto" w:fill="auto"/>
            <w:noWrap/>
            <w:vAlign w:val="bottom"/>
          </w:tcPr>
          <w:p w14:paraId="0E33B78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Fepulea'I Sinapi Moli</w:t>
            </w:r>
          </w:p>
        </w:tc>
        <w:tc>
          <w:tcPr>
            <w:tcW w:w="3544" w:type="dxa"/>
            <w:shd w:val="clear" w:color="auto" w:fill="auto"/>
            <w:noWrap/>
            <w:vAlign w:val="bottom"/>
          </w:tcPr>
          <w:p w14:paraId="711398C4"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Samoa Qualifications Authority</w:t>
            </w:r>
          </w:p>
        </w:tc>
        <w:tc>
          <w:tcPr>
            <w:tcW w:w="2546" w:type="dxa"/>
            <w:shd w:val="clear" w:color="auto" w:fill="auto"/>
            <w:noWrap/>
            <w:vAlign w:val="bottom"/>
          </w:tcPr>
          <w:p w14:paraId="17D88D4B"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22D337EB" w14:textId="77777777" w:rsidTr="00DD6E3C">
        <w:trPr>
          <w:trHeight w:val="280"/>
        </w:trPr>
        <w:tc>
          <w:tcPr>
            <w:tcW w:w="2415" w:type="dxa"/>
            <w:shd w:val="clear" w:color="auto" w:fill="auto"/>
            <w:noWrap/>
            <w:vAlign w:val="bottom"/>
          </w:tcPr>
          <w:p w14:paraId="4E215E4A"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Tepora Afamasaga-Wright</w:t>
            </w:r>
          </w:p>
        </w:tc>
        <w:tc>
          <w:tcPr>
            <w:tcW w:w="3544" w:type="dxa"/>
            <w:shd w:val="clear" w:color="auto" w:fill="auto"/>
            <w:noWrap/>
            <w:vAlign w:val="bottom"/>
          </w:tcPr>
          <w:p w14:paraId="712B254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Samoa Qualifications Authority</w:t>
            </w:r>
          </w:p>
        </w:tc>
        <w:tc>
          <w:tcPr>
            <w:tcW w:w="2546" w:type="dxa"/>
            <w:shd w:val="clear" w:color="auto" w:fill="auto"/>
            <w:noWrap/>
            <w:vAlign w:val="bottom"/>
          </w:tcPr>
          <w:p w14:paraId="1F412FCB"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3B552E47" w14:textId="77777777" w:rsidTr="00DD6E3C">
        <w:trPr>
          <w:trHeight w:val="280"/>
        </w:trPr>
        <w:tc>
          <w:tcPr>
            <w:tcW w:w="2415" w:type="dxa"/>
            <w:shd w:val="clear" w:color="auto" w:fill="auto"/>
            <w:noWrap/>
            <w:vAlign w:val="bottom"/>
          </w:tcPr>
          <w:p w14:paraId="1C14FC8D"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Leota Valma Galuvao</w:t>
            </w:r>
          </w:p>
        </w:tc>
        <w:tc>
          <w:tcPr>
            <w:tcW w:w="3544" w:type="dxa"/>
            <w:shd w:val="clear" w:color="auto" w:fill="auto"/>
            <w:noWrap/>
            <w:vAlign w:val="bottom"/>
          </w:tcPr>
          <w:p w14:paraId="6C29805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Ministry of Education Sports and Culture</w:t>
            </w:r>
          </w:p>
        </w:tc>
        <w:tc>
          <w:tcPr>
            <w:tcW w:w="2546" w:type="dxa"/>
            <w:shd w:val="clear" w:color="auto" w:fill="auto"/>
            <w:noWrap/>
            <w:vAlign w:val="bottom"/>
          </w:tcPr>
          <w:p w14:paraId="0F2C8E2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1FA2AAE9" w14:textId="77777777" w:rsidTr="00DD6E3C">
        <w:trPr>
          <w:trHeight w:val="280"/>
        </w:trPr>
        <w:tc>
          <w:tcPr>
            <w:tcW w:w="2415" w:type="dxa"/>
            <w:shd w:val="clear" w:color="auto" w:fill="auto"/>
            <w:noWrap/>
            <w:vAlign w:val="bottom"/>
          </w:tcPr>
          <w:p w14:paraId="4DDD2CAA"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Matafeo Tanielu Aiafi</w:t>
            </w:r>
          </w:p>
        </w:tc>
        <w:tc>
          <w:tcPr>
            <w:tcW w:w="3544" w:type="dxa"/>
            <w:shd w:val="clear" w:color="auto" w:fill="auto"/>
            <w:noWrap/>
            <w:vAlign w:val="bottom"/>
          </w:tcPr>
          <w:p w14:paraId="39074B8D"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Ministry of Education Sports and Culture</w:t>
            </w:r>
          </w:p>
        </w:tc>
        <w:tc>
          <w:tcPr>
            <w:tcW w:w="2546" w:type="dxa"/>
            <w:shd w:val="clear" w:color="auto" w:fill="auto"/>
            <w:noWrap/>
            <w:vAlign w:val="bottom"/>
          </w:tcPr>
          <w:p w14:paraId="67EA393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7E5295D8" w14:textId="77777777" w:rsidTr="00DD6E3C">
        <w:trPr>
          <w:trHeight w:val="280"/>
        </w:trPr>
        <w:tc>
          <w:tcPr>
            <w:tcW w:w="2415" w:type="dxa"/>
            <w:shd w:val="clear" w:color="auto" w:fill="auto"/>
            <w:noWrap/>
            <w:vAlign w:val="bottom"/>
          </w:tcPr>
          <w:p w14:paraId="3E8366A4"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Noumea Simi</w:t>
            </w:r>
          </w:p>
        </w:tc>
        <w:tc>
          <w:tcPr>
            <w:tcW w:w="3544" w:type="dxa"/>
            <w:shd w:val="clear" w:color="auto" w:fill="auto"/>
            <w:noWrap/>
            <w:vAlign w:val="bottom"/>
          </w:tcPr>
          <w:p w14:paraId="52056BAE"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Ministry of Finance</w:t>
            </w:r>
          </w:p>
        </w:tc>
        <w:tc>
          <w:tcPr>
            <w:tcW w:w="2546" w:type="dxa"/>
            <w:shd w:val="clear" w:color="auto" w:fill="auto"/>
            <w:noWrap/>
            <w:vAlign w:val="bottom"/>
          </w:tcPr>
          <w:p w14:paraId="3500E4B4"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6AC1390A" w14:textId="77777777" w:rsidTr="00DD6E3C">
        <w:trPr>
          <w:trHeight w:val="280"/>
        </w:trPr>
        <w:tc>
          <w:tcPr>
            <w:tcW w:w="2415" w:type="dxa"/>
            <w:shd w:val="clear" w:color="auto" w:fill="auto"/>
            <w:noWrap/>
            <w:vAlign w:val="bottom"/>
          </w:tcPr>
          <w:p w14:paraId="414B721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Faamatuainu Suifua</w:t>
            </w:r>
          </w:p>
        </w:tc>
        <w:tc>
          <w:tcPr>
            <w:tcW w:w="3544" w:type="dxa"/>
            <w:shd w:val="clear" w:color="auto" w:fill="auto"/>
            <w:noWrap/>
            <w:vAlign w:val="bottom"/>
          </w:tcPr>
          <w:p w14:paraId="066572B8"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Samoa Tourism Authority</w:t>
            </w:r>
          </w:p>
        </w:tc>
        <w:tc>
          <w:tcPr>
            <w:tcW w:w="2546" w:type="dxa"/>
            <w:shd w:val="clear" w:color="auto" w:fill="auto"/>
            <w:noWrap/>
            <w:vAlign w:val="bottom"/>
          </w:tcPr>
          <w:p w14:paraId="7CEEA873"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4AE847F2" w14:textId="77777777" w:rsidTr="00DD6E3C">
        <w:trPr>
          <w:trHeight w:val="280"/>
        </w:trPr>
        <w:tc>
          <w:tcPr>
            <w:tcW w:w="2415" w:type="dxa"/>
            <w:shd w:val="clear" w:color="auto" w:fill="auto"/>
            <w:noWrap/>
            <w:vAlign w:val="bottom"/>
          </w:tcPr>
          <w:p w14:paraId="11B618D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Jade Eli</w:t>
            </w:r>
          </w:p>
        </w:tc>
        <w:tc>
          <w:tcPr>
            <w:tcW w:w="3544" w:type="dxa"/>
            <w:shd w:val="clear" w:color="auto" w:fill="auto"/>
            <w:noWrap/>
            <w:vAlign w:val="bottom"/>
          </w:tcPr>
          <w:p w14:paraId="11E2B7C9"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Samoa Tourism Authority</w:t>
            </w:r>
          </w:p>
        </w:tc>
        <w:tc>
          <w:tcPr>
            <w:tcW w:w="2546" w:type="dxa"/>
            <w:shd w:val="clear" w:color="auto" w:fill="auto"/>
            <w:noWrap/>
            <w:vAlign w:val="bottom"/>
          </w:tcPr>
          <w:p w14:paraId="41B153CA"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1049EBB9" w14:textId="77777777" w:rsidTr="00DD6E3C">
        <w:trPr>
          <w:trHeight w:val="280"/>
        </w:trPr>
        <w:tc>
          <w:tcPr>
            <w:tcW w:w="2415" w:type="dxa"/>
            <w:shd w:val="clear" w:color="auto" w:fill="auto"/>
            <w:noWrap/>
            <w:vAlign w:val="bottom"/>
          </w:tcPr>
          <w:p w14:paraId="4C1CE767"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Papali'I Matatamali'I Sonja Hunter</w:t>
            </w:r>
          </w:p>
        </w:tc>
        <w:tc>
          <w:tcPr>
            <w:tcW w:w="3544" w:type="dxa"/>
            <w:shd w:val="clear" w:color="auto" w:fill="auto"/>
            <w:noWrap/>
            <w:vAlign w:val="bottom"/>
          </w:tcPr>
          <w:p w14:paraId="0BE6481E"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Samoa Tourism Authority</w:t>
            </w:r>
          </w:p>
        </w:tc>
        <w:tc>
          <w:tcPr>
            <w:tcW w:w="2546" w:type="dxa"/>
            <w:shd w:val="clear" w:color="auto" w:fill="auto"/>
            <w:noWrap/>
            <w:vAlign w:val="bottom"/>
          </w:tcPr>
          <w:p w14:paraId="1C69576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0688ABA0" w14:textId="77777777" w:rsidTr="00DD6E3C">
        <w:trPr>
          <w:trHeight w:val="280"/>
        </w:trPr>
        <w:tc>
          <w:tcPr>
            <w:tcW w:w="2415" w:type="dxa"/>
            <w:shd w:val="clear" w:color="auto" w:fill="auto"/>
            <w:noWrap/>
            <w:vAlign w:val="bottom"/>
          </w:tcPr>
          <w:p w14:paraId="7EE4D69E"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Benjamin Sila</w:t>
            </w:r>
          </w:p>
        </w:tc>
        <w:tc>
          <w:tcPr>
            <w:tcW w:w="3544" w:type="dxa"/>
            <w:shd w:val="clear" w:color="auto" w:fill="auto"/>
            <w:noWrap/>
            <w:vAlign w:val="bottom"/>
          </w:tcPr>
          <w:p w14:paraId="2C0A775E"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Samoa Bureau of Statistics</w:t>
            </w:r>
          </w:p>
        </w:tc>
        <w:tc>
          <w:tcPr>
            <w:tcW w:w="2546" w:type="dxa"/>
            <w:shd w:val="clear" w:color="auto" w:fill="auto"/>
            <w:noWrap/>
            <w:vAlign w:val="bottom"/>
          </w:tcPr>
          <w:p w14:paraId="2892105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Government of Samoa</w:t>
            </w:r>
          </w:p>
        </w:tc>
      </w:tr>
      <w:tr w:rsidR="008F00FD" w:rsidRPr="009B1BE5" w14:paraId="0B00828A" w14:textId="77777777" w:rsidTr="00DD6E3C">
        <w:trPr>
          <w:trHeight w:val="280"/>
        </w:trPr>
        <w:tc>
          <w:tcPr>
            <w:tcW w:w="2415" w:type="dxa"/>
            <w:shd w:val="clear" w:color="auto" w:fill="auto"/>
            <w:noWrap/>
            <w:vAlign w:val="bottom"/>
          </w:tcPr>
          <w:p w14:paraId="442CD57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Daniel Connelly</w:t>
            </w:r>
          </w:p>
        </w:tc>
        <w:tc>
          <w:tcPr>
            <w:tcW w:w="3544" w:type="dxa"/>
            <w:shd w:val="clear" w:color="auto" w:fill="auto"/>
            <w:noWrap/>
            <w:vAlign w:val="bottom"/>
          </w:tcPr>
          <w:p w14:paraId="0705325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National University of Samoa</w:t>
            </w:r>
          </w:p>
        </w:tc>
        <w:tc>
          <w:tcPr>
            <w:tcW w:w="2546" w:type="dxa"/>
            <w:shd w:val="clear" w:color="auto" w:fill="auto"/>
            <w:noWrap/>
            <w:vAlign w:val="bottom"/>
          </w:tcPr>
          <w:p w14:paraId="6D69B2E2"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Provider</w:t>
            </w:r>
          </w:p>
        </w:tc>
      </w:tr>
      <w:tr w:rsidR="008F00FD" w:rsidRPr="009B1BE5" w14:paraId="5B92D172" w14:textId="77777777" w:rsidTr="00DD6E3C">
        <w:trPr>
          <w:trHeight w:val="280"/>
        </w:trPr>
        <w:tc>
          <w:tcPr>
            <w:tcW w:w="2415" w:type="dxa"/>
            <w:shd w:val="clear" w:color="auto" w:fill="auto"/>
            <w:noWrap/>
            <w:vAlign w:val="bottom"/>
          </w:tcPr>
          <w:p w14:paraId="2D9C941E"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Leapai Dr Asofou Soo - VC</w:t>
            </w:r>
          </w:p>
        </w:tc>
        <w:tc>
          <w:tcPr>
            <w:tcW w:w="3544" w:type="dxa"/>
            <w:shd w:val="clear" w:color="auto" w:fill="auto"/>
            <w:noWrap/>
            <w:vAlign w:val="bottom"/>
          </w:tcPr>
          <w:p w14:paraId="6AEB0E46"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National University of Samoa</w:t>
            </w:r>
          </w:p>
        </w:tc>
        <w:tc>
          <w:tcPr>
            <w:tcW w:w="2546" w:type="dxa"/>
            <w:shd w:val="clear" w:color="auto" w:fill="auto"/>
            <w:noWrap/>
            <w:vAlign w:val="bottom"/>
          </w:tcPr>
          <w:p w14:paraId="568F894A"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Provider</w:t>
            </w:r>
          </w:p>
        </w:tc>
      </w:tr>
      <w:tr w:rsidR="008F00FD" w:rsidRPr="009B1BE5" w14:paraId="6A4F6042" w14:textId="77777777" w:rsidTr="00DD6E3C">
        <w:trPr>
          <w:trHeight w:val="280"/>
        </w:trPr>
        <w:tc>
          <w:tcPr>
            <w:tcW w:w="2415" w:type="dxa"/>
            <w:shd w:val="clear" w:color="auto" w:fill="auto"/>
            <w:noWrap/>
            <w:vAlign w:val="bottom"/>
          </w:tcPr>
          <w:p w14:paraId="2A79DC08"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Leia Faiumu</w:t>
            </w:r>
          </w:p>
        </w:tc>
        <w:tc>
          <w:tcPr>
            <w:tcW w:w="3544" w:type="dxa"/>
            <w:shd w:val="clear" w:color="auto" w:fill="auto"/>
            <w:noWrap/>
            <w:vAlign w:val="bottom"/>
          </w:tcPr>
          <w:p w14:paraId="1FFADBAD"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National University of Samoa</w:t>
            </w:r>
          </w:p>
        </w:tc>
        <w:tc>
          <w:tcPr>
            <w:tcW w:w="2546" w:type="dxa"/>
            <w:shd w:val="clear" w:color="auto" w:fill="auto"/>
            <w:noWrap/>
            <w:vAlign w:val="bottom"/>
          </w:tcPr>
          <w:p w14:paraId="75CA3B3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Provider</w:t>
            </w:r>
          </w:p>
        </w:tc>
      </w:tr>
      <w:tr w:rsidR="008F00FD" w:rsidRPr="009B1BE5" w14:paraId="1C84AE2B" w14:textId="77777777" w:rsidTr="00DD6E3C">
        <w:trPr>
          <w:trHeight w:val="280"/>
        </w:trPr>
        <w:tc>
          <w:tcPr>
            <w:tcW w:w="2415" w:type="dxa"/>
            <w:shd w:val="clear" w:color="auto" w:fill="auto"/>
            <w:noWrap/>
            <w:vAlign w:val="bottom"/>
          </w:tcPr>
          <w:p w14:paraId="022CC0B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Papu Fala</w:t>
            </w:r>
          </w:p>
        </w:tc>
        <w:tc>
          <w:tcPr>
            <w:tcW w:w="3544" w:type="dxa"/>
            <w:shd w:val="clear" w:color="auto" w:fill="auto"/>
            <w:noWrap/>
            <w:vAlign w:val="bottom"/>
          </w:tcPr>
          <w:p w14:paraId="09EAB056"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Don Bosco Technical Institute</w:t>
            </w:r>
          </w:p>
        </w:tc>
        <w:tc>
          <w:tcPr>
            <w:tcW w:w="2546" w:type="dxa"/>
            <w:shd w:val="clear" w:color="auto" w:fill="auto"/>
            <w:noWrap/>
            <w:vAlign w:val="bottom"/>
          </w:tcPr>
          <w:p w14:paraId="0B7B8407"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Provider</w:t>
            </w:r>
          </w:p>
        </w:tc>
      </w:tr>
      <w:tr w:rsidR="008F00FD" w:rsidRPr="009B1BE5" w14:paraId="702C5D63" w14:textId="77777777" w:rsidTr="00DD6E3C">
        <w:trPr>
          <w:trHeight w:val="280"/>
        </w:trPr>
        <w:tc>
          <w:tcPr>
            <w:tcW w:w="2415" w:type="dxa"/>
            <w:shd w:val="clear" w:color="auto" w:fill="auto"/>
            <w:noWrap/>
            <w:vAlign w:val="bottom"/>
          </w:tcPr>
          <w:p w14:paraId="291A6398"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Fatu Leitufiaoatua</w:t>
            </w:r>
          </w:p>
        </w:tc>
        <w:tc>
          <w:tcPr>
            <w:tcW w:w="3544" w:type="dxa"/>
            <w:shd w:val="clear" w:color="auto" w:fill="auto"/>
            <w:noWrap/>
            <w:vAlign w:val="bottom"/>
          </w:tcPr>
          <w:p w14:paraId="746B8519"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Faculty of Applied Science, NUS</w:t>
            </w:r>
          </w:p>
        </w:tc>
        <w:tc>
          <w:tcPr>
            <w:tcW w:w="2546" w:type="dxa"/>
            <w:shd w:val="clear" w:color="auto" w:fill="auto"/>
            <w:noWrap/>
            <w:vAlign w:val="bottom"/>
          </w:tcPr>
          <w:p w14:paraId="5BDE09D7"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Provider</w:t>
            </w:r>
          </w:p>
        </w:tc>
      </w:tr>
      <w:tr w:rsidR="008F00FD" w:rsidRPr="009B1BE5" w14:paraId="4CCDE1DF" w14:textId="77777777" w:rsidTr="00DD6E3C">
        <w:trPr>
          <w:trHeight w:val="280"/>
        </w:trPr>
        <w:tc>
          <w:tcPr>
            <w:tcW w:w="2415" w:type="dxa"/>
            <w:shd w:val="clear" w:color="auto" w:fill="auto"/>
            <w:noWrap/>
            <w:vAlign w:val="bottom"/>
          </w:tcPr>
          <w:p w14:paraId="71078876"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Lianeta Tanamika Iyaroi</w:t>
            </w:r>
          </w:p>
        </w:tc>
        <w:tc>
          <w:tcPr>
            <w:tcW w:w="3544" w:type="dxa"/>
            <w:shd w:val="clear" w:color="auto" w:fill="auto"/>
            <w:noWrap/>
            <w:vAlign w:val="bottom"/>
          </w:tcPr>
          <w:p w14:paraId="490B0D7A"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Faculty of Applied Science, NUS</w:t>
            </w:r>
          </w:p>
        </w:tc>
        <w:tc>
          <w:tcPr>
            <w:tcW w:w="2546" w:type="dxa"/>
            <w:shd w:val="clear" w:color="auto" w:fill="auto"/>
            <w:noWrap/>
            <w:vAlign w:val="bottom"/>
          </w:tcPr>
          <w:p w14:paraId="4810EFD7"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Provider</w:t>
            </w:r>
          </w:p>
        </w:tc>
      </w:tr>
      <w:tr w:rsidR="008F00FD" w:rsidRPr="009B1BE5" w14:paraId="63071823" w14:textId="77777777" w:rsidTr="00DD6E3C">
        <w:trPr>
          <w:trHeight w:val="280"/>
        </w:trPr>
        <w:tc>
          <w:tcPr>
            <w:tcW w:w="2415" w:type="dxa"/>
            <w:shd w:val="clear" w:color="auto" w:fill="auto"/>
            <w:noWrap/>
            <w:vAlign w:val="bottom"/>
          </w:tcPr>
          <w:p w14:paraId="115F0EE4"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Breda Faitua</w:t>
            </w:r>
          </w:p>
        </w:tc>
        <w:tc>
          <w:tcPr>
            <w:tcW w:w="3544" w:type="dxa"/>
            <w:shd w:val="clear" w:color="auto" w:fill="auto"/>
            <w:noWrap/>
            <w:vAlign w:val="bottom"/>
          </w:tcPr>
          <w:p w14:paraId="06CB035E"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Coral Reef Academy</w:t>
            </w:r>
          </w:p>
        </w:tc>
        <w:tc>
          <w:tcPr>
            <w:tcW w:w="2546" w:type="dxa"/>
            <w:shd w:val="clear" w:color="auto" w:fill="auto"/>
            <w:noWrap/>
            <w:vAlign w:val="bottom"/>
          </w:tcPr>
          <w:p w14:paraId="354CEC04"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73F522E8" w14:textId="77777777" w:rsidTr="00DD6E3C">
        <w:trPr>
          <w:trHeight w:val="280"/>
        </w:trPr>
        <w:tc>
          <w:tcPr>
            <w:tcW w:w="2415" w:type="dxa"/>
            <w:shd w:val="clear" w:color="auto" w:fill="auto"/>
            <w:noWrap/>
            <w:vAlign w:val="bottom"/>
          </w:tcPr>
          <w:p w14:paraId="2235E9E2"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Edwina Rasmussen</w:t>
            </w:r>
          </w:p>
        </w:tc>
        <w:tc>
          <w:tcPr>
            <w:tcW w:w="3544" w:type="dxa"/>
            <w:shd w:val="clear" w:color="auto" w:fill="auto"/>
            <w:noWrap/>
            <w:vAlign w:val="bottom"/>
          </w:tcPr>
          <w:p w14:paraId="095A3D8D"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Edwina's Beauty Salon</w:t>
            </w:r>
          </w:p>
        </w:tc>
        <w:tc>
          <w:tcPr>
            <w:tcW w:w="2546" w:type="dxa"/>
            <w:shd w:val="clear" w:color="auto" w:fill="auto"/>
            <w:noWrap/>
            <w:vAlign w:val="bottom"/>
          </w:tcPr>
          <w:p w14:paraId="65F7F168"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51AED4F4" w14:textId="77777777" w:rsidTr="00DD6E3C">
        <w:trPr>
          <w:trHeight w:val="280"/>
        </w:trPr>
        <w:tc>
          <w:tcPr>
            <w:tcW w:w="2415" w:type="dxa"/>
            <w:shd w:val="clear" w:color="auto" w:fill="auto"/>
            <w:noWrap/>
            <w:vAlign w:val="bottom"/>
          </w:tcPr>
          <w:p w14:paraId="1E490F5A"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Douglas Tomane</w:t>
            </w:r>
          </w:p>
        </w:tc>
        <w:tc>
          <w:tcPr>
            <w:tcW w:w="3544" w:type="dxa"/>
            <w:shd w:val="clear" w:color="auto" w:fill="auto"/>
            <w:noWrap/>
            <w:vAlign w:val="bottom"/>
          </w:tcPr>
          <w:p w14:paraId="73DEA6EA"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Electric Power Corporation</w:t>
            </w:r>
          </w:p>
        </w:tc>
        <w:tc>
          <w:tcPr>
            <w:tcW w:w="2546" w:type="dxa"/>
            <w:shd w:val="clear" w:color="auto" w:fill="auto"/>
            <w:noWrap/>
            <w:vAlign w:val="bottom"/>
          </w:tcPr>
          <w:p w14:paraId="3FB65A3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410E3F44" w14:textId="77777777" w:rsidTr="00DD6E3C">
        <w:trPr>
          <w:trHeight w:val="280"/>
        </w:trPr>
        <w:tc>
          <w:tcPr>
            <w:tcW w:w="2415" w:type="dxa"/>
            <w:shd w:val="clear" w:color="auto" w:fill="auto"/>
            <w:noWrap/>
            <w:vAlign w:val="bottom"/>
          </w:tcPr>
          <w:p w14:paraId="3B2C7599"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Toni Atilia</w:t>
            </w:r>
          </w:p>
        </w:tc>
        <w:tc>
          <w:tcPr>
            <w:tcW w:w="3544" w:type="dxa"/>
            <w:shd w:val="clear" w:color="auto" w:fill="auto"/>
            <w:noWrap/>
            <w:vAlign w:val="bottom"/>
          </w:tcPr>
          <w:p w14:paraId="33A84A12"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Electric Power Corporation</w:t>
            </w:r>
          </w:p>
        </w:tc>
        <w:tc>
          <w:tcPr>
            <w:tcW w:w="2546" w:type="dxa"/>
            <w:shd w:val="clear" w:color="auto" w:fill="auto"/>
            <w:noWrap/>
            <w:vAlign w:val="bottom"/>
          </w:tcPr>
          <w:p w14:paraId="5A2E660F"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35FE5E31" w14:textId="77777777" w:rsidTr="00DD6E3C">
        <w:trPr>
          <w:trHeight w:val="280"/>
        </w:trPr>
        <w:tc>
          <w:tcPr>
            <w:tcW w:w="2415" w:type="dxa"/>
            <w:shd w:val="clear" w:color="auto" w:fill="auto"/>
            <w:noWrap/>
            <w:vAlign w:val="bottom"/>
          </w:tcPr>
          <w:p w14:paraId="5A9DEA2B"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Caroline Ah Chong</w:t>
            </w:r>
          </w:p>
        </w:tc>
        <w:tc>
          <w:tcPr>
            <w:tcW w:w="3544" w:type="dxa"/>
            <w:shd w:val="clear" w:color="auto" w:fill="auto"/>
            <w:noWrap/>
            <w:vAlign w:val="bottom"/>
          </w:tcPr>
          <w:p w14:paraId="772D64F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Faa taua le Ola (FLO)</w:t>
            </w:r>
          </w:p>
        </w:tc>
        <w:tc>
          <w:tcPr>
            <w:tcW w:w="2546" w:type="dxa"/>
            <w:shd w:val="clear" w:color="auto" w:fill="auto"/>
            <w:noWrap/>
            <w:vAlign w:val="bottom"/>
          </w:tcPr>
          <w:p w14:paraId="238810EF"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5BF40923" w14:textId="77777777" w:rsidTr="00DD6E3C">
        <w:trPr>
          <w:trHeight w:val="280"/>
        </w:trPr>
        <w:tc>
          <w:tcPr>
            <w:tcW w:w="2415" w:type="dxa"/>
            <w:shd w:val="clear" w:color="auto" w:fill="auto"/>
            <w:noWrap/>
            <w:vAlign w:val="bottom"/>
          </w:tcPr>
          <w:p w14:paraId="7A704E92"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Anthony Ygosse</w:t>
            </w:r>
          </w:p>
        </w:tc>
        <w:tc>
          <w:tcPr>
            <w:tcW w:w="3544" w:type="dxa"/>
            <w:shd w:val="clear" w:color="auto" w:fill="auto"/>
            <w:noWrap/>
            <w:vAlign w:val="bottom"/>
          </w:tcPr>
          <w:p w14:paraId="41832FE6"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Fletcher Construction</w:t>
            </w:r>
          </w:p>
        </w:tc>
        <w:tc>
          <w:tcPr>
            <w:tcW w:w="2546" w:type="dxa"/>
            <w:shd w:val="clear" w:color="auto" w:fill="auto"/>
            <w:noWrap/>
            <w:vAlign w:val="bottom"/>
          </w:tcPr>
          <w:p w14:paraId="60D163F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74308111" w14:textId="77777777" w:rsidTr="00DD6E3C">
        <w:trPr>
          <w:trHeight w:val="280"/>
        </w:trPr>
        <w:tc>
          <w:tcPr>
            <w:tcW w:w="2415" w:type="dxa"/>
            <w:shd w:val="clear" w:color="auto" w:fill="auto"/>
            <w:noWrap/>
            <w:vAlign w:val="bottom"/>
          </w:tcPr>
          <w:p w14:paraId="3C0F75D5"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Adel Kruse</w:t>
            </w:r>
          </w:p>
        </w:tc>
        <w:tc>
          <w:tcPr>
            <w:tcW w:w="3544" w:type="dxa"/>
            <w:shd w:val="clear" w:color="auto" w:fill="auto"/>
            <w:noWrap/>
            <w:vAlign w:val="bottom"/>
          </w:tcPr>
          <w:p w14:paraId="3828385B"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Insel Fehman Hotel</w:t>
            </w:r>
          </w:p>
        </w:tc>
        <w:tc>
          <w:tcPr>
            <w:tcW w:w="2546" w:type="dxa"/>
            <w:shd w:val="clear" w:color="auto" w:fill="auto"/>
            <w:noWrap/>
            <w:vAlign w:val="bottom"/>
          </w:tcPr>
          <w:p w14:paraId="7A06DBF0"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782EF107" w14:textId="77777777" w:rsidTr="00DD6E3C">
        <w:trPr>
          <w:trHeight w:val="280"/>
        </w:trPr>
        <w:tc>
          <w:tcPr>
            <w:tcW w:w="2415" w:type="dxa"/>
            <w:shd w:val="clear" w:color="auto" w:fill="auto"/>
            <w:noWrap/>
            <w:vAlign w:val="bottom"/>
          </w:tcPr>
          <w:p w14:paraId="03D46530"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Anasetasia Magele</w:t>
            </w:r>
          </w:p>
        </w:tc>
        <w:tc>
          <w:tcPr>
            <w:tcW w:w="3544" w:type="dxa"/>
            <w:shd w:val="clear" w:color="auto" w:fill="auto"/>
            <w:noWrap/>
            <w:vAlign w:val="bottom"/>
          </w:tcPr>
          <w:p w14:paraId="063A873B"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NCECES</w:t>
            </w:r>
          </w:p>
        </w:tc>
        <w:tc>
          <w:tcPr>
            <w:tcW w:w="2546" w:type="dxa"/>
            <w:shd w:val="clear" w:color="auto" w:fill="auto"/>
            <w:noWrap/>
            <w:vAlign w:val="bottom"/>
          </w:tcPr>
          <w:p w14:paraId="0E629D08"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0008ADD4" w14:textId="77777777" w:rsidTr="00DD6E3C">
        <w:trPr>
          <w:trHeight w:val="280"/>
        </w:trPr>
        <w:tc>
          <w:tcPr>
            <w:tcW w:w="2415" w:type="dxa"/>
            <w:shd w:val="clear" w:color="auto" w:fill="auto"/>
            <w:noWrap/>
            <w:vAlign w:val="bottom"/>
          </w:tcPr>
          <w:p w14:paraId="3BE1916E"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Mele Pagaialii</w:t>
            </w:r>
          </w:p>
        </w:tc>
        <w:tc>
          <w:tcPr>
            <w:tcW w:w="3544" w:type="dxa"/>
            <w:shd w:val="clear" w:color="auto" w:fill="auto"/>
            <w:noWrap/>
            <w:vAlign w:val="bottom"/>
          </w:tcPr>
          <w:p w14:paraId="5794F46A"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Peace Chapel Preschool</w:t>
            </w:r>
          </w:p>
        </w:tc>
        <w:tc>
          <w:tcPr>
            <w:tcW w:w="2546" w:type="dxa"/>
            <w:shd w:val="clear" w:color="auto" w:fill="auto"/>
            <w:noWrap/>
            <w:vAlign w:val="bottom"/>
          </w:tcPr>
          <w:p w14:paraId="08715CFB"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4EA2E912" w14:textId="77777777" w:rsidTr="00DD6E3C">
        <w:trPr>
          <w:trHeight w:val="280"/>
        </w:trPr>
        <w:tc>
          <w:tcPr>
            <w:tcW w:w="2415" w:type="dxa"/>
            <w:shd w:val="clear" w:color="auto" w:fill="auto"/>
            <w:noWrap/>
            <w:vAlign w:val="bottom"/>
          </w:tcPr>
          <w:p w14:paraId="68014AA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Meki Tu'u'u</w:t>
            </w:r>
          </w:p>
        </w:tc>
        <w:tc>
          <w:tcPr>
            <w:tcW w:w="3544" w:type="dxa"/>
            <w:shd w:val="clear" w:color="auto" w:fill="auto"/>
            <w:noWrap/>
            <w:vAlign w:val="bottom"/>
          </w:tcPr>
          <w:p w14:paraId="149A8C38"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Plumbing Association of Samoa</w:t>
            </w:r>
          </w:p>
        </w:tc>
        <w:tc>
          <w:tcPr>
            <w:tcW w:w="2546" w:type="dxa"/>
            <w:shd w:val="clear" w:color="auto" w:fill="auto"/>
            <w:noWrap/>
            <w:vAlign w:val="bottom"/>
          </w:tcPr>
          <w:p w14:paraId="0801F865"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0152D7B7" w14:textId="77777777" w:rsidTr="00DD6E3C">
        <w:trPr>
          <w:trHeight w:val="280"/>
        </w:trPr>
        <w:tc>
          <w:tcPr>
            <w:tcW w:w="2415" w:type="dxa"/>
            <w:shd w:val="clear" w:color="auto" w:fill="auto"/>
            <w:noWrap/>
            <w:vAlign w:val="bottom"/>
          </w:tcPr>
          <w:p w14:paraId="5AD44216"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Ian Black</w:t>
            </w:r>
          </w:p>
        </w:tc>
        <w:tc>
          <w:tcPr>
            <w:tcW w:w="3544" w:type="dxa"/>
            <w:shd w:val="clear" w:color="auto" w:fill="auto"/>
            <w:noWrap/>
            <w:vAlign w:val="bottom"/>
          </w:tcPr>
          <w:p w14:paraId="1BF82B13"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Sails Restaurant</w:t>
            </w:r>
          </w:p>
        </w:tc>
        <w:tc>
          <w:tcPr>
            <w:tcW w:w="2546" w:type="dxa"/>
            <w:shd w:val="clear" w:color="auto" w:fill="auto"/>
            <w:noWrap/>
            <w:vAlign w:val="bottom"/>
          </w:tcPr>
          <w:p w14:paraId="1A992CA8"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6674976D" w14:textId="77777777" w:rsidTr="00DD6E3C">
        <w:trPr>
          <w:trHeight w:val="280"/>
        </w:trPr>
        <w:tc>
          <w:tcPr>
            <w:tcW w:w="2415" w:type="dxa"/>
            <w:shd w:val="clear" w:color="auto" w:fill="auto"/>
            <w:noWrap/>
            <w:vAlign w:val="bottom"/>
          </w:tcPr>
          <w:p w14:paraId="622A412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Sheree Stehlin</w:t>
            </w:r>
          </w:p>
        </w:tc>
        <w:tc>
          <w:tcPr>
            <w:tcW w:w="3544" w:type="dxa"/>
            <w:shd w:val="clear" w:color="auto" w:fill="auto"/>
            <w:noWrap/>
            <w:vAlign w:val="bottom"/>
          </w:tcPr>
          <w:p w14:paraId="0A132FF2"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Salon Sheree</w:t>
            </w:r>
          </w:p>
        </w:tc>
        <w:tc>
          <w:tcPr>
            <w:tcW w:w="2546" w:type="dxa"/>
            <w:shd w:val="clear" w:color="auto" w:fill="auto"/>
            <w:noWrap/>
            <w:vAlign w:val="bottom"/>
          </w:tcPr>
          <w:p w14:paraId="1D2318A1"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424BABE2" w14:textId="77777777" w:rsidTr="00DD6E3C">
        <w:trPr>
          <w:trHeight w:val="280"/>
        </w:trPr>
        <w:tc>
          <w:tcPr>
            <w:tcW w:w="2415" w:type="dxa"/>
            <w:shd w:val="clear" w:color="auto" w:fill="auto"/>
            <w:noWrap/>
            <w:vAlign w:val="bottom"/>
          </w:tcPr>
          <w:p w14:paraId="21E2209E"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Laisene Tuioti Mariner</w:t>
            </w:r>
          </w:p>
        </w:tc>
        <w:tc>
          <w:tcPr>
            <w:tcW w:w="3544" w:type="dxa"/>
            <w:shd w:val="clear" w:color="auto" w:fill="auto"/>
            <w:noWrap/>
            <w:vAlign w:val="bottom"/>
          </w:tcPr>
          <w:p w14:paraId="7B0A1613"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Samoa Association of Manufacturers and Exporters</w:t>
            </w:r>
          </w:p>
        </w:tc>
        <w:tc>
          <w:tcPr>
            <w:tcW w:w="2546" w:type="dxa"/>
            <w:shd w:val="clear" w:color="auto" w:fill="auto"/>
            <w:noWrap/>
            <w:vAlign w:val="bottom"/>
          </w:tcPr>
          <w:p w14:paraId="4CFDDE72"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5B774112" w14:textId="77777777" w:rsidTr="00DD6E3C">
        <w:trPr>
          <w:trHeight w:val="280"/>
        </w:trPr>
        <w:tc>
          <w:tcPr>
            <w:tcW w:w="2415" w:type="dxa"/>
            <w:shd w:val="clear" w:color="auto" w:fill="auto"/>
            <w:noWrap/>
            <w:vAlign w:val="bottom"/>
          </w:tcPr>
          <w:p w14:paraId="6C0DC93A"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Kolone Tikeri</w:t>
            </w:r>
          </w:p>
        </w:tc>
        <w:tc>
          <w:tcPr>
            <w:tcW w:w="3544" w:type="dxa"/>
            <w:shd w:val="clear" w:color="auto" w:fill="auto"/>
            <w:noWrap/>
            <w:vAlign w:val="bottom"/>
          </w:tcPr>
          <w:p w14:paraId="67EDA4E3"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Samoa Water Authority</w:t>
            </w:r>
          </w:p>
        </w:tc>
        <w:tc>
          <w:tcPr>
            <w:tcW w:w="2546" w:type="dxa"/>
            <w:shd w:val="clear" w:color="auto" w:fill="auto"/>
            <w:noWrap/>
            <w:vAlign w:val="bottom"/>
          </w:tcPr>
          <w:p w14:paraId="22DB8B2F"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2E18D428" w14:textId="77777777" w:rsidTr="00DD6E3C">
        <w:trPr>
          <w:trHeight w:val="280"/>
        </w:trPr>
        <w:tc>
          <w:tcPr>
            <w:tcW w:w="2415" w:type="dxa"/>
            <w:shd w:val="clear" w:color="auto" w:fill="auto"/>
            <w:noWrap/>
            <w:vAlign w:val="bottom"/>
          </w:tcPr>
          <w:p w14:paraId="090835D2"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Mahendra Mahimkar</w:t>
            </w:r>
          </w:p>
        </w:tc>
        <w:tc>
          <w:tcPr>
            <w:tcW w:w="3544" w:type="dxa"/>
            <w:shd w:val="clear" w:color="auto" w:fill="auto"/>
            <w:noWrap/>
            <w:vAlign w:val="bottom"/>
          </w:tcPr>
          <w:p w14:paraId="1B056A72"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SENESE</w:t>
            </w:r>
          </w:p>
        </w:tc>
        <w:tc>
          <w:tcPr>
            <w:tcW w:w="2546" w:type="dxa"/>
            <w:shd w:val="clear" w:color="auto" w:fill="auto"/>
            <w:noWrap/>
            <w:vAlign w:val="bottom"/>
          </w:tcPr>
          <w:p w14:paraId="39D150E3"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020AA2AD" w14:textId="77777777" w:rsidTr="00DD6E3C">
        <w:trPr>
          <w:trHeight w:val="280"/>
        </w:trPr>
        <w:tc>
          <w:tcPr>
            <w:tcW w:w="2415" w:type="dxa"/>
            <w:tcBorders>
              <w:bottom w:val="single" w:sz="4" w:space="0" w:color="A8D08D" w:themeColor="accent6" w:themeTint="99"/>
            </w:tcBorders>
            <w:shd w:val="clear" w:color="auto" w:fill="auto"/>
            <w:noWrap/>
            <w:vAlign w:val="bottom"/>
          </w:tcPr>
          <w:p w14:paraId="098FC525"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Jason Strickland</w:t>
            </w:r>
          </w:p>
        </w:tc>
        <w:tc>
          <w:tcPr>
            <w:tcW w:w="3544" w:type="dxa"/>
            <w:tcBorders>
              <w:bottom w:val="single" w:sz="4" w:space="0" w:color="A8D08D" w:themeColor="accent6" w:themeTint="99"/>
            </w:tcBorders>
            <w:shd w:val="clear" w:color="auto" w:fill="auto"/>
            <w:noWrap/>
            <w:vAlign w:val="bottom"/>
          </w:tcPr>
          <w:p w14:paraId="6B8AE246"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 xml:space="preserve">Tanoa Tusitala </w:t>
            </w:r>
          </w:p>
        </w:tc>
        <w:tc>
          <w:tcPr>
            <w:tcW w:w="2546" w:type="dxa"/>
            <w:tcBorders>
              <w:bottom w:val="single" w:sz="4" w:space="0" w:color="A8D08D" w:themeColor="accent6" w:themeTint="99"/>
            </w:tcBorders>
            <w:shd w:val="clear" w:color="auto" w:fill="auto"/>
            <w:noWrap/>
            <w:vAlign w:val="bottom"/>
          </w:tcPr>
          <w:p w14:paraId="4A177C5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r w:rsidR="008F00FD" w:rsidRPr="009B1BE5" w14:paraId="13567BB5" w14:textId="77777777" w:rsidTr="00DD6E3C">
        <w:trPr>
          <w:trHeight w:val="280"/>
        </w:trPr>
        <w:tc>
          <w:tcPr>
            <w:tcW w:w="2415" w:type="dxa"/>
            <w:tcBorders>
              <w:top w:val="single" w:sz="4" w:space="0" w:color="A8D08D" w:themeColor="accent6" w:themeTint="99"/>
              <w:bottom w:val="single" w:sz="4" w:space="0" w:color="A8D08D" w:themeColor="accent6" w:themeTint="99"/>
            </w:tcBorders>
            <w:shd w:val="clear" w:color="auto" w:fill="auto"/>
            <w:noWrap/>
            <w:vAlign w:val="bottom"/>
          </w:tcPr>
          <w:p w14:paraId="6D0F84BC"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Charlotte Brunt</w:t>
            </w:r>
          </w:p>
        </w:tc>
        <w:tc>
          <w:tcPr>
            <w:tcW w:w="3544" w:type="dxa"/>
            <w:tcBorders>
              <w:top w:val="single" w:sz="4" w:space="0" w:color="A8D08D" w:themeColor="accent6" w:themeTint="99"/>
              <w:bottom w:val="single" w:sz="4" w:space="0" w:color="A8D08D" w:themeColor="accent6" w:themeTint="99"/>
            </w:tcBorders>
            <w:shd w:val="clear" w:color="auto" w:fill="auto"/>
            <w:noWrap/>
            <w:vAlign w:val="bottom"/>
          </w:tcPr>
          <w:p w14:paraId="076421DB"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The Orator</w:t>
            </w:r>
          </w:p>
        </w:tc>
        <w:tc>
          <w:tcPr>
            <w:tcW w:w="2546" w:type="dxa"/>
            <w:tcBorders>
              <w:top w:val="single" w:sz="4" w:space="0" w:color="A8D08D" w:themeColor="accent6" w:themeTint="99"/>
              <w:bottom w:val="single" w:sz="4" w:space="0" w:color="A8D08D" w:themeColor="accent6" w:themeTint="99"/>
            </w:tcBorders>
            <w:shd w:val="clear" w:color="auto" w:fill="auto"/>
            <w:noWrap/>
            <w:vAlign w:val="bottom"/>
          </w:tcPr>
          <w:p w14:paraId="277374D9" w14:textId="77777777" w:rsidR="008F00FD" w:rsidRPr="009B1BE5" w:rsidRDefault="008F00FD" w:rsidP="005F77A1">
            <w:pPr>
              <w:spacing w:before="20" w:after="20"/>
              <w:rPr>
                <w:rFonts w:cstheme="minorBidi"/>
                <w:color w:val="000000"/>
                <w:sz w:val="18"/>
                <w:szCs w:val="22"/>
              </w:rPr>
            </w:pPr>
            <w:r w:rsidRPr="009B1BE5">
              <w:rPr>
                <w:rFonts w:cstheme="minorBidi"/>
                <w:color w:val="000000"/>
                <w:sz w:val="18"/>
                <w:szCs w:val="22"/>
              </w:rPr>
              <w:t>Employer/Industry</w:t>
            </w:r>
          </w:p>
        </w:tc>
      </w:tr>
    </w:tbl>
    <w:p w14:paraId="2DF9AA17" w14:textId="77777777" w:rsidR="008F00FD" w:rsidRPr="00C645FA" w:rsidRDefault="008F00FD" w:rsidP="002028A6">
      <w:pPr>
        <w:pStyle w:val="Heading1"/>
      </w:pPr>
      <w:r>
        <w:br w:type="page"/>
      </w:r>
      <w:bookmarkStart w:id="102" w:name="_Toc278447831"/>
      <w:bookmarkStart w:id="103" w:name="_Toc278453304"/>
      <w:r w:rsidRPr="00C645FA">
        <w:lastRenderedPageBreak/>
        <w:t>PAPUA NEW GUINEA</w:t>
      </w:r>
      <w:bookmarkEnd w:id="102"/>
      <w:bookmarkEnd w:id="103"/>
    </w:p>
    <w:p w14:paraId="4D9284CC" w14:textId="2615D3D7" w:rsidR="00BB0716" w:rsidRDefault="00BB0716" w:rsidP="008F00FD">
      <w:pPr>
        <w:rPr>
          <w:b/>
        </w:rPr>
      </w:pPr>
      <w:r>
        <w:rPr>
          <w:b/>
        </w:rPr>
        <w:t xml:space="preserve">APTC graduates – </w:t>
      </w:r>
      <w:r w:rsidRPr="00DD6E3C">
        <w:t xml:space="preserve">108 </w:t>
      </w:r>
      <w:r w:rsidR="000F0E6E" w:rsidRPr="00DD6E3C">
        <w:t>individuals</w:t>
      </w:r>
    </w:p>
    <w:p w14:paraId="5DFF061A" w14:textId="77777777" w:rsidR="008F00FD" w:rsidRPr="00C645FA" w:rsidRDefault="008F00FD" w:rsidP="008F00FD">
      <w:pPr>
        <w:rPr>
          <w:b/>
        </w:rPr>
      </w:pPr>
      <w:r w:rsidRPr="004168C2">
        <w:rPr>
          <w:b/>
        </w:rPr>
        <w:t xml:space="preserve">APTC management, staff and </w:t>
      </w:r>
      <w:r>
        <w:rPr>
          <w:b/>
        </w:rPr>
        <w:t>graduates</w:t>
      </w:r>
    </w:p>
    <w:tbl>
      <w:tblPr>
        <w:tblW w:w="8612" w:type="dxa"/>
        <w:tblInd w:w="103" w:type="dxa"/>
        <w:tblBorders>
          <w:insideH w:val="single" w:sz="4" w:space="0" w:color="A8D08D" w:themeColor="accent6" w:themeTint="99"/>
          <w:insideV w:val="single" w:sz="4" w:space="0" w:color="A8D08D" w:themeColor="accent6" w:themeTint="99"/>
        </w:tblBorders>
        <w:tblLook w:val="0000" w:firstRow="0" w:lastRow="0" w:firstColumn="0" w:lastColumn="0" w:noHBand="0" w:noVBand="0"/>
      </w:tblPr>
      <w:tblGrid>
        <w:gridCol w:w="2547"/>
        <w:gridCol w:w="1892"/>
        <w:gridCol w:w="528"/>
        <w:gridCol w:w="2252"/>
        <w:gridCol w:w="1393"/>
      </w:tblGrid>
      <w:tr w:rsidR="008644A8" w:rsidRPr="006260F5" w14:paraId="7DC09765" w14:textId="1E259378" w:rsidTr="00DD6E3C">
        <w:trPr>
          <w:trHeight w:val="280"/>
        </w:trPr>
        <w:tc>
          <w:tcPr>
            <w:tcW w:w="2547" w:type="dxa"/>
            <w:shd w:val="clear" w:color="auto" w:fill="auto"/>
            <w:noWrap/>
            <w:vAlign w:val="bottom"/>
          </w:tcPr>
          <w:p w14:paraId="1B99F3CE"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Anna Gideon</w:t>
            </w:r>
          </w:p>
        </w:tc>
        <w:tc>
          <w:tcPr>
            <w:tcW w:w="1892" w:type="dxa"/>
            <w:shd w:val="clear" w:color="auto" w:fill="auto"/>
            <w:noWrap/>
            <w:vAlign w:val="bottom"/>
          </w:tcPr>
          <w:p w14:paraId="7C2AEFF0"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Administration</w:t>
            </w:r>
          </w:p>
        </w:tc>
        <w:tc>
          <w:tcPr>
            <w:tcW w:w="528" w:type="dxa"/>
          </w:tcPr>
          <w:p w14:paraId="3BA03EAC" w14:textId="77777777" w:rsidR="008644A8" w:rsidRPr="006260F5" w:rsidRDefault="008644A8">
            <w:pPr>
              <w:spacing w:after="0"/>
              <w:rPr>
                <w:rFonts w:cstheme="minorBidi"/>
                <w:color w:val="000000"/>
                <w:sz w:val="18"/>
                <w:szCs w:val="22"/>
              </w:rPr>
            </w:pPr>
          </w:p>
        </w:tc>
        <w:tc>
          <w:tcPr>
            <w:tcW w:w="2252" w:type="dxa"/>
            <w:shd w:val="clear" w:color="auto" w:fill="auto"/>
            <w:vAlign w:val="bottom"/>
          </w:tcPr>
          <w:p w14:paraId="22972B34" w14:textId="3F5F071A" w:rsidR="008644A8" w:rsidRPr="006260F5" w:rsidRDefault="008644A8">
            <w:pPr>
              <w:spacing w:after="0"/>
            </w:pPr>
            <w:r w:rsidRPr="006260F5">
              <w:rPr>
                <w:rFonts w:cstheme="minorBidi"/>
                <w:color w:val="000000"/>
                <w:sz w:val="18"/>
                <w:szCs w:val="22"/>
              </w:rPr>
              <w:t>Billy Apini</w:t>
            </w:r>
          </w:p>
        </w:tc>
        <w:tc>
          <w:tcPr>
            <w:tcW w:w="1393" w:type="dxa"/>
            <w:shd w:val="clear" w:color="auto" w:fill="auto"/>
            <w:vAlign w:val="bottom"/>
          </w:tcPr>
          <w:p w14:paraId="1C611DBE" w14:textId="37451322" w:rsidR="008644A8" w:rsidRPr="006260F5" w:rsidRDefault="008644A8">
            <w:pPr>
              <w:spacing w:after="0"/>
            </w:pPr>
            <w:r w:rsidRPr="006260F5">
              <w:rPr>
                <w:rFonts w:cstheme="minorBidi"/>
                <w:color w:val="000000"/>
                <w:sz w:val="18"/>
                <w:szCs w:val="22"/>
              </w:rPr>
              <w:t>Tutor</w:t>
            </w:r>
          </w:p>
        </w:tc>
      </w:tr>
      <w:tr w:rsidR="008644A8" w:rsidRPr="006260F5" w14:paraId="2A0C56F6" w14:textId="6FFBCF73" w:rsidTr="00DD6E3C">
        <w:trPr>
          <w:trHeight w:val="280"/>
        </w:trPr>
        <w:tc>
          <w:tcPr>
            <w:tcW w:w="2547" w:type="dxa"/>
            <w:shd w:val="clear" w:color="auto" w:fill="auto"/>
            <w:noWrap/>
            <w:vAlign w:val="bottom"/>
          </w:tcPr>
          <w:p w14:paraId="607CFA72"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Anna Wurra</w:t>
            </w:r>
          </w:p>
        </w:tc>
        <w:tc>
          <w:tcPr>
            <w:tcW w:w="1892" w:type="dxa"/>
            <w:shd w:val="clear" w:color="auto" w:fill="auto"/>
            <w:noWrap/>
            <w:vAlign w:val="bottom"/>
          </w:tcPr>
          <w:p w14:paraId="35A0D1E3"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Administration</w:t>
            </w:r>
          </w:p>
        </w:tc>
        <w:tc>
          <w:tcPr>
            <w:tcW w:w="528" w:type="dxa"/>
          </w:tcPr>
          <w:p w14:paraId="125BA824" w14:textId="77777777" w:rsidR="008644A8" w:rsidRPr="006260F5" w:rsidRDefault="008644A8">
            <w:pPr>
              <w:spacing w:after="0"/>
              <w:rPr>
                <w:rFonts w:cstheme="minorBidi"/>
                <w:color w:val="000000"/>
                <w:sz w:val="18"/>
                <w:szCs w:val="22"/>
              </w:rPr>
            </w:pPr>
          </w:p>
        </w:tc>
        <w:tc>
          <w:tcPr>
            <w:tcW w:w="2252" w:type="dxa"/>
            <w:shd w:val="clear" w:color="auto" w:fill="auto"/>
            <w:vAlign w:val="bottom"/>
          </w:tcPr>
          <w:p w14:paraId="2A524F49" w14:textId="0D91183E" w:rsidR="008644A8" w:rsidRPr="006260F5" w:rsidRDefault="008644A8">
            <w:pPr>
              <w:spacing w:after="0"/>
            </w:pPr>
            <w:r w:rsidRPr="006260F5">
              <w:rPr>
                <w:rFonts w:cstheme="minorBidi"/>
                <w:color w:val="000000"/>
                <w:sz w:val="18"/>
                <w:szCs w:val="22"/>
              </w:rPr>
              <w:t>Hovosa Yasiva</w:t>
            </w:r>
          </w:p>
        </w:tc>
        <w:tc>
          <w:tcPr>
            <w:tcW w:w="1393" w:type="dxa"/>
            <w:shd w:val="clear" w:color="auto" w:fill="auto"/>
            <w:vAlign w:val="bottom"/>
          </w:tcPr>
          <w:p w14:paraId="32B87B90" w14:textId="5A45F8BB" w:rsidR="008644A8" w:rsidRPr="006260F5" w:rsidRDefault="008644A8">
            <w:pPr>
              <w:spacing w:after="0"/>
            </w:pPr>
            <w:r w:rsidRPr="006260F5">
              <w:rPr>
                <w:rFonts w:cstheme="minorBidi"/>
                <w:color w:val="000000"/>
                <w:sz w:val="18"/>
                <w:szCs w:val="22"/>
              </w:rPr>
              <w:t>Tutor</w:t>
            </w:r>
          </w:p>
        </w:tc>
      </w:tr>
      <w:tr w:rsidR="008644A8" w:rsidRPr="006260F5" w14:paraId="42C1B067" w14:textId="49640988" w:rsidTr="00DD6E3C">
        <w:trPr>
          <w:trHeight w:val="280"/>
        </w:trPr>
        <w:tc>
          <w:tcPr>
            <w:tcW w:w="2547" w:type="dxa"/>
            <w:shd w:val="clear" w:color="auto" w:fill="auto"/>
            <w:noWrap/>
            <w:vAlign w:val="bottom"/>
          </w:tcPr>
          <w:p w14:paraId="3670DF8E"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Edward Purkikil</w:t>
            </w:r>
          </w:p>
        </w:tc>
        <w:tc>
          <w:tcPr>
            <w:tcW w:w="1892" w:type="dxa"/>
            <w:shd w:val="clear" w:color="auto" w:fill="auto"/>
            <w:noWrap/>
            <w:vAlign w:val="bottom"/>
          </w:tcPr>
          <w:p w14:paraId="233D094E"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Administration</w:t>
            </w:r>
          </w:p>
        </w:tc>
        <w:tc>
          <w:tcPr>
            <w:tcW w:w="528" w:type="dxa"/>
          </w:tcPr>
          <w:p w14:paraId="0E51ED1B" w14:textId="77777777" w:rsidR="008644A8" w:rsidRPr="006260F5" w:rsidRDefault="008644A8">
            <w:pPr>
              <w:spacing w:after="0"/>
              <w:rPr>
                <w:rFonts w:cstheme="minorBidi"/>
                <w:color w:val="000000"/>
                <w:sz w:val="18"/>
                <w:szCs w:val="22"/>
              </w:rPr>
            </w:pPr>
          </w:p>
        </w:tc>
        <w:tc>
          <w:tcPr>
            <w:tcW w:w="2252" w:type="dxa"/>
            <w:shd w:val="clear" w:color="auto" w:fill="auto"/>
            <w:vAlign w:val="bottom"/>
          </w:tcPr>
          <w:p w14:paraId="1DCE79F4" w14:textId="614E2798" w:rsidR="008644A8" w:rsidRPr="006260F5" w:rsidRDefault="008644A8">
            <w:pPr>
              <w:spacing w:after="0"/>
            </w:pPr>
            <w:r w:rsidRPr="006260F5">
              <w:rPr>
                <w:rFonts w:cstheme="minorBidi"/>
                <w:color w:val="000000"/>
                <w:sz w:val="18"/>
                <w:szCs w:val="22"/>
              </w:rPr>
              <w:t>Kelly Topoti</w:t>
            </w:r>
          </w:p>
        </w:tc>
        <w:tc>
          <w:tcPr>
            <w:tcW w:w="1393" w:type="dxa"/>
            <w:shd w:val="clear" w:color="auto" w:fill="auto"/>
            <w:vAlign w:val="bottom"/>
          </w:tcPr>
          <w:p w14:paraId="15294D6D" w14:textId="5249A3CC" w:rsidR="008644A8" w:rsidRPr="006260F5" w:rsidRDefault="008644A8">
            <w:pPr>
              <w:spacing w:after="0"/>
            </w:pPr>
            <w:r w:rsidRPr="006260F5">
              <w:rPr>
                <w:rFonts w:cstheme="minorBidi"/>
                <w:color w:val="000000"/>
                <w:sz w:val="18"/>
                <w:szCs w:val="22"/>
              </w:rPr>
              <w:t>Tutor</w:t>
            </w:r>
          </w:p>
        </w:tc>
      </w:tr>
      <w:tr w:rsidR="008644A8" w:rsidRPr="006260F5" w14:paraId="6028F511" w14:textId="6E1DB022" w:rsidTr="00DD6E3C">
        <w:trPr>
          <w:trHeight w:val="280"/>
        </w:trPr>
        <w:tc>
          <w:tcPr>
            <w:tcW w:w="2547" w:type="dxa"/>
            <w:shd w:val="clear" w:color="auto" w:fill="auto"/>
            <w:noWrap/>
            <w:vAlign w:val="bottom"/>
          </w:tcPr>
          <w:p w14:paraId="1B993AFC"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Isaac Momak</w:t>
            </w:r>
          </w:p>
        </w:tc>
        <w:tc>
          <w:tcPr>
            <w:tcW w:w="1892" w:type="dxa"/>
            <w:shd w:val="clear" w:color="auto" w:fill="auto"/>
            <w:noWrap/>
            <w:vAlign w:val="bottom"/>
          </w:tcPr>
          <w:p w14:paraId="607887AC"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Administration</w:t>
            </w:r>
          </w:p>
        </w:tc>
        <w:tc>
          <w:tcPr>
            <w:tcW w:w="528" w:type="dxa"/>
          </w:tcPr>
          <w:p w14:paraId="7932416E" w14:textId="77777777" w:rsidR="008644A8" w:rsidRPr="006260F5" w:rsidRDefault="008644A8">
            <w:pPr>
              <w:spacing w:after="0"/>
              <w:rPr>
                <w:rFonts w:cstheme="minorBidi"/>
                <w:color w:val="000000"/>
                <w:sz w:val="18"/>
                <w:szCs w:val="22"/>
              </w:rPr>
            </w:pPr>
          </w:p>
        </w:tc>
        <w:tc>
          <w:tcPr>
            <w:tcW w:w="2252" w:type="dxa"/>
            <w:shd w:val="clear" w:color="auto" w:fill="auto"/>
            <w:vAlign w:val="bottom"/>
          </w:tcPr>
          <w:p w14:paraId="03FAFF31" w14:textId="7801D416" w:rsidR="008644A8" w:rsidRPr="006260F5" w:rsidRDefault="008644A8">
            <w:pPr>
              <w:spacing w:after="0"/>
            </w:pPr>
            <w:r w:rsidRPr="006260F5">
              <w:rPr>
                <w:rFonts w:cstheme="minorBidi"/>
                <w:color w:val="000000"/>
                <w:sz w:val="18"/>
                <w:szCs w:val="22"/>
              </w:rPr>
              <w:t>Naisen Nambahin</w:t>
            </w:r>
          </w:p>
        </w:tc>
        <w:tc>
          <w:tcPr>
            <w:tcW w:w="1393" w:type="dxa"/>
            <w:shd w:val="clear" w:color="auto" w:fill="auto"/>
            <w:vAlign w:val="bottom"/>
          </w:tcPr>
          <w:p w14:paraId="4F1CB193" w14:textId="7E1700CE" w:rsidR="008644A8" w:rsidRPr="006260F5" w:rsidRDefault="008644A8">
            <w:pPr>
              <w:spacing w:after="0"/>
            </w:pPr>
            <w:r w:rsidRPr="006260F5">
              <w:rPr>
                <w:rFonts w:cstheme="minorBidi"/>
                <w:color w:val="000000"/>
                <w:sz w:val="18"/>
                <w:szCs w:val="22"/>
              </w:rPr>
              <w:t>Tutor</w:t>
            </w:r>
          </w:p>
        </w:tc>
      </w:tr>
      <w:tr w:rsidR="008644A8" w:rsidRPr="006260F5" w14:paraId="7403D8D5" w14:textId="5386E3E8" w:rsidTr="00DD6E3C">
        <w:trPr>
          <w:trHeight w:val="280"/>
        </w:trPr>
        <w:tc>
          <w:tcPr>
            <w:tcW w:w="2547" w:type="dxa"/>
            <w:shd w:val="clear" w:color="auto" w:fill="auto"/>
            <w:noWrap/>
            <w:vAlign w:val="bottom"/>
          </w:tcPr>
          <w:p w14:paraId="1E4E71F5"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Ligoria Lowah</w:t>
            </w:r>
          </w:p>
        </w:tc>
        <w:tc>
          <w:tcPr>
            <w:tcW w:w="1892" w:type="dxa"/>
            <w:shd w:val="clear" w:color="auto" w:fill="auto"/>
            <w:noWrap/>
            <w:vAlign w:val="bottom"/>
          </w:tcPr>
          <w:p w14:paraId="4276833E"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Administration</w:t>
            </w:r>
          </w:p>
        </w:tc>
        <w:tc>
          <w:tcPr>
            <w:tcW w:w="528" w:type="dxa"/>
          </w:tcPr>
          <w:p w14:paraId="16AEB17D" w14:textId="77777777" w:rsidR="008644A8" w:rsidRPr="006260F5" w:rsidRDefault="008644A8">
            <w:pPr>
              <w:spacing w:after="0"/>
              <w:rPr>
                <w:rFonts w:cstheme="minorBidi"/>
                <w:color w:val="000000"/>
                <w:sz w:val="18"/>
                <w:szCs w:val="22"/>
              </w:rPr>
            </w:pPr>
          </w:p>
        </w:tc>
        <w:tc>
          <w:tcPr>
            <w:tcW w:w="2252" w:type="dxa"/>
            <w:shd w:val="clear" w:color="auto" w:fill="auto"/>
            <w:vAlign w:val="bottom"/>
          </w:tcPr>
          <w:p w14:paraId="78E22BE5" w14:textId="18051977" w:rsidR="008644A8" w:rsidRPr="006260F5" w:rsidRDefault="008644A8">
            <w:pPr>
              <w:spacing w:after="0"/>
            </w:pPr>
            <w:r w:rsidRPr="006260F5">
              <w:rPr>
                <w:rFonts w:cstheme="minorBidi"/>
                <w:color w:val="000000"/>
                <w:sz w:val="18"/>
                <w:szCs w:val="22"/>
              </w:rPr>
              <w:t>Nanai Sinemaue</w:t>
            </w:r>
          </w:p>
        </w:tc>
        <w:tc>
          <w:tcPr>
            <w:tcW w:w="1393" w:type="dxa"/>
            <w:shd w:val="clear" w:color="auto" w:fill="auto"/>
            <w:vAlign w:val="bottom"/>
          </w:tcPr>
          <w:p w14:paraId="17BAF09F" w14:textId="1A49DA97" w:rsidR="008644A8" w:rsidRPr="006260F5" w:rsidRDefault="008644A8">
            <w:pPr>
              <w:spacing w:after="0"/>
            </w:pPr>
            <w:r w:rsidRPr="006260F5">
              <w:rPr>
                <w:rFonts w:cstheme="minorBidi"/>
                <w:color w:val="000000"/>
                <w:sz w:val="18"/>
                <w:szCs w:val="22"/>
              </w:rPr>
              <w:t>Tutor</w:t>
            </w:r>
          </w:p>
        </w:tc>
      </w:tr>
      <w:tr w:rsidR="008644A8" w:rsidRPr="006260F5" w14:paraId="0F179F1E" w14:textId="1E539A1D" w:rsidTr="00DD6E3C">
        <w:trPr>
          <w:trHeight w:val="280"/>
        </w:trPr>
        <w:tc>
          <w:tcPr>
            <w:tcW w:w="2547" w:type="dxa"/>
            <w:shd w:val="clear" w:color="auto" w:fill="auto"/>
            <w:noWrap/>
            <w:vAlign w:val="bottom"/>
          </w:tcPr>
          <w:p w14:paraId="52A26C0C"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Marie Buku</w:t>
            </w:r>
          </w:p>
        </w:tc>
        <w:tc>
          <w:tcPr>
            <w:tcW w:w="1892" w:type="dxa"/>
            <w:shd w:val="clear" w:color="auto" w:fill="auto"/>
            <w:noWrap/>
            <w:vAlign w:val="bottom"/>
          </w:tcPr>
          <w:p w14:paraId="3C17EE30"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Administration</w:t>
            </w:r>
          </w:p>
        </w:tc>
        <w:tc>
          <w:tcPr>
            <w:tcW w:w="528" w:type="dxa"/>
          </w:tcPr>
          <w:p w14:paraId="7B05341E" w14:textId="77777777" w:rsidR="008644A8" w:rsidRPr="006260F5" w:rsidRDefault="008644A8">
            <w:pPr>
              <w:spacing w:after="0"/>
              <w:rPr>
                <w:rFonts w:cstheme="minorBidi"/>
                <w:color w:val="000000"/>
                <w:sz w:val="18"/>
                <w:szCs w:val="22"/>
              </w:rPr>
            </w:pPr>
          </w:p>
        </w:tc>
        <w:tc>
          <w:tcPr>
            <w:tcW w:w="2252" w:type="dxa"/>
            <w:shd w:val="clear" w:color="auto" w:fill="auto"/>
            <w:vAlign w:val="bottom"/>
          </w:tcPr>
          <w:p w14:paraId="084C1A6A" w14:textId="46DBD849" w:rsidR="008644A8" w:rsidRPr="006260F5" w:rsidRDefault="008644A8">
            <w:pPr>
              <w:spacing w:after="0"/>
            </w:pPr>
            <w:r w:rsidRPr="006260F5">
              <w:rPr>
                <w:rFonts w:cstheme="minorBidi"/>
                <w:color w:val="000000"/>
                <w:sz w:val="18"/>
                <w:szCs w:val="22"/>
              </w:rPr>
              <w:t>Paul Moses</w:t>
            </w:r>
          </w:p>
        </w:tc>
        <w:tc>
          <w:tcPr>
            <w:tcW w:w="1393" w:type="dxa"/>
            <w:shd w:val="clear" w:color="auto" w:fill="auto"/>
            <w:vAlign w:val="bottom"/>
          </w:tcPr>
          <w:p w14:paraId="6A9DF9BF" w14:textId="408F4682" w:rsidR="008644A8" w:rsidRPr="006260F5" w:rsidRDefault="008644A8">
            <w:pPr>
              <w:spacing w:after="0"/>
            </w:pPr>
            <w:r w:rsidRPr="006260F5">
              <w:rPr>
                <w:rFonts w:cstheme="minorBidi"/>
                <w:color w:val="000000"/>
                <w:sz w:val="18"/>
                <w:szCs w:val="22"/>
              </w:rPr>
              <w:t>Tutor</w:t>
            </w:r>
          </w:p>
        </w:tc>
      </w:tr>
      <w:tr w:rsidR="008644A8" w:rsidRPr="006260F5" w14:paraId="331BF10F" w14:textId="5390BCFF" w:rsidTr="00DD6E3C">
        <w:trPr>
          <w:trHeight w:val="280"/>
        </w:trPr>
        <w:tc>
          <w:tcPr>
            <w:tcW w:w="2547" w:type="dxa"/>
            <w:shd w:val="clear" w:color="auto" w:fill="auto"/>
            <w:noWrap/>
            <w:vAlign w:val="bottom"/>
          </w:tcPr>
          <w:p w14:paraId="183FFA3F"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Noliaso Gotaha</w:t>
            </w:r>
          </w:p>
        </w:tc>
        <w:tc>
          <w:tcPr>
            <w:tcW w:w="1892" w:type="dxa"/>
            <w:shd w:val="clear" w:color="auto" w:fill="auto"/>
            <w:noWrap/>
            <w:vAlign w:val="bottom"/>
          </w:tcPr>
          <w:p w14:paraId="69700D23"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Administration</w:t>
            </w:r>
          </w:p>
        </w:tc>
        <w:tc>
          <w:tcPr>
            <w:tcW w:w="528" w:type="dxa"/>
          </w:tcPr>
          <w:p w14:paraId="4554FBE2" w14:textId="77777777" w:rsidR="008644A8" w:rsidRPr="006260F5" w:rsidRDefault="008644A8">
            <w:pPr>
              <w:spacing w:after="0"/>
              <w:rPr>
                <w:rFonts w:cstheme="minorBidi"/>
                <w:color w:val="000000"/>
                <w:sz w:val="18"/>
                <w:szCs w:val="22"/>
              </w:rPr>
            </w:pPr>
          </w:p>
        </w:tc>
        <w:tc>
          <w:tcPr>
            <w:tcW w:w="2252" w:type="dxa"/>
            <w:shd w:val="clear" w:color="auto" w:fill="auto"/>
            <w:vAlign w:val="bottom"/>
          </w:tcPr>
          <w:p w14:paraId="72AF5F52" w14:textId="11AD6DAB" w:rsidR="008644A8" w:rsidRPr="006260F5" w:rsidRDefault="008644A8">
            <w:pPr>
              <w:spacing w:after="0"/>
            </w:pPr>
            <w:r w:rsidRPr="006260F5">
              <w:rPr>
                <w:rFonts w:cstheme="minorBidi"/>
                <w:color w:val="000000"/>
                <w:sz w:val="18"/>
                <w:szCs w:val="22"/>
              </w:rPr>
              <w:t>Peter Agua</w:t>
            </w:r>
          </w:p>
        </w:tc>
        <w:tc>
          <w:tcPr>
            <w:tcW w:w="1393" w:type="dxa"/>
            <w:shd w:val="clear" w:color="auto" w:fill="auto"/>
            <w:vAlign w:val="bottom"/>
          </w:tcPr>
          <w:p w14:paraId="4CE8C114" w14:textId="01BB41B1" w:rsidR="008644A8" w:rsidRPr="006260F5" w:rsidRDefault="008644A8">
            <w:pPr>
              <w:spacing w:after="0"/>
            </w:pPr>
            <w:r w:rsidRPr="006260F5">
              <w:rPr>
                <w:rFonts w:cstheme="minorBidi"/>
                <w:color w:val="000000"/>
                <w:sz w:val="18"/>
                <w:szCs w:val="22"/>
              </w:rPr>
              <w:t>Tutor</w:t>
            </w:r>
          </w:p>
        </w:tc>
      </w:tr>
      <w:tr w:rsidR="008644A8" w:rsidRPr="006260F5" w14:paraId="0CF90F75" w14:textId="07D3DC53" w:rsidTr="00DD6E3C">
        <w:trPr>
          <w:trHeight w:val="280"/>
        </w:trPr>
        <w:tc>
          <w:tcPr>
            <w:tcW w:w="2547" w:type="dxa"/>
            <w:shd w:val="clear" w:color="auto" w:fill="auto"/>
            <w:noWrap/>
            <w:vAlign w:val="bottom"/>
          </w:tcPr>
          <w:p w14:paraId="51FB9BCC"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Tanya Naime</w:t>
            </w:r>
          </w:p>
        </w:tc>
        <w:tc>
          <w:tcPr>
            <w:tcW w:w="1892" w:type="dxa"/>
            <w:shd w:val="clear" w:color="auto" w:fill="auto"/>
            <w:noWrap/>
            <w:vAlign w:val="bottom"/>
          </w:tcPr>
          <w:p w14:paraId="3C94C8A9"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Administration</w:t>
            </w:r>
          </w:p>
        </w:tc>
        <w:tc>
          <w:tcPr>
            <w:tcW w:w="528" w:type="dxa"/>
          </w:tcPr>
          <w:p w14:paraId="5B72A7B2" w14:textId="77777777" w:rsidR="008644A8" w:rsidRPr="006260F5" w:rsidRDefault="008644A8">
            <w:pPr>
              <w:spacing w:after="0"/>
              <w:rPr>
                <w:rFonts w:cstheme="minorBidi"/>
                <w:color w:val="000000"/>
                <w:sz w:val="18"/>
                <w:szCs w:val="22"/>
              </w:rPr>
            </w:pPr>
          </w:p>
        </w:tc>
        <w:tc>
          <w:tcPr>
            <w:tcW w:w="2252" w:type="dxa"/>
            <w:shd w:val="clear" w:color="auto" w:fill="auto"/>
            <w:vAlign w:val="bottom"/>
          </w:tcPr>
          <w:p w14:paraId="65B81865" w14:textId="684FE0DF" w:rsidR="008644A8" w:rsidRPr="006260F5" w:rsidRDefault="008644A8">
            <w:pPr>
              <w:spacing w:after="0"/>
            </w:pPr>
            <w:r w:rsidRPr="006260F5">
              <w:rPr>
                <w:rFonts w:cstheme="minorBidi"/>
                <w:color w:val="000000"/>
                <w:sz w:val="18"/>
                <w:szCs w:val="22"/>
              </w:rPr>
              <w:t>Ruben John</w:t>
            </w:r>
          </w:p>
        </w:tc>
        <w:tc>
          <w:tcPr>
            <w:tcW w:w="1393" w:type="dxa"/>
            <w:shd w:val="clear" w:color="auto" w:fill="auto"/>
            <w:vAlign w:val="bottom"/>
          </w:tcPr>
          <w:p w14:paraId="628CCD05" w14:textId="3F3614B7" w:rsidR="008644A8" w:rsidRPr="006260F5" w:rsidRDefault="008644A8">
            <w:pPr>
              <w:spacing w:after="0"/>
            </w:pPr>
            <w:r w:rsidRPr="006260F5">
              <w:rPr>
                <w:rFonts w:cstheme="minorBidi"/>
                <w:color w:val="000000"/>
                <w:sz w:val="18"/>
                <w:szCs w:val="22"/>
              </w:rPr>
              <w:t>Tutor</w:t>
            </w:r>
          </w:p>
        </w:tc>
      </w:tr>
      <w:tr w:rsidR="008644A8" w:rsidRPr="006260F5" w14:paraId="5B34A440" w14:textId="18C582D4" w:rsidTr="00DD6E3C">
        <w:trPr>
          <w:trHeight w:val="280"/>
        </w:trPr>
        <w:tc>
          <w:tcPr>
            <w:tcW w:w="2547" w:type="dxa"/>
            <w:shd w:val="clear" w:color="auto" w:fill="auto"/>
            <w:noWrap/>
            <w:vAlign w:val="bottom"/>
          </w:tcPr>
          <w:p w14:paraId="49D2A89C"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Len Farren</w:t>
            </w:r>
          </w:p>
        </w:tc>
        <w:tc>
          <w:tcPr>
            <w:tcW w:w="1892" w:type="dxa"/>
            <w:shd w:val="clear" w:color="auto" w:fill="auto"/>
            <w:noWrap/>
            <w:vAlign w:val="bottom"/>
          </w:tcPr>
          <w:p w14:paraId="319B4FD9"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Management</w:t>
            </w:r>
          </w:p>
        </w:tc>
        <w:tc>
          <w:tcPr>
            <w:tcW w:w="528" w:type="dxa"/>
          </w:tcPr>
          <w:p w14:paraId="65A6A5E2" w14:textId="77777777" w:rsidR="008644A8" w:rsidRPr="006260F5" w:rsidRDefault="008644A8">
            <w:pPr>
              <w:spacing w:after="0"/>
              <w:rPr>
                <w:rFonts w:cstheme="minorBidi"/>
                <w:color w:val="000000"/>
                <w:sz w:val="18"/>
                <w:szCs w:val="22"/>
              </w:rPr>
            </w:pPr>
          </w:p>
        </w:tc>
        <w:tc>
          <w:tcPr>
            <w:tcW w:w="2252" w:type="dxa"/>
            <w:shd w:val="clear" w:color="auto" w:fill="auto"/>
            <w:vAlign w:val="bottom"/>
          </w:tcPr>
          <w:p w14:paraId="6C38CA64" w14:textId="58984BF4" w:rsidR="008644A8" w:rsidRPr="006260F5" w:rsidRDefault="008644A8">
            <w:pPr>
              <w:spacing w:after="0"/>
            </w:pPr>
            <w:r w:rsidRPr="006260F5">
              <w:rPr>
                <w:rFonts w:cstheme="minorBidi"/>
                <w:color w:val="000000"/>
                <w:sz w:val="18"/>
                <w:szCs w:val="22"/>
              </w:rPr>
              <w:t>Vagi Daera</w:t>
            </w:r>
          </w:p>
        </w:tc>
        <w:tc>
          <w:tcPr>
            <w:tcW w:w="1393" w:type="dxa"/>
            <w:shd w:val="clear" w:color="auto" w:fill="auto"/>
            <w:vAlign w:val="bottom"/>
          </w:tcPr>
          <w:p w14:paraId="59B95430" w14:textId="60AFF89D" w:rsidR="008644A8" w:rsidRPr="006260F5" w:rsidRDefault="008644A8">
            <w:pPr>
              <w:spacing w:after="0"/>
            </w:pPr>
            <w:r w:rsidRPr="006260F5">
              <w:rPr>
                <w:rFonts w:cstheme="minorBidi"/>
                <w:color w:val="000000"/>
                <w:sz w:val="18"/>
                <w:szCs w:val="22"/>
              </w:rPr>
              <w:t>Tutor</w:t>
            </w:r>
          </w:p>
        </w:tc>
      </w:tr>
      <w:tr w:rsidR="008644A8" w:rsidRPr="006260F5" w14:paraId="0DF0E8D4" w14:textId="59E1822A" w:rsidTr="00DD6E3C">
        <w:trPr>
          <w:trHeight w:val="280"/>
        </w:trPr>
        <w:tc>
          <w:tcPr>
            <w:tcW w:w="2547" w:type="dxa"/>
            <w:shd w:val="clear" w:color="auto" w:fill="auto"/>
            <w:noWrap/>
            <w:vAlign w:val="bottom"/>
          </w:tcPr>
          <w:p w14:paraId="0D8E1055"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Rick Harper</w:t>
            </w:r>
          </w:p>
        </w:tc>
        <w:tc>
          <w:tcPr>
            <w:tcW w:w="1892" w:type="dxa"/>
            <w:shd w:val="clear" w:color="auto" w:fill="auto"/>
            <w:noWrap/>
            <w:vAlign w:val="bottom"/>
          </w:tcPr>
          <w:p w14:paraId="1E1541A1"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Management</w:t>
            </w:r>
          </w:p>
        </w:tc>
        <w:tc>
          <w:tcPr>
            <w:tcW w:w="528" w:type="dxa"/>
          </w:tcPr>
          <w:p w14:paraId="5D6092B2" w14:textId="77777777" w:rsidR="008644A8" w:rsidRPr="006260F5" w:rsidRDefault="008644A8">
            <w:pPr>
              <w:spacing w:after="0"/>
              <w:rPr>
                <w:rFonts w:cstheme="minorBidi"/>
                <w:color w:val="000000"/>
                <w:sz w:val="18"/>
                <w:szCs w:val="22"/>
              </w:rPr>
            </w:pPr>
          </w:p>
        </w:tc>
        <w:tc>
          <w:tcPr>
            <w:tcW w:w="2252" w:type="dxa"/>
            <w:shd w:val="clear" w:color="auto" w:fill="auto"/>
            <w:vAlign w:val="bottom"/>
          </w:tcPr>
          <w:p w14:paraId="3B4B6B03" w14:textId="4536AB90" w:rsidR="008644A8" w:rsidRPr="006260F5" w:rsidRDefault="008644A8">
            <w:pPr>
              <w:spacing w:after="0"/>
            </w:pPr>
            <w:r w:rsidRPr="006260F5">
              <w:rPr>
                <w:rFonts w:cstheme="minorBidi"/>
                <w:color w:val="000000"/>
                <w:sz w:val="18"/>
                <w:szCs w:val="22"/>
              </w:rPr>
              <w:t>Veira Waide</w:t>
            </w:r>
          </w:p>
        </w:tc>
        <w:tc>
          <w:tcPr>
            <w:tcW w:w="1393" w:type="dxa"/>
            <w:shd w:val="clear" w:color="auto" w:fill="auto"/>
            <w:vAlign w:val="bottom"/>
          </w:tcPr>
          <w:p w14:paraId="57551F31" w14:textId="7AF26F53" w:rsidR="008644A8" w:rsidRPr="006260F5" w:rsidRDefault="008644A8">
            <w:pPr>
              <w:spacing w:after="0"/>
            </w:pPr>
            <w:r w:rsidRPr="006260F5">
              <w:rPr>
                <w:rFonts w:cstheme="minorBidi"/>
                <w:color w:val="000000"/>
                <w:sz w:val="18"/>
                <w:szCs w:val="22"/>
              </w:rPr>
              <w:t>Tutor</w:t>
            </w:r>
          </w:p>
        </w:tc>
      </w:tr>
      <w:tr w:rsidR="008644A8" w:rsidRPr="006260F5" w14:paraId="38CC920E" w14:textId="5CE89945" w:rsidTr="00DD6E3C">
        <w:trPr>
          <w:gridAfter w:val="2"/>
          <w:wAfter w:w="3645" w:type="dxa"/>
          <w:trHeight w:val="280"/>
        </w:trPr>
        <w:tc>
          <w:tcPr>
            <w:tcW w:w="2547" w:type="dxa"/>
            <w:shd w:val="clear" w:color="auto" w:fill="auto"/>
            <w:noWrap/>
            <w:vAlign w:val="bottom"/>
          </w:tcPr>
          <w:p w14:paraId="6E20C343"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Trevor Birney</w:t>
            </w:r>
          </w:p>
        </w:tc>
        <w:tc>
          <w:tcPr>
            <w:tcW w:w="1892" w:type="dxa"/>
            <w:shd w:val="clear" w:color="auto" w:fill="auto"/>
            <w:noWrap/>
            <w:vAlign w:val="bottom"/>
          </w:tcPr>
          <w:p w14:paraId="79EFCEA8"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Management</w:t>
            </w:r>
          </w:p>
        </w:tc>
        <w:tc>
          <w:tcPr>
            <w:tcW w:w="528" w:type="dxa"/>
          </w:tcPr>
          <w:p w14:paraId="624CC767" w14:textId="77777777" w:rsidR="008644A8" w:rsidRPr="006260F5" w:rsidRDefault="008644A8" w:rsidP="005F77A1">
            <w:pPr>
              <w:spacing w:before="20" w:after="20"/>
              <w:rPr>
                <w:rFonts w:cstheme="minorBidi"/>
                <w:color w:val="000000"/>
                <w:sz w:val="18"/>
                <w:szCs w:val="22"/>
              </w:rPr>
            </w:pPr>
          </w:p>
        </w:tc>
      </w:tr>
      <w:tr w:rsidR="008644A8" w:rsidRPr="006260F5" w14:paraId="55A05FC6" w14:textId="368AA45E" w:rsidTr="00DD6E3C">
        <w:trPr>
          <w:gridAfter w:val="2"/>
          <w:wAfter w:w="3645" w:type="dxa"/>
          <w:trHeight w:val="280"/>
        </w:trPr>
        <w:tc>
          <w:tcPr>
            <w:tcW w:w="2547" w:type="dxa"/>
            <w:shd w:val="clear" w:color="auto" w:fill="auto"/>
            <w:noWrap/>
            <w:vAlign w:val="bottom"/>
          </w:tcPr>
          <w:p w14:paraId="1B0BF728"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Colin Wilson</w:t>
            </w:r>
          </w:p>
        </w:tc>
        <w:tc>
          <w:tcPr>
            <w:tcW w:w="1892" w:type="dxa"/>
            <w:shd w:val="clear" w:color="auto" w:fill="auto"/>
            <w:noWrap/>
            <w:vAlign w:val="bottom"/>
          </w:tcPr>
          <w:p w14:paraId="35158BBB"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Trainer</w:t>
            </w:r>
          </w:p>
        </w:tc>
        <w:tc>
          <w:tcPr>
            <w:tcW w:w="528" w:type="dxa"/>
          </w:tcPr>
          <w:p w14:paraId="7FD07DD7" w14:textId="77777777" w:rsidR="008644A8" w:rsidRPr="006260F5" w:rsidRDefault="008644A8" w:rsidP="005F77A1">
            <w:pPr>
              <w:spacing w:before="20" w:after="20"/>
              <w:rPr>
                <w:rFonts w:cstheme="minorBidi"/>
                <w:color w:val="000000"/>
                <w:sz w:val="18"/>
                <w:szCs w:val="22"/>
              </w:rPr>
            </w:pPr>
          </w:p>
        </w:tc>
      </w:tr>
      <w:tr w:rsidR="008644A8" w:rsidRPr="006260F5" w14:paraId="0CF80BCC" w14:textId="7C789D2F" w:rsidTr="00DD6E3C">
        <w:trPr>
          <w:gridAfter w:val="2"/>
          <w:wAfter w:w="3645" w:type="dxa"/>
          <w:trHeight w:val="280"/>
        </w:trPr>
        <w:tc>
          <w:tcPr>
            <w:tcW w:w="2547" w:type="dxa"/>
            <w:shd w:val="clear" w:color="auto" w:fill="auto"/>
            <w:noWrap/>
            <w:vAlign w:val="bottom"/>
          </w:tcPr>
          <w:p w14:paraId="0487089F"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Craig Reaks</w:t>
            </w:r>
          </w:p>
        </w:tc>
        <w:tc>
          <w:tcPr>
            <w:tcW w:w="1892" w:type="dxa"/>
            <w:shd w:val="clear" w:color="auto" w:fill="auto"/>
            <w:noWrap/>
            <w:vAlign w:val="bottom"/>
          </w:tcPr>
          <w:p w14:paraId="4B627F7F"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Trainer</w:t>
            </w:r>
          </w:p>
        </w:tc>
        <w:tc>
          <w:tcPr>
            <w:tcW w:w="528" w:type="dxa"/>
          </w:tcPr>
          <w:p w14:paraId="3A330C7C" w14:textId="77777777" w:rsidR="008644A8" w:rsidRPr="006260F5" w:rsidRDefault="008644A8" w:rsidP="005F77A1">
            <w:pPr>
              <w:spacing w:before="20" w:after="20"/>
              <w:rPr>
                <w:rFonts w:cstheme="minorBidi"/>
                <w:color w:val="000000"/>
                <w:sz w:val="18"/>
                <w:szCs w:val="22"/>
              </w:rPr>
            </w:pPr>
          </w:p>
        </w:tc>
      </w:tr>
      <w:tr w:rsidR="008644A8" w:rsidRPr="006260F5" w14:paraId="1AC1FBEB" w14:textId="5372C6FD" w:rsidTr="00DD6E3C">
        <w:trPr>
          <w:gridAfter w:val="2"/>
          <w:wAfter w:w="3645" w:type="dxa"/>
          <w:trHeight w:val="280"/>
        </w:trPr>
        <w:tc>
          <w:tcPr>
            <w:tcW w:w="2547" w:type="dxa"/>
            <w:shd w:val="clear" w:color="auto" w:fill="auto"/>
            <w:noWrap/>
            <w:vAlign w:val="bottom"/>
          </w:tcPr>
          <w:p w14:paraId="22E93993"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Cynthia Jardine</w:t>
            </w:r>
          </w:p>
        </w:tc>
        <w:tc>
          <w:tcPr>
            <w:tcW w:w="1892" w:type="dxa"/>
            <w:shd w:val="clear" w:color="auto" w:fill="auto"/>
            <w:noWrap/>
            <w:vAlign w:val="bottom"/>
          </w:tcPr>
          <w:p w14:paraId="6852732C"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Trainer</w:t>
            </w:r>
          </w:p>
        </w:tc>
        <w:tc>
          <w:tcPr>
            <w:tcW w:w="528" w:type="dxa"/>
          </w:tcPr>
          <w:p w14:paraId="7548BEDC" w14:textId="77777777" w:rsidR="008644A8" w:rsidRPr="006260F5" w:rsidRDefault="008644A8" w:rsidP="005F77A1">
            <w:pPr>
              <w:spacing w:before="20" w:after="20"/>
              <w:rPr>
                <w:rFonts w:cstheme="minorBidi"/>
                <w:color w:val="000000"/>
                <w:sz w:val="18"/>
                <w:szCs w:val="22"/>
              </w:rPr>
            </w:pPr>
          </w:p>
        </w:tc>
      </w:tr>
      <w:tr w:rsidR="008644A8" w:rsidRPr="006260F5" w14:paraId="6C797808" w14:textId="02CEEDCB" w:rsidTr="00DD6E3C">
        <w:trPr>
          <w:gridAfter w:val="2"/>
          <w:wAfter w:w="3645" w:type="dxa"/>
          <w:trHeight w:val="280"/>
        </w:trPr>
        <w:tc>
          <w:tcPr>
            <w:tcW w:w="2547" w:type="dxa"/>
            <w:shd w:val="clear" w:color="auto" w:fill="auto"/>
            <w:noWrap/>
            <w:vAlign w:val="bottom"/>
          </w:tcPr>
          <w:p w14:paraId="1EEA30A1"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David Pepyat</w:t>
            </w:r>
          </w:p>
        </w:tc>
        <w:tc>
          <w:tcPr>
            <w:tcW w:w="1892" w:type="dxa"/>
            <w:shd w:val="clear" w:color="auto" w:fill="auto"/>
            <w:noWrap/>
            <w:vAlign w:val="bottom"/>
          </w:tcPr>
          <w:p w14:paraId="19584431"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Trainer</w:t>
            </w:r>
          </w:p>
        </w:tc>
        <w:tc>
          <w:tcPr>
            <w:tcW w:w="528" w:type="dxa"/>
          </w:tcPr>
          <w:p w14:paraId="57853F90" w14:textId="77777777" w:rsidR="008644A8" w:rsidRPr="006260F5" w:rsidRDefault="008644A8" w:rsidP="005F77A1">
            <w:pPr>
              <w:spacing w:before="20" w:after="20"/>
              <w:rPr>
                <w:rFonts w:cstheme="minorBidi"/>
                <w:color w:val="000000"/>
                <w:sz w:val="18"/>
                <w:szCs w:val="22"/>
              </w:rPr>
            </w:pPr>
          </w:p>
        </w:tc>
      </w:tr>
      <w:tr w:rsidR="008644A8" w:rsidRPr="006260F5" w14:paraId="31743CA4" w14:textId="2DE467B5" w:rsidTr="00DD6E3C">
        <w:trPr>
          <w:gridAfter w:val="2"/>
          <w:wAfter w:w="3645" w:type="dxa"/>
          <w:trHeight w:val="280"/>
        </w:trPr>
        <w:tc>
          <w:tcPr>
            <w:tcW w:w="2547" w:type="dxa"/>
            <w:shd w:val="clear" w:color="auto" w:fill="auto"/>
            <w:noWrap/>
            <w:vAlign w:val="bottom"/>
          </w:tcPr>
          <w:p w14:paraId="0AFEB276"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Gavin Page</w:t>
            </w:r>
          </w:p>
        </w:tc>
        <w:tc>
          <w:tcPr>
            <w:tcW w:w="1892" w:type="dxa"/>
            <w:shd w:val="clear" w:color="auto" w:fill="auto"/>
            <w:noWrap/>
            <w:vAlign w:val="bottom"/>
          </w:tcPr>
          <w:p w14:paraId="68110D8A"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Trainer</w:t>
            </w:r>
          </w:p>
        </w:tc>
        <w:tc>
          <w:tcPr>
            <w:tcW w:w="528" w:type="dxa"/>
          </w:tcPr>
          <w:p w14:paraId="2E6B66EB" w14:textId="77777777" w:rsidR="008644A8" w:rsidRPr="006260F5" w:rsidRDefault="008644A8" w:rsidP="005F77A1">
            <w:pPr>
              <w:spacing w:before="20" w:after="20"/>
              <w:rPr>
                <w:rFonts w:cstheme="minorBidi"/>
                <w:color w:val="000000"/>
                <w:sz w:val="18"/>
                <w:szCs w:val="22"/>
              </w:rPr>
            </w:pPr>
          </w:p>
        </w:tc>
      </w:tr>
      <w:tr w:rsidR="008644A8" w:rsidRPr="006260F5" w14:paraId="0A9B3ED0" w14:textId="695808E1" w:rsidTr="00DD6E3C">
        <w:trPr>
          <w:gridAfter w:val="2"/>
          <w:wAfter w:w="3645" w:type="dxa"/>
          <w:trHeight w:val="280"/>
        </w:trPr>
        <w:tc>
          <w:tcPr>
            <w:tcW w:w="2547" w:type="dxa"/>
            <w:tcBorders>
              <w:bottom w:val="single" w:sz="4" w:space="0" w:color="A8D08D" w:themeColor="accent6" w:themeTint="99"/>
            </w:tcBorders>
            <w:shd w:val="clear" w:color="auto" w:fill="auto"/>
            <w:noWrap/>
            <w:vAlign w:val="bottom"/>
          </w:tcPr>
          <w:p w14:paraId="53472064"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Graeme Wells</w:t>
            </w:r>
          </w:p>
        </w:tc>
        <w:tc>
          <w:tcPr>
            <w:tcW w:w="1892" w:type="dxa"/>
            <w:tcBorders>
              <w:bottom w:val="single" w:sz="4" w:space="0" w:color="A8D08D" w:themeColor="accent6" w:themeTint="99"/>
            </w:tcBorders>
            <w:shd w:val="clear" w:color="auto" w:fill="auto"/>
            <w:noWrap/>
            <w:vAlign w:val="bottom"/>
          </w:tcPr>
          <w:p w14:paraId="6AB27ABC"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Trainer</w:t>
            </w:r>
          </w:p>
        </w:tc>
        <w:tc>
          <w:tcPr>
            <w:tcW w:w="528" w:type="dxa"/>
            <w:tcBorders>
              <w:bottom w:val="single" w:sz="4" w:space="0" w:color="A8D08D" w:themeColor="accent6" w:themeTint="99"/>
            </w:tcBorders>
          </w:tcPr>
          <w:p w14:paraId="715992D3" w14:textId="77777777" w:rsidR="008644A8" w:rsidRPr="006260F5" w:rsidRDefault="008644A8" w:rsidP="005F77A1">
            <w:pPr>
              <w:spacing w:before="20" w:after="20"/>
              <w:rPr>
                <w:rFonts w:cstheme="minorBidi"/>
                <w:color w:val="000000"/>
                <w:sz w:val="18"/>
                <w:szCs w:val="22"/>
              </w:rPr>
            </w:pPr>
          </w:p>
        </w:tc>
      </w:tr>
      <w:tr w:rsidR="008644A8" w:rsidRPr="006260F5" w14:paraId="35CA5B49" w14:textId="1462A8DC" w:rsidTr="00DD6E3C">
        <w:trPr>
          <w:gridAfter w:val="2"/>
          <w:wAfter w:w="3645" w:type="dxa"/>
          <w:trHeight w:val="280"/>
        </w:trPr>
        <w:tc>
          <w:tcPr>
            <w:tcW w:w="2547" w:type="dxa"/>
            <w:tcBorders>
              <w:top w:val="single" w:sz="4" w:space="0" w:color="A8D08D" w:themeColor="accent6" w:themeTint="99"/>
              <w:bottom w:val="single" w:sz="4" w:space="0" w:color="A8D08D" w:themeColor="accent6" w:themeTint="99"/>
            </w:tcBorders>
            <w:shd w:val="clear" w:color="auto" w:fill="auto"/>
            <w:noWrap/>
            <w:vAlign w:val="bottom"/>
          </w:tcPr>
          <w:p w14:paraId="00C56651"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Phil Dixon</w:t>
            </w:r>
          </w:p>
        </w:tc>
        <w:tc>
          <w:tcPr>
            <w:tcW w:w="1892" w:type="dxa"/>
            <w:tcBorders>
              <w:top w:val="single" w:sz="4" w:space="0" w:color="A8D08D" w:themeColor="accent6" w:themeTint="99"/>
              <w:bottom w:val="single" w:sz="4" w:space="0" w:color="A8D08D" w:themeColor="accent6" w:themeTint="99"/>
            </w:tcBorders>
            <w:shd w:val="clear" w:color="auto" w:fill="auto"/>
            <w:noWrap/>
            <w:vAlign w:val="bottom"/>
          </w:tcPr>
          <w:p w14:paraId="2FF2E01B" w14:textId="77777777" w:rsidR="008644A8" w:rsidRPr="006260F5" w:rsidRDefault="008644A8" w:rsidP="005F77A1">
            <w:pPr>
              <w:spacing w:before="20" w:after="20"/>
              <w:rPr>
                <w:rFonts w:cstheme="minorBidi"/>
                <w:color w:val="000000"/>
                <w:sz w:val="18"/>
                <w:szCs w:val="22"/>
              </w:rPr>
            </w:pPr>
            <w:r w:rsidRPr="006260F5">
              <w:rPr>
                <w:rFonts w:cstheme="minorBidi"/>
                <w:color w:val="000000"/>
                <w:sz w:val="18"/>
                <w:szCs w:val="22"/>
              </w:rPr>
              <w:t>Trainer</w:t>
            </w:r>
          </w:p>
        </w:tc>
        <w:tc>
          <w:tcPr>
            <w:tcW w:w="528" w:type="dxa"/>
            <w:tcBorders>
              <w:top w:val="single" w:sz="4" w:space="0" w:color="A8D08D" w:themeColor="accent6" w:themeTint="99"/>
              <w:bottom w:val="single" w:sz="4" w:space="0" w:color="A8D08D" w:themeColor="accent6" w:themeTint="99"/>
            </w:tcBorders>
          </w:tcPr>
          <w:p w14:paraId="27F4AB4F" w14:textId="77777777" w:rsidR="008644A8" w:rsidRPr="006260F5" w:rsidRDefault="008644A8" w:rsidP="005F77A1">
            <w:pPr>
              <w:spacing w:before="20" w:after="20"/>
              <w:rPr>
                <w:rFonts w:cstheme="minorBidi"/>
                <w:color w:val="000000"/>
                <w:sz w:val="18"/>
                <w:szCs w:val="22"/>
              </w:rPr>
            </w:pPr>
          </w:p>
        </w:tc>
      </w:tr>
    </w:tbl>
    <w:p w14:paraId="0BEDB384" w14:textId="41A5C4DA" w:rsidR="008F00FD" w:rsidRDefault="008F00FD" w:rsidP="008F00FD"/>
    <w:p w14:paraId="4ECEB184" w14:textId="1BAC1C9A" w:rsidR="008F00FD" w:rsidRPr="00C645FA" w:rsidRDefault="008F00FD" w:rsidP="00323906">
      <w:pPr>
        <w:pStyle w:val="Header"/>
      </w:pPr>
      <w:r w:rsidRPr="00C645FA">
        <w:t>Papua New Guinea, other organisations</w:t>
      </w:r>
    </w:p>
    <w:tbl>
      <w:tblPr>
        <w:tblW w:w="8227" w:type="dxa"/>
        <w:tblInd w:w="103" w:type="dxa"/>
        <w:tblBorders>
          <w:insideH w:val="single" w:sz="4" w:space="0" w:color="A8D08D" w:themeColor="accent6" w:themeTint="99"/>
          <w:insideV w:val="single" w:sz="4" w:space="0" w:color="A8D08D" w:themeColor="accent6" w:themeTint="99"/>
        </w:tblBorders>
        <w:tblLayout w:type="fixed"/>
        <w:tblLook w:val="0000" w:firstRow="0" w:lastRow="0" w:firstColumn="0" w:lastColumn="0" w:noHBand="0" w:noVBand="0"/>
      </w:tblPr>
      <w:tblGrid>
        <w:gridCol w:w="1990"/>
        <w:gridCol w:w="4111"/>
        <w:gridCol w:w="2126"/>
      </w:tblGrid>
      <w:tr w:rsidR="008F00FD" w:rsidRPr="009C2EF1" w14:paraId="1C9EFA49" w14:textId="77777777" w:rsidTr="00DD6E3C">
        <w:trPr>
          <w:trHeight w:val="280"/>
        </w:trPr>
        <w:tc>
          <w:tcPr>
            <w:tcW w:w="1990" w:type="dxa"/>
            <w:shd w:val="clear" w:color="auto" w:fill="C5E0B3" w:themeFill="accent6" w:themeFillTint="66"/>
            <w:noWrap/>
            <w:vAlign w:val="bottom"/>
          </w:tcPr>
          <w:p w14:paraId="6A7CE1C1" w14:textId="77777777" w:rsidR="008F00FD" w:rsidRPr="009C2EF1" w:rsidRDefault="008F00FD" w:rsidP="005F77A1">
            <w:pPr>
              <w:spacing w:before="20" w:after="20"/>
              <w:rPr>
                <w:rFonts w:cstheme="minorBidi"/>
                <w:b/>
                <w:color w:val="000000"/>
                <w:sz w:val="18"/>
                <w:szCs w:val="22"/>
              </w:rPr>
            </w:pPr>
            <w:r w:rsidRPr="009C2EF1">
              <w:rPr>
                <w:rFonts w:cstheme="minorBidi"/>
                <w:b/>
                <w:color w:val="000000"/>
                <w:sz w:val="18"/>
                <w:szCs w:val="22"/>
              </w:rPr>
              <w:t>Individual</w:t>
            </w:r>
          </w:p>
        </w:tc>
        <w:tc>
          <w:tcPr>
            <w:tcW w:w="4111" w:type="dxa"/>
            <w:shd w:val="clear" w:color="auto" w:fill="C5E0B3" w:themeFill="accent6" w:themeFillTint="66"/>
            <w:noWrap/>
            <w:vAlign w:val="bottom"/>
          </w:tcPr>
          <w:p w14:paraId="53ED89EB" w14:textId="77777777" w:rsidR="008F00FD" w:rsidRPr="009C2EF1" w:rsidRDefault="008F00FD" w:rsidP="005F77A1">
            <w:pPr>
              <w:spacing w:before="20" w:after="20"/>
              <w:rPr>
                <w:rFonts w:cstheme="minorBidi"/>
                <w:b/>
                <w:color w:val="000000"/>
                <w:sz w:val="18"/>
                <w:szCs w:val="22"/>
              </w:rPr>
            </w:pPr>
            <w:r w:rsidRPr="009C2EF1">
              <w:rPr>
                <w:rFonts w:cstheme="minorBidi"/>
                <w:b/>
                <w:color w:val="000000"/>
                <w:sz w:val="18"/>
                <w:szCs w:val="22"/>
              </w:rPr>
              <w:t>Organisation</w:t>
            </w:r>
          </w:p>
        </w:tc>
        <w:tc>
          <w:tcPr>
            <w:tcW w:w="2126" w:type="dxa"/>
            <w:shd w:val="clear" w:color="auto" w:fill="C5E0B3" w:themeFill="accent6" w:themeFillTint="66"/>
            <w:noWrap/>
            <w:vAlign w:val="bottom"/>
          </w:tcPr>
          <w:p w14:paraId="5AD0F049" w14:textId="77777777" w:rsidR="008F00FD" w:rsidRPr="009C2EF1" w:rsidRDefault="008F00FD" w:rsidP="005F77A1">
            <w:pPr>
              <w:spacing w:before="20" w:after="20"/>
              <w:rPr>
                <w:rFonts w:cstheme="minorBidi"/>
                <w:b/>
                <w:color w:val="000000"/>
                <w:sz w:val="18"/>
                <w:szCs w:val="22"/>
              </w:rPr>
            </w:pPr>
            <w:r w:rsidRPr="009C2EF1">
              <w:rPr>
                <w:rFonts w:cstheme="minorBidi"/>
                <w:b/>
                <w:color w:val="000000"/>
                <w:sz w:val="18"/>
                <w:szCs w:val="22"/>
              </w:rPr>
              <w:t>Type of group</w:t>
            </w:r>
          </w:p>
        </w:tc>
      </w:tr>
      <w:tr w:rsidR="008F00FD" w:rsidRPr="006260F5" w14:paraId="07B8E071" w14:textId="77777777" w:rsidTr="00DD6E3C">
        <w:trPr>
          <w:trHeight w:val="280"/>
        </w:trPr>
        <w:tc>
          <w:tcPr>
            <w:tcW w:w="1990" w:type="dxa"/>
            <w:shd w:val="clear" w:color="auto" w:fill="auto"/>
            <w:noWrap/>
            <w:vAlign w:val="bottom"/>
          </w:tcPr>
          <w:p w14:paraId="19F48D3A"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H.E. Deborah Stokes</w:t>
            </w:r>
          </w:p>
        </w:tc>
        <w:tc>
          <w:tcPr>
            <w:tcW w:w="4111" w:type="dxa"/>
            <w:shd w:val="clear" w:color="auto" w:fill="auto"/>
            <w:noWrap/>
            <w:vAlign w:val="bottom"/>
          </w:tcPr>
          <w:p w14:paraId="55DAA137"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Australian High Commission</w:t>
            </w:r>
          </w:p>
        </w:tc>
        <w:tc>
          <w:tcPr>
            <w:tcW w:w="2126" w:type="dxa"/>
            <w:shd w:val="clear" w:color="auto" w:fill="auto"/>
            <w:noWrap/>
            <w:vAlign w:val="bottom"/>
          </w:tcPr>
          <w:p w14:paraId="3F67AF3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Development Partner</w:t>
            </w:r>
          </w:p>
        </w:tc>
      </w:tr>
      <w:tr w:rsidR="008F00FD" w:rsidRPr="006260F5" w14:paraId="26E2F27D" w14:textId="77777777" w:rsidTr="00DD6E3C">
        <w:trPr>
          <w:trHeight w:val="280"/>
        </w:trPr>
        <w:tc>
          <w:tcPr>
            <w:tcW w:w="1990" w:type="dxa"/>
            <w:shd w:val="clear" w:color="auto" w:fill="auto"/>
            <w:noWrap/>
            <w:vAlign w:val="bottom"/>
          </w:tcPr>
          <w:p w14:paraId="5A870945"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James Hall</w:t>
            </w:r>
          </w:p>
        </w:tc>
        <w:tc>
          <w:tcPr>
            <w:tcW w:w="4111" w:type="dxa"/>
            <w:shd w:val="clear" w:color="auto" w:fill="auto"/>
            <w:noWrap/>
            <w:vAlign w:val="bottom"/>
          </w:tcPr>
          <w:p w14:paraId="097B7B14"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Australian High Commission</w:t>
            </w:r>
          </w:p>
        </w:tc>
        <w:tc>
          <w:tcPr>
            <w:tcW w:w="2126" w:type="dxa"/>
            <w:shd w:val="clear" w:color="auto" w:fill="auto"/>
            <w:noWrap/>
            <w:vAlign w:val="bottom"/>
          </w:tcPr>
          <w:p w14:paraId="612D6E07"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Development Partner</w:t>
            </w:r>
          </w:p>
        </w:tc>
      </w:tr>
      <w:tr w:rsidR="008F00FD" w:rsidRPr="006260F5" w14:paraId="36CDD68F" w14:textId="77777777" w:rsidTr="00DD6E3C">
        <w:trPr>
          <w:trHeight w:val="280"/>
        </w:trPr>
        <w:tc>
          <w:tcPr>
            <w:tcW w:w="1990" w:type="dxa"/>
            <w:shd w:val="clear" w:color="auto" w:fill="auto"/>
            <w:noWrap/>
            <w:vAlign w:val="bottom"/>
          </w:tcPr>
          <w:p w14:paraId="6B7D671F"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Jane Racancoj</w:t>
            </w:r>
          </w:p>
        </w:tc>
        <w:tc>
          <w:tcPr>
            <w:tcW w:w="4111" w:type="dxa"/>
            <w:shd w:val="clear" w:color="auto" w:fill="auto"/>
            <w:noWrap/>
            <w:vAlign w:val="bottom"/>
          </w:tcPr>
          <w:p w14:paraId="44E9F591"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Australian High Commission</w:t>
            </w:r>
          </w:p>
        </w:tc>
        <w:tc>
          <w:tcPr>
            <w:tcW w:w="2126" w:type="dxa"/>
            <w:shd w:val="clear" w:color="auto" w:fill="auto"/>
            <w:noWrap/>
            <w:vAlign w:val="bottom"/>
          </w:tcPr>
          <w:p w14:paraId="5E7E8554"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Development Partner</w:t>
            </w:r>
          </w:p>
        </w:tc>
      </w:tr>
      <w:tr w:rsidR="008F00FD" w:rsidRPr="006260F5" w14:paraId="5BC8DC6A" w14:textId="77777777" w:rsidTr="00DD6E3C">
        <w:trPr>
          <w:trHeight w:val="280"/>
        </w:trPr>
        <w:tc>
          <w:tcPr>
            <w:tcW w:w="1990" w:type="dxa"/>
            <w:shd w:val="clear" w:color="auto" w:fill="auto"/>
            <w:noWrap/>
            <w:vAlign w:val="bottom"/>
          </w:tcPr>
          <w:p w14:paraId="11AD0D2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Johnny Yap</w:t>
            </w:r>
          </w:p>
        </w:tc>
        <w:tc>
          <w:tcPr>
            <w:tcW w:w="4111" w:type="dxa"/>
            <w:shd w:val="clear" w:color="auto" w:fill="auto"/>
            <w:noWrap/>
            <w:vAlign w:val="bottom"/>
          </w:tcPr>
          <w:p w14:paraId="36DD9B6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Australian High Commission</w:t>
            </w:r>
          </w:p>
        </w:tc>
        <w:tc>
          <w:tcPr>
            <w:tcW w:w="2126" w:type="dxa"/>
            <w:shd w:val="clear" w:color="auto" w:fill="auto"/>
            <w:noWrap/>
            <w:vAlign w:val="bottom"/>
          </w:tcPr>
          <w:p w14:paraId="6E9EC3C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Development Partner</w:t>
            </w:r>
          </w:p>
        </w:tc>
      </w:tr>
      <w:tr w:rsidR="008F00FD" w:rsidRPr="006260F5" w14:paraId="3383CFD9" w14:textId="77777777" w:rsidTr="00DD6E3C">
        <w:trPr>
          <w:trHeight w:val="280"/>
        </w:trPr>
        <w:tc>
          <w:tcPr>
            <w:tcW w:w="1990" w:type="dxa"/>
            <w:shd w:val="clear" w:color="auto" w:fill="auto"/>
            <w:noWrap/>
            <w:vAlign w:val="bottom"/>
          </w:tcPr>
          <w:p w14:paraId="43BCC0EC"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Aaron Batten</w:t>
            </w:r>
          </w:p>
        </w:tc>
        <w:tc>
          <w:tcPr>
            <w:tcW w:w="4111" w:type="dxa"/>
            <w:shd w:val="clear" w:color="auto" w:fill="auto"/>
            <w:noWrap/>
            <w:vAlign w:val="bottom"/>
          </w:tcPr>
          <w:p w14:paraId="3B42059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ADB</w:t>
            </w:r>
          </w:p>
        </w:tc>
        <w:tc>
          <w:tcPr>
            <w:tcW w:w="2126" w:type="dxa"/>
            <w:shd w:val="clear" w:color="auto" w:fill="auto"/>
            <w:noWrap/>
            <w:vAlign w:val="bottom"/>
          </w:tcPr>
          <w:p w14:paraId="6EDD1BE3"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Development Partner</w:t>
            </w:r>
          </w:p>
        </w:tc>
      </w:tr>
      <w:tr w:rsidR="008F00FD" w:rsidRPr="006260F5" w14:paraId="6B2788C0" w14:textId="77777777" w:rsidTr="00DD6E3C">
        <w:trPr>
          <w:trHeight w:val="280"/>
        </w:trPr>
        <w:tc>
          <w:tcPr>
            <w:tcW w:w="1990" w:type="dxa"/>
            <w:shd w:val="clear" w:color="auto" w:fill="auto"/>
            <w:noWrap/>
            <w:vAlign w:val="bottom"/>
          </w:tcPr>
          <w:p w14:paraId="3D9E3A8A"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Caroline Aribi</w:t>
            </w:r>
          </w:p>
        </w:tc>
        <w:tc>
          <w:tcPr>
            <w:tcW w:w="4111" w:type="dxa"/>
            <w:shd w:val="clear" w:color="auto" w:fill="auto"/>
            <w:noWrap/>
            <w:vAlign w:val="bottom"/>
          </w:tcPr>
          <w:p w14:paraId="7A38A1FC"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Air Niugini Ltd</w:t>
            </w:r>
          </w:p>
        </w:tc>
        <w:tc>
          <w:tcPr>
            <w:tcW w:w="2126" w:type="dxa"/>
            <w:shd w:val="clear" w:color="auto" w:fill="auto"/>
            <w:noWrap/>
            <w:vAlign w:val="bottom"/>
          </w:tcPr>
          <w:p w14:paraId="69AB494A"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7B1E899B" w14:textId="77777777" w:rsidTr="00DD6E3C">
        <w:trPr>
          <w:trHeight w:val="280"/>
        </w:trPr>
        <w:tc>
          <w:tcPr>
            <w:tcW w:w="1990" w:type="dxa"/>
            <w:shd w:val="clear" w:color="auto" w:fill="auto"/>
            <w:noWrap/>
            <w:vAlign w:val="bottom"/>
          </w:tcPr>
          <w:p w14:paraId="66B62B07"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Robert Smith</w:t>
            </w:r>
          </w:p>
        </w:tc>
        <w:tc>
          <w:tcPr>
            <w:tcW w:w="4111" w:type="dxa"/>
            <w:shd w:val="clear" w:color="auto" w:fill="auto"/>
            <w:noWrap/>
            <w:vAlign w:val="bottom"/>
          </w:tcPr>
          <w:p w14:paraId="759DA05A"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Air Niugini Ltd</w:t>
            </w:r>
          </w:p>
        </w:tc>
        <w:tc>
          <w:tcPr>
            <w:tcW w:w="2126" w:type="dxa"/>
            <w:shd w:val="clear" w:color="auto" w:fill="auto"/>
            <w:noWrap/>
            <w:vAlign w:val="bottom"/>
          </w:tcPr>
          <w:p w14:paraId="3B1DA3B7"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077B68F2" w14:textId="77777777" w:rsidTr="00DD6E3C">
        <w:trPr>
          <w:trHeight w:val="280"/>
        </w:trPr>
        <w:tc>
          <w:tcPr>
            <w:tcW w:w="1990" w:type="dxa"/>
            <w:shd w:val="clear" w:color="auto" w:fill="auto"/>
            <w:noWrap/>
            <w:vAlign w:val="bottom"/>
          </w:tcPr>
          <w:p w14:paraId="5D91EF4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Camilus Liaia</w:t>
            </w:r>
          </w:p>
        </w:tc>
        <w:tc>
          <w:tcPr>
            <w:tcW w:w="4111" w:type="dxa"/>
            <w:shd w:val="clear" w:color="auto" w:fill="auto"/>
            <w:noWrap/>
            <w:vAlign w:val="bottom"/>
          </w:tcPr>
          <w:p w14:paraId="4294527A"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PNG Power</w:t>
            </w:r>
          </w:p>
        </w:tc>
        <w:tc>
          <w:tcPr>
            <w:tcW w:w="2126" w:type="dxa"/>
            <w:shd w:val="clear" w:color="auto" w:fill="auto"/>
            <w:noWrap/>
            <w:vAlign w:val="bottom"/>
          </w:tcPr>
          <w:p w14:paraId="4F2CDF3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27237C26" w14:textId="77777777" w:rsidTr="00DD6E3C">
        <w:trPr>
          <w:trHeight w:val="280"/>
        </w:trPr>
        <w:tc>
          <w:tcPr>
            <w:tcW w:w="1990" w:type="dxa"/>
            <w:shd w:val="clear" w:color="auto" w:fill="auto"/>
            <w:noWrap/>
            <w:vAlign w:val="bottom"/>
          </w:tcPr>
          <w:p w14:paraId="2475AEFC"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John Tangit</w:t>
            </w:r>
          </w:p>
        </w:tc>
        <w:tc>
          <w:tcPr>
            <w:tcW w:w="4111" w:type="dxa"/>
            <w:shd w:val="clear" w:color="auto" w:fill="auto"/>
            <w:noWrap/>
            <w:vAlign w:val="bottom"/>
          </w:tcPr>
          <w:p w14:paraId="51C6AD5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PNG Power</w:t>
            </w:r>
          </w:p>
        </w:tc>
        <w:tc>
          <w:tcPr>
            <w:tcW w:w="2126" w:type="dxa"/>
            <w:shd w:val="clear" w:color="auto" w:fill="auto"/>
            <w:noWrap/>
            <w:vAlign w:val="bottom"/>
          </w:tcPr>
          <w:p w14:paraId="4DF41055"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2D3FCE73" w14:textId="77777777" w:rsidTr="00DD6E3C">
        <w:trPr>
          <w:trHeight w:val="280"/>
        </w:trPr>
        <w:tc>
          <w:tcPr>
            <w:tcW w:w="1990" w:type="dxa"/>
            <w:shd w:val="clear" w:color="auto" w:fill="auto"/>
            <w:noWrap/>
            <w:vAlign w:val="bottom"/>
          </w:tcPr>
          <w:p w14:paraId="175E8D88"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Maxwell Kombia</w:t>
            </w:r>
          </w:p>
        </w:tc>
        <w:tc>
          <w:tcPr>
            <w:tcW w:w="4111" w:type="dxa"/>
            <w:shd w:val="clear" w:color="auto" w:fill="auto"/>
            <w:noWrap/>
            <w:vAlign w:val="bottom"/>
          </w:tcPr>
          <w:p w14:paraId="21685813"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PNG Power</w:t>
            </w:r>
          </w:p>
        </w:tc>
        <w:tc>
          <w:tcPr>
            <w:tcW w:w="2126" w:type="dxa"/>
            <w:shd w:val="clear" w:color="auto" w:fill="auto"/>
            <w:noWrap/>
            <w:vAlign w:val="bottom"/>
          </w:tcPr>
          <w:p w14:paraId="3B07973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1FBA5853" w14:textId="77777777" w:rsidTr="00DD6E3C">
        <w:trPr>
          <w:trHeight w:val="280"/>
        </w:trPr>
        <w:tc>
          <w:tcPr>
            <w:tcW w:w="1990" w:type="dxa"/>
            <w:shd w:val="clear" w:color="auto" w:fill="auto"/>
            <w:noWrap/>
            <w:vAlign w:val="bottom"/>
          </w:tcPr>
          <w:p w14:paraId="03DFEC98"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John Gethin-Jones</w:t>
            </w:r>
          </w:p>
        </w:tc>
        <w:tc>
          <w:tcPr>
            <w:tcW w:w="4111" w:type="dxa"/>
            <w:shd w:val="clear" w:color="auto" w:fill="auto"/>
            <w:noWrap/>
            <w:vAlign w:val="bottom"/>
          </w:tcPr>
          <w:p w14:paraId="40843C64"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National Catering Services</w:t>
            </w:r>
          </w:p>
        </w:tc>
        <w:tc>
          <w:tcPr>
            <w:tcW w:w="2126" w:type="dxa"/>
            <w:shd w:val="clear" w:color="auto" w:fill="auto"/>
            <w:noWrap/>
            <w:vAlign w:val="bottom"/>
          </w:tcPr>
          <w:p w14:paraId="2C0D928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31D00B5E" w14:textId="77777777" w:rsidTr="00DD6E3C">
        <w:trPr>
          <w:trHeight w:val="280"/>
        </w:trPr>
        <w:tc>
          <w:tcPr>
            <w:tcW w:w="1990" w:type="dxa"/>
            <w:shd w:val="clear" w:color="auto" w:fill="auto"/>
            <w:noWrap/>
            <w:vAlign w:val="bottom"/>
          </w:tcPr>
          <w:p w14:paraId="4ADB2C7D"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Helen Tiran</w:t>
            </w:r>
          </w:p>
        </w:tc>
        <w:tc>
          <w:tcPr>
            <w:tcW w:w="4111" w:type="dxa"/>
            <w:shd w:val="clear" w:color="auto" w:fill="auto"/>
            <w:noWrap/>
            <w:vAlign w:val="bottom"/>
          </w:tcPr>
          <w:p w14:paraId="5546841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Lahara Pre-school</w:t>
            </w:r>
          </w:p>
        </w:tc>
        <w:tc>
          <w:tcPr>
            <w:tcW w:w="2126" w:type="dxa"/>
            <w:shd w:val="clear" w:color="auto" w:fill="auto"/>
            <w:noWrap/>
            <w:vAlign w:val="bottom"/>
          </w:tcPr>
          <w:p w14:paraId="0D452CB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2DB71C50" w14:textId="77777777" w:rsidTr="00DD6E3C">
        <w:trPr>
          <w:trHeight w:val="280"/>
        </w:trPr>
        <w:tc>
          <w:tcPr>
            <w:tcW w:w="1990" w:type="dxa"/>
            <w:shd w:val="clear" w:color="auto" w:fill="auto"/>
            <w:noWrap/>
            <w:vAlign w:val="bottom"/>
          </w:tcPr>
          <w:p w14:paraId="1550EE2B"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Bob Summerton</w:t>
            </w:r>
          </w:p>
        </w:tc>
        <w:tc>
          <w:tcPr>
            <w:tcW w:w="4111" w:type="dxa"/>
            <w:shd w:val="clear" w:color="auto" w:fill="auto"/>
            <w:noWrap/>
            <w:vAlign w:val="bottom"/>
          </w:tcPr>
          <w:p w14:paraId="5CCD9301"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Oil Search (PNG) Limited</w:t>
            </w:r>
          </w:p>
        </w:tc>
        <w:tc>
          <w:tcPr>
            <w:tcW w:w="2126" w:type="dxa"/>
            <w:shd w:val="clear" w:color="auto" w:fill="auto"/>
            <w:noWrap/>
            <w:vAlign w:val="bottom"/>
          </w:tcPr>
          <w:p w14:paraId="558D6DB8"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5D276D01" w14:textId="77777777" w:rsidTr="00DD6E3C">
        <w:trPr>
          <w:trHeight w:val="280"/>
        </w:trPr>
        <w:tc>
          <w:tcPr>
            <w:tcW w:w="1990" w:type="dxa"/>
            <w:shd w:val="clear" w:color="auto" w:fill="auto"/>
            <w:noWrap/>
            <w:vAlign w:val="bottom"/>
          </w:tcPr>
          <w:p w14:paraId="64C5F53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Ben Theordore</w:t>
            </w:r>
          </w:p>
        </w:tc>
        <w:tc>
          <w:tcPr>
            <w:tcW w:w="4111" w:type="dxa"/>
            <w:shd w:val="clear" w:color="auto" w:fill="auto"/>
            <w:noWrap/>
            <w:vAlign w:val="bottom"/>
          </w:tcPr>
          <w:p w14:paraId="195C214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PNG Assembly for Disabled People</w:t>
            </w:r>
          </w:p>
        </w:tc>
        <w:tc>
          <w:tcPr>
            <w:tcW w:w="2126" w:type="dxa"/>
            <w:shd w:val="clear" w:color="auto" w:fill="auto"/>
            <w:noWrap/>
            <w:vAlign w:val="bottom"/>
          </w:tcPr>
          <w:p w14:paraId="7E74AD4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06AB66B5" w14:textId="77777777" w:rsidTr="00DD6E3C">
        <w:trPr>
          <w:trHeight w:val="280"/>
        </w:trPr>
        <w:tc>
          <w:tcPr>
            <w:tcW w:w="1990" w:type="dxa"/>
            <w:shd w:val="clear" w:color="auto" w:fill="auto"/>
            <w:noWrap/>
            <w:vAlign w:val="bottom"/>
          </w:tcPr>
          <w:p w14:paraId="4C8DA9D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David Toua</w:t>
            </w:r>
          </w:p>
        </w:tc>
        <w:tc>
          <w:tcPr>
            <w:tcW w:w="4111" w:type="dxa"/>
            <w:shd w:val="clear" w:color="auto" w:fill="auto"/>
            <w:noWrap/>
            <w:vAlign w:val="bottom"/>
          </w:tcPr>
          <w:p w14:paraId="71B954D9"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The Business Council of PNG</w:t>
            </w:r>
          </w:p>
        </w:tc>
        <w:tc>
          <w:tcPr>
            <w:tcW w:w="2126" w:type="dxa"/>
            <w:shd w:val="clear" w:color="auto" w:fill="auto"/>
            <w:noWrap/>
            <w:vAlign w:val="bottom"/>
          </w:tcPr>
          <w:p w14:paraId="6DF90E6D"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635FA6E9" w14:textId="77777777" w:rsidTr="00DD6E3C">
        <w:trPr>
          <w:trHeight w:val="280"/>
        </w:trPr>
        <w:tc>
          <w:tcPr>
            <w:tcW w:w="1990" w:type="dxa"/>
            <w:shd w:val="clear" w:color="auto" w:fill="auto"/>
            <w:noWrap/>
            <w:vAlign w:val="bottom"/>
          </w:tcPr>
          <w:p w14:paraId="788FF203"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Alex Wilson</w:t>
            </w:r>
          </w:p>
        </w:tc>
        <w:tc>
          <w:tcPr>
            <w:tcW w:w="4111" w:type="dxa"/>
            <w:shd w:val="clear" w:color="auto" w:fill="auto"/>
            <w:noWrap/>
            <w:vAlign w:val="bottom"/>
          </w:tcPr>
          <w:p w14:paraId="45444923"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 xml:space="preserve">The Grand Papua Hotel </w:t>
            </w:r>
          </w:p>
        </w:tc>
        <w:tc>
          <w:tcPr>
            <w:tcW w:w="2126" w:type="dxa"/>
            <w:shd w:val="clear" w:color="auto" w:fill="auto"/>
            <w:noWrap/>
            <w:vAlign w:val="bottom"/>
          </w:tcPr>
          <w:p w14:paraId="67B69ADB"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7342B0D5" w14:textId="77777777" w:rsidTr="00DD6E3C">
        <w:trPr>
          <w:trHeight w:val="280"/>
        </w:trPr>
        <w:tc>
          <w:tcPr>
            <w:tcW w:w="1990" w:type="dxa"/>
            <w:shd w:val="clear" w:color="auto" w:fill="auto"/>
            <w:noWrap/>
            <w:vAlign w:val="bottom"/>
          </w:tcPr>
          <w:p w14:paraId="6793334D"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Greg Anderson</w:t>
            </w:r>
          </w:p>
        </w:tc>
        <w:tc>
          <w:tcPr>
            <w:tcW w:w="4111" w:type="dxa"/>
            <w:shd w:val="clear" w:color="auto" w:fill="auto"/>
            <w:noWrap/>
            <w:vAlign w:val="bottom"/>
          </w:tcPr>
          <w:p w14:paraId="1523F814"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The PNG Chamber of Mines and Petroleum</w:t>
            </w:r>
          </w:p>
        </w:tc>
        <w:tc>
          <w:tcPr>
            <w:tcW w:w="2126" w:type="dxa"/>
            <w:shd w:val="clear" w:color="auto" w:fill="auto"/>
            <w:noWrap/>
            <w:vAlign w:val="bottom"/>
          </w:tcPr>
          <w:p w14:paraId="1FF0C859"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30CD3BCA" w14:textId="77777777" w:rsidTr="00DD6E3C">
        <w:trPr>
          <w:trHeight w:val="280"/>
        </w:trPr>
        <w:tc>
          <w:tcPr>
            <w:tcW w:w="1990" w:type="dxa"/>
            <w:shd w:val="clear" w:color="auto" w:fill="auto"/>
            <w:noWrap/>
            <w:vAlign w:val="bottom"/>
          </w:tcPr>
          <w:p w14:paraId="6086C58D"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David Conn Esq</w:t>
            </w:r>
          </w:p>
        </w:tc>
        <w:tc>
          <w:tcPr>
            <w:tcW w:w="4111" w:type="dxa"/>
            <w:shd w:val="clear" w:color="auto" w:fill="auto"/>
            <w:noWrap/>
            <w:vAlign w:val="bottom"/>
          </w:tcPr>
          <w:p w14:paraId="2D559AE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The Port Moresby Chamber of Commerce &amp; Industry</w:t>
            </w:r>
          </w:p>
        </w:tc>
        <w:tc>
          <w:tcPr>
            <w:tcW w:w="2126" w:type="dxa"/>
            <w:shd w:val="clear" w:color="auto" w:fill="auto"/>
            <w:noWrap/>
            <w:vAlign w:val="bottom"/>
          </w:tcPr>
          <w:p w14:paraId="482439E1"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51575464" w14:textId="77777777" w:rsidTr="00DD6E3C">
        <w:trPr>
          <w:trHeight w:val="280"/>
        </w:trPr>
        <w:tc>
          <w:tcPr>
            <w:tcW w:w="1990" w:type="dxa"/>
            <w:shd w:val="clear" w:color="auto" w:fill="auto"/>
            <w:noWrap/>
            <w:vAlign w:val="bottom"/>
          </w:tcPr>
          <w:p w14:paraId="4C7B800F"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Brent St.</w:t>
            </w:r>
            <w:r>
              <w:rPr>
                <w:rFonts w:cstheme="minorBidi"/>
                <w:color w:val="000000"/>
                <w:sz w:val="18"/>
                <w:szCs w:val="22"/>
              </w:rPr>
              <w:t xml:space="preserve"> </w:t>
            </w:r>
            <w:r w:rsidRPr="006260F5">
              <w:rPr>
                <w:rFonts w:cstheme="minorBidi"/>
                <w:color w:val="000000"/>
                <w:sz w:val="18"/>
                <w:szCs w:val="22"/>
              </w:rPr>
              <w:t>Hill</w:t>
            </w:r>
          </w:p>
        </w:tc>
        <w:tc>
          <w:tcPr>
            <w:tcW w:w="4111" w:type="dxa"/>
            <w:shd w:val="clear" w:color="auto" w:fill="auto"/>
            <w:noWrap/>
            <w:vAlign w:val="bottom"/>
          </w:tcPr>
          <w:p w14:paraId="38ECAAD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Coral Sea Hotels</w:t>
            </w:r>
          </w:p>
        </w:tc>
        <w:tc>
          <w:tcPr>
            <w:tcW w:w="2126" w:type="dxa"/>
            <w:shd w:val="clear" w:color="auto" w:fill="auto"/>
            <w:noWrap/>
            <w:vAlign w:val="bottom"/>
          </w:tcPr>
          <w:p w14:paraId="6A621F4A"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13E3C49E" w14:textId="77777777" w:rsidTr="00D55DF6">
        <w:trPr>
          <w:trHeight w:val="280"/>
        </w:trPr>
        <w:tc>
          <w:tcPr>
            <w:tcW w:w="1990" w:type="dxa"/>
            <w:tcBorders>
              <w:bottom w:val="single" w:sz="4" w:space="0" w:color="A8D08D" w:themeColor="accent6" w:themeTint="99"/>
            </w:tcBorders>
            <w:shd w:val="clear" w:color="auto" w:fill="auto"/>
            <w:noWrap/>
            <w:vAlign w:val="bottom"/>
          </w:tcPr>
          <w:p w14:paraId="1E4D597F"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Glen Murphy</w:t>
            </w:r>
          </w:p>
        </w:tc>
        <w:tc>
          <w:tcPr>
            <w:tcW w:w="4111" w:type="dxa"/>
            <w:tcBorders>
              <w:bottom w:val="single" w:sz="4" w:space="0" w:color="A8D08D" w:themeColor="accent6" w:themeTint="99"/>
            </w:tcBorders>
            <w:shd w:val="clear" w:color="auto" w:fill="auto"/>
            <w:noWrap/>
            <w:vAlign w:val="bottom"/>
          </w:tcPr>
          <w:p w14:paraId="186F167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Coral Sea Hotels</w:t>
            </w:r>
          </w:p>
        </w:tc>
        <w:tc>
          <w:tcPr>
            <w:tcW w:w="2126" w:type="dxa"/>
            <w:tcBorders>
              <w:bottom w:val="single" w:sz="4" w:space="0" w:color="A8D08D" w:themeColor="accent6" w:themeTint="99"/>
            </w:tcBorders>
            <w:shd w:val="clear" w:color="auto" w:fill="auto"/>
            <w:noWrap/>
            <w:vAlign w:val="bottom"/>
          </w:tcPr>
          <w:p w14:paraId="78BD5E9E"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0D5B13D5" w14:textId="77777777" w:rsidTr="00D55DF6">
        <w:trPr>
          <w:trHeight w:val="280"/>
        </w:trPr>
        <w:tc>
          <w:tcPr>
            <w:tcW w:w="1990" w:type="dxa"/>
            <w:tcBorders>
              <w:top w:val="single" w:sz="4" w:space="0" w:color="A8D08D" w:themeColor="accent6" w:themeTint="99"/>
              <w:bottom w:val="single" w:sz="4" w:space="0" w:color="A8D08D" w:themeColor="accent6" w:themeTint="99"/>
            </w:tcBorders>
            <w:shd w:val="clear" w:color="auto" w:fill="auto"/>
            <w:noWrap/>
            <w:vAlign w:val="bottom"/>
          </w:tcPr>
          <w:p w14:paraId="23FAA68F"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Karthik Vajjala</w:t>
            </w:r>
          </w:p>
        </w:tc>
        <w:tc>
          <w:tcPr>
            <w:tcW w:w="4111" w:type="dxa"/>
            <w:tcBorders>
              <w:top w:val="single" w:sz="4" w:space="0" w:color="A8D08D" w:themeColor="accent6" w:themeTint="99"/>
              <w:bottom w:val="single" w:sz="4" w:space="0" w:color="A8D08D" w:themeColor="accent6" w:themeTint="99"/>
            </w:tcBorders>
            <w:shd w:val="clear" w:color="auto" w:fill="auto"/>
            <w:noWrap/>
            <w:vAlign w:val="bottom"/>
          </w:tcPr>
          <w:p w14:paraId="61D4888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Avenell Engineering Systems Ltd</w:t>
            </w:r>
          </w:p>
        </w:tc>
        <w:tc>
          <w:tcPr>
            <w:tcW w:w="2126" w:type="dxa"/>
            <w:tcBorders>
              <w:top w:val="single" w:sz="4" w:space="0" w:color="A8D08D" w:themeColor="accent6" w:themeTint="99"/>
              <w:bottom w:val="single" w:sz="4" w:space="0" w:color="A8D08D" w:themeColor="accent6" w:themeTint="99"/>
            </w:tcBorders>
            <w:shd w:val="clear" w:color="auto" w:fill="auto"/>
            <w:noWrap/>
            <w:vAlign w:val="bottom"/>
          </w:tcPr>
          <w:p w14:paraId="31866EF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bl>
    <w:p w14:paraId="2C095221" w14:textId="4D5DDA29" w:rsidR="007C6771" w:rsidRDefault="007C6771"/>
    <w:tbl>
      <w:tblPr>
        <w:tblW w:w="8227" w:type="dxa"/>
        <w:tblInd w:w="103" w:type="dxa"/>
        <w:tblBorders>
          <w:insideH w:val="single" w:sz="4" w:space="0" w:color="A8D08D" w:themeColor="accent6" w:themeTint="99"/>
          <w:insideV w:val="single" w:sz="4" w:space="0" w:color="A8D08D" w:themeColor="accent6" w:themeTint="99"/>
        </w:tblBorders>
        <w:tblLayout w:type="fixed"/>
        <w:tblLook w:val="0000" w:firstRow="0" w:lastRow="0" w:firstColumn="0" w:lastColumn="0" w:noHBand="0" w:noVBand="0"/>
      </w:tblPr>
      <w:tblGrid>
        <w:gridCol w:w="1990"/>
        <w:gridCol w:w="4111"/>
        <w:gridCol w:w="2126"/>
      </w:tblGrid>
      <w:tr w:rsidR="007C6771" w:rsidRPr="009C2EF1" w14:paraId="6794ECE7" w14:textId="77777777" w:rsidTr="00D55DF6">
        <w:trPr>
          <w:trHeight w:val="280"/>
        </w:trPr>
        <w:tc>
          <w:tcPr>
            <w:tcW w:w="1990" w:type="dxa"/>
            <w:shd w:val="clear" w:color="auto" w:fill="C5E0B3" w:themeFill="accent6" w:themeFillTint="66"/>
            <w:noWrap/>
            <w:vAlign w:val="bottom"/>
          </w:tcPr>
          <w:p w14:paraId="7CA08BA2" w14:textId="77777777" w:rsidR="007C6771" w:rsidRPr="009C2EF1" w:rsidRDefault="007C6771" w:rsidP="0018793F">
            <w:pPr>
              <w:spacing w:before="20" w:after="20"/>
              <w:rPr>
                <w:rFonts w:cstheme="minorBidi"/>
                <w:b/>
                <w:color w:val="000000"/>
                <w:sz w:val="18"/>
                <w:szCs w:val="22"/>
              </w:rPr>
            </w:pPr>
            <w:r w:rsidRPr="009C2EF1">
              <w:rPr>
                <w:rFonts w:cstheme="minorBidi"/>
                <w:b/>
                <w:color w:val="000000"/>
                <w:sz w:val="18"/>
                <w:szCs w:val="22"/>
              </w:rPr>
              <w:t>Individual</w:t>
            </w:r>
          </w:p>
        </w:tc>
        <w:tc>
          <w:tcPr>
            <w:tcW w:w="4111" w:type="dxa"/>
            <w:shd w:val="clear" w:color="auto" w:fill="C5E0B3" w:themeFill="accent6" w:themeFillTint="66"/>
            <w:noWrap/>
            <w:vAlign w:val="bottom"/>
          </w:tcPr>
          <w:p w14:paraId="3619C947" w14:textId="77777777" w:rsidR="007C6771" w:rsidRPr="009C2EF1" w:rsidRDefault="007C6771" w:rsidP="0018793F">
            <w:pPr>
              <w:spacing w:before="20" w:after="20"/>
              <w:rPr>
                <w:rFonts w:cstheme="minorBidi"/>
                <w:b/>
                <w:color w:val="000000"/>
                <w:sz w:val="18"/>
                <w:szCs w:val="22"/>
              </w:rPr>
            </w:pPr>
            <w:r w:rsidRPr="009C2EF1">
              <w:rPr>
                <w:rFonts w:cstheme="minorBidi"/>
                <w:b/>
                <w:color w:val="000000"/>
                <w:sz w:val="18"/>
                <w:szCs w:val="22"/>
              </w:rPr>
              <w:t>Organisation</w:t>
            </w:r>
          </w:p>
        </w:tc>
        <w:tc>
          <w:tcPr>
            <w:tcW w:w="2126" w:type="dxa"/>
            <w:shd w:val="clear" w:color="auto" w:fill="C5E0B3" w:themeFill="accent6" w:themeFillTint="66"/>
            <w:noWrap/>
            <w:vAlign w:val="bottom"/>
          </w:tcPr>
          <w:p w14:paraId="164B7359" w14:textId="77777777" w:rsidR="007C6771" w:rsidRPr="009C2EF1" w:rsidRDefault="007C6771" w:rsidP="0018793F">
            <w:pPr>
              <w:spacing w:before="20" w:after="20"/>
              <w:rPr>
                <w:rFonts w:cstheme="minorBidi"/>
                <w:b/>
                <w:color w:val="000000"/>
                <w:sz w:val="18"/>
                <w:szCs w:val="22"/>
              </w:rPr>
            </w:pPr>
            <w:r w:rsidRPr="009C2EF1">
              <w:rPr>
                <w:rFonts w:cstheme="minorBidi"/>
                <w:b/>
                <w:color w:val="000000"/>
                <w:sz w:val="18"/>
                <w:szCs w:val="22"/>
              </w:rPr>
              <w:t>Type of group</w:t>
            </w:r>
          </w:p>
        </w:tc>
      </w:tr>
      <w:tr w:rsidR="008F00FD" w:rsidRPr="006260F5" w14:paraId="23E8AD61" w14:textId="77777777" w:rsidTr="00D55DF6">
        <w:trPr>
          <w:trHeight w:val="280"/>
        </w:trPr>
        <w:tc>
          <w:tcPr>
            <w:tcW w:w="1990" w:type="dxa"/>
            <w:shd w:val="clear" w:color="auto" w:fill="auto"/>
            <w:noWrap/>
          </w:tcPr>
          <w:p w14:paraId="7A1484A7" w14:textId="70C0B5BF" w:rsidR="008F00FD" w:rsidRPr="006260F5" w:rsidRDefault="008F00FD" w:rsidP="007C6771">
            <w:pPr>
              <w:spacing w:before="20" w:after="20"/>
              <w:rPr>
                <w:rFonts w:cstheme="minorBidi"/>
                <w:color w:val="000000"/>
                <w:sz w:val="18"/>
                <w:szCs w:val="22"/>
              </w:rPr>
            </w:pPr>
            <w:r w:rsidRPr="006260F5">
              <w:rPr>
                <w:rFonts w:cstheme="minorBidi"/>
                <w:color w:val="000000"/>
                <w:sz w:val="18"/>
                <w:szCs w:val="22"/>
              </w:rPr>
              <w:t>Konio Doko</w:t>
            </w:r>
          </w:p>
        </w:tc>
        <w:tc>
          <w:tcPr>
            <w:tcW w:w="4111" w:type="dxa"/>
            <w:shd w:val="clear" w:color="auto" w:fill="auto"/>
            <w:noWrap/>
            <w:vAlign w:val="bottom"/>
          </w:tcPr>
          <w:p w14:paraId="0031F64E"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Department for Community Development, Youth and Religion</w:t>
            </w:r>
          </w:p>
        </w:tc>
        <w:tc>
          <w:tcPr>
            <w:tcW w:w="2126" w:type="dxa"/>
            <w:shd w:val="clear" w:color="auto" w:fill="auto"/>
            <w:noWrap/>
            <w:vAlign w:val="bottom"/>
          </w:tcPr>
          <w:p w14:paraId="17C2B6BA"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073A21C5" w14:textId="77777777" w:rsidTr="00D55DF6">
        <w:trPr>
          <w:trHeight w:val="280"/>
        </w:trPr>
        <w:tc>
          <w:tcPr>
            <w:tcW w:w="1990" w:type="dxa"/>
            <w:shd w:val="clear" w:color="auto" w:fill="auto"/>
            <w:noWrap/>
            <w:vAlign w:val="bottom"/>
          </w:tcPr>
          <w:p w14:paraId="30501FBD"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Steve Johnson</w:t>
            </w:r>
          </w:p>
        </w:tc>
        <w:tc>
          <w:tcPr>
            <w:tcW w:w="4111" w:type="dxa"/>
            <w:shd w:val="clear" w:color="auto" w:fill="auto"/>
            <w:noWrap/>
            <w:vAlign w:val="bottom"/>
          </w:tcPr>
          <w:p w14:paraId="0CDE55E1"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Ela Motors</w:t>
            </w:r>
          </w:p>
        </w:tc>
        <w:tc>
          <w:tcPr>
            <w:tcW w:w="2126" w:type="dxa"/>
            <w:shd w:val="clear" w:color="auto" w:fill="auto"/>
            <w:noWrap/>
            <w:vAlign w:val="bottom"/>
          </w:tcPr>
          <w:p w14:paraId="48913F67"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27EB36EC" w14:textId="77777777" w:rsidTr="00D55DF6">
        <w:trPr>
          <w:trHeight w:val="280"/>
        </w:trPr>
        <w:tc>
          <w:tcPr>
            <w:tcW w:w="1990" w:type="dxa"/>
            <w:shd w:val="clear" w:color="auto" w:fill="auto"/>
            <w:noWrap/>
            <w:vAlign w:val="bottom"/>
          </w:tcPr>
          <w:p w14:paraId="5C2E43C1"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Barry Moore</w:t>
            </w:r>
          </w:p>
        </w:tc>
        <w:tc>
          <w:tcPr>
            <w:tcW w:w="4111" w:type="dxa"/>
            <w:shd w:val="clear" w:color="auto" w:fill="auto"/>
            <w:noWrap/>
            <w:vAlign w:val="bottom"/>
          </w:tcPr>
          <w:p w14:paraId="75EA1E0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Eurest</w:t>
            </w:r>
          </w:p>
        </w:tc>
        <w:tc>
          <w:tcPr>
            <w:tcW w:w="2126" w:type="dxa"/>
            <w:shd w:val="clear" w:color="auto" w:fill="auto"/>
            <w:noWrap/>
            <w:vAlign w:val="bottom"/>
          </w:tcPr>
          <w:p w14:paraId="318DCC81"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8F00FD" w:rsidRPr="006260F5" w14:paraId="1D1C9E3D" w14:textId="77777777" w:rsidTr="00D55DF6">
        <w:trPr>
          <w:trHeight w:val="280"/>
        </w:trPr>
        <w:tc>
          <w:tcPr>
            <w:tcW w:w="1990" w:type="dxa"/>
            <w:shd w:val="clear" w:color="auto" w:fill="auto"/>
            <w:noWrap/>
            <w:vAlign w:val="bottom"/>
          </w:tcPr>
          <w:p w14:paraId="05A6CF35"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Chey Scovell</w:t>
            </w:r>
          </w:p>
        </w:tc>
        <w:tc>
          <w:tcPr>
            <w:tcW w:w="4111" w:type="dxa"/>
            <w:shd w:val="clear" w:color="auto" w:fill="auto"/>
            <w:noWrap/>
            <w:vAlign w:val="bottom"/>
          </w:tcPr>
          <w:p w14:paraId="6B67E511"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Manufacturers Council of PNG</w:t>
            </w:r>
          </w:p>
        </w:tc>
        <w:tc>
          <w:tcPr>
            <w:tcW w:w="2126" w:type="dxa"/>
            <w:shd w:val="clear" w:color="auto" w:fill="auto"/>
            <w:noWrap/>
            <w:vAlign w:val="bottom"/>
          </w:tcPr>
          <w:p w14:paraId="0BCB9B97"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Employer</w:t>
            </w:r>
          </w:p>
        </w:tc>
      </w:tr>
      <w:tr w:rsidR="00DB6026" w:rsidRPr="006260F5" w14:paraId="34D684DF" w14:textId="77777777" w:rsidTr="00D55DF6">
        <w:trPr>
          <w:trHeight w:val="280"/>
        </w:trPr>
        <w:tc>
          <w:tcPr>
            <w:tcW w:w="1990" w:type="dxa"/>
            <w:shd w:val="clear" w:color="auto" w:fill="auto"/>
            <w:noWrap/>
            <w:vAlign w:val="bottom"/>
          </w:tcPr>
          <w:p w14:paraId="6DEF4E58"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David Twiggs</w:t>
            </w:r>
          </w:p>
        </w:tc>
        <w:tc>
          <w:tcPr>
            <w:tcW w:w="4111" w:type="dxa"/>
            <w:shd w:val="clear" w:color="auto" w:fill="auto"/>
            <w:noWrap/>
            <w:vAlign w:val="bottom"/>
          </w:tcPr>
          <w:p w14:paraId="109D6B0D"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Boroko Motors</w:t>
            </w:r>
          </w:p>
        </w:tc>
        <w:tc>
          <w:tcPr>
            <w:tcW w:w="2126" w:type="dxa"/>
            <w:shd w:val="clear" w:color="auto" w:fill="auto"/>
            <w:noWrap/>
            <w:vAlign w:val="bottom"/>
          </w:tcPr>
          <w:p w14:paraId="0220868D"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Employer</w:t>
            </w:r>
          </w:p>
        </w:tc>
      </w:tr>
      <w:tr w:rsidR="00DB6026" w:rsidRPr="006260F5" w14:paraId="089469F9" w14:textId="77777777" w:rsidTr="00D55DF6">
        <w:trPr>
          <w:trHeight w:val="280"/>
        </w:trPr>
        <w:tc>
          <w:tcPr>
            <w:tcW w:w="1990" w:type="dxa"/>
            <w:shd w:val="clear" w:color="auto" w:fill="auto"/>
            <w:noWrap/>
            <w:vAlign w:val="bottom"/>
          </w:tcPr>
          <w:p w14:paraId="24B43AF4"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Chris Devlin</w:t>
            </w:r>
          </w:p>
        </w:tc>
        <w:tc>
          <w:tcPr>
            <w:tcW w:w="4111" w:type="dxa"/>
            <w:shd w:val="clear" w:color="auto" w:fill="auto"/>
            <w:noWrap/>
            <w:vAlign w:val="bottom"/>
          </w:tcPr>
          <w:p w14:paraId="31466840"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 xml:space="preserve">Digara Construction </w:t>
            </w:r>
          </w:p>
        </w:tc>
        <w:tc>
          <w:tcPr>
            <w:tcW w:w="2126" w:type="dxa"/>
            <w:shd w:val="clear" w:color="auto" w:fill="auto"/>
            <w:noWrap/>
            <w:vAlign w:val="bottom"/>
          </w:tcPr>
          <w:p w14:paraId="751A2F45"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Employer</w:t>
            </w:r>
          </w:p>
        </w:tc>
      </w:tr>
      <w:tr w:rsidR="00DB6026" w:rsidRPr="006260F5" w14:paraId="2429C6C2" w14:textId="77777777" w:rsidTr="00D55DF6">
        <w:trPr>
          <w:trHeight w:val="280"/>
        </w:trPr>
        <w:tc>
          <w:tcPr>
            <w:tcW w:w="1990" w:type="dxa"/>
            <w:shd w:val="clear" w:color="auto" w:fill="auto"/>
            <w:noWrap/>
            <w:vAlign w:val="bottom"/>
          </w:tcPr>
          <w:p w14:paraId="40B22B55"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Peter McGann</w:t>
            </w:r>
          </w:p>
        </w:tc>
        <w:tc>
          <w:tcPr>
            <w:tcW w:w="4111" w:type="dxa"/>
            <w:shd w:val="clear" w:color="auto" w:fill="auto"/>
            <w:noWrap/>
            <w:vAlign w:val="bottom"/>
          </w:tcPr>
          <w:p w14:paraId="0E35265C"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Curtain Bros PNG</w:t>
            </w:r>
          </w:p>
        </w:tc>
        <w:tc>
          <w:tcPr>
            <w:tcW w:w="2126" w:type="dxa"/>
            <w:shd w:val="clear" w:color="auto" w:fill="auto"/>
            <w:noWrap/>
            <w:vAlign w:val="bottom"/>
          </w:tcPr>
          <w:p w14:paraId="280D6007"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Employer</w:t>
            </w:r>
          </w:p>
        </w:tc>
      </w:tr>
      <w:tr w:rsidR="008F00FD" w:rsidRPr="006260F5" w14:paraId="43AAA74B" w14:textId="77777777" w:rsidTr="00D55DF6">
        <w:trPr>
          <w:trHeight w:val="280"/>
        </w:trPr>
        <w:tc>
          <w:tcPr>
            <w:tcW w:w="1990" w:type="dxa"/>
            <w:shd w:val="clear" w:color="auto" w:fill="auto"/>
            <w:noWrap/>
            <w:vAlign w:val="bottom"/>
          </w:tcPr>
          <w:p w14:paraId="71BACEA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Paul Barker</w:t>
            </w:r>
          </w:p>
        </w:tc>
        <w:tc>
          <w:tcPr>
            <w:tcW w:w="4111" w:type="dxa"/>
            <w:shd w:val="clear" w:color="auto" w:fill="auto"/>
            <w:noWrap/>
            <w:vAlign w:val="bottom"/>
          </w:tcPr>
          <w:p w14:paraId="2695BB4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Institute of National Affairs</w:t>
            </w:r>
          </w:p>
        </w:tc>
        <w:tc>
          <w:tcPr>
            <w:tcW w:w="2126" w:type="dxa"/>
            <w:shd w:val="clear" w:color="auto" w:fill="auto"/>
            <w:noWrap/>
            <w:vAlign w:val="bottom"/>
          </w:tcPr>
          <w:p w14:paraId="593E3CAD" w14:textId="77777777" w:rsidR="008F00FD" w:rsidRPr="006260F5" w:rsidRDefault="008F00FD" w:rsidP="00323906">
            <w:pPr>
              <w:spacing w:before="20" w:after="20"/>
              <w:rPr>
                <w:rFonts w:cstheme="minorBidi"/>
                <w:color w:val="000000"/>
                <w:sz w:val="18"/>
                <w:szCs w:val="22"/>
              </w:rPr>
            </w:pPr>
            <w:r w:rsidRPr="006260F5">
              <w:rPr>
                <w:rFonts w:cstheme="minorBidi"/>
                <w:color w:val="000000"/>
                <w:sz w:val="18"/>
                <w:szCs w:val="22"/>
              </w:rPr>
              <w:t xml:space="preserve">Research </w:t>
            </w:r>
            <w:r w:rsidR="00323906">
              <w:rPr>
                <w:rFonts w:cstheme="minorBidi"/>
                <w:color w:val="000000"/>
                <w:sz w:val="18"/>
                <w:szCs w:val="22"/>
              </w:rPr>
              <w:t>I</w:t>
            </w:r>
            <w:r w:rsidR="00323906" w:rsidRPr="006260F5">
              <w:rPr>
                <w:rFonts w:cstheme="minorBidi"/>
                <w:color w:val="000000"/>
                <w:sz w:val="18"/>
                <w:szCs w:val="22"/>
              </w:rPr>
              <w:t>nstitute</w:t>
            </w:r>
          </w:p>
        </w:tc>
      </w:tr>
      <w:tr w:rsidR="008F00FD" w:rsidRPr="006260F5" w14:paraId="4C623ADC" w14:textId="77777777" w:rsidTr="00D55DF6">
        <w:trPr>
          <w:trHeight w:val="280"/>
        </w:trPr>
        <w:tc>
          <w:tcPr>
            <w:tcW w:w="1990" w:type="dxa"/>
            <w:shd w:val="clear" w:color="auto" w:fill="auto"/>
            <w:noWrap/>
            <w:vAlign w:val="bottom"/>
          </w:tcPr>
          <w:p w14:paraId="04E0B80C"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Kinivanagi Karo</w:t>
            </w:r>
          </w:p>
        </w:tc>
        <w:tc>
          <w:tcPr>
            <w:tcW w:w="4111" w:type="dxa"/>
            <w:shd w:val="clear" w:color="auto" w:fill="auto"/>
            <w:noWrap/>
            <w:vAlign w:val="bottom"/>
          </w:tcPr>
          <w:p w14:paraId="3C0168FF"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Port Moresby Technical College</w:t>
            </w:r>
          </w:p>
        </w:tc>
        <w:tc>
          <w:tcPr>
            <w:tcW w:w="2126" w:type="dxa"/>
            <w:shd w:val="clear" w:color="auto" w:fill="auto"/>
            <w:noWrap/>
            <w:vAlign w:val="bottom"/>
          </w:tcPr>
          <w:p w14:paraId="1D25C0CD"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Training Partner</w:t>
            </w:r>
          </w:p>
        </w:tc>
      </w:tr>
      <w:tr w:rsidR="008F00FD" w:rsidRPr="006260F5" w14:paraId="63105F83" w14:textId="77777777" w:rsidTr="00D55DF6">
        <w:trPr>
          <w:trHeight w:val="280"/>
        </w:trPr>
        <w:tc>
          <w:tcPr>
            <w:tcW w:w="1990" w:type="dxa"/>
            <w:shd w:val="clear" w:color="auto" w:fill="auto"/>
            <w:noWrap/>
            <w:vAlign w:val="bottom"/>
          </w:tcPr>
          <w:p w14:paraId="6F78E13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Alan Tira</w:t>
            </w:r>
          </w:p>
        </w:tc>
        <w:tc>
          <w:tcPr>
            <w:tcW w:w="4111" w:type="dxa"/>
            <w:shd w:val="clear" w:color="auto" w:fill="auto"/>
            <w:noWrap/>
            <w:vAlign w:val="bottom"/>
          </w:tcPr>
          <w:p w14:paraId="0B64C5EA"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Port Moresby Technical College</w:t>
            </w:r>
          </w:p>
        </w:tc>
        <w:tc>
          <w:tcPr>
            <w:tcW w:w="2126" w:type="dxa"/>
            <w:shd w:val="clear" w:color="auto" w:fill="auto"/>
            <w:noWrap/>
            <w:vAlign w:val="bottom"/>
          </w:tcPr>
          <w:p w14:paraId="340947B3"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Training Partner</w:t>
            </w:r>
          </w:p>
        </w:tc>
      </w:tr>
      <w:tr w:rsidR="00DB6026" w:rsidRPr="006260F5" w14:paraId="718F1204" w14:textId="77777777" w:rsidTr="00D55DF6">
        <w:trPr>
          <w:trHeight w:val="280"/>
        </w:trPr>
        <w:tc>
          <w:tcPr>
            <w:tcW w:w="1990" w:type="dxa"/>
            <w:shd w:val="clear" w:color="auto" w:fill="auto"/>
            <w:noWrap/>
            <w:vAlign w:val="bottom"/>
          </w:tcPr>
          <w:p w14:paraId="062D1B5B"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John Ritchie</w:t>
            </w:r>
          </w:p>
        </w:tc>
        <w:tc>
          <w:tcPr>
            <w:tcW w:w="4111" w:type="dxa"/>
            <w:shd w:val="clear" w:color="auto" w:fill="auto"/>
            <w:noWrap/>
            <w:vAlign w:val="bottom"/>
          </w:tcPr>
          <w:p w14:paraId="0B7F21B7" w14:textId="77777777" w:rsidR="00DB6026" w:rsidRPr="006260F5" w:rsidRDefault="00DB6026" w:rsidP="00E902EA">
            <w:pPr>
              <w:spacing w:before="20" w:after="20"/>
              <w:rPr>
                <w:rFonts w:cstheme="minorBidi"/>
                <w:color w:val="000000"/>
                <w:sz w:val="18"/>
                <w:szCs w:val="22"/>
              </w:rPr>
            </w:pPr>
            <w:r>
              <w:rPr>
                <w:rFonts w:cstheme="minorBidi"/>
                <w:color w:val="000000"/>
                <w:sz w:val="18"/>
                <w:szCs w:val="22"/>
              </w:rPr>
              <w:t>Hastings Deering</w:t>
            </w:r>
          </w:p>
        </w:tc>
        <w:tc>
          <w:tcPr>
            <w:tcW w:w="2126" w:type="dxa"/>
            <w:shd w:val="clear" w:color="auto" w:fill="auto"/>
            <w:noWrap/>
            <w:vAlign w:val="bottom"/>
          </w:tcPr>
          <w:p w14:paraId="273D310A" w14:textId="77777777" w:rsidR="00DB6026" w:rsidRPr="006260F5" w:rsidRDefault="00DB6026" w:rsidP="00E902EA">
            <w:pPr>
              <w:spacing w:before="20" w:after="20"/>
              <w:rPr>
                <w:rFonts w:cstheme="minorBidi"/>
                <w:color w:val="000000"/>
                <w:sz w:val="18"/>
                <w:szCs w:val="22"/>
              </w:rPr>
            </w:pPr>
            <w:r w:rsidRPr="005E7A12">
              <w:rPr>
                <w:rFonts w:cstheme="minorBidi"/>
                <w:color w:val="000000"/>
                <w:sz w:val="18"/>
                <w:szCs w:val="22"/>
              </w:rPr>
              <w:t>Training Partner</w:t>
            </w:r>
          </w:p>
        </w:tc>
      </w:tr>
      <w:tr w:rsidR="008F00FD" w:rsidRPr="006260F5" w14:paraId="2F0E24A4" w14:textId="77777777" w:rsidTr="00D55DF6">
        <w:trPr>
          <w:trHeight w:val="280"/>
        </w:trPr>
        <w:tc>
          <w:tcPr>
            <w:tcW w:w="1990" w:type="dxa"/>
            <w:shd w:val="clear" w:color="auto" w:fill="auto"/>
            <w:noWrap/>
            <w:vAlign w:val="bottom"/>
          </w:tcPr>
          <w:p w14:paraId="18B304F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Cedric Rondike</w:t>
            </w:r>
          </w:p>
        </w:tc>
        <w:tc>
          <w:tcPr>
            <w:tcW w:w="4111" w:type="dxa"/>
            <w:shd w:val="clear" w:color="auto" w:fill="auto"/>
            <w:noWrap/>
            <w:vAlign w:val="bottom"/>
          </w:tcPr>
          <w:p w14:paraId="26D12ACE"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Hastings Deering</w:t>
            </w:r>
          </w:p>
        </w:tc>
        <w:tc>
          <w:tcPr>
            <w:tcW w:w="2126" w:type="dxa"/>
            <w:shd w:val="clear" w:color="auto" w:fill="auto"/>
            <w:noWrap/>
            <w:vAlign w:val="bottom"/>
          </w:tcPr>
          <w:p w14:paraId="4163DC7B"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Training Partner</w:t>
            </w:r>
          </w:p>
        </w:tc>
      </w:tr>
      <w:tr w:rsidR="008F00FD" w:rsidRPr="006260F5" w14:paraId="289CBFDF" w14:textId="77777777" w:rsidTr="00D55DF6">
        <w:trPr>
          <w:trHeight w:val="280"/>
        </w:trPr>
        <w:tc>
          <w:tcPr>
            <w:tcW w:w="1990" w:type="dxa"/>
            <w:shd w:val="clear" w:color="auto" w:fill="auto"/>
            <w:noWrap/>
            <w:vAlign w:val="bottom"/>
          </w:tcPr>
          <w:p w14:paraId="4CA065C5"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Emos Michael</w:t>
            </w:r>
          </w:p>
        </w:tc>
        <w:tc>
          <w:tcPr>
            <w:tcW w:w="4111" w:type="dxa"/>
            <w:shd w:val="clear" w:color="auto" w:fill="auto"/>
            <w:noWrap/>
            <w:vAlign w:val="bottom"/>
          </w:tcPr>
          <w:p w14:paraId="406D0744"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Hastings Deering</w:t>
            </w:r>
          </w:p>
        </w:tc>
        <w:tc>
          <w:tcPr>
            <w:tcW w:w="2126" w:type="dxa"/>
            <w:shd w:val="clear" w:color="auto" w:fill="auto"/>
            <w:noWrap/>
            <w:vAlign w:val="bottom"/>
          </w:tcPr>
          <w:p w14:paraId="31BC873B"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Training Partner</w:t>
            </w:r>
          </w:p>
        </w:tc>
      </w:tr>
      <w:tr w:rsidR="008F00FD" w:rsidRPr="006260F5" w14:paraId="51F28F8F" w14:textId="77777777" w:rsidTr="00D55DF6">
        <w:trPr>
          <w:trHeight w:val="280"/>
        </w:trPr>
        <w:tc>
          <w:tcPr>
            <w:tcW w:w="1990" w:type="dxa"/>
            <w:shd w:val="clear" w:color="auto" w:fill="auto"/>
            <w:noWrap/>
            <w:vAlign w:val="bottom"/>
          </w:tcPr>
          <w:p w14:paraId="207994E5"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Bilmor Bulatao</w:t>
            </w:r>
          </w:p>
        </w:tc>
        <w:tc>
          <w:tcPr>
            <w:tcW w:w="4111" w:type="dxa"/>
            <w:shd w:val="clear" w:color="auto" w:fill="auto"/>
            <w:noWrap/>
            <w:vAlign w:val="bottom"/>
          </w:tcPr>
          <w:p w14:paraId="7351E895"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TVET Wing</w:t>
            </w:r>
          </w:p>
        </w:tc>
        <w:tc>
          <w:tcPr>
            <w:tcW w:w="2126" w:type="dxa"/>
            <w:shd w:val="clear" w:color="auto" w:fill="auto"/>
            <w:noWrap/>
            <w:vAlign w:val="bottom"/>
          </w:tcPr>
          <w:p w14:paraId="2854A2B4"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373952BF" w14:textId="77777777" w:rsidTr="00D55DF6">
        <w:trPr>
          <w:trHeight w:val="280"/>
        </w:trPr>
        <w:tc>
          <w:tcPr>
            <w:tcW w:w="1990" w:type="dxa"/>
            <w:shd w:val="clear" w:color="auto" w:fill="auto"/>
            <w:noWrap/>
            <w:vAlign w:val="bottom"/>
          </w:tcPr>
          <w:p w14:paraId="617A3551"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Damon Tiromry</w:t>
            </w:r>
          </w:p>
        </w:tc>
        <w:tc>
          <w:tcPr>
            <w:tcW w:w="4111" w:type="dxa"/>
            <w:shd w:val="clear" w:color="auto" w:fill="auto"/>
            <w:noWrap/>
            <w:vAlign w:val="bottom"/>
          </w:tcPr>
          <w:p w14:paraId="285C527F"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TVET Wing</w:t>
            </w:r>
          </w:p>
        </w:tc>
        <w:tc>
          <w:tcPr>
            <w:tcW w:w="2126" w:type="dxa"/>
            <w:shd w:val="clear" w:color="auto" w:fill="auto"/>
            <w:noWrap/>
            <w:vAlign w:val="bottom"/>
          </w:tcPr>
          <w:p w14:paraId="78D5A574"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6BEF56DD" w14:textId="77777777" w:rsidTr="00D55DF6">
        <w:trPr>
          <w:trHeight w:val="280"/>
        </w:trPr>
        <w:tc>
          <w:tcPr>
            <w:tcW w:w="1990" w:type="dxa"/>
            <w:shd w:val="clear" w:color="auto" w:fill="auto"/>
            <w:noWrap/>
            <w:vAlign w:val="bottom"/>
          </w:tcPr>
          <w:p w14:paraId="2D2829C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Monica Maluan</w:t>
            </w:r>
          </w:p>
        </w:tc>
        <w:tc>
          <w:tcPr>
            <w:tcW w:w="4111" w:type="dxa"/>
            <w:shd w:val="clear" w:color="auto" w:fill="auto"/>
            <w:noWrap/>
            <w:vAlign w:val="bottom"/>
          </w:tcPr>
          <w:p w14:paraId="78D685B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TVET Wing</w:t>
            </w:r>
          </w:p>
        </w:tc>
        <w:tc>
          <w:tcPr>
            <w:tcW w:w="2126" w:type="dxa"/>
            <w:shd w:val="clear" w:color="auto" w:fill="auto"/>
            <w:noWrap/>
            <w:vAlign w:val="bottom"/>
          </w:tcPr>
          <w:p w14:paraId="58D4849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37CBC4D4" w14:textId="77777777" w:rsidTr="00D55DF6">
        <w:trPr>
          <w:trHeight w:val="280"/>
        </w:trPr>
        <w:tc>
          <w:tcPr>
            <w:tcW w:w="1990" w:type="dxa"/>
            <w:shd w:val="clear" w:color="auto" w:fill="auto"/>
            <w:noWrap/>
            <w:vAlign w:val="bottom"/>
          </w:tcPr>
          <w:p w14:paraId="57E45D7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Oli Mark</w:t>
            </w:r>
          </w:p>
        </w:tc>
        <w:tc>
          <w:tcPr>
            <w:tcW w:w="4111" w:type="dxa"/>
            <w:shd w:val="clear" w:color="auto" w:fill="auto"/>
            <w:noWrap/>
            <w:vAlign w:val="bottom"/>
          </w:tcPr>
          <w:p w14:paraId="6EE2576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TVET Wing</w:t>
            </w:r>
          </w:p>
        </w:tc>
        <w:tc>
          <w:tcPr>
            <w:tcW w:w="2126" w:type="dxa"/>
            <w:shd w:val="clear" w:color="auto" w:fill="auto"/>
            <w:noWrap/>
            <w:vAlign w:val="bottom"/>
          </w:tcPr>
          <w:p w14:paraId="7C3FD498"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2C101D9A" w14:textId="77777777" w:rsidTr="00D55DF6">
        <w:trPr>
          <w:trHeight w:val="280"/>
        </w:trPr>
        <w:tc>
          <w:tcPr>
            <w:tcW w:w="1990" w:type="dxa"/>
            <w:shd w:val="clear" w:color="auto" w:fill="auto"/>
            <w:noWrap/>
            <w:vAlign w:val="bottom"/>
          </w:tcPr>
          <w:p w14:paraId="1F4ACB5D"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Reuben Aue</w:t>
            </w:r>
          </w:p>
        </w:tc>
        <w:tc>
          <w:tcPr>
            <w:tcW w:w="4111" w:type="dxa"/>
            <w:shd w:val="clear" w:color="auto" w:fill="auto"/>
            <w:noWrap/>
            <w:vAlign w:val="bottom"/>
          </w:tcPr>
          <w:p w14:paraId="13687A2B"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TVET Wing</w:t>
            </w:r>
          </w:p>
        </w:tc>
        <w:tc>
          <w:tcPr>
            <w:tcW w:w="2126" w:type="dxa"/>
            <w:shd w:val="clear" w:color="auto" w:fill="auto"/>
            <w:noWrap/>
            <w:vAlign w:val="bottom"/>
          </w:tcPr>
          <w:p w14:paraId="2A236CC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30858DAD" w14:textId="77777777" w:rsidTr="00D55DF6">
        <w:trPr>
          <w:trHeight w:val="280"/>
        </w:trPr>
        <w:tc>
          <w:tcPr>
            <w:tcW w:w="1990" w:type="dxa"/>
            <w:shd w:val="clear" w:color="auto" w:fill="auto"/>
            <w:noWrap/>
            <w:vAlign w:val="bottom"/>
          </w:tcPr>
          <w:p w14:paraId="014C6F98"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Rosa Apelis</w:t>
            </w:r>
          </w:p>
        </w:tc>
        <w:tc>
          <w:tcPr>
            <w:tcW w:w="4111" w:type="dxa"/>
            <w:shd w:val="clear" w:color="auto" w:fill="auto"/>
            <w:noWrap/>
            <w:vAlign w:val="bottom"/>
          </w:tcPr>
          <w:p w14:paraId="6C61DB1B"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TVET Wing</w:t>
            </w:r>
          </w:p>
        </w:tc>
        <w:tc>
          <w:tcPr>
            <w:tcW w:w="2126" w:type="dxa"/>
            <w:shd w:val="clear" w:color="auto" w:fill="auto"/>
            <w:noWrap/>
            <w:vAlign w:val="bottom"/>
          </w:tcPr>
          <w:p w14:paraId="011F8031"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2017FEB1" w14:textId="77777777" w:rsidTr="00D55DF6">
        <w:trPr>
          <w:trHeight w:val="280"/>
        </w:trPr>
        <w:tc>
          <w:tcPr>
            <w:tcW w:w="1990" w:type="dxa"/>
            <w:shd w:val="clear" w:color="auto" w:fill="auto"/>
            <w:noWrap/>
            <w:vAlign w:val="bottom"/>
          </w:tcPr>
          <w:p w14:paraId="0E98F055"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Thomas Aiye</w:t>
            </w:r>
          </w:p>
        </w:tc>
        <w:tc>
          <w:tcPr>
            <w:tcW w:w="4111" w:type="dxa"/>
            <w:shd w:val="clear" w:color="auto" w:fill="auto"/>
            <w:noWrap/>
            <w:vAlign w:val="bottom"/>
          </w:tcPr>
          <w:p w14:paraId="1C489AA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TVET Wing</w:t>
            </w:r>
          </w:p>
        </w:tc>
        <w:tc>
          <w:tcPr>
            <w:tcW w:w="2126" w:type="dxa"/>
            <w:shd w:val="clear" w:color="auto" w:fill="auto"/>
            <w:noWrap/>
            <w:vAlign w:val="bottom"/>
          </w:tcPr>
          <w:p w14:paraId="2860AEA0"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7CC9A540" w14:textId="77777777" w:rsidTr="00D55DF6">
        <w:trPr>
          <w:trHeight w:val="280"/>
        </w:trPr>
        <w:tc>
          <w:tcPr>
            <w:tcW w:w="1990" w:type="dxa"/>
            <w:shd w:val="clear" w:color="auto" w:fill="auto"/>
            <w:noWrap/>
            <w:vAlign w:val="bottom"/>
          </w:tcPr>
          <w:p w14:paraId="53927DDD"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Vali Guise</w:t>
            </w:r>
          </w:p>
        </w:tc>
        <w:tc>
          <w:tcPr>
            <w:tcW w:w="4111" w:type="dxa"/>
            <w:shd w:val="clear" w:color="auto" w:fill="auto"/>
            <w:noWrap/>
            <w:vAlign w:val="bottom"/>
          </w:tcPr>
          <w:p w14:paraId="35F37A43"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TVET Wing</w:t>
            </w:r>
          </w:p>
        </w:tc>
        <w:tc>
          <w:tcPr>
            <w:tcW w:w="2126" w:type="dxa"/>
            <w:shd w:val="clear" w:color="auto" w:fill="auto"/>
            <w:noWrap/>
            <w:vAlign w:val="bottom"/>
          </w:tcPr>
          <w:p w14:paraId="58A63EF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73934D6C" w14:textId="77777777" w:rsidTr="00D55DF6">
        <w:trPr>
          <w:trHeight w:val="280"/>
        </w:trPr>
        <w:tc>
          <w:tcPr>
            <w:tcW w:w="1990" w:type="dxa"/>
            <w:shd w:val="clear" w:color="auto" w:fill="auto"/>
            <w:noWrap/>
            <w:vAlign w:val="bottom"/>
          </w:tcPr>
          <w:p w14:paraId="5ED57232"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Wini Leka</w:t>
            </w:r>
          </w:p>
        </w:tc>
        <w:tc>
          <w:tcPr>
            <w:tcW w:w="4111" w:type="dxa"/>
            <w:shd w:val="clear" w:color="auto" w:fill="auto"/>
            <w:noWrap/>
            <w:vAlign w:val="bottom"/>
          </w:tcPr>
          <w:p w14:paraId="3D8AE25F"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TVET Wing</w:t>
            </w:r>
          </w:p>
        </w:tc>
        <w:tc>
          <w:tcPr>
            <w:tcW w:w="2126" w:type="dxa"/>
            <w:shd w:val="clear" w:color="auto" w:fill="auto"/>
            <w:noWrap/>
            <w:vAlign w:val="bottom"/>
          </w:tcPr>
          <w:p w14:paraId="141B3A2B"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9471F3" w:rsidRPr="006260F5" w14:paraId="1F862E66" w14:textId="77777777" w:rsidTr="00D55DF6">
        <w:trPr>
          <w:trHeight w:val="280"/>
        </w:trPr>
        <w:tc>
          <w:tcPr>
            <w:tcW w:w="1990" w:type="dxa"/>
            <w:shd w:val="clear" w:color="auto" w:fill="auto"/>
            <w:noWrap/>
            <w:vAlign w:val="bottom"/>
          </w:tcPr>
          <w:p w14:paraId="47592DDB" w14:textId="16E42A7A" w:rsidR="009471F3" w:rsidRPr="006260F5" w:rsidRDefault="009471F3" w:rsidP="00126023">
            <w:pPr>
              <w:spacing w:before="20" w:after="20"/>
              <w:rPr>
                <w:rFonts w:cstheme="minorBidi"/>
                <w:color w:val="000000"/>
                <w:sz w:val="18"/>
                <w:szCs w:val="22"/>
              </w:rPr>
            </w:pPr>
            <w:r w:rsidRPr="00BB0552">
              <w:rPr>
                <w:rFonts w:cstheme="minorBidi"/>
                <w:color w:val="000000"/>
                <w:sz w:val="18"/>
                <w:szCs w:val="22"/>
              </w:rPr>
              <w:t>Joseph Aka</w:t>
            </w:r>
          </w:p>
        </w:tc>
        <w:tc>
          <w:tcPr>
            <w:tcW w:w="4111" w:type="dxa"/>
            <w:shd w:val="clear" w:color="auto" w:fill="auto"/>
            <w:noWrap/>
            <w:vAlign w:val="bottom"/>
          </w:tcPr>
          <w:p w14:paraId="4340FF4D" w14:textId="77777777" w:rsidR="009471F3" w:rsidRPr="006260F5" w:rsidRDefault="009471F3" w:rsidP="00126023">
            <w:pPr>
              <w:spacing w:before="20" w:after="20"/>
              <w:rPr>
                <w:rFonts w:cstheme="minorBidi"/>
                <w:color w:val="000000"/>
                <w:sz w:val="18"/>
                <w:szCs w:val="22"/>
              </w:rPr>
            </w:pPr>
            <w:r>
              <w:rPr>
                <w:rFonts w:cstheme="minorBidi"/>
                <w:color w:val="000000"/>
                <w:sz w:val="18"/>
                <w:szCs w:val="22"/>
              </w:rPr>
              <w:t>Deputy National Statistician</w:t>
            </w:r>
          </w:p>
        </w:tc>
        <w:tc>
          <w:tcPr>
            <w:tcW w:w="2126" w:type="dxa"/>
            <w:shd w:val="clear" w:color="auto" w:fill="auto"/>
            <w:noWrap/>
            <w:vAlign w:val="bottom"/>
          </w:tcPr>
          <w:p w14:paraId="2F8F1786" w14:textId="77777777" w:rsidR="009471F3" w:rsidRPr="006260F5" w:rsidRDefault="009471F3" w:rsidP="00126023">
            <w:pPr>
              <w:spacing w:before="20" w:after="20"/>
              <w:rPr>
                <w:rFonts w:cstheme="minorBidi"/>
                <w:color w:val="000000"/>
                <w:sz w:val="18"/>
                <w:szCs w:val="22"/>
              </w:rPr>
            </w:pPr>
            <w:r w:rsidRPr="00BB0552">
              <w:rPr>
                <w:rFonts w:cstheme="minorBidi"/>
                <w:color w:val="000000"/>
                <w:sz w:val="18"/>
                <w:szCs w:val="22"/>
              </w:rPr>
              <w:t>Government of PNG</w:t>
            </w:r>
          </w:p>
        </w:tc>
      </w:tr>
      <w:tr w:rsidR="009471F3" w:rsidRPr="006260F5" w14:paraId="75BD7EE4" w14:textId="77777777" w:rsidTr="00D55DF6">
        <w:trPr>
          <w:trHeight w:val="280"/>
        </w:trPr>
        <w:tc>
          <w:tcPr>
            <w:tcW w:w="1990" w:type="dxa"/>
            <w:shd w:val="clear" w:color="auto" w:fill="auto"/>
            <w:noWrap/>
          </w:tcPr>
          <w:p w14:paraId="79AEB3CD" w14:textId="77777777" w:rsidR="009471F3" w:rsidRPr="006260F5" w:rsidRDefault="009471F3" w:rsidP="00126023">
            <w:pPr>
              <w:spacing w:before="20" w:after="20"/>
              <w:rPr>
                <w:rFonts w:cstheme="minorBidi"/>
                <w:color w:val="000000"/>
                <w:sz w:val="18"/>
                <w:szCs w:val="22"/>
              </w:rPr>
            </w:pPr>
            <w:r w:rsidRPr="00BB0552">
              <w:rPr>
                <w:rFonts w:cstheme="minorBidi"/>
                <w:color w:val="000000"/>
                <w:sz w:val="18"/>
                <w:szCs w:val="22"/>
              </w:rPr>
              <w:t xml:space="preserve">Homolpio Warom </w:t>
            </w:r>
          </w:p>
        </w:tc>
        <w:tc>
          <w:tcPr>
            <w:tcW w:w="4111" w:type="dxa"/>
            <w:shd w:val="clear" w:color="auto" w:fill="auto"/>
            <w:noWrap/>
          </w:tcPr>
          <w:p w14:paraId="3E34BAE1" w14:textId="77777777" w:rsidR="009471F3" w:rsidRPr="00BB0552" w:rsidRDefault="009471F3" w:rsidP="00126023">
            <w:pPr>
              <w:spacing w:before="20" w:after="20"/>
              <w:rPr>
                <w:rFonts w:cstheme="minorBidi"/>
                <w:color w:val="000000"/>
                <w:sz w:val="18"/>
                <w:szCs w:val="22"/>
              </w:rPr>
            </w:pPr>
            <w:r w:rsidRPr="00BB0552">
              <w:rPr>
                <w:rFonts w:cstheme="minorBidi"/>
                <w:color w:val="000000"/>
                <w:sz w:val="18"/>
                <w:szCs w:val="22"/>
              </w:rPr>
              <w:t>Data Processing</w:t>
            </w:r>
          </w:p>
          <w:p w14:paraId="07F229E0" w14:textId="77777777" w:rsidR="009471F3" w:rsidRPr="006260F5" w:rsidRDefault="009471F3" w:rsidP="00126023">
            <w:pPr>
              <w:spacing w:before="20" w:after="20"/>
              <w:rPr>
                <w:rFonts w:cstheme="minorBidi"/>
                <w:color w:val="000000"/>
                <w:sz w:val="18"/>
                <w:szCs w:val="22"/>
              </w:rPr>
            </w:pPr>
            <w:r w:rsidRPr="00BB0552">
              <w:rPr>
                <w:rFonts w:cstheme="minorBidi"/>
                <w:color w:val="000000"/>
                <w:sz w:val="18"/>
                <w:szCs w:val="22"/>
              </w:rPr>
              <w:t>National Statistical Office</w:t>
            </w:r>
          </w:p>
        </w:tc>
        <w:tc>
          <w:tcPr>
            <w:tcW w:w="2126" w:type="dxa"/>
            <w:shd w:val="clear" w:color="auto" w:fill="auto"/>
            <w:noWrap/>
          </w:tcPr>
          <w:p w14:paraId="703D2B92" w14:textId="77777777" w:rsidR="009471F3" w:rsidRPr="006260F5" w:rsidRDefault="009471F3" w:rsidP="00126023">
            <w:pPr>
              <w:spacing w:before="20" w:after="20"/>
              <w:rPr>
                <w:rFonts w:cstheme="minorBidi"/>
                <w:color w:val="000000"/>
                <w:sz w:val="18"/>
                <w:szCs w:val="22"/>
              </w:rPr>
            </w:pPr>
            <w:r w:rsidRPr="00BB0552">
              <w:rPr>
                <w:rFonts w:cstheme="minorBidi"/>
                <w:color w:val="000000"/>
                <w:sz w:val="18"/>
                <w:szCs w:val="22"/>
              </w:rPr>
              <w:t>Government of PNG</w:t>
            </w:r>
          </w:p>
        </w:tc>
      </w:tr>
      <w:tr w:rsidR="009471F3" w:rsidRPr="006260F5" w14:paraId="11C5420C" w14:textId="77777777" w:rsidTr="00D55DF6">
        <w:trPr>
          <w:trHeight w:val="280"/>
        </w:trPr>
        <w:tc>
          <w:tcPr>
            <w:tcW w:w="1990" w:type="dxa"/>
            <w:shd w:val="clear" w:color="auto" w:fill="auto"/>
            <w:noWrap/>
          </w:tcPr>
          <w:p w14:paraId="529D7177" w14:textId="7483DE11" w:rsidR="009471F3" w:rsidRPr="006260F5" w:rsidRDefault="009471F3" w:rsidP="00126023">
            <w:pPr>
              <w:spacing w:before="20" w:after="20"/>
              <w:rPr>
                <w:rFonts w:cstheme="minorBidi"/>
                <w:color w:val="000000"/>
                <w:sz w:val="18"/>
                <w:szCs w:val="22"/>
              </w:rPr>
            </w:pPr>
            <w:r w:rsidRPr="00BB0552">
              <w:rPr>
                <w:rFonts w:cstheme="minorBidi"/>
                <w:color w:val="000000"/>
                <w:sz w:val="18"/>
                <w:szCs w:val="22"/>
              </w:rPr>
              <w:t>Benjamin Haichim</w:t>
            </w:r>
          </w:p>
        </w:tc>
        <w:tc>
          <w:tcPr>
            <w:tcW w:w="4111" w:type="dxa"/>
            <w:shd w:val="clear" w:color="auto" w:fill="auto"/>
            <w:noWrap/>
          </w:tcPr>
          <w:p w14:paraId="6FA69FC4" w14:textId="402C09E1" w:rsidR="009471F3" w:rsidRPr="006260F5" w:rsidRDefault="009471F3" w:rsidP="007C6771">
            <w:pPr>
              <w:spacing w:before="20" w:after="20"/>
              <w:rPr>
                <w:rFonts w:cstheme="minorBidi"/>
                <w:color w:val="000000"/>
                <w:sz w:val="18"/>
                <w:szCs w:val="22"/>
              </w:rPr>
            </w:pPr>
            <w:r w:rsidRPr="00BB0552">
              <w:rPr>
                <w:rFonts w:cstheme="minorBidi"/>
                <w:color w:val="000000"/>
                <w:sz w:val="18"/>
                <w:szCs w:val="22"/>
              </w:rPr>
              <w:t>Data Processing</w:t>
            </w:r>
            <w:r w:rsidR="007C6771">
              <w:rPr>
                <w:rFonts w:cstheme="minorBidi"/>
                <w:color w:val="000000"/>
                <w:sz w:val="18"/>
                <w:szCs w:val="22"/>
              </w:rPr>
              <w:t xml:space="preserve">, </w:t>
            </w:r>
            <w:r w:rsidRPr="00BB0552">
              <w:rPr>
                <w:rFonts w:cstheme="minorBidi"/>
                <w:color w:val="000000"/>
                <w:sz w:val="18"/>
                <w:szCs w:val="22"/>
              </w:rPr>
              <w:t>National Statistical Office</w:t>
            </w:r>
          </w:p>
        </w:tc>
        <w:tc>
          <w:tcPr>
            <w:tcW w:w="2126" w:type="dxa"/>
            <w:shd w:val="clear" w:color="auto" w:fill="auto"/>
            <w:noWrap/>
          </w:tcPr>
          <w:p w14:paraId="664C221B" w14:textId="77777777" w:rsidR="009471F3" w:rsidRPr="006260F5" w:rsidRDefault="009471F3" w:rsidP="00126023">
            <w:pPr>
              <w:spacing w:before="20" w:after="20"/>
              <w:rPr>
                <w:rFonts w:cstheme="minorBidi"/>
                <w:color w:val="000000"/>
                <w:sz w:val="18"/>
                <w:szCs w:val="22"/>
              </w:rPr>
            </w:pPr>
            <w:r>
              <w:rPr>
                <w:rFonts w:cstheme="minorBidi"/>
                <w:color w:val="000000"/>
                <w:sz w:val="18"/>
                <w:szCs w:val="22"/>
              </w:rPr>
              <w:t>Government of PNG</w:t>
            </w:r>
          </w:p>
        </w:tc>
      </w:tr>
      <w:tr w:rsidR="008F00FD" w:rsidRPr="006260F5" w14:paraId="358CECF1" w14:textId="77777777" w:rsidTr="00D55DF6">
        <w:trPr>
          <w:trHeight w:val="280"/>
        </w:trPr>
        <w:tc>
          <w:tcPr>
            <w:tcW w:w="1990" w:type="dxa"/>
            <w:shd w:val="clear" w:color="auto" w:fill="auto"/>
            <w:noWrap/>
            <w:vAlign w:val="bottom"/>
          </w:tcPr>
          <w:p w14:paraId="750E2536"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Dianne Pakalu</w:t>
            </w:r>
          </w:p>
        </w:tc>
        <w:tc>
          <w:tcPr>
            <w:tcW w:w="4111" w:type="dxa"/>
            <w:shd w:val="clear" w:color="auto" w:fill="auto"/>
            <w:noWrap/>
            <w:vAlign w:val="bottom"/>
          </w:tcPr>
          <w:p w14:paraId="3AB687EC"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National Training Council</w:t>
            </w:r>
          </w:p>
        </w:tc>
        <w:tc>
          <w:tcPr>
            <w:tcW w:w="2126" w:type="dxa"/>
            <w:shd w:val="clear" w:color="auto" w:fill="auto"/>
            <w:noWrap/>
            <w:vAlign w:val="bottom"/>
          </w:tcPr>
          <w:p w14:paraId="07893397"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275845CF" w14:textId="77777777" w:rsidTr="00D55DF6">
        <w:trPr>
          <w:trHeight w:val="280"/>
        </w:trPr>
        <w:tc>
          <w:tcPr>
            <w:tcW w:w="1990" w:type="dxa"/>
            <w:shd w:val="clear" w:color="auto" w:fill="auto"/>
            <w:noWrap/>
            <w:vAlign w:val="bottom"/>
          </w:tcPr>
          <w:p w14:paraId="7A6A9F28"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Florence Bana Bouaga</w:t>
            </w:r>
          </w:p>
        </w:tc>
        <w:tc>
          <w:tcPr>
            <w:tcW w:w="4111" w:type="dxa"/>
            <w:shd w:val="clear" w:color="auto" w:fill="auto"/>
            <w:noWrap/>
            <w:vAlign w:val="bottom"/>
          </w:tcPr>
          <w:p w14:paraId="6768B7EA"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National Training Council</w:t>
            </w:r>
          </w:p>
        </w:tc>
        <w:tc>
          <w:tcPr>
            <w:tcW w:w="2126" w:type="dxa"/>
            <w:shd w:val="clear" w:color="auto" w:fill="auto"/>
            <w:noWrap/>
            <w:vAlign w:val="bottom"/>
          </w:tcPr>
          <w:p w14:paraId="37648BE9"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5D846ADE" w14:textId="77777777" w:rsidTr="00D55DF6">
        <w:trPr>
          <w:trHeight w:val="280"/>
        </w:trPr>
        <w:tc>
          <w:tcPr>
            <w:tcW w:w="1990" w:type="dxa"/>
            <w:shd w:val="clear" w:color="auto" w:fill="auto"/>
            <w:noWrap/>
            <w:vAlign w:val="bottom"/>
          </w:tcPr>
          <w:p w14:paraId="007AD9B7"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Kevin Kalis</w:t>
            </w:r>
          </w:p>
        </w:tc>
        <w:tc>
          <w:tcPr>
            <w:tcW w:w="4111" w:type="dxa"/>
            <w:shd w:val="clear" w:color="auto" w:fill="auto"/>
            <w:noWrap/>
            <w:vAlign w:val="bottom"/>
          </w:tcPr>
          <w:p w14:paraId="03FEE7D9"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National Training Council</w:t>
            </w:r>
          </w:p>
        </w:tc>
        <w:tc>
          <w:tcPr>
            <w:tcW w:w="2126" w:type="dxa"/>
            <w:shd w:val="clear" w:color="auto" w:fill="auto"/>
            <w:noWrap/>
            <w:vAlign w:val="bottom"/>
          </w:tcPr>
          <w:p w14:paraId="6511234F"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64E897E2" w14:textId="77777777" w:rsidTr="00D55DF6">
        <w:trPr>
          <w:trHeight w:val="280"/>
        </w:trPr>
        <w:tc>
          <w:tcPr>
            <w:tcW w:w="1990" w:type="dxa"/>
            <w:shd w:val="clear" w:color="auto" w:fill="auto"/>
            <w:noWrap/>
            <w:vAlign w:val="bottom"/>
          </w:tcPr>
          <w:p w14:paraId="3C04A715"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Kinsella Geoffrey</w:t>
            </w:r>
          </w:p>
        </w:tc>
        <w:tc>
          <w:tcPr>
            <w:tcW w:w="4111" w:type="dxa"/>
            <w:shd w:val="clear" w:color="auto" w:fill="auto"/>
            <w:noWrap/>
            <w:vAlign w:val="bottom"/>
          </w:tcPr>
          <w:p w14:paraId="198AA1B4"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National Training Council</w:t>
            </w:r>
          </w:p>
        </w:tc>
        <w:tc>
          <w:tcPr>
            <w:tcW w:w="2126" w:type="dxa"/>
            <w:shd w:val="clear" w:color="auto" w:fill="auto"/>
            <w:noWrap/>
            <w:vAlign w:val="bottom"/>
          </w:tcPr>
          <w:p w14:paraId="766A3E65"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44BB5BE5" w14:textId="77777777" w:rsidTr="00D55DF6">
        <w:trPr>
          <w:trHeight w:val="280"/>
        </w:trPr>
        <w:tc>
          <w:tcPr>
            <w:tcW w:w="1990" w:type="dxa"/>
            <w:tcBorders>
              <w:bottom w:val="single" w:sz="4" w:space="0" w:color="A8D08D" w:themeColor="accent6" w:themeTint="99"/>
            </w:tcBorders>
            <w:shd w:val="clear" w:color="auto" w:fill="auto"/>
            <w:noWrap/>
            <w:vAlign w:val="bottom"/>
          </w:tcPr>
          <w:p w14:paraId="4A17A838"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Stan</w:t>
            </w:r>
          </w:p>
        </w:tc>
        <w:tc>
          <w:tcPr>
            <w:tcW w:w="4111" w:type="dxa"/>
            <w:tcBorders>
              <w:bottom w:val="single" w:sz="4" w:space="0" w:color="A8D08D" w:themeColor="accent6" w:themeTint="99"/>
            </w:tcBorders>
            <w:shd w:val="clear" w:color="auto" w:fill="auto"/>
            <w:noWrap/>
            <w:vAlign w:val="bottom"/>
          </w:tcPr>
          <w:p w14:paraId="089D547F"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National Training Council</w:t>
            </w:r>
          </w:p>
        </w:tc>
        <w:tc>
          <w:tcPr>
            <w:tcW w:w="2126" w:type="dxa"/>
            <w:tcBorders>
              <w:bottom w:val="single" w:sz="4" w:space="0" w:color="A8D08D" w:themeColor="accent6" w:themeTint="99"/>
            </w:tcBorders>
            <w:shd w:val="clear" w:color="auto" w:fill="auto"/>
            <w:noWrap/>
            <w:vAlign w:val="bottom"/>
          </w:tcPr>
          <w:p w14:paraId="16BF520C"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r w:rsidR="008F00FD" w:rsidRPr="006260F5" w14:paraId="0B1B7057" w14:textId="77777777" w:rsidTr="00D55DF6">
        <w:trPr>
          <w:trHeight w:val="280"/>
        </w:trPr>
        <w:tc>
          <w:tcPr>
            <w:tcW w:w="1990" w:type="dxa"/>
            <w:tcBorders>
              <w:top w:val="single" w:sz="4" w:space="0" w:color="A8D08D" w:themeColor="accent6" w:themeTint="99"/>
              <w:bottom w:val="single" w:sz="4" w:space="0" w:color="A8D08D" w:themeColor="accent6" w:themeTint="99"/>
            </w:tcBorders>
            <w:shd w:val="clear" w:color="auto" w:fill="auto"/>
            <w:noWrap/>
            <w:vAlign w:val="bottom"/>
          </w:tcPr>
          <w:p w14:paraId="62C1293F"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Thomas Kipau</w:t>
            </w:r>
          </w:p>
        </w:tc>
        <w:tc>
          <w:tcPr>
            <w:tcW w:w="4111" w:type="dxa"/>
            <w:tcBorders>
              <w:top w:val="single" w:sz="4" w:space="0" w:color="A8D08D" w:themeColor="accent6" w:themeTint="99"/>
              <w:bottom w:val="single" w:sz="4" w:space="0" w:color="A8D08D" w:themeColor="accent6" w:themeTint="99"/>
            </w:tcBorders>
            <w:shd w:val="clear" w:color="auto" w:fill="auto"/>
            <w:noWrap/>
            <w:vAlign w:val="bottom"/>
          </w:tcPr>
          <w:p w14:paraId="2758338D"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National Authority for Trade Testing Board</w:t>
            </w:r>
          </w:p>
        </w:tc>
        <w:tc>
          <w:tcPr>
            <w:tcW w:w="2126" w:type="dxa"/>
            <w:tcBorders>
              <w:top w:val="single" w:sz="4" w:space="0" w:color="A8D08D" w:themeColor="accent6" w:themeTint="99"/>
              <w:bottom w:val="single" w:sz="4" w:space="0" w:color="A8D08D" w:themeColor="accent6" w:themeTint="99"/>
            </w:tcBorders>
            <w:shd w:val="clear" w:color="auto" w:fill="auto"/>
            <w:noWrap/>
            <w:vAlign w:val="bottom"/>
          </w:tcPr>
          <w:p w14:paraId="7DBE5DA5" w14:textId="77777777" w:rsidR="008F00FD" w:rsidRPr="006260F5" w:rsidRDefault="008F00FD" w:rsidP="005F77A1">
            <w:pPr>
              <w:spacing w:before="20" w:after="20"/>
              <w:rPr>
                <w:rFonts w:cstheme="minorBidi"/>
                <w:color w:val="000000"/>
                <w:sz w:val="18"/>
                <w:szCs w:val="22"/>
              </w:rPr>
            </w:pPr>
            <w:r w:rsidRPr="006260F5">
              <w:rPr>
                <w:rFonts w:cstheme="minorBidi"/>
                <w:color w:val="000000"/>
                <w:sz w:val="18"/>
                <w:szCs w:val="22"/>
              </w:rPr>
              <w:t>Government of PNG</w:t>
            </w:r>
          </w:p>
        </w:tc>
      </w:tr>
    </w:tbl>
    <w:p w14:paraId="36B17493" w14:textId="77777777" w:rsidR="008F00FD" w:rsidRDefault="008F00FD" w:rsidP="008F00FD"/>
    <w:p w14:paraId="50D2035E" w14:textId="77777777" w:rsidR="008F00FD" w:rsidRPr="00C645FA" w:rsidRDefault="008F00FD" w:rsidP="002028A6">
      <w:pPr>
        <w:pStyle w:val="Heading1"/>
      </w:pPr>
      <w:r>
        <w:br w:type="page"/>
      </w:r>
      <w:bookmarkStart w:id="104" w:name="_Toc278447832"/>
      <w:bookmarkStart w:id="105" w:name="_Toc278453305"/>
      <w:r w:rsidRPr="00C645FA">
        <w:lastRenderedPageBreak/>
        <w:t>SOLOMON ISLANDS</w:t>
      </w:r>
      <w:bookmarkEnd w:id="104"/>
      <w:bookmarkEnd w:id="105"/>
    </w:p>
    <w:p w14:paraId="48B5A3C6" w14:textId="2E6CB3ED" w:rsidR="000A7BDB" w:rsidRDefault="000A7BDB" w:rsidP="008F00FD">
      <w:pPr>
        <w:rPr>
          <w:b/>
        </w:rPr>
      </w:pPr>
      <w:r>
        <w:rPr>
          <w:b/>
        </w:rPr>
        <w:t xml:space="preserve">APTC graduates – </w:t>
      </w:r>
      <w:r w:rsidRPr="00DA48E5">
        <w:t xml:space="preserve">15 </w:t>
      </w:r>
      <w:r w:rsidR="000F0E6E" w:rsidRPr="00DA48E5">
        <w:t>individuals</w:t>
      </w:r>
    </w:p>
    <w:p w14:paraId="23D8106E" w14:textId="24B1DCDF" w:rsidR="008F00FD" w:rsidRPr="00C278A3" w:rsidRDefault="000A7BDB" w:rsidP="008F00FD">
      <w:pPr>
        <w:rPr>
          <w:b/>
        </w:rPr>
      </w:pPr>
      <w:r>
        <w:rPr>
          <w:b/>
        </w:rPr>
        <w:t>APTC management and</w:t>
      </w:r>
      <w:r w:rsidR="008F00FD" w:rsidRPr="00C278A3">
        <w:rPr>
          <w:b/>
        </w:rPr>
        <w:t xml:space="preserve"> staff </w:t>
      </w:r>
    </w:p>
    <w:tbl>
      <w:tblPr>
        <w:tblW w:w="4799" w:type="dxa"/>
        <w:tblInd w:w="103" w:type="dxa"/>
        <w:tblBorders>
          <w:insideH w:val="single" w:sz="4" w:space="0" w:color="A8D08D" w:themeColor="accent6" w:themeTint="99"/>
          <w:insideV w:val="single" w:sz="4" w:space="0" w:color="A8D08D" w:themeColor="accent6" w:themeTint="99"/>
        </w:tblBorders>
        <w:tblLook w:val="0000" w:firstRow="0" w:lastRow="0" w:firstColumn="0" w:lastColumn="0" w:noHBand="0" w:noVBand="0"/>
      </w:tblPr>
      <w:tblGrid>
        <w:gridCol w:w="2283"/>
        <w:gridCol w:w="2516"/>
      </w:tblGrid>
      <w:tr w:rsidR="008F00FD" w:rsidRPr="00C278A3" w14:paraId="0CF18018" w14:textId="77777777" w:rsidTr="00DA48E5">
        <w:trPr>
          <w:trHeight w:val="280"/>
        </w:trPr>
        <w:tc>
          <w:tcPr>
            <w:tcW w:w="2283" w:type="dxa"/>
            <w:shd w:val="clear" w:color="auto" w:fill="auto"/>
            <w:noWrap/>
            <w:vAlign w:val="bottom"/>
          </w:tcPr>
          <w:p w14:paraId="32FB194A"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Bede O'Brien</w:t>
            </w:r>
          </w:p>
        </w:tc>
        <w:tc>
          <w:tcPr>
            <w:tcW w:w="2516" w:type="dxa"/>
            <w:shd w:val="clear" w:color="auto" w:fill="auto"/>
            <w:noWrap/>
            <w:vAlign w:val="bottom"/>
          </w:tcPr>
          <w:p w14:paraId="6605F0BD"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Management</w:t>
            </w:r>
          </w:p>
        </w:tc>
      </w:tr>
      <w:tr w:rsidR="008F00FD" w:rsidRPr="00C278A3" w14:paraId="0340DA6B" w14:textId="77777777" w:rsidTr="00DA48E5">
        <w:trPr>
          <w:trHeight w:val="280"/>
        </w:trPr>
        <w:tc>
          <w:tcPr>
            <w:tcW w:w="2283" w:type="dxa"/>
            <w:shd w:val="clear" w:color="auto" w:fill="auto"/>
            <w:noWrap/>
            <w:vAlign w:val="bottom"/>
          </w:tcPr>
          <w:p w14:paraId="27CBCEBE"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Frances Howes</w:t>
            </w:r>
          </w:p>
        </w:tc>
        <w:tc>
          <w:tcPr>
            <w:tcW w:w="2516" w:type="dxa"/>
            <w:shd w:val="clear" w:color="auto" w:fill="auto"/>
            <w:noWrap/>
            <w:vAlign w:val="bottom"/>
          </w:tcPr>
          <w:p w14:paraId="50C72770"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Management</w:t>
            </w:r>
          </w:p>
        </w:tc>
      </w:tr>
      <w:tr w:rsidR="008F00FD" w:rsidRPr="00C278A3" w14:paraId="788DB11D" w14:textId="77777777" w:rsidTr="00DA48E5">
        <w:trPr>
          <w:trHeight w:val="280"/>
        </w:trPr>
        <w:tc>
          <w:tcPr>
            <w:tcW w:w="2283" w:type="dxa"/>
            <w:shd w:val="clear" w:color="auto" w:fill="auto"/>
            <w:noWrap/>
            <w:vAlign w:val="bottom"/>
          </w:tcPr>
          <w:p w14:paraId="6A07EF78"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Hilda</w:t>
            </w:r>
          </w:p>
        </w:tc>
        <w:tc>
          <w:tcPr>
            <w:tcW w:w="2516" w:type="dxa"/>
            <w:shd w:val="clear" w:color="auto" w:fill="auto"/>
            <w:noWrap/>
            <w:vAlign w:val="bottom"/>
          </w:tcPr>
          <w:p w14:paraId="4D7ABC11"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Administration</w:t>
            </w:r>
          </w:p>
        </w:tc>
      </w:tr>
      <w:tr w:rsidR="008F00FD" w:rsidRPr="00C278A3" w14:paraId="25C2D310" w14:textId="77777777" w:rsidTr="00DA48E5">
        <w:trPr>
          <w:trHeight w:val="280"/>
        </w:trPr>
        <w:tc>
          <w:tcPr>
            <w:tcW w:w="2283" w:type="dxa"/>
            <w:shd w:val="clear" w:color="auto" w:fill="auto"/>
            <w:noWrap/>
            <w:vAlign w:val="bottom"/>
          </w:tcPr>
          <w:p w14:paraId="6ED096AD"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Jennifer Anisi</w:t>
            </w:r>
          </w:p>
        </w:tc>
        <w:tc>
          <w:tcPr>
            <w:tcW w:w="2516" w:type="dxa"/>
            <w:shd w:val="clear" w:color="auto" w:fill="auto"/>
            <w:noWrap/>
            <w:vAlign w:val="bottom"/>
          </w:tcPr>
          <w:p w14:paraId="53314F7A"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Administration</w:t>
            </w:r>
          </w:p>
        </w:tc>
      </w:tr>
      <w:tr w:rsidR="008F00FD" w:rsidRPr="00C278A3" w14:paraId="09F5A7BA" w14:textId="77777777" w:rsidTr="00DA48E5">
        <w:trPr>
          <w:trHeight w:val="280"/>
        </w:trPr>
        <w:tc>
          <w:tcPr>
            <w:tcW w:w="2283" w:type="dxa"/>
            <w:shd w:val="clear" w:color="auto" w:fill="auto"/>
            <w:noWrap/>
            <w:vAlign w:val="bottom"/>
          </w:tcPr>
          <w:p w14:paraId="3E27DB30"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Lois Tito</w:t>
            </w:r>
          </w:p>
        </w:tc>
        <w:tc>
          <w:tcPr>
            <w:tcW w:w="2516" w:type="dxa"/>
            <w:shd w:val="clear" w:color="auto" w:fill="auto"/>
            <w:noWrap/>
            <w:vAlign w:val="bottom"/>
          </w:tcPr>
          <w:p w14:paraId="1A109A21"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Administration</w:t>
            </w:r>
          </w:p>
        </w:tc>
      </w:tr>
      <w:tr w:rsidR="008F00FD" w:rsidRPr="00C278A3" w14:paraId="1D1324ED" w14:textId="77777777" w:rsidTr="00DA48E5">
        <w:trPr>
          <w:trHeight w:val="280"/>
        </w:trPr>
        <w:tc>
          <w:tcPr>
            <w:tcW w:w="2283" w:type="dxa"/>
            <w:shd w:val="clear" w:color="auto" w:fill="auto"/>
            <w:noWrap/>
            <w:vAlign w:val="bottom"/>
          </w:tcPr>
          <w:p w14:paraId="303045D7"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Barry</w:t>
            </w:r>
          </w:p>
        </w:tc>
        <w:tc>
          <w:tcPr>
            <w:tcW w:w="2516" w:type="dxa"/>
            <w:shd w:val="clear" w:color="auto" w:fill="auto"/>
            <w:noWrap/>
            <w:vAlign w:val="bottom"/>
          </w:tcPr>
          <w:p w14:paraId="46F41695"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Trainer</w:t>
            </w:r>
          </w:p>
        </w:tc>
      </w:tr>
      <w:tr w:rsidR="008F00FD" w:rsidRPr="00C278A3" w14:paraId="09496464" w14:textId="77777777" w:rsidTr="00DA48E5">
        <w:trPr>
          <w:trHeight w:val="280"/>
        </w:trPr>
        <w:tc>
          <w:tcPr>
            <w:tcW w:w="2283" w:type="dxa"/>
            <w:shd w:val="clear" w:color="auto" w:fill="auto"/>
            <w:noWrap/>
            <w:vAlign w:val="bottom"/>
          </w:tcPr>
          <w:p w14:paraId="027C66ED"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Chris</w:t>
            </w:r>
          </w:p>
        </w:tc>
        <w:tc>
          <w:tcPr>
            <w:tcW w:w="2516" w:type="dxa"/>
            <w:shd w:val="clear" w:color="auto" w:fill="auto"/>
            <w:noWrap/>
            <w:vAlign w:val="bottom"/>
          </w:tcPr>
          <w:p w14:paraId="798548DE"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Trainer</w:t>
            </w:r>
          </w:p>
        </w:tc>
      </w:tr>
      <w:tr w:rsidR="008F00FD" w:rsidRPr="00C278A3" w14:paraId="095CAB46" w14:textId="77777777" w:rsidTr="00DA48E5">
        <w:trPr>
          <w:trHeight w:val="280"/>
        </w:trPr>
        <w:tc>
          <w:tcPr>
            <w:tcW w:w="2283" w:type="dxa"/>
            <w:tcBorders>
              <w:bottom w:val="single" w:sz="4" w:space="0" w:color="A8D08D" w:themeColor="accent6" w:themeTint="99"/>
            </w:tcBorders>
            <w:shd w:val="clear" w:color="auto" w:fill="auto"/>
            <w:noWrap/>
            <w:vAlign w:val="bottom"/>
          </w:tcPr>
          <w:p w14:paraId="5F9CFE8F"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Rebecca</w:t>
            </w:r>
          </w:p>
        </w:tc>
        <w:tc>
          <w:tcPr>
            <w:tcW w:w="2516" w:type="dxa"/>
            <w:tcBorders>
              <w:bottom w:val="single" w:sz="4" w:space="0" w:color="A8D08D" w:themeColor="accent6" w:themeTint="99"/>
            </w:tcBorders>
            <w:shd w:val="clear" w:color="auto" w:fill="auto"/>
            <w:noWrap/>
            <w:vAlign w:val="bottom"/>
          </w:tcPr>
          <w:p w14:paraId="24DE9090"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Trainer</w:t>
            </w:r>
          </w:p>
        </w:tc>
      </w:tr>
      <w:tr w:rsidR="008F00FD" w:rsidRPr="00C278A3" w14:paraId="48917744" w14:textId="77777777" w:rsidTr="00DA48E5">
        <w:trPr>
          <w:trHeight w:val="280"/>
        </w:trPr>
        <w:tc>
          <w:tcPr>
            <w:tcW w:w="2283" w:type="dxa"/>
            <w:tcBorders>
              <w:top w:val="single" w:sz="4" w:space="0" w:color="A8D08D" w:themeColor="accent6" w:themeTint="99"/>
              <w:bottom w:val="single" w:sz="4" w:space="0" w:color="A8D08D" w:themeColor="accent6" w:themeTint="99"/>
            </w:tcBorders>
            <w:shd w:val="clear" w:color="auto" w:fill="auto"/>
            <w:noWrap/>
            <w:vAlign w:val="bottom"/>
          </w:tcPr>
          <w:p w14:paraId="4323506E"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Russell Warde</w:t>
            </w:r>
          </w:p>
        </w:tc>
        <w:tc>
          <w:tcPr>
            <w:tcW w:w="2516" w:type="dxa"/>
            <w:tcBorders>
              <w:top w:val="single" w:sz="4" w:space="0" w:color="A8D08D" w:themeColor="accent6" w:themeTint="99"/>
              <w:bottom w:val="single" w:sz="4" w:space="0" w:color="A8D08D" w:themeColor="accent6" w:themeTint="99"/>
            </w:tcBorders>
            <w:shd w:val="clear" w:color="auto" w:fill="auto"/>
            <w:noWrap/>
            <w:vAlign w:val="bottom"/>
          </w:tcPr>
          <w:p w14:paraId="3CD1680C"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Trainer</w:t>
            </w:r>
          </w:p>
        </w:tc>
      </w:tr>
    </w:tbl>
    <w:p w14:paraId="01FC299C" w14:textId="77777777" w:rsidR="008F00FD" w:rsidRDefault="008F00FD" w:rsidP="008F00FD"/>
    <w:p w14:paraId="1C036E6C" w14:textId="77777777" w:rsidR="000A7BDB" w:rsidRDefault="000A7BDB" w:rsidP="008F00FD"/>
    <w:p w14:paraId="41D4FACC" w14:textId="044D9504" w:rsidR="008F00FD" w:rsidRPr="000A7BDB" w:rsidRDefault="000A7BDB" w:rsidP="000A7BDB">
      <w:pPr>
        <w:pStyle w:val="Header"/>
      </w:pPr>
      <w:r>
        <w:t>Solomon Islands</w:t>
      </w:r>
      <w:r w:rsidRPr="00A93246">
        <w:t>, other organisations</w:t>
      </w:r>
    </w:p>
    <w:tbl>
      <w:tblPr>
        <w:tblW w:w="8222" w:type="dxa"/>
        <w:tblInd w:w="103" w:type="dxa"/>
        <w:tblBorders>
          <w:insideH w:val="single" w:sz="4" w:space="0" w:color="A8D08D" w:themeColor="accent6" w:themeTint="99"/>
          <w:insideV w:val="single" w:sz="4" w:space="0" w:color="A8D08D" w:themeColor="accent6" w:themeTint="99"/>
        </w:tblBorders>
        <w:tblLook w:val="0000" w:firstRow="0" w:lastRow="0" w:firstColumn="0" w:lastColumn="0" w:noHBand="0" w:noVBand="0"/>
      </w:tblPr>
      <w:tblGrid>
        <w:gridCol w:w="2183"/>
        <w:gridCol w:w="3719"/>
        <w:gridCol w:w="2603"/>
      </w:tblGrid>
      <w:tr w:rsidR="008F00FD" w:rsidRPr="00182396" w14:paraId="27757F46" w14:textId="77777777" w:rsidTr="00DA48E5">
        <w:trPr>
          <w:trHeight w:val="280"/>
        </w:trPr>
        <w:tc>
          <w:tcPr>
            <w:tcW w:w="2183" w:type="dxa"/>
            <w:shd w:val="clear" w:color="auto" w:fill="C5E0B3" w:themeFill="accent6" w:themeFillTint="66"/>
            <w:noWrap/>
            <w:vAlign w:val="bottom"/>
          </w:tcPr>
          <w:p w14:paraId="22A635A3" w14:textId="77777777" w:rsidR="008F00FD" w:rsidRPr="00182396" w:rsidRDefault="008F00FD" w:rsidP="005F77A1">
            <w:pPr>
              <w:spacing w:before="20" w:after="20"/>
              <w:rPr>
                <w:rFonts w:cstheme="minorBidi"/>
                <w:b/>
                <w:color w:val="000000"/>
                <w:sz w:val="18"/>
                <w:szCs w:val="22"/>
              </w:rPr>
            </w:pPr>
            <w:r w:rsidRPr="00182396">
              <w:rPr>
                <w:rFonts w:cstheme="minorBidi"/>
                <w:b/>
                <w:color w:val="000000"/>
                <w:sz w:val="18"/>
                <w:szCs w:val="22"/>
              </w:rPr>
              <w:t>Name</w:t>
            </w:r>
          </w:p>
        </w:tc>
        <w:tc>
          <w:tcPr>
            <w:tcW w:w="3719" w:type="dxa"/>
            <w:shd w:val="clear" w:color="auto" w:fill="C5E0B3" w:themeFill="accent6" w:themeFillTint="66"/>
            <w:noWrap/>
            <w:vAlign w:val="bottom"/>
          </w:tcPr>
          <w:p w14:paraId="5D646A4E" w14:textId="77777777" w:rsidR="008F00FD" w:rsidRPr="00182396" w:rsidRDefault="008F00FD" w:rsidP="005F77A1">
            <w:pPr>
              <w:spacing w:before="20" w:after="20"/>
              <w:rPr>
                <w:rFonts w:cstheme="minorBidi"/>
                <w:b/>
                <w:color w:val="000000"/>
                <w:sz w:val="18"/>
                <w:szCs w:val="22"/>
              </w:rPr>
            </w:pPr>
            <w:r w:rsidRPr="00182396">
              <w:rPr>
                <w:rFonts w:cstheme="minorBidi"/>
                <w:b/>
                <w:color w:val="000000"/>
                <w:sz w:val="18"/>
                <w:szCs w:val="22"/>
              </w:rPr>
              <w:t>Organisation</w:t>
            </w:r>
          </w:p>
        </w:tc>
        <w:tc>
          <w:tcPr>
            <w:tcW w:w="2603" w:type="dxa"/>
            <w:shd w:val="clear" w:color="auto" w:fill="C5E0B3" w:themeFill="accent6" w:themeFillTint="66"/>
            <w:noWrap/>
            <w:vAlign w:val="bottom"/>
          </w:tcPr>
          <w:p w14:paraId="704F2619" w14:textId="77777777" w:rsidR="008F00FD" w:rsidRPr="00182396" w:rsidRDefault="008F00FD" w:rsidP="006D5366">
            <w:pPr>
              <w:spacing w:before="20" w:after="20"/>
              <w:rPr>
                <w:rFonts w:cstheme="minorBidi"/>
                <w:b/>
                <w:color w:val="000000"/>
                <w:sz w:val="18"/>
                <w:szCs w:val="22"/>
              </w:rPr>
            </w:pPr>
            <w:r w:rsidRPr="00182396">
              <w:rPr>
                <w:rFonts w:cstheme="minorBidi"/>
                <w:b/>
                <w:color w:val="000000"/>
                <w:sz w:val="18"/>
                <w:szCs w:val="22"/>
              </w:rPr>
              <w:t xml:space="preserve">Type of </w:t>
            </w:r>
            <w:r w:rsidR="006D5366">
              <w:rPr>
                <w:rFonts w:cstheme="minorBidi"/>
                <w:b/>
                <w:color w:val="000000"/>
                <w:sz w:val="18"/>
                <w:szCs w:val="22"/>
              </w:rPr>
              <w:t>g</w:t>
            </w:r>
            <w:r w:rsidR="006D5366" w:rsidRPr="00182396">
              <w:rPr>
                <w:rFonts w:cstheme="minorBidi"/>
                <w:b/>
                <w:color w:val="000000"/>
                <w:sz w:val="18"/>
                <w:szCs w:val="22"/>
              </w:rPr>
              <w:t>roup</w:t>
            </w:r>
          </w:p>
        </w:tc>
      </w:tr>
      <w:tr w:rsidR="008F00FD" w:rsidRPr="00C278A3" w14:paraId="7147B44A" w14:textId="77777777" w:rsidTr="00DA48E5">
        <w:trPr>
          <w:trHeight w:val="280"/>
        </w:trPr>
        <w:tc>
          <w:tcPr>
            <w:tcW w:w="2183" w:type="dxa"/>
            <w:shd w:val="clear" w:color="auto" w:fill="auto"/>
            <w:noWrap/>
            <w:vAlign w:val="bottom"/>
          </w:tcPr>
          <w:p w14:paraId="61A07360"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Ed Smith</w:t>
            </w:r>
          </w:p>
        </w:tc>
        <w:tc>
          <w:tcPr>
            <w:tcW w:w="3719" w:type="dxa"/>
            <w:shd w:val="clear" w:color="auto" w:fill="auto"/>
            <w:noWrap/>
            <w:vAlign w:val="bottom"/>
          </w:tcPr>
          <w:p w14:paraId="637706A2"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Australian High Commission</w:t>
            </w:r>
          </w:p>
        </w:tc>
        <w:tc>
          <w:tcPr>
            <w:tcW w:w="2603" w:type="dxa"/>
            <w:shd w:val="clear" w:color="auto" w:fill="auto"/>
            <w:noWrap/>
            <w:vAlign w:val="bottom"/>
          </w:tcPr>
          <w:p w14:paraId="6846701B"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Development Partner</w:t>
            </w:r>
          </w:p>
        </w:tc>
      </w:tr>
      <w:tr w:rsidR="008F00FD" w:rsidRPr="00C278A3" w14:paraId="05F9C509" w14:textId="77777777" w:rsidTr="00DA48E5">
        <w:trPr>
          <w:trHeight w:val="280"/>
        </w:trPr>
        <w:tc>
          <w:tcPr>
            <w:tcW w:w="2183" w:type="dxa"/>
            <w:shd w:val="clear" w:color="auto" w:fill="auto"/>
            <w:noWrap/>
            <w:vAlign w:val="bottom"/>
          </w:tcPr>
          <w:p w14:paraId="66DC7E15"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Kirsten Hawke</w:t>
            </w:r>
          </w:p>
        </w:tc>
        <w:tc>
          <w:tcPr>
            <w:tcW w:w="3719" w:type="dxa"/>
            <w:shd w:val="clear" w:color="auto" w:fill="auto"/>
            <w:noWrap/>
            <w:vAlign w:val="bottom"/>
          </w:tcPr>
          <w:p w14:paraId="33DDC791"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Australian High Commission</w:t>
            </w:r>
          </w:p>
        </w:tc>
        <w:tc>
          <w:tcPr>
            <w:tcW w:w="2603" w:type="dxa"/>
            <w:shd w:val="clear" w:color="auto" w:fill="auto"/>
            <w:noWrap/>
            <w:vAlign w:val="bottom"/>
          </w:tcPr>
          <w:p w14:paraId="5E3DDAA5"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Development Partner</w:t>
            </w:r>
          </w:p>
        </w:tc>
      </w:tr>
      <w:tr w:rsidR="008F00FD" w:rsidRPr="00C278A3" w14:paraId="1A89D54B" w14:textId="77777777" w:rsidTr="00DA48E5">
        <w:trPr>
          <w:trHeight w:val="280"/>
        </w:trPr>
        <w:tc>
          <w:tcPr>
            <w:tcW w:w="2183" w:type="dxa"/>
            <w:shd w:val="clear" w:color="auto" w:fill="auto"/>
            <w:noWrap/>
            <w:vAlign w:val="bottom"/>
          </w:tcPr>
          <w:p w14:paraId="5A089C9F"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Jane Bastin-Sikimeti</w:t>
            </w:r>
          </w:p>
        </w:tc>
        <w:tc>
          <w:tcPr>
            <w:tcW w:w="3719" w:type="dxa"/>
            <w:shd w:val="clear" w:color="auto" w:fill="auto"/>
            <w:noWrap/>
            <w:vAlign w:val="bottom"/>
          </w:tcPr>
          <w:p w14:paraId="176D5C00"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Australian High Commission</w:t>
            </w:r>
          </w:p>
        </w:tc>
        <w:tc>
          <w:tcPr>
            <w:tcW w:w="2603" w:type="dxa"/>
            <w:shd w:val="clear" w:color="auto" w:fill="auto"/>
            <w:noWrap/>
            <w:vAlign w:val="bottom"/>
          </w:tcPr>
          <w:p w14:paraId="596F367A"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Development Partner</w:t>
            </w:r>
          </w:p>
        </w:tc>
      </w:tr>
      <w:tr w:rsidR="008F00FD" w:rsidRPr="00C278A3" w14:paraId="75E7ED39" w14:textId="77777777" w:rsidTr="00DA48E5">
        <w:trPr>
          <w:trHeight w:val="280"/>
        </w:trPr>
        <w:tc>
          <w:tcPr>
            <w:tcW w:w="2183" w:type="dxa"/>
            <w:shd w:val="clear" w:color="auto" w:fill="auto"/>
            <w:noWrap/>
          </w:tcPr>
          <w:p w14:paraId="34C85219"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Dr Franco Rodie</w:t>
            </w:r>
          </w:p>
        </w:tc>
        <w:tc>
          <w:tcPr>
            <w:tcW w:w="3719" w:type="dxa"/>
            <w:shd w:val="clear" w:color="auto" w:fill="auto"/>
            <w:noWrap/>
            <w:vAlign w:val="bottom"/>
          </w:tcPr>
          <w:p w14:paraId="0402573C"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Ministry of Education and Human Resource Development</w:t>
            </w:r>
          </w:p>
        </w:tc>
        <w:tc>
          <w:tcPr>
            <w:tcW w:w="2603" w:type="dxa"/>
            <w:shd w:val="clear" w:color="auto" w:fill="auto"/>
            <w:noWrap/>
            <w:vAlign w:val="bottom"/>
          </w:tcPr>
          <w:p w14:paraId="68D95D94"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Government of Solomon Islands</w:t>
            </w:r>
          </w:p>
        </w:tc>
      </w:tr>
      <w:tr w:rsidR="008F00FD" w:rsidRPr="00C278A3" w14:paraId="74655932" w14:textId="77777777" w:rsidTr="00DA48E5">
        <w:trPr>
          <w:trHeight w:val="280"/>
        </w:trPr>
        <w:tc>
          <w:tcPr>
            <w:tcW w:w="2183" w:type="dxa"/>
            <w:shd w:val="clear" w:color="auto" w:fill="auto"/>
            <w:noWrap/>
            <w:vAlign w:val="bottom"/>
          </w:tcPr>
          <w:p w14:paraId="5D84AA94"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Father Dominic</w:t>
            </w:r>
          </w:p>
        </w:tc>
        <w:tc>
          <w:tcPr>
            <w:tcW w:w="3719" w:type="dxa"/>
            <w:shd w:val="clear" w:color="auto" w:fill="auto"/>
            <w:noWrap/>
            <w:vAlign w:val="bottom"/>
          </w:tcPr>
          <w:p w14:paraId="4590C7CE"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Don Bosco Institute</w:t>
            </w:r>
          </w:p>
        </w:tc>
        <w:tc>
          <w:tcPr>
            <w:tcW w:w="2603" w:type="dxa"/>
            <w:shd w:val="clear" w:color="auto" w:fill="auto"/>
            <w:noWrap/>
            <w:vAlign w:val="bottom"/>
          </w:tcPr>
          <w:p w14:paraId="5E4E1415"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Training Partner</w:t>
            </w:r>
          </w:p>
        </w:tc>
      </w:tr>
      <w:tr w:rsidR="008F00FD" w:rsidRPr="00C278A3" w14:paraId="525C848C" w14:textId="77777777" w:rsidTr="00DA48E5">
        <w:trPr>
          <w:trHeight w:val="280"/>
        </w:trPr>
        <w:tc>
          <w:tcPr>
            <w:tcW w:w="2183" w:type="dxa"/>
            <w:shd w:val="clear" w:color="auto" w:fill="auto"/>
            <w:noWrap/>
            <w:vAlign w:val="bottom"/>
          </w:tcPr>
          <w:p w14:paraId="6F1BBEC2"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Father Sramel</w:t>
            </w:r>
          </w:p>
        </w:tc>
        <w:tc>
          <w:tcPr>
            <w:tcW w:w="3719" w:type="dxa"/>
            <w:shd w:val="clear" w:color="auto" w:fill="auto"/>
            <w:noWrap/>
            <w:vAlign w:val="bottom"/>
          </w:tcPr>
          <w:p w14:paraId="16721263"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Don Bosco Institute</w:t>
            </w:r>
          </w:p>
        </w:tc>
        <w:tc>
          <w:tcPr>
            <w:tcW w:w="2603" w:type="dxa"/>
            <w:shd w:val="clear" w:color="auto" w:fill="auto"/>
            <w:noWrap/>
            <w:vAlign w:val="bottom"/>
          </w:tcPr>
          <w:p w14:paraId="313827D3"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Training Partner</w:t>
            </w:r>
          </w:p>
        </w:tc>
      </w:tr>
      <w:tr w:rsidR="008F00FD" w:rsidRPr="00C278A3" w14:paraId="7102073E" w14:textId="77777777" w:rsidTr="00DA48E5">
        <w:trPr>
          <w:trHeight w:val="280"/>
        </w:trPr>
        <w:tc>
          <w:tcPr>
            <w:tcW w:w="2183" w:type="dxa"/>
            <w:tcBorders>
              <w:bottom w:val="single" w:sz="4" w:space="0" w:color="A8D08D" w:themeColor="accent6" w:themeTint="99"/>
            </w:tcBorders>
            <w:shd w:val="clear" w:color="auto" w:fill="auto"/>
            <w:noWrap/>
            <w:vAlign w:val="bottom"/>
          </w:tcPr>
          <w:p w14:paraId="4255BFDB"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Kitione Malugulevu</w:t>
            </w:r>
          </w:p>
        </w:tc>
        <w:tc>
          <w:tcPr>
            <w:tcW w:w="3719" w:type="dxa"/>
            <w:tcBorders>
              <w:bottom w:val="single" w:sz="4" w:space="0" w:color="A8D08D" w:themeColor="accent6" w:themeTint="99"/>
            </w:tcBorders>
            <w:shd w:val="clear" w:color="auto" w:fill="auto"/>
            <w:noWrap/>
            <w:vAlign w:val="bottom"/>
          </w:tcPr>
          <w:p w14:paraId="6EAE1BF5"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Solomon Island Electricity Authority</w:t>
            </w:r>
          </w:p>
        </w:tc>
        <w:tc>
          <w:tcPr>
            <w:tcW w:w="2603" w:type="dxa"/>
            <w:tcBorders>
              <w:bottom w:val="single" w:sz="4" w:space="0" w:color="A8D08D" w:themeColor="accent6" w:themeTint="99"/>
            </w:tcBorders>
            <w:shd w:val="clear" w:color="auto" w:fill="auto"/>
            <w:noWrap/>
            <w:vAlign w:val="bottom"/>
          </w:tcPr>
          <w:p w14:paraId="28737952"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Employer/Industry</w:t>
            </w:r>
          </w:p>
        </w:tc>
      </w:tr>
      <w:tr w:rsidR="008F00FD" w:rsidRPr="00C278A3" w14:paraId="125FB730" w14:textId="77777777" w:rsidTr="00DA48E5">
        <w:trPr>
          <w:trHeight w:val="280"/>
        </w:trPr>
        <w:tc>
          <w:tcPr>
            <w:tcW w:w="2183" w:type="dxa"/>
            <w:tcBorders>
              <w:top w:val="single" w:sz="4" w:space="0" w:color="A8D08D" w:themeColor="accent6" w:themeTint="99"/>
              <w:bottom w:val="single" w:sz="4" w:space="0" w:color="A8D08D" w:themeColor="accent6" w:themeTint="99"/>
            </w:tcBorders>
            <w:shd w:val="clear" w:color="auto" w:fill="auto"/>
            <w:noWrap/>
            <w:vAlign w:val="bottom"/>
          </w:tcPr>
          <w:p w14:paraId="75DCC829" w14:textId="77777777" w:rsidR="008F00FD" w:rsidRPr="00C278A3" w:rsidRDefault="008F00FD" w:rsidP="005F77A1">
            <w:pPr>
              <w:spacing w:before="20" w:after="20"/>
              <w:rPr>
                <w:rFonts w:cstheme="minorBidi"/>
                <w:color w:val="000000"/>
                <w:sz w:val="18"/>
                <w:szCs w:val="22"/>
              </w:rPr>
            </w:pPr>
            <w:r>
              <w:rPr>
                <w:rFonts w:cstheme="minorBidi"/>
                <w:color w:val="000000"/>
                <w:sz w:val="18"/>
                <w:szCs w:val="22"/>
              </w:rPr>
              <w:t>Dr</w:t>
            </w:r>
            <w:r w:rsidRPr="00C278A3">
              <w:rPr>
                <w:rFonts w:cstheme="minorBidi"/>
                <w:color w:val="000000"/>
                <w:sz w:val="18"/>
                <w:szCs w:val="22"/>
              </w:rPr>
              <w:t xml:space="preserve"> Patricia Rodie</w:t>
            </w:r>
          </w:p>
        </w:tc>
        <w:tc>
          <w:tcPr>
            <w:tcW w:w="3719" w:type="dxa"/>
            <w:tcBorders>
              <w:top w:val="single" w:sz="4" w:space="0" w:color="A8D08D" w:themeColor="accent6" w:themeTint="99"/>
              <w:bottom w:val="single" w:sz="4" w:space="0" w:color="A8D08D" w:themeColor="accent6" w:themeTint="99"/>
            </w:tcBorders>
            <w:shd w:val="clear" w:color="auto" w:fill="auto"/>
            <w:noWrap/>
            <w:vAlign w:val="bottom"/>
          </w:tcPr>
          <w:p w14:paraId="31F7C9CD"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Solomon Islands National University</w:t>
            </w:r>
          </w:p>
        </w:tc>
        <w:tc>
          <w:tcPr>
            <w:tcW w:w="2603" w:type="dxa"/>
            <w:tcBorders>
              <w:top w:val="single" w:sz="4" w:space="0" w:color="A8D08D" w:themeColor="accent6" w:themeTint="99"/>
              <w:bottom w:val="single" w:sz="4" w:space="0" w:color="A8D08D" w:themeColor="accent6" w:themeTint="99"/>
            </w:tcBorders>
            <w:shd w:val="clear" w:color="auto" w:fill="auto"/>
            <w:noWrap/>
            <w:vAlign w:val="bottom"/>
          </w:tcPr>
          <w:p w14:paraId="0A058F86" w14:textId="77777777" w:rsidR="008F00FD" w:rsidRPr="00C278A3" w:rsidRDefault="008F00FD" w:rsidP="005F77A1">
            <w:pPr>
              <w:spacing w:before="20" w:after="20"/>
              <w:rPr>
                <w:rFonts w:cstheme="minorBidi"/>
                <w:color w:val="000000"/>
                <w:sz w:val="18"/>
                <w:szCs w:val="22"/>
              </w:rPr>
            </w:pPr>
            <w:r w:rsidRPr="00C278A3">
              <w:rPr>
                <w:rFonts w:cstheme="minorBidi"/>
                <w:color w:val="000000"/>
                <w:sz w:val="18"/>
                <w:szCs w:val="22"/>
              </w:rPr>
              <w:t>TVET Institution</w:t>
            </w:r>
          </w:p>
        </w:tc>
      </w:tr>
    </w:tbl>
    <w:p w14:paraId="7D03660E" w14:textId="77777777" w:rsidR="008F00FD" w:rsidRDefault="008F00FD" w:rsidP="008F00FD"/>
    <w:p w14:paraId="066F1B14" w14:textId="77777777" w:rsidR="008F00FD" w:rsidRPr="00A93246" w:rsidRDefault="008F00FD" w:rsidP="002028A6">
      <w:pPr>
        <w:pStyle w:val="Heading1"/>
      </w:pPr>
      <w:r>
        <w:br w:type="page"/>
      </w:r>
      <w:bookmarkStart w:id="106" w:name="_Toc278447833"/>
      <w:bookmarkStart w:id="107" w:name="_Toc278453306"/>
      <w:r w:rsidR="003F67B5">
        <w:lastRenderedPageBreak/>
        <w:t>VANUATU</w:t>
      </w:r>
      <w:bookmarkEnd w:id="106"/>
      <w:bookmarkEnd w:id="107"/>
    </w:p>
    <w:p w14:paraId="1E2D9D50" w14:textId="77777777" w:rsidR="00F56C04" w:rsidRDefault="008F00FD" w:rsidP="008F00FD">
      <w:pPr>
        <w:rPr>
          <w:b/>
        </w:rPr>
      </w:pPr>
      <w:r w:rsidRPr="00A93246">
        <w:rPr>
          <w:b/>
        </w:rPr>
        <w:t xml:space="preserve">APTC students – </w:t>
      </w:r>
      <w:r w:rsidRPr="00F56C04">
        <w:t>35 individuals</w:t>
      </w:r>
      <w:r w:rsidR="000A7BDB">
        <w:rPr>
          <w:b/>
        </w:rPr>
        <w:tab/>
      </w:r>
      <w:r w:rsidR="000A7BDB">
        <w:rPr>
          <w:b/>
        </w:rPr>
        <w:tab/>
      </w:r>
    </w:p>
    <w:p w14:paraId="6F6E88A2" w14:textId="56F8B724" w:rsidR="008F00FD" w:rsidRPr="00A93246" w:rsidRDefault="000A7BDB" w:rsidP="008F00FD">
      <w:pPr>
        <w:rPr>
          <w:b/>
        </w:rPr>
      </w:pPr>
      <w:r>
        <w:rPr>
          <w:b/>
        </w:rPr>
        <w:t xml:space="preserve">APTC graduates – </w:t>
      </w:r>
      <w:r w:rsidRPr="00F56C04">
        <w:t>12</w:t>
      </w:r>
      <w:r w:rsidR="000F0E6E" w:rsidRPr="00F56C04">
        <w:t xml:space="preserve"> individuals</w:t>
      </w:r>
    </w:p>
    <w:p w14:paraId="7E7C9BCB" w14:textId="77777777" w:rsidR="008F00FD" w:rsidRPr="00A93246" w:rsidRDefault="008F00FD" w:rsidP="008F00FD">
      <w:pPr>
        <w:rPr>
          <w:b/>
        </w:rPr>
      </w:pPr>
      <w:r w:rsidRPr="00A93246">
        <w:rPr>
          <w:b/>
        </w:rPr>
        <w:t>APTC management, staff and graduates</w:t>
      </w:r>
    </w:p>
    <w:tbl>
      <w:tblPr>
        <w:tblW w:w="8222" w:type="dxa"/>
        <w:tblInd w:w="103" w:type="dxa"/>
        <w:tblBorders>
          <w:insideH w:val="single" w:sz="4" w:space="0" w:color="A8D08D" w:themeColor="accent6" w:themeTint="99"/>
          <w:insideV w:val="single" w:sz="4" w:space="0" w:color="A8D08D" w:themeColor="accent6" w:themeTint="99"/>
        </w:tblBorders>
        <w:tblLayout w:type="fixed"/>
        <w:tblLook w:val="0000" w:firstRow="0" w:lastRow="0" w:firstColumn="0" w:lastColumn="0" w:noHBand="0" w:noVBand="0"/>
      </w:tblPr>
      <w:tblGrid>
        <w:gridCol w:w="1625"/>
        <w:gridCol w:w="2066"/>
        <w:gridCol w:w="709"/>
        <w:gridCol w:w="1864"/>
        <w:gridCol w:w="1958"/>
      </w:tblGrid>
      <w:tr w:rsidR="00B66FC3" w:rsidRPr="00A93246" w14:paraId="72C120F3" w14:textId="3552737F" w:rsidTr="00F56C04">
        <w:trPr>
          <w:trHeight w:val="280"/>
        </w:trPr>
        <w:tc>
          <w:tcPr>
            <w:tcW w:w="1625" w:type="dxa"/>
            <w:shd w:val="clear" w:color="auto" w:fill="auto"/>
            <w:noWrap/>
            <w:vAlign w:val="bottom"/>
          </w:tcPr>
          <w:p w14:paraId="0D71BF26"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Alison Kalsuak</w:t>
            </w:r>
          </w:p>
        </w:tc>
        <w:tc>
          <w:tcPr>
            <w:tcW w:w="2066" w:type="dxa"/>
            <w:shd w:val="clear" w:color="auto" w:fill="auto"/>
            <w:noWrap/>
            <w:vAlign w:val="bottom"/>
          </w:tcPr>
          <w:p w14:paraId="5FBEC6C8"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Administration</w:t>
            </w:r>
          </w:p>
        </w:tc>
        <w:tc>
          <w:tcPr>
            <w:tcW w:w="709" w:type="dxa"/>
          </w:tcPr>
          <w:p w14:paraId="482D4D6A" w14:textId="77777777" w:rsidR="00B66FC3" w:rsidRPr="00A93246" w:rsidRDefault="00B66FC3">
            <w:pPr>
              <w:spacing w:after="0"/>
              <w:rPr>
                <w:rFonts w:cstheme="minorBidi"/>
                <w:color w:val="000000"/>
                <w:sz w:val="18"/>
                <w:szCs w:val="22"/>
              </w:rPr>
            </w:pPr>
          </w:p>
        </w:tc>
        <w:tc>
          <w:tcPr>
            <w:tcW w:w="1864" w:type="dxa"/>
            <w:shd w:val="clear" w:color="auto" w:fill="auto"/>
            <w:vAlign w:val="center"/>
          </w:tcPr>
          <w:p w14:paraId="3725B15E" w14:textId="3036FA4E" w:rsidR="00B66FC3" w:rsidRPr="00A93246" w:rsidRDefault="00B66FC3" w:rsidP="00B66FC3">
            <w:pPr>
              <w:spacing w:after="0"/>
            </w:pPr>
            <w:r w:rsidRPr="00A93246">
              <w:rPr>
                <w:rFonts w:cstheme="minorBidi"/>
                <w:color w:val="000000"/>
                <w:sz w:val="18"/>
                <w:szCs w:val="22"/>
              </w:rPr>
              <w:t>Brett Thompson</w:t>
            </w:r>
          </w:p>
        </w:tc>
        <w:tc>
          <w:tcPr>
            <w:tcW w:w="1958" w:type="dxa"/>
            <w:shd w:val="clear" w:color="auto" w:fill="auto"/>
            <w:vAlign w:val="center"/>
          </w:tcPr>
          <w:p w14:paraId="3C124202" w14:textId="455DEF31" w:rsidR="00B66FC3" w:rsidRPr="00A93246" w:rsidRDefault="00B66FC3" w:rsidP="00B66FC3">
            <w:pPr>
              <w:spacing w:after="0"/>
            </w:pPr>
            <w:r w:rsidRPr="00A93246">
              <w:rPr>
                <w:rFonts w:cstheme="minorBidi"/>
                <w:color w:val="000000"/>
                <w:sz w:val="18"/>
                <w:szCs w:val="22"/>
              </w:rPr>
              <w:t>Trainer (senior)</w:t>
            </w:r>
          </w:p>
        </w:tc>
      </w:tr>
      <w:tr w:rsidR="00B66FC3" w:rsidRPr="00A93246" w14:paraId="015C3FD9" w14:textId="3FAE1221" w:rsidTr="00F56C04">
        <w:trPr>
          <w:trHeight w:val="280"/>
        </w:trPr>
        <w:tc>
          <w:tcPr>
            <w:tcW w:w="1625" w:type="dxa"/>
            <w:shd w:val="clear" w:color="auto" w:fill="auto"/>
            <w:noWrap/>
            <w:vAlign w:val="bottom"/>
          </w:tcPr>
          <w:p w14:paraId="7619F619"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Anne Niatu</w:t>
            </w:r>
          </w:p>
        </w:tc>
        <w:tc>
          <w:tcPr>
            <w:tcW w:w="2066" w:type="dxa"/>
            <w:shd w:val="clear" w:color="auto" w:fill="auto"/>
            <w:noWrap/>
            <w:vAlign w:val="bottom"/>
          </w:tcPr>
          <w:p w14:paraId="5D03059B"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Administration</w:t>
            </w:r>
          </w:p>
        </w:tc>
        <w:tc>
          <w:tcPr>
            <w:tcW w:w="709" w:type="dxa"/>
          </w:tcPr>
          <w:p w14:paraId="48E2A8BF" w14:textId="77777777" w:rsidR="00B66FC3" w:rsidRPr="00A93246" w:rsidRDefault="00B66FC3">
            <w:pPr>
              <w:spacing w:after="0"/>
              <w:rPr>
                <w:rFonts w:cstheme="minorBidi"/>
                <w:color w:val="000000"/>
                <w:sz w:val="18"/>
                <w:szCs w:val="22"/>
              </w:rPr>
            </w:pPr>
          </w:p>
        </w:tc>
        <w:tc>
          <w:tcPr>
            <w:tcW w:w="1864" w:type="dxa"/>
            <w:shd w:val="clear" w:color="auto" w:fill="auto"/>
            <w:vAlign w:val="center"/>
          </w:tcPr>
          <w:p w14:paraId="13FA41F9" w14:textId="0CFFB580" w:rsidR="00B66FC3" w:rsidRPr="00A93246" w:rsidRDefault="00B66FC3" w:rsidP="00B66FC3">
            <w:pPr>
              <w:spacing w:after="0"/>
            </w:pPr>
            <w:r w:rsidRPr="00A93246">
              <w:rPr>
                <w:rFonts w:cstheme="minorBidi"/>
                <w:color w:val="000000"/>
                <w:sz w:val="18"/>
                <w:szCs w:val="22"/>
              </w:rPr>
              <w:t>Eunice David</w:t>
            </w:r>
          </w:p>
        </w:tc>
        <w:tc>
          <w:tcPr>
            <w:tcW w:w="1958" w:type="dxa"/>
            <w:shd w:val="clear" w:color="auto" w:fill="auto"/>
            <w:vAlign w:val="center"/>
          </w:tcPr>
          <w:p w14:paraId="02C1B9F6" w14:textId="10DB8303" w:rsidR="00B66FC3" w:rsidRPr="00A93246" w:rsidRDefault="00B66FC3" w:rsidP="00B66FC3">
            <w:pPr>
              <w:spacing w:after="0"/>
            </w:pPr>
            <w:r w:rsidRPr="00A93246">
              <w:rPr>
                <w:rFonts w:cstheme="minorBidi"/>
                <w:color w:val="000000"/>
                <w:sz w:val="18"/>
                <w:szCs w:val="22"/>
              </w:rPr>
              <w:t>Training Assistant</w:t>
            </w:r>
          </w:p>
        </w:tc>
      </w:tr>
      <w:tr w:rsidR="00B66FC3" w:rsidRPr="00A93246" w14:paraId="3390156B" w14:textId="503DD2FF" w:rsidTr="00F56C04">
        <w:trPr>
          <w:trHeight w:val="280"/>
        </w:trPr>
        <w:tc>
          <w:tcPr>
            <w:tcW w:w="1625" w:type="dxa"/>
            <w:shd w:val="clear" w:color="auto" w:fill="auto"/>
            <w:noWrap/>
            <w:vAlign w:val="bottom"/>
          </w:tcPr>
          <w:p w14:paraId="4B0A0DE5"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Roline Guila</w:t>
            </w:r>
          </w:p>
        </w:tc>
        <w:tc>
          <w:tcPr>
            <w:tcW w:w="2066" w:type="dxa"/>
            <w:shd w:val="clear" w:color="auto" w:fill="auto"/>
            <w:noWrap/>
            <w:vAlign w:val="bottom"/>
          </w:tcPr>
          <w:p w14:paraId="5BC3EE85"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Administration</w:t>
            </w:r>
          </w:p>
        </w:tc>
        <w:tc>
          <w:tcPr>
            <w:tcW w:w="709" w:type="dxa"/>
          </w:tcPr>
          <w:p w14:paraId="07CCEEBF" w14:textId="77777777" w:rsidR="00B66FC3" w:rsidRPr="00A93246" w:rsidRDefault="00B66FC3">
            <w:pPr>
              <w:spacing w:after="0"/>
              <w:rPr>
                <w:rFonts w:cstheme="minorBidi"/>
                <w:color w:val="000000"/>
                <w:sz w:val="18"/>
                <w:szCs w:val="22"/>
              </w:rPr>
            </w:pPr>
          </w:p>
        </w:tc>
        <w:tc>
          <w:tcPr>
            <w:tcW w:w="1864" w:type="dxa"/>
            <w:shd w:val="clear" w:color="auto" w:fill="auto"/>
            <w:vAlign w:val="center"/>
          </w:tcPr>
          <w:p w14:paraId="6ED4505C" w14:textId="3A707889" w:rsidR="00B66FC3" w:rsidRPr="00A93246" w:rsidRDefault="00B66FC3" w:rsidP="00B66FC3">
            <w:pPr>
              <w:spacing w:after="0"/>
            </w:pPr>
            <w:r w:rsidRPr="00A93246">
              <w:rPr>
                <w:rFonts w:cstheme="minorBidi"/>
                <w:color w:val="000000"/>
                <w:sz w:val="18"/>
                <w:szCs w:val="22"/>
              </w:rPr>
              <w:t>Goimel Soalo</w:t>
            </w:r>
          </w:p>
        </w:tc>
        <w:tc>
          <w:tcPr>
            <w:tcW w:w="1958" w:type="dxa"/>
            <w:shd w:val="clear" w:color="auto" w:fill="auto"/>
            <w:vAlign w:val="center"/>
          </w:tcPr>
          <w:p w14:paraId="621BBD73" w14:textId="7454E47A" w:rsidR="00B66FC3" w:rsidRPr="00A93246" w:rsidRDefault="00B66FC3" w:rsidP="00B66FC3">
            <w:pPr>
              <w:spacing w:after="0"/>
            </w:pPr>
            <w:r w:rsidRPr="00A93246">
              <w:rPr>
                <w:rFonts w:cstheme="minorBidi"/>
                <w:color w:val="000000"/>
                <w:sz w:val="18"/>
                <w:szCs w:val="22"/>
              </w:rPr>
              <w:t>Tutor</w:t>
            </w:r>
          </w:p>
        </w:tc>
      </w:tr>
      <w:tr w:rsidR="00B66FC3" w:rsidRPr="00A93246" w14:paraId="5A97F263" w14:textId="77CE195F" w:rsidTr="00F56C04">
        <w:trPr>
          <w:trHeight w:val="280"/>
        </w:trPr>
        <w:tc>
          <w:tcPr>
            <w:tcW w:w="1625" w:type="dxa"/>
            <w:shd w:val="clear" w:color="auto" w:fill="auto"/>
            <w:noWrap/>
            <w:vAlign w:val="bottom"/>
          </w:tcPr>
          <w:p w14:paraId="399267EA"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Ronic Joe</w:t>
            </w:r>
          </w:p>
        </w:tc>
        <w:tc>
          <w:tcPr>
            <w:tcW w:w="2066" w:type="dxa"/>
            <w:shd w:val="clear" w:color="auto" w:fill="auto"/>
            <w:noWrap/>
            <w:vAlign w:val="bottom"/>
          </w:tcPr>
          <w:p w14:paraId="40A93EC5"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Administration</w:t>
            </w:r>
          </w:p>
        </w:tc>
        <w:tc>
          <w:tcPr>
            <w:tcW w:w="709" w:type="dxa"/>
          </w:tcPr>
          <w:p w14:paraId="1B8EBA37" w14:textId="77777777" w:rsidR="00B66FC3" w:rsidRPr="00A93246" w:rsidRDefault="00B66FC3">
            <w:pPr>
              <w:spacing w:after="0"/>
              <w:rPr>
                <w:rFonts w:cstheme="minorBidi"/>
                <w:color w:val="000000"/>
                <w:sz w:val="18"/>
                <w:szCs w:val="22"/>
              </w:rPr>
            </w:pPr>
          </w:p>
        </w:tc>
        <w:tc>
          <w:tcPr>
            <w:tcW w:w="1864" w:type="dxa"/>
            <w:shd w:val="clear" w:color="auto" w:fill="auto"/>
            <w:vAlign w:val="center"/>
          </w:tcPr>
          <w:p w14:paraId="38B057DC" w14:textId="5BEFDA18" w:rsidR="00B66FC3" w:rsidRPr="00A93246" w:rsidRDefault="00B66FC3" w:rsidP="00B66FC3">
            <w:pPr>
              <w:spacing w:after="0"/>
            </w:pPr>
            <w:r w:rsidRPr="00A93246">
              <w:rPr>
                <w:rFonts w:cstheme="minorBidi"/>
                <w:color w:val="000000"/>
                <w:sz w:val="18"/>
                <w:szCs w:val="22"/>
              </w:rPr>
              <w:t>Marie Shem</w:t>
            </w:r>
          </w:p>
        </w:tc>
        <w:tc>
          <w:tcPr>
            <w:tcW w:w="1958" w:type="dxa"/>
            <w:shd w:val="clear" w:color="auto" w:fill="auto"/>
            <w:vAlign w:val="center"/>
          </w:tcPr>
          <w:p w14:paraId="6027609F" w14:textId="1C02E6B2" w:rsidR="00B66FC3" w:rsidRPr="00A93246" w:rsidRDefault="00B66FC3" w:rsidP="00B66FC3">
            <w:pPr>
              <w:spacing w:after="0"/>
            </w:pPr>
            <w:r w:rsidRPr="00A93246">
              <w:rPr>
                <w:rFonts w:cstheme="minorBidi"/>
                <w:color w:val="000000"/>
                <w:sz w:val="18"/>
                <w:szCs w:val="22"/>
              </w:rPr>
              <w:t>Tutor</w:t>
            </w:r>
          </w:p>
        </w:tc>
      </w:tr>
      <w:tr w:rsidR="00B66FC3" w:rsidRPr="00A93246" w14:paraId="48A8400A" w14:textId="3658F290" w:rsidTr="00F56C04">
        <w:trPr>
          <w:trHeight w:val="280"/>
        </w:trPr>
        <w:tc>
          <w:tcPr>
            <w:tcW w:w="1625" w:type="dxa"/>
            <w:shd w:val="clear" w:color="auto" w:fill="auto"/>
            <w:noWrap/>
            <w:vAlign w:val="bottom"/>
          </w:tcPr>
          <w:p w14:paraId="123A9636"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Viviane Lalier</w:t>
            </w:r>
          </w:p>
        </w:tc>
        <w:tc>
          <w:tcPr>
            <w:tcW w:w="2066" w:type="dxa"/>
            <w:shd w:val="clear" w:color="auto" w:fill="auto"/>
            <w:noWrap/>
            <w:vAlign w:val="bottom"/>
          </w:tcPr>
          <w:p w14:paraId="6CA14BB7"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Administration</w:t>
            </w:r>
          </w:p>
        </w:tc>
        <w:tc>
          <w:tcPr>
            <w:tcW w:w="709" w:type="dxa"/>
          </w:tcPr>
          <w:p w14:paraId="577FDE8D" w14:textId="77777777" w:rsidR="00B66FC3" w:rsidRPr="00A93246" w:rsidRDefault="00B66FC3">
            <w:pPr>
              <w:spacing w:after="0"/>
              <w:rPr>
                <w:rFonts w:cstheme="minorBidi"/>
                <w:color w:val="000000"/>
                <w:sz w:val="18"/>
                <w:szCs w:val="22"/>
              </w:rPr>
            </w:pPr>
          </w:p>
        </w:tc>
        <w:tc>
          <w:tcPr>
            <w:tcW w:w="1864" w:type="dxa"/>
            <w:shd w:val="clear" w:color="auto" w:fill="auto"/>
            <w:vAlign w:val="center"/>
          </w:tcPr>
          <w:p w14:paraId="0D5E4520" w14:textId="4D8A8E3F" w:rsidR="00B66FC3" w:rsidRPr="00A93246" w:rsidRDefault="00B66FC3" w:rsidP="00B66FC3">
            <w:pPr>
              <w:spacing w:after="0"/>
            </w:pPr>
            <w:r w:rsidRPr="00A93246">
              <w:rPr>
                <w:rFonts w:cstheme="minorBidi"/>
                <w:color w:val="000000"/>
                <w:sz w:val="18"/>
                <w:szCs w:val="22"/>
              </w:rPr>
              <w:t>Vanessa Dick</w:t>
            </w:r>
          </w:p>
        </w:tc>
        <w:tc>
          <w:tcPr>
            <w:tcW w:w="1958" w:type="dxa"/>
            <w:shd w:val="clear" w:color="auto" w:fill="auto"/>
            <w:vAlign w:val="center"/>
          </w:tcPr>
          <w:p w14:paraId="748E82B0" w14:textId="0450D8F0" w:rsidR="00B66FC3" w:rsidRPr="00A93246" w:rsidRDefault="00B66FC3" w:rsidP="00B66FC3">
            <w:pPr>
              <w:spacing w:after="0"/>
            </w:pPr>
            <w:r w:rsidRPr="00A93246">
              <w:rPr>
                <w:rFonts w:cstheme="minorBidi"/>
                <w:color w:val="000000"/>
                <w:sz w:val="18"/>
                <w:szCs w:val="22"/>
              </w:rPr>
              <w:t>Tutor</w:t>
            </w:r>
          </w:p>
        </w:tc>
      </w:tr>
      <w:tr w:rsidR="00B66FC3" w:rsidRPr="00A93246" w14:paraId="576ED7C5" w14:textId="5F89B4FE" w:rsidTr="00F56C04">
        <w:trPr>
          <w:gridAfter w:val="2"/>
          <w:wAfter w:w="3822" w:type="dxa"/>
          <w:trHeight w:val="280"/>
        </w:trPr>
        <w:tc>
          <w:tcPr>
            <w:tcW w:w="1625" w:type="dxa"/>
            <w:shd w:val="clear" w:color="auto" w:fill="auto"/>
            <w:noWrap/>
            <w:vAlign w:val="bottom"/>
          </w:tcPr>
          <w:p w14:paraId="79AD9619"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Kath Gray</w:t>
            </w:r>
          </w:p>
        </w:tc>
        <w:tc>
          <w:tcPr>
            <w:tcW w:w="2066" w:type="dxa"/>
            <w:shd w:val="clear" w:color="auto" w:fill="auto"/>
            <w:noWrap/>
            <w:vAlign w:val="bottom"/>
          </w:tcPr>
          <w:p w14:paraId="13642E74"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Management</w:t>
            </w:r>
          </w:p>
        </w:tc>
        <w:tc>
          <w:tcPr>
            <w:tcW w:w="709" w:type="dxa"/>
          </w:tcPr>
          <w:p w14:paraId="40F15215" w14:textId="77777777" w:rsidR="00B66FC3" w:rsidRPr="00A93246" w:rsidRDefault="00B66FC3" w:rsidP="005F77A1">
            <w:pPr>
              <w:spacing w:before="20" w:after="20"/>
              <w:rPr>
                <w:rFonts w:cstheme="minorBidi"/>
                <w:color w:val="000000"/>
                <w:sz w:val="18"/>
                <w:szCs w:val="22"/>
              </w:rPr>
            </w:pPr>
          </w:p>
        </w:tc>
      </w:tr>
      <w:tr w:rsidR="00B66FC3" w:rsidRPr="00A93246" w14:paraId="5302AFA8" w14:textId="04E6D95B" w:rsidTr="00F56C04">
        <w:trPr>
          <w:gridAfter w:val="2"/>
          <w:wAfter w:w="3822" w:type="dxa"/>
          <w:trHeight w:val="280"/>
        </w:trPr>
        <w:tc>
          <w:tcPr>
            <w:tcW w:w="1625" w:type="dxa"/>
            <w:shd w:val="clear" w:color="auto" w:fill="auto"/>
            <w:noWrap/>
            <w:vAlign w:val="bottom"/>
          </w:tcPr>
          <w:p w14:paraId="52587383"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Annie Dares</w:t>
            </w:r>
          </w:p>
        </w:tc>
        <w:tc>
          <w:tcPr>
            <w:tcW w:w="2066" w:type="dxa"/>
            <w:shd w:val="clear" w:color="auto" w:fill="auto"/>
            <w:noWrap/>
            <w:vAlign w:val="bottom"/>
          </w:tcPr>
          <w:p w14:paraId="2654455A"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Trainer</w:t>
            </w:r>
          </w:p>
        </w:tc>
        <w:tc>
          <w:tcPr>
            <w:tcW w:w="709" w:type="dxa"/>
          </w:tcPr>
          <w:p w14:paraId="272D36DA" w14:textId="77777777" w:rsidR="00B66FC3" w:rsidRPr="00A93246" w:rsidRDefault="00B66FC3" w:rsidP="005F77A1">
            <w:pPr>
              <w:spacing w:before="20" w:after="20"/>
              <w:rPr>
                <w:rFonts w:cstheme="minorBidi"/>
                <w:color w:val="000000"/>
                <w:sz w:val="18"/>
                <w:szCs w:val="22"/>
              </w:rPr>
            </w:pPr>
          </w:p>
        </w:tc>
      </w:tr>
      <w:tr w:rsidR="00B66FC3" w:rsidRPr="00A93246" w14:paraId="417A5DB8" w14:textId="0C9E04EB" w:rsidTr="00F56C04">
        <w:trPr>
          <w:gridAfter w:val="2"/>
          <w:wAfter w:w="3822" w:type="dxa"/>
          <w:trHeight w:val="280"/>
        </w:trPr>
        <w:tc>
          <w:tcPr>
            <w:tcW w:w="1625" w:type="dxa"/>
            <w:shd w:val="clear" w:color="auto" w:fill="auto"/>
            <w:noWrap/>
            <w:vAlign w:val="bottom"/>
          </w:tcPr>
          <w:p w14:paraId="29199BE5"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Esther Sope</w:t>
            </w:r>
          </w:p>
        </w:tc>
        <w:tc>
          <w:tcPr>
            <w:tcW w:w="2066" w:type="dxa"/>
            <w:shd w:val="clear" w:color="auto" w:fill="auto"/>
            <w:noWrap/>
            <w:vAlign w:val="bottom"/>
          </w:tcPr>
          <w:p w14:paraId="567E6E31"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Trainer</w:t>
            </w:r>
          </w:p>
        </w:tc>
        <w:tc>
          <w:tcPr>
            <w:tcW w:w="709" w:type="dxa"/>
          </w:tcPr>
          <w:p w14:paraId="252F55EF" w14:textId="77777777" w:rsidR="00B66FC3" w:rsidRPr="00A93246" w:rsidRDefault="00B66FC3" w:rsidP="005F77A1">
            <w:pPr>
              <w:spacing w:before="20" w:after="20"/>
              <w:rPr>
                <w:rFonts w:cstheme="minorBidi"/>
                <w:color w:val="000000"/>
                <w:sz w:val="18"/>
                <w:szCs w:val="22"/>
              </w:rPr>
            </w:pPr>
          </w:p>
        </w:tc>
      </w:tr>
      <w:tr w:rsidR="00B66FC3" w:rsidRPr="00A93246" w14:paraId="65FE6F66" w14:textId="24006BE5" w:rsidTr="00F56C04">
        <w:trPr>
          <w:gridAfter w:val="2"/>
          <w:wAfter w:w="3822" w:type="dxa"/>
          <w:trHeight w:val="280"/>
        </w:trPr>
        <w:tc>
          <w:tcPr>
            <w:tcW w:w="1625" w:type="dxa"/>
            <w:shd w:val="clear" w:color="auto" w:fill="auto"/>
            <w:noWrap/>
            <w:vAlign w:val="bottom"/>
          </w:tcPr>
          <w:p w14:paraId="0E6A3AEE"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Kevin Tabi</w:t>
            </w:r>
          </w:p>
        </w:tc>
        <w:tc>
          <w:tcPr>
            <w:tcW w:w="2066" w:type="dxa"/>
            <w:shd w:val="clear" w:color="auto" w:fill="auto"/>
            <w:noWrap/>
            <w:vAlign w:val="bottom"/>
          </w:tcPr>
          <w:p w14:paraId="1C638332"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Trainer</w:t>
            </w:r>
          </w:p>
        </w:tc>
        <w:tc>
          <w:tcPr>
            <w:tcW w:w="709" w:type="dxa"/>
          </w:tcPr>
          <w:p w14:paraId="3F380144" w14:textId="77777777" w:rsidR="00B66FC3" w:rsidRPr="00A93246" w:rsidRDefault="00B66FC3" w:rsidP="005F77A1">
            <w:pPr>
              <w:spacing w:before="20" w:after="20"/>
              <w:rPr>
                <w:rFonts w:cstheme="minorBidi"/>
                <w:color w:val="000000"/>
                <w:sz w:val="18"/>
                <w:szCs w:val="22"/>
              </w:rPr>
            </w:pPr>
          </w:p>
        </w:tc>
      </w:tr>
      <w:tr w:rsidR="00B66FC3" w:rsidRPr="00A93246" w14:paraId="255A33C6" w14:textId="629555B5" w:rsidTr="00F56C04">
        <w:trPr>
          <w:gridAfter w:val="2"/>
          <w:wAfter w:w="3822" w:type="dxa"/>
          <w:trHeight w:val="280"/>
        </w:trPr>
        <w:tc>
          <w:tcPr>
            <w:tcW w:w="1625" w:type="dxa"/>
            <w:tcBorders>
              <w:bottom w:val="single" w:sz="4" w:space="0" w:color="A8D08D" w:themeColor="accent6" w:themeTint="99"/>
            </w:tcBorders>
            <w:shd w:val="clear" w:color="auto" w:fill="auto"/>
            <w:noWrap/>
            <w:vAlign w:val="bottom"/>
          </w:tcPr>
          <w:p w14:paraId="6D04778A"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Marc Warin</w:t>
            </w:r>
          </w:p>
        </w:tc>
        <w:tc>
          <w:tcPr>
            <w:tcW w:w="2066" w:type="dxa"/>
            <w:tcBorders>
              <w:bottom w:val="single" w:sz="4" w:space="0" w:color="A8D08D" w:themeColor="accent6" w:themeTint="99"/>
            </w:tcBorders>
            <w:shd w:val="clear" w:color="auto" w:fill="auto"/>
            <w:noWrap/>
            <w:vAlign w:val="bottom"/>
          </w:tcPr>
          <w:p w14:paraId="5F6AE104"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Trainer</w:t>
            </w:r>
          </w:p>
        </w:tc>
        <w:tc>
          <w:tcPr>
            <w:tcW w:w="709" w:type="dxa"/>
            <w:tcBorders>
              <w:bottom w:val="single" w:sz="4" w:space="0" w:color="A8D08D" w:themeColor="accent6" w:themeTint="99"/>
            </w:tcBorders>
          </w:tcPr>
          <w:p w14:paraId="1605EFF3" w14:textId="77777777" w:rsidR="00B66FC3" w:rsidRPr="00A93246" w:rsidRDefault="00B66FC3" w:rsidP="005F77A1">
            <w:pPr>
              <w:spacing w:before="20" w:after="20"/>
              <w:rPr>
                <w:rFonts w:cstheme="minorBidi"/>
                <w:color w:val="000000"/>
                <w:sz w:val="18"/>
                <w:szCs w:val="22"/>
              </w:rPr>
            </w:pPr>
          </w:p>
        </w:tc>
      </w:tr>
      <w:tr w:rsidR="00B66FC3" w:rsidRPr="00A93246" w14:paraId="1DC66FF4" w14:textId="7CD30608" w:rsidTr="00F56C04">
        <w:trPr>
          <w:gridAfter w:val="2"/>
          <w:wAfter w:w="3822" w:type="dxa"/>
          <w:trHeight w:val="280"/>
        </w:trPr>
        <w:tc>
          <w:tcPr>
            <w:tcW w:w="1625" w:type="dxa"/>
            <w:tcBorders>
              <w:top w:val="single" w:sz="4" w:space="0" w:color="A8D08D" w:themeColor="accent6" w:themeTint="99"/>
              <w:bottom w:val="single" w:sz="4" w:space="0" w:color="A8D08D" w:themeColor="accent6" w:themeTint="99"/>
            </w:tcBorders>
            <w:shd w:val="clear" w:color="auto" w:fill="auto"/>
            <w:noWrap/>
            <w:vAlign w:val="bottom"/>
          </w:tcPr>
          <w:p w14:paraId="108105F4"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Rollyne Liu</w:t>
            </w:r>
          </w:p>
        </w:tc>
        <w:tc>
          <w:tcPr>
            <w:tcW w:w="2066" w:type="dxa"/>
            <w:tcBorders>
              <w:top w:val="single" w:sz="4" w:space="0" w:color="A8D08D" w:themeColor="accent6" w:themeTint="99"/>
              <w:bottom w:val="single" w:sz="4" w:space="0" w:color="A8D08D" w:themeColor="accent6" w:themeTint="99"/>
            </w:tcBorders>
            <w:shd w:val="clear" w:color="auto" w:fill="auto"/>
            <w:noWrap/>
            <w:vAlign w:val="bottom"/>
          </w:tcPr>
          <w:p w14:paraId="40CE1F02" w14:textId="77777777" w:rsidR="00B66FC3" w:rsidRPr="00A93246" w:rsidRDefault="00B66FC3" w:rsidP="005F77A1">
            <w:pPr>
              <w:spacing w:before="20" w:after="20"/>
              <w:rPr>
                <w:rFonts w:cstheme="minorBidi"/>
                <w:color w:val="000000"/>
                <w:sz w:val="18"/>
                <w:szCs w:val="22"/>
              </w:rPr>
            </w:pPr>
            <w:r w:rsidRPr="00A93246">
              <w:rPr>
                <w:rFonts w:cstheme="minorBidi"/>
                <w:color w:val="000000"/>
                <w:sz w:val="18"/>
                <w:szCs w:val="22"/>
              </w:rPr>
              <w:t>Trainer</w:t>
            </w:r>
          </w:p>
        </w:tc>
        <w:tc>
          <w:tcPr>
            <w:tcW w:w="709" w:type="dxa"/>
            <w:tcBorders>
              <w:top w:val="single" w:sz="4" w:space="0" w:color="A8D08D" w:themeColor="accent6" w:themeTint="99"/>
              <w:bottom w:val="single" w:sz="4" w:space="0" w:color="A8D08D" w:themeColor="accent6" w:themeTint="99"/>
            </w:tcBorders>
          </w:tcPr>
          <w:p w14:paraId="469B490E" w14:textId="77777777" w:rsidR="00B66FC3" w:rsidRPr="00A93246" w:rsidRDefault="00B66FC3" w:rsidP="005F77A1">
            <w:pPr>
              <w:spacing w:before="20" w:after="20"/>
              <w:rPr>
                <w:rFonts w:cstheme="minorBidi"/>
                <w:color w:val="000000"/>
                <w:sz w:val="18"/>
                <w:szCs w:val="22"/>
              </w:rPr>
            </w:pPr>
          </w:p>
        </w:tc>
      </w:tr>
    </w:tbl>
    <w:p w14:paraId="61D053A2" w14:textId="77777777" w:rsidR="008F00FD" w:rsidRDefault="008F00FD" w:rsidP="008F00FD"/>
    <w:p w14:paraId="102547D8" w14:textId="77777777" w:rsidR="008F00FD" w:rsidRPr="00A93246" w:rsidRDefault="008F00FD" w:rsidP="00181926">
      <w:pPr>
        <w:pStyle w:val="Header"/>
      </w:pPr>
      <w:r w:rsidRPr="00A93246">
        <w:t>Vanuatu, other organisations</w:t>
      </w:r>
    </w:p>
    <w:tbl>
      <w:tblPr>
        <w:tblW w:w="8222" w:type="dxa"/>
        <w:tblInd w:w="103" w:type="dxa"/>
        <w:tblBorders>
          <w:insideH w:val="single" w:sz="4" w:space="0" w:color="A8D08D" w:themeColor="accent6" w:themeTint="99"/>
          <w:insideV w:val="single" w:sz="4" w:space="0" w:color="A8D08D" w:themeColor="accent6" w:themeTint="99"/>
        </w:tblBorders>
        <w:tblLook w:val="0000" w:firstRow="0" w:lastRow="0" w:firstColumn="0" w:lastColumn="0" w:noHBand="0" w:noVBand="0"/>
      </w:tblPr>
      <w:tblGrid>
        <w:gridCol w:w="2183"/>
        <w:gridCol w:w="3719"/>
        <w:gridCol w:w="2603"/>
      </w:tblGrid>
      <w:tr w:rsidR="008F00FD" w:rsidRPr="00182396" w14:paraId="427DC767" w14:textId="77777777" w:rsidTr="00F56C04">
        <w:trPr>
          <w:trHeight w:val="280"/>
        </w:trPr>
        <w:tc>
          <w:tcPr>
            <w:tcW w:w="2183" w:type="dxa"/>
            <w:shd w:val="clear" w:color="auto" w:fill="C5E0B3" w:themeFill="accent6" w:themeFillTint="66"/>
            <w:noWrap/>
            <w:vAlign w:val="bottom"/>
          </w:tcPr>
          <w:p w14:paraId="0141E2B8" w14:textId="77777777" w:rsidR="008F00FD" w:rsidRPr="00182396" w:rsidRDefault="008F00FD" w:rsidP="005F77A1">
            <w:pPr>
              <w:spacing w:before="20" w:after="20"/>
              <w:rPr>
                <w:rFonts w:cstheme="minorBidi"/>
                <w:b/>
                <w:color w:val="000000"/>
                <w:sz w:val="18"/>
                <w:szCs w:val="22"/>
              </w:rPr>
            </w:pPr>
            <w:r w:rsidRPr="00182396">
              <w:rPr>
                <w:rFonts w:cstheme="minorBidi"/>
                <w:b/>
                <w:color w:val="000000"/>
                <w:sz w:val="18"/>
                <w:szCs w:val="22"/>
              </w:rPr>
              <w:t>Name</w:t>
            </w:r>
          </w:p>
        </w:tc>
        <w:tc>
          <w:tcPr>
            <w:tcW w:w="3719" w:type="dxa"/>
            <w:shd w:val="clear" w:color="auto" w:fill="C5E0B3" w:themeFill="accent6" w:themeFillTint="66"/>
            <w:noWrap/>
            <w:vAlign w:val="bottom"/>
          </w:tcPr>
          <w:p w14:paraId="57A357A0" w14:textId="77777777" w:rsidR="008F00FD" w:rsidRPr="00182396" w:rsidRDefault="008F00FD" w:rsidP="005F77A1">
            <w:pPr>
              <w:spacing w:before="20" w:after="20"/>
              <w:rPr>
                <w:rFonts w:cstheme="minorBidi"/>
                <w:b/>
                <w:color w:val="000000"/>
                <w:sz w:val="18"/>
                <w:szCs w:val="22"/>
              </w:rPr>
            </w:pPr>
            <w:r w:rsidRPr="00182396">
              <w:rPr>
                <w:rFonts w:cstheme="minorBidi"/>
                <w:b/>
                <w:color w:val="000000"/>
                <w:sz w:val="18"/>
                <w:szCs w:val="22"/>
              </w:rPr>
              <w:t>Organisation</w:t>
            </w:r>
          </w:p>
        </w:tc>
        <w:tc>
          <w:tcPr>
            <w:tcW w:w="2603" w:type="dxa"/>
            <w:shd w:val="clear" w:color="auto" w:fill="C5E0B3" w:themeFill="accent6" w:themeFillTint="66"/>
            <w:noWrap/>
            <w:vAlign w:val="bottom"/>
          </w:tcPr>
          <w:p w14:paraId="30658A77" w14:textId="77777777" w:rsidR="008F00FD" w:rsidRPr="00182396" w:rsidRDefault="008F00FD" w:rsidP="00463C1D">
            <w:pPr>
              <w:spacing w:before="20" w:after="20"/>
              <w:rPr>
                <w:rFonts w:cstheme="minorBidi"/>
                <w:b/>
                <w:color w:val="000000"/>
                <w:sz w:val="18"/>
                <w:szCs w:val="22"/>
              </w:rPr>
            </w:pPr>
            <w:r w:rsidRPr="00182396">
              <w:rPr>
                <w:rFonts w:cstheme="minorBidi"/>
                <w:b/>
                <w:color w:val="000000"/>
                <w:sz w:val="18"/>
                <w:szCs w:val="22"/>
              </w:rPr>
              <w:t xml:space="preserve">Type of </w:t>
            </w:r>
            <w:r w:rsidR="00463C1D">
              <w:rPr>
                <w:rFonts w:cstheme="minorBidi"/>
                <w:b/>
                <w:color w:val="000000"/>
                <w:sz w:val="18"/>
                <w:szCs w:val="22"/>
              </w:rPr>
              <w:t>g</w:t>
            </w:r>
            <w:r w:rsidR="00463C1D" w:rsidRPr="00182396">
              <w:rPr>
                <w:rFonts w:cstheme="minorBidi"/>
                <w:b/>
                <w:color w:val="000000"/>
                <w:sz w:val="18"/>
                <w:szCs w:val="22"/>
              </w:rPr>
              <w:t>roup</w:t>
            </w:r>
          </w:p>
        </w:tc>
      </w:tr>
      <w:tr w:rsidR="008F00FD" w:rsidRPr="00F330D8" w14:paraId="0C5DB5CC" w14:textId="77777777" w:rsidTr="00F56C04">
        <w:trPr>
          <w:trHeight w:val="280"/>
        </w:trPr>
        <w:tc>
          <w:tcPr>
            <w:tcW w:w="2183" w:type="dxa"/>
            <w:shd w:val="clear" w:color="auto" w:fill="auto"/>
            <w:noWrap/>
            <w:vAlign w:val="bottom"/>
          </w:tcPr>
          <w:p w14:paraId="6E57A1E4"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David Momlicivic</w:t>
            </w:r>
          </w:p>
        </w:tc>
        <w:tc>
          <w:tcPr>
            <w:tcW w:w="3719" w:type="dxa"/>
            <w:shd w:val="clear" w:color="auto" w:fill="auto"/>
            <w:noWrap/>
            <w:vAlign w:val="bottom"/>
          </w:tcPr>
          <w:p w14:paraId="32EAA21D"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Australian High Commission</w:t>
            </w:r>
          </w:p>
        </w:tc>
        <w:tc>
          <w:tcPr>
            <w:tcW w:w="2603" w:type="dxa"/>
            <w:shd w:val="clear" w:color="auto" w:fill="auto"/>
            <w:noWrap/>
            <w:vAlign w:val="bottom"/>
          </w:tcPr>
          <w:p w14:paraId="6E59F6CB"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Development Partner</w:t>
            </w:r>
          </w:p>
        </w:tc>
      </w:tr>
      <w:tr w:rsidR="008F00FD" w:rsidRPr="00F330D8" w14:paraId="049D5C3D" w14:textId="77777777" w:rsidTr="00F56C04">
        <w:trPr>
          <w:trHeight w:val="280"/>
        </w:trPr>
        <w:tc>
          <w:tcPr>
            <w:tcW w:w="2183" w:type="dxa"/>
            <w:shd w:val="clear" w:color="auto" w:fill="auto"/>
            <w:noWrap/>
            <w:vAlign w:val="bottom"/>
          </w:tcPr>
          <w:p w14:paraId="021403E4"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Matt Harding</w:t>
            </w:r>
          </w:p>
        </w:tc>
        <w:tc>
          <w:tcPr>
            <w:tcW w:w="3719" w:type="dxa"/>
            <w:shd w:val="clear" w:color="auto" w:fill="auto"/>
            <w:noWrap/>
            <w:vAlign w:val="bottom"/>
          </w:tcPr>
          <w:p w14:paraId="54E5FED2"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Australian High Commission</w:t>
            </w:r>
          </w:p>
        </w:tc>
        <w:tc>
          <w:tcPr>
            <w:tcW w:w="2603" w:type="dxa"/>
            <w:shd w:val="clear" w:color="auto" w:fill="auto"/>
            <w:noWrap/>
            <w:vAlign w:val="bottom"/>
          </w:tcPr>
          <w:p w14:paraId="166D9297"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Development Partner</w:t>
            </w:r>
          </w:p>
        </w:tc>
      </w:tr>
      <w:tr w:rsidR="008F00FD" w:rsidRPr="00F330D8" w14:paraId="694AF6C2" w14:textId="77777777" w:rsidTr="00F56C04">
        <w:trPr>
          <w:trHeight w:val="280"/>
        </w:trPr>
        <w:tc>
          <w:tcPr>
            <w:tcW w:w="2183" w:type="dxa"/>
            <w:shd w:val="clear" w:color="auto" w:fill="auto"/>
            <w:noWrap/>
            <w:vAlign w:val="bottom"/>
          </w:tcPr>
          <w:p w14:paraId="23E8382D"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Yvette Andrews</w:t>
            </w:r>
          </w:p>
        </w:tc>
        <w:tc>
          <w:tcPr>
            <w:tcW w:w="3719" w:type="dxa"/>
            <w:shd w:val="clear" w:color="auto" w:fill="auto"/>
            <w:noWrap/>
            <w:vAlign w:val="bottom"/>
          </w:tcPr>
          <w:p w14:paraId="1EBFC9AD"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Australian High Commission</w:t>
            </w:r>
          </w:p>
        </w:tc>
        <w:tc>
          <w:tcPr>
            <w:tcW w:w="2603" w:type="dxa"/>
            <w:shd w:val="clear" w:color="auto" w:fill="auto"/>
            <w:noWrap/>
            <w:vAlign w:val="bottom"/>
          </w:tcPr>
          <w:p w14:paraId="3EA8B595"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Development Partner</w:t>
            </w:r>
          </w:p>
        </w:tc>
      </w:tr>
      <w:tr w:rsidR="008F00FD" w:rsidRPr="00F330D8" w14:paraId="09018D6B" w14:textId="77777777" w:rsidTr="00F56C04">
        <w:trPr>
          <w:trHeight w:val="280"/>
        </w:trPr>
        <w:tc>
          <w:tcPr>
            <w:tcW w:w="2183" w:type="dxa"/>
            <w:shd w:val="clear" w:color="auto" w:fill="auto"/>
            <w:noWrap/>
            <w:vAlign w:val="bottom"/>
          </w:tcPr>
          <w:p w14:paraId="7BE96450"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Fremden Shadrack</w:t>
            </w:r>
          </w:p>
        </w:tc>
        <w:tc>
          <w:tcPr>
            <w:tcW w:w="3719" w:type="dxa"/>
            <w:shd w:val="clear" w:color="auto" w:fill="auto"/>
            <w:noWrap/>
            <w:vAlign w:val="bottom"/>
          </w:tcPr>
          <w:p w14:paraId="43BA4A39"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TVETSSP (DFAT program)</w:t>
            </w:r>
          </w:p>
        </w:tc>
        <w:tc>
          <w:tcPr>
            <w:tcW w:w="2603" w:type="dxa"/>
            <w:shd w:val="clear" w:color="auto" w:fill="auto"/>
            <w:noWrap/>
            <w:vAlign w:val="bottom"/>
          </w:tcPr>
          <w:p w14:paraId="5CBE3B9B"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Development Partner</w:t>
            </w:r>
          </w:p>
        </w:tc>
      </w:tr>
      <w:tr w:rsidR="008F00FD" w:rsidRPr="00F330D8" w14:paraId="2A27EC46" w14:textId="77777777" w:rsidTr="00F56C04">
        <w:trPr>
          <w:trHeight w:val="280"/>
        </w:trPr>
        <w:tc>
          <w:tcPr>
            <w:tcW w:w="2183" w:type="dxa"/>
            <w:shd w:val="clear" w:color="auto" w:fill="auto"/>
            <w:noWrap/>
            <w:vAlign w:val="bottom"/>
          </w:tcPr>
          <w:p w14:paraId="1B9AE8C3"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Janet Samuel</w:t>
            </w:r>
          </w:p>
        </w:tc>
        <w:tc>
          <w:tcPr>
            <w:tcW w:w="3719" w:type="dxa"/>
            <w:shd w:val="clear" w:color="auto" w:fill="auto"/>
            <w:noWrap/>
            <w:vAlign w:val="bottom"/>
          </w:tcPr>
          <w:p w14:paraId="20E03EBC"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Department of Tourism</w:t>
            </w:r>
          </w:p>
        </w:tc>
        <w:tc>
          <w:tcPr>
            <w:tcW w:w="2603" w:type="dxa"/>
            <w:shd w:val="clear" w:color="auto" w:fill="auto"/>
            <w:noWrap/>
            <w:vAlign w:val="bottom"/>
          </w:tcPr>
          <w:p w14:paraId="55D3671F"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Government of Vanuatu</w:t>
            </w:r>
          </w:p>
        </w:tc>
      </w:tr>
      <w:tr w:rsidR="008F00FD" w:rsidRPr="00F330D8" w14:paraId="1A9349A1" w14:textId="77777777" w:rsidTr="00F56C04">
        <w:trPr>
          <w:trHeight w:val="280"/>
        </w:trPr>
        <w:tc>
          <w:tcPr>
            <w:tcW w:w="2183" w:type="dxa"/>
            <w:shd w:val="clear" w:color="auto" w:fill="auto"/>
            <w:noWrap/>
            <w:vAlign w:val="bottom"/>
          </w:tcPr>
          <w:p w14:paraId="58A0155E"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Jennifer James</w:t>
            </w:r>
          </w:p>
        </w:tc>
        <w:tc>
          <w:tcPr>
            <w:tcW w:w="3719" w:type="dxa"/>
            <w:shd w:val="clear" w:color="auto" w:fill="auto"/>
            <w:noWrap/>
            <w:vAlign w:val="bottom"/>
          </w:tcPr>
          <w:p w14:paraId="10608C1F"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Ministry of Education and Training</w:t>
            </w:r>
          </w:p>
        </w:tc>
        <w:tc>
          <w:tcPr>
            <w:tcW w:w="2603" w:type="dxa"/>
            <w:shd w:val="clear" w:color="auto" w:fill="auto"/>
            <w:noWrap/>
            <w:vAlign w:val="bottom"/>
          </w:tcPr>
          <w:p w14:paraId="62EC33FD"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Government of Vanuatu</w:t>
            </w:r>
          </w:p>
        </w:tc>
      </w:tr>
      <w:tr w:rsidR="008F00FD" w:rsidRPr="00F330D8" w14:paraId="6A3AF6E9" w14:textId="77777777" w:rsidTr="00F56C04">
        <w:trPr>
          <w:trHeight w:val="280"/>
        </w:trPr>
        <w:tc>
          <w:tcPr>
            <w:tcW w:w="2183" w:type="dxa"/>
            <w:shd w:val="clear" w:color="auto" w:fill="auto"/>
            <w:noWrap/>
            <w:vAlign w:val="bottom"/>
          </w:tcPr>
          <w:p w14:paraId="1F7C5B5D"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Roy Obed</w:t>
            </w:r>
          </w:p>
        </w:tc>
        <w:tc>
          <w:tcPr>
            <w:tcW w:w="3719" w:type="dxa"/>
            <w:shd w:val="clear" w:color="auto" w:fill="auto"/>
            <w:noWrap/>
            <w:vAlign w:val="bottom"/>
          </w:tcPr>
          <w:p w14:paraId="00C9C945"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Ministry of Education and Training</w:t>
            </w:r>
          </w:p>
        </w:tc>
        <w:tc>
          <w:tcPr>
            <w:tcW w:w="2603" w:type="dxa"/>
            <w:shd w:val="clear" w:color="auto" w:fill="auto"/>
            <w:noWrap/>
            <w:vAlign w:val="bottom"/>
          </w:tcPr>
          <w:p w14:paraId="583AFE4F"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Government of Vanuatu</w:t>
            </w:r>
          </w:p>
        </w:tc>
      </w:tr>
      <w:tr w:rsidR="008F00FD" w:rsidRPr="00F330D8" w14:paraId="33AC1F1A" w14:textId="77777777" w:rsidTr="00F56C04">
        <w:trPr>
          <w:trHeight w:val="280"/>
        </w:trPr>
        <w:tc>
          <w:tcPr>
            <w:tcW w:w="2183" w:type="dxa"/>
            <w:shd w:val="clear" w:color="auto" w:fill="auto"/>
            <w:noWrap/>
            <w:vAlign w:val="bottom"/>
          </w:tcPr>
          <w:p w14:paraId="731F489F"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Esron Vano</w:t>
            </w:r>
          </w:p>
        </w:tc>
        <w:tc>
          <w:tcPr>
            <w:tcW w:w="3719" w:type="dxa"/>
            <w:shd w:val="clear" w:color="auto" w:fill="auto"/>
            <w:noWrap/>
            <w:vAlign w:val="bottom"/>
          </w:tcPr>
          <w:p w14:paraId="1231DEE5"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Department of Correctional services</w:t>
            </w:r>
          </w:p>
        </w:tc>
        <w:tc>
          <w:tcPr>
            <w:tcW w:w="2603" w:type="dxa"/>
            <w:shd w:val="clear" w:color="auto" w:fill="auto"/>
            <w:noWrap/>
            <w:vAlign w:val="bottom"/>
          </w:tcPr>
          <w:p w14:paraId="1E40B6A8"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07B35A59" w14:textId="77777777" w:rsidTr="00F56C04">
        <w:trPr>
          <w:trHeight w:val="280"/>
        </w:trPr>
        <w:tc>
          <w:tcPr>
            <w:tcW w:w="2183" w:type="dxa"/>
            <w:shd w:val="clear" w:color="auto" w:fill="auto"/>
            <w:noWrap/>
            <w:vAlign w:val="bottom"/>
          </w:tcPr>
          <w:p w14:paraId="6D31FAA4"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Dr Andrina Thomas</w:t>
            </w:r>
          </w:p>
        </w:tc>
        <w:tc>
          <w:tcPr>
            <w:tcW w:w="3719" w:type="dxa"/>
            <w:shd w:val="clear" w:color="auto" w:fill="auto"/>
            <w:noWrap/>
            <w:vAlign w:val="bottom"/>
          </w:tcPr>
          <w:p w14:paraId="31694962"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Live and Learn</w:t>
            </w:r>
          </w:p>
        </w:tc>
        <w:tc>
          <w:tcPr>
            <w:tcW w:w="2603" w:type="dxa"/>
            <w:shd w:val="clear" w:color="auto" w:fill="auto"/>
            <w:noWrap/>
            <w:vAlign w:val="bottom"/>
          </w:tcPr>
          <w:p w14:paraId="2F310C58"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2AFFFE50" w14:textId="77777777" w:rsidTr="00F56C04">
        <w:trPr>
          <w:trHeight w:val="280"/>
        </w:trPr>
        <w:tc>
          <w:tcPr>
            <w:tcW w:w="2183" w:type="dxa"/>
            <w:shd w:val="clear" w:color="auto" w:fill="auto"/>
            <w:noWrap/>
            <w:vAlign w:val="bottom"/>
          </w:tcPr>
          <w:p w14:paraId="069DBBA9"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Carol Batten</w:t>
            </w:r>
          </w:p>
        </w:tc>
        <w:tc>
          <w:tcPr>
            <w:tcW w:w="3719" w:type="dxa"/>
            <w:shd w:val="clear" w:color="auto" w:fill="auto"/>
            <w:noWrap/>
            <w:vAlign w:val="bottom"/>
          </w:tcPr>
          <w:p w14:paraId="6C350621"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Pikinini Playtime Day Care</w:t>
            </w:r>
          </w:p>
        </w:tc>
        <w:tc>
          <w:tcPr>
            <w:tcW w:w="2603" w:type="dxa"/>
            <w:shd w:val="clear" w:color="auto" w:fill="auto"/>
            <w:noWrap/>
            <w:vAlign w:val="bottom"/>
          </w:tcPr>
          <w:p w14:paraId="4939019F"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10D6F3EA" w14:textId="77777777" w:rsidTr="00F56C04">
        <w:trPr>
          <w:trHeight w:val="280"/>
        </w:trPr>
        <w:tc>
          <w:tcPr>
            <w:tcW w:w="2183" w:type="dxa"/>
            <w:shd w:val="clear" w:color="auto" w:fill="auto"/>
            <w:noWrap/>
            <w:vAlign w:val="bottom"/>
          </w:tcPr>
          <w:p w14:paraId="39CC1CD4"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Elizabeth Emil</w:t>
            </w:r>
          </w:p>
        </w:tc>
        <w:tc>
          <w:tcPr>
            <w:tcW w:w="3719" w:type="dxa"/>
            <w:shd w:val="clear" w:color="auto" w:fill="auto"/>
            <w:noWrap/>
            <w:vAlign w:val="bottom"/>
          </w:tcPr>
          <w:p w14:paraId="667ABBB8"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Save the Children</w:t>
            </w:r>
          </w:p>
        </w:tc>
        <w:tc>
          <w:tcPr>
            <w:tcW w:w="2603" w:type="dxa"/>
            <w:shd w:val="clear" w:color="auto" w:fill="auto"/>
            <w:noWrap/>
            <w:vAlign w:val="bottom"/>
          </w:tcPr>
          <w:p w14:paraId="0D805F5C"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3C0A286F" w14:textId="77777777" w:rsidTr="00F56C04">
        <w:trPr>
          <w:trHeight w:val="280"/>
        </w:trPr>
        <w:tc>
          <w:tcPr>
            <w:tcW w:w="2183" w:type="dxa"/>
            <w:shd w:val="clear" w:color="auto" w:fill="auto"/>
            <w:noWrap/>
            <w:vAlign w:val="bottom"/>
          </w:tcPr>
          <w:p w14:paraId="215800EC"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Christopher Bartlett</w:t>
            </w:r>
          </w:p>
        </w:tc>
        <w:tc>
          <w:tcPr>
            <w:tcW w:w="3719" w:type="dxa"/>
            <w:shd w:val="clear" w:color="auto" w:fill="auto"/>
            <w:noWrap/>
            <w:vAlign w:val="bottom"/>
          </w:tcPr>
          <w:p w14:paraId="482817F4"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SPC GIZ</w:t>
            </w:r>
          </w:p>
        </w:tc>
        <w:tc>
          <w:tcPr>
            <w:tcW w:w="2603" w:type="dxa"/>
            <w:shd w:val="clear" w:color="auto" w:fill="auto"/>
            <w:noWrap/>
            <w:vAlign w:val="bottom"/>
          </w:tcPr>
          <w:p w14:paraId="452BCAA6"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0415044B" w14:textId="77777777" w:rsidTr="00F56C04">
        <w:trPr>
          <w:trHeight w:val="280"/>
        </w:trPr>
        <w:tc>
          <w:tcPr>
            <w:tcW w:w="2183" w:type="dxa"/>
            <w:shd w:val="clear" w:color="auto" w:fill="auto"/>
            <w:noWrap/>
            <w:vAlign w:val="bottom"/>
          </w:tcPr>
          <w:p w14:paraId="6CBDF3E7"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Charlie Johnson</w:t>
            </w:r>
          </w:p>
        </w:tc>
        <w:tc>
          <w:tcPr>
            <w:tcW w:w="3719" w:type="dxa"/>
            <w:shd w:val="clear" w:color="auto" w:fill="auto"/>
            <w:noWrap/>
            <w:vAlign w:val="bottom"/>
          </w:tcPr>
          <w:p w14:paraId="4E42CCFE"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Wan Smol Bag</w:t>
            </w:r>
          </w:p>
        </w:tc>
        <w:tc>
          <w:tcPr>
            <w:tcW w:w="2603" w:type="dxa"/>
            <w:shd w:val="clear" w:color="auto" w:fill="auto"/>
            <w:noWrap/>
            <w:vAlign w:val="bottom"/>
          </w:tcPr>
          <w:p w14:paraId="73BF11A6"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5FEC2971" w14:textId="77777777" w:rsidTr="00F56C04">
        <w:trPr>
          <w:trHeight w:val="280"/>
        </w:trPr>
        <w:tc>
          <w:tcPr>
            <w:tcW w:w="2183" w:type="dxa"/>
            <w:shd w:val="clear" w:color="auto" w:fill="auto"/>
            <w:noWrap/>
            <w:vAlign w:val="bottom"/>
          </w:tcPr>
          <w:p w14:paraId="355275CE"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Shirley Abraham</w:t>
            </w:r>
          </w:p>
        </w:tc>
        <w:tc>
          <w:tcPr>
            <w:tcW w:w="3719" w:type="dxa"/>
            <w:shd w:val="clear" w:color="auto" w:fill="auto"/>
            <w:noWrap/>
            <w:vAlign w:val="bottom"/>
          </w:tcPr>
          <w:p w14:paraId="377E4165"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Youth Challenge</w:t>
            </w:r>
          </w:p>
        </w:tc>
        <w:tc>
          <w:tcPr>
            <w:tcW w:w="2603" w:type="dxa"/>
            <w:shd w:val="clear" w:color="auto" w:fill="auto"/>
            <w:noWrap/>
            <w:vAlign w:val="bottom"/>
          </w:tcPr>
          <w:p w14:paraId="019F8634"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6652EA52" w14:textId="77777777" w:rsidTr="00F56C04">
        <w:trPr>
          <w:trHeight w:val="280"/>
        </w:trPr>
        <w:tc>
          <w:tcPr>
            <w:tcW w:w="2183" w:type="dxa"/>
            <w:shd w:val="clear" w:color="auto" w:fill="auto"/>
            <w:noWrap/>
            <w:vAlign w:val="bottom"/>
          </w:tcPr>
          <w:p w14:paraId="01FEC8DF"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Julia King</w:t>
            </w:r>
          </w:p>
        </w:tc>
        <w:tc>
          <w:tcPr>
            <w:tcW w:w="3719" w:type="dxa"/>
            <w:shd w:val="clear" w:color="auto" w:fill="auto"/>
            <w:noWrap/>
            <w:vAlign w:val="bottom"/>
          </w:tcPr>
          <w:p w14:paraId="266CB269"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Evergreen Tours</w:t>
            </w:r>
          </w:p>
        </w:tc>
        <w:tc>
          <w:tcPr>
            <w:tcW w:w="2603" w:type="dxa"/>
            <w:shd w:val="clear" w:color="auto" w:fill="auto"/>
            <w:noWrap/>
            <w:vAlign w:val="bottom"/>
          </w:tcPr>
          <w:p w14:paraId="33051DBF"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21D21758" w14:textId="77777777" w:rsidTr="00F56C04">
        <w:trPr>
          <w:trHeight w:val="280"/>
        </w:trPr>
        <w:tc>
          <w:tcPr>
            <w:tcW w:w="2183" w:type="dxa"/>
            <w:shd w:val="clear" w:color="auto" w:fill="auto"/>
            <w:noWrap/>
            <w:vAlign w:val="bottom"/>
          </w:tcPr>
          <w:p w14:paraId="15F44600"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Roland Cowles</w:t>
            </w:r>
          </w:p>
        </w:tc>
        <w:tc>
          <w:tcPr>
            <w:tcW w:w="3719" w:type="dxa"/>
            <w:shd w:val="clear" w:color="auto" w:fill="auto"/>
            <w:noWrap/>
            <w:vAlign w:val="bottom"/>
          </w:tcPr>
          <w:p w14:paraId="572E2B4A"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Poppys on the Lagoon</w:t>
            </w:r>
          </w:p>
        </w:tc>
        <w:tc>
          <w:tcPr>
            <w:tcW w:w="2603" w:type="dxa"/>
            <w:shd w:val="clear" w:color="auto" w:fill="auto"/>
            <w:noWrap/>
            <w:vAlign w:val="bottom"/>
          </w:tcPr>
          <w:p w14:paraId="213FA60D"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4287C165" w14:textId="77777777" w:rsidTr="00F56C04">
        <w:trPr>
          <w:trHeight w:val="280"/>
        </w:trPr>
        <w:tc>
          <w:tcPr>
            <w:tcW w:w="2183" w:type="dxa"/>
            <w:shd w:val="clear" w:color="auto" w:fill="auto"/>
            <w:noWrap/>
            <w:vAlign w:val="bottom"/>
          </w:tcPr>
          <w:p w14:paraId="13D63D8C"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Troy Spann</w:t>
            </w:r>
          </w:p>
        </w:tc>
        <w:tc>
          <w:tcPr>
            <w:tcW w:w="3719" w:type="dxa"/>
            <w:shd w:val="clear" w:color="auto" w:fill="auto"/>
            <w:noWrap/>
            <w:vAlign w:val="bottom"/>
          </w:tcPr>
          <w:p w14:paraId="1D03EEA4"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The Edge Vanuatu</w:t>
            </w:r>
          </w:p>
        </w:tc>
        <w:tc>
          <w:tcPr>
            <w:tcW w:w="2603" w:type="dxa"/>
            <w:shd w:val="clear" w:color="auto" w:fill="auto"/>
            <w:noWrap/>
            <w:vAlign w:val="bottom"/>
          </w:tcPr>
          <w:p w14:paraId="3AE6C7B2"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0E121F6D" w14:textId="77777777" w:rsidTr="00F56C04">
        <w:trPr>
          <w:trHeight w:val="280"/>
        </w:trPr>
        <w:tc>
          <w:tcPr>
            <w:tcW w:w="2183" w:type="dxa"/>
            <w:shd w:val="clear" w:color="auto" w:fill="auto"/>
            <w:noWrap/>
            <w:vAlign w:val="bottom"/>
          </w:tcPr>
          <w:p w14:paraId="6D130F56"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Astrid Boulekoune</w:t>
            </w:r>
          </w:p>
        </w:tc>
        <w:tc>
          <w:tcPr>
            <w:tcW w:w="3719" w:type="dxa"/>
            <w:shd w:val="clear" w:color="auto" w:fill="auto"/>
            <w:noWrap/>
            <w:vAlign w:val="bottom"/>
          </w:tcPr>
          <w:p w14:paraId="0F4059AB"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Vanuatu Chamber of Commerce</w:t>
            </w:r>
          </w:p>
        </w:tc>
        <w:tc>
          <w:tcPr>
            <w:tcW w:w="2603" w:type="dxa"/>
            <w:shd w:val="clear" w:color="auto" w:fill="auto"/>
            <w:noWrap/>
            <w:vAlign w:val="bottom"/>
          </w:tcPr>
          <w:p w14:paraId="32BCBFAD"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6DDAE5D5" w14:textId="77777777" w:rsidTr="00F56C04">
        <w:trPr>
          <w:trHeight w:val="280"/>
        </w:trPr>
        <w:tc>
          <w:tcPr>
            <w:tcW w:w="2183" w:type="dxa"/>
            <w:shd w:val="clear" w:color="auto" w:fill="auto"/>
            <w:noWrap/>
            <w:vAlign w:val="bottom"/>
          </w:tcPr>
          <w:p w14:paraId="684C4853"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Captain Nicholson Ben</w:t>
            </w:r>
          </w:p>
        </w:tc>
        <w:tc>
          <w:tcPr>
            <w:tcW w:w="3719" w:type="dxa"/>
            <w:shd w:val="clear" w:color="auto" w:fill="auto"/>
            <w:noWrap/>
            <w:vAlign w:val="bottom"/>
          </w:tcPr>
          <w:p w14:paraId="517F8D0A"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Vanuatu Mobile Force Engineers</w:t>
            </w:r>
          </w:p>
        </w:tc>
        <w:tc>
          <w:tcPr>
            <w:tcW w:w="2603" w:type="dxa"/>
            <w:shd w:val="clear" w:color="auto" w:fill="auto"/>
            <w:noWrap/>
            <w:vAlign w:val="bottom"/>
          </w:tcPr>
          <w:p w14:paraId="2552A043"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4D6302B4" w14:textId="77777777" w:rsidTr="00F56C04">
        <w:trPr>
          <w:trHeight w:val="280"/>
        </w:trPr>
        <w:tc>
          <w:tcPr>
            <w:tcW w:w="2183" w:type="dxa"/>
            <w:tcBorders>
              <w:bottom w:val="single" w:sz="4" w:space="0" w:color="A8D08D" w:themeColor="accent6" w:themeTint="99"/>
            </w:tcBorders>
            <w:shd w:val="clear" w:color="auto" w:fill="auto"/>
            <w:noWrap/>
            <w:vAlign w:val="bottom"/>
          </w:tcPr>
          <w:p w14:paraId="01AFFEC4"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Bernie Caine</w:t>
            </w:r>
          </w:p>
        </w:tc>
        <w:tc>
          <w:tcPr>
            <w:tcW w:w="3719" w:type="dxa"/>
            <w:tcBorders>
              <w:bottom w:val="single" w:sz="4" w:space="0" w:color="A8D08D" w:themeColor="accent6" w:themeTint="99"/>
            </w:tcBorders>
            <w:shd w:val="clear" w:color="auto" w:fill="auto"/>
            <w:noWrap/>
            <w:vAlign w:val="bottom"/>
          </w:tcPr>
          <w:p w14:paraId="57CD4559"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Vila Refrigeration and Air Conditioning</w:t>
            </w:r>
          </w:p>
        </w:tc>
        <w:tc>
          <w:tcPr>
            <w:tcW w:w="2603" w:type="dxa"/>
            <w:tcBorders>
              <w:bottom w:val="single" w:sz="4" w:space="0" w:color="A8D08D" w:themeColor="accent6" w:themeTint="99"/>
            </w:tcBorders>
            <w:shd w:val="clear" w:color="auto" w:fill="auto"/>
            <w:noWrap/>
            <w:vAlign w:val="bottom"/>
          </w:tcPr>
          <w:p w14:paraId="78EA3E3F"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Employer/Industry</w:t>
            </w:r>
          </w:p>
        </w:tc>
      </w:tr>
      <w:tr w:rsidR="008F00FD" w:rsidRPr="00F330D8" w14:paraId="3FE55013" w14:textId="77777777" w:rsidTr="00F56C04">
        <w:trPr>
          <w:trHeight w:val="280"/>
        </w:trPr>
        <w:tc>
          <w:tcPr>
            <w:tcW w:w="2183" w:type="dxa"/>
            <w:tcBorders>
              <w:top w:val="single" w:sz="4" w:space="0" w:color="A8D08D" w:themeColor="accent6" w:themeTint="99"/>
              <w:bottom w:val="single" w:sz="4" w:space="0" w:color="A8D08D" w:themeColor="accent6" w:themeTint="99"/>
            </w:tcBorders>
            <w:shd w:val="clear" w:color="auto" w:fill="auto"/>
            <w:noWrap/>
            <w:vAlign w:val="bottom"/>
          </w:tcPr>
          <w:p w14:paraId="6A6B8B21"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Kalpat Kalbeo</w:t>
            </w:r>
          </w:p>
        </w:tc>
        <w:tc>
          <w:tcPr>
            <w:tcW w:w="3719" w:type="dxa"/>
            <w:tcBorders>
              <w:top w:val="single" w:sz="4" w:space="0" w:color="A8D08D" w:themeColor="accent6" w:themeTint="99"/>
              <w:bottom w:val="single" w:sz="4" w:space="0" w:color="A8D08D" w:themeColor="accent6" w:themeTint="99"/>
            </w:tcBorders>
            <w:shd w:val="clear" w:color="auto" w:fill="auto"/>
            <w:noWrap/>
            <w:vAlign w:val="bottom"/>
          </w:tcPr>
          <w:p w14:paraId="3AC565BA"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Vanuatu Institute of Technology</w:t>
            </w:r>
          </w:p>
        </w:tc>
        <w:tc>
          <w:tcPr>
            <w:tcW w:w="2603" w:type="dxa"/>
            <w:tcBorders>
              <w:top w:val="single" w:sz="4" w:space="0" w:color="A8D08D" w:themeColor="accent6" w:themeTint="99"/>
              <w:bottom w:val="single" w:sz="4" w:space="0" w:color="A8D08D" w:themeColor="accent6" w:themeTint="99"/>
            </w:tcBorders>
            <w:shd w:val="clear" w:color="auto" w:fill="auto"/>
            <w:noWrap/>
            <w:vAlign w:val="bottom"/>
          </w:tcPr>
          <w:p w14:paraId="41DC6A42" w14:textId="77777777" w:rsidR="008F00FD" w:rsidRPr="00F330D8" w:rsidRDefault="008F00FD" w:rsidP="005F77A1">
            <w:pPr>
              <w:spacing w:before="20" w:after="20"/>
              <w:rPr>
                <w:rFonts w:cstheme="minorBidi"/>
                <w:color w:val="000000"/>
                <w:sz w:val="18"/>
                <w:szCs w:val="22"/>
              </w:rPr>
            </w:pPr>
            <w:r w:rsidRPr="00F330D8">
              <w:rPr>
                <w:rFonts w:cstheme="minorBidi"/>
                <w:color w:val="000000"/>
                <w:sz w:val="18"/>
                <w:szCs w:val="22"/>
              </w:rPr>
              <w:t>TVET Institution</w:t>
            </w:r>
          </w:p>
        </w:tc>
      </w:tr>
    </w:tbl>
    <w:p w14:paraId="5B3DCA88" w14:textId="77777777" w:rsidR="008F00FD" w:rsidRPr="000836BF" w:rsidRDefault="008F00FD" w:rsidP="008F00FD"/>
    <w:p w14:paraId="6C8FB73E" w14:textId="77777777" w:rsidR="002050E5" w:rsidRPr="002050E5" w:rsidRDefault="002050E5" w:rsidP="00D524BB">
      <w:pPr>
        <w:pStyle w:val="Heading1"/>
      </w:pPr>
      <w:bookmarkStart w:id="108" w:name="_Toc278447834"/>
      <w:bookmarkStart w:id="109" w:name="_Toc278453307"/>
      <w:r w:rsidRPr="002050E5">
        <w:t>KIRIBATI</w:t>
      </w:r>
      <w:bookmarkEnd w:id="108"/>
      <w:bookmarkEnd w:id="109"/>
    </w:p>
    <w:tbl>
      <w:tblPr>
        <w:tblW w:w="8505" w:type="dxa"/>
        <w:tblInd w:w="103" w:type="dxa"/>
        <w:tblBorders>
          <w:insideH w:val="single" w:sz="4" w:space="0" w:color="A8D08D" w:themeColor="accent6" w:themeTint="99"/>
          <w:insideV w:val="single" w:sz="4" w:space="0" w:color="A8D08D" w:themeColor="accent6" w:themeTint="99"/>
        </w:tblBorders>
        <w:tblLook w:val="0000" w:firstRow="0" w:lastRow="0" w:firstColumn="0" w:lastColumn="0" w:noHBand="0" w:noVBand="0"/>
      </w:tblPr>
      <w:tblGrid>
        <w:gridCol w:w="2183"/>
        <w:gridCol w:w="3719"/>
        <w:gridCol w:w="2603"/>
      </w:tblGrid>
      <w:tr w:rsidR="00434E07" w:rsidRPr="002050E5" w14:paraId="5AA39A7A" w14:textId="77777777" w:rsidTr="00F56C04">
        <w:trPr>
          <w:trHeight w:val="280"/>
        </w:trPr>
        <w:tc>
          <w:tcPr>
            <w:tcW w:w="2183" w:type="dxa"/>
            <w:tcBorders>
              <w:bottom w:val="single" w:sz="4" w:space="0" w:color="A8D08D" w:themeColor="accent6" w:themeTint="99"/>
            </w:tcBorders>
            <w:shd w:val="clear" w:color="auto" w:fill="C5E0B3" w:themeFill="accent6" w:themeFillTint="66"/>
            <w:noWrap/>
            <w:vAlign w:val="bottom"/>
          </w:tcPr>
          <w:p w14:paraId="784A3738" w14:textId="06C86778" w:rsidR="00434E07" w:rsidRPr="002050E5" w:rsidRDefault="00434E07" w:rsidP="00434E07">
            <w:pPr>
              <w:spacing w:before="20" w:after="20"/>
              <w:rPr>
                <w:color w:val="000000"/>
                <w:sz w:val="18"/>
                <w:szCs w:val="22"/>
              </w:rPr>
            </w:pPr>
            <w:r w:rsidRPr="00182396">
              <w:rPr>
                <w:rFonts w:cstheme="minorBidi"/>
                <w:b/>
                <w:color w:val="000000"/>
                <w:sz w:val="18"/>
                <w:szCs w:val="22"/>
              </w:rPr>
              <w:t>Name</w:t>
            </w:r>
          </w:p>
        </w:tc>
        <w:tc>
          <w:tcPr>
            <w:tcW w:w="3719" w:type="dxa"/>
            <w:tcBorders>
              <w:bottom w:val="single" w:sz="4" w:space="0" w:color="A8D08D" w:themeColor="accent6" w:themeTint="99"/>
            </w:tcBorders>
            <w:shd w:val="clear" w:color="auto" w:fill="C5E0B3" w:themeFill="accent6" w:themeFillTint="66"/>
            <w:noWrap/>
            <w:vAlign w:val="bottom"/>
          </w:tcPr>
          <w:p w14:paraId="52355C40" w14:textId="51360B75" w:rsidR="00434E07" w:rsidRPr="002050E5" w:rsidRDefault="00434E07" w:rsidP="00434E07">
            <w:pPr>
              <w:spacing w:before="20" w:after="20"/>
              <w:rPr>
                <w:color w:val="000000"/>
                <w:sz w:val="18"/>
                <w:szCs w:val="22"/>
              </w:rPr>
            </w:pPr>
            <w:r w:rsidRPr="00182396">
              <w:rPr>
                <w:rFonts w:cstheme="minorBidi"/>
                <w:b/>
                <w:color w:val="000000"/>
                <w:sz w:val="18"/>
                <w:szCs w:val="22"/>
              </w:rPr>
              <w:t>Organisation</w:t>
            </w:r>
          </w:p>
        </w:tc>
        <w:tc>
          <w:tcPr>
            <w:tcW w:w="2603" w:type="dxa"/>
            <w:tcBorders>
              <w:bottom w:val="single" w:sz="4" w:space="0" w:color="A8D08D" w:themeColor="accent6" w:themeTint="99"/>
            </w:tcBorders>
            <w:shd w:val="clear" w:color="auto" w:fill="C5E0B3" w:themeFill="accent6" w:themeFillTint="66"/>
            <w:noWrap/>
            <w:vAlign w:val="bottom"/>
          </w:tcPr>
          <w:p w14:paraId="6420D54B" w14:textId="21626F6E" w:rsidR="00434E07" w:rsidRPr="002050E5" w:rsidRDefault="00434E07" w:rsidP="00434E07">
            <w:pPr>
              <w:spacing w:before="20" w:after="20"/>
              <w:rPr>
                <w:color w:val="000000"/>
                <w:sz w:val="18"/>
                <w:szCs w:val="22"/>
              </w:rPr>
            </w:pPr>
            <w:r w:rsidRPr="00182396">
              <w:rPr>
                <w:rFonts w:cstheme="minorBidi"/>
                <w:b/>
                <w:color w:val="000000"/>
                <w:sz w:val="18"/>
                <w:szCs w:val="22"/>
              </w:rPr>
              <w:t xml:space="preserve">Type of </w:t>
            </w:r>
            <w:r>
              <w:rPr>
                <w:rFonts w:cstheme="minorBidi"/>
                <w:b/>
                <w:color w:val="000000"/>
                <w:sz w:val="18"/>
                <w:szCs w:val="22"/>
              </w:rPr>
              <w:t>g</w:t>
            </w:r>
            <w:r w:rsidRPr="00182396">
              <w:rPr>
                <w:rFonts w:cstheme="minorBidi"/>
                <w:b/>
                <w:color w:val="000000"/>
                <w:sz w:val="18"/>
                <w:szCs w:val="22"/>
              </w:rPr>
              <w:t>roup</w:t>
            </w:r>
          </w:p>
        </w:tc>
      </w:tr>
      <w:tr w:rsidR="002050E5" w:rsidRPr="002050E5" w14:paraId="23825F11" w14:textId="77777777" w:rsidTr="00F56C04">
        <w:trPr>
          <w:trHeight w:val="280"/>
        </w:trPr>
        <w:tc>
          <w:tcPr>
            <w:tcW w:w="2183" w:type="dxa"/>
            <w:tcBorders>
              <w:top w:val="single" w:sz="4" w:space="0" w:color="A8D08D" w:themeColor="accent6" w:themeTint="99"/>
              <w:bottom w:val="single" w:sz="4" w:space="0" w:color="A8D08D" w:themeColor="accent6" w:themeTint="99"/>
            </w:tcBorders>
            <w:shd w:val="clear" w:color="auto" w:fill="auto"/>
            <w:noWrap/>
            <w:vAlign w:val="bottom"/>
          </w:tcPr>
          <w:p w14:paraId="6075BEAE" w14:textId="77777777" w:rsidR="002050E5" w:rsidRPr="002050E5" w:rsidRDefault="002050E5" w:rsidP="002050E5">
            <w:pPr>
              <w:spacing w:before="20" w:after="20"/>
              <w:rPr>
                <w:color w:val="000000"/>
                <w:sz w:val="18"/>
                <w:szCs w:val="22"/>
              </w:rPr>
            </w:pPr>
            <w:r w:rsidRPr="002050E5">
              <w:rPr>
                <w:color w:val="000000"/>
                <w:sz w:val="18"/>
                <w:szCs w:val="22"/>
              </w:rPr>
              <w:t>Antoine Barnaart</w:t>
            </w:r>
          </w:p>
        </w:tc>
        <w:tc>
          <w:tcPr>
            <w:tcW w:w="3719" w:type="dxa"/>
            <w:tcBorders>
              <w:top w:val="single" w:sz="4" w:space="0" w:color="A8D08D" w:themeColor="accent6" w:themeTint="99"/>
              <w:bottom w:val="single" w:sz="4" w:space="0" w:color="A8D08D" w:themeColor="accent6" w:themeTint="99"/>
            </w:tcBorders>
            <w:shd w:val="clear" w:color="auto" w:fill="auto"/>
            <w:noWrap/>
            <w:vAlign w:val="bottom"/>
          </w:tcPr>
          <w:p w14:paraId="20210E7A" w14:textId="77777777" w:rsidR="002050E5" w:rsidRPr="002050E5" w:rsidRDefault="002050E5" w:rsidP="002050E5">
            <w:pPr>
              <w:spacing w:before="20" w:after="20"/>
              <w:rPr>
                <w:color w:val="000000"/>
                <w:sz w:val="18"/>
                <w:szCs w:val="22"/>
              </w:rPr>
            </w:pPr>
            <w:r w:rsidRPr="002050E5">
              <w:rPr>
                <w:color w:val="000000"/>
                <w:sz w:val="18"/>
                <w:szCs w:val="22"/>
              </w:rPr>
              <w:t>Principal, Kiribati Institute of Technology</w:t>
            </w:r>
          </w:p>
        </w:tc>
        <w:tc>
          <w:tcPr>
            <w:tcW w:w="2603" w:type="dxa"/>
            <w:tcBorders>
              <w:top w:val="single" w:sz="4" w:space="0" w:color="A8D08D" w:themeColor="accent6" w:themeTint="99"/>
              <w:bottom w:val="single" w:sz="4" w:space="0" w:color="A8D08D" w:themeColor="accent6" w:themeTint="99"/>
            </w:tcBorders>
            <w:shd w:val="clear" w:color="auto" w:fill="auto"/>
            <w:noWrap/>
            <w:vAlign w:val="bottom"/>
          </w:tcPr>
          <w:p w14:paraId="2F351C10" w14:textId="77777777" w:rsidR="002050E5" w:rsidRPr="002050E5" w:rsidRDefault="002050E5" w:rsidP="002050E5">
            <w:pPr>
              <w:spacing w:before="20" w:after="20"/>
              <w:rPr>
                <w:color w:val="000000"/>
                <w:sz w:val="18"/>
                <w:szCs w:val="22"/>
              </w:rPr>
            </w:pPr>
            <w:r w:rsidRPr="002050E5">
              <w:rPr>
                <w:color w:val="000000"/>
                <w:sz w:val="18"/>
                <w:szCs w:val="22"/>
              </w:rPr>
              <w:t>Management</w:t>
            </w:r>
          </w:p>
        </w:tc>
      </w:tr>
    </w:tbl>
    <w:p w14:paraId="7FA91141" w14:textId="77777777" w:rsidR="00FB3CF0" w:rsidRDefault="00FB3CF0" w:rsidP="00620740">
      <w:pPr>
        <w:rPr>
          <w:rFonts w:cs="Arial"/>
          <w:szCs w:val="22"/>
        </w:rPr>
        <w:sectPr w:rsidR="00FB3CF0" w:rsidSect="00FF3EDE">
          <w:headerReference w:type="default" r:id="rId17"/>
          <w:type w:val="continuous"/>
          <w:pgSz w:w="11901" w:h="16834"/>
          <w:pgMar w:top="1440" w:right="1701" w:bottom="1440" w:left="1701" w:header="709" w:footer="709" w:gutter="0"/>
          <w:cols w:space="708"/>
          <w:titlePg/>
          <w:docGrid w:linePitch="326"/>
        </w:sectPr>
      </w:pPr>
    </w:p>
    <w:p w14:paraId="5B85CD11" w14:textId="046DB443" w:rsidR="00620740" w:rsidRPr="00253003" w:rsidRDefault="00620740" w:rsidP="00620740">
      <w:pPr>
        <w:rPr>
          <w:rFonts w:cs="Arial"/>
          <w:szCs w:val="22"/>
        </w:rPr>
      </w:pPr>
    </w:p>
    <w:p w14:paraId="0CBCFD37" w14:textId="77777777" w:rsidR="00FB3CF0" w:rsidRDefault="00FB3CF0" w:rsidP="002028A6">
      <w:pPr>
        <w:pStyle w:val="Heading1"/>
        <w:sectPr w:rsidR="00FB3CF0" w:rsidSect="00FF3EDE">
          <w:type w:val="continuous"/>
          <w:pgSz w:w="11901" w:h="16834"/>
          <w:pgMar w:top="1440" w:right="1701" w:bottom="1440" w:left="1701" w:header="709" w:footer="709" w:gutter="0"/>
          <w:cols w:space="708"/>
          <w:titlePg/>
          <w:docGrid w:linePitch="326"/>
        </w:sectPr>
      </w:pPr>
    </w:p>
    <w:p w14:paraId="3718E05D" w14:textId="44D63A66" w:rsidR="003D355F" w:rsidRPr="000E2515" w:rsidRDefault="00395FC0" w:rsidP="002028A6">
      <w:pPr>
        <w:pStyle w:val="Heading1"/>
      </w:pPr>
      <w:r w:rsidRPr="00253003">
        <w:lastRenderedPageBreak/>
        <w:br w:type="page"/>
      </w:r>
      <w:bookmarkStart w:id="110" w:name="_Toc278447835"/>
      <w:bookmarkStart w:id="111" w:name="_Toc278453308"/>
      <w:r w:rsidR="00C0631E" w:rsidRPr="000E2515">
        <w:lastRenderedPageBreak/>
        <w:t>ANNEX 3: EVALUATION PLAN: PRIMARY AND SECONDARY QUESTIONS</w:t>
      </w:r>
      <w:r w:rsidR="00253003" w:rsidRPr="000E2515">
        <w:rPr>
          <w:rStyle w:val="FootnoteReference"/>
          <w:color w:val="76923C"/>
          <w:szCs w:val="22"/>
        </w:rPr>
        <w:footnoteReference w:id="7"/>
      </w:r>
      <w:bookmarkEnd w:id="110"/>
      <w:bookmarkEnd w:id="111"/>
    </w:p>
    <w:p w14:paraId="50642BCC" w14:textId="6BED3DF1" w:rsidR="003D355F" w:rsidRDefault="00B72BBA">
      <w:pPr>
        <w:pStyle w:val="Header"/>
      </w:pPr>
      <w:r>
        <w:t>1</w:t>
      </w:r>
      <w:r w:rsidR="00D3635C" w:rsidRPr="00331946">
        <w:t xml:space="preserve">. </w:t>
      </w:r>
      <w:r w:rsidR="00253003" w:rsidRPr="00331946">
        <w:t xml:space="preserve">TVET </w:t>
      </w:r>
      <w:r w:rsidR="00431B7D" w:rsidRPr="00331946">
        <w:t>c</w:t>
      </w:r>
      <w:r w:rsidR="00253003" w:rsidRPr="00331946">
        <w:t>apacity: To what extent has the APTC succeeded in building national and regional capacity for market-responsive skills development in the Pacific?</w:t>
      </w:r>
      <w:r w:rsidR="00546F37" w:rsidRPr="007C223C">
        <w:rPr>
          <w:bCs/>
          <w:szCs w:val="22"/>
          <w:vertAlign w:val="superscript"/>
        </w:rPr>
        <w:footnoteReference w:id="8"/>
      </w:r>
      <w:r w:rsidR="00253003" w:rsidRPr="00331946">
        <w:t xml:space="preserve"> To what extent is there discernible lasting benefit to skills development of APTC in the Pacific?</w:t>
      </w:r>
    </w:p>
    <w:p w14:paraId="2DF10D0C" w14:textId="77777777" w:rsidR="00253003" w:rsidRPr="00253003" w:rsidRDefault="007B5774" w:rsidP="000E7A75">
      <w:pPr>
        <w:rPr>
          <w:rFonts w:cs="Arial"/>
          <w:szCs w:val="22"/>
        </w:rPr>
      </w:pPr>
      <w:r>
        <w:rPr>
          <w:rFonts w:cs="Arial"/>
          <w:szCs w:val="22"/>
        </w:rPr>
        <w:t xml:space="preserve">Key sources and indicators: </w:t>
      </w:r>
      <w:r w:rsidR="00253003" w:rsidRPr="00253003">
        <w:rPr>
          <w:rFonts w:cs="Arial"/>
          <w:szCs w:val="22"/>
        </w:rPr>
        <w:t>APTC statistics on applications, enrolment and scholarships by program, gender, nationality; access from non-campus countries; proportion of enrolees by sponsorship (government, employer, private, etc.); teaching staff by program, qualification, gender, nationality, salaries; work placements during training by program and campus; graduates by specialisation, levels, gender, nationality, etc.</w:t>
      </w:r>
    </w:p>
    <w:p w14:paraId="138E5A55" w14:textId="77777777" w:rsidR="00253003" w:rsidRPr="000E7A75" w:rsidRDefault="00546F37" w:rsidP="00260880">
      <w:pPr>
        <w:pStyle w:val="ListParagraph"/>
        <w:numPr>
          <w:ilvl w:val="0"/>
          <w:numId w:val="6"/>
        </w:numPr>
        <w:rPr>
          <w:rFonts w:cs="Arial"/>
          <w:b/>
          <w:szCs w:val="22"/>
        </w:rPr>
      </w:pPr>
      <w:r w:rsidRPr="00546F37">
        <w:rPr>
          <w:rFonts w:cs="Arial"/>
          <w:b/>
          <w:szCs w:val="22"/>
        </w:rPr>
        <w:t>APTC capacity</w:t>
      </w:r>
    </w:p>
    <w:p w14:paraId="572C219B" w14:textId="77777777" w:rsidR="00253003" w:rsidRPr="00253003" w:rsidRDefault="00253003" w:rsidP="00260880">
      <w:pPr>
        <w:pStyle w:val="ListParagraph"/>
        <w:numPr>
          <w:ilvl w:val="1"/>
          <w:numId w:val="6"/>
        </w:numPr>
        <w:rPr>
          <w:rFonts w:cs="Arial"/>
          <w:szCs w:val="22"/>
        </w:rPr>
      </w:pPr>
      <w:r w:rsidRPr="00253003">
        <w:rPr>
          <w:rFonts w:cs="Arial"/>
          <w:szCs w:val="22"/>
        </w:rPr>
        <w:t>What quantitative and qualitative capacity has APTC established for skills development?</w:t>
      </w:r>
    </w:p>
    <w:p w14:paraId="53121006" w14:textId="77777777" w:rsidR="00253003" w:rsidRPr="00253003" w:rsidRDefault="00253003" w:rsidP="00FB3CF0">
      <w:pPr>
        <w:pStyle w:val="ListParagraph"/>
        <w:numPr>
          <w:ilvl w:val="2"/>
          <w:numId w:val="12"/>
        </w:numPr>
        <w:ind w:left="1491" w:hanging="357"/>
        <w:rPr>
          <w:rFonts w:cs="Arial"/>
          <w:szCs w:val="22"/>
        </w:rPr>
      </w:pPr>
      <w:r w:rsidRPr="00253003">
        <w:rPr>
          <w:rFonts w:cs="Arial"/>
          <w:szCs w:val="22"/>
        </w:rPr>
        <w:t>Quantitative</w:t>
      </w:r>
      <w:r w:rsidR="000E7A75">
        <w:rPr>
          <w:rFonts w:cs="Arial"/>
          <w:szCs w:val="22"/>
        </w:rPr>
        <w:t xml:space="preserve"> –</w:t>
      </w:r>
      <w:r w:rsidRPr="00253003">
        <w:rPr>
          <w:rFonts w:cs="Arial"/>
          <w:szCs w:val="22"/>
        </w:rPr>
        <w:t xml:space="preserve"> effectiveness of recruitment practices; enrolment; teaching staff; outputs achieved.</w:t>
      </w:r>
    </w:p>
    <w:p w14:paraId="76FD926A" w14:textId="0498BA49" w:rsidR="00253003" w:rsidRPr="00253003" w:rsidRDefault="00F83DE1" w:rsidP="00FB3CF0">
      <w:pPr>
        <w:pStyle w:val="ListParagraph"/>
        <w:numPr>
          <w:ilvl w:val="2"/>
          <w:numId w:val="12"/>
        </w:numPr>
        <w:ind w:left="1491" w:hanging="357"/>
        <w:rPr>
          <w:rFonts w:cs="Arial"/>
          <w:szCs w:val="22"/>
        </w:rPr>
      </w:pPr>
      <w:r>
        <w:rPr>
          <w:rFonts w:cs="Arial"/>
          <w:szCs w:val="22"/>
        </w:rPr>
        <w:t xml:space="preserve">Quality assurance practices; </w:t>
      </w:r>
      <w:r w:rsidR="00253003" w:rsidRPr="00253003">
        <w:rPr>
          <w:rFonts w:cs="Arial"/>
          <w:szCs w:val="22"/>
        </w:rPr>
        <w:t>pass rates; qualification standards achieved; whether Australian qualifica</w:t>
      </w:r>
      <w:r w:rsidR="000E2515">
        <w:rPr>
          <w:rFonts w:cs="Arial"/>
          <w:szCs w:val="22"/>
        </w:rPr>
        <w:t>tion standards are actually met</w:t>
      </w:r>
      <w:r w:rsidR="00253003" w:rsidRPr="00253003">
        <w:rPr>
          <w:rFonts w:cs="Arial"/>
          <w:szCs w:val="22"/>
        </w:rPr>
        <w:t xml:space="preserve"> given constraints on workplace training?  </w:t>
      </w:r>
    </w:p>
    <w:p w14:paraId="78E6DD59" w14:textId="18366D1D" w:rsidR="00253003" w:rsidRPr="00253003" w:rsidRDefault="00253003" w:rsidP="00FB3CF0">
      <w:pPr>
        <w:pStyle w:val="ListParagraph"/>
        <w:numPr>
          <w:ilvl w:val="2"/>
          <w:numId w:val="12"/>
        </w:numPr>
        <w:ind w:left="1491" w:hanging="357"/>
        <w:rPr>
          <w:rFonts w:cs="Arial"/>
          <w:szCs w:val="22"/>
        </w:rPr>
      </w:pPr>
      <w:r w:rsidRPr="00253003">
        <w:rPr>
          <w:rFonts w:cs="Arial"/>
          <w:szCs w:val="22"/>
        </w:rPr>
        <w:t xml:space="preserve">To what extent has APTC effectively </w:t>
      </w:r>
      <w:r w:rsidR="000E2515" w:rsidRPr="00253003">
        <w:rPr>
          <w:rFonts w:cs="Arial"/>
          <w:szCs w:val="22"/>
        </w:rPr>
        <w:t xml:space="preserve">used </w:t>
      </w:r>
      <w:r w:rsidRPr="00253003">
        <w:rPr>
          <w:rFonts w:cs="Arial"/>
          <w:szCs w:val="22"/>
        </w:rPr>
        <w:t>different and flexible delivery methods in different parts of the Pacific, including distance learning, blended approaches and outreach?</w:t>
      </w:r>
    </w:p>
    <w:p w14:paraId="4BC68E73" w14:textId="77777777" w:rsidR="00253003" w:rsidRPr="00B72BBA" w:rsidRDefault="00253003" w:rsidP="00FB3CF0">
      <w:pPr>
        <w:pStyle w:val="ListParagraph"/>
        <w:numPr>
          <w:ilvl w:val="2"/>
          <w:numId w:val="12"/>
        </w:numPr>
        <w:ind w:left="1491" w:hanging="357"/>
        <w:rPr>
          <w:rFonts w:cs="Arial"/>
          <w:sz w:val="18"/>
          <w:szCs w:val="22"/>
        </w:rPr>
      </w:pPr>
      <w:r w:rsidRPr="00253003">
        <w:rPr>
          <w:rFonts w:cs="Arial"/>
          <w:szCs w:val="22"/>
        </w:rPr>
        <w:t>What articulation pathways have been establis</w:t>
      </w:r>
      <w:r w:rsidR="00F83DE1">
        <w:rPr>
          <w:rFonts w:cs="Arial"/>
          <w:szCs w:val="22"/>
        </w:rPr>
        <w:t xml:space="preserve">hed both to and from the APTC? </w:t>
      </w:r>
      <w:r w:rsidRPr="00253003">
        <w:rPr>
          <w:rFonts w:cs="Arial"/>
          <w:szCs w:val="22"/>
        </w:rPr>
        <w:t>To what extent are they being utilised and by whom?</w:t>
      </w:r>
      <w:r w:rsidR="000E7A75">
        <w:rPr>
          <w:rFonts w:cs="Arial"/>
          <w:szCs w:val="22"/>
        </w:rPr>
        <w:br/>
      </w:r>
    </w:p>
    <w:p w14:paraId="1B53BA01" w14:textId="77777777" w:rsidR="00253003" w:rsidRPr="00253003" w:rsidRDefault="00253003" w:rsidP="00260880">
      <w:pPr>
        <w:pStyle w:val="ListParagraph"/>
        <w:numPr>
          <w:ilvl w:val="1"/>
          <w:numId w:val="6"/>
        </w:numPr>
        <w:rPr>
          <w:rFonts w:cs="Arial"/>
          <w:szCs w:val="22"/>
        </w:rPr>
      </w:pPr>
      <w:r w:rsidRPr="00253003">
        <w:rPr>
          <w:rFonts w:cs="Arial"/>
          <w:szCs w:val="22"/>
        </w:rPr>
        <w:t xml:space="preserve">How closely attuned is APTC to industry and employers? </w:t>
      </w:r>
    </w:p>
    <w:p w14:paraId="7613853D" w14:textId="5F3801B6" w:rsidR="00253003" w:rsidRPr="00253003" w:rsidRDefault="00253003" w:rsidP="00B72BBA">
      <w:pPr>
        <w:pStyle w:val="ListParagraph"/>
        <w:numPr>
          <w:ilvl w:val="0"/>
          <w:numId w:val="10"/>
        </w:numPr>
        <w:ind w:left="1491" w:hanging="357"/>
        <w:rPr>
          <w:rFonts w:cs="Arial"/>
          <w:szCs w:val="22"/>
        </w:rPr>
      </w:pPr>
      <w:r w:rsidRPr="00253003">
        <w:rPr>
          <w:rFonts w:cs="Arial"/>
          <w:szCs w:val="22"/>
        </w:rPr>
        <w:t>Organisationally, to what extent is industry involved in APTC functions, e.g. governance, technical advice, provision</w:t>
      </w:r>
      <w:r w:rsidR="000E2515">
        <w:rPr>
          <w:rFonts w:cs="Arial"/>
          <w:szCs w:val="22"/>
        </w:rPr>
        <w:t xml:space="preserve"> of work places, financing</w:t>
      </w:r>
      <w:r w:rsidRPr="00253003">
        <w:rPr>
          <w:rFonts w:cs="Arial"/>
          <w:szCs w:val="22"/>
        </w:rPr>
        <w:t>?</w:t>
      </w:r>
    </w:p>
    <w:p w14:paraId="65EB5CEF" w14:textId="77777777" w:rsidR="00253003" w:rsidRPr="00253003" w:rsidRDefault="00253003" w:rsidP="00B72BBA">
      <w:pPr>
        <w:pStyle w:val="ListParagraph"/>
        <w:numPr>
          <w:ilvl w:val="0"/>
          <w:numId w:val="10"/>
        </w:numPr>
        <w:ind w:left="1491" w:hanging="357"/>
        <w:rPr>
          <w:rFonts w:cs="Arial"/>
          <w:szCs w:val="22"/>
        </w:rPr>
      </w:pPr>
      <w:r w:rsidRPr="00253003">
        <w:rPr>
          <w:rFonts w:cs="Arial"/>
          <w:szCs w:val="22"/>
        </w:rPr>
        <w:t xml:space="preserve">What are the systems used by APTC to monitor and adjust to labour market trends, and how effective are they, including the Labour Market Analysis Action Plan?  </w:t>
      </w:r>
    </w:p>
    <w:p w14:paraId="11592CB2" w14:textId="77777777" w:rsidR="00253003" w:rsidRPr="00253003" w:rsidRDefault="00253003" w:rsidP="00B72BBA">
      <w:pPr>
        <w:pStyle w:val="ListParagraph"/>
        <w:numPr>
          <w:ilvl w:val="0"/>
          <w:numId w:val="10"/>
        </w:numPr>
        <w:ind w:left="1491" w:hanging="357"/>
        <w:rPr>
          <w:rFonts w:cs="Arial"/>
          <w:szCs w:val="22"/>
        </w:rPr>
      </w:pPr>
      <w:r w:rsidRPr="00253003">
        <w:rPr>
          <w:rFonts w:cs="Arial"/>
          <w:szCs w:val="22"/>
        </w:rPr>
        <w:t xml:space="preserve">How many formal industry partnerships have been established, and how effective are they, e.g. Tanoa Group of Hotels, Fiji?  </w:t>
      </w:r>
    </w:p>
    <w:p w14:paraId="25146369" w14:textId="77777777" w:rsidR="00253003" w:rsidRPr="00253003" w:rsidRDefault="00253003" w:rsidP="00B72BBA">
      <w:pPr>
        <w:pStyle w:val="ListParagraph"/>
        <w:numPr>
          <w:ilvl w:val="0"/>
          <w:numId w:val="10"/>
        </w:numPr>
        <w:ind w:left="1491" w:hanging="357"/>
        <w:rPr>
          <w:rFonts w:cs="Arial"/>
          <w:szCs w:val="22"/>
        </w:rPr>
      </w:pPr>
      <w:r w:rsidRPr="00253003">
        <w:rPr>
          <w:rFonts w:cs="Arial"/>
          <w:szCs w:val="22"/>
        </w:rPr>
        <w:t>How effective are APTC’s school-to-work schemes, e.g. ‘APTC-to-work’ and employer reintegration plans?</w:t>
      </w:r>
    </w:p>
    <w:p w14:paraId="1A367635" w14:textId="455DC44F" w:rsidR="00253003" w:rsidRPr="00B72BBA" w:rsidRDefault="00253003" w:rsidP="00B72BBA">
      <w:pPr>
        <w:pStyle w:val="ListParagraph"/>
        <w:numPr>
          <w:ilvl w:val="0"/>
          <w:numId w:val="10"/>
        </w:numPr>
        <w:ind w:left="1491" w:hanging="357"/>
        <w:rPr>
          <w:rFonts w:cs="Arial"/>
          <w:sz w:val="18"/>
          <w:szCs w:val="22"/>
        </w:rPr>
      </w:pPr>
      <w:r w:rsidRPr="00253003">
        <w:rPr>
          <w:rFonts w:cs="Arial"/>
          <w:szCs w:val="22"/>
        </w:rPr>
        <w:t xml:space="preserve">To what extent does APTC provide direct services to industry, </w:t>
      </w:r>
      <w:r w:rsidR="00AC7834">
        <w:rPr>
          <w:rFonts w:cs="Arial"/>
          <w:szCs w:val="22"/>
        </w:rPr>
        <w:br/>
      </w:r>
      <w:r w:rsidRPr="00253003">
        <w:rPr>
          <w:rFonts w:cs="Arial"/>
          <w:szCs w:val="22"/>
        </w:rPr>
        <w:t>e.g. employee upgrading?</w:t>
      </w:r>
      <w:r w:rsidR="000E7A75">
        <w:rPr>
          <w:rFonts w:cs="Arial"/>
          <w:szCs w:val="22"/>
        </w:rPr>
        <w:br/>
      </w:r>
    </w:p>
    <w:p w14:paraId="36619889" w14:textId="77777777" w:rsidR="00253003" w:rsidRPr="00253003" w:rsidRDefault="00253003" w:rsidP="00260880">
      <w:pPr>
        <w:pStyle w:val="ListParagraph"/>
        <w:numPr>
          <w:ilvl w:val="1"/>
          <w:numId w:val="6"/>
        </w:numPr>
        <w:rPr>
          <w:rFonts w:cs="Arial"/>
          <w:szCs w:val="22"/>
        </w:rPr>
      </w:pPr>
      <w:r w:rsidRPr="00253003">
        <w:rPr>
          <w:rFonts w:cs="Arial"/>
          <w:szCs w:val="22"/>
        </w:rPr>
        <w:t xml:space="preserve">How equitable is the provision of APTC services? </w:t>
      </w:r>
    </w:p>
    <w:p w14:paraId="59258BF8" w14:textId="77777777" w:rsidR="00253003" w:rsidRPr="00253003" w:rsidRDefault="000E7A75" w:rsidP="00B72BBA">
      <w:pPr>
        <w:pStyle w:val="ListParagraph"/>
        <w:numPr>
          <w:ilvl w:val="2"/>
          <w:numId w:val="11"/>
        </w:numPr>
        <w:ind w:left="1491" w:hanging="357"/>
        <w:rPr>
          <w:rFonts w:cs="Arial"/>
          <w:szCs w:val="22"/>
        </w:rPr>
      </w:pPr>
      <w:r>
        <w:rPr>
          <w:rFonts w:cs="Arial"/>
          <w:szCs w:val="22"/>
        </w:rPr>
        <w:t>G</w:t>
      </w:r>
      <w:r w:rsidRPr="00253003">
        <w:rPr>
          <w:rFonts w:cs="Arial"/>
          <w:szCs w:val="22"/>
        </w:rPr>
        <w:t xml:space="preserve">eographically </w:t>
      </w:r>
      <w:r w:rsidR="00253003" w:rsidRPr="00253003">
        <w:rPr>
          <w:rFonts w:cs="Arial"/>
          <w:szCs w:val="22"/>
        </w:rPr>
        <w:t>(especially non-campus, small island states), by gender, by urban/rural location, family income and by disability?</w:t>
      </w:r>
    </w:p>
    <w:p w14:paraId="10779EE2" w14:textId="77777777" w:rsidR="00253003" w:rsidRPr="00253003" w:rsidRDefault="00253003" w:rsidP="00B72BBA">
      <w:pPr>
        <w:pStyle w:val="ListParagraph"/>
        <w:numPr>
          <w:ilvl w:val="2"/>
          <w:numId w:val="11"/>
        </w:numPr>
        <w:ind w:left="1491" w:hanging="357"/>
        <w:rPr>
          <w:rFonts w:cs="Arial"/>
          <w:szCs w:val="22"/>
        </w:rPr>
      </w:pPr>
      <w:r w:rsidRPr="00253003">
        <w:rPr>
          <w:rFonts w:cs="Arial"/>
          <w:szCs w:val="22"/>
        </w:rPr>
        <w:t>How effectively has APTC minimised barriers to learning</w:t>
      </w:r>
      <w:r w:rsidR="000E7A75">
        <w:rPr>
          <w:rFonts w:cs="Arial"/>
          <w:szCs w:val="22"/>
        </w:rPr>
        <w:t xml:space="preserve"> </w:t>
      </w:r>
      <w:r w:rsidRPr="00253003">
        <w:rPr>
          <w:rFonts w:cs="Arial"/>
          <w:szCs w:val="22"/>
        </w:rPr>
        <w:t>for all students, but in particular for women studying in non-traditional areas and for people with a disability</w:t>
      </w:r>
      <w:r w:rsidR="000E7A75">
        <w:rPr>
          <w:rFonts w:cs="Arial"/>
          <w:szCs w:val="22"/>
        </w:rPr>
        <w:t>?</w:t>
      </w:r>
    </w:p>
    <w:p w14:paraId="58170C42" w14:textId="369A3329" w:rsidR="00253003" w:rsidRPr="00253003" w:rsidRDefault="00253003" w:rsidP="00B72BBA">
      <w:pPr>
        <w:pStyle w:val="ListParagraph"/>
        <w:numPr>
          <w:ilvl w:val="2"/>
          <w:numId w:val="11"/>
        </w:numPr>
        <w:ind w:left="1491" w:hanging="357"/>
        <w:rPr>
          <w:rFonts w:cs="Arial"/>
          <w:szCs w:val="22"/>
        </w:rPr>
      </w:pPr>
      <w:r w:rsidRPr="00253003">
        <w:rPr>
          <w:rFonts w:cs="Arial"/>
          <w:szCs w:val="22"/>
        </w:rPr>
        <w:t xml:space="preserve">How effective have been the bridging programs and </w:t>
      </w:r>
      <w:r w:rsidR="00F82391">
        <w:rPr>
          <w:rFonts w:cs="Arial"/>
          <w:szCs w:val="22"/>
        </w:rPr>
        <w:t>English language, literacy and numeracy (</w:t>
      </w:r>
      <w:r w:rsidRPr="00253003">
        <w:rPr>
          <w:rFonts w:cs="Arial"/>
          <w:szCs w:val="22"/>
        </w:rPr>
        <w:t>ELLN</w:t>
      </w:r>
      <w:r w:rsidR="00F82391">
        <w:rPr>
          <w:rFonts w:cs="Arial"/>
          <w:szCs w:val="22"/>
        </w:rPr>
        <w:t>)</w:t>
      </w:r>
      <w:r w:rsidRPr="00253003">
        <w:rPr>
          <w:rFonts w:cs="Arial"/>
          <w:szCs w:val="22"/>
        </w:rPr>
        <w:t xml:space="preserve"> in promoting greater equity?</w:t>
      </w:r>
    </w:p>
    <w:p w14:paraId="073E16BF" w14:textId="77777777" w:rsidR="00253003" w:rsidRPr="00253003" w:rsidRDefault="00253003" w:rsidP="00260880">
      <w:pPr>
        <w:pStyle w:val="ListParagraph"/>
        <w:numPr>
          <w:ilvl w:val="1"/>
          <w:numId w:val="6"/>
        </w:numPr>
        <w:rPr>
          <w:rFonts w:cs="Arial"/>
          <w:szCs w:val="22"/>
        </w:rPr>
      </w:pPr>
      <w:r w:rsidRPr="00253003">
        <w:rPr>
          <w:rFonts w:cs="Arial"/>
          <w:szCs w:val="22"/>
        </w:rPr>
        <w:t>What are the main constraints on, and opportunities for, further development of APTC capacity for skills development?</w:t>
      </w:r>
      <w:r w:rsidR="000E7A75">
        <w:rPr>
          <w:rFonts w:cs="Arial"/>
          <w:szCs w:val="22"/>
        </w:rPr>
        <w:br/>
      </w:r>
    </w:p>
    <w:p w14:paraId="73FB5DE6" w14:textId="77777777" w:rsidR="00253003" w:rsidRPr="000E7A75" w:rsidRDefault="00546F37" w:rsidP="00260880">
      <w:pPr>
        <w:pStyle w:val="ListParagraph"/>
        <w:numPr>
          <w:ilvl w:val="0"/>
          <w:numId w:val="6"/>
        </w:numPr>
        <w:rPr>
          <w:rFonts w:cs="Arial"/>
          <w:b/>
          <w:szCs w:val="22"/>
        </w:rPr>
      </w:pPr>
      <w:r w:rsidRPr="00546F37">
        <w:rPr>
          <w:rFonts w:cs="Arial"/>
          <w:b/>
          <w:szCs w:val="22"/>
        </w:rPr>
        <w:lastRenderedPageBreak/>
        <w:t>What influence has APTC had in building capacity of other Pacific TVET institutions, including direct support, and demonstration effects?</w:t>
      </w:r>
    </w:p>
    <w:p w14:paraId="0D4E2975" w14:textId="77777777" w:rsidR="00253003" w:rsidRPr="00253003" w:rsidRDefault="00253003" w:rsidP="00260880">
      <w:pPr>
        <w:pStyle w:val="ListParagraph"/>
        <w:numPr>
          <w:ilvl w:val="1"/>
          <w:numId w:val="6"/>
        </w:numPr>
        <w:rPr>
          <w:rFonts w:cs="Arial"/>
          <w:szCs w:val="22"/>
        </w:rPr>
      </w:pPr>
      <w:r w:rsidRPr="00253003">
        <w:rPr>
          <w:rFonts w:cs="Arial"/>
          <w:szCs w:val="22"/>
        </w:rPr>
        <w:t>To what extent and how effectively has APTC provided additional professional development for the education and training sector? To what extent has the Centre for Professional Development been established and is effective in delivering services?</w:t>
      </w:r>
    </w:p>
    <w:p w14:paraId="0A992C5F" w14:textId="77777777" w:rsidR="00253003" w:rsidRPr="00253003" w:rsidRDefault="00253003" w:rsidP="00260880">
      <w:pPr>
        <w:pStyle w:val="ListParagraph"/>
        <w:numPr>
          <w:ilvl w:val="1"/>
          <w:numId w:val="6"/>
        </w:numPr>
        <w:rPr>
          <w:rFonts w:cs="Arial"/>
          <w:szCs w:val="22"/>
        </w:rPr>
      </w:pPr>
      <w:r w:rsidRPr="00253003">
        <w:rPr>
          <w:rFonts w:cs="Arial"/>
          <w:szCs w:val="22"/>
        </w:rPr>
        <w:t xml:space="preserve">To what extent has APTC provided a demonstration effect on higher quality standards? </w:t>
      </w:r>
    </w:p>
    <w:p w14:paraId="3147FB33" w14:textId="5A8C1F52" w:rsidR="00253003" w:rsidRPr="00253003" w:rsidRDefault="00AC7834" w:rsidP="00260880">
      <w:pPr>
        <w:pStyle w:val="ListParagraph"/>
        <w:numPr>
          <w:ilvl w:val="1"/>
          <w:numId w:val="6"/>
        </w:numPr>
        <w:rPr>
          <w:rFonts w:cs="Arial"/>
          <w:szCs w:val="22"/>
        </w:rPr>
      </w:pPr>
      <w:r>
        <w:rPr>
          <w:rFonts w:cs="Arial"/>
          <w:szCs w:val="22"/>
        </w:rPr>
        <w:t xml:space="preserve">What impact has </w:t>
      </w:r>
      <w:r w:rsidR="00253003" w:rsidRPr="00253003">
        <w:rPr>
          <w:rFonts w:cs="Arial"/>
          <w:szCs w:val="22"/>
        </w:rPr>
        <w:t xml:space="preserve">APTC had on education and training at partner institutions, </w:t>
      </w:r>
      <w:r w:rsidR="00555497">
        <w:rPr>
          <w:rFonts w:cs="Arial"/>
          <w:szCs w:val="22"/>
        </w:rPr>
        <w:t>(</w:t>
      </w:r>
      <w:r w:rsidR="00253003" w:rsidRPr="00253003">
        <w:rPr>
          <w:rFonts w:cs="Arial"/>
          <w:szCs w:val="22"/>
        </w:rPr>
        <w:t xml:space="preserve">e.g. National University of Samoa, </w:t>
      </w:r>
      <w:r w:rsidR="00555497">
        <w:rPr>
          <w:rFonts w:cs="Arial"/>
          <w:szCs w:val="22"/>
        </w:rPr>
        <w:t>VIT</w:t>
      </w:r>
      <w:r w:rsidR="00253003" w:rsidRPr="00253003">
        <w:rPr>
          <w:rFonts w:cs="Arial"/>
          <w:szCs w:val="22"/>
        </w:rPr>
        <w:t xml:space="preserve"> Vanuatu</w:t>
      </w:r>
      <w:r w:rsidR="00555497">
        <w:rPr>
          <w:rFonts w:cs="Arial"/>
          <w:szCs w:val="22"/>
        </w:rPr>
        <w:t>); and TVET pathway models</w:t>
      </w:r>
      <w:r w:rsidR="00253003" w:rsidRPr="00253003">
        <w:rPr>
          <w:rFonts w:cs="Arial"/>
          <w:szCs w:val="22"/>
        </w:rPr>
        <w:t xml:space="preserve"> </w:t>
      </w:r>
      <w:r w:rsidR="00555497">
        <w:rPr>
          <w:rFonts w:cs="Arial"/>
          <w:szCs w:val="22"/>
        </w:rPr>
        <w:t>(</w:t>
      </w:r>
      <w:r w:rsidR="00253003" w:rsidRPr="00253003">
        <w:rPr>
          <w:rFonts w:cs="Arial"/>
          <w:szCs w:val="22"/>
        </w:rPr>
        <w:t>e.g. KIT, Don Bosco Honiara</w:t>
      </w:r>
      <w:r w:rsidR="00555497">
        <w:rPr>
          <w:rFonts w:cs="Arial"/>
          <w:szCs w:val="22"/>
        </w:rPr>
        <w:t>)</w:t>
      </w:r>
      <w:r w:rsidR="00253003" w:rsidRPr="00253003">
        <w:rPr>
          <w:rFonts w:cs="Arial"/>
          <w:szCs w:val="22"/>
        </w:rPr>
        <w:t>. Also, School o</w:t>
      </w:r>
      <w:r w:rsidR="00555497">
        <w:rPr>
          <w:rFonts w:cs="Arial"/>
          <w:szCs w:val="22"/>
        </w:rPr>
        <w:t>f Health and Community Services</w:t>
      </w:r>
      <w:r w:rsidR="00253003" w:rsidRPr="00253003">
        <w:rPr>
          <w:rFonts w:cs="Arial"/>
          <w:szCs w:val="22"/>
        </w:rPr>
        <w:t xml:space="preserve"> Suva, and University of the South Pacific. </w:t>
      </w:r>
    </w:p>
    <w:p w14:paraId="317CA054" w14:textId="77777777" w:rsidR="00253003" w:rsidRPr="00253003" w:rsidRDefault="00253003" w:rsidP="00260880">
      <w:pPr>
        <w:pStyle w:val="ListParagraph"/>
        <w:numPr>
          <w:ilvl w:val="1"/>
          <w:numId w:val="6"/>
        </w:numPr>
        <w:rPr>
          <w:rFonts w:cs="Arial"/>
          <w:szCs w:val="22"/>
        </w:rPr>
      </w:pPr>
      <w:r w:rsidRPr="00253003">
        <w:rPr>
          <w:rFonts w:cs="Arial"/>
          <w:szCs w:val="22"/>
        </w:rPr>
        <w:t>To what extent has APTC duplicated the training of local/national training providers, or undermined local training capacity?</w:t>
      </w:r>
      <w:r w:rsidR="007B2EC4">
        <w:rPr>
          <w:rFonts w:cs="Arial"/>
          <w:szCs w:val="22"/>
        </w:rPr>
        <w:br/>
      </w:r>
    </w:p>
    <w:p w14:paraId="151F9753" w14:textId="29FF6A12" w:rsidR="003D355F" w:rsidRPr="00555497" w:rsidRDefault="00B72BBA">
      <w:pPr>
        <w:pStyle w:val="Header"/>
        <w:rPr>
          <w:bCs/>
          <w:szCs w:val="22"/>
        </w:rPr>
      </w:pPr>
      <w:r w:rsidRPr="00555497">
        <w:rPr>
          <w:bCs/>
          <w:szCs w:val="22"/>
        </w:rPr>
        <w:t>2</w:t>
      </w:r>
      <w:r w:rsidR="00253003" w:rsidRPr="00555497">
        <w:rPr>
          <w:bCs/>
          <w:szCs w:val="22"/>
        </w:rPr>
        <w:t>. Labour mobility: To what extent has APTC training enhanced access to regional and international labour markets, and why?</w:t>
      </w:r>
      <w:r w:rsidR="00253003" w:rsidRPr="00555497">
        <w:rPr>
          <w:rStyle w:val="FootnoteReference"/>
          <w:rFonts w:cs="Arial"/>
          <w:bCs/>
          <w:color w:val="76923C"/>
          <w:szCs w:val="22"/>
          <w:lang w:val="en-AU"/>
        </w:rPr>
        <w:footnoteReference w:id="9"/>
      </w:r>
      <w:r w:rsidR="00FB3CF0" w:rsidRPr="00555497">
        <w:rPr>
          <w:bCs/>
          <w:szCs w:val="22"/>
        </w:rPr>
        <w:t xml:space="preserve"> </w:t>
      </w:r>
      <w:r w:rsidR="00253003" w:rsidRPr="00555497">
        <w:rPr>
          <w:bCs/>
          <w:szCs w:val="22"/>
        </w:rPr>
        <w:t xml:space="preserve">Note: Pacific regionalism seems to take on greater importance as an underlying rationale in </w:t>
      </w:r>
      <w:r w:rsidR="001F5811" w:rsidRPr="00555497">
        <w:rPr>
          <w:bCs/>
          <w:szCs w:val="22"/>
        </w:rPr>
        <w:t>Stage II</w:t>
      </w:r>
      <w:r w:rsidR="00253003" w:rsidRPr="00555497">
        <w:rPr>
          <w:bCs/>
          <w:szCs w:val="22"/>
        </w:rPr>
        <w:t>.</w:t>
      </w:r>
      <w:r w:rsidR="00253003" w:rsidRPr="00555497">
        <w:rPr>
          <w:rStyle w:val="FootnoteReference"/>
          <w:rFonts w:cs="Arial"/>
          <w:bCs/>
          <w:color w:val="76923C"/>
          <w:szCs w:val="22"/>
          <w:lang w:val="en-AU"/>
        </w:rPr>
        <w:footnoteReference w:id="10"/>
      </w:r>
      <w:r w:rsidR="00253003" w:rsidRPr="00555497">
        <w:rPr>
          <w:bCs/>
          <w:szCs w:val="22"/>
        </w:rPr>
        <w:t xml:space="preserve">  </w:t>
      </w:r>
    </w:p>
    <w:p w14:paraId="77FD18B3" w14:textId="77777777" w:rsidR="00253003" w:rsidRPr="00253003" w:rsidRDefault="00253003" w:rsidP="00D3635C">
      <w:pPr>
        <w:rPr>
          <w:rFonts w:cs="Arial"/>
          <w:szCs w:val="22"/>
        </w:rPr>
      </w:pPr>
      <w:r w:rsidRPr="00253003">
        <w:rPr>
          <w:rFonts w:cs="Arial"/>
          <w:szCs w:val="22"/>
        </w:rPr>
        <w:t xml:space="preserve">Key sources and indicators: APTC graduate surveys, complemented by new surveys and follow-up; employment rates with the same or new employer, wages, remittances from graduate destination information. </w:t>
      </w:r>
    </w:p>
    <w:p w14:paraId="43A98B28" w14:textId="77777777" w:rsidR="00253003" w:rsidRPr="001B60C5" w:rsidRDefault="00546F37" w:rsidP="00260880">
      <w:pPr>
        <w:pStyle w:val="ListParagraph"/>
        <w:numPr>
          <w:ilvl w:val="0"/>
          <w:numId w:val="13"/>
        </w:numPr>
        <w:rPr>
          <w:rFonts w:cs="Arial"/>
          <w:b/>
          <w:szCs w:val="22"/>
        </w:rPr>
      </w:pPr>
      <w:r w:rsidRPr="00546F37">
        <w:rPr>
          <w:rFonts w:cs="Arial"/>
          <w:b/>
          <w:szCs w:val="22"/>
        </w:rPr>
        <w:t>Incidence</w:t>
      </w:r>
    </w:p>
    <w:p w14:paraId="5A4C4862" w14:textId="77777777" w:rsidR="00253003" w:rsidRPr="00253003" w:rsidRDefault="00253003" w:rsidP="00260880">
      <w:pPr>
        <w:pStyle w:val="ListParagraph"/>
        <w:numPr>
          <w:ilvl w:val="0"/>
          <w:numId w:val="8"/>
        </w:numPr>
        <w:rPr>
          <w:rFonts w:cs="Arial"/>
          <w:szCs w:val="22"/>
        </w:rPr>
      </w:pPr>
      <w:r w:rsidRPr="00253003">
        <w:rPr>
          <w:rFonts w:cs="Arial"/>
          <w:szCs w:val="22"/>
        </w:rPr>
        <w:t>To what extent have graduates taken up Pacific regional and international employment? (by occupation, nationality, age, gender, etc</w:t>
      </w:r>
      <w:r w:rsidR="001B60C5">
        <w:rPr>
          <w:rFonts w:cs="Arial"/>
          <w:szCs w:val="22"/>
        </w:rPr>
        <w:t>.</w:t>
      </w:r>
      <w:r w:rsidRPr="00253003">
        <w:rPr>
          <w:rFonts w:cs="Arial"/>
          <w:szCs w:val="22"/>
        </w:rPr>
        <w:t xml:space="preserve">) </w:t>
      </w:r>
    </w:p>
    <w:p w14:paraId="3B81C30D" w14:textId="77777777" w:rsidR="00253003" w:rsidRPr="00253003" w:rsidRDefault="00253003" w:rsidP="00260880">
      <w:pPr>
        <w:pStyle w:val="ListParagraph"/>
        <w:numPr>
          <w:ilvl w:val="0"/>
          <w:numId w:val="8"/>
        </w:numPr>
        <w:rPr>
          <w:rFonts w:cs="Arial"/>
          <w:szCs w:val="22"/>
        </w:rPr>
      </w:pPr>
      <w:r w:rsidRPr="00253003">
        <w:rPr>
          <w:rFonts w:cs="Arial"/>
          <w:szCs w:val="22"/>
        </w:rPr>
        <w:t>What were the major factors influencing their choices?</w:t>
      </w:r>
    </w:p>
    <w:p w14:paraId="7C248F54" w14:textId="77777777" w:rsidR="00253003" w:rsidRPr="00253003" w:rsidRDefault="001B60C5" w:rsidP="00260880">
      <w:pPr>
        <w:pStyle w:val="ListParagraph"/>
        <w:numPr>
          <w:ilvl w:val="1"/>
          <w:numId w:val="9"/>
        </w:numPr>
        <w:rPr>
          <w:rFonts w:cs="Arial"/>
          <w:szCs w:val="22"/>
        </w:rPr>
      </w:pPr>
      <w:r>
        <w:rPr>
          <w:rFonts w:cs="Arial"/>
          <w:szCs w:val="22"/>
        </w:rPr>
        <w:t>p</w:t>
      </w:r>
      <w:r w:rsidRPr="00253003">
        <w:rPr>
          <w:rFonts w:cs="Arial"/>
          <w:szCs w:val="22"/>
        </w:rPr>
        <w:t xml:space="preserve">ositive </w:t>
      </w:r>
      <w:r w:rsidR="00253003" w:rsidRPr="00253003">
        <w:rPr>
          <w:rFonts w:cs="Arial"/>
          <w:szCs w:val="22"/>
        </w:rPr>
        <w:t>factors</w:t>
      </w:r>
      <w:r>
        <w:rPr>
          <w:rFonts w:cs="Arial"/>
          <w:szCs w:val="22"/>
        </w:rPr>
        <w:t xml:space="preserve"> – </w:t>
      </w:r>
      <w:r w:rsidR="00253003" w:rsidRPr="00253003">
        <w:rPr>
          <w:rFonts w:cs="Arial"/>
          <w:szCs w:val="22"/>
        </w:rPr>
        <w:t>availability of labour market information, employer contacts, wages, family presence at international destinations, available social support services for immigrants, quality of contract offered before departure; available support from APTC for transition (i.e. counselling)</w:t>
      </w:r>
    </w:p>
    <w:p w14:paraId="219B7FE8" w14:textId="69208913" w:rsidR="00253003" w:rsidRPr="00253003" w:rsidRDefault="001B60C5" w:rsidP="00260880">
      <w:pPr>
        <w:pStyle w:val="ListParagraph"/>
        <w:numPr>
          <w:ilvl w:val="1"/>
          <w:numId w:val="9"/>
        </w:numPr>
        <w:rPr>
          <w:rFonts w:cs="Arial"/>
          <w:szCs w:val="22"/>
        </w:rPr>
      </w:pPr>
      <w:r>
        <w:rPr>
          <w:rFonts w:cs="Arial"/>
          <w:szCs w:val="22"/>
        </w:rPr>
        <w:t>n</w:t>
      </w:r>
      <w:r w:rsidRPr="00253003">
        <w:rPr>
          <w:rFonts w:cs="Arial"/>
          <w:szCs w:val="22"/>
        </w:rPr>
        <w:t xml:space="preserve">egative </w:t>
      </w:r>
      <w:r w:rsidR="00253003" w:rsidRPr="00253003">
        <w:rPr>
          <w:rFonts w:cs="Arial"/>
          <w:szCs w:val="22"/>
        </w:rPr>
        <w:t>factors</w:t>
      </w:r>
      <w:r>
        <w:rPr>
          <w:rFonts w:cs="Arial"/>
          <w:szCs w:val="22"/>
        </w:rPr>
        <w:t xml:space="preserve"> –</w:t>
      </w:r>
      <w:r w:rsidR="00253003" w:rsidRPr="00253003">
        <w:rPr>
          <w:rFonts w:cs="Arial"/>
          <w:szCs w:val="22"/>
        </w:rPr>
        <w:t xml:space="preserve"> immigration requirements, family considerations</w:t>
      </w:r>
      <w:r w:rsidR="00AC7834">
        <w:rPr>
          <w:rFonts w:cs="Arial"/>
          <w:szCs w:val="22"/>
        </w:rPr>
        <w:t>.</w:t>
      </w:r>
      <w:r>
        <w:rPr>
          <w:rFonts w:cs="Arial"/>
          <w:szCs w:val="22"/>
        </w:rPr>
        <w:br/>
      </w:r>
    </w:p>
    <w:p w14:paraId="65869A75" w14:textId="77777777" w:rsidR="00253003" w:rsidRPr="001B60C5" w:rsidRDefault="00546F37" w:rsidP="00260880">
      <w:pPr>
        <w:pStyle w:val="ListParagraph"/>
        <w:numPr>
          <w:ilvl w:val="0"/>
          <w:numId w:val="13"/>
        </w:numPr>
        <w:rPr>
          <w:rFonts w:cs="Arial"/>
          <w:b/>
          <w:szCs w:val="22"/>
        </w:rPr>
      </w:pPr>
      <w:r w:rsidRPr="00546F37">
        <w:rPr>
          <w:rFonts w:cs="Arial"/>
          <w:b/>
          <w:szCs w:val="22"/>
        </w:rPr>
        <w:t>Changes in labour market demand</w:t>
      </w:r>
    </w:p>
    <w:p w14:paraId="77E056AA" w14:textId="77777777" w:rsidR="00253003" w:rsidRPr="00253003" w:rsidRDefault="00253003" w:rsidP="00260880">
      <w:pPr>
        <w:pStyle w:val="ListParagraph"/>
        <w:numPr>
          <w:ilvl w:val="0"/>
          <w:numId w:val="14"/>
        </w:numPr>
        <w:rPr>
          <w:rFonts w:cs="Arial"/>
          <w:szCs w:val="22"/>
        </w:rPr>
      </w:pPr>
      <w:r w:rsidRPr="00253003">
        <w:rPr>
          <w:rFonts w:cs="Arial"/>
          <w:szCs w:val="22"/>
        </w:rPr>
        <w:t>To what extent have the original analysis and assumptions of the international labour market turned out to be accurate? This will involve review of project design assumptions; ANZ labour market information; and feedback from employers.</w:t>
      </w:r>
    </w:p>
    <w:p w14:paraId="7469A1A1" w14:textId="233DC72E" w:rsidR="00B72BBA" w:rsidRDefault="00253003" w:rsidP="00260880">
      <w:pPr>
        <w:pStyle w:val="ListParagraph"/>
        <w:numPr>
          <w:ilvl w:val="0"/>
          <w:numId w:val="14"/>
        </w:numPr>
        <w:rPr>
          <w:rFonts w:cs="Arial"/>
          <w:szCs w:val="22"/>
        </w:rPr>
      </w:pPr>
      <w:r w:rsidRPr="00253003">
        <w:rPr>
          <w:rFonts w:cs="Arial"/>
          <w:szCs w:val="22"/>
        </w:rPr>
        <w:t>What factors have changed, why and to what extent?</w:t>
      </w:r>
      <w:r w:rsidR="001B60C5">
        <w:rPr>
          <w:rFonts w:cs="Arial"/>
          <w:szCs w:val="22"/>
        </w:rPr>
        <w:br/>
      </w:r>
    </w:p>
    <w:p w14:paraId="140EF579" w14:textId="77777777" w:rsidR="00B72BBA" w:rsidRDefault="00B72BBA">
      <w:pPr>
        <w:spacing w:after="0"/>
        <w:rPr>
          <w:rFonts w:cs="Arial"/>
          <w:szCs w:val="22"/>
        </w:rPr>
      </w:pPr>
      <w:r>
        <w:rPr>
          <w:rFonts w:cs="Arial"/>
          <w:szCs w:val="22"/>
        </w:rPr>
        <w:br w:type="page"/>
      </w:r>
    </w:p>
    <w:p w14:paraId="0B219AD6" w14:textId="77777777" w:rsidR="00253003" w:rsidRPr="00B72BBA" w:rsidRDefault="00253003" w:rsidP="00B72BBA">
      <w:pPr>
        <w:rPr>
          <w:rFonts w:cs="Arial"/>
          <w:szCs w:val="22"/>
        </w:rPr>
      </w:pPr>
    </w:p>
    <w:p w14:paraId="136A90A8" w14:textId="77777777" w:rsidR="00253003" w:rsidRPr="001B60C5" w:rsidRDefault="00546F37" w:rsidP="00260880">
      <w:pPr>
        <w:pStyle w:val="ListParagraph"/>
        <w:numPr>
          <w:ilvl w:val="0"/>
          <w:numId w:val="13"/>
        </w:numPr>
        <w:rPr>
          <w:rFonts w:cs="Arial"/>
          <w:b/>
          <w:szCs w:val="22"/>
        </w:rPr>
      </w:pPr>
      <w:r w:rsidRPr="00546F37">
        <w:rPr>
          <w:rFonts w:cs="Arial"/>
          <w:b/>
          <w:szCs w:val="22"/>
        </w:rPr>
        <w:t>Supply factors</w:t>
      </w:r>
    </w:p>
    <w:p w14:paraId="7A3C378C" w14:textId="77777777" w:rsidR="00253003" w:rsidRPr="00253003" w:rsidRDefault="00253003" w:rsidP="00260880">
      <w:pPr>
        <w:pStyle w:val="ListParagraph"/>
        <w:numPr>
          <w:ilvl w:val="0"/>
          <w:numId w:val="15"/>
        </w:numPr>
        <w:rPr>
          <w:rFonts w:cs="Arial"/>
          <w:szCs w:val="22"/>
        </w:rPr>
      </w:pPr>
      <w:r w:rsidRPr="00253003">
        <w:rPr>
          <w:rFonts w:cs="Arial"/>
          <w:szCs w:val="22"/>
        </w:rPr>
        <w:t>To what extent does APTC have the institutional capacity to train for regional and international markets? Does it provide valid international qualifications?</w:t>
      </w:r>
    </w:p>
    <w:p w14:paraId="732BF0BD" w14:textId="77777777" w:rsidR="00253003" w:rsidRPr="00253003" w:rsidRDefault="00253003" w:rsidP="00260880">
      <w:pPr>
        <w:pStyle w:val="ListParagraph"/>
        <w:numPr>
          <w:ilvl w:val="0"/>
          <w:numId w:val="15"/>
        </w:numPr>
        <w:rPr>
          <w:rFonts w:cs="Arial"/>
          <w:szCs w:val="22"/>
        </w:rPr>
      </w:pPr>
      <w:r w:rsidRPr="00253003">
        <w:rPr>
          <w:rFonts w:cs="Arial"/>
          <w:szCs w:val="22"/>
        </w:rPr>
        <w:t xml:space="preserve">To what extent were APTC students and graduates provided information, search skills and support for regional and international employment? </w:t>
      </w:r>
    </w:p>
    <w:p w14:paraId="77BF7EAA" w14:textId="5BC639E8" w:rsidR="003D355F" w:rsidRPr="00795CBF" w:rsidRDefault="00B72BBA">
      <w:pPr>
        <w:pStyle w:val="Header"/>
        <w:rPr>
          <w:bCs/>
          <w:szCs w:val="22"/>
        </w:rPr>
      </w:pPr>
      <w:r w:rsidRPr="00795CBF">
        <w:rPr>
          <w:bCs/>
          <w:szCs w:val="22"/>
        </w:rPr>
        <w:t>3</w:t>
      </w:r>
      <w:r w:rsidR="00253003" w:rsidRPr="00795CBF">
        <w:rPr>
          <w:bCs/>
          <w:szCs w:val="22"/>
        </w:rPr>
        <w:t>. Impact: What tangible differences has the APTC made to its primary beneficiaries –</w:t>
      </w:r>
      <w:r w:rsidR="00331946" w:rsidRPr="00795CBF">
        <w:rPr>
          <w:bCs/>
          <w:szCs w:val="22"/>
        </w:rPr>
        <w:t xml:space="preserve"> </w:t>
      </w:r>
      <w:r w:rsidR="00253003" w:rsidRPr="00795CBF">
        <w:rPr>
          <w:bCs/>
          <w:szCs w:val="22"/>
        </w:rPr>
        <w:t>graduates and industry?</w:t>
      </w:r>
      <w:r w:rsidR="00253003" w:rsidRPr="00795CBF">
        <w:rPr>
          <w:rStyle w:val="FootnoteReference"/>
          <w:rFonts w:cs="Arial"/>
          <w:bCs/>
          <w:color w:val="76923C"/>
          <w:szCs w:val="22"/>
          <w:lang w:val="en-AU"/>
        </w:rPr>
        <w:footnoteReference w:id="11"/>
      </w:r>
    </w:p>
    <w:p w14:paraId="086B3147" w14:textId="77777777" w:rsidR="00253003" w:rsidRPr="00253003" w:rsidRDefault="00253003" w:rsidP="00D3635C">
      <w:pPr>
        <w:rPr>
          <w:rFonts w:cs="Arial"/>
          <w:szCs w:val="22"/>
        </w:rPr>
      </w:pPr>
      <w:r w:rsidRPr="00253003">
        <w:rPr>
          <w:rFonts w:cs="Arial"/>
          <w:szCs w:val="22"/>
        </w:rPr>
        <w:t xml:space="preserve">Key sources and indicators: graduate tracer studies; employer surveys </w:t>
      </w:r>
      <w:r w:rsidR="00331946">
        <w:rPr>
          <w:rFonts w:cs="Arial"/>
          <w:szCs w:val="22"/>
        </w:rPr>
        <w:t>–</w:t>
      </w:r>
      <w:r w:rsidRPr="00253003">
        <w:rPr>
          <w:rFonts w:cs="Arial"/>
          <w:szCs w:val="22"/>
        </w:rPr>
        <w:t xml:space="preserve"> employment rates; competencies; confidence rates; comparison with control group, graduates of other Pacific TVET institutions, or those receiving only training on the job.</w:t>
      </w:r>
    </w:p>
    <w:p w14:paraId="134E2B77" w14:textId="77777777" w:rsidR="00253003" w:rsidRPr="00D3459B" w:rsidRDefault="00546F37" w:rsidP="00260880">
      <w:pPr>
        <w:pStyle w:val="ListParagraph"/>
        <w:numPr>
          <w:ilvl w:val="0"/>
          <w:numId w:val="16"/>
        </w:numPr>
        <w:rPr>
          <w:rFonts w:cs="Arial"/>
          <w:b/>
          <w:szCs w:val="22"/>
        </w:rPr>
      </w:pPr>
      <w:r w:rsidRPr="00546F37">
        <w:rPr>
          <w:rFonts w:cs="Arial"/>
          <w:b/>
          <w:szCs w:val="22"/>
        </w:rPr>
        <w:t xml:space="preserve">Graduates </w:t>
      </w:r>
    </w:p>
    <w:p w14:paraId="38E63053" w14:textId="65610D58" w:rsidR="00253003" w:rsidRPr="00253003" w:rsidRDefault="00253003" w:rsidP="00260880">
      <w:pPr>
        <w:pStyle w:val="ListParagraph"/>
        <w:numPr>
          <w:ilvl w:val="0"/>
          <w:numId w:val="17"/>
        </w:numPr>
        <w:rPr>
          <w:rFonts w:cs="Arial"/>
          <w:szCs w:val="22"/>
        </w:rPr>
      </w:pPr>
      <w:r w:rsidRPr="00253003">
        <w:rPr>
          <w:rFonts w:cs="Arial"/>
          <w:szCs w:val="22"/>
        </w:rPr>
        <w:t>What have been the employment rates</w:t>
      </w:r>
      <w:r w:rsidR="00243362">
        <w:rPr>
          <w:rFonts w:cs="Arial"/>
          <w:szCs w:val="22"/>
        </w:rPr>
        <w:t xml:space="preserve"> /</w:t>
      </w:r>
      <w:r w:rsidRPr="00253003">
        <w:rPr>
          <w:rFonts w:cs="Arial"/>
          <w:szCs w:val="22"/>
        </w:rPr>
        <w:t xml:space="preserve"> waiting time for employment of APTC graduates?</w:t>
      </w:r>
    </w:p>
    <w:p w14:paraId="71D8AD8D" w14:textId="77777777" w:rsidR="00253003" w:rsidRPr="00253003" w:rsidRDefault="00253003" w:rsidP="00260880">
      <w:pPr>
        <w:pStyle w:val="ListParagraph"/>
        <w:numPr>
          <w:ilvl w:val="0"/>
          <w:numId w:val="17"/>
        </w:numPr>
        <w:rPr>
          <w:rFonts w:cs="Arial"/>
          <w:szCs w:val="22"/>
        </w:rPr>
      </w:pPr>
      <w:r w:rsidRPr="00253003">
        <w:rPr>
          <w:rFonts w:cs="Arial"/>
          <w:szCs w:val="22"/>
        </w:rPr>
        <w:t xml:space="preserve">To what extent have graduates been employed in the same field as trained? </w:t>
      </w:r>
    </w:p>
    <w:p w14:paraId="2086EC6A" w14:textId="77777777" w:rsidR="00253003" w:rsidRPr="00253003" w:rsidRDefault="00253003" w:rsidP="00260880">
      <w:pPr>
        <w:pStyle w:val="ListParagraph"/>
        <w:numPr>
          <w:ilvl w:val="0"/>
          <w:numId w:val="17"/>
        </w:numPr>
        <w:rPr>
          <w:rFonts w:cs="Arial"/>
          <w:szCs w:val="22"/>
        </w:rPr>
      </w:pPr>
      <w:r w:rsidRPr="00253003">
        <w:rPr>
          <w:rFonts w:cs="Arial"/>
          <w:szCs w:val="22"/>
        </w:rPr>
        <w:t xml:space="preserve">What are the wage levels of graduates, before and AFTER APTC training? </w:t>
      </w:r>
    </w:p>
    <w:p w14:paraId="73287173" w14:textId="77777777" w:rsidR="00253003" w:rsidRPr="00253003" w:rsidRDefault="00253003" w:rsidP="00260880">
      <w:pPr>
        <w:pStyle w:val="ListParagraph"/>
        <w:numPr>
          <w:ilvl w:val="0"/>
          <w:numId w:val="17"/>
        </w:numPr>
        <w:rPr>
          <w:rFonts w:cs="Arial"/>
          <w:szCs w:val="22"/>
        </w:rPr>
      </w:pPr>
      <w:r w:rsidRPr="00253003">
        <w:rPr>
          <w:rFonts w:cs="Arial"/>
          <w:szCs w:val="22"/>
        </w:rPr>
        <w:t xml:space="preserve">Any evidence on job satisfaction, stability or promotions? </w:t>
      </w:r>
      <w:r w:rsidR="00D3459B">
        <w:rPr>
          <w:rFonts w:cs="Arial"/>
          <w:szCs w:val="22"/>
        </w:rPr>
        <w:br/>
      </w:r>
    </w:p>
    <w:p w14:paraId="71954BE6" w14:textId="77777777" w:rsidR="00253003" w:rsidRPr="00D05BFC" w:rsidRDefault="00546F37" w:rsidP="00260880">
      <w:pPr>
        <w:pStyle w:val="ListParagraph"/>
        <w:numPr>
          <w:ilvl w:val="0"/>
          <w:numId w:val="16"/>
        </w:numPr>
        <w:rPr>
          <w:rFonts w:cs="Arial"/>
          <w:b/>
          <w:szCs w:val="22"/>
        </w:rPr>
      </w:pPr>
      <w:r w:rsidRPr="00546F37">
        <w:rPr>
          <w:rFonts w:cs="Arial"/>
          <w:b/>
          <w:szCs w:val="22"/>
        </w:rPr>
        <w:t>Industry</w:t>
      </w:r>
    </w:p>
    <w:p w14:paraId="078DB1F7" w14:textId="77777777" w:rsidR="00253003" w:rsidRPr="00253003" w:rsidRDefault="00253003" w:rsidP="00260880">
      <w:pPr>
        <w:pStyle w:val="ListParagraph"/>
        <w:numPr>
          <w:ilvl w:val="0"/>
          <w:numId w:val="18"/>
        </w:numPr>
        <w:rPr>
          <w:rFonts w:cs="Arial"/>
          <w:szCs w:val="22"/>
        </w:rPr>
      </w:pPr>
      <w:r w:rsidRPr="00253003">
        <w:rPr>
          <w:rFonts w:cs="Arial"/>
          <w:szCs w:val="22"/>
        </w:rPr>
        <w:t xml:space="preserve">How do the competencies of APTC graduates compare with other TVET graduates at the same level? </w:t>
      </w:r>
    </w:p>
    <w:p w14:paraId="61F10A80" w14:textId="77777777" w:rsidR="00253003" w:rsidRPr="00253003" w:rsidRDefault="00253003" w:rsidP="00260880">
      <w:pPr>
        <w:pStyle w:val="ListParagraph"/>
        <w:numPr>
          <w:ilvl w:val="0"/>
          <w:numId w:val="18"/>
        </w:numPr>
        <w:rPr>
          <w:rFonts w:cs="Arial"/>
          <w:szCs w:val="22"/>
        </w:rPr>
      </w:pPr>
      <w:r w:rsidRPr="00253003">
        <w:rPr>
          <w:rFonts w:cs="Arial"/>
          <w:szCs w:val="22"/>
        </w:rPr>
        <w:t>Were APTC graduates hired on the same or different salaries as others?</w:t>
      </w:r>
    </w:p>
    <w:p w14:paraId="772CAC0F" w14:textId="5749E220" w:rsidR="00253003" w:rsidRPr="00253003" w:rsidRDefault="00253003" w:rsidP="00260880">
      <w:pPr>
        <w:pStyle w:val="ListParagraph"/>
        <w:numPr>
          <w:ilvl w:val="0"/>
          <w:numId w:val="18"/>
        </w:numPr>
        <w:rPr>
          <w:rFonts w:cs="Arial"/>
          <w:szCs w:val="22"/>
        </w:rPr>
      </w:pPr>
      <w:r w:rsidRPr="00253003">
        <w:rPr>
          <w:rFonts w:cs="Arial"/>
          <w:szCs w:val="22"/>
        </w:rPr>
        <w:t xml:space="preserve">How productive are APTC graduates compared with others with </w:t>
      </w:r>
      <w:r w:rsidR="00243362">
        <w:rPr>
          <w:rFonts w:cs="Arial"/>
          <w:szCs w:val="22"/>
        </w:rPr>
        <w:t xml:space="preserve">the </w:t>
      </w:r>
      <w:r w:rsidRPr="00253003">
        <w:rPr>
          <w:rFonts w:cs="Arial"/>
          <w:szCs w:val="22"/>
        </w:rPr>
        <w:t>same qualifications?</w:t>
      </w:r>
    </w:p>
    <w:p w14:paraId="07D1BA4E" w14:textId="77777777" w:rsidR="00253003" w:rsidRPr="00253003" w:rsidRDefault="00253003" w:rsidP="00260880">
      <w:pPr>
        <w:pStyle w:val="ListParagraph"/>
        <w:numPr>
          <w:ilvl w:val="1"/>
          <w:numId w:val="18"/>
        </w:numPr>
        <w:rPr>
          <w:rFonts w:cs="Arial"/>
          <w:szCs w:val="22"/>
        </w:rPr>
      </w:pPr>
      <w:r w:rsidRPr="00253003">
        <w:rPr>
          <w:rFonts w:cs="Arial"/>
          <w:szCs w:val="22"/>
        </w:rPr>
        <w:t>in technical competencies</w:t>
      </w:r>
    </w:p>
    <w:p w14:paraId="13E509BF" w14:textId="77777777" w:rsidR="00253003" w:rsidRPr="00253003" w:rsidRDefault="00253003" w:rsidP="00260880">
      <w:pPr>
        <w:pStyle w:val="ListParagraph"/>
        <w:numPr>
          <w:ilvl w:val="1"/>
          <w:numId w:val="18"/>
        </w:numPr>
        <w:rPr>
          <w:rFonts w:cs="Arial"/>
          <w:szCs w:val="22"/>
        </w:rPr>
      </w:pPr>
      <w:r w:rsidRPr="00253003">
        <w:rPr>
          <w:rFonts w:cs="Arial"/>
          <w:szCs w:val="22"/>
        </w:rPr>
        <w:t xml:space="preserve">in good work habits – punctual, reliable, ability to follow instructions and take initiatives </w:t>
      </w:r>
    </w:p>
    <w:p w14:paraId="54B39BD5" w14:textId="77777777" w:rsidR="00253003" w:rsidRPr="00253003" w:rsidRDefault="00D05BFC" w:rsidP="00260880">
      <w:pPr>
        <w:pStyle w:val="ListParagraph"/>
        <w:numPr>
          <w:ilvl w:val="1"/>
          <w:numId w:val="18"/>
        </w:numPr>
        <w:rPr>
          <w:rFonts w:cs="Arial"/>
          <w:szCs w:val="22"/>
        </w:rPr>
      </w:pPr>
      <w:r>
        <w:rPr>
          <w:rFonts w:cs="Arial"/>
          <w:szCs w:val="22"/>
        </w:rPr>
        <w:t>t</w:t>
      </w:r>
      <w:r w:rsidRPr="00253003">
        <w:rPr>
          <w:rFonts w:cs="Arial"/>
          <w:szCs w:val="22"/>
        </w:rPr>
        <w:t xml:space="preserve">o </w:t>
      </w:r>
      <w:r w:rsidR="00253003" w:rsidRPr="00253003">
        <w:rPr>
          <w:rFonts w:cs="Arial"/>
          <w:szCs w:val="22"/>
        </w:rPr>
        <w:t>what extent have APTC graduates trained co-workers and introduced new technologies?</w:t>
      </w:r>
    </w:p>
    <w:p w14:paraId="096E241B" w14:textId="6C36A79C" w:rsidR="003D355F" w:rsidRPr="00795CBF" w:rsidRDefault="00B72BBA">
      <w:pPr>
        <w:pStyle w:val="Header"/>
        <w:rPr>
          <w:bCs/>
          <w:szCs w:val="22"/>
        </w:rPr>
      </w:pPr>
      <w:r w:rsidRPr="00795CBF">
        <w:rPr>
          <w:bCs/>
          <w:szCs w:val="22"/>
        </w:rPr>
        <w:t xml:space="preserve">4. </w:t>
      </w:r>
      <w:r w:rsidR="00253003" w:rsidRPr="00795CBF">
        <w:rPr>
          <w:bCs/>
          <w:szCs w:val="22"/>
        </w:rPr>
        <w:t xml:space="preserve">Value for money: To what extent have APTC activities been cost-efficient and implemented in the most efficient way compared to possible alternatives? </w:t>
      </w:r>
    </w:p>
    <w:p w14:paraId="616BDE99" w14:textId="493F155A" w:rsidR="00253003" w:rsidRPr="00253003" w:rsidRDefault="00253003" w:rsidP="00D3635C">
      <w:pPr>
        <w:rPr>
          <w:rFonts w:cs="Arial"/>
          <w:szCs w:val="22"/>
        </w:rPr>
      </w:pPr>
      <w:r w:rsidRPr="00253003">
        <w:rPr>
          <w:rFonts w:cs="Arial"/>
          <w:szCs w:val="22"/>
        </w:rPr>
        <w:t>Key sources and indicators: APTC management information systems and graduate tracer surveys: income by source, including DFAT, private tuition, employer-sponsored tuition, government-sponsored tuition; donor-sponsored tuition, fee-for-service, etc.; expenditures by type; student dropout and completion rates; full-time equivalent staff</w:t>
      </w:r>
      <w:r w:rsidR="00070CED">
        <w:rPr>
          <w:rFonts w:cs="Arial"/>
          <w:szCs w:val="22"/>
        </w:rPr>
        <w:t>–</w:t>
      </w:r>
      <w:r w:rsidRPr="00253003">
        <w:rPr>
          <w:rFonts w:cs="Arial"/>
          <w:szCs w:val="22"/>
        </w:rPr>
        <w:t xml:space="preserve">student ratios and administrator-student ratios; </w:t>
      </w:r>
      <w:r w:rsidR="006837C7">
        <w:rPr>
          <w:rFonts w:cs="Arial"/>
          <w:szCs w:val="22"/>
        </w:rPr>
        <w:t>u</w:t>
      </w:r>
      <w:r w:rsidR="006837C7" w:rsidRPr="00253003">
        <w:rPr>
          <w:rFonts w:cs="Arial"/>
          <w:szCs w:val="22"/>
        </w:rPr>
        <w:t xml:space="preserve">nit </w:t>
      </w:r>
      <w:r w:rsidRPr="00253003">
        <w:rPr>
          <w:rFonts w:cs="Arial"/>
          <w:szCs w:val="22"/>
        </w:rPr>
        <w:t>costs</w:t>
      </w:r>
      <w:r w:rsidR="006837C7">
        <w:rPr>
          <w:rFonts w:cs="Arial"/>
          <w:szCs w:val="22"/>
        </w:rPr>
        <w:t xml:space="preserve"> –</w:t>
      </w:r>
      <w:r w:rsidRPr="00253003">
        <w:rPr>
          <w:rFonts w:cs="Arial"/>
          <w:szCs w:val="22"/>
        </w:rPr>
        <w:t xml:space="preserve"> recurrent cost per student, per hour of instruction, per student hour of instruction, per graduate; cost comparisons with similar institutions in the Pacific and in Australia; graduate incomes before and after APTC training, and remittances.</w:t>
      </w:r>
    </w:p>
    <w:p w14:paraId="024775AB" w14:textId="77777777" w:rsidR="003D355F" w:rsidRDefault="00546F37" w:rsidP="00260880">
      <w:pPr>
        <w:pStyle w:val="ListParagraph"/>
        <w:numPr>
          <w:ilvl w:val="0"/>
          <w:numId w:val="7"/>
        </w:numPr>
        <w:spacing w:after="80"/>
        <w:ind w:left="714" w:hanging="357"/>
        <w:contextualSpacing w:val="0"/>
        <w:rPr>
          <w:rFonts w:cs="Arial"/>
          <w:szCs w:val="22"/>
        </w:rPr>
      </w:pPr>
      <w:r w:rsidRPr="00546F37">
        <w:rPr>
          <w:rFonts w:cs="Arial"/>
          <w:b/>
          <w:szCs w:val="22"/>
        </w:rPr>
        <w:t>Information</w:t>
      </w:r>
      <w:r w:rsidR="00253003" w:rsidRPr="00253003">
        <w:rPr>
          <w:rFonts w:cs="Arial"/>
          <w:szCs w:val="22"/>
        </w:rPr>
        <w:t>: How adequate is the quality of information about costs and financing of APTC? Has an effective consolidated financial management information system been established? What are the gaps?</w:t>
      </w:r>
    </w:p>
    <w:p w14:paraId="0A79CBAF" w14:textId="77777777" w:rsidR="003D355F" w:rsidRDefault="00546F37" w:rsidP="00260880">
      <w:pPr>
        <w:pStyle w:val="ListParagraph"/>
        <w:numPr>
          <w:ilvl w:val="0"/>
          <w:numId w:val="7"/>
        </w:numPr>
        <w:spacing w:after="80"/>
        <w:ind w:left="714" w:hanging="357"/>
        <w:contextualSpacing w:val="0"/>
        <w:rPr>
          <w:rFonts w:cs="Arial"/>
          <w:szCs w:val="22"/>
        </w:rPr>
      </w:pPr>
      <w:r w:rsidRPr="00546F37">
        <w:rPr>
          <w:rFonts w:cs="Arial"/>
          <w:b/>
          <w:szCs w:val="22"/>
        </w:rPr>
        <w:t>Economy</w:t>
      </w:r>
      <w:r w:rsidR="00253003" w:rsidRPr="00253003">
        <w:rPr>
          <w:rFonts w:cs="Arial"/>
          <w:szCs w:val="22"/>
        </w:rPr>
        <w:t>: Has the APTC program been economical in buying inputs of appropriate quality at the right price?</w:t>
      </w:r>
    </w:p>
    <w:p w14:paraId="7D87B2A4" w14:textId="77777777" w:rsidR="003D355F" w:rsidRDefault="00546F37" w:rsidP="00260880">
      <w:pPr>
        <w:pStyle w:val="ListParagraph"/>
        <w:numPr>
          <w:ilvl w:val="0"/>
          <w:numId w:val="7"/>
        </w:numPr>
        <w:spacing w:after="80"/>
        <w:ind w:left="714" w:hanging="357"/>
        <w:contextualSpacing w:val="0"/>
        <w:rPr>
          <w:rFonts w:cs="Arial"/>
          <w:szCs w:val="22"/>
        </w:rPr>
      </w:pPr>
      <w:r w:rsidRPr="00546F37">
        <w:rPr>
          <w:rFonts w:cs="Arial"/>
          <w:b/>
          <w:szCs w:val="22"/>
        </w:rPr>
        <w:t>Cost-effectiveness</w:t>
      </w:r>
      <w:r w:rsidR="00253003" w:rsidRPr="00253003">
        <w:rPr>
          <w:rFonts w:cs="Arial"/>
          <w:szCs w:val="22"/>
        </w:rPr>
        <w:t>, i.e. what have been the outputs in relation to inputs?</w:t>
      </w:r>
    </w:p>
    <w:p w14:paraId="51641BB0" w14:textId="77777777" w:rsidR="001B7D1D" w:rsidRDefault="001B7D1D">
      <w:pPr>
        <w:spacing w:after="0"/>
        <w:rPr>
          <w:rFonts w:cs="Arial"/>
          <w:b/>
          <w:szCs w:val="22"/>
        </w:rPr>
      </w:pPr>
      <w:r>
        <w:rPr>
          <w:rFonts w:cs="Arial"/>
          <w:b/>
          <w:szCs w:val="22"/>
        </w:rPr>
        <w:br w:type="page"/>
      </w:r>
    </w:p>
    <w:p w14:paraId="59DD4C02" w14:textId="6F880CE8" w:rsidR="003D355F" w:rsidRDefault="00546F37" w:rsidP="00260880">
      <w:pPr>
        <w:pStyle w:val="ListParagraph"/>
        <w:numPr>
          <w:ilvl w:val="0"/>
          <w:numId w:val="7"/>
        </w:numPr>
        <w:spacing w:after="80"/>
        <w:ind w:left="714" w:hanging="357"/>
        <w:contextualSpacing w:val="0"/>
        <w:rPr>
          <w:rFonts w:cs="Arial"/>
          <w:szCs w:val="22"/>
        </w:rPr>
      </w:pPr>
      <w:r w:rsidRPr="00546F37">
        <w:rPr>
          <w:rFonts w:cs="Arial"/>
          <w:b/>
          <w:szCs w:val="22"/>
        </w:rPr>
        <w:lastRenderedPageBreak/>
        <w:t>Cost efficiency</w:t>
      </w:r>
      <w:r w:rsidR="005B1A67">
        <w:rPr>
          <w:rFonts w:cs="Arial"/>
          <w:szCs w:val="22"/>
        </w:rPr>
        <w:t>:</w:t>
      </w:r>
      <w:r w:rsidR="005B1A67" w:rsidRPr="00253003">
        <w:rPr>
          <w:rFonts w:cs="Arial"/>
          <w:szCs w:val="22"/>
        </w:rPr>
        <w:t xml:space="preserve"> </w:t>
      </w:r>
      <w:r w:rsidR="00253003" w:rsidRPr="00253003">
        <w:rPr>
          <w:rFonts w:cs="Arial"/>
          <w:szCs w:val="22"/>
        </w:rPr>
        <w:t>What are the various unit recurrent costs, e.g. cost per trainee, cost per hour of instruction, cost per student hour of instruction and cost per graduate? What are other measures of internal efficiency, e.g. student completion rates, full-time equivalent ratios of students per teacher by program?  What factors drive unit costs? What has been done (e.g. localisation), and what more could be done to achieve greater efficiency?</w:t>
      </w:r>
    </w:p>
    <w:p w14:paraId="19B9BED2" w14:textId="77777777" w:rsidR="003D355F" w:rsidRDefault="00546F37" w:rsidP="00260880">
      <w:pPr>
        <w:pStyle w:val="ListParagraph"/>
        <w:numPr>
          <w:ilvl w:val="0"/>
          <w:numId w:val="7"/>
        </w:numPr>
        <w:spacing w:after="80"/>
        <w:ind w:left="714" w:hanging="357"/>
        <w:contextualSpacing w:val="0"/>
        <w:rPr>
          <w:rFonts w:cs="Arial"/>
          <w:szCs w:val="22"/>
        </w:rPr>
      </w:pPr>
      <w:r w:rsidRPr="00546F37">
        <w:rPr>
          <w:rFonts w:cs="Arial"/>
          <w:b/>
          <w:szCs w:val="22"/>
        </w:rPr>
        <w:t>Economic analysis</w:t>
      </w:r>
      <w:r w:rsidR="005B1A67">
        <w:rPr>
          <w:rFonts w:cs="Arial"/>
          <w:szCs w:val="22"/>
        </w:rPr>
        <w:t>:</w:t>
      </w:r>
      <w:r w:rsidR="005B1A67" w:rsidRPr="00253003">
        <w:rPr>
          <w:rFonts w:cs="Arial"/>
          <w:szCs w:val="22"/>
        </w:rPr>
        <w:t xml:space="preserve"> </w:t>
      </w:r>
      <w:r w:rsidR="00253003" w:rsidRPr="00253003">
        <w:rPr>
          <w:rFonts w:cs="Arial"/>
          <w:szCs w:val="22"/>
        </w:rPr>
        <w:t>What has been the internal rate of return, net present value or benefit-cost ratios on the APTC investment? How does the ex-post economic rate of return compare with the ex-ante calculation of economic rate of return</w:t>
      </w:r>
      <w:r w:rsidR="00BD7828">
        <w:rPr>
          <w:rFonts w:cs="Arial"/>
          <w:szCs w:val="22"/>
        </w:rPr>
        <w:t>?</w:t>
      </w:r>
      <w:r w:rsidR="00BD7828" w:rsidRPr="00253003">
        <w:rPr>
          <w:rStyle w:val="FootnoteReference"/>
          <w:rFonts w:cs="Arial"/>
          <w:szCs w:val="22"/>
          <w:lang w:val="en-AU"/>
        </w:rPr>
        <w:footnoteReference w:id="12"/>
      </w:r>
    </w:p>
    <w:p w14:paraId="05DA4CD1" w14:textId="1C1DE287" w:rsidR="003D355F" w:rsidRDefault="00546F37" w:rsidP="00260880">
      <w:pPr>
        <w:pStyle w:val="ListParagraph"/>
        <w:numPr>
          <w:ilvl w:val="0"/>
          <w:numId w:val="7"/>
        </w:numPr>
        <w:spacing w:after="80"/>
        <w:ind w:left="714" w:hanging="357"/>
        <w:contextualSpacing w:val="0"/>
        <w:rPr>
          <w:rFonts w:cs="Arial"/>
          <w:szCs w:val="22"/>
        </w:rPr>
      </w:pPr>
      <w:r w:rsidRPr="00546F37">
        <w:rPr>
          <w:rFonts w:cs="Arial"/>
          <w:b/>
          <w:szCs w:val="22"/>
        </w:rPr>
        <w:t>Sustainability</w:t>
      </w:r>
      <w:r w:rsidR="00BD7828">
        <w:rPr>
          <w:rFonts w:cs="Arial"/>
          <w:szCs w:val="22"/>
        </w:rPr>
        <w:t>:</w:t>
      </w:r>
      <w:r w:rsidR="00BD7828" w:rsidRPr="00253003">
        <w:rPr>
          <w:rFonts w:cs="Arial"/>
          <w:szCs w:val="22"/>
        </w:rPr>
        <w:t xml:space="preserve"> </w:t>
      </w:r>
      <w:r w:rsidR="00BD7828">
        <w:rPr>
          <w:rFonts w:cs="Arial"/>
          <w:szCs w:val="22"/>
        </w:rPr>
        <w:t>A</w:t>
      </w:r>
      <w:r w:rsidR="00BD7828" w:rsidRPr="00253003">
        <w:rPr>
          <w:rFonts w:cs="Arial"/>
          <w:szCs w:val="22"/>
        </w:rPr>
        <w:t xml:space="preserve">nalysis </w:t>
      </w:r>
      <w:r w:rsidR="00253003" w:rsidRPr="00253003">
        <w:rPr>
          <w:rFonts w:cs="Arial"/>
          <w:szCs w:val="22"/>
        </w:rPr>
        <w:t xml:space="preserve">of the APTC Business Development Policy and non-DFAT sources of income, e.g. tuition sponsorships and fee-for-service with a view to judgements about financial sustainability. Is the </w:t>
      </w:r>
      <w:r w:rsidR="001F5811">
        <w:rPr>
          <w:rFonts w:cs="Arial"/>
          <w:szCs w:val="22"/>
        </w:rPr>
        <w:t>Stage II</w:t>
      </w:r>
      <w:r w:rsidR="00253003" w:rsidRPr="00253003">
        <w:rPr>
          <w:rFonts w:cs="Arial"/>
          <w:szCs w:val="22"/>
        </w:rPr>
        <w:t xml:space="preserve"> target of 15</w:t>
      </w:r>
      <w:r w:rsidR="00A80EBF">
        <w:rPr>
          <w:rFonts w:cs="Arial"/>
          <w:szCs w:val="22"/>
        </w:rPr>
        <w:t xml:space="preserve"> per cent</w:t>
      </w:r>
      <w:r w:rsidR="00253003" w:rsidRPr="00253003">
        <w:rPr>
          <w:rFonts w:cs="Arial"/>
          <w:szCs w:val="22"/>
        </w:rPr>
        <w:t xml:space="preserve"> of income from fee-for-service realistic?</w:t>
      </w:r>
    </w:p>
    <w:p w14:paraId="22C1AF31" w14:textId="77777777" w:rsidR="003D355F" w:rsidRDefault="00253003" w:rsidP="00260880">
      <w:pPr>
        <w:pStyle w:val="ListParagraph"/>
        <w:numPr>
          <w:ilvl w:val="0"/>
          <w:numId w:val="7"/>
        </w:numPr>
        <w:ind w:left="714" w:hanging="357"/>
        <w:contextualSpacing w:val="0"/>
        <w:rPr>
          <w:rFonts w:cs="Arial"/>
          <w:szCs w:val="22"/>
        </w:rPr>
      </w:pPr>
      <w:r w:rsidRPr="00253003">
        <w:rPr>
          <w:rFonts w:cs="Arial"/>
          <w:szCs w:val="22"/>
        </w:rPr>
        <w:t xml:space="preserve">To what extent have the </w:t>
      </w:r>
      <w:r w:rsidR="00546F37" w:rsidRPr="00546F37">
        <w:rPr>
          <w:rFonts w:cs="Arial"/>
          <w:b/>
          <w:szCs w:val="22"/>
        </w:rPr>
        <w:t>regulatory environments</w:t>
      </w:r>
      <w:r w:rsidRPr="00253003">
        <w:rPr>
          <w:rFonts w:cs="Arial"/>
          <w:szCs w:val="22"/>
        </w:rPr>
        <w:t xml:space="preserve"> of APTC institutions affected effectiveness and efficiency?</w:t>
      </w:r>
    </w:p>
    <w:p w14:paraId="7B6AA64A" w14:textId="113DE063" w:rsidR="003D355F" w:rsidRPr="00D84059" w:rsidRDefault="00B72BBA">
      <w:pPr>
        <w:pStyle w:val="Header"/>
        <w:rPr>
          <w:bCs/>
          <w:szCs w:val="22"/>
        </w:rPr>
      </w:pPr>
      <w:r w:rsidRPr="00D84059">
        <w:rPr>
          <w:bCs/>
          <w:szCs w:val="22"/>
        </w:rPr>
        <w:t xml:space="preserve">5. </w:t>
      </w:r>
      <w:r w:rsidR="00253003" w:rsidRPr="00D84059">
        <w:rPr>
          <w:bCs/>
          <w:szCs w:val="22"/>
        </w:rPr>
        <w:t xml:space="preserve">What do the findings, evidence and lessons suggest for the future </w:t>
      </w:r>
      <w:r w:rsidR="00942E79" w:rsidRPr="00D84059">
        <w:rPr>
          <w:bCs/>
          <w:szCs w:val="22"/>
        </w:rPr>
        <w:br/>
        <w:t xml:space="preserve">    </w:t>
      </w:r>
      <w:r w:rsidR="00253003" w:rsidRPr="00D84059">
        <w:rPr>
          <w:bCs/>
          <w:szCs w:val="22"/>
        </w:rPr>
        <w:t xml:space="preserve">of the APTC?  </w:t>
      </w:r>
    </w:p>
    <w:p w14:paraId="457A6DA0" w14:textId="1F2DF4C7" w:rsidR="00253003" w:rsidRPr="00253003" w:rsidRDefault="00546F37" w:rsidP="00260880">
      <w:pPr>
        <w:pStyle w:val="ListParagraph"/>
        <w:numPr>
          <w:ilvl w:val="0"/>
          <w:numId w:val="19"/>
        </w:numPr>
        <w:rPr>
          <w:rFonts w:cs="Arial"/>
          <w:szCs w:val="22"/>
        </w:rPr>
      </w:pPr>
      <w:r w:rsidRPr="00546F37">
        <w:rPr>
          <w:rFonts w:cs="Arial"/>
          <w:b/>
          <w:szCs w:val="22"/>
        </w:rPr>
        <w:t>Short term</w:t>
      </w:r>
      <w:r w:rsidR="00C40325">
        <w:rPr>
          <w:rFonts w:cs="Arial"/>
          <w:szCs w:val="22"/>
        </w:rPr>
        <w:t>:</w:t>
      </w:r>
      <w:r w:rsidR="00253003" w:rsidRPr="00253003">
        <w:rPr>
          <w:rFonts w:cs="Arial"/>
          <w:szCs w:val="22"/>
        </w:rPr>
        <w:t xml:space="preserve"> What could be done to strengthen APTC until end of </w:t>
      </w:r>
      <w:r w:rsidR="00A80EBF">
        <w:rPr>
          <w:rFonts w:cs="Arial"/>
          <w:szCs w:val="22"/>
        </w:rPr>
        <w:t>Stage II</w:t>
      </w:r>
      <w:r w:rsidR="00253003" w:rsidRPr="00253003">
        <w:rPr>
          <w:rFonts w:cs="Arial"/>
          <w:szCs w:val="22"/>
        </w:rPr>
        <w:t xml:space="preserve">?  </w:t>
      </w:r>
      <w:r w:rsidR="00972925">
        <w:rPr>
          <w:rFonts w:cs="Arial"/>
          <w:szCs w:val="22"/>
        </w:rPr>
        <w:br/>
      </w:r>
    </w:p>
    <w:p w14:paraId="04CC8000" w14:textId="77777777" w:rsidR="00253003" w:rsidRPr="00253003" w:rsidRDefault="00546F37" w:rsidP="00260880">
      <w:pPr>
        <w:pStyle w:val="ListParagraph"/>
        <w:numPr>
          <w:ilvl w:val="0"/>
          <w:numId w:val="19"/>
        </w:numPr>
        <w:rPr>
          <w:rFonts w:cs="Arial"/>
          <w:szCs w:val="22"/>
        </w:rPr>
      </w:pPr>
      <w:r w:rsidRPr="00546F37">
        <w:rPr>
          <w:rFonts w:cs="Arial"/>
          <w:b/>
          <w:szCs w:val="22"/>
        </w:rPr>
        <w:t>Medium term</w:t>
      </w:r>
      <w:r w:rsidR="00C40325">
        <w:rPr>
          <w:rFonts w:cs="Arial"/>
          <w:szCs w:val="22"/>
        </w:rPr>
        <w:t xml:space="preserve">: </w:t>
      </w:r>
      <w:r w:rsidR="00253003" w:rsidRPr="00253003">
        <w:rPr>
          <w:rFonts w:cs="Arial"/>
          <w:szCs w:val="22"/>
        </w:rPr>
        <w:t>In what form and under what conditions could APTC continue beyond 2015?</w:t>
      </w:r>
    </w:p>
    <w:p w14:paraId="3457308E" w14:textId="77777777" w:rsidR="00253003" w:rsidRPr="00253003" w:rsidRDefault="00253003" w:rsidP="00260880">
      <w:pPr>
        <w:pStyle w:val="ListParagraph"/>
        <w:numPr>
          <w:ilvl w:val="1"/>
          <w:numId w:val="20"/>
        </w:numPr>
        <w:rPr>
          <w:rFonts w:cs="Arial"/>
          <w:szCs w:val="22"/>
        </w:rPr>
      </w:pPr>
      <w:r w:rsidRPr="00253003">
        <w:rPr>
          <w:rFonts w:cs="Arial"/>
          <w:szCs w:val="22"/>
        </w:rPr>
        <w:t xml:space="preserve">Is the APTC approach still relevant, given current and projected conditions in the Pacific and international </w:t>
      </w:r>
      <w:r w:rsidR="00972925">
        <w:rPr>
          <w:rFonts w:cs="Arial"/>
          <w:szCs w:val="22"/>
        </w:rPr>
        <w:t>labour market</w:t>
      </w:r>
      <w:r w:rsidRPr="00253003">
        <w:rPr>
          <w:rFonts w:cs="Arial"/>
          <w:szCs w:val="22"/>
        </w:rPr>
        <w:t>?</w:t>
      </w:r>
    </w:p>
    <w:p w14:paraId="0FEE860A" w14:textId="77777777" w:rsidR="00253003" w:rsidRPr="00253003" w:rsidRDefault="00253003" w:rsidP="00260880">
      <w:pPr>
        <w:pStyle w:val="ListParagraph"/>
        <w:numPr>
          <w:ilvl w:val="1"/>
          <w:numId w:val="20"/>
        </w:numPr>
        <w:rPr>
          <w:rFonts w:cs="Arial"/>
          <w:szCs w:val="22"/>
        </w:rPr>
      </w:pPr>
      <w:r w:rsidRPr="00253003">
        <w:rPr>
          <w:rFonts w:cs="Arial"/>
          <w:szCs w:val="22"/>
        </w:rPr>
        <w:t>How sustainable is the current model, e.g. of providing international qualifications, in relation to possible options?</w:t>
      </w:r>
    </w:p>
    <w:p w14:paraId="4C98E7ED" w14:textId="77777777" w:rsidR="00253003" w:rsidRPr="00253003" w:rsidRDefault="00253003" w:rsidP="00260880">
      <w:pPr>
        <w:pStyle w:val="ListParagraph"/>
        <w:numPr>
          <w:ilvl w:val="1"/>
          <w:numId w:val="20"/>
        </w:numPr>
        <w:rPr>
          <w:rFonts w:cs="Arial"/>
          <w:szCs w:val="22"/>
        </w:rPr>
      </w:pPr>
      <w:r w:rsidRPr="00253003">
        <w:rPr>
          <w:rFonts w:cs="Arial"/>
          <w:szCs w:val="22"/>
        </w:rPr>
        <w:t>How well does APTC fit within DFAT policies on future aid to the region?</w:t>
      </w:r>
    </w:p>
    <w:p w14:paraId="21065514" w14:textId="77777777" w:rsidR="00253003" w:rsidRPr="00253003" w:rsidRDefault="00253003" w:rsidP="00D3635C">
      <w:pPr>
        <w:rPr>
          <w:rFonts w:cs="Arial"/>
          <w:szCs w:val="22"/>
        </w:rPr>
      </w:pPr>
      <w:r w:rsidRPr="00253003">
        <w:rPr>
          <w:rFonts w:cs="Arial"/>
          <w:szCs w:val="22"/>
        </w:rPr>
        <w:t>What key principles and lessons should guide decisions about the future of APTC?</w:t>
      </w:r>
    </w:p>
    <w:p w14:paraId="0AFA9BEA" w14:textId="77777777" w:rsidR="00620740" w:rsidRPr="00253003" w:rsidRDefault="00620740" w:rsidP="00620740">
      <w:pPr>
        <w:autoSpaceDE w:val="0"/>
        <w:autoSpaceDN w:val="0"/>
        <w:adjustRightInd w:val="0"/>
        <w:spacing w:before="120"/>
        <w:ind w:right="60"/>
        <w:rPr>
          <w:rFonts w:cs="Arial"/>
          <w:bCs/>
          <w:color w:val="000000"/>
          <w:szCs w:val="22"/>
        </w:rPr>
        <w:sectPr w:rsidR="00620740" w:rsidRPr="00253003" w:rsidSect="00FF3EDE">
          <w:headerReference w:type="default" r:id="rId18"/>
          <w:type w:val="continuous"/>
          <w:pgSz w:w="11901" w:h="16834"/>
          <w:pgMar w:top="1440" w:right="1701" w:bottom="1440" w:left="1701" w:header="709" w:footer="709" w:gutter="0"/>
          <w:cols w:space="708"/>
          <w:titlePg/>
          <w:docGrid w:linePitch="326"/>
        </w:sectPr>
      </w:pPr>
    </w:p>
    <w:p w14:paraId="4B3C0399" w14:textId="7FDE2F1B" w:rsidR="00361541" w:rsidRDefault="00231247" w:rsidP="002028A6">
      <w:pPr>
        <w:pStyle w:val="Heading1"/>
      </w:pPr>
      <w:bookmarkStart w:id="112" w:name="_Toc278447836"/>
      <w:bookmarkStart w:id="113" w:name="_Toc278453309"/>
      <w:r w:rsidRPr="00253003">
        <w:lastRenderedPageBreak/>
        <w:t xml:space="preserve">ANNEX 4: </w:t>
      </w:r>
      <w:r>
        <w:t>APTC STATISTICAL PROFILE</w:t>
      </w:r>
      <w:bookmarkEnd w:id="112"/>
      <w:bookmarkEnd w:id="113"/>
      <w:r>
        <w:t xml:space="preserve"> </w:t>
      </w:r>
    </w:p>
    <w:p w14:paraId="5862E922" w14:textId="1E8656AB" w:rsidR="00FC22E6" w:rsidRPr="00D17CCB" w:rsidRDefault="00FC22E6" w:rsidP="00FC22E6">
      <w:pPr>
        <w:rPr>
          <w:rFonts w:cs="Arial"/>
        </w:rPr>
      </w:pPr>
      <w:r>
        <w:t xml:space="preserve">This annex was prepared from statistical data provided by APTC </w:t>
      </w:r>
      <w:r>
        <w:rPr>
          <w:lang w:val="en-US"/>
        </w:rPr>
        <w:t xml:space="preserve">on courses, admissions, enrolment, and graduates </w:t>
      </w:r>
      <w:r>
        <w:t>(</w:t>
      </w:r>
      <w:r>
        <w:rPr>
          <w:lang w:val="en-US"/>
        </w:rPr>
        <w:t xml:space="preserve">30 June 2014) and on staffing (15 July 2014). Further information and explanations were provided to the evaluation team on 12 August 2014. The purpose of the statistical annex is to describe visually, where possible, </w:t>
      </w:r>
      <w:r w:rsidRPr="00CC1090">
        <w:rPr>
          <w:lang w:val="en-US"/>
        </w:rPr>
        <w:t>the dimensions of the APTC</w:t>
      </w:r>
      <w:r>
        <w:rPr>
          <w:lang w:val="en-US"/>
        </w:rPr>
        <w:t>’</w:t>
      </w:r>
      <w:r w:rsidRPr="00CC1090">
        <w:rPr>
          <w:lang w:val="en-US"/>
        </w:rPr>
        <w:t>s activities, and provide input into the analysis.</w:t>
      </w:r>
      <w:r>
        <w:rPr>
          <w:lang w:val="en-US"/>
        </w:rPr>
        <w:t xml:space="preserve">  Note: </w:t>
      </w:r>
      <w:r w:rsidR="00C13035">
        <w:rPr>
          <w:lang w:val="en-US"/>
        </w:rPr>
        <w:t>‘</w:t>
      </w:r>
      <w:r>
        <w:rPr>
          <w:lang w:val="en-US"/>
        </w:rPr>
        <w:t>to date</w:t>
      </w:r>
      <w:r w:rsidR="00C13035">
        <w:rPr>
          <w:lang w:val="en-US"/>
        </w:rPr>
        <w:t xml:space="preserve">’ </w:t>
      </w:r>
      <w:r>
        <w:rPr>
          <w:lang w:val="en-US"/>
        </w:rPr>
        <w:t>means through 30 June 2014.</w:t>
      </w:r>
    </w:p>
    <w:sdt>
      <w:sdtPr>
        <w:id w:val="19880801"/>
        <w:docPartObj>
          <w:docPartGallery w:val="Table of Contents"/>
          <w:docPartUnique/>
        </w:docPartObj>
      </w:sdtPr>
      <w:sdtEndPr>
        <w:rPr>
          <w:sz w:val="20"/>
          <w:szCs w:val="20"/>
        </w:rPr>
      </w:sdtEndPr>
      <w:sdtContent>
        <w:p w14:paraId="61941209" w14:textId="77777777" w:rsidR="00FC22E6" w:rsidRPr="0089175F" w:rsidRDefault="00FC22E6" w:rsidP="002028A6">
          <w:pPr>
            <w:pStyle w:val="TOCHeading"/>
            <w:rPr>
              <w:sz w:val="4"/>
            </w:rPr>
          </w:pPr>
        </w:p>
        <w:p w14:paraId="246E164D" w14:textId="13349023" w:rsidR="00E20EFB" w:rsidRPr="00E20EFB" w:rsidRDefault="00546F37" w:rsidP="00441936">
          <w:pPr>
            <w:pStyle w:val="TOC1"/>
            <w:rPr>
              <w:rFonts w:eastAsiaTheme="minorEastAsia" w:cstheme="minorBidi"/>
              <w:lang w:val="en-US" w:eastAsia="ja-JP"/>
            </w:rPr>
          </w:pPr>
          <w:r w:rsidRPr="00E20EFB">
            <w:fldChar w:fldCharType="begin"/>
          </w:r>
          <w:r w:rsidR="00FC22E6" w:rsidRPr="00E20EFB">
            <w:instrText xml:space="preserve"> TOC \o "1-3" \h \z \u </w:instrText>
          </w:r>
          <w:r w:rsidRPr="00E20EFB">
            <w:fldChar w:fldCharType="separate"/>
          </w:r>
        </w:p>
        <w:p w14:paraId="5B2268D9" w14:textId="77777777" w:rsidR="00E20EFB" w:rsidRPr="00E20EFB" w:rsidRDefault="00E20EFB" w:rsidP="00441936">
          <w:pPr>
            <w:pStyle w:val="TOC1"/>
            <w:rPr>
              <w:rFonts w:eastAsiaTheme="minorEastAsia" w:cstheme="minorBidi"/>
              <w:lang w:val="en-US" w:eastAsia="ja-JP"/>
            </w:rPr>
          </w:pPr>
          <w:r w:rsidRPr="00E20EFB">
            <w:t>1</w:t>
          </w:r>
          <w:r w:rsidRPr="00E20EFB">
            <w:rPr>
              <w:rFonts w:eastAsiaTheme="minorEastAsia" w:cstheme="minorBidi"/>
              <w:lang w:val="en-US" w:eastAsia="ja-JP"/>
            </w:rPr>
            <w:tab/>
          </w:r>
          <w:r w:rsidRPr="00E20EFB">
            <w:t>Summary</w:t>
          </w:r>
          <w:r w:rsidRPr="00E20EFB">
            <w:tab/>
          </w:r>
          <w:r w:rsidRPr="00E20EFB">
            <w:fldChar w:fldCharType="begin"/>
          </w:r>
          <w:r w:rsidRPr="00E20EFB">
            <w:instrText xml:space="preserve"> PAGEREF _Toc278453310 \h </w:instrText>
          </w:r>
          <w:r w:rsidRPr="00E20EFB">
            <w:fldChar w:fldCharType="separate"/>
          </w:r>
          <w:r w:rsidR="00EA0B4D">
            <w:t>25</w:t>
          </w:r>
          <w:r w:rsidRPr="00E20EFB">
            <w:fldChar w:fldCharType="end"/>
          </w:r>
        </w:p>
        <w:p w14:paraId="521D2B8A" w14:textId="77777777" w:rsidR="00E20EFB" w:rsidRPr="00E20EFB" w:rsidRDefault="00E20EFB" w:rsidP="00441936">
          <w:pPr>
            <w:pStyle w:val="TOC1"/>
            <w:rPr>
              <w:rFonts w:eastAsiaTheme="minorEastAsia" w:cstheme="minorBidi"/>
              <w:lang w:val="en-US" w:eastAsia="ja-JP"/>
            </w:rPr>
          </w:pPr>
          <w:r w:rsidRPr="00E20EFB">
            <w:t xml:space="preserve">2 </w:t>
          </w:r>
          <w:r w:rsidRPr="00E20EFB">
            <w:rPr>
              <w:rFonts w:eastAsiaTheme="minorEastAsia" w:cstheme="minorBidi"/>
              <w:lang w:val="en-US" w:eastAsia="ja-JP"/>
            </w:rPr>
            <w:tab/>
          </w:r>
          <w:r w:rsidRPr="00E20EFB">
            <w:t>Courses</w:t>
          </w:r>
          <w:r w:rsidRPr="00E20EFB">
            <w:tab/>
          </w:r>
          <w:r w:rsidRPr="00E20EFB">
            <w:fldChar w:fldCharType="begin"/>
          </w:r>
          <w:r w:rsidRPr="00E20EFB">
            <w:instrText xml:space="preserve"> PAGEREF _Toc278453311 \h </w:instrText>
          </w:r>
          <w:r w:rsidRPr="00E20EFB">
            <w:fldChar w:fldCharType="separate"/>
          </w:r>
          <w:r w:rsidR="00EA0B4D">
            <w:t>26</w:t>
          </w:r>
          <w:r w:rsidRPr="00E20EFB">
            <w:fldChar w:fldCharType="end"/>
          </w:r>
        </w:p>
        <w:p w14:paraId="441C3DC0"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2.1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Courses by level, school, training package and campus country</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_Toc278453312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26</w:t>
          </w:r>
          <w:r w:rsidRPr="00E20EFB">
            <w:rPr>
              <w:rFonts w:ascii="Arial" w:hAnsi="Arial"/>
              <w:noProof/>
              <w:sz w:val="20"/>
              <w:szCs w:val="20"/>
            </w:rPr>
            <w:fldChar w:fldCharType="end"/>
          </w:r>
        </w:p>
        <w:p w14:paraId="0A79C8D1"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2.2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Courses by semester</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_Toc278453313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28</w:t>
          </w:r>
          <w:r w:rsidRPr="00E20EFB">
            <w:rPr>
              <w:rFonts w:ascii="Arial" w:hAnsi="Arial"/>
              <w:noProof/>
              <w:sz w:val="20"/>
              <w:szCs w:val="20"/>
            </w:rPr>
            <w:fldChar w:fldCharType="end"/>
          </w:r>
        </w:p>
        <w:p w14:paraId="7D19BA23"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2.3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Frequency of courses</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_Toc278453314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29</w:t>
          </w:r>
          <w:r w:rsidRPr="00E20EFB">
            <w:rPr>
              <w:rFonts w:ascii="Arial" w:hAnsi="Arial"/>
              <w:noProof/>
              <w:sz w:val="20"/>
              <w:szCs w:val="20"/>
            </w:rPr>
            <w:fldChar w:fldCharType="end"/>
          </w:r>
        </w:p>
        <w:p w14:paraId="5F06C41A" w14:textId="77777777" w:rsidR="00E20EFB" w:rsidRPr="00E20EFB" w:rsidRDefault="00E20EFB" w:rsidP="00441936">
          <w:pPr>
            <w:pStyle w:val="TOC1"/>
            <w:rPr>
              <w:rFonts w:eastAsiaTheme="minorEastAsia" w:cstheme="minorBidi"/>
              <w:lang w:val="en-US" w:eastAsia="ja-JP"/>
            </w:rPr>
          </w:pPr>
          <w:r w:rsidRPr="00E20EFB">
            <w:t xml:space="preserve">3 </w:t>
          </w:r>
          <w:r w:rsidRPr="00E20EFB">
            <w:rPr>
              <w:rFonts w:eastAsiaTheme="minorEastAsia" w:cstheme="minorBidi"/>
              <w:lang w:val="en-US" w:eastAsia="ja-JP"/>
            </w:rPr>
            <w:tab/>
          </w:r>
          <w:r w:rsidRPr="00E20EFB">
            <w:t>Admissions and scholarships</w:t>
          </w:r>
          <w:r w:rsidRPr="00E20EFB">
            <w:tab/>
          </w:r>
          <w:r w:rsidRPr="00E20EFB">
            <w:fldChar w:fldCharType="begin"/>
          </w:r>
          <w:r w:rsidRPr="00E20EFB">
            <w:instrText xml:space="preserve"> PAGEREF _Toc278453315 \h </w:instrText>
          </w:r>
          <w:r w:rsidRPr="00E20EFB">
            <w:fldChar w:fldCharType="separate"/>
          </w:r>
          <w:r w:rsidR="00EA0B4D">
            <w:t>31</w:t>
          </w:r>
          <w:r w:rsidRPr="00E20EFB">
            <w:fldChar w:fldCharType="end"/>
          </w:r>
        </w:p>
        <w:p w14:paraId="219E0F29"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3.1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Applicants and intake</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_Toc278453316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31</w:t>
          </w:r>
          <w:r w:rsidRPr="00E20EFB">
            <w:rPr>
              <w:rFonts w:ascii="Arial" w:hAnsi="Arial"/>
              <w:noProof/>
              <w:sz w:val="20"/>
              <w:szCs w:val="20"/>
            </w:rPr>
            <w:fldChar w:fldCharType="end"/>
          </w:r>
        </w:p>
        <w:p w14:paraId="47B85915"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3.2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Waitlist</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_Toc278453317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33</w:t>
          </w:r>
          <w:r w:rsidRPr="00E20EFB">
            <w:rPr>
              <w:rFonts w:ascii="Arial" w:hAnsi="Arial"/>
              <w:noProof/>
              <w:sz w:val="20"/>
              <w:szCs w:val="20"/>
            </w:rPr>
            <w:fldChar w:fldCharType="end"/>
          </w:r>
        </w:p>
        <w:p w14:paraId="063E5585"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3.3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Entrants by source of funding</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_Toc278453318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34</w:t>
          </w:r>
          <w:r w:rsidRPr="00E20EFB">
            <w:rPr>
              <w:rFonts w:ascii="Arial" w:hAnsi="Arial"/>
              <w:noProof/>
              <w:sz w:val="20"/>
              <w:szCs w:val="20"/>
            </w:rPr>
            <w:fldChar w:fldCharType="end"/>
          </w:r>
        </w:p>
        <w:p w14:paraId="20638F75"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3.4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Entrants by employment status</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_Toc278453319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35</w:t>
          </w:r>
          <w:r w:rsidRPr="00E20EFB">
            <w:rPr>
              <w:rFonts w:ascii="Arial" w:hAnsi="Arial"/>
              <w:noProof/>
              <w:sz w:val="20"/>
              <w:szCs w:val="20"/>
            </w:rPr>
            <w:fldChar w:fldCharType="end"/>
          </w:r>
        </w:p>
        <w:p w14:paraId="26834190" w14:textId="77777777" w:rsidR="00E20EFB" w:rsidRPr="00E20EFB" w:rsidRDefault="00E20EFB" w:rsidP="00441936">
          <w:pPr>
            <w:pStyle w:val="TOC1"/>
            <w:rPr>
              <w:rFonts w:eastAsiaTheme="minorEastAsia" w:cstheme="minorBidi"/>
              <w:lang w:val="en-US" w:eastAsia="ja-JP"/>
            </w:rPr>
          </w:pPr>
          <w:r w:rsidRPr="00E20EFB">
            <w:t xml:space="preserve">4 </w:t>
          </w:r>
          <w:r w:rsidRPr="00E20EFB">
            <w:rPr>
              <w:rFonts w:eastAsiaTheme="minorEastAsia" w:cstheme="minorBidi"/>
              <w:lang w:val="en-US" w:eastAsia="ja-JP"/>
            </w:rPr>
            <w:tab/>
          </w:r>
          <w:r w:rsidRPr="00E20EFB">
            <w:t>Enrolments</w:t>
          </w:r>
          <w:r w:rsidRPr="00E20EFB">
            <w:tab/>
          </w:r>
          <w:r w:rsidRPr="00E20EFB">
            <w:fldChar w:fldCharType="begin"/>
          </w:r>
          <w:r w:rsidRPr="00E20EFB">
            <w:instrText xml:space="preserve"> PAGEREF _Toc278453320 \h </w:instrText>
          </w:r>
          <w:r w:rsidRPr="00E20EFB">
            <w:fldChar w:fldCharType="separate"/>
          </w:r>
          <w:r w:rsidR="00EA0B4D">
            <w:t>36</w:t>
          </w:r>
          <w:r w:rsidRPr="00E20EFB">
            <w:fldChar w:fldCharType="end"/>
          </w:r>
        </w:p>
        <w:p w14:paraId="147704C9"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4.1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Cumulative enrolment</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_Toc278453321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36</w:t>
          </w:r>
          <w:r w:rsidRPr="00E20EFB">
            <w:rPr>
              <w:rFonts w:ascii="Arial" w:hAnsi="Arial"/>
              <w:noProof/>
              <w:sz w:val="20"/>
              <w:szCs w:val="20"/>
            </w:rPr>
            <w:fldChar w:fldCharType="end"/>
          </w:r>
        </w:p>
        <w:p w14:paraId="34FF53D5"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4.2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Current enrolment</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_Toc278453322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38</w:t>
          </w:r>
          <w:r w:rsidRPr="00E20EFB">
            <w:rPr>
              <w:rFonts w:ascii="Arial" w:hAnsi="Arial"/>
              <w:noProof/>
              <w:sz w:val="20"/>
              <w:szCs w:val="20"/>
            </w:rPr>
            <w:fldChar w:fldCharType="end"/>
          </w:r>
        </w:p>
        <w:p w14:paraId="2A054A21"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4.3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Enrolment by gender</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_Toc278453324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40</w:t>
          </w:r>
          <w:r w:rsidRPr="00E20EFB">
            <w:rPr>
              <w:rFonts w:ascii="Arial" w:hAnsi="Arial"/>
              <w:noProof/>
              <w:sz w:val="20"/>
              <w:szCs w:val="20"/>
            </w:rPr>
            <w:fldChar w:fldCharType="end"/>
          </w:r>
        </w:p>
        <w:p w14:paraId="27F9982D"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4.4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Enrolment by semester</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_Toc278453325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42</w:t>
          </w:r>
          <w:r w:rsidRPr="00E20EFB">
            <w:rPr>
              <w:rFonts w:ascii="Arial" w:hAnsi="Arial"/>
              <w:noProof/>
              <w:sz w:val="20"/>
              <w:szCs w:val="20"/>
            </w:rPr>
            <w:fldChar w:fldCharType="end"/>
          </w:r>
        </w:p>
        <w:p w14:paraId="2D4FB510" w14:textId="77777777" w:rsidR="00E20EFB" w:rsidRPr="00E20EFB" w:rsidRDefault="00E20EFB" w:rsidP="00441936">
          <w:pPr>
            <w:pStyle w:val="TOC1"/>
            <w:rPr>
              <w:rFonts w:eastAsiaTheme="minorEastAsia" w:cstheme="minorBidi"/>
              <w:lang w:val="en-US" w:eastAsia="ja-JP"/>
            </w:rPr>
          </w:pPr>
          <w:r w:rsidRPr="00E20EFB">
            <w:t xml:space="preserve">5 </w:t>
          </w:r>
          <w:r w:rsidRPr="00E20EFB">
            <w:rPr>
              <w:rFonts w:eastAsiaTheme="minorEastAsia" w:cstheme="minorBidi"/>
              <w:lang w:val="en-US" w:eastAsia="ja-JP"/>
            </w:rPr>
            <w:tab/>
          </w:r>
          <w:r w:rsidRPr="00E20EFB">
            <w:t>Graduates and completion rates</w:t>
          </w:r>
          <w:r w:rsidRPr="00E20EFB">
            <w:tab/>
          </w:r>
          <w:r w:rsidRPr="00E20EFB">
            <w:fldChar w:fldCharType="begin"/>
          </w:r>
          <w:r w:rsidRPr="00E20EFB">
            <w:instrText xml:space="preserve"> PAGEREF _Toc278453326 \h </w:instrText>
          </w:r>
          <w:r w:rsidRPr="00E20EFB">
            <w:fldChar w:fldCharType="separate"/>
          </w:r>
          <w:r w:rsidR="00EA0B4D">
            <w:t>44</w:t>
          </w:r>
          <w:r w:rsidRPr="00E20EFB">
            <w:fldChar w:fldCharType="end"/>
          </w:r>
        </w:p>
        <w:p w14:paraId="65E201EC"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5.1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Output of graduates</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_Toc278453327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44</w:t>
          </w:r>
          <w:r w:rsidRPr="00E20EFB">
            <w:rPr>
              <w:rFonts w:ascii="Arial" w:hAnsi="Arial"/>
              <w:noProof/>
              <w:sz w:val="20"/>
              <w:szCs w:val="20"/>
            </w:rPr>
            <w:fldChar w:fldCharType="end"/>
          </w:r>
        </w:p>
        <w:p w14:paraId="2A70B625" w14:textId="77777777" w:rsidR="00E20EFB" w:rsidRPr="00E20EFB" w:rsidRDefault="00E20EFB">
          <w:pPr>
            <w:pStyle w:val="TOC2"/>
            <w:tabs>
              <w:tab w:val="left" w:pos="568"/>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 xml:space="preserve">5.2 </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Completion rates</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_Toc278453328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46</w:t>
          </w:r>
          <w:r w:rsidRPr="00E20EFB">
            <w:rPr>
              <w:rFonts w:ascii="Arial" w:hAnsi="Arial"/>
              <w:noProof/>
              <w:sz w:val="20"/>
              <w:szCs w:val="20"/>
            </w:rPr>
            <w:fldChar w:fldCharType="end"/>
          </w:r>
        </w:p>
        <w:p w14:paraId="41086323" w14:textId="77777777" w:rsidR="00E20EFB" w:rsidRPr="00E20EFB" w:rsidRDefault="00E20EFB" w:rsidP="00441936">
          <w:pPr>
            <w:pStyle w:val="TOC1"/>
            <w:rPr>
              <w:rFonts w:eastAsiaTheme="minorEastAsia" w:cstheme="minorBidi"/>
              <w:lang w:val="en-US" w:eastAsia="ja-JP"/>
            </w:rPr>
          </w:pPr>
          <w:r w:rsidRPr="00E20EFB">
            <w:t>6</w:t>
          </w:r>
          <w:r w:rsidRPr="00E20EFB">
            <w:rPr>
              <w:rFonts w:eastAsiaTheme="minorEastAsia" w:cstheme="minorBidi"/>
              <w:lang w:val="en-US" w:eastAsia="ja-JP"/>
            </w:rPr>
            <w:tab/>
          </w:r>
          <w:r w:rsidRPr="00E20EFB">
            <w:t>Staffing</w:t>
          </w:r>
          <w:r w:rsidRPr="00E20EFB">
            <w:tab/>
          </w:r>
          <w:r w:rsidRPr="00E20EFB">
            <w:fldChar w:fldCharType="begin"/>
          </w:r>
          <w:r w:rsidRPr="00E20EFB">
            <w:instrText xml:space="preserve"> PAGEREF _Toc278453329 \h </w:instrText>
          </w:r>
          <w:r w:rsidRPr="00E20EFB">
            <w:fldChar w:fldCharType="separate"/>
          </w:r>
          <w:r w:rsidR="00EA0B4D">
            <w:t>48</w:t>
          </w:r>
          <w:r w:rsidRPr="00E20EFB">
            <w:fldChar w:fldCharType="end"/>
          </w:r>
        </w:p>
        <w:p w14:paraId="79D00A4E" w14:textId="77777777" w:rsidR="00E20EFB" w:rsidRPr="00E20EFB" w:rsidRDefault="00E20EFB">
          <w:pPr>
            <w:pStyle w:val="TOC2"/>
            <w:tabs>
              <w:tab w:val="left" w:pos="519"/>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6.1</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Trainers and tutors</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_Toc278453330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48</w:t>
          </w:r>
          <w:r w:rsidRPr="00E20EFB">
            <w:rPr>
              <w:rFonts w:ascii="Arial" w:hAnsi="Arial"/>
              <w:noProof/>
              <w:sz w:val="20"/>
              <w:szCs w:val="20"/>
            </w:rPr>
            <w:fldChar w:fldCharType="end"/>
          </w:r>
        </w:p>
        <w:p w14:paraId="3D285550" w14:textId="77777777" w:rsidR="00E20EFB" w:rsidRPr="00E20EFB" w:rsidRDefault="00E20EFB">
          <w:pPr>
            <w:pStyle w:val="TOC2"/>
            <w:tabs>
              <w:tab w:val="left" w:pos="519"/>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6.2</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Students per teacher</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_Toc278453331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51</w:t>
          </w:r>
          <w:r w:rsidRPr="00E20EFB">
            <w:rPr>
              <w:rFonts w:ascii="Arial" w:hAnsi="Arial"/>
              <w:noProof/>
              <w:sz w:val="20"/>
              <w:szCs w:val="20"/>
            </w:rPr>
            <w:fldChar w:fldCharType="end"/>
          </w:r>
        </w:p>
        <w:p w14:paraId="4F5DA505" w14:textId="77777777" w:rsidR="00E20EFB" w:rsidRPr="00E20EFB" w:rsidRDefault="00E20EFB">
          <w:pPr>
            <w:pStyle w:val="TOC2"/>
            <w:tabs>
              <w:tab w:val="left" w:pos="519"/>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6.3</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Average class sizes</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_Toc278453332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52</w:t>
          </w:r>
          <w:r w:rsidRPr="00E20EFB">
            <w:rPr>
              <w:rFonts w:ascii="Arial" w:hAnsi="Arial"/>
              <w:noProof/>
              <w:sz w:val="20"/>
              <w:szCs w:val="20"/>
            </w:rPr>
            <w:fldChar w:fldCharType="end"/>
          </w:r>
        </w:p>
        <w:p w14:paraId="56908B2E" w14:textId="77777777" w:rsidR="00E20EFB" w:rsidRPr="00E20EFB" w:rsidRDefault="00E20EFB">
          <w:pPr>
            <w:pStyle w:val="TOC2"/>
            <w:tabs>
              <w:tab w:val="left" w:pos="519"/>
              <w:tab w:val="right" w:leader="dot" w:pos="8489"/>
            </w:tabs>
            <w:rPr>
              <w:rFonts w:ascii="Arial" w:eastAsiaTheme="minorEastAsia" w:hAnsi="Arial" w:cstheme="minorBidi"/>
              <w:noProof/>
              <w:sz w:val="20"/>
              <w:szCs w:val="20"/>
              <w:lang w:val="en-US" w:eastAsia="ja-JP"/>
            </w:rPr>
          </w:pPr>
          <w:r w:rsidRPr="00E20EFB">
            <w:rPr>
              <w:rFonts w:ascii="Arial" w:hAnsi="Arial"/>
              <w:noProof/>
              <w:sz w:val="20"/>
              <w:szCs w:val="20"/>
            </w:rPr>
            <w:t>6.4</w:t>
          </w:r>
          <w:r w:rsidRPr="00E20EFB">
            <w:rPr>
              <w:rFonts w:ascii="Arial" w:eastAsiaTheme="minorEastAsia" w:hAnsi="Arial" w:cstheme="minorBidi"/>
              <w:noProof/>
              <w:sz w:val="20"/>
              <w:szCs w:val="20"/>
              <w:lang w:val="en-US" w:eastAsia="ja-JP"/>
            </w:rPr>
            <w:tab/>
          </w:r>
          <w:r w:rsidRPr="00E20EFB">
            <w:rPr>
              <w:rFonts w:ascii="Arial" w:hAnsi="Arial"/>
              <w:noProof/>
              <w:sz w:val="20"/>
              <w:szCs w:val="20"/>
            </w:rPr>
            <w:t>Administrative (non-teaching) staff</w:t>
          </w:r>
          <w:r w:rsidRPr="00E20EFB">
            <w:rPr>
              <w:rFonts w:ascii="Arial" w:hAnsi="Arial"/>
              <w:noProof/>
              <w:sz w:val="20"/>
              <w:szCs w:val="20"/>
            </w:rPr>
            <w:tab/>
          </w:r>
          <w:r w:rsidRPr="00E20EFB">
            <w:rPr>
              <w:rFonts w:ascii="Arial" w:hAnsi="Arial"/>
              <w:noProof/>
              <w:sz w:val="20"/>
              <w:szCs w:val="20"/>
            </w:rPr>
            <w:fldChar w:fldCharType="begin"/>
          </w:r>
          <w:r w:rsidRPr="00E20EFB">
            <w:rPr>
              <w:rFonts w:ascii="Arial" w:hAnsi="Arial"/>
              <w:noProof/>
              <w:sz w:val="20"/>
              <w:szCs w:val="20"/>
            </w:rPr>
            <w:instrText xml:space="preserve"> PAGEREF _Toc278453333 \h </w:instrText>
          </w:r>
          <w:r w:rsidRPr="00E20EFB">
            <w:rPr>
              <w:rFonts w:ascii="Arial" w:hAnsi="Arial"/>
              <w:noProof/>
              <w:sz w:val="20"/>
              <w:szCs w:val="20"/>
            </w:rPr>
          </w:r>
          <w:r w:rsidRPr="00E20EFB">
            <w:rPr>
              <w:rFonts w:ascii="Arial" w:hAnsi="Arial"/>
              <w:noProof/>
              <w:sz w:val="20"/>
              <w:szCs w:val="20"/>
            </w:rPr>
            <w:fldChar w:fldCharType="separate"/>
          </w:r>
          <w:r w:rsidR="00EA0B4D">
            <w:rPr>
              <w:rFonts w:ascii="Arial" w:hAnsi="Arial"/>
              <w:noProof/>
              <w:sz w:val="20"/>
              <w:szCs w:val="20"/>
            </w:rPr>
            <w:t>54</w:t>
          </w:r>
          <w:r w:rsidRPr="00E20EFB">
            <w:rPr>
              <w:rFonts w:ascii="Arial" w:hAnsi="Arial"/>
              <w:noProof/>
              <w:sz w:val="20"/>
              <w:szCs w:val="20"/>
            </w:rPr>
            <w:fldChar w:fldCharType="end"/>
          </w:r>
        </w:p>
        <w:p w14:paraId="02383FCD" w14:textId="26370706" w:rsidR="00E20EFB" w:rsidRPr="00E20EFB" w:rsidRDefault="00BD7C22">
          <w:pPr>
            <w:pStyle w:val="TOC2"/>
            <w:tabs>
              <w:tab w:val="left" w:pos="568"/>
              <w:tab w:val="right" w:leader="dot" w:pos="8489"/>
            </w:tabs>
            <w:rPr>
              <w:rFonts w:ascii="Arial" w:eastAsiaTheme="minorEastAsia" w:hAnsi="Arial" w:cstheme="minorBidi"/>
              <w:noProof/>
              <w:sz w:val="20"/>
              <w:szCs w:val="20"/>
              <w:lang w:val="en-US" w:eastAsia="ja-JP"/>
            </w:rPr>
          </w:pPr>
          <w:r>
            <w:rPr>
              <w:rFonts w:ascii="Arial" w:hAnsi="Arial"/>
              <w:noProof/>
              <w:sz w:val="20"/>
              <w:szCs w:val="20"/>
            </w:rPr>
            <w:t>6.5</w:t>
          </w:r>
          <w:r w:rsidR="00E20EFB" w:rsidRPr="00E20EFB">
            <w:rPr>
              <w:rFonts w:ascii="Arial" w:eastAsiaTheme="minorEastAsia" w:hAnsi="Arial" w:cstheme="minorBidi"/>
              <w:noProof/>
              <w:sz w:val="20"/>
              <w:szCs w:val="20"/>
              <w:lang w:val="en-US" w:eastAsia="ja-JP"/>
            </w:rPr>
            <w:tab/>
          </w:r>
          <w:r w:rsidR="00E20EFB" w:rsidRPr="00E20EFB">
            <w:rPr>
              <w:rFonts w:ascii="Arial" w:hAnsi="Arial"/>
              <w:noProof/>
              <w:sz w:val="20"/>
              <w:szCs w:val="20"/>
            </w:rPr>
            <w:t>Management and administrative staff</w:t>
          </w:r>
          <w:r w:rsidR="00E20EFB" w:rsidRPr="00E20EFB">
            <w:rPr>
              <w:rFonts w:ascii="Arial" w:hAnsi="Arial"/>
              <w:noProof/>
              <w:sz w:val="20"/>
              <w:szCs w:val="20"/>
            </w:rPr>
            <w:tab/>
          </w:r>
          <w:r w:rsidR="00E20EFB" w:rsidRPr="00E20EFB">
            <w:rPr>
              <w:rFonts w:ascii="Arial" w:hAnsi="Arial"/>
              <w:noProof/>
              <w:sz w:val="20"/>
              <w:szCs w:val="20"/>
            </w:rPr>
            <w:fldChar w:fldCharType="begin"/>
          </w:r>
          <w:r w:rsidR="00E20EFB" w:rsidRPr="00E20EFB">
            <w:rPr>
              <w:rFonts w:ascii="Arial" w:hAnsi="Arial"/>
              <w:noProof/>
              <w:sz w:val="20"/>
              <w:szCs w:val="20"/>
            </w:rPr>
            <w:instrText xml:space="preserve"> PAGEREF _Toc278453334 \h </w:instrText>
          </w:r>
          <w:r w:rsidR="00E20EFB" w:rsidRPr="00E20EFB">
            <w:rPr>
              <w:rFonts w:ascii="Arial" w:hAnsi="Arial"/>
              <w:noProof/>
              <w:sz w:val="20"/>
              <w:szCs w:val="20"/>
            </w:rPr>
          </w:r>
          <w:r w:rsidR="00E20EFB" w:rsidRPr="00E20EFB">
            <w:rPr>
              <w:rFonts w:ascii="Arial" w:hAnsi="Arial"/>
              <w:noProof/>
              <w:sz w:val="20"/>
              <w:szCs w:val="20"/>
            </w:rPr>
            <w:fldChar w:fldCharType="separate"/>
          </w:r>
          <w:r w:rsidR="00EA0B4D">
            <w:rPr>
              <w:rFonts w:ascii="Arial" w:hAnsi="Arial"/>
              <w:noProof/>
              <w:sz w:val="20"/>
              <w:szCs w:val="20"/>
            </w:rPr>
            <w:t>56</w:t>
          </w:r>
          <w:r w:rsidR="00E20EFB" w:rsidRPr="00E20EFB">
            <w:rPr>
              <w:rFonts w:ascii="Arial" w:hAnsi="Arial"/>
              <w:noProof/>
              <w:sz w:val="20"/>
              <w:szCs w:val="20"/>
            </w:rPr>
            <w:fldChar w:fldCharType="end"/>
          </w:r>
        </w:p>
        <w:p w14:paraId="53E80CEA" w14:textId="7E37D749" w:rsidR="006D1FCA" w:rsidRDefault="00546F37" w:rsidP="00441936">
          <w:pPr>
            <w:pStyle w:val="TOC1"/>
          </w:pPr>
          <w:r w:rsidRPr="00E20EFB">
            <w:fldChar w:fldCharType="end"/>
          </w:r>
        </w:p>
        <w:p w14:paraId="27652ACB" w14:textId="7F6E49AE" w:rsidR="00C13BE5" w:rsidRPr="00E20EFB" w:rsidRDefault="006D1FCA" w:rsidP="00E20EFB">
          <w:pPr>
            <w:pStyle w:val="Header"/>
            <w:rPr>
              <w:b w:val="0"/>
              <w:noProof/>
              <w:sz w:val="24"/>
            </w:rPr>
          </w:pPr>
          <w:r w:rsidRPr="001C2F79">
            <w:rPr>
              <w:sz w:val="24"/>
            </w:rPr>
            <w:t>List of tables</w:t>
          </w:r>
          <w:r w:rsidRPr="00C13BE5">
            <w:rPr>
              <w:rFonts w:cs="Arial"/>
              <w:sz w:val="20"/>
              <w:szCs w:val="20"/>
            </w:rPr>
            <w:fldChar w:fldCharType="begin"/>
          </w:r>
          <w:r w:rsidRPr="00C13BE5">
            <w:rPr>
              <w:rFonts w:cs="Arial"/>
              <w:sz w:val="20"/>
              <w:szCs w:val="20"/>
            </w:rPr>
            <w:instrText xml:space="preserve"> TOC \t "Table heading" \c </w:instrText>
          </w:r>
          <w:r w:rsidRPr="00C13BE5">
            <w:rPr>
              <w:rFonts w:cs="Arial"/>
              <w:sz w:val="20"/>
              <w:szCs w:val="20"/>
            </w:rPr>
            <w:fldChar w:fldCharType="separate"/>
          </w:r>
        </w:p>
        <w:p w14:paraId="6F277F44" w14:textId="2213D9A2" w:rsidR="00C13BE5" w:rsidRPr="00C13BE5" w:rsidRDefault="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Table 3.1.1: Number of applicants, those el</w:t>
          </w:r>
          <w:r>
            <w:rPr>
              <w:noProof/>
              <w:sz w:val="20"/>
              <w:szCs w:val="20"/>
            </w:rPr>
            <w:t xml:space="preserve">igible, scholarship awards and </w:t>
          </w:r>
          <w:r>
            <w:rPr>
              <w:noProof/>
              <w:sz w:val="20"/>
              <w:szCs w:val="20"/>
            </w:rPr>
            <w:br/>
            <w:t xml:space="preserve">   </w:t>
          </w:r>
          <w:r w:rsidRPr="00C13BE5">
            <w:rPr>
              <w:noProof/>
              <w:sz w:val="20"/>
              <w:szCs w:val="20"/>
            </w:rPr>
            <w:t>uptake by stage, total and for females</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_Toc278446862 \h </w:instrText>
          </w:r>
          <w:r w:rsidRPr="00C13BE5">
            <w:rPr>
              <w:noProof/>
              <w:sz w:val="20"/>
              <w:szCs w:val="20"/>
            </w:rPr>
          </w:r>
          <w:r w:rsidRPr="00C13BE5">
            <w:rPr>
              <w:noProof/>
              <w:sz w:val="20"/>
              <w:szCs w:val="20"/>
            </w:rPr>
            <w:fldChar w:fldCharType="separate"/>
          </w:r>
          <w:r w:rsidR="00EA0B4D">
            <w:rPr>
              <w:noProof/>
              <w:sz w:val="20"/>
              <w:szCs w:val="20"/>
            </w:rPr>
            <w:t>31</w:t>
          </w:r>
          <w:r w:rsidRPr="00C13BE5">
            <w:rPr>
              <w:noProof/>
              <w:sz w:val="20"/>
              <w:szCs w:val="20"/>
            </w:rPr>
            <w:fldChar w:fldCharType="end"/>
          </w:r>
        </w:p>
        <w:p w14:paraId="1159D5DD" w14:textId="77777777" w:rsidR="00C13BE5" w:rsidRPr="00C13BE5" w:rsidRDefault="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Table 3.1.2: Applicants and those eligible by nationality and stage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_Toc278446864 \h </w:instrText>
          </w:r>
          <w:r w:rsidRPr="00C13BE5">
            <w:rPr>
              <w:noProof/>
              <w:sz w:val="20"/>
              <w:szCs w:val="20"/>
            </w:rPr>
          </w:r>
          <w:r w:rsidRPr="00C13BE5">
            <w:rPr>
              <w:noProof/>
              <w:sz w:val="20"/>
              <w:szCs w:val="20"/>
            </w:rPr>
            <w:fldChar w:fldCharType="separate"/>
          </w:r>
          <w:r w:rsidR="00EA0B4D">
            <w:rPr>
              <w:noProof/>
              <w:sz w:val="20"/>
              <w:szCs w:val="20"/>
            </w:rPr>
            <w:t>32</w:t>
          </w:r>
          <w:r w:rsidRPr="00C13BE5">
            <w:rPr>
              <w:noProof/>
              <w:sz w:val="20"/>
              <w:szCs w:val="20"/>
            </w:rPr>
            <w:fldChar w:fldCharType="end"/>
          </w:r>
        </w:p>
        <w:p w14:paraId="3E6E2AE5" w14:textId="77777777" w:rsidR="00C13BE5" w:rsidRPr="00C13BE5" w:rsidRDefault="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Table 3.1.3: Ratio of entrants to applicants by nationality</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_Toc278446865 \h </w:instrText>
          </w:r>
          <w:r w:rsidRPr="00C13BE5">
            <w:rPr>
              <w:noProof/>
              <w:sz w:val="20"/>
              <w:szCs w:val="20"/>
            </w:rPr>
          </w:r>
          <w:r w:rsidRPr="00C13BE5">
            <w:rPr>
              <w:noProof/>
              <w:sz w:val="20"/>
              <w:szCs w:val="20"/>
            </w:rPr>
            <w:fldChar w:fldCharType="separate"/>
          </w:r>
          <w:r w:rsidR="00EA0B4D">
            <w:rPr>
              <w:noProof/>
              <w:sz w:val="20"/>
              <w:szCs w:val="20"/>
            </w:rPr>
            <w:t>33</w:t>
          </w:r>
          <w:r w:rsidRPr="00C13BE5">
            <w:rPr>
              <w:noProof/>
              <w:sz w:val="20"/>
              <w:szCs w:val="20"/>
            </w:rPr>
            <w:fldChar w:fldCharType="end"/>
          </w:r>
        </w:p>
        <w:p w14:paraId="23706218" w14:textId="77777777" w:rsidR="00C13BE5" w:rsidRPr="00C13BE5" w:rsidRDefault="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Table 3.1.4: </w:t>
          </w:r>
          <w:r w:rsidRPr="00C13BE5">
            <w:rPr>
              <w:rFonts w:eastAsia="Calibri"/>
              <w:noProof/>
              <w:sz w:val="20"/>
              <w:szCs w:val="20"/>
            </w:rPr>
            <w:t>Scholarship awards as a percentage of applicants by nationality</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_Toc278446866 \h </w:instrText>
          </w:r>
          <w:r w:rsidRPr="00C13BE5">
            <w:rPr>
              <w:noProof/>
              <w:sz w:val="20"/>
              <w:szCs w:val="20"/>
            </w:rPr>
          </w:r>
          <w:r w:rsidRPr="00C13BE5">
            <w:rPr>
              <w:noProof/>
              <w:sz w:val="20"/>
              <w:szCs w:val="20"/>
            </w:rPr>
            <w:fldChar w:fldCharType="separate"/>
          </w:r>
          <w:r w:rsidR="00EA0B4D">
            <w:rPr>
              <w:noProof/>
              <w:sz w:val="20"/>
              <w:szCs w:val="20"/>
            </w:rPr>
            <w:t>33</w:t>
          </w:r>
          <w:r w:rsidRPr="00C13BE5">
            <w:rPr>
              <w:noProof/>
              <w:sz w:val="20"/>
              <w:szCs w:val="20"/>
            </w:rPr>
            <w:fldChar w:fldCharType="end"/>
          </w:r>
        </w:p>
        <w:p w14:paraId="296FF076" w14:textId="77777777" w:rsidR="00C13BE5" w:rsidRPr="00C13BE5" w:rsidRDefault="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Table 3.2.1: Applicants on waiting list, by campus, and as percentage of  current enrolment</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_Toc278446867 \h </w:instrText>
          </w:r>
          <w:r w:rsidRPr="00C13BE5">
            <w:rPr>
              <w:noProof/>
              <w:sz w:val="20"/>
              <w:szCs w:val="20"/>
            </w:rPr>
          </w:r>
          <w:r w:rsidRPr="00C13BE5">
            <w:rPr>
              <w:noProof/>
              <w:sz w:val="20"/>
              <w:szCs w:val="20"/>
            </w:rPr>
            <w:fldChar w:fldCharType="separate"/>
          </w:r>
          <w:r w:rsidR="00EA0B4D">
            <w:rPr>
              <w:noProof/>
              <w:sz w:val="20"/>
              <w:szCs w:val="20"/>
            </w:rPr>
            <w:t>33</w:t>
          </w:r>
          <w:r w:rsidRPr="00C13BE5">
            <w:rPr>
              <w:noProof/>
              <w:sz w:val="20"/>
              <w:szCs w:val="20"/>
            </w:rPr>
            <w:fldChar w:fldCharType="end"/>
          </w:r>
        </w:p>
        <w:p w14:paraId="6201A7A6"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Table 3.3.1: Percentage of entrants by funding source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_Toc278446869 \h </w:instrText>
          </w:r>
          <w:r w:rsidRPr="00C13BE5">
            <w:rPr>
              <w:noProof/>
              <w:sz w:val="20"/>
              <w:szCs w:val="20"/>
            </w:rPr>
          </w:r>
          <w:r w:rsidRPr="00C13BE5">
            <w:rPr>
              <w:noProof/>
              <w:sz w:val="20"/>
              <w:szCs w:val="20"/>
            </w:rPr>
            <w:fldChar w:fldCharType="separate"/>
          </w:r>
          <w:r w:rsidR="00EA0B4D">
            <w:rPr>
              <w:noProof/>
              <w:sz w:val="20"/>
              <w:szCs w:val="20"/>
            </w:rPr>
            <w:t>35</w:t>
          </w:r>
          <w:r w:rsidRPr="00C13BE5">
            <w:rPr>
              <w:noProof/>
              <w:sz w:val="20"/>
              <w:szCs w:val="20"/>
            </w:rPr>
            <w:fldChar w:fldCharType="end"/>
          </w:r>
        </w:p>
        <w:p w14:paraId="202E6E3B"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lang w:val="en-US"/>
            </w:rPr>
            <w:t>Table 4.3.1: Females enrolled in traditionally male occupations</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_Toc278446883 \h </w:instrText>
          </w:r>
          <w:r w:rsidRPr="00C13BE5">
            <w:rPr>
              <w:noProof/>
              <w:sz w:val="20"/>
              <w:szCs w:val="20"/>
            </w:rPr>
          </w:r>
          <w:r w:rsidRPr="00C13BE5">
            <w:rPr>
              <w:noProof/>
              <w:sz w:val="20"/>
              <w:szCs w:val="20"/>
            </w:rPr>
            <w:fldChar w:fldCharType="separate"/>
          </w:r>
          <w:r w:rsidR="00EA0B4D">
            <w:rPr>
              <w:noProof/>
              <w:sz w:val="20"/>
              <w:szCs w:val="20"/>
            </w:rPr>
            <w:t>42</w:t>
          </w:r>
          <w:r w:rsidRPr="00C13BE5">
            <w:rPr>
              <w:noProof/>
              <w:sz w:val="20"/>
              <w:szCs w:val="20"/>
            </w:rPr>
            <w:fldChar w:fldCharType="end"/>
          </w:r>
        </w:p>
        <w:p w14:paraId="647F9248" w14:textId="360FC3BC"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Table 5.2.1a: Completion rates – total,</w:t>
          </w:r>
          <w:r>
            <w:rPr>
              <w:noProof/>
              <w:sz w:val="20"/>
              <w:szCs w:val="20"/>
            </w:rPr>
            <w:t xml:space="preserve"> by school, gender, age group, </w:t>
          </w:r>
          <w:r w:rsidRPr="00C13BE5">
            <w:rPr>
              <w:noProof/>
              <w:sz w:val="20"/>
              <w:szCs w:val="20"/>
            </w:rPr>
            <w:t>employment status</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_Toc278446891 \h </w:instrText>
          </w:r>
          <w:r w:rsidRPr="00C13BE5">
            <w:rPr>
              <w:noProof/>
              <w:sz w:val="20"/>
              <w:szCs w:val="20"/>
            </w:rPr>
          </w:r>
          <w:r w:rsidRPr="00C13BE5">
            <w:rPr>
              <w:noProof/>
              <w:sz w:val="20"/>
              <w:szCs w:val="20"/>
            </w:rPr>
            <w:fldChar w:fldCharType="separate"/>
          </w:r>
          <w:r w:rsidR="00EA0B4D">
            <w:rPr>
              <w:noProof/>
              <w:sz w:val="20"/>
              <w:szCs w:val="20"/>
            </w:rPr>
            <w:t>47</w:t>
          </w:r>
          <w:r w:rsidRPr="00C13BE5">
            <w:rPr>
              <w:noProof/>
              <w:sz w:val="20"/>
              <w:szCs w:val="20"/>
            </w:rPr>
            <w:fldChar w:fldCharType="end"/>
          </w:r>
        </w:p>
        <w:p w14:paraId="0D1BBD6F"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Table 5.2.1b: Completion rates by campus country and nationality</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_Toc278446892 \h </w:instrText>
          </w:r>
          <w:r w:rsidRPr="00C13BE5">
            <w:rPr>
              <w:noProof/>
              <w:sz w:val="20"/>
              <w:szCs w:val="20"/>
            </w:rPr>
          </w:r>
          <w:r w:rsidRPr="00C13BE5">
            <w:rPr>
              <w:noProof/>
              <w:sz w:val="20"/>
              <w:szCs w:val="20"/>
            </w:rPr>
            <w:fldChar w:fldCharType="separate"/>
          </w:r>
          <w:r w:rsidR="00EA0B4D">
            <w:rPr>
              <w:noProof/>
              <w:sz w:val="20"/>
              <w:szCs w:val="20"/>
            </w:rPr>
            <w:t>47</w:t>
          </w:r>
          <w:r w:rsidRPr="00C13BE5">
            <w:rPr>
              <w:noProof/>
              <w:sz w:val="20"/>
              <w:szCs w:val="20"/>
            </w:rPr>
            <w:fldChar w:fldCharType="end"/>
          </w:r>
        </w:p>
        <w:p w14:paraId="6F5DA9C0"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Table 6.4.1: Academic and non-academic st</w:t>
          </w:r>
          <w:r>
            <w:rPr>
              <w:noProof/>
              <w:sz w:val="20"/>
              <w:szCs w:val="20"/>
            </w:rPr>
            <w:t xml:space="preserve">aff by nationality and gender, </w:t>
          </w:r>
          <w:r w:rsidRPr="00C13BE5">
            <w:rPr>
              <w:noProof/>
              <w:sz w:val="20"/>
              <w:szCs w:val="20"/>
            </w:rPr>
            <w:t>June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_Toc278446904 \h </w:instrText>
          </w:r>
          <w:r w:rsidRPr="00C13BE5">
            <w:rPr>
              <w:noProof/>
              <w:sz w:val="20"/>
              <w:szCs w:val="20"/>
            </w:rPr>
          </w:r>
          <w:r w:rsidRPr="00C13BE5">
            <w:rPr>
              <w:noProof/>
              <w:sz w:val="20"/>
              <w:szCs w:val="20"/>
            </w:rPr>
            <w:fldChar w:fldCharType="separate"/>
          </w:r>
          <w:r w:rsidR="00EA0B4D">
            <w:rPr>
              <w:noProof/>
              <w:sz w:val="20"/>
              <w:szCs w:val="20"/>
            </w:rPr>
            <w:t>54</w:t>
          </w:r>
          <w:r w:rsidRPr="00C13BE5">
            <w:rPr>
              <w:noProof/>
              <w:sz w:val="20"/>
              <w:szCs w:val="20"/>
            </w:rPr>
            <w:fldChar w:fldCharType="end"/>
          </w:r>
        </w:p>
        <w:p w14:paraId="56D59F7B" w14:textId="77777777" w:rsidR="00C13BE5" w:rsidRDefault="00C13BE5">
          <w:pPr>
            <w:pStyle w:val="TableofFigures"/>
            <w:tabs>
              <w:tab w:val="right" w:leader="dot" w:pos="8489"/>
            </w:tabs>
            <w:rPr>
              <w:noProof/>
              <w:sz w:val="20"/>
              <w:szCs w:val="20"/>
            </w:rPr>
          </w:pPr>
        </w:p>
        <w:p w14:paraId="136EA0A2" w14:textId="77777777" w:rsidR="00E20EFB" w:rsidRDefault="006D1FCA" w:rsidP="00E20EFB">
          <w:pPr>
            <w:rPr>
              <w:sz w:val="20"/>
              <w:szCs w:val="20"/>
            </w:rPr>
          </w:pPr>
          <w:r w:rsidRPr="00C13BE5">
            <w:rPr>
              <w:rFonts w:cs="Arial"/>
              <w:sz w:val="20"/>
              <w:szCs w:val="20"/>
            </w:rPr>
            <w:fldChar w:fldCharType="end"/>
          </w:r>
        </w:p>
      </w:sdtContent>
    </w:sdt>
    <w:p w14:paraId="71777760" w14:textId="189B2888" w:rsidR="006D1FCA" w:rsidRPr="00E20EFB" w:rsidRDefault="006D1FCA" w:rsidP="00E20EFB">
      <w:pPr>
        <w:rPr>
          <w:sz w:val="20"/>
          <w:szCs w:val="20"/>
        </w:rPr>
      </w:pPr>
      <w:r>
        <w:rPr>
          <w:sz w:val="24"/>
        </w:rPr>
        <w:br w:type="page"/>
      </w:r>
    </w:p>
    <w:p w14:paraId="3E553574" w14:textId="31DFCAE5" w:rsidR="00FC22E6" w:rsidRPr="001C2F79" w:rsidRDefault="00FC22E6" w:rsidP="00FC22E6">
      <w:pPr>
        <w:pStyle w:val="Header"/>
        <w:rPr>
          <w:b w:val="0"/>
          <w:sz w:val="24"/>
        </w:rPr>
      </w:pPr>
      <w:r w:rsidRPr="001C2F79">
        <w:rPr>
          <w:sz w:val="24"/>
        </w:rPr>
        <w:lastRenderedPageBreak/>
        <w:t xml:space="preserve">List of figures </w:t>
      </w:r>
    </w:p>
    <w:p w14:paraId="475B803C"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Figure 2.1.1: Number of courses offered by school and level of qualification</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_Toc278446854 \h </w:instrText>
      </w:r>
      <w:r w:rsidRPr="00C13BE5">
        <w:rPr>
          <w:noProof/>
          <w:sz w:val="20"/>
          <w:szCs w:val="20"/>
        </w:rPr>
      </w:r>
      <w:r w:rsidRPr="00C13BE5">
        <w:rPr>
          <w:noProof/>
          <w:sz w:val="20"/>
          <w:szCs w:val="20"/>
        </w:rPr>
        <w:fldChar w:fldCharType="separate"/>
      </w:r>
      <w:r w:rsidR="00EA0B4D">
        <w:rPr>
          <w:noProof/>
          <w:sz w:val="20"/>
          <w:szCs w:val="20"/>
        </w:rPr>
        <w:t>27</w:t>
      </w:r>
      <w:r w:rsidRPr="00C13BE5">
        <w:rPr>
          <w:noProof/>
          <w:sz w:val="20"/>
          <w:szCs w:val="20"/>
        </w:rPr>
        <w:fldChar w:fldCharType="end"/>
      </w:r>
    </w:p>
    <w:p w14:paraId="1C53582A"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2.1.2: </w:t>
      </w:r>
      <w:r w:rsidRPr="00C13BE5">
        <w:rPr>
          <w:bCs/>
          <w:noProof/>
          <w:sz w:val="20"/>
          <w:szCs w:val="20"/>
        </w:rPr>
        <w:t>Total number of courses offered by training area (all levels, current)</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_Toc278446855 \h </w:instrText>
      </w:r>
      <w:r w:rsidRPr="00C13BE5">
        <w:rPr>
          <w:noProof/>
          <w:sz w:val="20"/>
          <w:szCs w:val="20"/>
        </w:rPr>
      </w:r>
      <w:r w:rsidRPr="00C13BE5">
        <w:rPr>
          <w:noProof/>
          <w:sz w:val="20"/>
          <w:szCs w:val="20"/>
        </w:rPr>
        <w:fldChar w:fldCharType="separate"/>
      </w:r>
      <w:r w:rsidR="00EA0B4D">
        <w:rPr>
          <w:noProof/>
          <w:sz w:val="20"/>
          <w:szCs w:val="20"/>
        </w:rPr>
        <w:t>27</w:t>
      </w:r>
      <w:r w:rsidRPr="00C13BE5">
        <w:rPr>
          <w:noProof/>
          <w:sz w:val="20"/>
          <w:szCs w:val="20"/>
        </w:rPr>
        <w:fldChar w:fldCharType="end"/>
      </w:r>
    </w:p>
    <w:p w14:paraId="4469F8FB" w14:textId="160E8C0D"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2.1.3: </w:t>
      </w:r>
      <w:r w:rsidRPr="00C13BE5">
        <w:rPr>
          <w:bCs/>
          <w:noProof/>
          <w:sz w:val="20"/>
          <w:szCs w:val="20"/>
        </w:rPr>
        <w:t>Number of courses delivered</w:t>
      </w:r>
      <w:r w:rsidR="005666F7">
        <w:rPr>
          <w:bCs/>
          <w:noProof/>
          <w:sz w:val="20"/>
          <w:szCs w:val="20"/>
        </w:rPr>
        <w:t xml:space="preserve"> by level of qualification and </w:t>
      </w:r>
      <w:r w:rsidRPr="00C13BE5">
        <w:rPr>
          <w:bCs/>
          <w:noProof/>
          <w:sz w:val="20"/>
          <w:szCs w:val="20"/>
        </w:rPr>
        <w:t>campus country</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_Toc278446856 \h </w:instrText>
      </w:r>
      <w:r w:rsidRPr="00C13BE5">
        <w:rPr>
          <w:noProof/>
          <w:sz w:val="20"/>
          <w:szCs w:val="20"/>
        </w:rPr>
      </w:r>
      <w:r w:rsidRPr="00C13BE5">
        <w:rPr>
          <w:noProof/>
          <w:sz w:val="20"/>
          <w:szCs w:val="20"/>
        </w:rPr>
        <w:fldChar w:fldCharType="separate"/>
      </w:r>
      <w:r w:rsidR="00EA0B4D">
        <w:rPr>
          <w:noProof/>
          <w:sz w:val="20"/>
          <w:szCs w:val="20"/>
        </w:rPr>
        <w:t>28</w:t>
      </w:r>
      <w:r w:rsidRPr="00C13BE5">
        <w:rPr>
          <w:noProof/>
          <w:sz w:val="20"/>
          <w:szCs w:val="20"/>
        </w:rPr>
        <w:fldChar w:fldCharType="end"/>
      </w:r>
    </w:p>
    <w:p w14:paraId="30819817"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2.2.1: </w:t>
      </w:r>
      <w:r w:rsidRPr="00C13BE5">
        <w:rPr>
          <w:bCs/>
          <w:noProof/>
          <w:sz w:val="20"/>
          <w:szCs w:val="20"/>
        </w:rPr>
        <w:t>Number of courses offered by school and semester, 2007–2014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_Toc278446857 \h </w:instrText>
      </w:r>
      <w:r w:rsidRPr="00C13BE5">
        <w:rPr>
          <w:noProof/>
          <w:sz w:val="20"/>
          <w:szCs w:val="20"/>
        </w:rPr>
      </w:r>
      <w:r w:rsidRPr="00C13BE5">
        <w:rPr>
          <w:noProof/>
          <w:sz w:val="20"/>
          <w:szCs w:val="20"/>
        </w:rPr>
        <w:fldChar w:fldCharType="separate"/>
      </w:r>
      <w:r w:rsidR="00EA0B4D">
        <w:rPr>
          <w:noProof/>
          <w:sz w:val="20"/>
          <w:szCs w:val="20"/>
        </w:rPr>
        <w:t>28</w:t>
      </w:r>
      <w:r w:rsidRPr="00C13BE5">
        <w:rPr>
          <w:noProof/>
          <w:sz w:val="20"/>
          <w:szCs w:val="20"/>
        </w:rPr>
        <w:fldChar w:fldCharType="end"/>
      </w:r>
    </w:p>
    <w:p w14:paraId="76B47B33"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2.3.1: </w:t>
      </w:r>
      <w:r w:rsidRPr="00C13BE5">
        <w:rPr>
          <w:bCs/>
          <w:noProof/>
          <w:sz w:val="20"/>
          <w:szCs w:val="20"/>
        </w:rPr>
        <w:t>APTC’s least-offered courses</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_Toc278446858 \h </w:instrText>
      </w:r>
      <w:r w:rsidRPr="00C13BE5">
        <w:rPr>
          <w:noProof/>
          <w:sz w:val="20"/>
          <w:szCs w:val="20"/>
        </w:rPr>
      </w:r>
      <w:r w:rsidRPr="00C13BE5">
        <w:rPr>
          <w:noProof/>
          <w:sz w:val="20"/>
          <w:szCs w:val="20"/>
        </w:rPr>
        <w:fldChar w:fldCharType="separate"/>
      </w:r>
      <w:r w:rsidR="00EA0B4D">
        <w:rPr>
          <w:noProof/>
          <w:sz w:val="20"/>
          <w:szCs w:val="20"/>
        </w:rPr>
        <w:t>29</w:t>
      </w:r>
      <w:r w:rsidRPr="00C13BE5">
        <w:rPr>
          <w:noProof/>
          <w:sz w:val="20"/>
          <w:szCs w:val="20"/>
        </w:rPr>
        <w:fldChar w:fldCharType="end"/>
      </w:r>
    </w:p>
    <w:p w14:paraId="04E7535C"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2.3.2: </w:t>
      </w:r>
      <w:r w:rsidRPr="00C13BE5">
        <w:rPr>
          <w:bCs/>
          <w:noProof/>
          <w:sz w:val="20"/>
          <w:szCs w:val="20"/>
        </w:rPr>
        <w:t>APTC’s most-offered courses by number of times delivered</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_Toc278446859 \h </w:instrText>
      </w:r>
      <w:r w:rsidRPr="00C13BE5">
        <w:rPr>
          <w:noProof/>
          <w:sz w:val="20"/>
          <w:szCs w:val="20"/>
        </w:rPr>
      </w:r>
      <w:r w:rsidRPr="00C13BE5">
        <w:rPr>
          <w:noProof/>
          <w:sz w:val="20"/>
          <w:szCs w:val="20"/>
        </w:rPr>
        <w:fldChar w:fldCharType="separate"/>
      </w:r>
      <w:r w:rsidR="00EA0B4D">
        <w:rPr>
          <w:noProof/>
          <w:sz w:val="20"/>
          <w:szCs w:val="20"/>
        </w:rPr>
        <w:t>29</w:t>
      </w:r>
      <w:r w:rsidRPr="00C13BE5">
        <w:rPr>
          <w:noProof/>
          <w:sz w:val="20"/>
          <w:szCs w:val="20"/>
        </w:rPr>
        <w:fldChar w:fldCharType="end"/>
      </w:r>
    </w:p>
    <w:p w14:paraId="39759F67"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2.3.3: </w:t>
      </w:r>
      <w:r w:rsidRPr="00C13BE5">
        <w:rPr>
          <w:bCs/>
          <w:noProof/>
          <w:sz w:val="20"/>
          <w:szCs w:val="20"/>
        </w:rPr>
        <w:t>APTC qualifications added in Stage II and number of times delivered</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_Toc278446860 \h </w:instrText>
      </w:r>
      <w:r w:rsidRPr="00C13BE5">
        <w:rPr>
          <w:noProof/>
          <w:sz w:val="20"/>
          <w:szCs w:val="20"/>
        </w:rPr>
      </w:r>
      <w:r w:rsidRPr="00C13BE5">
        <w:rPr>
          <w:noProof/>
          <w:sz w:val="20"/>
          <w:szCs w:val="20"/>
        </w:rPr>
        <w:fldChar w:fldCharType="separate"/>
      </w:r>
      <w:r w:rsidR="00EA0B4D">
        <w:rPr>
          <w:noProof/>
          <w:sz w:val="20"/>
          <w:szCs w:val="20"/>
        </w:rPr>
        <w:t>30</w:t>
      </w:r>
      <w:r w:rsidRPr="00C13BE5">
        <w:rPr>
          <w:noProof/>
          <w:sz w:val="20"/>
          <w:szCs w:val="20"/>
        </w:rPr>
        <w:fldChar w:fldCharType="end"/>
      </w:r>
    </w:p>
    <w:p w14:paraId="707107FC"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2.3.4: </w:t>
      </w:r>
      <w:r w:rsidRPr="00C13BE5">
        <w:rPr>
          <w:bCs/>
          <w:noProof/>
          <w:sz w:val="20"/>
          <w:szCs w:val="20"/>
        </w:rPr>
        <w:t>Number of courses per training package by school and stage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_Toc278446861 \h </w:instrText>
      </w:r>
      <w:r w:rsidRPr="00C13BE5">
        <w:rPr>
          <w:noProof/>
          <w:sz w:val="20"/>
          <w:szCs w:val="20"/>
        </w:rPr>
      </w:r>
      <w:r w:rsidRPr="00C13BE5">
        <w:rPr>
          <w:noProof/>
          <w:sz w:val="20"/>
          <w:szCs w:val="20"/>
        </w:rPr>
        <w:fldChar w:fldCharType="separate"/>
      </w:r>
      <w:r w:rsidR="00EA0B4D">
        <w:rPr>
          <w:noProof/>
          <w:sz w:val="20"/>
          <w:szCs w:val="20"/>
        </w:rPr>
        <w:t>30</w:t>
      </w:r>
      <w:r w:rsidRPr="00C13BE5">
        <w:rPr>
          <w:noProof/>
          <w:sz w:val="20"/>
          <w:szCs w:val="20"/>
        </w:rPr>
        <w:fldChar w:fldCharType="end"/>
      </w:r>
    </w:p>
    <w:p w14:paraId="36445471" w14:textId="77777777" w:rsidR="00C13BE5" w:rsidRPr="00C13BE5" w:rsidRDefault="00C13BE5" w:rsidP="00C13BE5">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3.1.1: </w:t>
      </w:r>
      <w:r w:rsidRPr="00C13BE5">
        <w:rPr>
          <w:bCs/>
          <w:noProof/>
          <w:sz w:val="20"/>
          <w:szCs w:val="20"/>
        </w:rPr>
        <w:t>Student intake ratios by stage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_Toc278446863 \h </w:instrText>
      </w:r>
      <w:r w:rsidRPr="00C13BE5">
        <w:rPr>
          <w:noProof/>
          <w:sz w:val="20"/>
          <w:szCs w:val="20"/>
        </w:rPr>
      </w:r>
      <w:r w:rsidRPr="00C13BE5">
        <w:rPr>
          <w:noProof/>
          <w:sz w:val="20"/>
          <w:szCs w:val="20"/>
        </w:rPr>
        <w:fldChar w:fldCharType="separate"/>
      </w:r>
      <w:r w:rsidR="00EA0B4D">
        <w:rPr>
          <w:noProof/>
          <w:sz w:val="20"/>
          <w:szCs w:val="20"/>
        </w:rPr>
        <w:t>31</w:t>
      </w:r>
      <w:r w:rsidRPr="00C13BE5">
        <w:rPr>
          <w:noProof/>
          <w:sz w:val="20"/>
          <w:szCs w:val="20"/>
        </w:rPr>
        <w:fldChar w:fldCharType="end"/>
      </w:r>
    </w:p>
    <w:p w14:paraId="481D4B84" w14:textId="471F9921"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Figure 3.2.1: Courses and qualifications with largest waiting lists</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_Toc278446868 \h </w:instrText>
      </w:r>
      <w:r w:rsidRPr="00C13BE5">
        <w:rPr>
          <w:noProof/>
          <w:sz w:val="20"/>
          <w:szCs w:val="20"/>
        </w:rPr>
      </w:r>
      <w:r w:rsidRPr="00C13BE5">
        <w:rPr>
          <w:noProof/>
          <w:sz w:val="20"/>
          <w:szCs w:val="20"/>
        </w:rPr>
        <w:fldChar w:fldCharType="separate"/>
      </w:r>
      <w:r w:rsidR="00EA0B4D">
        <w:rPr>
          <w:noProof/>
          <w:sz w:val="20"/>
          <w:szCs w:val="20"/>
        </w:rPr>
        <w:t>34</w:t>
      </w:r>
      <w:r w:rsidRPr="00C13BE5">
        <w:rPr>
          <w:noProof/>
          <w:sz w:val="20"/>
          <w:szCs w:val="20"/>
        </w:rPr>
        <w:fldChar w:fldCharType="end"/>
      </w:r>
    </w:p>
    <w:p w14:paraId="26E6EE22" w14:textId="2866D2E2"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3.4.1: </w:t>
      </w:r>
      <w:r w:rsidRPr="00C13BE5">
        <w:rPr>
          <w:bCs/>
          <w:noProof/>
          <w:sz w:val="20"/>
          <w:szCs w:val="20"/>
        </w:rPr>
        <w:t>Percentage of entrants employed on entrance by school and stage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_Toc278446870 \h </w:instrText>
      </w:r>
      <w:r w:rsidRPr="00C13BE5">
        <w:rPr>
          <w:noProof/>
          <w:sz w:val="20"/>
          <w:szCs w:val="20"/>
        </w:rPr>
      </w:r>
      <w:r w:rsidRPr="00C13BE5">
        <w:rPr>
          <w:noProof/>
          <w:sz w:val="20"/>
          <w:szCs w:val="20"/>
        </w:rPr>
        <w:fldChar w:fldCharType="separate"/>
      </w:r>
      <w:r w:rsidR="00EA0B4D">
        <w:rPr>
          <w:noProof/>
          <w:sz w:val="20"/>
          <w:szCs w:val="20"/>
        </w:rPr>
        <w:t>35</w:t>
      </w:r>
      <w:r w:rsidRPr="00C13BE5">
        <w:rPr>
          <w:noProof/>
          <w:sz w:val="20"/>
          <w:szCs w:val="20"/>
        </w:rPr>
        <w:fldChar w:fldCharType="end"/>
      </w:r>
    </w:p>
    <w:p w14:paraId="044A4667"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4.1.1: </w:t>
      </w:r>
      <w:r w:rsidRPr="00C13BE5">
        <w:rPr>
          <w:bCs/>
          <w:noProof/>
          <w:sz w:val="20"/>
          <w:szCs w:val="20"/>
        </w:rPr>
        <w:t>Cumulative student enrolment by nationality since 2007</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_Toc278446871 \h </w:instrText>
      </w:r>
      <w:r w:rsidRPr="00C13BE5">
        <w:rPr>
          <w:noProof/>
          <w:sz w:val="20"/>
          <w:szCs w:val="20"/>
        </w:rPr>
      </w:r>
      <w:r w:rsidRPr="00C13BE5">
        <w:rPr>
          <w:noProof/>
          <w:sz w:val="20"/>
          <w:szCs w:val="20"/>
        </w:rPr>
        <w:fldChar w:fldCharType="separate"/>
      </w:r>
      <w:r w:rsidR="00EA0B4D">
        <w:rPr>
          <w:noProof/>
          <w:sz w:val="20"/>
          <w:szCs w:val="20"/>
        </w:rPr>
        <w:t>36</w:t>
      </w:r>
      <w:r w:rsidRPr="00C13BE5">
        <w:rPr>
          <w:noProof/>
          <w:sz w:val="20"/>
          <w:szCs w:val="20"/>
        </w:rPr>
        <w:fldChar w:fldCharType="end"/>
      </w:r>
    </w:p>
    <w:p w14:paraId="307B8BCD" w14:textId="0BB50325"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Figure 4.1.2: Ratio of enrolment by nationality to population per country</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_Toc278446872 \h </w:instrText>
      </w:r>
      <w:r w:rsidRPr="00C13BE5">
        <w:rPr>
          <w:noProof/>
          <w:sz w:val="20"/>
          <w:szCs w:val="20"/>
        </w:rPr>
      </w:r>
      <w:r w:rsidRPr="00C13BE5">
        <w:rPr>
          <w:noProof/>
          <w:sz w:val="20"/>
          <w:szCs w:val="20"/>
        </w:rPr>
        <w:fldChar w:fldCharType="separate"/>
      </w:r>
      <w:r w:rsidR="00EA0B4D">
        <w:rPr>
          <w:noProof/>
          <w:sz w:val="20"/>
          <w:szCs w:val="20"/>
        </w:rPr>
        <w:t>36</w:t>
      </w:r>
      <w:r w:rsidRPr="00C13BE5">
        <w:rPr>
          <w:noProof/>
          <w:sz w:val="20"/>
          <w:szCs w:val="20"/>
        </w:rPr>
        <w:fldChar w:fldCharType="end"/>
      </w:r>
    </w:p>
    <w:p w14:paraId="0EAEFBA9"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4.1.3: </w:t>
      </w:r>
      <w:r w:rsidRPr="00C13BE5">
        <w:rPr>
          <w:bCs/>
          <w:noProof/>
          <w:sz w:val="20"/>
          <w:szCs w:val="20"/>
        </w:rPr>
        <w:t>Cumulative total enrolment by school and training package,  2007 to present</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_Toc278446873 \h </w:instrText>
      </w:r>
      <w:r w:rsidRPr="00C13BE5">
        <w:rPr>
          <w:noProof/>
          <w:sz w:val="20"/>
          <w:szCs w:val="20"/>
        </w:rPr>
      </w:r>
      <w:r w:rsidRPr="00C13BE5">
        <w:rPr>
          <w:noProof/>
          <w:sz w:val="20"/>
          <w:szCs w:val="20"/>
        </w:rPr>
        <w:fldChar w:fldCharType="separate"/>
      </w:r>
      <w:r w:rsidR="00EA0B4D">
        <w:rPr>
          <w:noProof/>
          <w:sz w:val="20"/>
          <w:szCs w:val="20"/>
        </w:rPr>
        <w:t>37</w:t>
      </w:r>
      <w:r w:rsidRPr="00C13BE5">
        <w:rPr>
          <w:noProof/>
          <w:sz w:val="20"/>
          <w:szCs w:val="20"/>
        </w:rPr>
        <w:fldChar w:fldCharType="end"/>
      </w:r>
    </w:p>
    <w:p w14:paraId="69F9411B"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4.1.4: </w:t>
      </w:r>
      <w:r w:rsidRPr="00C13BE5">
        <w:rPr>
          <w:bCs/>
          <w:noProof/>
          <w:sz w:val="20"/>
          <w:szCs w:val="20"/>
        </w:rPr>
        <w:t>Enrolment by training package and stage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_Toc278446874 \h </w:instrText>
      </w:r>
      <w:r w:rsidRPr="00C13BE5">
        <w:rPr>
          <w:noProof/>
          <w:sz w:val="20"/>
          <w:szCs w:val="20"/>
        </w:rPr>
      </w:r>
      <w:r w:rsidRPr="00C13BE5">
        <w:rPr>
          <w:noProof/>
          <w:sz w:val="20"/>
          <w:szCs w:val="20"/>
        </w:rPr>
        <w:fldChar w:fldCharType="separate"/>
      </w:r>
      <w:r w:rsidR="00EA0B4D">
        <w:rPr>
          <w:noProof/>
          <w:sz w:val="20"/>
          <w:szCs w:val="20"/>
        </w:rPr>
        <w:t>37</w:t>
      </w:r>
      <w:r w:rsidRPr="00C13BE5">
        <w:rPr>
          <w:noProof/>
          <w:sz w:val="20"/>
          <w:szCs w:val="20"/>
        </w:rPr>
        <w:fldChar w:fldCharType="end"/>
      </w:r>
    </w:p>
    <w:p w14:paraId="1A43AA4A"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4.1.5: </w:t>
      </w:r>
      <w:r w:rsidRPr="00C13BE5">
        <w:rPr>
          <w:bCs/>
          <w:noProof/>
          <w:sz w:val="20"/>
          <w:szCs w:val="20"/>
        </w:rPr>
        <w:t>Age distribution of students by school and stage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_Toc278446875 \h </w:instrText>
      </w:r>
      <w:r w:rsidRPr="00C13BE5">
        <w:rPr>
          <w:noProof/>
          <w:sz w:val="20"/>
          <w:szCs w:val="20"/>
        </w:rPr>
      </w:r>
      <w:r w:rsidRPr="00C13BE5">
        <w:rPr>
          <w:noProof/>
          <w:sz w:val="20"/>
          <w:szCs w:val="20"/>
        </w:rPr>
        <w:fldChar w:fldCharType="separate"/>
      </w:r>
      <w:r w:rsidR="00EA0B4D">
        <w:rPr>
          <w:noProof/>
          <w:sz w:val="20"/>
          <w:szCs w:val="20"/>
        </w:rPr>
        <w:t>38</w:t>
      </w:r>
      <w:r w:rsidRPr="00C13BE5">
        <w:rPr>
          <w:noProof/>
          <w:sz w:val="20"/>
          <w:szCs w:val="20"/>
        </w:rPr>
        <w:fldChar w:fldCharType="end"/>
      </w:r>
    </w:p>
    <w:p w14:paraId="30E88790"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4.2.1: </w:t>
      </w:r>
      <w:r w:rsidRPr="00C13BE5">
        <w:rPr>
          <w:bCs/>
          <w:noProof/>
          <w:sz w:val="20"/>
          <w:szCs w:val="20"/>
        </w:rPr>
        <w:t>Students enrolled by school and training package, Semester 1,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_Toc278446876 \h </w:instrText>
      </w:r>
      <w:r w:rsidRPr="00C13BE5">
        <w:rPr>
          <w:noProof/>
          <w:sz w:val="20"/>
          <w:szCs w:val="20"/>
        </w:rPr>
      </w:r>
      <w:r w:rsidRPr="00C13BE5">
        <w:rPr>
          <w:noProof/>
          <w:sz w:val="20"/>
          <w:szCs w:val="20"/>
        </w:rPr>
        <w:fldChar w:fldCharType="separate"/>
      </w:r>
      <w:r w:rsidR="00EA0B4D">
        <w:rPr>
          <w:noProof/>
          <w:sz w:val="20"/>
          <w:szCs w:val="20"/>
        </w:rPr>
        <w:t>38</w:t>
      </w:r>
      <w:r w:rsidRPr="00C13BE5">
        <w:rPr>
          <w:noProof/>
          <w:sz w:val="20"/>
          <w:szCs w:val="20"/>
        </w:rPr>
        <w:fldChar w:fldCharType="end"/>
      </w:r>
    </w:p>
    <w:p w14:paraId="63A57F5E"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4.2.2: </w:t>
      </w:r>
      <w:r w:rsidRPr="00C13BE5">
        <w:rPr>
          <w:bCs/>
          <w:noProof/>
          <w:sz w:val="20"/>
          <w:szCs w:val="20"/>
        </w:rPr>
        <w:t>Enrolment by campus country, Semester 1,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_Toc278446877 \h </w:instrText>
      </w:r>
      <w:r w:rsidRPr="00C13BE5">
        <w:rPr>
          <w:noProof/>
          <w:sz w:val="20"/>
          <w:szCs w:val="20"/>
        </w:rPr>
      </w:r>
      <w:r w:rsidRPr="00C13BE5">
        <w:rPr>
          <w:noProof/>
          <w:sz w:val="20"/>
          <w:szCs w:val="20"/>
        </w:rPr>
        <w:fldChar w:fldCharType="separate"/>
      </w:r>
      <w:r w:rsidR="00EA0B4D">
        <w:rPr>
          <w:noProof/>
          <w:sz w:val="20"/>
          <w:szCs w:val="20"/>
        </w:rPr>
        <w:t>39</w:t>
      </w:r>
      <w:r w:rsidRPr="00C13BE5">
        <w:rPr>
          <w:noProof/>
          <w:sz w:val="20"/>
          <w:szCs w:val="20"/>
        </w:rPr>
        <w:fldChar w:fldCharType="end"/>
      </w:r>
    </w:p>
    <w:p w14:paraId="5F14341B"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Figure 4.2.3: Enrolment in PNG by semester, 2007 to mid-2014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_Toc278446878 \h </w:instrText>
      </w:r>
      <w:r w:rsidRPr="00C13BE5">
        <w:rPr>
          <w:noProof/>
          <w:sz w:val="20"/>
          <w:szCs w:val="20"/>
        </w:rPr>
      </w:r>
      <w:r w:rsidRPr="00C13BE5">
        <w:rPr>
          <w:noProof/>
          <w:sz w:val="20"/>
          <w:szCs w:val="20"/>
        </w:rPr>
        <w:fldChar w:fldCharType="separate"/>
      </w:r>
      <w:r w:rsidR="00EA0B4D">
        <w:rPr>
          <w:noProof/>
          <w:sz w:val="20"/>
          <w:szCs w:val="20"/>
        </w:rPr>
        <w:t>39</w:t>
      </w:r>
      <w:r w:rsidRPr="00C13BE5">
        <w:rPr>
          <w:noProof/>
          <w:sz w:val="20"/>
          <w:szCs w:val="20"/>
        </w:rPr>
        <w:fldChar w:fldCharType="end"/>
      </w:r>
    </w:p>
    <w:p w14:paraId="251FCC6C"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4.3.1: </w:t>
      </w:r>
      <w:r w:rsidRPr="00C13BE5">
        <w:rPr>
          <w:bCs/>
          <w:noProof/>
          <w:sz w:val="20"/>
          <w:szCs w:val="20"/>
        </w:rPr>
        <w:t>Enrolment by gender and stage, 2007 to present</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_Toc278446879 \h </w:instrText>
      </w:r>
      <w:r w:rsidRPr="00C13BE5">
        <w:rPr>
          <w:noProof/>
          <w:sz w:val="20"/>
          <w:szCs w:val="20"/>
        </w:rPr>
      </w:r>
      <w:r w:rsidRPr="00C13BE5">
        <w:rPr>
          <w:noProof/>
          <w:sz w:val="20"/>
          <w:szCs w:val="20"/>
        </w:rPr>
        <w:fldChar w:fldCharType="separate"/>
      </w:r>
      <w:r w:rsidR="00EA0B4D">
        <w:rPr>
          <w:noProof/>
          <w:sz w:val="20"/>
          <w:szCs w:val="20"/>
        </w:rPr>
        <w:t>40</w:t>
      </w:r>
      <w:r w:rsidRPr="00C13BE5">
        <w:rPr>
          <w:noProof/>
          <w:sz w:val="20"/>
          <w:szCs w:val="20"/>
        </w:rPr>
        <w:fldChar w:fldCharType="end"/>
      </w:r>
    </w:p>
    <w:p w14:paraId="4FF21231"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Figure 4.3.2: Females as a percentage of total enrolment by school and stage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_Toc278446880 \h </w:instrText>
      </w:r>
      <w:r w:rsidRPr="00C13BE5">
        <w:rPr>
          <w:noProof/>
          <w:sz w:val="20"/>
          <w:szCs w:val="20"/>
        </w:rPr>
      </w:r>
      <w:r w:rsidRPr="00C13BE5">
        <w:rPr>
          <w:noProof/>
          <w:sz w:val="20"/>
          <w:szCs w:val="20"/>
        </w:rPr>
        <w:fldChar w:fldCharType="separate"/>
      </w:r>
      <w:r w:rsidR="00EA0B4D">
        <w:rPr>
          <w:noProof/>
          <w:sz w:val="20"/>
          <w:szCs w:val="20"/>
        </w:rPr>
        <w:t>40</w:t>
      </w:r>
      <w:r w:rsidRPr="00C13BE5">
        <w:rPr>
          <w:noProof/>
          <w:sz w:val="20"/>
          <w:szCs w:val="20"/>
        </w:rPr>
        <w:fldChar w:fldCharType="end"/>
      </w:r>
    </w:p>
    <w:p w14:paraId="14B0BC2B"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4.3.3: </w:t>
      </w:r>
      <w:r w:rsidRPr="00C13BE5">
        <w:rPr>
          <w:bCs/>
          <w:noProof/>
          <w:sz w:val="20"/>
          <w:szCs w:val="20"/>
        </w:rPr>
        <w:t>Enrolment by gender and tra</w:t>
      </w:r>
      <w:r>
        <w:rPr>
          <w:bCs/>
          <w:noProof/>
          <w:sz w:val="20"/>
          <w:szCs w:val="20"/>
        </w:rPr>
        <w:t xml:space="preserve">ining package, 2007 to present </w:t>
      </w:r>
      <w:r w:rsidRPr="00C13BE5">
        <w:rPr>
          <w:bCs/>
          <w:noProof/>
          <w:sz w:val="20"/>
          <w:szCs w:val="20"/>
        </w:rPr>
        <w:t>(n</w:t>
      </w:r>
      <w:r>
        <w:rPr>
          <w:bCs/>
          <w:noProof/>
          <w:sz w:val="20"/>
          <w:szCs w:val="20"/>
        </w:rPr>
        <w:t>o.</w:t>
      </w:r>
      <w:r w:rsidRPr="00C13BE5">
        <w:rPr>
          <w:bCs/>
          <w:noProof/>
          <w:sz w:val="20"/>
          <w:szCs w:val="20"/>
        </w:rPr>
        <w:t xml:space="preserve"> of students)</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_Toc278446881 \h </w:instrText>
      </w:r>
      <w:r w:rsidRPr="00C13BE5">
        <w:rPr>
          <w:noProof/>
          <w:sz w:val="20"/>
          <w:szCs w:val="20"/>
        </w:rPr>
      </w:r>
      <w:r w:rsidRPr="00C13BE5">
        <w:rPr>
          <w:noProof/>
          <w:sz w:val="20"/>
          <w:szCs w:val="20"/>
        </w:rPr>
        <w:fldChar w:fldCharType="separate"/>
      </w:r>
      <w:r w:rsidR="00EA0B4D">
        <w:rPr>
          <w:noProof/>
          <w:sz w:val="20"/>
          <w:szCs w:val="20"/>
        </w:rPr>
        <w:t>41</w:t>
      </w:r>
      <w:r w:rsidRPr="00C13BE5">
        <w:rPr>
          <w:noProof/>
          <w:sz w:val="20"/>
          <w:szCs w:val="20"/>
        </w:rPr>
        <w:fldChar w:fldCharType="end"/>
      </w:r>
    </w:p>
    <w:p w14:paraId="5B2F7358"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Figure 4.3.4: Female enrolment as a percentage of total enrolment by training package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_Toc278446882 \h </w:instrText>
      </w:r>
      <w:r w:rsidRPr="00C13BE5">
        <w:rPr>
          <w:noProof/>
          <w:sz w:val="20"/>
          <w:szCs w:val="20"/>
        </w:rPr>
      </w:r>
      <w:r w:rsidRPr="00C13BE5">
        <w:rPr>
          <w:noProof/>
          <w:sz w:val="20"/>
          <w:szCs w:val="20"/>
        </w:rPr>
        <w:fldChar w:fldCharType="separate"/>
      </w:r>
      <w:r w:rsidR="00EA0B4D">
        <w:rPr>
          <w:noProof/>
          <w:sz w:val="20"/>
          <w:szCs w:val="20"/>
        </w:rPr>
        <w:t>41</w:t>
      </w:r>
      <w:r w:rsidRPr="00C13BE5">
        <w:rPr>
          <w:noProof/>
          <w:sz w:val="20"/>
          <w:szCs w:val="20"/>
        </w:rPr>
        <w:fldChar w:fldCharType="end"/>
      </w:r>
    </w:p>
    <w:p w14:paraId="4668D9E0"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Figure 4.4.1: Total enrolment by semester and stage, 2007 to present</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_Toc278446884 \h </w:instrText>
      </w:r>
      <w:r w:rsidRPr="00C13BE5">
        <w:rPr>
          <w:noProof/>
          <w:sz w:val="20"/>
          <w:szCs w:val="20"/>
        </w:rPr>
      </w:r>
      <w:r w:rsidRPr="00C13BE5">
        <w:rPr>
          <w:noProof/>
          <w:sz w:val="20"/>
          <w:szCs w:val="20"/>
        </w:rPr>
        <w:fldChar w:fldCharType="separate"/>
      </w:r>
      <w:r w:rsidR="00EA0B4D">
        <w:rPr>
          <w:noProof/>
          <w:sz w:val="20"/>
          <w:szCs w:val="20"/>
        </w:rPr>
        <w:t>43</w:t>
      </w:r>
      <w:r w:rsidRPr="00C13BE5">
        <w:rPr>
          <w:noProof/>
          <w:sz w:val="20"/>
          <w:szCs w:val="20"/>
        </w:rPr>
        <w:fldChar w:fldCharType="end"/>
      </w:r>
    </w:p>
    <w:p w14:paraId="3F7B3739"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4.4.2: </w:t>
      </w:r>
      <w:r w:rsidRPr="00C13BE5">
        <w:rPr>
          <w:bCs/>
          <w:noProof/>
          <w:sz w:val="20"/>
          <w:szCs w:val="20"/>
        </w:rPr>
        <w:t>Enrolment by school and semester, 2007 to present</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_Toc278446885 \h </w:instrText>
      </w:r>
      <w:r w:rsidRPr="00C13BE5">
        <w:rPr>
          <w:noProof/>
          <w:sz w:val="20"/>
          <w:szCs w:val="20"/>
        </w:rPr>
      </w:r>
      <w:r w:rsidRPr="00C13BE5">
        <w:rPr>
          <w:noProof/>
          <w:sz w:val="20"/>
          <w:szCs w:val="20"/>
        </w:rPr>
        <w:fldChar w:fldCharType="separate"/>
      </w:r>
      <w:r w:rsidR="00EA0B4D">
        <w:rPr>
          <w:noProof/>
          <w:sz w:val="20"/>
          <w:szCs w:val="20"/>
        </w:rPr>
        <w:t>43</w:t>
      </w:r>
      <w:r w:rsidRPr="00C13BE5">
        <w:rPr>
          <w:noProof/>
          <w:sz w:val="20"/>
          <w:szCs w:val="20"/>
        </w:rPr>
        <w:fldChar w:fldCharType="end"/>
      </w:r>
    </w:p>
    <w:p w14:paraId="75025F2B"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4.4.3: </w:t>
      </w:r>
      <w:r w:rsidRPr="00C13BE5">
        <w:rPr>
          <w:bCs/>
          <w:noProof/>
          <w:sz w:val="20"/>
          <w:szCs w:val="20"/>
        </w:rPr>
        <w:t>Enrolments by campus country and semester, 2007 to present</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_Toc278446886 \h </w:instrText>
      </w:r>
      <w:r w:rsidRPr="00C13BE5">
        <w:rPr>
          <w:noProof/>
          <w:sz w:val="20"/>
          <w:szCs w:val="20"/>
        </w:rPr>
      </w:r>
      <w:r w:rsidRPr="00C13BE5">
        <w:rPr>
          <w:noProof/>
          <w:sz w:val="20"/>
          <w:szCs w:val="20"/>
        </w:rPr>
        <w:fldChar w:fldCharType="separate"/>
      </w:r>
      <w:r w:rsidR="00EA0B4D">
        <w:rPr>
          <w:noProof/>
          <w:sz w:val="20"/>
          <w:szCs w:val="20"/>
        </w:rPr>
        <w:t>44</w:t>
      </w:r>
      <w:r w:rsidRPr="00C13BE5">
        <w:rPr>
          <w:noProof/>
          <w:sz w:val="20"/>
          <w:szCs w:val="20"/>
        </w:rPr>
        <w:fldChar w:fldCharType="end"/>
      </w:r>
    </w:p>
    <w:p w14:paraId="7709F02D"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5.1.1: </w:t>
      </w:r>
      <w:r w:rsidRPr="00C13BE5">
        <w:rPr>
          <w:bCs/>
          <w:noProof/>
          <w:sz w:val="20"/>
          <w:szCs w:val="20"/>
        </w:rPr>
        <w:t>Graduates by school and stage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_Toc278446887 \h </w:instrText>
      </w:r>
      <w:r w:rsidRPr="00C13BE5">
        <w:rPr>
          <w:noProof/>
          <w:sz w:val="20"/>
          <w:szCs w:val="20"/>
        </w:rPr>
      </w:r>
      <w:r w:rsidRPr="00C13BE5">
        <w:rPr>
          <w:noProof/>
          <w:sz w:val="20"/>
          <w:szCs w:val="20"/>
        </w:rPr>
        <w:fldChar w:fldCharType="separate"/>
      </w:r>
      <w:r w:rsidR="00EA0B4D">
        <w:rPr>
          <w:noProof/>
          <w:sz w:val="20"/>
          <w:szCs w:val="20"/>
        </w:rPr>
        <w:t>44</w:t>
      </w:r>
      <w:r w:rsidRPr="00C13BE5">
        <w:rPr>
          <w:noProof/>
          <w:sz w:val="20"/>
          <w:szCs w:val="20"/>
        </w:rPr>
        <w:fldChar w:fldCharType="end"/>
      </w:r>
    </w:p>
    <w:p w14:paraId="534FDC6B"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5.1.2: </w:t>
      </w:r>
      <w:r w:rsidRPr="00C13BE5">
        <w:rPr>
          <w:bCs/>
          <w:noProof/>
          <w:sz w:val="20"/>
          <w:szCs w:val="20"/>
        </w:rPr>
        <w:t>Total graduates across all programs by semester,  2007 to 30 June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_Toc278446888 \h </w:instrText>
      </w:r>
      <w:r w:rsidRPr="00C13BE5">
        <w:rPr>
          <w:noProof/>
          <w:sz w:val="20"/>
          <w:szCs w:val="20"/>
        </w:rPr>
      </w:r>
      <w:r w:rsidRPr="00C13BE5">
        <w:rPr>
          <w:noProof/>
          <w:sz w:val="20"/>
          <w:szCs w:val="20"/>
        </w:rPr>
        <w:fldChar w:fldCharType="separate"/>
      </w:r>
      <w:r w:rsidR="00EA0B4D">
        <w:rPr>
          <w:noProof/>
          <w:sz w:val="20"/>
          <w:szCs w:val="20"/>
        </w:rPr>
        <w:t>45</w:t>
      </w:r>
      <w:r w:rsidRPr="00C13BE5">
        <w:rPr>
          <w:noProof/>
          <w:sz w:val="20"/>
          <w:szCs w:val="20"/>
        </w:rPr>
        <w:fldChar w:fldCharType="end"/>
      </w:r>
    </w:p>
    <w:p w14:paraId="39C7C844"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5.1.3: </w:t>
      </w:r>
      <w:r w:rsidRPr="00C13BE5">
        <w:rPr>
          <w:bCs/>
          <w:noProof/>
          <w:sz w:val="20"/>
          <w:szCs w:val="20"/>
        </w:rPr>
        <w:t>Graduates by school and semester, 2007 to 30 June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_Toc278446889 \h </w:instrText>
      </w:r>
      <w:r w:rsidRPr="00C13BE5">
        <w:rPr>
          <w:noProof/>
          <w:sz w:val="20"/>
          <w:szCs w:val="20"/>
        </w:rPr>
      </w:r>
      <w:r w:rsidRPr="00C13BE5">
        <w:rPr>
          <w:noProof/>
          <w:sz w:val="20"/>
          <w:szCs w:val="20"/>
        </w:rPr>
        <w:fldChar w:fldCharType="separate"/>
      </w:r>
      <w:r w:rsidR="00EA0B4D">
        <w:rPr>
          <w:noProof/>
          <w:sz w:val="20"/>
          <w:szCs w:val="20"/>
        </w:rPr>
        <w:t>45</w:t>
      </w:r>
      <w:r w:rsidRPr="00C13BE5">
        <w:rPr>
          <w:noProof/>
          <w:sz w:val="20"/>
          <w:szCs w:val="20"/>
        </w:rPr>
        <w:fldChar w:fldCharType="end"/>
      </w:r>
    </w:p>
    <w:p w14:paraId="405AB8E9"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5.1.4: </w:t>
      </w:r>
      <w:r w:rsidRPr="00C13BE5">
        <w:rPr>
          <w:bCs/>
          <w:noProof/>
          <w:sz w:val="20"/>
          <w:szCs w:val="20"/>
        </w:rPr>
        <w:t>Number of graduates by training package and school,  2007 to 30 June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_Toc278446890 \h </w:instrText>
      </w:r>
      <w:r w:rsidRPr="00C13BE5">
        <w:rPr>
          <w:noProof/>
          <w:sz w:val="20"/>
          <w:szCs w:val="20"/>
        </w:rPr>
      </w:r>
      <w:r w:rsidRPr="00C13BE5">
        <w:rPr>
          <w:noProof/>
          <w:sz w:val="20"/>
          <w:szCs w:val="20"/>
        </w:rPr>
        <w:fldChar w:fldCharType="separate"/>
      </w:r>
      <w:r w:rsidR="00EA0B4D">
        <w:rPr>
          <w:noProof/>
          <w:sz w:val="20"/>
          <w:szCs w:val="20"/>
        </w:rPr>
        <w:t>46</w:t>
      </w:r>
      <w:r w:rsidRPr="00C13BE5">
        <w:rPr>
          <w:noProof/>
          <w:sz w:val="20"/>
          <w:szCs w:val="20"/>
        </w:rPr>
        <w:fldChar w:fldCharType="end"/>
      </w:r>
    </w:p>
    <w:p w14:paraId="7374A52C"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5.2.1: </w:t>
      </w:r>
      <w:r w:rsidRPr="00C13BE5">
        <w:rPr>
          <w:bCs/>
          <w:noProof/>
          <w:sz w:val="20"/>
          <w:szCs w:val="20"/>
        </w:rPr>
        <w:t>Completion rates by training packages, 2007 to 30 June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_Toc278446893 \h </w:instrText>
      </w:r>
      <w:r w:rsidRPr="00C13BE5">
        <w:rPr>
          <w:noProof/>
          <w:sz w:val="20"/>
          <w:szCs w:val="20"/>
        </w:rPr>
      </w:r>
      <w:r w:rsidRPr="00C13BE5">
        <w:rPr>
          <w:noProof/>
          <w:sz w:val="20"/>
          <w:szCs w:val="20"/>
        </w:rPr>
        <w:fldChar w:fldCharType="separate"/>
      </w:r>
      <w:r w:rsidR="00EA0B4D">
        <w:rPr>
          <w:noProof/>
          <w:sz w:val="20"/>
          <w:szCs w:val="20"/>
        </w:rPr>
        <w:t>48</w:t>
      </w:r>
      <w:r w:rsidRPr="00C13BE5">
        <w:rPr>
          <w:noProof/>
          <w:sz w:val="20"/>
          <w:szCs w:val="20"/>
        </w:rPr>
        <w:fldChar w:fldCharType="end"/>
      </w:r>
    </w:p>
    <w:p w14:paraId="5CF183B7"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6.1.1: </w:t>
      </w:r>
      <w:r w:rsidRPr="00C13BE5">
        <w:rPr>
          <w:bCs/>
          <w:noProof/>
          <w:sz w:val="20"/>
          <w:szCs w:val="20"/>
        </w:rPr>
        <w:t>Number of trainers and tutors, 2007 to end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_Toc278446894 \h </w:instrText>
      </w:r>
      <w:r w:rsidRPr="00C13BE5">
        <w:rPr>
          <w:noProof/>
          <w:sz w:val="20"/>
          <w:szCs w:val="20"/>
        </w:rPr>
      </w:r>
      <w:r w:rsidRPr="00C13BE5">
        <w:rPr>
          <w:noProof/>
          <w:sz w:val="20"/>
          <w:szCs w:val="20"/>
        </w:rPr>
        <w:fldChar w:fldCharType="separate"/>
      </w:r>
      <w:r w:rsidR="00EA0B4D">
        <w:rPr>
          <w:noProof/>
          <w:sz w:val="20"/>
          <w:szCs w:val="20"/>
        </w:rPr>
        <w:t>48</w:t>
      </w:r>
      <w:r w:rsidRPr="00C13BE5">
        <w:rPr>
          <w:noProof/>
          <w:sz w:val="20"/>
          <w:szCs w:val="20"/>
        </w:rPr>
        <w:fldChar w:fldCharType="end"/>
      </w:r>
    </w:p>
    <w:p w14:paraId="3856F1B3"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6.1.2: </w:t>
      </w:r>
      <w:r w:rsidRPr="00C13BE5">
        <w:rPr>
          <w:bCs/>
          <w:noProof/>
          <w:sz w:val="20"/>
          <w:szCs w:val="20"/>
        </w:rPr>
        <w:t>Ratio of trainers to tutors, 2009 to end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_Toc278446895 \h </w:instrText>
      </w:r>
      <w:r w:rsidRPr="00C13BE5">
        <w:rPr>
          <w:noProof/>
          <w:sz w:val="20"/>
          <w:szCs w:val="20"/>
        </w:rPr>
      </w:r>
      <w:r w:rsidRPr="00C13BE5">
        <w:rPr>
          <w:noProof/>
          <w:sz w:val="20"/>
          <w:szCs w:val="20"/>
        </w:rPr>
        <w:fldChar w:fldCharType="separate"/>
      </w:r>
      <w:r w:rsidR="00EA0B4D">
        <w:rPr>
          <w:noProof/>
          <w:sz w:val="20"/>
          <w:szCs w:val="20"/>
        </w:rPr>
        <w:t>49</w:t>
      </w:r>
      <w:r w:rsidRPr="00C13BE5">
        <w:rPr>
          <w:noProof/>
          <w:sz w:val="20"/>
          <w:szCs w:val="20"/>
        </w:rPr>
        <w:fldChar w:fldCharType="end"/>
      </w:r>
    </w:p>
    <w:p w14:paraId="7A834148" w14:textId="14A2908E"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6.1.3: </w:t>
      </w:r>
      <w:r w:rsidRPr="00C13BE5">
        <w:rPr>
          <w:bCs/>
          <w:noProof/>
          <w:sz w:val="20"/>
          <w:szCs w:val="20"/>
        </w:rPr>
        <w:t>Number of APTC trainers a</w:t>
      </w:r>
      <w:r>
        <w:rPr>
          <w:bCs/>
          <w:noProof/>
          <w:sz w:val="20"/>
          <w:szCs w:val="20"/>
        </w:rPr>
        <w:t xml:space="preserve">nd tutors by training package, </w:t>
      </w:r>
      <w:r w:rsidRPr="00C13BE5">
        <w:rPr>
          <w:bCs/>
          <w:noProof/>
          <w:sz w:val="20"/>
          <w:szCs w:val="20"/>
        </w:rPr>
        <w:t>Jan to June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_Toc278446896 \h </w:instrText>
      </w:r>
      <w:r w:rsidRPr="00C13BE5">
        <w:rPr>
          <w:noProof/>
          <w:sz w:val="20"/>
          <w:szCs w:val="20"/>
        </w:rPr>
      </w:r>
      <w:r w:rsidRPr="00C13BE5">
        <w:rPr>
          <w:noProof/>
          <w:sz w:val="20"/>
          <w:szCs w:val="20"/>
        </w:rPr>
        <w:fldChar w:fldCharType="separate"/>
      </w:r>
      <w:r w:rsidR="00EA0B4D">
        <w:rPr>
          <w:noProof/>
          <w:sz w:val="20"/>
          <w:szCs w:val="20"/>
        </w:rPr>
        <w:t>49</w:t>
      </w:r>
      <w:r w:rsidRPr="00C13BE5">
        <w:rPr>
          <w:noProof/>
          <w:sz w:val="20"/>
          <w:szCs w:val="20"/>
        </w:rPr>
        <w:fldChar w:fldCharType="end"/>
      </w:r>
    </w:p>
    <w:p w14:paraId="186C5E85"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6.1.4: </w:t>
      </w:r>
      <w:r w:rsidRPr="00C13BE5">
        <w:rPr>
          <w:bCs/>
          <w:noProof/>
          <w:sz w:val="20"/>
          <w:szCs w:val="20"/>
        </w:rPr>
        <w:t>Number of APTC trainers by nationality grouping, 2007 to end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_Toc278446897 \h </w:instrText>
      </w:r>
      <w:r w:rsidRPr="00C13BE5">
        <w:rPr>
          <w:noProof/>
          <w:sz w:val="20"/>
          <w:szCs w:val="20"/>
        </w:rPr>
      </w:r>
      <w:r w:rsidRPr="00C13BE5">
        <w:rPr>
          <w:noProof/>
          <w:sz w:val="20"/>
          <w:szCs w:val="20"/>
        </w:rPr>
        <w:fldChar w:fldCharType="separate"/>
      </w:r>
      <w:r w:rsidR="00EA0B4D">
        <w:rPr>
          <w:noProof/>
          <w:sz w:val="20"/>
          <w:szCs w:val="20"/>
        </w:rPr>
        <w:t>50</w:t>
      </w:r>
      <w:r w:rsidRPr="00C13BE5">
        <w:rPr>
          <w:noProof/>
          <w:sz w:val="20"/>
          <w:szCs w:val="20"/>
        </w:rPr>
        <w:fldChar w:fldCharType="end"/>
      </w:r>
    </w:p>
    <w:p w14:paraId="1072D56F"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6.1.5: </w:t>
      </w:r>
      <w:r w:rsidRPr="00C13BE5">
        <w:rPr>
          <w:bCs/>
          <w:noProof/>
          <w:sz w:val="20"/>
          <w:szCs w:val="20"/>
        </w:rPr>
        <w:t>Females as a percentage of total trainers and tutors, 2007 to present</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_Toc278446898 \h </w:instrText>
      </w:r>
      <w:r w:rsidRPr="00C13BE5">
        <w:rPr>
          <w:noProof/>
          <w:sz w:val="20"/>
          <w:szCs w:val="20"/>
        </w:rPr>
      </w:r>
      <w:r w:rsidRPr="00C13BE5">
        <w:rPr>
          <w:noProof/>
          <w:sz w:val="20"/>
          <w:szCs w:val="20"/>
        </w:rPr>
        <w:fldChar w:fldCharType="separate"/>
      </w:r>
      <w:r w:rsidR="00EA0B4D">
        <w:rPr>
          <w:noProof/>
          <w:sz w:val="20"/>
          <w:szCs w:val="20"/>
        </w:rPr>
        <w:t>50</w:t>
      </w:r>
      <w:r w:rsidRPr="00C13BE5">
        <w:rPr>
          <w:noProof/>
          <w:sz w:val="20"/>
          <w:szCs w:val="20"/>
        </w:rPr>
        <w:fldChar w:fldCharType="end"/>
      </w:r>
    </w:p>
    <w:p w14:paraId="2072B0E2"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6.1.6: </w:t>
      </w:r>
      <w:r w:rsidRPr="00C13BE5">
        <w:rPr>
          <w:bCs/>
          <w:noProof/>
          <w:sz w:val="20"/>
          <w:szCs w:val="20"/>
        </w:rPr>
        <w:t>Age distribution of trainers and tutors, Semester 1,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_Toc278446899 \h </w:instrText>
      </w:r>
      <w:r w:rsidRPr="00C13BE5">
        <w:rPr>
          <w:noProof/>
          <w:sz w:val="20"/>
          <w:szCs w:val="20"/>
        </w:rPr>
      </w:r>
      <w:r w:rsidRPr="00C13BE5">
        <w:rPr>
          <w:noProof/>
          <w:sz w:val="20"/>
          <w:szCs w:val="20"/>
        </w:rPr>
        <w:fldChar w:fldCharType="separate"/>
      </w:r>
      <w:r w:rsidR="00EA0B4D">
        <w:rPr>
          <w:noProof/>
          <w:sz w:val="20"/>
          <w:szCs w:val="20"/>
        </w:rPr>
        <w:t>51</w:t>
      </w:r>
      <w:r w:rsidRPr="00C13BE5">
        <w:rPr>
          <w:noProof/>
          <w:sz w:val="20"/>
          <w:szCs w:val="20"/>
        </w:rPr>
        <w:fldChar w:fldCharType="end"/>
      </w:r>
    </w:p>
    <w:p w14:paraId="6AF8925C"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6.2.1: </w:t>
      </w:r>
      <w:r w:rsidRPr="00C13BE5">
        <w:rPr>
          <w:bCs/>
          <w:noProof/>
          <w:sz w:val="20"/>
          <w:szCs w:val="20"/>
        </w:rPr>
        <w:t xml:space="preserve">Average </w:t>
      </w:r>
      <w:r>
        <w:rPr>
          <w:bCs/>
          <w:noProof/>
          <w:sz w:val="20"/>
          <w:szCs w:val="20"/>
        </w:rPr>
        <w:t xml:space="preserve">number of students per teacher </w:t>
      </w:r>
      <w:r w:rsidRPr="00C13BE5">
        <w:rPr>
          <w:bCs/>
          <w:noProof/>
          <w:sz w:val="20"/>
          <w:szCs w:val="20"/>
        </w:rPr>
        <w:t>(trainers and tutors combined)</w:t>
      </w:r>
      <w:r w:rsidRPr="00C13BE5">
        <w:rPr>
          <w:noProof/>
          <w:sz w:val="20"/>
          <w:szCs w:val="20"/>
        </w:rPr>
        <w:tab/>
      </w:r>
      <w:r w:rsidRPr="00C13BE5">
        <w:rPr>
          <w:noProof/>
          <w:sz w:val="20"/>
          <w:szCs w:val="20"/>
        </w:rPr>
        <w:fldChar w:fldCharType="begin"/>
      </w:r>
      <w:r w:rsidRPr="00C13BE5">
        <w:rPr>
          <w:noProof/>
          <w:sz w:val="20"/>
          <w:szCs w:val="20"/>
        </w:rPr>
        <w:instrText xml:space="preserve"> PAGEREF _Toc278446900 \h </w:instrText>
      </w:r>
      <w:r w:rsidRPr="00C13BE5">
        <w:rPr>
          <w:noProof/>
          <w:sz w:val="20"/>
          <w:szCs w:val="20"/>
        </w:rPr>
      </w:r>
      <w:r w:rsidRPr="00C13BE5">
        <w:rPr>
          <w:noProof/>
          <w:sz w:val="20"/>
          <w:szCs w:val="20"/>
        </w:rPr>
        <w:fldChar w:fldCharType="separate"/>
      </w:r>
      <w:r w:rsidR="00EA0B4D">
        <w:rPr>
          <w:noProof/>
          <w:sz w:val="20"/>
          <w:szCs w:val="20"/>
        </w:rPr>
        <w:t>51</w:t>
      </w:r>
      <w:r w:rsidRPr="00C13BE5">
        <w:rPr>
          <w:noProof/>
          <w:sz w:val="20"/>
          <w:szCs w:val="20"/>
        </w:rPr>
        <w:fldChar w:fldCharType="end"/>
      </w:r>
    </w:p>
    <w:p w14:paraId="5D13BF78"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Figure 6.2.2: Average number of students per teacher by training package, Sem 1,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_Toc278446901 \h </w:instrText>
      </w:r>
      <w:r w:rsidRPr="00C13BE5">
        <w:rPr>
          <w:noProof/>
          <w:sz w:val="20"/>
          <w:szCs w:val="20"/>
        </w:rPr>
      </w:r>
      <w:r w:rsidRPr="00C13BE5">
        <w:rPr>
          <w:noProof/>
          <w:sz w:val="20"/>
          <w:szCs w:val="20"/>
        </w:rPr>
        <w:fldChar w:fldCharType="separate"/>
      </w:r>
      <w:r w:rsidR="00EA0B4D">
        <w:rPr>
          <w:noProof/>
          <w:sz w:val="20"/>
          <w:szCs w:val="20"/>
        </w:rPr>
        <w:t>52</w:t>
      </w:r>
      <w:r w:rsidRPr="00C13BE5">
        <w:rPr>
          <w:noProof/>
          <w:sz w:val="20"/>
          <w:szCs w:val="20"/>
        </w:rPr>
        <w:fldChar w:fldCharType="end"/>
      </w:r>
    </w:p>
    <w:p w14:paraId="59A535BC"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Figure 6.3.1: Average number of students per class to date</w:t>
      </w:r>
      <w:r w:rsidRPr="00C13BE5">
        <w:rPr>
          <w:noProof/>
          <w:sz w:val="20"/>
          <w:szCs w:val="20"/>
        </w:rPr>
        <w:tab/>
      </w:r>
      <w:r w:rsidRPr="00C13BE5">
        <w:rPr>
          <w:noProof/>
          <w:sz w:val="20"/>
          <w:szCs w:val="20"/>
        </w:rPr>
        <w:fldChar w:fldCharType="begin"/>
      </w:r>
      <w:r w:rsidRPr="00C13BE5">
        <w:rPr>
          <w:noProof/>
          <w:sz w:val="20"/>
          <w:szCs w:val="20"/>
        </w:rPr>
        <w:instrText xml:space="preserve"> PAGEREF _Toc278446902 \h </w:instrText>
      </w:r>
      <w:r w:rsidRPr="00C13BE5">
        <w:rPr>
          <w:noProof/>
          <w:sz w:val="20"/>
          <w:szCs w:val="20"/>
        </w:rPr>
      </w:r>
      <w:r w:rsidRPr="00C13BE5">
        <w:rPr>
          <w:noProof/>
          <w:sz w:val="20"/>
          <w:szCs w:val="20"/>
        </w:rPr>
        <w:fldChar w:fldCharType="separate"/>
      </w:r>
      <w:r w:rsidR="00EA0B4D">
        <w:rPr>
          <w:noProof/>
          <w:sz w:val="20"/>
          <w:szCs w:val="20"/>
        </w:rPr>
        <w:t>53</w:t>
      </w:r>
      <w:r w:rsidRPr="00C13BE5">
        <w:rPr>
          <w:noProof/>
          <w:sz w:val="20"/>
          <w:szCs w:val="20"/>
        </w:rPr>
        <w:fldChar w:fldCharType="end"/>
      </w:r>
    </w:p>
    <w:p w14:paraId="320B50A7"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6.4.1: </w:t>
      </w:r>
      <w:r w:rsidRPr="00C13BE5">
        <w:rPr>
          <w:bCs/>
          <w:noProof/>
          <w:sz w:val="20"/>
          <w:szCs w:val="20"/>
        </w:rPr>
        <w:t>Academic and administrative staff by location, June 30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_Toc278446903 \h </w:instrText>
      </w:r>
      <w:r w:rsidRPr="00C13BE5">
        <w:rPr>
          <w:noProof/>
          <w:sz w:val="20"/>
          <w:szCs w:val="20"/>
        </w:rPr>
      </w:r>
      <w:r w:rsidRPr="00C13BE5">
        <w:rPr>
          <w:noProof/>
          <w:sz w:val="20"/>
          <w:szCs w:val="20"/>
        </w:rPr>
        <w:fldChar w:fldCharType="separate"/>
      </w:r>
      <w:r w:rsidR="00EA0B4D">
        <w:rPr>
          <w:noProof/>
          <w:sz w:val="20"/>
          <w:szCs w:val="20"/>
        </w:rPr>
        <w:t>54</w:t>
      </w:r>
      <w:r w:rsidRPr="00C13BE5">
        <w:rPr>
          <w:noProof/>
          <w:sz w:val="20"/>
          <w:szCs w:val="20"/>
        </w:rPr>
        <w:fldChar w:fldCharType="end"/>
      </w:r>
    </w:p>
    <w:p w14:paraId="7721EAF6"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6.4.2: </w:t>
      </w:r>
      <w:r w:rsidRPr="00C13BE5">
        <w:rPr>
          <w:bCs/>
          <w:noProof/>
          <w:sz w:val="20"/>
          <w:szCs w:val="20"/>
        </w:rPr>
        <w:t>Number of teaching and non-teaching staff, 2007 to end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_Toc278446905 \h </w:instrText>
      </w:r>
      <w:r w:rsidRPr="00C13BE5">
        <w:rPr>
          <w:noProof/>
          <w:sz w:val="20"/>
          <w:szCs w:val="20"/>
        </w:rPr>
      </w:r>
      <w:r w:rsidRPr="00C13BE5">
        <w:rPr>
          <w:noProof/>
          <w:sz w:val="20"/>
          <w:szCs w:val="20"/>
        </w:rPr>
        <w:fldChar w:fldCharType="separate"/>
      </w:r>
      <w:r w:rsidR="00EA0B4D">
        <w:rPr>
          <w:noProof/>
          <w:sz w:val="20"/>
          <w:szCs w:val="20"/>
        </w:rPr>
        <w:t>55</w:t>
      </w:r>
      <w:r w:rsidRPr="00C13BE5">
        <w:rPr>
          <w:noProof/>
          <w:sz w:val="20"/>
          <w:szCs w:val="20"/>
        </w:rPr>
        <w:fldChar w:fldCharType="end"/>
      </w:r>
    </w:p>
    <w:p w14:paraId="6B3FC677"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6.4.3: </w:t>
      </w:r>
      <w:r w:rsidRPr="00C13BE5">
        <w:rPr>
          <w:bCs/>
          <w:noProof/>
          <w:sz w:val="20"/>
          <w:szCs w:val="20"/>
        </w:rPr>
        <w:t>Teaching staff as a percentage of total staff, 2007 to end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_Toc278446906 \h </w:instrText>
      </w:r>
      <w:r w:rsidRPr="00C13BE5">
        <w:rPr>
          <w:noProof/>
          <w:sz w:val="20"/>
          <w:szCs w:val="20"/>
        </w:rPr>
      </w:r>
      <w:r w:rsidRPr="00C13BE5">
        <w:rPr>
          <w:noProof/>
          <w:sz w:val="20"/>
          <w:szCs w:val="20"/>
        </w:rPr>
        <w:fldChar w:fldCharType="separate"/>
      </w:r>
      <w:r w:rsidR="00EA0B4D">
        <w:rPr>
          <w:noProof/>
          <w:sz w:val="20"/>
          <w:szCs w:val="20"/>
        </w:rPr>
        <w:t>55</w:t>
      </w:r>
      <w:r w:rsidRPr="00C13BE5">
        <w:rPr>
          <w:noProof/>
          <w:sz w:val="20"/>
          <w:szCs w:val="20"/>
        </w:rPr>
        <w:fldChar w:fldCharType="end"/>
      </w:r>
    </w:p>
    <w:p w14:paraId="08ADC10A"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6.5.1: </w:t>
      </w:r>
      <w:r w:rsidRPr="00C13BE5">
        <w:rPr>
          <w:bCs/>
          <w:noProof/>
          <w:sz w:val="20"/>
          <w:szCs w:val="20"/>
        </w:rPr>
        <w:t>Number of management and non-management staff, 2007 to end 2014</w:t>
      </w:r>
      <w:r w:rsidRPr="00C13BE5">
        <w:rPr>
          <w:noProof/>
          <w:sz w:val="20"/>
          <w:szCs w:val="20"/>
        </w:rPr>
        <w:tab/>
      </w:r>
      <w:r w:rsidRPr="00C13BE5">
        <w:rPr>
          <w:noProof/>
          <w:sz w:val="20"/>
          <w:szCs w:val="20"/>
        </w:rPr>
        <w:fldChar w:fldCharType="begin"/>
      </w:r>
      <w:r w:rsidRPr="00C13BE5">
        <w:rPr>
          <w:noProof/>
          <w:sz w:val="20"/>
          <w:szCs w:val="20"/>
        </w:rPr>
        <w:instrText xml:space="preserve"> PAGEREF _Toc278446907 \h </w:instrText>
      </w:r>
      <w:r w:rsidRPr="00C13BE5">
        <w:rPr>
          <w:noProof/>
          <w:sz w:val="20"/>
          <w:szCs w:val="20"/>
        </w:rPr>
      </w:r>
      <w:r w:rsidRPr="00C13BE5">
        <w:rPr>
          <w:noProof/>
          <w:sz w:val="20"/>
          <w:szCs w:val="20"/>
        </w:rPr>
        <w:fldChar w:fldCharType="separate"/>
      </w:r>
      <w:r w:rsidR="00EA0B4D">
        <w:rPr>
          <w:noProof/>
          <w:sz w:val="20"/>
          <w:szCs w:val="20"/>
        </w:rPr>
        <w:t>56</w:t>
      </w:r>
      <w:r w:rsidRPr="00C13BE5">
        <w:rPr>
          <w:noProof/>
          <w:sz w:val="20"/>
          <w:szCs w:val="20"/>
        </w:rPr>
        <w:fldChar w:fldCharType="end"/>
      </w:r>
    </w:p>
    <w:p w14:paraId="0CD34F36" w14:textId="77777777" w:rsidR="005666F7" w:rsidRPr="00C13BE5" w:rsidRDefault="005666F7" w:rsidP="005666F7">
      <w:pPr>
        <w:pStyle w:val="TableofFigures"/>
        <w:tabs>
          <w:tab w:val="right" w:leader="dot" w:pos="8489"/>
        </w:tabs>
        <w:rPr>
          <w:rFonts w:eastAsiaTheme="minorEastAsia" w:cstheme="minorBidi"/>
          <w:noProof/>
          <w:sz w:val="20"/>
          <w:szCs w:val="20"/>
          <w:lang w:val="en-US" w:eastAsia="ja-JP"/>
        </w:rPr>
      </w:pPr>
      <w:r w:rsidRPr="00C13BE5">
        <w:rPr>
          <w:noProof/>
          <w:sz w:val="20"/>
          <w:szCs w:val="20"/>
        </w:rPr>
        <w:t xml:space="preserve">Figure 6.5.2: </w:t>
      </w:r>
      <w:r w:rsidRPr="00C13BE5">
        <w:rPr>
          <w:bCs/>
          <w:noProof/>
          <w:sz w:val="20"/>
          <w:szCs w:val="20"/>
        </w:rPr>
        <w:t>Management staff as a percentag</w:t>
      </w:r>
      <w:r>
        <w:rPr>
          <w:bCs/>
          <w:noProof/>
          <w:sz w:val="20"/>
          <w:szCs w:val="20"/>
        </w:rPr>
        <w:t>e of total administrative staff</w:t>
      </w:r>
      <w:r w:rsidRPr="00C13BE5">
        <w:rPr>
          <w:noProof/>
          <w:sz w:val="20"/>
          <w:szCs w:val="20"/>
        </w:rPr>
        <w:tab/>
      </w:r>
      <w:r w:rsidRPr="00C13BE5">
        <w:rPr>
          <w:noProof/>
          <w:sz w:val="20"/>
          <w:szCs w:val="20"/>
        </w:rPr>
        <w:fldChar w:fldCharType="begin"/>
      </w:r>
      <w:r w:rsidRPr="00C13BE5">
        <w:rPr>
          <w:noProof/>
          <w:sz w:val="20"/>
          <w:szCs w:val="20"/>
        </w:rPr>
        <w:instrText xml:space="preserve"> PAGEREF _Toc278446908 \h </w:instrText>
      </w:r>
      <w:r w:rsidRPr="00C13BE5">
        <w:rPr>
          <w:noProof/>
          <w:sz w:val="20"/>
          <w:szCs w:val="20"/>
        </w:rPr>
      </w:r>
      <w:r w:rsidRPr="00C13BE5">
        <w:rPr>
          <w:noProof/>
          <w:sz w:val="20"/>
          <w:szCs w:val="20"/>
        </w:rPr>
        <w:fldChar w:fldCharType="separate"/>
      </w:r>
      <w:r w:rsidR="00EA0B4D">
        <w:rPr>
          <w:noProof/>
          <w:sz w:val="20"/>
          <w:szCs w:val="20"/>
        </w:rPr>
        <w:t>56</w:t>
      </w:r>
      <w:r w:rsidRPr="00C13BE5">
        <w:rPr>
          <w:noProof/>
          <w:sz w:val="20"/>
          <w:szCs w:val="20"/>
        </w:rPr>
        <w:fldChar w:fldCharType="end"/>
      </w:r>
    </w:p>
    <w:p w14:paraId="1641D232" w14:textId="39B09BF3" w:rsidR="00FC22E6" w:rsidRPr="000662F4" w:rsidRDefault="00FC22E6" w:rsidP="00FC22E6">
      <w:pPr>
        <w:pStyle w:val="TableofFigures"/>
        <w:tabs>
          <w:tab w:val="right" w:leader="dot" w:pos="8492"/>
        </w:tabs>
        <w:rPr>
          <w:rFonts w:eastAsiaTheme="minorEastAsia" w:cstheme="minorBidi"/>
          <w:noProof/>
          <w:sz w:val="20"/>
          <w:lang w:val="en-US"/>
        </w:rPr>
      </w:pPr>
    </w:p>
    <w:p w14:paraId="762992B7" w14:textId="77777777" w:rsidR="00FC22E6" w:rsidRDefault="00FC22E6" w:rsidP="00FC22E6">
      <w:pPr>
        <w:spacing w:after="0"/>
        <w:rPr>
          <w:rFonts w:cs="Arial"/>
          <w:b/>
          <w:sz w:val="20"/>
        </w:rPr>
      </w:pPr>
    </w:p>
    <w:p w14:paraId="68D7AD20" w14:textId="6B71A444" w:rsidR="00FC22E6" w:rsidRPr="005A1D9E" w:rsidRDefault="00FC22E6" w:rsidP="00FC22E6">
      <w:pPr>
        <w:spacing w:after="0"/>
        <w:rPr>
          <w:rFonts w:cs="Arial"/>
          <w:sz w:val="20"/>
        </w:rPr>
      </w:pPr>
    </w:p>
    <w:p w14:paraId="3519A3EE" w14:textId="77777777" w:rsidR="00916C6D" w:rsidRDefault="00FC22E6" w:rsidP="000668BA">
      <w:pPr>
        <w:pStyle w:val="Heading1"/>
        <w:numPr>
          <w:ilvl w:val="0"/>
          <w:numId w:val="69"/>
        </w:numPr>
      </w:pPr>
      <w:r>
        <w:br w:type="page"/>
      </w:r>
      <w:bookmarkStart w:id="114" w:name="_Toc274059117"/>
      <w:bookmarkStart w:id="115" w:name="_Toc278447837"/>
      <w:bookmarkStart w:id="116" w:name="_Toc278453310"/>
      <w:r>
        <w:lastRenderedPageBreak/>
        <w:t>Summary</w:t>
      </w:r>
      <w:bookmarkEnd w:id="114"/>
      <w:bookmarkEnd w:id="115"/>
      <w:bookmarkEnd w:id="116"/>
      <w:r>
        <w:t xml:space="preserve"> </w:t>
      </w:r>
    </w:p>
    <w:p w14:paraId="33B2AC3E" w14:textId="3787677F" w:rsidR="00FC22E6" w:rsidRDefault="00FC22E6" w:rsidP="00FC22E6">
      <w:pPr>
        <w:rPr>
          <w:rFonts w:cs="Arial"/>
        </w:rPr>
      </w:pPr>
      <w:r w:rsidRPr="005A1D9E">
        <w:rPr>
          <w:rFonts w:cs="Arial"/>
          <w:b/>
          <w:i/>
        </w:rPr>
        <w:t>Qualifications</w:t>
      </w:r>
      <w:r w:rsidRPr="005A1D9E">
        <w:rPr>
          <w:rFonts w:cs="Arial"/>
          <w:b/>
        </w:rPr>
        <w:t>.</w:t>
      </w:r>
      <w:r>
        <w:rPr>
          <w:rFonts w:cs="Arial"/>
        </w:rPr>
        <w:t xml:space="preserve"> </w:t>
      </w:r>
      <w:r w:rsidR="00C8523A">
        <w:rPr>
          <w:rFonts w:cs="Arial"/>
        </w:rPr>
        <w:t xml:space="preserve">Since its inception </w:t>
      </w:r>
      <w:r w:rsidRPr="0005466C">
        <w:rPr>
          <w:rFonts w:cs="Arial"/>
        </w:rPr>
        <w:t xml:space="preserve">APTC </w:t>
      </w:r>
      <w:r w:rsidR="00C8523A">
        <w:rPr>
          <w:rFonts w:cs="Arial"/>
        </w:rPr>
        <w:t xml:space="preserve">has </w:t>
      </w:r>
      <w:r w:rsidRPr="0005466C">
        <w:rPr>
          <w:rFonts w:cs="Arial"/>
        </w:rPr>
        <w:t>offer</w:t>
      </w:r>
      <w:r w:rsidR="00C8523A">
        <w:rPr>
          <w:rFonts w:cs="Arial"/>
        </w:rPr>
        <w:t xml:space="preserve">ed 35 </w:t>
      </w:r>
      <w:r w:rsidRPr="0005466C">
        <w:rPr>
          <w:rFonts w:cs="Arial"/>
        </w:rPr>
        <w:t xml:space="preserve">specific qualifications, or courses, mostly at </w:t>
      </w:r>
      <w:r>
        <w:rPr>
          <w:rFonts w:cs="Arial"/>
        </w:rPr>
        <w:t>C</w:t>
      </w:r>
      <w:r w:rsidRPr="0005466C">
        <w:rPr>
          <w:rFonts w:cs="Arial"/>
        </w:rPr>
        <w:t>ertificate level III.</w:t>
      </w:r>
      <w:r>
        <w:rPr>
          <w:rFonts w:cs="Arial"/>
        </w:rPr>
        <w:t xml:space="preserve"> Almost three-</w:t>
      </w:r>
      <w:r w:rsidR="00097871">
        <w:rPr>
          <w:rFonts w:cs="Arial"/>
        </w:rPr>
        <w:t>quarter</w:t>
      </w:r>
      <w:r>
        <w:rPr>
          <w:rFonts w:cs="Arial"/>
        </w:rPr>
        <w:t xml:space="preserve">s </w:t>
      </w:r>
      <w:r w:rsidRPr="0005466C">
        <w:rPr>
          <w:rFonts w:cs="Arial"/>
        </w:rPr>
        <w:t>of the courses are concentrated in four training packages</w:t>
      </w:r>
      <w:r>
        <w:rPr>
          <w:rFonts w:cs="Arial"/>
        </w:rPr>
        <w:t xml:space="preserve">: metal/engineering and construction trades in STT, and </w:t>
      </w:r>
      <w:r w:rsidRPr="0005466C">
        <w:rPr>
          <w:rFonts w:cs="Arial"/>
        </w:rPr>
        <w:t>tourism</w:t>
      </w:r>
      <w:r>
        <w:rPr>
          <w:rFonts w:cs="Arial"/>
        </w:rPr>
        <w:t xml:space="preserve">/hospitality and </w:t>
      </w:r>
      <w:r w:rsidRPr="0005466C">
        <w:rPr>
          <w:rFonts w:cs="Arial"/>
        </w:rPr>
        <w:t xml:space="preserve">community services in SHCS. </w:t>
      </w:r>
      <w:r>
        <w:rPr>
          <w:rFonts w:cs="Arial"/>
        </w:rPr>
        <w:t xml:space="preserve">About 40 per cent of the existing qualifications (15) were introduced in Stage II. </w:t>
      </w:r>
    </w:p>
    <w:p w14:paraId="688684A3" w14:textId="77777777" w:rsidR="00FC22E6" w:rsidRDefault="00FC22E6" w:rsidP="00FC22E6">
      <w:pPr>
        <w:rPr>
          <w:rFonts w:cs="Arial"/>
        </w:rPr>
      </w:pPr>
      <w:r w:rsidRPr="00E51293">
        <w:rPr>
          <w:rFonts w:cs="Arial"/>
          <w:b/>
          <w:i/>
        </w:rPr>
        <w:t>Fluctuations in number of courses, enrolments and graduates</w:t>
      </w:r>
      <w:r w:rsidRPr="00E51293">
        <w:rPr>
          <w:rFonts w:cs="Arial"/>
          <w:b/>
        </w:rPr>
        <w:t>.</w:t>
      </w:r>
      <w:r>
        <w:rPr>
          <w:rFonts w:cs="Arial"/>
        </w:rPr>
        <w:t xml:space="preserve"> </w:t>
      </w:r>
      <w:r w:rsidRPr="0005466C">
        <w:rPr>
          <w:rFonts w:cs="Arial"/>
        </w:rPr>
        <w:t xml:space="preserve">The number of courses delivered varied greatly by semester, ranging from a low of 20 in the first semester of 2012 to a high of </w:t>
      </w:r>
      <w:r>
        <w:rPr>
          <w:rFonts w:cs="Arial"/>
        </w:rPr>
        <w:t>almost 90</w:t>
      </w:r>
      <w:r w:rsidRPr="0005466C">
        <w:rPr>
          <w:rFonts w:cs="Arial"/>
        </w:rPr>
        <w:t xml:space="preserve"> </w:t>
      </w:r>
      <w:r>
        <w:rPr>
          <w:rFonts w:cs="Arial"/>
        </w:rPr>
        <w:t>in the first semester of 2013. Similarly,</w:t>
      </w:r>
      <w:r w:rsidRPr="00BE7E63">
        <w:rPr>
          <w:rFonts w:cs="Arial"/>
        </w:rPr>
        <w:t xml:space="preserve"> </w:t>
      </w:r>
      <w:r>
        <w:rPr>
          <w:rFonts w:cs="Arial"/>
        </w:rPr>
        <w:t>enrolment declined from</w:t>
      </w:r>
      <w:r w:rsidRPr="00BE7E63">
        <w:rPr>
          <w:rFonts w:cs="Arial"/>
        </w:rPr>
        <w:t xml:space="preserve"> 729 students in 2012 and rebounded to 2095 in 2013.</w:t>
      </w:r>
      <w:r>
        <w:rPr>
          <w:rFonts w:cs="Arial"/>
        </w:rPr>
        <w:t xml:space="preserve"> The number of graduates also dropped sharply from 850 in the first half of 2011 to 215 in the first half of 2012, before increasing to a high of 1100 in the first term of 2014. Within these totals, o</w:t>
      </w:r>
      <w:r w:rsidRPr="004143F0">
        <w:rPr>
          <w:rFonts w:cs="Arial"/>
        </w:rPr>
        <w:t>utput from STT fluc</w:t>
      </w:r>
      <w:r>
        <w:rPr>
          <w:rFonts w:cs="Arial"/>
        </w:rPr>
        <w:t>tuated widely, dropping from 460</w:t>
      </w:r>
      <w:r w:rsidRPr="004143F0">
        <w:rPr>
          <w:rFonts w:cs="Arial"/>
        </w:rPr>
        <w:t xml:space="preserve"> in the first half of 2011 to just 16 </w:t>
      </w:r>
      <w:r>
        <w:rPr>
          <w:rFonts w:cs="Arial"/>
        </w:rPr>
        <w:t>the following year, arising to 320</w:t>
      </w:r>
      <w:r w:rsidRPr="004143F0">
        <w:rPr>
          <w:rFonts w:cs="Arial"/>
        </w:rPr>
        <w:t xml:space="preserve"> in the second semester of 2013 </w:t>
      </w:r>
      <w:r>
        <w:rPr>
          <w:rFonts w:cs="Arial"/>
        </w:rPr>
        <w:t xml:space="preserve">then dropping </w:t>
      </w:r>
      <w:r w:rsidRPr="004143F0">
        <w:rPr>
          <w:rFonts w:cs="Arial"/>
        </w:rPr>
        <w:t xml:space="preserve">to 100 in the first semester of 2014. </w:t>
      </w:r>
      <w:r>
        <w:rPr>
          <w:rFonts w:cs="Arial"/>
        </w:rPr>
        <w:t xml:space="preserve">APTC management attributes the reductions between stages to two factors: (1) fall off in new courses and enrolments at the end of Stage I when targets had been met; and (2) attrition and difficulty in recruiting new teaching staff in PNG owing to changes in terms of service at the start of Stage II. </w:t>
      </w:r>
    </w:p>
    <w:p w14:paraId="0B9B5150" w14:textId="3D5F48AA" w:rsidR="00FC22E6" w:rsidRDefault="00FC22E6" w:rsidP="00FC22E6">
      <w:pPr>
        <w:rPr>
          <w:rFonts w:cs="Arial"/>
        </w:rPr>
      </w:pPr>
      <w:r w:rsidRPr="00535B23">
        <w:rPr>
          <w:rFonts w:cs="Arial"/>
          <w:b/>
          <w:i/>
        </w:rPr>
        <w:t>Applicants and scholarships</w:t>
      </w:r>
      <w:r w:rsidRPr="00535B23">
        <w:rPr>
          <w:rFonts w:cs="Arial"/>
          <w:b/>
        </w:rPr>
        <w:t>.</w:t>
      </w:r>
      <w:r>
        <w:rPr>
          <w:rFonts w:cs="Arial"/>
        </w:rPr>
        <w:t xml:space="preserve"> </w:t>
      </w:r>
      <w:r w:rsidRPr="0005466C">
        <w:rPr>
          <w:rFonts w:cs="Arial"/>
        </w:rPr>
        <w:t xml:space="preserve">APTC has received over 21,000 applications for admission </w:t>
      </w:r>
      <w:r>
        <w:rPr>
          <w:rFonts w:cs="Arial"/>
        </w:rPr>
        <w:t xml:space="preserve">and 16,000 applications for scholarships </w:t>
      </w:r>
      <w:r w:rsidRPr="0005466C">
        <w:rPr>
          <w:rFonts w:cs="Arial"/>
        </w:rPr>
        <w:t>to date, about 40</w:t>
      </w:r>
      <w:r>
        <w:rPr>
          <w:rFonts w:cs="Arial"/>
        </w:rPr>
        <w:t xml:space="preserve"> per cent from women. </w:t>
      </w:r>
      <w:r w:rsidR="004334B5" w:rsidRPr="004334B5">
        <w:rPr>
          <w:rFonts w:cs="Arial"/>
        </w:rPr>
        <w:t xml:space="preserve">The proportion of applicants deemed suitable for admission </w:t>
      </w:r>
      <w:r w:rsidR="00DB6026">
        <w:rPr>
          <w:rFonts w:cs="Arial"/>
        </w:rPr>
        <w:t>after testing increased from 56 per cent to 67 per cent</w:t>
      </w:r>
      <w:r w:rsidR="004334B5" w:rsidRPr="004334B5">
        <w:rPr>
          <w:rFonts w:cs="Arial"/>
        </w:rPr>
        <w:t xml:space="preserve"> between the two stages. </w:t>
      </w:r>
      <w:r w:rsidRPr="0005466C">
        <w:rPr>
          <w:rFonts w:cs="Arial"/>
        </w:rPr>
        <w:t>Scholarship awards as a percentage of scholarship applicants remained steady in the two stages at about 50</w:t>
      </w:r>
      <w:r>
        <w:rPr>
          <w:rFonts w:cs="Arial"/>
        </w:rPr>
        <w:t xml:space="preserve"> per cent. B</w:t>
      </w:r>
      <w:r w:rsidRPr="00BD0954">
        <w:rPr>
          <w:rFonts w:cs="Arial"/>
        </w:rPr>
        <w:t>y nationality</w:t>
      </w:r>
      <w:r>
        <w:rPr>
          <w:rFonts w:cs="Arial"/>
        </w:rPr>
        <w:t>,</w:t>
      </w:r>
      <w:r w:rsidRPr="00BD0954">
        <w:rPr>
          <w:rFonts w:cs="Arial"/>
        </w:rPr>
        <w:t xml:space="preserve"> Samoa has a 10</w:t>
      </w:r>
      <w:r>
        <w:rPr>
          <w:rFonts w:cs="Arial"/>
        </w:rPr>
        <w:t>–</w:t>
      </w:r>
      <w:r w:rsidRPr="00BD0954">
        <w:rPr>
          <w:rFonts w:cs="Arial"/>
        </w:rPr>
        <w:t xml:space="preserve">14 percentage point </w:t>
      </w:r>
      <w:r>
        <w:rPr>
          <w:rFonts w:cs="Arial"/>
        </w:rPr>
        <w:t xml:space="preserve">advantage </w:t>
      </w:r>
      <w:r w:rsidRPr="00BD0954">
        <w:rPr>
          <w:rFonts w:cs="Arial"/>
        </w:rPr>
        <w:t>compared with Vanuatu and PNG</w:t>
      </w:r>
      <w:r>
        <w:rPr>
          <w:rFonts w:cs="Arial"/>
        </w:rPr>
        <w:t>,</w:t>
      </w:r>
      <w:r w:rsidRPr="00BD0954">
        <w:rPr>
          <w:rFonts w:cs="Arial"/>
        </w:rPr>
        <w:t xml:space="preserve"> both in ratio of entrants to applicants and in scholarship awards as a percentage of applications.</w:t>
      </w:r>
      <w:r w:rsidRPr="0005466C">
        <w:rPr>
          <w:rFonts w:cs="Arial"/>
        </w:rPr>
        <w:t xml:space="preserve"> </w:t>
      </w:r>
    </w:p>
    <w:p w14:paraId="608B1359" w14:textId="6C40B229" w:rsidR="00FC22E6" w:rsidRDefault="00FC22E6" w:rsidP="00FC22E6">
      <w:pPr>
        <w:rPr>
          <w:rFonts w:cs="Arial"/>
        </w:rPr>
      </w:pPr>
      <w:r w:rsidRPr="008E0642">
        <w:rPr>
          <w:rFonts w:cs="Arial"/>
          <w:b/>
          <w:i/>
        </w:rPr>
        <w:t>Wait list</w:t>
      </w:r>
      <w:r w:rsidRPr="008E0642">
        <w:rPr>
          <w:rFonts w:cs="Arial"/>
          <w:b/>
        </w:rPr>
        <w:t>.</w:t>
      </w:r>
      <w:r>
        <w:rPr>
          <w:rFonts w:cs="Arial"/>
        </w:rPr>
        <w:t xml:space="preserve"> </w:t>
      </w:r>
      <w:r w:rsidRPr="00503FA7">
        <w:rPr>
          <w:rFonts w:cs="Arial"/>
        </w:rPr>
        <w:t xml:space="preserve">Currently 980 applicants, equivalent to just over half current enrolment, </w:t>
      </w:r>
      <w:r w:rsidR="00012ED6">
        <w:rPr>
          <w:rFonts w:cs="Arial"/>
        </w:rPr>
        <w:br/>
      </w:r>
      <w:r w:rsidRPr="00503FA7">
        <w:rPr>
          <w:rFonts w:cs="Arial"/>
        </w:rPr>
        <w:t xml:space="preserve">have been placed on the waitlist </w:t>
      </w:r>
      <w:r>
        <w:rPr>
          <w:rFonts w:cs="Arial"/>
        </w:rPr>
        <w:t xml:space="preserve">for entrance when places open. </w:t>
      </w:r>
      <w:r w:rsidRPr="00503FA7">
        <w:rPr>
          <w:rFonts w:cs="Arial"/>
        </w:rPr>
        <w:t>As a percentage of current enrolment, the waitlist represents 21</w:t>
      </w:r>
      <w:r>
        <w:rPr>
          <w:rFonts w:cs="Arial"/>
        </w:rPr>
        <w:t xml:space="preserve"> per cent</w:t>
      </w:r>
      <w:r w:rsidRPr="00503FA7">
        <w:rPr>
          <w:rFonts w:cs="Arial"/>
        </w:rPr>
        <w:t xml:space="preserve"> of current enrolment in Samoa, </w:t>
      </w:r>
      <w:r w:rsidR="00012ED6">
        <w:rPr>
          <w:rFonts w:cs="Arial"/>
        </w:rPr>
        <w:br/>
      </w:r>
      <w:r w:rsidRPr="00503FA7">
        <w:rPr>
          <w:rFonts w:cs="Arial"/>
        </w:rPr>
        <w:t>56</w:t>
      </w:r>
      <w:r>
        <w:rPr>
          <w:rFonts w:cs="Arial"/>
        </w:rPr>
        <w:t xml:space="preserve"> per cent</w:t>
      </w:r>
      <w:r w:rsidRPr="00503FA7">
        <w:rPr>
          <w:rFonts w:cs="Arial"/>
        </w:rPr>
        <w:t xml:space="preserve"> in Fiji, 67</w:t>
      </w:r>
      <w:r>
        <w:rPr>
          <w:rFonts w:cs="Arial"/>
        </w:rPr>
        <w:t xml:space="preserve"> per cent</w:t>
      </w:r>
      <w:r w:rsidRPr="00503FA7">
        <w:rPr>
          <w:rFonts w:cs="Arial"/>
        </w:rPr>
        <w:t xml:space="preserve"> in Vanuatu and 73</w:t>
      </w:r>
      <w:r>
        <w:rPr>
          <w:rFonts w:cs="Arial"/>
        </w:rPr>
        <w:t xml:space="preserve"> per cent</w:t>
      </w:r>
      <w:r w:rsidRPr="00503FA7">
        <w:rPr>
          <w:rFonts w:cs="Arial"/>
        </w:rPr>
        <w:t xml:space="preserve"> in PNG.  </w:t>
      </w:r>
    </w:p>
    <w:p w14:paraId="52721A64" w14:textId="0B73657F" w:rsidR="00FC22E6" w:rsidRDefault="00FC22E6" w:rsidP="00FC22E6">
      <w:r w:rsidRPr="00A11A18">
        <w:rPr>
          <w:rFonts w:cs="Arial"/>
          <w:b/>
          <w:i/>
        </w:rPr>
        <w:t>Financing</w:t>
      </w:r>
      <w:r w:rsidRPr="00A11A18">
        <w:rPr>
          <w:rFonts w:cs="Arial"/>
          <w:b/>
        </w:rPr>
        <w:t xml:space="preserve">. </w:t>
      </w:r>
      <w:r w:rsidRPr="00503FA7">
        <w:rPr>
          <w:rFonts w:cs="Arial"/>
        </w:rPr>
        <w:t>About three</w:t>
      </w:r>
      <w:r>
        <w:rPr>
          <w:rFonts w:cs="Arial"/>
        </w:rPr>
        <w:t>-</w:t>
      </w:r>
      <w:r w:rsidR="004334B5">
        <w:rPr>
          <w:rFonts w:cs="Arial"/>
        </w:rPr>
        <w:t xml:space="preserve">quarters </w:t>
      </w:r>
      <w:r w:rsidRPr="00503FA7">
        <w:rPr>
          <w:rFonts w:cs="Arial"/>
        </w:rPr>
        <w:t>of entering students w</w:t>
      </w:r>
      <w:r>
        <w:rPr>
          <w:rFonts w:cs="Arial"/>
        </w:rPr>
        <w:t xml:space="preserve">ere supported on scholarships. </w:t>
      </w:r>
      <w:r w:rsidRPr="00503FA7">
        <w:rPr>
          <w:rFonts w:cs="Arial"/>
        </w:rPr>
        <w:t>This remaine</w:t>
      </w:r>
      <w:r>
        <w:rPr>
          <w:rFonts w:cs="Arial"/>
        </w:rPr>
        <w:t>d constant over the two stages.</w:t>
      </w:r>
      <w:r w:rsidRPr="00503FA7">
        <w:rPr>
          <w:rFonts w:cs="Arial"/>
        </w:rPr>
        <w:t xml:space="preserve"> Employer funding supported an average of 17 per</w:t>
      </w:r>
      <w:r>
        <w:rPr>
          <w:rFonts w:cs="Arial"/>
        </w:rPr>
        <w:t xml:space="preserve"> </w:t>
      </w:r>
      <w:r w:rsidRPr="00503FA7">
        <w:rPr>
          <w:rFonts w:cs="Arial"/>
        </w:rPr>
        <w:t>cent of students over the two stages</w:t>
      </w:r>
      <w:r>
        <w:rPr>
          <w:rFonts w:cs="Arial"/>
        </w:rPr>
        <w:t>. Fee for service accounted for about six per cent</w:t>
      </w:r>
      <w:r w:rsidRPr="00503FA7">
        <w:rPr>
          <w:rFonts w:cs="Arial"/>
        </w:rPr>
        <w:t xml:space="preserve"> in </w:t>
      </w:r>
      <w:r>
        <w:rPr>
          <w:rFonts w:cs="Arial"/>
        </w:rPr>
        <w:t>S</w:t>
      </w:r>
      <w:r w:rsidRPr="00503FA7">
        <w:rPr>
          <w:rFonts w:cs="Arial"/>
        </w:rPr>
        <w:t>tage II</w:t>
      </w:r>
      <w:r>
        <w:rPr>
          <w:rFonts w:cs="Arial"/>
        </w:rPr>
        <w:t xml:space="preserve"> and s</w:t>
      </w:r>
      <w:r w:rsidRPr="00503FA7">
        <w:rPr>
          <w:rFonts w:cs="Arial"/>
        </w:rPr>
        <w:t>elf-financed trainees accou</w:t>
      </w:r>
      <w:r>
        <w:rPr>
          <w:rFonts w:cs="Arial"/>
        </w:rPr>
        <w:t xml:space="preserve">nted for just under five per cent </w:t>
      </w:r>
      <w:r w:rsidRPr="00503FA7">
        <w:rPr>
          <w:rFonts w:cs="Arial"/>
        </w:rPr>
        <w:t>of the total.</w:t>
      </w:r>
      <w:r>
        <w:rPr>
          <w:rFonts w:cs="Arial"/>
        </w:rPr>
        <w:t xml:space="preserve"> </w:t>
      </w:r>
      <w:r w:rsidRPr="00503FA7">
        <w:t xml:space="preserve">About two-thirds of the students were employed on entry to APTC.  </w:t>
      </w:r>
    </w:p>
    <w:p w14:paraId="7E6B5F17" w14:textId="77777777" w:rsidR="00FC22E6" w:rsidRDefault="00FC22E6" w:rsidP="00FC22E6">
      <w:pPr>
        <w:rPr>
          <w:rFonts w:cs="Arial"/>
        </w:rPr>
      </w:pPr>
      <w:r w:rsidRPr="00FC6929">
        <w:rPr>
          <w:rFonts w:cs="Arial"/>
          <w:b/>
          <w:i/>
        </w:rPr>
        <w:t>Enrolment by campus and nationality</w:t>
      </w:r>
      <w:r w:rsidRPr="00FC6929">
        <w:rPr>
          <w:rFonts w:cs="Arial"/>
          <w:b/>
        </w:rPr>
        <w:t>.</w:t>
      </w:r>
      <w:r>
        <w:rPr>
          <w:rFonts w:cs="Arial"/>
        </w:rPr>
        <w:t xml:space="preserve"> </w:t>
      </w:r>
      <w:r w:rsidRPr="00E4760D">
        <w:rPr>
          <w:rFonts w:cs="Arial"/>
        </w:rPr>
        <w:t>Currently by campus country, Fiji enro</w:t>
      </w:r>
      <w:r>
        <w:rPr>
          <w:rFonts w:cs="Arial"/>
        </w:rPr>
        <w:t>ls 44 per cent</w:t>
      </w:r>
      <w:r w:rsidRPr="00E4760D">
        <w:rPr>
          <w:rFonts w:cs="Arial"/>
        </w:rPr>
        <w:t xml:space="preserve"> of all stu</w:t>
      </w:r>
      <w:r>
        <w:rPr>
          <w:rFonts w:cs="Arial"/>
        </w:rPr>
        <w:t>dents, followed by PNG with 19 per cent, Samoa with 16 per cent, Vanuatu with 13 per cent and Solomon Islands with 6 per cent</w:t>
      </w:r>
      <w:r w:rsidRPr="00E4760D">
        <w:rPr>
          <w:rFonts w:cs="Arial"/>
        </w:rPr>
        <w:t>.</w:t>
      </w:r>
      <w:r>
        <w:rPr>
          <w:rFonts w:cs="Arial"/>
        </w:rPr>
        <w:t xml:space="preserve"> By nationality, students from PNG and Solomon Islands are the most under-represented in relation to population size. </w:t>
      </w:r>
    </w:p>
    <w:p w14:paraId="782C03B7" w14:textId="77777777" w:rsidR="00FC22E6" w:rsidRDefault="00FC22E6" w:rsidP="00FC22E6">
      <w:pPr>
        <w:rPr>
          <w:rFonts w:cs="Arial"/>
        </w:rPr>
      </w:pPr>
      <w:r w:rsidRPr="00EA3A37">
        <w:rPr>
          <w:rFonts w:cs="Arial"/>
          <w:b/>
          <w:i/>
        </w:rPr>
        <w:t>Gender</w:t>
      </w:r>
      <w:r w:rsidRPr="00EA3A37">
        <w:rPr>
          <w:rFonts w:cs="Arial"/>
          <w:b/>
        </w:rPr>
        <w:t>.</w:t>
      </w:r>
      <w:r>
        <w:rPr>
          <w:rFonts w:cs="Arial"/>
        </w:rPr>
        <w:t xml:space="preserve"> </w:t>
      </w:r>
      <w:r w:rsidRPr="009D31F2">
        <w:rPr>
          <w:rFonts w:cs="Arial"/>
        </w:rPr>
        <w:t>Female enrolment increased from 36</w:t>
      </w:r>
      <w:r>
        <w:rPr>
          <w:rFonts w:cs="Arial"/>
        </w:rPr>
        <w:t xml:space="preserve"> per cent</w:t>
      </w:r>
      <w:r w:rsidRPr="009D31F2">
        <w:rPr>
          <w:rFonts w:cs="Arial"/>
        </w:rPr>
        <w:t xml:space="preserve"> in Stage I to 40</w:t>
      </w:r>
      <w:r>
        <w:rPr>
          <w:rFonts w:cs="Arial"/>
        </w:rPr>
        <w:t xml:space="preserve"> per cent</w:t>
      </w:r>
      <w:r w:rsidRPr="009D31F2">
        <w:rPr>
          <w:rFonts w:cs="Arial"/>
        </w:rPr>
        <w:t xml:space="preserve"> in Stage II</w:t>
      </w:r>
      <w:r>
        <w:rPr>
          <w:rFonts w:cs="Arial"/>
        </w:rPr>
        <w:t xml:space="preserve">. Female enrolment tends to be concentrated in SHCS, with only 24 per cent in STT. Since most students are already employed, low female enrolment in traditional trades reflects employment patterns in the workforce. </w:t>
      </w:r>
    </w:p>
    <w:p w14:paraId="4B97882E" w14:textId="3CA333D1" w:rsidR="00FC22E6" w:rsidRDefault="00FC22E6" w:rsidP="00FC22E6">
      <w:pPr>
        <w:rPr>
          <w:rFonts w:cs="Arial"/>
        </w:rPr>
      </w:pPr>
      <w:r w:rsidRPr="00FB416B">
        <w:rPr>
          <w:rFonts w:cs="Arial"/>
          <w:b/>
          <w:i/>
        </w:rPr>
        <w:t>Graduates and completion rates</w:t>
      </w:r>
      <w:r w:rsidRPr="00FB416B">
        <w:rPr>
          <w:rFonts w:cs="Arial"/>
          <w:b/>
        </w:rPr>
        <w:t xml:space="preserve">. </w:t>
      </w:r>
      <w:r w:rsidRPr="004143F0">
        <w:rPr>
          <w:rFonts w:cs="Arial"/>
        </w:rPr>
        <w:t xml:space="preserve">To </w:t>
      </w:r>
      <w:r>
        <w:rPr>
          <w:rFonts w:cs="Arial"/>
        </w:rPr>
        <w:t>mid-</w:t>
      </w:r>
      <w:r w:rsidRPr="004143F0">
        <w:rPr>
          <w:rFonts w:cs="Arial"/>
        </w:rPr>
        <w:t>2014</w:t>
      </w:r>
      <w:r>
        <w:rPr>
          <w:rFonts w:cs="Arial"/>
        </w:rPr>
        <w:t>,</w:t>
      </w:r>
      <w:r w:rsidRPr="004143F0">
        <w:rPr>
          <w:rFonts w:cs="Arial"/>
        </w:rPr>
        <w:t xml:space="preserve"> APTC produced over 6750 graduates, 52</w:t>
      </w:r>
      <w:r>
        <w:rPr>
          <w:rFonts w:cs="Arial"/>
        </w:rPr>
        <w:t xml:space="preserve"> per cent</w:t>
      </w:r>
      <w:r w:rsidRPr="004143F0">
        <w:rPr>
          <w:rFonts w:cs="Arial"/>
        </w:rPr>
        <w:t xml:space="preserve"> from SHCS.</w:t>
      </w:r>
      <w:r>
        <w:rPr>
          <w:rFonts w:cs="Arial"/>
        </w:rPr>
        <w:t xml:space="preserve"> </w:t>
      </w:r>
      <w:r w:rsidRPr="004654C9">
        <w:rPr>
          <w:rFonts w:cs="Arial"/>
        </w:rPr>
        <w:t>Completion rates are high with relatively little variation according to school, gender, age, employment status, c</w:t>
      </w:r>
      <w:r>
        <w:rPr>
          <w:rFonts w:cs="Arial"/>
        </w:rPr>
        <w:t xml:space="preserve">ampus country and nationality. </w:t>
      </w:r>
      <w:r w:rsidRPr="004654C9">
        <w:rPr>
          <w:rFonts w:cs="Arial"/>
        </w:rPr>
        <w:t>Overall, completion rates are 91</w:t>
      </w:r>
      <w:r>
        <w:rPr>
          <w:rFonts w:cs="Arial"/>
        </w:rPr>
        <w:t xml:space="preserve"> per cent,</w:t>
      </w:r>
      <w:r w:rsidRPr="004654C9">
        <w:rPr>
          <w:rFonts w:cs="Arial"/>
        </w:rPr>
        <w:t xml:space="preserve"> </w:t>
      </w:r>
      <w:r w:rsidR="00012ED6">
        <w:rPr>
          <w:rFonts w:cs="Arial"/>
        </w:rPr>
        <w:t>with</w:t>
      </w:r>
      <w:r w:rsidRPr="004654C9">
        <w:rPr>
          <w:rFonts w:cs="Arial"/>
        </w:rPr>
        <w:t xml:space="preserve"> 89</w:t>
      </w:r>
      <w:r>
        <w:rPr>
          <w:rFonts w:cs="Arial"/>
        </w:rPr>
        <w:t xml:space="preserve"> per cent</w:t>
      </w:r>
      <w:r w:rsidRPr="004654C9">
        <w:rPr>
          <w:rFonts w:cs="Arial"/>
        </w:rPr>
        <w:t xml:space="preserve"> for STT and 92</w:t>
      </w:r>
      <w:r>
        <w:rPr>
          <w:rFonts w:cs="Arial"/>
        </w:rPr>
        <w:t xml:space="preserve"> per cent</w:t>
      </w:r>
      <w:r w:rsidR="00012ED6">
        <w:rPr>
          <w:rFonts w:cs="Arial"/>
        </w:rPr>
        <w:t xml:space="preserve"> for SHCS. </w:t>
      </w:r>
      <w:r w:rsidRPr="004654C9">
        <w:rPr>
          <w:rFonts w:cs="Arial"/>
        </w:rPr>
        <w:t>Females had a higher completion rate than males, 93</w:t>
      </w:r>
      <w:r>
        <w:rPr>
          <w:rFonts w:cs="Arial"/>
        </w:rPr>
        <w:t xml:space="preserve"> per cent</w:t>
      </w:r>
      <w:r w:rsidRPr="004654C9">
        <w:rPr>
          <w:rFonts w:cs="Arial"/>
        </w:rPr>
        <w:t xml:space="preserve"> and </w:t>
      </w:r>
      <w:r w:rsidRPr="004654C9">
        <w:rPr>
          <w:rFonts w:cs="Arial"/>
        </w:rPr>
        <w:lastRenderedPageBreak/>
        <w:t>89</w:t>
      </w:r>
      <w:r>
        <w:rPr>
          <w:rFonts w:cs="Arial"/>
        </w:rPr>
        <w:t xml:space="preserve"> per cent, respectively. </w:t>
      </w:r>
      <w:r w:rsidRPr="004654C9">
        <w:rPr>
          <w:rFonts w:cs="Arial"/>
        </w:rPr>
        <w:t>By nationality all countries had 90</w:t>
      </w:r>
      <w:r>
        <w:rPr>
          <w:rFonts w:cs="Arial"/>
        </w:rPr>
        <w:t xml:space="preserve"> per cent</w:t>
      </w:r>
      <w:r w:rsidRPr="004654C9">
        <w:rPr>
          <w:rFonts w:cs="Arial"/>
        </w:rPr>
        <w:t xml:space="preserve"> completion rate or above</w:t>
      </w:r>
      <w:r>
        <w:rPr>
          <w:rFonts w:cs="Arial"/>
        </w:rPr>
        <w:t>,</w:t>
      </w:r>
      <w:r w:rsidRPr="004654C9">
        <w:rPr>
          <w:rFonts w:cs="Arial"/>
        </w:rPr>
        <w:t xml:space="preserve"> except PNG and Vanuatu at 89</w:t>
      </w:r>
      <w:r>
        <w:rPr>
          <w:rFonts w:cs="Arial"/>
        </w:rPr>
        <w:t xml:space="preserve"> per cent</w:t>
      </w:r>
      <w:r w:rsidRPr="004654C9">
        <w:rPr>
          <w:rFonts w:cs="Arial"/>
        </w:rPr>
        <w:t xml:space="preserve"> and 88</w:t>
      </w:r>
      <w:r>
        <w:rPr>
          <w:rFonts w:cs="Arial"/>
        </w:rPr>
        <w:t xml:space="preserve"> per cent</w:t>
      </w:r>
      <w:r w:rsidRPr="004654C9">
        <w:rPr>
          <w:rFonts w:cs="Arial"/>
        </w:rPr>
        <w:t>, respectivel</w:t>
      </w:r>
      <w:r>
        <w:rPr>
          <w:rFonts w:cs="Arial"/>
        </w:rPr>
        <w:t xml:space="preserve">y. </w:t>
      </w:r>
      <w:r w:rsidRPr="004654C9">
        <w:rPr>
          <w:rFonts w:cs="Arial"/>
        </w:rPr>
        <w:t>Solomon Islands nationals excelled with a 97</w:t>
      </w:r>
      <w:r>
        <w:rPr>
          <w:rFonts w:cs="Arial"/>
        </w:rPr>
        <w:t xml:space="preserve"> per cent</w:t>
      </w:r>
      <w:r w:rsidRPr="004654C9">
        <w:rPr>
          <w:rFonts w:cs="Arial"/>
        </w:rPr>
        <w:t xml:space="preserve"> completion rate among more than 700 participants. </w:t>
      </w:r>
      <w:r w:rsidR="00F94E28">
        <w:rPr>
          <w:rFonts w:cs="Arial"/>
        </w:rPr>
        <w:t>However</w:t>
      </w:r>
      <w:r w:rsidRPr="004654C9">
        <w:rPr>
          <w:rFonts w:cs="Arial"/>
        </w:rPr>
        <w:t xml:space="preserve">, overall, </w:t>
      </w:r>
      <w:r>
        <w:rPr>
          <w:rFonts w:cs="Arial"/>
        </w:rPr>
        <w:t xml:space="preserve">more than </w:t>
      </w:r>
      <w:r w:rsidRPr="004654C9">
        <w:rPr>
          <w:rFonts w:cs="Arial"/>
        </w:rPr>
        <w:t>6</w:t>
      </w:r>
      <w:r>
        <w:rPr>
          <w:rFonts w:cs="Arial"/>
        </w:rPr>
        <w:t>00</w:t>
      </w:r>
      <w:r w:rsidRPr="004654C9">
        <w:rPr>
          <w:rFonts w:cs="Arial"/>
        </w:rPr>
        <w:t xml:space="preserve"> students did not complete their qualifications, of whom 70</w:t>
      </w:r>
      <w:r>
        <w:rPr>
          <w:rFonts w:cs="Arial"/>
        </w:rPr>
        <w:t xml:space="preserve"> per cent</w:t>
      </w:r>
      <w:r w:rsidRPr="004654C9">
        <w:rPr>
          <w:rFonts w:cs="Arial"/>
        </w:rPr>
        <w:t xml:space="preserve"> were male. </w:t>
      </w:r>
    </w:p>
    <w:p w14:paraId="0F501A91" w14:textId="19E40BDE" w:rsidR="00FC22E6" w:rsidRDefault="00FC22E6" w:rsidP="00FC22E6">
      <w:pPr>
        <w:rPr>
          <w:rFonts w:cs="Arial"/>
        </w:rPr>
      </w:pPr>
      <w:r w:rsidRPr="005F52C4">
        <w:rPr>
          <w:rFonts w:cs="Arial"/>
          <w:b/>
          <w:i/>
        </w:rPr>
        <w:t>Trainers and tutors</w:t>
      </w:r>
      <w:r w:rsidRPr="005F52C4">
        <w:rPr>
          <w:rFonts w:cs="Arial"/>
          <w:b/>
        </w:rPr>
        <w:t>.</w:t>
      </w:r>
      <w:r>
        <w:rPr>
          <w:rFonts w:cs="Arial"/>
        </w:rPr>
        <w:t xml:space="preserve"> </w:t>
      </w:r>
      <w:r w:rsidRPr="009260EC">
        <w:rPr>
          <w:rFonts w:cs="Arial"/>
        </w:rPr>
        <w:t>Accelerated recruitment of tutors changed the ratio of tra</w:t>
      </w:r>
      <w:r>
        <w:rPr>
          <w:rFonts w:cs="Arial"/>
        </w:rPr>
        <w:t xml:space="preserve">iners to tutors substantially. </w:t>
      </w:r>
      <w:r w:rsidRPr="009260EC">
        <w:rPr>
          <w:rFonts w:cs="Arial"/>
        </w:rPr>
        <w:t>In 2009 the</w:t>
      </w:r>
      <w:r>
        <w:rPr>
          <w:rFonts w:cs="Arial"/>
        </w:rPr>
        <w:t>re were 18 trainers</w:t>
      </w:r>
      <w:r w:rsidR="008F1919">
        <w:rPr>
          <w:rFonts w:cs="Arial"/>
        </w:rPr>
        <w:t xml:space="preserve"> for every tutor. </w:t>
      </w:r>
      <w:r w:rsidRPr="009260EC">
        <w:rPr>
          <w:rFonts w:cs="Arial"/>
        </w:rPr>
        <w:t>This dropped to 1.6</w:t>
      </w:r>
      <w:r>
        <w:rPr>
          <w:rFonts w:cs="Arial"/>
        </w:rPr>
        <w:t> </w:t>
      </w:r>
      <w:r w:rsidRPr="009260EC">
        <w:rPr>
          <w:rFonts w:cs="Arial"/>
        </w:rPr>
        <w:t>trainers</w:t>
      </w:r>
      <w:r>
        <w:rPr>
          <w:rFonts w:cs="Arial"/>
        </w:rPr>
        <w:t>-</w:t>
      </w:r>
      <w:r w:rsidRPr="009260EC">
        <w:rPr>
          <w:rFonts w:cs="Arial"/>
        </w:rPr>
        <w:t>per</w:t>
      </w:r>
      <w:r>
        <w:rPr>
          <w:rFonts w:cs="Arial"/>
        </w:rPr>
        <w:t>-</w:t>
      </w:r>
      <w:r w:rsidRPr="009260EC">
        <w:rPr>
          <w:rFonts w:cs="Arial"/>
        </w:rPr>
        <w:t xml:space="preserve">tutor </w:t>
      </w:r>
      <w:r>
        <w:rPr>
          <w:rFonts w:cs="Arial"/>
        </w:rPr>
        <w:t xml:space="preserve">in mid 2014. </w:t>
      </w:r>
      <w:r w:rsidRPr="009260EC">
        <w:rPr>
          <w:rFonts w:cs="Arial"/>
        </w:rPr>
        <w:t>The proportion of females among trainers and tutors incr</w:t>
      </w:r>
      <w:r>
        <w:rPr>
          <w:rFonts w:cs="Arial"/>
        </w:rPr>
        <w:t xml:space="preserve">eased during the second stage. </w:t>
      </w:r>
      <w:r w:rsidRPr="009260EC">
        <w:rPr>
          <w:rFonts w:cs="Arial"/>
        </w:rPr>
        <w:t>Currently about 30</w:t>
      </w:r>
      <w:r>
        <w:rPr>
          <w:rFonts w:cs="Arial"/>
        </w:rPr>
        <w:t xml:space="preserve"> per cent</w:t>
      </w:r>
      <w:r w:rsidRPr="009260EC">
        <w:rPr>
          <w:rFonts w:cs="Arial"/>
        </w:rPr>
        <w:t xml:space="preserve"> of trainers and half of tutors are female</w:t>
      </w:r>
      <w:r>
        <w:rPr>
          <w:rFonts w:cs="Arial"/>
        </w:rPr>
        <w:t xml:space="preserve">.  </w:t>
      </w:r>
    </w:p>
    <w:p w14:paraId="5C07B53C" w14:textId="77777777" w:rsidR="00F94E28" w:rsidRDefault="00FC22E6" w:rsidP="00FC22E6">
      <w:pPr>
        <w:rPr>
          <w:rFonts w:cs="Arial"/>
        </w:rPr>
      </w:pPr>
      <w:r w:rsidRPr="0040386A">
        <w:rPr>
          <w:rFonts w:cs="Arial"/>
          <w:b/>
          <w:i/>
        </w:rPr>
        <w:t>Teacher–student ratios and class sizes</w:t>
      </w:r>
      <w:r w:rsidRPr="0040386A">
        <w:rPr>
          <w:rFonts w:cs="Arial"/>
          <w:b/>
        </w:rPr>
        <w:t>.</w:t>
      </w:r>
      <w:r>
        <w:rPr>
          <w:rFonts w:cs="Arial"/>
        </w:rPr>
        <w:t xml:space="preserve"> </w:t>
      </w:r>
      <w:r w:rsidRPr="009260EC">
        <w:rPr>
          <w:rFonts w:cs="Arial"/>
        </w:rPr>
        <w:t>APTC has averaged 10.5 students</w:t>
      </w:r>
      <w:r>
        <w:rPr>
          <w:rFonts w:cs="Arial"/>
        </w:rPr>
        <w:t>-</w:t>
      </w:r>
      <w:r w:rsidRPr="009260EC">
        <w:rPr>
          <w:rFonts w:cs="Arial"/>
        </w:rPr>
        <w:t>per</w:t>
      </w:r>
      <w:r>
        <w:rPr>
          <w:rFonts w:cs="Arial"/>
        </w:rPr>
        <w:t>-</w:t>
      </w:r>
      <w:r w:rsidRPr="009260EC">
        <w:rPr>
          <w:rFonts w:cs="Arial"/>
        </w:rPr>
        <w:t xml:space="preserve">teacher (trainers and tutors combined) from 2007 to </w:t>
      </w:r>
      <w:r>
        <w:rPr>
          <w:rFonts w:cs="Arial"/>
        </w:rPr>
        <w:t xml:space="preserve">mid 2014. </w:t>
      </w:r>
      <w:r w:rsidRPr="009260EC">
        <w:rPr>
          <w:rFonts w:cs="Arial"/>
        </w:rPr>
        <w:t>The average varied widely at the beginning of APTC operations and declined substantially in 2012 commens</w:t>
      </w:r>
      <w:r>
        <w:rPr>
          <w:rFonts w:cs="Arial"/>
        </w:rPr>
        <w:t xml:space="preserve">urate with reduced enrolments. </w:t>
      </w:r>
      <w:r w:rsidRPr="009260EC">
        <w:rPr>
          <w:rFonts w:cs="Arial"/>
        </w:rPr>
        <w:t>The average declined since 2010 when the hiring of tutors began.</w:t>
      </w:r>
      <w:r>
        <w:rPr>
          <w:rFonts w:cs="Arial"/>
        </w:rPr>
        <w:t xml:space="preserve"> </w:t>
      </w:r>
    </w:p>
    <w:p w14:paraId="0F17D597" w14:textId="322A4328" w:rsidR="00FC22E6" w:rsidRDefault="00FC22E6" w:rsidP="00FC22E6">
      <w:r w:rsidRPr="009260EC">
        <w:t>Classes ranged from 11 to 31 students</w:t>
      </w:r>
      <w:r>
        <w:t xml:space="preserve"> per qualification and</w:t>
      </w:r>
      <w:r w:rsidRPr="009260EC">
        <w:t xml:space="preserve"> averaged 17.2 stu</w:t>
      </w:r>
      <w:r>
        <w:t xml:space="preserve">dents in SHCS and 14.4 in STT. Potentially higher class sizes in SHCS were limited by maximum sizes for some qualifications </w:t>
      </w:r>
      <w:r w:rsidR="008F1919">
        <w:t xml:space="preserve">owing to equipment and safety considerations </w:t>
      </w:r>
      <w:r>
        <w:t xml:space="preserve">and dependence on scholarships. </w:t>
      </w:r>
      <w:r w:rsidRPr="009260EC">
        <w:t xml:space="preserve">Courses offered through blended means, e.g. use of internet and e-learning </w:t>
      </w:r>
      <w:r>
        <w:t xml:space="preserve">combined </w:t>
      </w:r>
      <w:r w:rsidR="00F94E28">
        <w:t xml:space="preserve">with </w:t>
      </w:r>
      <w:r w:rsidRPr="009260EC">
        <w:t>direct classroom instruction, offer</w:t>
      </w:r>
      <w:r>
        <w:t xml:space="preserve"> some</w:t>
      </w:r>
      <w:r w:rsidRPr="009260EC">
        <w:t xml:space="preserve"> potential for increased class sizes</w:t>
      </w:r>
      <w:r>
        <w:t xml:space="preserve">. </w:t>
      </w:r>
    </w:p>
    <w:p w14:paraId="39C19DF2" w14:textId="77777777" w:rsidR="002A5752" w:rsidRDefault="00FC22E6" w:rsidP="00FC22E6">
      <w:pPr>
        <w:rPr>
          <w:rFonts w:cs="Arial"/>
        </w:rPr>
      </w:pPr>
      <w:r w:rsidRPr="006157A5">
        <w:rPr>
          <w:b/>
          <w:i/>
        </w:rPr>
        <w:t>Staff profile.</w:t>
      </w:r>
      <w:r>
        <w:t xml:space="preserve"> </w:t>
      </w:r>
      <w:r w:rsidRPr="00684FF1">
        <w:t>Overall 58</w:t>
      </w:r>
      <w:r>
        <w:t xml:space="preserve"> per cent</w:t>
      </w:r>
      <w:r w:rsidRPr="00684FF1">
        <w:t xml:space="preserve"> of the staff are female, including 42</w:t>
      </w:r>
      <w:r>
        <w:t xml:space="preserve"> per cent</w:t>
      </w:r>
      <w:r w:rsidRPr="00684FF1">
        <w:t xml:space="preserve"> of the academic staff and 74</w:t>
      </w:r>
      <w:r>
        <w:t xml:space="preserve"> per cent</w:t>
      </w:r>
      <w:r w:rsidRPr="00684FF1">
        <w:t xml:space="preserve"> of the non-academic staff. Currently, APTC has 187</w:t>
      </w:r>
      <w:r>
        <w:t> </w:t>
      </w:r>
      <w:r w:rsidRPr="00684FF1">
        <w:t>staff, 48</w:t>
      </w:r>
      <w:r>
        <w:t xml:space="preserve"> per cent</w:t>
      </w:r>
      <w:r w:rsidRPr="00684FF1">
        <w:t xml:space="preserve"> of whom </w:t>
      </w:r>
      <w:r>
        <w:t xml:space="preserve">are administrative/management. </w:t>
      </w:r>
      <w:r w:rsidRPr="00684FF1">
        <w:t>By nationality</w:t>
      </w:r>
      <w:r>
        <w:t>,</w:t>
      </w:r>
      <w:r w:rsidRPr="00684FF1">
        <w:t xml:space="preserve"> Australians make up 38</w:t>
      </w:r>
      <w:r>
        <w:t xml:space="preserve"> per cent</w:t>
      </w:r>
      <w:r w:rsidRPr="00684FF1">
        <w:t xml:space="preserve"> of total staff, followed by Fijians with 35</w:t>
      </w:r>
      <w:r>
        <w:t xml:space="preserve"> per cent</w:t>
      </w:r>
      <w:r w:rsidRPr="00684FF1">
        <w:t xml:space="preserve"> of the total.</w:t>
      </w:r>
      <w:r>
        <w:t xml:space="preserve"> The ratio between teaching and non-teaching staff has changed frequently, but </w:t>
      </w:r>
      <w:r>
        <w:rPr>
          <w:rFonts w:cs="Arial"/>
        </w:rPr>
        <w:t>t</w:t>
      </w:r>
      <w:r w:rsidRPr="00684FF1">
        <w:rPr>
          <w:rFonts w:cs="Arial"/>
        </w:rPr>
        <w:t>eaching staff slightly outweighed non-teaching st</w:t>
      </w:r>
      <w:r>
        <w:rPr>
          <w:rFonts w:cs="Arial"/>
        </w:rPr>
        <w:t xml:space="preserve">aff in the first half of 2014. </w:t>
      </w:r>
    </w:p>
    <w:p w14:paraId="2069BC14" w14:textId="387A226E" w:rsidR="00FC22E6" w:rsidRPr="006157A5" w:rsidRDefault="00FC22E6" w:rsidP="00FC22E6">
      <w:pPr>
        <w:rPr>
          <w:rFonts w:cs="Arial"/>
        </w:rPr>
      </w:pPr>
      <w:r>
        <w:rPr>
          <w:rFonts w:cs="Arial"/>
        </w:rPr>
        <w:t>T</w:t>
      </w:r>
      <w:r w:rsidRPr="00684FF1">
        <w:rPr>
          <w:rFonts w:cs="Arial"/>
        </w:rPr>
        <w:t>he proportion of management staff among total staff has decreased from a high of 33</w:t>
      </w:r>
      <w:r w:rsidR="002A5752">
        <w:rPr>
          <w:rFonts w:cs="Arial"/>
        </w:rPr>
        <w:t> </w:t>
      </w:r>
      <w:r>
        <w:rPr>
          <w:rFonts w:cs="Arial"/>
        </w:rPr>
        <w:t>per cent</w:t>
      </w:r>
      <w:r w:rsidRPr="00684FF1">
        <w:rPr>
          <w:rFonts w:cs="Arial"/>
        </w:rPr>
        <w:t xml:space="preserve"> in 2009 to 16</w:t>
      </w:r>
      <w:r>
        <w:rPr>
          <w:rFonts w:cs="Arial"/>
        </w:rPr>
        <w:t xml:space="preserve"> per cent</w:t>
      </w:r>
      <w:r w:rsidRPr="00684FF1">
        <w:rPr>
          <w:rFonts w:cs="Arial"/>
        </w:rPr>
        <w:t xml:space="preserve"> </w:t>
      </w:r>
      <w:r>
        <w:rPr>
          <w:rFonts w:cs="Arial"/>
        </w:rPr>
        <w:t>in mid-2014.</w:t>
      </w:r>
    </w:p>
    <w:p w14:paraId="136103EA" w14:textId="1C25295B" w:rsidR="003D355F" w:rsidRDefault="002C2711" w:rsidP="002028A6">
      <w:pPr>
        <w:pStyle w:val="Heading1"/>
      </w:pPr>
      <w:bookmarkStart w:id="117" w:name="_Toc274059118"/>
      <w:bookmarkStart w:id="118" w:name="_Toc278447838"/>
      <w:bookmarkStart w:id="119" w:name="_Toc278453311"/>
      <w:r>
        <w:t xml:space="preserve">2 </w:t>
      </w:r>
      <w:r w:rsidR="002028A6">
        <w:tab/>
      </w:r>
      <w:r w:rsidR="00FC22E6">
        <w:t>Courses</w:t>
      </w:r>
      <w:bookmarkEnd w:id="117"/>
      <w:bookmarkEnd w:id="118"/>
      <w:bookmarkEnd w:id="119"/>
    </w:p>
    <w:p w14:paraId="0BDFE7C6" w14:textId="58B04AF8" w:rsidR="003D355F" w:rsidRDefault="002C2711" w:rsidP="002028A6">
      <w:pPr>
        <w:pStyle w:val="Heading2"/>
      </w:pPr>
      <w:bookmarkStart w:id="120" w:name="_Toc274059119"/>
      <w:bookmarkStart w:id="121" w:name="_Toc274145061"/>
      <w:bookmarkStart w:id="122" w:name="_Toc274900445"/>
      <w:bookmarkStart w:id="123" w:name="_Toc278447839"/>
      <w:bookmarkStart w:id="124" w:name="_Toc278453312"/>
      <w:r>
        <w:t xml:space="preserve">2.1 </w:t>
      </w:r>
      <w:r w:rsidR="002028A6">
        <w:tab/>
      </w:r>
      <w:r w:rsidR="00FC22E6">
        <w:t>Course</w:t>
      </w:r>
      <w:r w:rsidR="00FC22E6" w:rsidRPr="00D17CCB">
        <w:t>s by level, school, training package and campus country</w:t>
      </w:r>
      <w:bookmarkEnd w:id="120"/>
      <w:bookmarkEnd w:id="121"/>
      <w:bookmarkEnd w:id="122"/>
      <w:bookmarkEnd w:id="123"/>
      <w:bookmarkEnd w:id="124"/>
    </w:p>
    <w:p w14:paraId="27CB6083" w14:textId="4087B126" w:rsidR="00FC22E6" w:rsidRPr="00D17CCB" w:rsidRDefault="00C8523A" w:rsidP="00FC22E6">
      <w:pPr>
        <w:rPr>
          <w:rFonts w:cs="Arial"/>
        </w:rPr>
      </w:pPr>
      <w:r>
        <w:rPr>
          <w:rFonts w:cs="Arial"/>
        </w:rPr>
        <w:t xml:space="preserve">Since its inception </w:t>
      </w:r>
      <w:r w:rsidR="00FC22E6" w:rsidRPr="00D17CCB">
        <w:rPr>
          <w:rFonts w:cs="Arial"/>
        </w:rPr>
        <w:t xml:space="preserve">APTC </w:t>
      </w:r>
      <w:r>
        <w:rPr>
          <w:rFonts w:cs="Arial"/>
        </w:rPr>
        <w:t>has offered 35</w:t>
      </w:r>
      <w:r>
        <w:rPr>
          <w:rStyle w:val="FootnoteReference"/>
          <w:rFonts w:cs="Arial"/>
        </w:rPr>
        <w:footnoteReference w:id="13"/>
      </w:r>
      <w:r>
        <w:rPr>
          <w:rFonts w:cs="Arial"/>
        </w:rPr>
        <w:t xml:space="preserve"> </w:t>
      </w:r>
      <w:r w:rsidR="00FC22E6">
        <w:rPr>
          <w:rFonts w:cs="Arial"/>
        </w:rPr>
        <w:t xml:space="preserve">specific qualifications, or courses, mostly at Certificate level III. </w:t>
      </w:r>
      <w:r w:rsidR="00FC22E6" w:rsidRPr="00D17CCB">
        <w:rPr>
          <w:rFonts w:cs="Arial"/>
        </w:rPr>
        <w:t xml:space="preserve">STT provides two </w:t>
      </w:r>
      <w:r w:rsidR="00FC22E6">
        <w:rPr>
          <w:rFonts w:cs="Arial"/>
        </w:rPr>
        <w:t>C</w:t>
      </w:r>
      <w:r w:rsidR="00FC22E6" w:rsidRPr="00D17CCB">
        <w:rPr>
          <w:rFonts w:cs="Arial"/>
        </w:rPr>
        <w:t xml:space="preserve">ertificate level II </w:t>
      </w:r>
      <w:r w:rsidR="00FC22E6">
        <w:rPr>
          <w:rFonts w:cs="Arial"/>
        </w:rPr>
        <w:t xml:space="preserve">courses </w:t>
      </w:r>
      <w:r w:rsidR="00FC22E6" w:rsidRPr="00D17CCB">
        <w:rPr>
          <w:rFonts w:cs="Arial"/>
        </w:rPr>
        <w:t xml:space="preserve">as lead-in to its </w:t>
      </w:r>
      <w:r w:rsidR="00FC22E6">
        <w:rPr>
          <w:rFonts w:cs="Arial"/>
        </w:rPr>
        <w:t>C</w:t>
      </w:r>
      <w:r w:rsidR="00FC22E6" w:rsidRPr="00D17CCB">
        <w:rPr>
          <w:rFonts w:cs="Arial"/>
        </w:rPr>
        <w:t xml:space="preserve">ertificate </w:t>
      </w:r>
      <w:r w:rsidR="00FC22E6">
        <w:rPr>
          <w:rFonts w:cs="Arial"/>
        </w:rPr>
        <w:t xml:space="preserve">III courses. </w:t>
      </w:r>
      <w:r w:rsidR="00FC22E6" w:rsidRPr="00D17CCB">
        <w:rPr>
          <w:rFonts w:cs="Arial"/>
        </w:rPr>
        <w:t xml:space="preserve">STT and SHCS offer the same number of </w:t>
      </w:r>
      <w:r w:rsidR="00FC22E6">
        <w:rPr>
          <w:rFonts w:cs="Arial"/>
        </w:rPr>
        <w:t>C</w:t>
      </w:r>
      <w:r w:rsidR="00FC22E6" w:rsidRPr="00D17CCB">
        <w:rPr>
          <w:rFonts w:cs="Arial"/>
        </w:rPr>
        <w:t xml:space="preserve">ertificate III </w:t>
      </w:r>
      <w:r w:rsidR="00FC22E6">
        <w:rPr>
          <w:rFonts w:cs="Arial"/>
        </w:rPr>
        <w:t xml:space="preserve">qualifications. </w:t>
      </w:r>
      <w:r w:rsidR="00FC22E6" w:rsidRPr="00D17CCB">
        <w:rPr>
          <w:rFonts w:cs="Arial"/>
        </w:rPr>
        <w:t xml:space="preserve">SHCS </w:t>
      </w:r>
      <w:r w:rsidR="00FC22E6">
        <w:rPr>
          <w:rFonts w:cs="Arial"/>
        </w:rPr>
        <w:t>provides</w:t>
      </w:r>
      <w:r w:rsidR="00FC22E6" w:rsidRPr="00D17CCB">
        <w:rPr>
          <w:rFonts w:cs="Arial"/>
        </w:rPr>
        <w:t xml:space="preserve"> </w:t>
      </w:r>
      <w:r w:rsidR="00FC22E6">
        <w:rPr>
          <w:rFonts w:cs="Arial"/>
        </w:rPr>
        <w:t>courses for C</w:t>
      </w:r>
      <w:r w:rsidR="00FC22E6" w:rsidRPr="00D17CCB">
        <w:rPr>
          <w:rFonts w:cs="Arial"/>
        </w:rPr>
        <w:t xml:space="preserve">ertificate IV and </w:t>
      </w:r>
      <w:r w:rsidR="00FC22E6">
        <w:rPr>
          <w:rFonts w:cs="Arial"/>
        </w:rPr>
        <w:t>D</w:t>
      </w:r>
      <w:r w:rsidR="00FC22E6" w:rsidRPr="00D17CCB">
        <w:rPr>
          <w:rFonts w:cs="Arial"/>
        </w:rPr>
        <w:t xml:space="preserve">iploma </w:t>
      </w:r>
      <w:r w:rsidR="00FC22E6">
        <w:rPr>
          <w:rFonts w:cs="Arial"/>
        </w:rPr>
        <w:t xml:space="preserve">qualifications. STT provides one Certificate IV qualification – Training and Assessment (TAE). The following graph shows </w:t>
      </w:r>
      <w:r w:rsidR="002A5752">
        <w:rPr>
          <w:rFonts w:cs="Arial"/>
        </w:rPr>
        <w:t xml:space="preserve">the </w:t>
      </w:r>
      <w:r w:rsidR="00FC22E6">
        <w:rPr>
          <w:rFonts w:cs="Arial"/>
        </w:rPr>
        <w:t xml:space="preserve">number of courses by school and level of qualification. </w:t>
      </w:r>
    </w:p>
    <w:p w14:paraId="4042434D" w14:textId="77777777" w:rsidR="00FC22E6" w:rsidRPr="004E1FD9" w:rsidRDefault="00FC22E6" w:rsidP="00FC22E6">
      <w:pPr>
        <w:pStyle w:val="Tableheading"/>
      </w:pPr>
      <w:r>
        <w:br w:type="page"/>
      </w:r>
      <w:bookmarkStart w:id="125" w:name="_Toc274059209"/>
      <w:bookmarkStart w:id="126" w:name="_Toc274146417"/>
      <w:bookmarkStart w:id="127" w:name="_Toc274915876"/>
      <w:bookmarkStart w:id="128" w:name="_Toc278446854"/>
      <w:r>
        <w:lastRenderedPageBreak/>
        <w:t>Figure 2.1.1: Number of courses offered by school and level of qualification</w:t>
      </w:r>
      <w:bookmarkEnd w:id="125"/>
      <w:bookmarkEnd w:id="126"/>
      <w:bookmarkEnd w:id="127"/>
      <w:bookmarkEnd w:id="128"/>
    </w:p>
    <w:p w14:paraId="491CC647" w14:textId="77777777" w:rsidR="00FC22E6" w:rsidRPr="00D17CCB" w:rsidRDefault="00FC22E6" w:rsidP="00FC22E6">
      <w:pPr>
        <w:rPr>
          <w:rFonts w:cs="Arial"/>
        </w:rPr>
      </w:pPr>
      <w:r w:rsidRPr="00D17CCB">
        <w:rPr>
          <w:rFonts w:cs="Arial"/>
          <w:noProof/>
          <w:lang w:eastAsia="en-AU"/>
        </w:rPr>
        <w:drawing>
          <wp:inline distT="0" distB="0" distL="0" distR="0" wp14:anchorId="5F1F74D0" wp14:editId="54D12DBF">
            <wp:extent cx="3543300" cy="2181225"/>
            <wp:effectExtent l="25400" t="25400" r="12700" b="3175"/>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EF5B72" w14:textId="77777777" w:rsidR="00FC22E6" w:rsidRPr="007F72D6" w:rsidRDefault="00FC22E6" w:rsidP="00FC22E6">
      <w:pPr>
        <w:rPr>
          <w:rFonts w:cs="Arial"/>
          <w:sz w:val="16"/>
          <w:szCs w:val="18"/>
        </w:rPr>
      </w:pPr>
      <w:r>
        <w:rPr>
          <w:rFonts w:cs="Arial"/>
          <w:sz w:val="16"/>
          <w:szCs w:val="18"/>
        </w:rPr>
        <w:t xml:space="preserve">Source: </w:t>
      </w:r>
      <w:r w:rsidRPr="007F72D6">
        <w:rPr>
          <w:rFonts w:cs="Arial"/>
          <w:sz w:val="16"/>
          <w:szCs w:val="18"/>
        </w:rPr>
        <w:t>APTC Table A.1</w:t>
      </w:r>
    </w:p>
    <w:p w14:paraId="4C941375" w14:textId="77777777" w:rsidR="00FC22E6" w:rsidRDefault="00FC22E6" w:rsidP="00FC22E6">
      <w:pPr>
        <w:rPr>
          <w:rFonts w:cs="Arial"/>
        </w:rPr>
      </w:pPr>
    </w:p>
    <w:p w14:paraId="67BB50D5" w14:textId="10E0460C" w:rsidR="00FC22E6" w:rsidRDefault="00FC22E6" w:rsidP="00FC22E6">
      <w:pPr>
        <w:rPr>
          <w:rFonts w:cs="Arial"/>
        </w:rPr>
      </w:pPr>
      <w:r>
        <w:rPr>
          <w:rFonts w:cs="Arial"/>
        </w:rPr>
        <w:t>O</w:t>
      </w:r>
      <w:r w:rsidRPr="00D17CCB">
        <w:rPr>
          <w:rFonts w:cs="Arial"/>
        </w:rPr>
        <w:t>ver 70</w:t>
      </w:r>
      <w:r>
        <w:rPr>
          <w:rFonts w:cs="Arial"/>
        </w:rPr>
        <w:t xml:space="preserve"> per cent</w:t>
      </w:r>
      <w:r w:rsidRPr="00D17CCB">
        <w:rPr>
          <w:rFonts w:cs="Arial"/>
        </w:rPr>
        <w:t xml:space="preserve"> of the </w:t>
      </w:r>
      <w:r>
        <w:rPr>
          <w:rFonts w:cs="Arial"/>
        </w:rPr>
        <w:t xml:space="preserve">courses </w:t>
      </w:r>
      <w:r w:rsidRPr="00D17CCB">
        <w:rPr>
          <w:rFonts w:cs="Arial"/>
        </w:rPr>
        <w:t xml:space="preserve">are concentrated in four </w:t>
      </w:r>
      <w:r>
        <w:rPr>
          <w:rFonts w:cs="Arial"/>
        </w:rPr>
        <w:t>training packages:</w:t>
      </w:r>
      <w:r w:rsidRPr="00D17CCB">
        <w:rPr>
          <w:rFonts w:cs="Arial"/>
        </w:rPr>
        <w:t xml:space="preserve"> (i) metal and engineering</w:t>
      </w:r>
      <w:r>
        <w:rPr>
          <w:rFonts w:cs="Arial"/>
        </w:rPr>
        <w:t>;</w:t>
      </w:r>
      <w:r w:rsidRPr="00D17CCB">
        <w:rPr>
          <w:rFonts w:cs="Arial"/>
        </w:rPr>
        <w:t xml:space="preserve"> (i</w:t>
      </w:r>
      <w:r>
        <w:rPr>
          <w:rFonts w:cs="Arial"/>
        </w:rPr>
        <w:t xml:space="preserve">i) construction trades in STT; </w:t>
      </w:r>
      <w:r w:rsidRPr="00D17CCB">
        <w:rPr>
          <w:rFonts w:cs="Arial"/>
        </w:rPr>
        <w:t>(iii) tourism and hospitality</w:t>
      </w:r>
      <w:r>
        <w:rPr>
          <w:rFonts w:cs="Arial"/>
        </w:rPr>
        <w:t>;</w:t>
      </w:r>
      <w:r w:rsidRPr="00D17CCB">
        <w:rPr>
          <w:rFonts w:cs="Arial"/>
        </w:rPr>
        <w:t xml:space="preserve"> and (iv</w:t>
      </w:r>
      <w:r>
        <w:rPr>
          <w:rFonts w:cs="Arial"/>
        </w:rPr>
        <w:t>)</w:t>
      </w:r>
      <w:r w:rsidR="007F7644">
        <w:rPr>
          <w:rFonts w:cs="Arial"/>
        </w:rPr>
        <w:t> </w:t>
      </w:r>
      <w:r>
        <w:rPr>
          <w:rFonts w:cs="Arial"/>
        </w:rPr>
        <w:t xml:space="preserve">community services in SHCS. </w:t>
      </w:r>
      <w:r w:rsidRPr="00D17CCB">
        <w:rPr>
          <w:rFonts w:cs="Arial"/>
        </w:rPr>
        <w:t xml:space="preserve">The distribution of </w:t>
      </w:r>
      <w:r>
        <w:rPr>
          <w:rFonts w:cs="Arial"/>
        </w:rPr>
        <w:t>courses is as follows.</w:t>
      </w:r>
    </w:p>
    <w:p w14:paraId="1818F9B6" w14:textId="77777777" w:rsidR="00FC22E6" w:rsidRPr="007F72D6" w:rsidRDefault="00FC22E6" w:rsidP="00FC22E6">
      <w:pPr>
        <w:pStyle w:val="Tableheading"/>
        <w:rPr>
          <w:bCs/>
        </w:rPr>
      </w:pPr>
      <w:bookmarkStart w:id="129" w:name="_Toc274059210"/>
      <w:bookmarkStart w:id="130" w:name="_Toc274146418"/>
      <w:bookmarkStart w:id="131" w:name="_Toc274915877"/>
      <w:bookmarkStart w:id="132" w:name="_Toc278446855"/>
      <w:r>
        <w:t xml:space="preserve">Figure 2.1.2: </w:t>
      </w:r>
      <w:r w:rsidRPr="007F72D6">
        <w:rPr>
          <w:bCs/>
        </w:rPr>
        <w:t>Total number of courses offered by training area (all levels, current)</w:t>
      </w:r>
      <w:bookmarkEnd w:id="129"/>
      <w:bookmarkEnd w:id="130"/>
      <w:bookmarkEnd w:id="131"/>
      <w:bookmarkEnd w:id="132"/>
      <w:r w:rsidRPr="007F72D6">
        <w:rPr>
          <w:bCs/>
        </w:rPr>
        <w:t xml:space="preserve"> </w:t>
      </w:r>
    </w:p>
    <w:p w14:paraId="11307809" w14:textId="77777777" w:rsidR="00FC22E6" w:rsidRPr="00D17CCB" w:rsidRDefault="00FC22E6" w:rsidP="00FC22E6">
      <w:pPr>
        <w:rPr>
          <w:rFonts w:cs="Arial"/>
        </w:rPr>
      </w:pPr>
      <w:r w:rsidRPr="00D17CCB">
        <w:rPr>
          <w:rFonts w:cs="Arial"/>
          <w:noProof/>
          <w:lang w:eastAsia="en-AU"/>
        </w:rPr>
        <w:drawing>
          <wp:inline distT="0" distB="0" distL="0" distR="0" wp14:anchorId="77D4DE96" wp14:editId="3C6C1767">
            <wp:extent cx="3600450" cy="2952750"/>
            <wp:effectExtent l="25400" t="25400" r="63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79BE99" w14:textId="77777777" w:rsidR="00FC22E6" w:rsidRPr="007F72D6" w:rsidRDefault="00FC22E6" w:rsidP="00FC22E6">
      <w:pPr>
        <w:rPr>
          <w:rFonts w:cs="Arial"/>
          <w:sz w:val="16"/>
          <w:szCs w:val="18"/>
        </w:rPr>
      </w:pPr>
      <w:r>
        <w:rPr>
          <w:rFonts w:cs="Arial"/>
          <w:sz w:val="16"/>
          <w:szCs w:val="18"/>
        </w:rPr>
        <w:t xml:space="preserve">Source: </w:t>
      </w:r>
      <w:r w:rsidRPr="007F72D6">
        <w:rPr>
          <w:rFonts w:cs="Arial"/>
          <w:sz w:val="16"/>
          <w:szCs w:val="18"/>
        </w:rPr>
        <w:t>APTC Table A.1</w:t>
      </w:r>
    </w:p>
    <w:p w14:paraId="5891B871" w14:textId="77777777" w:rsidR="00FC22E6" w:rsidRDefault="00FC22E6" w:rsidP="00FC22E6">
      <w:pPr>
        <w:rPr>
          <w:rFonts w:cs="Arial"/>
        </w:rPr>
      </w:pPr>
    </w:p>
    <w:p w14:paraId="695D9E1E" w14:textId="278274B6" w:rsidR="00FC22E6" w:rsidRPr="00D17CCB" w:rsidRDefault="00FC22E6" w:rsidP="00FC22E6">
      <w:pPr>
        <w:rPr>
          <w:rFonts w:cs="Arial"/>
        </w:rPr>
      </w:pPr>
      <w:r w:rsidRPr="00D17CCB">
        <w:rPr>
          <w:rFonts w:cs="Arial"/>
        </w:rPr>
        <w:t xml:space="preserve">The same </w:t>
      </w:r>
      <w:r>
        <w:rPr>
          <w:rFonts w:cs="Arial"/>
        </w:rPr>
        <w:t xml:space="preserve">course </w:t>
      </w:r>
      <w:r w:rsidRPr="00D17CCB">
        <w:rPr>
          <w:rFonts w:cs="Arial"/>
        </w:rPr>
        <w:t>is sometimes del</w:t>
      </w:r>
      <w:r>
        <w:rPr>
          <w:rFonts w:cs="Arial"/>
        </w:rPr>
        <w:t xml:space="preserve">ivered in multiple locations. </w:t>
      </w:r>
      <w:r w:rsidRPr="00D17CCB">
        <w:rPr>
          <w:rFonts w:cs="Arial"/>
        </w:rPr>
        <w:t xml:space="preserve">This means that the </w:t>
      </w:r>
      <w:r w:rsidR="00C8523A">
        <w:rPr>
          <w:rFonts w:cs="Arial"/>
        </w:rPr>
        <w:t>35</w:t>
      </w:r>
      <w:r w:rsidR="007F7644">
        <w:rPr>
          <w:rFonts w:cs="Arial"/>
        </w:rPr>
        <w:t> </w:t>
      </w:r>
      <w:r>
        <w:rPr>
          <w:rFonts w:cs="Arial"/>
        </w:rPr>
        <w:t xml:space="preserve">courses </w:t>
      </w:r>
      <w:r w:rsidRPr="00D17CCB">
        <w:rPr>
          <w:rFonts w:cs="Arial"/>
        </w:rPr>
        <w:t>were delivered 64 ti</w:t>
      </w:r>
      <w:r>
        <w:rPr>
          <w:rFonts w:cs="Arial"/>
        </w:rPr>
        <w:t xml:space="preserve">mes in the first half of 2014. </w:t>
      </w:r>
      <w:r w:rsidRPr="00D17CCB">
        <w:rPr>
          <w:rFonts w:cs="Arial"/>
        </w:rPr>
        <w:t xml:space="preserve">Fiji delivered 23 </w:t>
      </w:r>
      <w:r>
        <w:rPr>
          <w:rFonts w:cs="Arial"/>
        </w:rPr>
        <w:t xml:space="preserve">courses, </w:t>
      </w:r>
      <w:r w:rsidRPr="00D17CCB">
        <w:rPr>
          <w:rFonts w:cs="Arial"/>
        </w:rPr>
        <w:t>Vanuatu 1</w:t>
      </w:r>
      <w:r>
        <w:rPr>
          <w:rFonts w:cs="Arial"/>
        </w:rPr>
        <w:t xml:space="preserve">4 and Samoa 12. Solomon Islands </w:t>
      </w:r>
      <w:r w:rsidRPr="00D17CCB">
        <w:rPr>
          <w:rFonts w:cs="Arial"/>
        </w:rPr>
        <w:t xml:space="preserve">delivered three </w:t>
      </w:r>
      <w:r>
        <w:rPr>
          <w:rFonts w:cs="Arial"/>
        </w:rPr>
        <w:t>courses</w:t>
      </w:r>
      <w:r w:rsidRPr="00D17CCB">
        <w:rPr>
          <w:rFonts w:cs="Arial"/>
        </w:rPr>
        <w:t xml:space="preserve">, two at </w:t>
      </w:r>
      <w:r>
        <w:rPr>
          <w:rFonts w:cs="Arial"/>
        </w:rPr>
        <w:t xml:space="preserve">Certificate </w:t>
      </w:r>
      <w:r w:rsidRPr="00D17CCB">
        <w:rPr>
          <w:rFonts w:cs="Arial"/>
        </w:rPr>
        <w:t xml:space="preserve">level II and one at </w:t>
      </w:r>
      <w:r>
        <w:rPr>
          <w:rFonts w:cs="Arial"/>
        </w:rPr>
        <w:t xml:space="preserve">Certificate </w:t>
      </w:r>
      <w:r w:rsidRPr="00D17CCB">
        <w:rPr>
          <w:rFonts w:cs="Arial"/>
        </w:rPr>
        <w:t>level IV</w:t>
      </w:r>
      <w:r>
        <w:rPr>
          <w:rFonts w:cs="Arial"/>
        </w:rPr>
        <w:t xml:space="preserve">. </w:t>
      </w:r>
      <w:r w:rsidRPr="00D17CCB">
        <w:rPr>
          <w:rFonts w:cs="Arial"/>
        </w:rPr>
        <w:t xml:space="preserve">The following graph shows the distribution of </w:t>
      </w:r>
      <w:r>
        <w:rPr>
          <w:rFonts w:cs="Arial"/>
        </w:rPr>
        <w:t xml:space="preserve">courses </w:t>
      </w:r>
      <w:r w:rsidRPr="00D17CCB">
        <w:rPr>
          <w:rFonts w:cs="Arial"/>
        </w:rPr>
        <w:t>delivered by campus country and level.</w:t>
      </w:r>
    </w:p>
    <w:p w14:paraId="4787C149" w14:textId="3F264F81" w:rsidR="00FC22E6" w:rsidRPr="004D45E8" w:rsidRDefault="00FC22E6" w:rsidP="008E7579">
      <w:pPr>
        <w:pStyle w:val="Tableheading"/>
        <w:spacing w:before="0"/>
      </w:pPr>
      <w:r>
        <w:br w:type="page"/>
      </w:r>
      <w:bookmarkStart w:id="133" w:name="_Toc274059211"/>
      <w:bookmarkStart w:id="134" w:name="_Toc274146419"/>
      <w:bookmarkStart w:id="135" w:name="_Toc274915878"/>
      <w:bookmarkStart w:id="136" w:name="_Toc278446856"/>
      <w:r>
        <w:lastRenderedPageBreak/>
        <w:t xml:space="preserve">Figure 2.1.3: </w:t>
      </w:r>
      <w:r w:rsidRPr="004D45E8">
        <w:rPr>
          <w:bCs/>
        </w:rPr>
        <w:t xml:space="preserve">Number of courses delivered by level of qualification and </w:t>
      </w:r>
      <w:r w:rsidR="00942E79">
        <w:rPr>
          <w:bCs/>
        </w:rPr>
        <w:br/>
      </w:r>
      <w:r w:rsidRPr="004D45E8">
        <w:rPr>
          <w:bCs/>
        </w:rPr>
        <w:t>campus country (includes multiple delivery of same course)</w:t>
      </w:r>
      <w:bookmarkEnd w:id="133"/>
      <w:bookmarkEnd w:id="134"/>
      <w:bookmarkEnd w:id="135"/>
      <w:bookmarkEnd w:id="136"/>
    </w:p>
    <w:p w14:paraId="3E0EE5EF" w14:textId="77777777" w:rsidR="00FC22E6" w:rsidRPr="00D17CCB" w:rsidRDefault="00FC22E6" w:rsidP="00FC22E6">
      <w:pPr>
        <w:rPr>
          <w:rFonts w:cs="Arial"/>
        </w:rPr>
      </w:pPr>
      <w:r w:rsidRPr="00D17CCB">
        <w:rPr>
          <w:rFonts w:cs="Arial"/>
          <w:noProof/>
          <w:lang w:eastAsia="en-AU"/>
        </w:rPr>
        <w:drawing>
          <wp:inline distT="0" distB="0" distL="0" distR="0" wp14:anchorId="19CAAE73" wp14:editId="3F75B63C">
            <wp:extent cx="3806402" cy="2688167"/>
            <wp:effectExtent l="0" t="0" r="29210" b="29845"/>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97E88D" w14:textId="77777777" w:rsidR="00FC22E6" w:rsidRPr="007F7644" w:rsidRDefault="00FC22E6" w:rsidP="00FC22E6">
      <w:pPr>
        <w:rPr>
          <w:rFonts w:cs="Arial"/>
          <w:sz w:val="16"/>
          <w:szCs w:val="16"/>
        </w:rPr>
      </w:pPr>
      <w:r w:rsidRPr="007F7644">
        <w:rPr>
          <w:rFonts w:cs="Arial"/>
          <w:sz w:val="16"/>
          <w:szCs w:val="16"/>
        </w:rPr>
        <w:t>Source: APTC Table A.2</w:t>
      </w:r>
    </w:p>
    <w:p w14:paraId="4AC1442F" w14:textId="77777777" w:rsidR="00FC22E6" w:rsidRPr="004D45E8" w:rsidRDefault="00FC22E6" w:rsidP="00FC22E6">
      <w:pPr>
        <w:rPr>
          <w:rFonts w:cs="Arial"/>
          <w:sz w:val="18"/>
          <w:szCs w:val="18"/>
        </w:rPr>
      </w:pPr>
    </w:p>
    <w:p w14:paraId="052538CD" w14:textId="046B2396" w:rsidR="003D355F" w:rsidRDefault="001D49C4" w:rsidP="002028A6">
      <w:pPr>
        <w:pStyle w:val="Heading2"/>
      </w:pPr>
      <w:bookmarkStart w:id="137" w:name="_Toc274145062"/>
      <w:bookmarkStart w:id="138" w:name="_Toc274900446"/>
      <w:bookmarkStart w:id="139" w:name="_Toc278447840"/>
      <w:bookmarkStart w:id="140" w:name="_Toc278453313"/>
      <w:r>
        <w:t xml:space="preserve">2.2 </w:t>
      </w:r>
      <w:bookmarkStart w:id="141" w:name="_Toc274059120"/>
      <w:r w:rsidR="00227FC3">
        <w:tab/>
      </w:r>
      <w:r w:rsidR="00FC22E6">
        <w:t xml:space="preserve">Courses </w:t>
      </w:r>
      <w:r w:rsidR="00FC22E6" w:rsidRPr="00D17CCB">
        <w:t>by semester</w:t>
      </w:r>
      <w:bookmarkEnd w:id="137"/>
      <w:bookmarkEnd w:id="138"/>
      <w:bookmarkEnd w:id="139"/>
      <w:bookmarkEnd w:id="141"/>
      <w:bookmarkEnd w:id="140"/>
    </w:p>
    <w:p w14:paraId="0000BDF5" w14:textId="77777777" w:rsidR="00FC22E6" w:rsidRPr="00D17CCB" w:rsidRDefault="00FC22E6" w:rsidP="00FC22E6">
      <w:pPr>
        <w:rPr>
          <w:rFonts w:cs="Arial"/>
        </w:rPr>
      </w:pPr>
      <w:r w:rsidRPr="00D17CCB">
        <w:rPr>
          <w:rFonts w:cs="Arial"/>
        </w:rPr>
        <w:t xml:space="preserve">The number of </w:t>
      </w:r>
      <w:r>
        <w:rPr>
          <w:rFonts w:cs="Arial"/>
        </w:rPr>
        <w:t xml:space="preserve">courses </w:t>
      </w:r>
      <w:r w:rsidRPr="00D17CCB">
        <w:rPr>
          <w:rFonts w:cs="Arial"/>
        </w:rPr>
        <w:t xml:space="preserve">delivered varied greatly by semester, ranging from a low of 20 in the first semester of 2012 to a high of 88 </w:t>
      </w:r>
      <w:r>
        <w:rPr>
          <w:rFonts w:cs="Arial"/>
        </w:rPr>
        <w:t xml:space="preserve">in the first semester of 2013. </w:t>
      </w:r>
      <w:r w:rsidRPr="00D17CCB">
        <w:rPr>
          <w:rFonts w:cs="Arial"/>
        </w:rPr>
        <w:t xml:space="preserve">The number of </w:t>
      </w:r>
      <w:r>
        <w:rPr>
          <w:rFonts w:cs="Arial"/>
        </w:rPr>
        <w:t xml:space="preserve">courses </w:t>
      </w:r>
      <w:r w:rsidRPr="00D17CCB">
        <w:rPr>
          <w:rFonts w:cs="Arial"/>
        </w:rPr>
        <w:t xml:space="preserve">was particularly low in calendar </w:t>
      </w:r>
      <w:r>
        <w:rPr>
          <w:rFonts w:cs="Arial"/>
        </w:rPr>
        <w:t xml:space="preserve">year </w:t>
      </w:r>
      <w:r w:rsidRPr="00D17CCB">
        <w:rPr>
          <w:rFonts w:cs="Arial"/>
        </w:rPr>
        <w:t xml:space="preserve">2012, only 44, and notably </w:t>
      </w:r>
      <w:r>
        <w:rPr>
          <w:rFonts w:cs="Arial"/>
        </w:rPr>
        <w:t>high in calendar 2013 at 155.</w:t>
      </w:r>
      <w:r w:rsidRPr="00D17CCB">
        <w:rPr>
          <w:rFonts w:cs="Arial"/>
        </w:rPr>
        <w:t xml:space="preserve"> Reasons for the variation</w:t>
      </w:r>
      <w:r>
        <w:rPr>
          <w:rFonts w:cs="Arial"/>
        </w:rPr>
        <w:t xml:space="preserve">, which apply equally to enrolments and graduations, are given under Section 4.4. </w:t>
      </w:r>
      <w:r w:rsidRPr="00D17CCB">
        <w:rPr>
          <w:rFonts w:cs="Arial"/>
        </w:rPr>
        <w:t xml:space="preserve">   </w:t>
      </w:r>
    </w:p>
    <w:p w14:paraId="37841D4C" w14:textId="77777777" w:rsidR="00FC22E6" w:rsidRPr="009D0F56" w:rsidRDefault="00FC22E6" w:rsidP="00FC22E6">
      <w:pPr>
        <w:pStyle w:val="Tableheading"/>
      </w:pPr>
      <w:bookmarkStart w:id="142" w:name="_Toc274059212"/>
      <w:bookmarkStart w:id="143" w:name="_Toc274146420"/>
      <w:bookmarkStart w:id="144" w:name="_Toc274915879"/>
      <w:bookmarkStart w:id="145" w:name="_Toc278446857"/>
      <w:r>
        <w:t xml:space="preserve">Figure 2.2.1: </w:t>
      </w:r>
      <w:r w:rsidRPr="009D0F56">
        <w:rPr>
          <w:bCs/>
        </w:rPr>
        <w:t>Number of courses offered by school and semester, 2007</w:t>
      </w:r>
      <w:r>
        <w:rPr>
          <w:bCs/>
        </w:rPr>
        <w:t>–</w:t>
      </w:r>
      <w:r w:rsidRPr="009D0F56">
        <w:rPr>
          <w:bCs/>
        </w:rPr>
        <w:t>2014</w:t>
      </w:r>
      <w:bookmarkEnd w:id="142"/>
      <w:bookmarkEnd w:id="143"/>
      <w:bookmarkEnd w:id="144"/>
      <w:bookmarkEnd w:id="145"/>
    </w:p>
    <w:p w14:paraId="6264B66A" w14:textId="77777777" w:rsidR="00FC22E6" w:rsidRPr="00D17CCB" w:rsidRDefault="00FC22E6" w:rsidP="00FC22E6">
      <w:pPr>
        <w:rPr>
          <w:rFonts w:cs="Arial"/>
        </w:rPr>
      </w:pPr>
      <w:r w:rsidRPr="00AE235E">
        <w:rPr>
          <w:rFonts w:cs="Arial"/>
          <w:b/>
          <w:noProof/>
          <w:lang w:eastAsia="en-AU"/>
        </w:rPr>
        <w:drawing>
          <wp:inline distT="0" distB="0" distL="0" distR="0" wp14:anchorId="1DDA7FD4" wp14:editId="7B87392E">
            <wp:extent cx="4492202" cy="3314700"/>
            <wp:effectExtent l="0" t="0" r="29210" b="1270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C90455" w14:textId="3706A9A7" w:rsidR="00D450F0" w:rsidRDefault="00FC22E6" w:rsidP="008E7579">
      <w:pPr>
        <w:rPr>
          <w:rFonts w:cs="Arial"/>
          <w:b/>
          <w:bCs/>
          <w:color w:val="76923C"/>
          <w:szCs w:val="28"/>
        </w:rPr>
      </w:pPr>
      <w:r w:rsidRPr="00924E9C">
        <w:rPr>
          <w:rFonts w:cs="Arial"/>
          <w:sz w:val="16"/>
          <w:szCs w:val="18"/>
        </w:rPr>
        <w:t>Source: APTC Table A.4</w:t>
      </w:r>
      <w:r w:rsidR="00D450F0">
        <w:br w:type="page"/>
      </w:r>
    </w:p>
    <w:p w14:paraId="24B833EE" w14:textId="5B70D6F3" w:rsidR="003D355F" w:rsidRDefault="00D450F0" w:rsidP="002028A6">
      <w:pPr>
        <w:pStyle w:val="Heading2"/>
      </w:pPr>
      <w:bookmarkStart w:id="146" w:name="_Toc274145063"/>
      <w:bookmarkStart w:id="147" w:name="_Toc274900447"/>
      <w:bookmarkStart w:id="148" w:name="_Toc278447841"/>
      <w:bookmarkStart w:id="149" w:name="_Toc278453314"/>
      <w:r>
        <w:lastRenderedPageBreak/>
        <w:t xml:space="preserve">2.3 </w:t>
      </w:r>
      <w:bookmarkStart w:id="150" w:name="_Toc274059121"/>
      <w:r w:rsidR="00864914">
        <w:tab/>
      </w:r>
      <w:r w:rsidR="00FC22E6" w:rsidRPr="00D17CCB">
        <w:t xml:space="preserve">Frequency of </w:t>
      </w:r>
      <w:r w:rsidR="00FC22E6">
        <w:t>courses</w:t>
      </w:r>
      <w:bookmarkEnd w:id="146"/>
      <w:bookmarkEnd w:id="147"/>
      <w:bookmarkEnd w:id="148"/>
      <w:bookmarkEnd w:id="150"/>
      <w:bookmarkEnd w:id="149"/>
    </w:p>
    <w:p w14:paraId="49ACFF76" w14:textId="77777777" w:rsidR="00FC22E6" w:rsidRPr="00D17CCB" w:rsidRDefault="00FC22E6" w:rsidP="00FC22E6">
      <w:pPr>
        <w:rPr>
          <w:rFonts w:cs="Arial"/>
        </w:rPr>
      </w:pPr>
      <w:r w:rsidRPr="00D17CCB">
        <w:rPr>
          <w:rFonts w:cs="Arial"/>
        </w:rPr>
        <w:t xml:space="preserve">The following graphs show the </w:t>
      </w:r>
      <w:r>
        <w:rPr>
          <w:rFonts w:cs="Arial"/>
        </w:rPr>
        <w:t xml:space="preserve">courses </w:t>
      </w:r>
      <w:r w:rsidRPr="00D17CCB">
        <w:rPr>
          <w:rFonts w:cs="Arial"/>
        </w:rPr>
        <w:t>offered least and most since 2007.</w:t>
      </w:r>
    </w:p>
    <w:p w14:paraId="0CD12F15" w14:textId="77777777" w:rsidR="00FC22E6" w:rsidRPr="00D17CCB" w:rsidRDefault="00FC22E6" w:rsidP="00FC22E6">
      <w:pPr>
        <w:pStyle w:val="Tableheading"/>
      </w:pPr>
      <w:bookmarkStart w:id="151" w:name="_Toc274059213"/>
      <w:bookmarkStart w:id="152" w:name="_Toc274146421"/>
      <w:bookmarkStart w:id="153" w:name="_Toc274915880"/>
      <w:bookmarkStart w:id="154" w:name="_Toc278446858"/>
      <w:r>
        <w:t xml:space="preserve">Figure 2.3.1: </w:t>
      </w:r>
      <w:r w:rsidRPr="00924E9C">
        <w:rPr>
          <w:bCs/>
        </w:rPr>
        <w:t>APTC</w:t>
      </w:r>
      <w:r>
        <w:rPr>
          <w:bCs/>
        </w:rPr>
        <w:t>’s</w:t>
      </w:r>
      <w:r w:rsidRPr="00924E9C">
        <w:rPr>
          <w:bCs/>
        </w:rPr>
        <w:t xml:space="preserve"> </w:t>
      </w:r>
      <w:r>
        <w:rPr>
          <w:bCs/>
        </w:rPr>
        <w:t>l</w:t>
      </w:r>
      <w:r w:rsidRPr="00924E9C">
        <w:rPr>
          <w:bCs/>
        </w:rPr>
        <w:t>east</w:t>
      </w:r>
      <w:r>
        <w:rPr>
          <w:bCs/>
        </w:rPr>
        <w:t>-</w:t>
      </w:r>
      <w:r w:rsidRPr="00924E9C">
        <w:rPr>
          <w:bCs/>
        </w:rPr>
        <w:t>offered courses</w:t>
      </w:r>
      <w:bookmarkEnd w:id="151"/>
      <w:bookmarkEnd w:id="152"/>
      <w:bookmarkEnd w:id="153"/>
      <w:bookmarkEnd w:id="154"/>
    </w:p>
    <w:p w14:paraId="5007EA9B" w14:textId="49E3EAC8" w:rsidR="00FC22E6" w:rsidRDefault="00CB3BBD" w:rsidP="00FC22E6">
      <w:pPr>
        <w:rPr>
          <w:noProof/>
          <w:lang w:val="en-GB" w:eastAsia="en-GB"/>
        </w:rPr>
      </w:pPr>
      <w:r>
        <w:rPr>
          <w:noProof/>
          <w:lang w:eastAsia="en-AU"/>
        </w:rPr>
        <w:drawing>
          <wp:inline distT="0" distB="0" distL="0" distR="0" wp14:anchorId="27DE77A8" wp14:editId="250A47D9">
            <wp:extent cx="3400425" cy="3324225"/>
            <wp:effectExtent l="0" t="0" r="9525"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C22E6" w:rsidRPr="008E1ED3">
        <w:rPr>
          <w:noProof/>
          <w:lang w:val="en-GB" w:eastAsia="en-GB"/>
        </w:rPr>
        <w:t xml:space="preserve"> </w:t>
      </w:r>
    </w:p>
    <w:p w14:paraId="5AC01C11" w14:textId="77777777" w:rsidR="00FC22E6" w:rsidRPr="00924E9C" w:rsidRDefault="00FC22E6" w:rsidP="00FC22E6">
      <w:pPr>
        <w:pStyle w:val="Tableheading"/>
      </w:pPr>
      <w:bookmarkStart w:id="155" w:name="_Toc274059214"/>
      <w:bookmarkStart w:id="156" w:name="_Toc274146422"/>
      <w:bookmarkStart w:id="157" w:name="_Toc274915881"/>
      <w:bookmarkStart w:id="158" w:name="_Toc278446859"/>
      <w:r>
        <w:t xml:space="preserve">Figure 2.3.2: </w:t>
      </w:r>
      <w:r w:rsidRPr="00924E9C">
        <w:rPr>
          <w:bCs/>
        </w:rPr>
        <w:t>APTC</w:t>
      </w:r>
      <w:r>
        <w:rPr>
          <w:bCs/>
        </w:rPr>
        <w:t>’s</w:t>
      </w:r>
      <w:r w:rsidRPr="00924E9C">
        <w:rPr>
          <w:bCs/>
        </w:rPr>
        <w:t xml:space="preserve"> </w:t>
      </w:r>
      <w:r>
        <w:rPr>
          <w:bCs/>
        </w:rPr>
        <w:t>m</w:t>
      </w:r>
      <w:r w:rsidRPr="00924E9C">
        <w:rPr>
          <w:bCs/>
        </w:rPr>
        <w:t>ost</w:t>
      </w:r>
      <w:r>
        <w:rPr>
          <w:bCs/>
        </w:rPr>
        <w:t>-</w:t>
      </w:r>
      <w:r w:rsidRPr="00924E9C">
        <w:rPr>
          <w:bCs/>
        </w:rPr>
        <w:t>offered courses by number of times delivered</w:t>
      </w:r>
      <w:bookmarkEnd w:id="155"/>
      <w:bookmarkEnd w:id="156"/>
      <w:bookmarkEnd w:id="157"/>
      <w:bookmarkEnd w:id="158"/>
    </w:p>
    <w:p w14:paraId="17019743" w14:textId="47B2E3DB" w:rsidR="00FC22E6" w:rsidRPr="00D17CCB" w:rsidRDefault="00DF6655" w:rsidP="00FC22E6">
      <w:pPr>
        <w:rPr>
          <w:rFonts w:cs="Arial"/>
        </w:rPr>
      </w:pPr>
      <w:r>
        <w:rPr>
          <w:noProof/>
          <w:lang w:eastAsia="en-AU"/>
        </w:rPr>
        <w:drawing>
          <wp:inline distT="0" distB="0" distL="0" distR="0" wp14:anchorId="67F2EA0E" wp14:editId="0D4A9345">
            <wp:extent cx="3771900" cy="3019425"/>
            <wp:effectExtent l="0" t="0" r="19050" b="952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14AC13" w14:textId="3C2B9190" w:rsidR="00FC22E6" w:rsidRPr="00924E9C" w:rsidRDefault="00FC22E6" w:rsidP="00FC22E6">
      <w:pPr>
        <w:rPr>
          <w:rFonts w:cs="Arial"/>
          <w:sz w:val="16"/>
          <w:szCs w:val="18"/>
        </w:rPr>
      </w:pPr>
      <w:r w:rsidRPr="00924E9C">
        <w:rPr>
          <w:rFonts w:cs="Arial"/>
          <w:sz w:val="16"/>
          <w:szCs w:val="18"/>
        </w:rPr>
        <w:t xml:space="preserve">Note: </w:t>
      </w:r>
      <w:r w:rsidR="00DF6655">
        <w:rPr>
          <w:rFonts w:cs="Arial"/>
          <w:sz w:val="16"/>
          <w:szCs w:val="18"/>
        </w:rPr>
        <w:t xml:space="preserve">Aged Care includes Certificate III in Home and Community Care. </w:t>
      </w:r>
      <w:r w:rsidRPr="00924E9C">
        <w:rPr>
          <w:rFonts w:cs="Arial"/>
          <w:sz w:val="16"/>
          <w:szCs w:val="18"/>
        </w:rPr>
        <w:t>Training &amp; Assessment (IV) includes VE</w:t>
      </w:r>
      <w:r>
        <w:rPr>
          <w:rFonts w:cs="Arial"/>
          <w:sz w:val="16"/>
          <w:szCs w:val="18"/>
        </w:rPr>
        <w:t xml:space="preserve">T Certificate IV offered once. </w:t>
      </w:r>
      <w:r w:rsidRPr="00924E9C">
        <w:rPr>
          <w:rFonts w:cs="Arial"/>
          <w:sz w:val="16"/>
          <w:szCs w:val="18"/>
        </w:rPr>
        <w:t xml:space="preserve">Auto Mechanics III includes Automotive Servicing III. </w:t>
      </w:r>
      <w:r w:rsidR="00445885">
        <w:rPr>
          <w:rFonts w:cs="Arial"/>
          <w:sz w:val="16"/>
          <w:szCs w:val="18"/>
        </w:rPr>
        <w:br/>
      </w:r>
      <w:r>
        <w:rPr>
          <w:rFonts w:cs="Arial"/>
          <w:sz w:val="16"/>
          <w:szCs w:val="18"/>
        </w:rPr>
        <w:t xml:space="preserve">Source: </w:t>
      </w:r>
      <w:r w:rsidRPr="00924E9C">
        <w:rPr>
          <w:rFonts w:cs="Arial"/>
          <w:sz w:val="16"/>
          <w:szCs w:val="18"/>
        </w:rPr>
        <w:t>APTC Table A.4, and comment by APTC management, 13 August 2014</w:t>
      </w:r>
    </w:p>
    <w:p w14:paraId="3B1A1A5D" w14:textId="7C42F32C" w:rsidR="00FC22E6" w:rsidRPr="00D17CCB" w:rsidRDefault="00FC22E6" w:rsidP="00FC22E6">
      <w:pPr>
        <w:spacing w:after="0"/>
        <w:rPr>
          <w:rFonts w:cs="Arial"/>
        </w:rPr>
      </w:pPr>
      <w:r>
        <w:rPr>
          <w:rFonts w:cs="Arial"/>
        </w:rPr>
        <w:br w:type="page"/>
      </w:r>
      <w:r>
        <w:rPr>
          <w:rFonts w:cs="Arial"/>
        </w:rPr>
        <w:lastRenderedPageBreak/>
        <w:t xml:space="preserve">Fifteen new qualifications </w:t>
      </w:r>
      <w:r w:rsidRPr="00D17CCB">
        <w:rPr>
          <w:rFonts w:cs="Arial"/>
        </w:rPr>
        <w:t xml:space="preserve">were introduced </w:t>
      </w:r>
      <w:r>
        <w:rPr>
          <w:rFonts w:cs="Arial"/>
        </w:rPr>
        <w:t xml:space="preserve">in </w:t>
      </w:r>
      <w:r w:rsidRPr="00D17CCB">
        <w:rPr>
          <w:rFonts w:cs="Arial"/>
        </w:rPr>
        <w:t>Stage II</w:t>
      </w:r>
      <w:r>
        <w:rPr>
          <w:rFonts w:cs="Arial"/>
        </w:rPr>
        <w:t xml:space="preserve">, or about 40 per cent of the total of the existing </w:t>
      </w:r>
      <w:r w:rsidR="00C8523A">
        <w:rPr>
          <w:rFonts w:cs="Arial"/>
        </w:rPr>
        <w:t xml:space="preserve">35 </w:t>
      </w:r>
      <w:r>
        <w:rPr>
          <w:rFonts w:cs="Arial"/>
        </w:rPr>
        <w:t>qualifications</w:t>
      </w:r>
      <w:r w:rsidRPr="00D17CCB">
        <w:rPr>
          <w:rFonts w:cs="Arial"/>
        </w:rPr>
        <w:t>.</w:t>
      </w:r>
      <w:r>
        <w:rPr>
          <w:rFonts w:cs="Arial"/>
        </w:rPr>
        <w:t xml:space="preserve"> No Stage I courses were discontinued in Stage II (i.e. </w:t>
      </w:r>
      <w:r w:rsidRPr="00720911">
        <w:rPr>
          <w:rFonts w:cs="Arial"/>
        </w:rPr>
        <w:t>taken off scope)</w:t>
      </w:r>
      <w:r>
        <w:rPr>
          <w:rFonts w:cs="Arial"/>
        </w:rPr>
        <w:t>, but</w:t>
      </w:r>
      <w:r w:rsidRPr="00720911">
        <w:rPr>
          <w:rFonts w:cs="Arial"/>
        </w:rPr>
        <w:t xml:space="preserve"> some have not been offered since, such as the Certificate III in Indigenous Housing.</w:t>
      </w:r>
      <w:r>
        <w:rPr>
          <w:rFonts w:cs="Arial"/>
        </w:rPr>
        <w:t xml:space="preserve"> In addition, courses have been discontinued in some locations for reasons of efficiency or saturated demand, e.g. automotive in Samoa.</w:t>
      </w:r>
    </w:p>
    <w:p w14:paraId="737223DE" w14:textId="77777777" w:rsidR="00FC22E6" w:rsidRPr="00AF5AC7" w:rsidRDefault="00FC22E6" w:rsidP="00FC22E6">
      <w:pPr>
        <w:pStyle w:val="Tableheading"/>
        <w:rPr>
          <w:bCs/>
        </w:rPr>
      </w:pPr>
      <w:bookmarkStart w:id="159" w:name="_Toc274059215"/>
      <w:bookmarkStart w:id="160" w:name="_Toc274146423"/>
      <w:bookmarkStart w:id="161" w:name="_Toc274915882"/>
      <w:bookmarkStart w:id="162" w:name="_Toc278446860"/>
      <w:r>
        <w:t xml:space="preserve">Figure 2.3.3: </w:t>
      </w:r>
      <w:r>
        <w:rPr>
          <w:bCs/>
        </w:rPr>
        <w:t>APTC q</w:t>
      </w:r>
      <w:r w:rsidRPr="00AF5AC7">
        <w:rPr>
          <w:bCs/>
        </w:rPr>
        <w:t xml:space="preserve">ualifications added in </w:t>
      </w:r>
      <w:r>
        <w:rPr>
          <w:bCs/>
        </w:rPr>
        <w:t>S</w:t>
      </w:r>
      <w:r w:rsidRPr="00AF5AC7">
        <w:rPr>
          <w:bCs/>
        </w:rPr>
        <w:t>tage II and number of times delivered</w:t>
      </w:r>
      <w:bookmarkEnd w:id="159"/>
      <w:bookmarkEnd w:id="160"/>
      <w:bookmarkEnd w:id="161"/>
      <w:bookmarkEnd w:id="162"/>
      <w:r w:rsidRPr="00AF5AC7">
        <w:rPr>
          <w:bCs/>
        </w:rPr>
        <w:t xml:space="preserve"> </w:t>
      </w:r>
    </w:p>
    <w:p w14:paraId="6377256A" w14:textId="77777777" w:rsidR="009064F7" w:rsidRPr="00D17CCB" w:rsidRDefault="009064F7" w:rsidP="009064F7">
      <w:pPr>
        <w:rPr>
          <w:rFonts w:cs="Arial"/>
        </w:rPr>
      </w:pPr>
      <w:r>
        <w:rPr>
          <w:noProof/>
          <w:lang w:eastAsia="en-AU"/>
        </w:rPr>
        <w:drawing>
          <wp:inline distT="0" distB="0" distL="0" distR="0" wp14:anchorId="6CE34087" wp14:editId="652F5FE5">
            <wp:extent cx="3171825" cy="2895600"/>
            <wp:effectExtent l="0" t="0" r="9525"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B95E3B" w14:textId="77777777" w:rsidR="00FC22E6" w:rsidRPr="00AF5AC7" w:rsidRDefault="00FC22E6" w:rsidP="00FC22E6">
      <w:pPr>
        <w:rPr>
          <w:rFonts w:cs="Arial"/>
          <w:sz w:val="16"/>
          <w:szCs w:val="18"/>
        </w:rPr>
      </w:pPr>
      <w:r>
        <w:rPr>
          <w:rFonts w:cs="Arial"/>
          <w:sz w:val="16"/>
          <w:szCs w:val="18"/>
        </w:rPr>
        <w:t xml:space="preserve">Source: </w:t>
      </w:r>
      <w:r w:rsidRPr="00AF5AC7">
        <w:rPr>
          <w:rFonts w:cs="Arial"/>
          <w:sz w:val="16"/>
          <w:szCs w:val="18"/>
        </w:rPr>
        <w:t>APTC Table A.4</w:t>
      </w:r>
    </w:p>
    <w:p w14:paraId="6560F564" w14:textId="6E7C195A" w:rsidR="00FC22E6" w:rsidRPr="00D17CCB" w:rsidRDefault="00FC22E6" w:rsidP="00FC22E6">
      <w:pPr>
        <w:rPr>
          <w:rFonts w:cs="Arial"/>
        </w:rPr>
      </w:pPr>
      <w:r w:rsidRPr="00D17CCB">
        <w:rPr>
          <w:rFonts w:cs="Arial"/>
        </w:rPr>
        <w:t xml:space="preserve">The following figure shows the number of </w:t>
      </w:r>
      <w:r>
        <w:rPr>
          <w:rFonts w:cs="Arial"/>
        </w:rPr>
        <w:t xml:space="preserve">courses </w:t>
      </w:r>
      <w:r w:rsidRPr="00D17CCB">
        <w:rPr>
          <w:rFonts w:cs="Arial"/>
        </w:rPr>
        <w:t xml:space="preserve">per training package by school </w:t>
      </w:r>
      <w:r w:rsidR="00445885">
        <w:rPr>
          <w:rFonts w:cs="Arial"/>
        </w:rPr>
        <w:br/>
      </w:r>
      <w:r w:rsidRPr="00D17CCB">
        <w:rPr>
          <w:rFonts w:cs="Arial"/>
        </w:rPr>
        <w:t>and stage.</w:t>
      </w:r>
    </w:p>
    <w:p w14:paraId="53B2F61D" w14:textId="77777777" w:rsidR="00FC22E6" w:rsidRPr="00D17CCB" w:rsidRDefault="00FC22E6" w:rsidP="00FC22E6">
      <w:pPr>
        <w:pStyle w:val="Tableheading"/>
      </w:pPr>
      <w:bookmarkStart w:id="163" w:name="_Toc274059216"/>
      <w:bookmarkStart w:id="164" w:name="_Toc274146424"/>
      <w:bookmarkStart w:id="165" w:name="_Toc274915883"/>
      <w:bookmarkStart w:id="166" w:name="_Toc278446861"/>
      <w:r>
        <w:t xml:space="preserve">Figure 2.3.4: </w:t>
      </w:r>
      <w:r w:rsidRPr="00AF5AC7">
        <w:rPr>
          <w:bCs/>
        </w:rPr>
        <w:t>Number of courses per training package by school and stage</w:t>
      </w:r>
      <w:bookmarkEnd w:id="163"/>
      <w:bookmarkEnd w:id="164"/>
      <w:bookmarkEnd w:id="165"/>
      <w:bookmarkEnd w:id="166"/>
      <w:r w:rsidRPr="00AF5AC7">
        <w:rPr>
          <w:bCs/>
        </w:rPr>
        <w:t xml:space="preserve"> </w:t>
      </w:r>
    </w:p>
    <w:p w14:paraId="139888E2" w14:textId="77777777" w:rsidR="00FC22E6" w:rsidRPr="00D17CCB" w:rsidRDefault="00FC22E6" w:rsidP="00FC22E6">
      <w:pPr>
        <w:rPr>
          <w:rFonts w:cs="Arial"/>
        </w:rPr>
      </w:pPr>
      <w:r w:rsidRPr="00D17CCB">
        <w:rPr>
          <w:rFonts w:cs="Arial"/>
          <w:noProof/>
          <w:lang w:eastAsia="en-AU"/>
        </w:rPr>
        <w:drawing>
          <wp:inline distT="0" distB="0" distL="0" distR="0" wp14:anchorId="566EE8F2" wp14:editId="7A949195">
            <wp:extent cx="4543002" cy="2993178"/>
            <wp:effectExtent l="0" t="0" r="29210" b="298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C8117A" w14:textId="77777777" w:rsidR="00FC22E6" w:rsidRPr="00AF5AC7" w:rsidRDefault="00FC22E6" w:rsidP="00FC22E6">
      <w:pPr>
        <w:rPr>
          <w:rFonts w:cs="Arial"/>
          <w:sz w:val="16"/>
          <w:szCs w:val="18"/>
        </w:rPr>
      </w:pPr>
      <w:r>
        <w:rPr>
          <w:rFonts w:cs="Arial"/>
          <w:sz w:val="16"/>
          <w:szCs w:val="18"/>
        </w:rPr>
        <w:t xml:space="preserve">Source: </w:t>
      </w:r>
      <w:r w:rsidRPr="00AF5AC7">
        <w:rPr>
          <w:rFonts w:cs="Arial"/>
          <w:sz w:val="16"/>
          <w:szCs w:val="18"/>
        </w:rPr>
        <w:t>APTC Table A.4</w:t>
      </w:r>
    </w:p>
    <w:p w14:paraId="5F536B2E" w14:textId="12F31EAB" w:rsidR="003D355F" w:rsidRDefault="003E124E" w:rsidP="002028A6">
      <w:pPr>
        <w:pStyle w:val="Heading1"/>
      </w:pPr>
      <w:bookmarkStart w:id="167" w:name="_Toc274059122"/>
      <w:bookmarkStart w:id="168" w:name="_Toc278447842"/>
      <w:bookmarkStart w:id="169" w:name="_Toc278453315"/>
      <w:r>
        <w:lastRenderedPageBreak/>
        <w:t xml:space="preserve">3 </w:t>
      </w:r>
      <w:r w:rsidR="00864914">
        <w:tab/>
      </w:r>
      <w:r w:rsidR="00FC22E6" w:rsidRPr="007751B6">
        <w:t>Admissions and scholarships</w:t>
      </w:r>
      <w:bookmarkEnd w:id="167"/>
      <w:bookmarkEnd w:id="168"/>
      <w:bookmarkEnd w:id="169"/>
    </w:p>
    <w:p w14:paraId="1E43B933" w14:textId="13EC394D" w:rsidR="003D355F" w:rsidRDefault="003E124E" w:rsidP="002028A6">
      <w:pPr>
        <w:pStyle w:val="Heading2"/>
      </w:pPr>
      <w:bookmarkStart w:id="170" w:name="_Toc274059123"/>
      <w:bookmarkStart w:id="171" w:name="_Toc274145065"/>
      <w:bookmarkStart w:id="172" w:name="_Toc274900449"/>
      <w:bookmarkStart w:id="173" w:name="_Toc278447843"/>
      <w:bookmarkStart w:id="174" w:name="_Toc278453316"/>
      <w:r>
        <w:t xml:space="preserve">3.1 </w:t>
      </w:r>
      <w:r w:rsidR="00864914">
        <w:tab/>
      </w:r>
      <w:r w:rsidR="00FC22E6" w:rsidRPr="00D17CCB">
        <w:t>Applicants and intake</w:t>
      </w:r>
      <w:bookmarkEnd w:id="170"/>
      <w:bookmarkEnd w:id="171"/>
      <w:bookmarkEnd w:id="172"/>
      <w:bookmarkEnd w:id="173"/>
      <w:bookmarkEnd w:id="174"/>
    </w:p>
    <w:p w14:paraId="2724AC2D" w14:textId="0BF5FA02" w:rsidR="00FC22E6" w:rsidRPr="00D17CCB" w:rsidRDefault="00FC22E6" w:rsidP="00FC22E6">
      <w:pPr>
        <w:rPr>
          <w:rFonts w:cs="Arial"/>
        </w:rPr>
      </w:pPr>
      <w:r>
        <w:rPr>
          <w:rFonts w:cs="Arial"/>
        </w:rPr>
        <w:t xml:space="preserve">APTC has received over 21,000 applications for admission to date, about 40 per cent from women. Overall, just over </w:t>
      </w:r>
      <w:r w:rsidR="0029558D">
        <w:rPr>
          <w:rFonts w:cs="Arial"/>
        </w:rPr>
        <w:t xml:space="preserve">60 per cent </w:t>
      </w:r>
      <w:r>
        <w:rPr>
          <w:rFonts w:cs="Arial"/>
        </w:rPr>
        <w:t xml:space="preserve">of applicants were deemed suitable for admission after testing.  </w:t>
      </w:r>
    </w:p>
    <w:p w14:paraId="44EDFB3C" w14:textId="162A476A" w:rsidR="00FC22E6" w:rsidRPr="00D17CCB" w:rsidRDefault="00FC22E6" w:rsidP="008E7579">
      <w:pPr>
        <w:pStyle w:val="Tableheading"/>
        <w:spacing w:before="200"/>
      </w:pPr>
      <w:bookmarkStart w:id="175" w:name="_Toc274146425"/>
      <w:bookmarkStart w:id="176" w:name="_Toc274915884"/>
      <w:bookmarkStart w:id="177" w:name="_Toc278446862"/>
      <w:r>
        <w:t>Table 3.1.1:</w:t>
      </w:r>
      <w:r w:rsidRPr="00D17CCB">
        <w:t xml:space="preserve"> </w:t>
      </w:r>
      <w:r>
        <w:t xml:space="preserve">Number of applicants, those eligible, scholarship awards and </w:t>
      </w:r>
      <w:r w:rsidR="00E31797">
        <w:br/>
      </w:r>
      <w:r>
        <w:t>uptake by stage, total and for females</w:t>
      </w:r>
      <w:bookmarkEnd w:id="175"/>
      <w:bookmarkEnd w:id="176"/>
      <w:bookmarkEnd w:id="17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1"/>
        <w:gridCol w:w="820"/>
        <w:gridCol w:w="877"/>
        <w:gridCol w:w="851"/>
        <w:gridCol w:w="734"/>
        <w:gridCol w:w="825"/>
        <w:gridCol w:w="142"/>
        <w:gridCol w:w="679"/>
      </w:tblGrid>
      <w:tr w:rsidR="00FC22E6" w:rsidRPr="00855869" w14:paraId="2F99F403" w14:textId="77777777" w:rsidTr="00013E94">
        <w:trPr>
          <w:trHeight w:val="300"/>
        </w:trPr>
        <w:tc>
          <w:tcPr>
            <w:tcW w:w="2981" w:type="dxa"/>
            <w:shd w:val="clear" w:color="auto" w:fill="C5E0B3" w:themeFill="accent6" w:themeFillTint="66"/>
            <w:noWrap/>
          </w:tcPr>
          <w:p w14:paraId="78CC122C" w14:textId="77777777" w:rsidR="00FC22E6" w:rsidRPr="00855869" w:rsidRDefault="00FC22E6" w:rsidP="00013E94">
            <w:pPr>
              <w:spacing w:before="40" w:after="40"/>
              <w:rPr>
                <w:rFonts w:cs="Arial"/>
                <w:b/>
                <w:sz w:val="18"/>
              </w:rPr>
            </w:pPr>
            <w:r w:rsidRPr="00855869">
              <w:rPr>
                <w:rFonts w:cs="Arial"/>
                <w:b/>
                <w:sz w:val="18"/>
              </w:rPr>
              <w:t> </w:t>
            </w:r>
          </w:p>
        </w:tc>
        <w:tc>
          <w:tcPr>
            <w:tcW w:w="2548" w:type="dxa"/>
            <w:gridSpan w:val="3"/>
            <w:tcBorders>
              <w:right w:val="single" w:sz="4" w:space="0" w:color="A8D08D" w:themeColor="accent6" w:themeTint="99"/>
            </w:tcBorders>
            <w:shd w:val="clear" w:color="auto" w:fill="C5E0B3" w:themeFill="accent6" w:themeFillTint="66"/>
            <w:noWrap/>
          </w:tcPr>
          <w:p w14:paraId="47E218F8" w14:textId="77777777" w:rsidR="00FC22E6" w:rsidRPr="00855869" w:rsidRDefault="00FC22E6" w:rsidP="00013E94">
            <w:pPr>
              <w:spacing w:before="40" w:after="40"/>
              <w:jc w:val="center"/>
              <w:rPr>
                <w:rFonts w:cs="Arial"/>
                <w:b/>
                <w:sz w:val="18"/>
              </w:rPr>
            </w:pPr>
            <w:r w:rsidRPr="00855869">
              <w:rPr>
                <w:rFonts w:cs="Arial"/>
                <w:b/>
                <w:sz w:val="18"/>
              </w:rPr>
              <w:t>Total</w:t>
            </w:r>
          </w:p>
        </w:tc>
        <w:tc>
          <w:tcPr>
            <w:tcW w:w="2380" w:type="dxa"/>
            <w:gridSpan w:val="4"/>
            <w:tcBorders>
              <w:left w:val="single" w:sz="4" w:space="0" w:color="A8D08D" w:themeColor="accent6" w:themeTint="99"/>
            </w:tcBorders>
            <w:shd w:val="clear" w:color="auto" w:fill="C5E0B3" w:themeFill="accent6" w:themeFillTint="66"/>
            <w:noWrap/>
          </w:tcPr>
          <w:p w14:paraId="47E4CD04" w14:textId="77777777" w:rsidR="00FC22E6" w:rsidRPr="00855869" w:rsidRDefault="00FC22E6" w:rsidP="00013E94">
            <w:pPr>
              <w:spacing w:before="40" w:after="40"/>
              <w:jc w:val="center"/>
              <w:rPr>
                <w:rFonts w:cs="Arial"/>
                <w:b/>
                <w:sz w:val="18"/>
              </w:rPr>
            </w:pPr>
            <w:r w:rsidRPr="00855869">
              <w:rPr>
                <w:rFonts w:cs="Arial"/>
                <w:b/>
                <w:sz w:val="18"/>
              </w:rPr>
              <w:t>Female</w:t>
            </w:r>
          </w:p>
        </w:tc>
      </w:tr>
      <w:tr w:rsidR="00013E94" w:rsidRPr="00855869" w14:paraId="4C4BF423" w14:textId="77777777" w:rsidTr="00013E94">
        <w:tc>
          <w:tcPr>
            <w:tcW w:w="2981" w:type="dxa"/>
            <w:shd w:val="clear" w:color="auto" w:fill="E2EFD9" w:themeFill="accent6" w:themeFillTint="33"/>
            <w:noWrap/>
          </w:tcPr>
          <w:p w14:paraId="4032DD99" w14:textId="77777777" w:rsidR="00FC22E6" w:rsidRPr="00864914" w:rsidRDefault="00FC22E6" w:rsidP="00013E94">
            <w:pPr>
              <w:spacing w:before="40" w:after="40"/>
              <w:rPr>
                <w:rFonts w:cs="Arial"/>
                <w:b/>
                <w:sz w:val="18"/>
                <w:szCs w:val="18"/>
              </w:rPr>
            </w:pPr>
            <w:r w:rsidRPr="00864914">
              <w:rPr>
                <w:rFonts w:cs="Arial"/>
                <w:b/>
                <w:sz w:val="18"/>
                <w:szCs w:val="18"/>
              </w:rPr>
              <w:t> </w:t>
            </w:r>
          </w:p>
        </w:tc>
        <w:tc>
          <w:tcPr>
            <w:tcW w:w="820" w:type="dxa"/>
            <w:shd w:val="clear" w:color="auto" w:fill="E2EFD9" w:themeFill="accent6" w:themeFillTint="33"/>
          </w:tcPr>
          <w:p w14:paraId="7A6C0D7F" w14:textId="77777777" w:rsidR="00FC22E6" w:rsidRPr="00864914" w:rsidRDefault="00FC22E6" w:rsidP="00013E94">
            <w:pPr>
              <w:spacing w:before="40" w:after="40"/>
              <w:jc w:val="center"/>
              <w:rPr>
                <w:rFonts w:cs="Arial"/>
                <w:b/>
                <w:sz w:val="18"/>
                <w:szCs w:val="18"/>
              </w:rPr>
            </w:pPr>
            <w:r w:rsidRPr="00864914">
              <w:rPr>
                <w:rFonts w:cs="Arial"/>
                <w:b/>
                <w:sz w:val="18"/>
                <w:szCs w:val="18"/>
              </w:rPr>
              <w:t>Total Stage I</w:t>
            </w:r>
          </w:p>
        </w:tc>
        <w:tc>
          <w:tcPr>
            <w:tcW w:w="877" w:type="dxa"/>
            <w:shd w:val="clear" w:color="auto" w:fill="E2EFD9" w:themeFill="accent6" w:themeFillTint="33"/>
          </w:tcPr>
          <w:p w14:paraId="1E4EB5F4" w14:textId="77777777" w:rsidR="00FC22E6" w:rsidRPr="00864914" w:rsidRDefault="00FC22E6" w:rsidP="00013E94">
            <w:pPr>
              <w:spacing w:before="40" w:after="40"/>
              <w:jc w:val="center"/>
              <w:rPr>
                <w:rFonts w:cs="Arial"/>
                <w:b/>
                <w:sz w:val="18"/>
                <w:szCs w:val="18"/>
              </w:rPr>
            </w:pPr>
            <w:r w:rsidRPr="00864914">
              <w:rPr>
                <w:rFonts w:cs="Arial"/>
                <w:b/>
                <w:sz w:val="18"/>
                <w:szCs w:val="18"/>
              </w:rPr>
              <w:t>Total Stage II  to date</w:t>
            </w:r>
          </w:p>
        </w:tc>
        <w:tc>
          <w:tcPr>
            <w:tcW w:w="851" w:type="dxa"/>
            <w:tcBorders>
              <w:right w:val="single" w:sz="4" w:space="0" w:color="A8D08D" w:themeColor="accent6" w:themeTint="99"/>
            </w:tcBorders>
            <w:shd w:val="clear" w:color="auto" w:fill="E2EFD9" w:themeFill="accent6" w:themeFillTint="33"/>
          </w:tcPr>
          <w:p w14:paraId="4CA70C02" w14:textId="77777777" w:rsidR="00FC22E6" w:rsidRPr="00864914" w:rsidRDefault="00FC22E6" w:rsidP="00013E94">
            <w:pPr>
              <w:spacing w:before="40" w:after="40"/>
              <w:jc w:val="center"/>
              <w:rPr>
                <w:rFonts w:cs="Arial"/>
                <w:b/>
                <w:sz w:val="18"/>
                <w:szCs w:val="18"/>
              </w:rPr>
            </w:pPr>
            <w:r w:rsidRPr="00864914">
              <w:rPr>
                <w:rFonts w:cs="Arial"/>
                <w:b/>
                <w:sz w:val="18"/>
                <w:szCs w:val="18"/>
              </w:rPr>
              <w:t>Total to date</w:t>
            </w:r>
          </w:p>
        </w:tc>
        <w:tc>
          <w:tcPr>
            <w:tcW w:w="734" w:type="dxa"/>
            <w:tcBorders>
              <w:left w:val="single" w:sz="4" w:space="0" w:color="A8D08D" w:themeColor="accent6" w:themeTint="99"/>
            </w:tcBorders>
            <w:shd w:val="clear" w:color="auto" w:fill="E2EFD9" w:themeFill="accent6" w:themeFillTint="33"/>
          </w:tcPr>
          <w:p w14:paraId="3F8495AC" w14:textId="77777777" w:rsidR="00FC22E6" w:rsidRPr="00864914" w:rsidRDefault="00FC22E6" w:rsidP="00013E94">
            <w:pPr>
              <w:spacing w:before="40" w:after="40"/>
              <w:jc w:val="center"/>
              <w:rPr>
                <w:rFonts w:cs="Arial"/>
                <w:b/>
                <w:sz w:val="18"/>
                <w:szCs w:val="18"/>
              </w:rPr>
            </w:pPr>
            <w:r w:rsidRPr="00864914">
              <w:rPr>
                <w:rFonts w:cs="Arial"/>
                <w:b/>
                <w:sz w:val="18"/>
                <w:szCs w:val="18"/>
              </w:rPr>
              <w:t>Total Stage I</w:t>
            </w:r>
          </w:p>
        </w:tc>
        <w:tc>
          <w:tcPr>
            <w:tcW w:w="967" w:type="dxa"/>
            <w:gridSpan w:val="2"/>
            <w:shd w:val="clear" w:color="auto" w:fill="E2EFD9" w:themeFill="accent6" w:themeFillTint="33"/>
          </w:tcPr>
          <w:p w14:paraId="5C6EC55E" w14:textId="77777777" w:rsidR="00FC22E6" w:rsidRPr="00864914" w:rsidRDefault="00FC22E6" w:rsidP="00013E94">
            <w:pPr>
              <w:spacing w:before="40" w:after="40"/>
              <w:jc w:val="center"/>
              <w:rPr>
                <w:rFonts w:cs="Arial"/>
                <w:b/>
                <w:sz w:val="18"/>
                <w:szCs w:val="18"/>
              </w:rPr>
            </w:pPr>
            <w:r w:rsidRPr="00864914">
              <w:rPr>
                <w:rFonts w:cs="Arial"/>
                <w:b/>
                <w:sz w:val="18"/>
                <w:szCs w:val="18"/>
              </w:rPr>
              <w:t>Total Stage II  to date</w:t>
            </w:r>
          </w:p>
        </w:tc>
        <w:tc>
          <w:tcPr>
            <w:tcW w:w="679" w:type="dxa"/>
            <w:shd w:val="clear" w:color="auto" w:fill="E2EFD9" w:themeFill="accent6" w:themeFillTint="33"/>
          </w:tcPr>
          <w:p w14:paraId="209697D8" w14:textId="77777777" w:rsidR="00FC22E6" w:rsidRPr="00864914" w:rsidRDefault="00FC22E6" w:rsidP="00013E94">
            <w:pPr>
              <w:spacing w:before="40" w:after="40"/>
              <w:jc w:val="center"/>
              <w:rPr>
                <w:rFonts w:cs="Arial"/>
                <w:b/>
                <w:sz w:val="18"/>
                <w:szCs w:val="18"/>
              </w:rPr>
            </w:pPr>
            <w:r w:rsidRPr="00864914">
              <w:rPr>
                <w:rFonts w:cs="Arial"/>
                <w:b/>
                <w:sz w:val="18"/>
                <w:szCs w:val="18"/>
              </w:rPr>
              <w:t>Total to date</w:t>
            </w:r>
          </w:p>
        </w:tc>
      </w:tr>
      <w:tr w:rsidR="00013E94" w:rsidRPr="00855869" w14:paraId="4AAF2536" w14:textId="77777777" w:rsidTr="00013E94">
        <w:trPr>
          <w:trHeight w:val="300"/>
        </w:trPr>
        <w:tc>
          <w:tcPr>
            <w:tcW w:w="2981" w:type="dxa"/>
            <w:noWrap/>
          </w:tcPr>
          <w:p w14:paraId="18E1C52C" w14:textId="77777777" w:rsidR="00FC22E6" w:rsidRPr="00864914" w:rsidRDefault="00FC22E6" w:rsidP="005F77A1">
            <w:pPr>
              <w:spacing w:before="20" w:after="20"/>
              <w:rPr>
                <w:rFonts w:cs="Arial"/>
                <w:sz w:val="18"/>
                <w:szCs w:val="18"/>
              </w:rPr>
            </w:pPr>
            <w:r w:rsidRPr="00864914">
              <w:rPr>
                <w:rFonts w:cs="Arial"/>
                <w:sz w:val="18"/>
                <w:szCs w:val="18"/>
              </w:rPr>
              <w:t>Applicants to APTC</w:t>
            </w:r>
          </w:p>
        </w:tc>
        <w:tc>
          <w:tcPr>
            <w:tcW w:w="820" w:type="dxa"/>
            <w:noWrap/>
            <w:vAlign w:val="center"/>
          </w:tcPr>
          <w:p w14:paraId="2855F663" w14:textId="5919D3F9" w:rsidR="00FC22E6" w:rsidRPr="00864914" w:rsidRDefault="00FC22E6" w:rsidP="00EC7A3A">
            <w:pPr>
              <w:spacing w:before="20" w:after="20"/>
              <w:jc w:val="right"/>
              <w:rPr>
                <w:rFonts w:cs="Arial"/>
                <w:sz w:val="18"/>
                <w:szCs w:val="18"/>
              </w:rPr>
            </w:pPr>
            <w:r w:rsidRPr="00864914">
              <w:rPr>
                <w:rFonts w:cs="Arial"/>
                <w:sz w:val="18"/>
                <w:szCs w:val="18"/>
              </w:rPr>
              <w:t>12</w:t>
            </w:r>
            <w:r w:rsidR="00EC7A3A">
              <w:rPr>
                <w:rFonts w:cs="Arial"/>
                <w:sz w:val="18"/>
                <w:szCs w:val="18"/>
              </w:rPr>
              <w:t>,</w:t>
            </w:r>
            <w:r w:rsidRPr="00864914">
              <w:rPr>
                <w:rFonts w:cs="Arial"/>
                <w:sz w:val="18"/>
                <w:szCs w:val="18"/>
              </w:rPr>
              <w:t>433</w:t>
            </w:r>
          </w:p>
        </w:tc>
        <w:tc>
          <w:tcPr>
            <w:tcW w:w="877" w:type="dxa"/>
            <w:noWrap/>
            <w:vAlign w:val="center"/>
          </w:tcPr>
          <w:p w14:paraId="04D9FFCC" w14:textId="77777777" w:rsidR="00FC22E6" w:rsidRPr="00864914" w:rsidRDefault="00FC22E6" w:rsidP="00EC7A3A">
            <w:pPr>
              <w:spacing w:before="20" w:after="20"/>
              <w:jc w:val="right"/>
              <w:rPr>
                <w:rFonts w:cs="Arial"/>
                <w:sz w:val="18"/>
                <w:szCs w:val="18"/>
              </w:rPr>
            </w:pPr>
            <w:r w:rsidRPr="00864914">
              <w:rPr>
                <w:rFonts w:cs="Arial"/>
                <w:sz w:val="18"/>
                <w:szCs w:val="18"/>
              </w:rPr>
              <w:t>8680</w:t>
            </w:r>
          </w:p>
        </w:tc>
        <w:tc>
          <w:tcPr>
            <w:tcW w:w="851" w:type="dxa"/>
            <w:tcBorders>
              <w:right w:val="single" w:sz="4" w:space="0" w:color="A8D08D" w:themeColor="accent6" w:themeTint="99"/>
            </w:tcBorders>
            <w:shd w:val="clear" w:color="auto" w:fill="E2EFD9" w:themeFill="accent6" w:themeFillTint="33"/>
            <w:noWrap/>
            <w:vAlign w:val="center"/>
          </w:tcPr>
          <w:p w14:paraId="3A36E1B1" w14:textId="1E6F907E" w:rsidR="00FC22E6" w:rsidRPr="00864914" w:rsidRDefault="00FC22E6" w:rsidP="00EC7A3A">
            <w:pPr>
              <w:spacing w:before="20" w:after="20"/>
              <w:jc w:val="right"/>
              <w:rPr>
                <w:rFonts w:cs="Arial"/>
                <w:sz w:val="18"/>
                <w:szCs w:val="18"/>
              </w:rPr>
            </w:pPr>
            <w:r w:rsidRPr="00864914">
              <w:rPr>
                <w:rFonts w:cs="Arial"/>
                <w:sz w:val="18"/>
                <w:szCs w:val="18"/>
              </w:rPr>
              <w:t>21</w:t>
            </w:r>
            <w:r w:rsidR="00EC7A3A">
              <w:rPr>
                <w:rFonts w:cs="Arial"/>
                <w:sz w:val="18"/>
                <w:szCs w:val="18"/>
              </w:rPr>
              <w:t>,</w:t>
            </w:r>
            <w:r w:rsidRPr="00864914">
              <w:rPr>
                <w:rFonts w:cs="Arial"/>
                <w:sz w:val="18"/>
                <w:szCs w:val="18"/>
              </w:rPr>
              <w:t>113</w:t>
            </w:r>
          </w:p>
        </w:tc>
        <w:tc>
          <w:tcPr>
            <w:tcW w:w="734" w:type="dxa"/>
            <w:tcBorders>
              <w:left w:val="single" w:sz="4" w:space="0" w:color="A8D08D" w:themeColor="accent6" w:themeTint="99"/>
            </w:tcBorders>
            <w:noWrap/>
            <w:vAlign w:val="center"/>
          </w:tcPr>
          <w:p w14:paraId="667D200F" w14:textId="77777777" w:rsidR="00FC22E6" w:rsidRPr="00864914" w:rsidRDefault="00FC22E6" w:rsidP="00EC7A3A">
            <w:pPr>
              <w:spacing w:before="20" w:after="20"/>
              <w:jc w:val="right"/>
              <w:rPr>
                <w:rFonts w:cs="Arial"/>
                <w:sz w:val="18"/>
                <w:szCs w:val="18"/>
              </w:rPr>
            </w:pPr>
            <w:r w:rsidRPr="00864914">
              <w:rPr>
                <w:rFonts w:cs="Arial"/>
                <w:sz w:val="18"/>
                <w:szCs w:val="18"/>
              </w:rPr>
              <w:t>4899</w:t>
            </w:r>
          </w:p>
        </w:tc>
        <w:tc>
          <w:tcPr>
            <w:tcW w:w="825" w:type="dxa"/>
            <w:noWrap/>
            <w:vAlign w:val="center"/>
          </w:tcPr>
          <w:p w14:paraId="6943DAB4" w14:textId="77777777" w:rsidR="00FC22E6" w:rsidRPr="00864914" w:rsidRDefault="00FC22E6" w:rsidP="00EC7A3A">
            <w:pPr>
              <w:spacing w:before="20" w:after="20"/>
              <w:jc w:val="right"/>
              <w:rPr>
                <w:rFonts w:cs="Arial"/>
                <w:sz w:val="18"/>
                <w:szCs w:val="18"/>
              </w:rPr>
            </w:pPr>
            <w:r w:rsidRPr="00864914">
              <w:rPr>
                <w:rFonts w:cs="Arial"/>
                <w:sz w:val="18"/>
                <w:szCs w:val="18"/>
              </w:rPr>
              <w:t>3673</w:t>
            </w:r>
          </w:p>
        </w:tc>
        <w:tc>
          <w:tcPr>
            <w:tcW w:w="821" w:type="dxa"/>
            <w:gridSpan w:val="2"/>
            <w:shd w:val="clear" w:color="auto" w:fill="E2EFD9" w:themeFill="accent6" w:themeFillTint="33"/>
            <w:noWrap/>
            <w:vAlign w:val="center"/>
          </w:tcPr>
          <w:p w14:paraId="6B2A23DF" w14:textId="77777777" w:rsidR="00FC22E6" w:rsidRPr="00864914" w:rsidRDefault="00FC22E6" w:rsidP="00EC7A3A">
            <w:pPr>
              <w:spacing w:before="20" w:after="20"/>
              <w:jc w:val="right"/>
              <w:rPr>
                <w:rFonts w:cs="Arial"/>
                <w:sz w:val="18"/>
                <w:szCs w:val="18"/>
              </w:rPr>
            </w:pPr>
            <w:r w:rsidRPr="00864914">
              <w:rPr>
                <w:rFonts w:cs="Arial"/>
                <w:sz w:val="18"/>
                <w:szCs w:val="18"/>
              </w:rPr>
              <w:t>8572</w:t>
            </w:r>
          </w:p>
        </w:tc>
      </w:tr>
      <w:tr w:rsidR="00013E94" w:rsidRPr="00855869" w14:paraId="52C045D9" w14:textId="77777777" w:rsidTr="00013E94">
        <w:trPr>
          <w:trHeight w:val="300"/>
        </w:trPr>
        <w:tc>
          <w:tcPr>
            <w:tcW w:w="2981" w:type="dxa"/>
            <w:noWrap/>
          </w:tcPr>
          <w:p w14:paraId="3C33648E" w14:textId="77777777" w:rsidR="00A46F28" w:rsidRPr="00864914" w:rsidRDefault="00A46F28" w:rsidP="005F77A1">
            <w:pPr>
              <w:spacing w:before="20" w:after="20"/>
              <w:rPr>
                <w:rFonts w:cs="Arial"/>
                <w:sz w:val="18"/>
                <w:szCs w:val="18"/>
              </w:rPr>
            </w:pPr>
            <w:r w:rsidRPr="00864914">
              <w:rPr>
                <w:rFonts w:cs="Arial"/>
                <w:sz w:val="18"/>
                <w:szCs w:val="18"/>
              </w:rPr>
              <w:t xml:space="preserve">Number eligible </w:t>
            </w:r>
            <w:r w:rsidRPr="00864914">
              <w:rPr>
                <w:rFonts w:cs="Arial"/>
                <w:sz w:val="18"/>
                <w:szCs w:val="18"/>
              </w:rPr>
              <w:br/>
              <w:t>(based on LNN and VSK testing)</w:t>
            </w:r>
          </w:p>
        </w:tc>
        <w:tc>
          <w:tcPr>
            <w:tcW w:w="820" w:type="dxa"/>
            <w:noWrap/>
            <w:vAlign w:val="center"/>
          </w:tcPr>
          <w:p w14:paraId="1AA5708F" w14:textId="7684E83A" w:rsidR="00A46F28" w:rsidRPr="00864914" w:rsidRDefault="00A46F28" w:rsidP="00EC7A3A">
            <w:pPr>
              <w:spacing w:before="20" w:after="20"/>
              <w:jc w:val="right"/>
              <w:rPr>
                <w:rFonts w:cs="Arial"/>
                <w:sz w:val="18"/>
                <w:szCs w:val="18"/>
              </w:rPr>
            </w:pPr>
            <w:r w:rsidRPr="00864914">
              <w:rPr>
                <w:sz w:val="18"/>
                <w:szCs w:val="18"/>
              </w:rPr>
              <w:t>6961</w:t>
            </w:r>
          </w:p>
        </w:tc>
        <w:tc>
          <w:tcPr>
            <w:tcW w:w="877" w:type="dxa"/>
            <w:noWrap/>
            <w:vAlign w:val="center"/>
          </w:tcPr>
          <w:p w14:paraId="57DBD0AD" w14:textId="63CE008A" w:rsidR="00A46F28" w:rsidRPr="00864914" w:rsidRDefault="00A46F28" w:rsidP="00EC7A3A">
            <w:pPr>
              <w:spacing w:before="20" w:after="20"/>
              <w:jc w:val="right"/>
              <w:rPr>
                <w:rFonts w:cs="Arial"/>
                <w:sz w:val="18"/>
                <w:szCs w:val="18"/>
              </w:rPr>
            </w:pPr>
            <w:r w:rsidRPr="00864914">
              <w:rPr>
                <w:sz w:val="18"/>
                <w:szCs w:val="18"/>
              </w:rPr>
              <w:t>5837</w:t>
            </w:r>
          </w:p>
        </w:tc>
        <w:tc>
          <w:tcPr>
            <w:tcW w:w="851" w:type="dxa"/>
            <w:tcBorders>
              <w:right w:val="single" w:sz="4" w:space="0" w:color="A8D08D" w:themeColor="accent6" w:themeTint="99"/>
            </w:tcBorders>
            <w:shd w:val="clear" w:color="auto" w:fill="E2EFD9" w:themeFill="accent6" w:themeFillTint="33"/>
            <w:noWrap/>
            <w:vAlign w:val="center"/>
          </w:tcPr>
          <w:p w14:paraId="26E15591" w14:textId="3906E8B2" w:rsidR="00A46F28" w:rsidRPr="00864914" w:rsidRDefault="00A46F28" w:rsidP="00EC7A3A">
            <w:pPr>
              <w:spacing w:before="20" w:after="20"/>
              <w:jc w:val="right"/>
              <w:rPr>
                <w:rFonts w:cs="Arial"/>
                <w:sz w:val="18"/>
                <w:szCs w:val="18"/>
              </w:rPr>
            </w:pPr>
            <w:r w:rsidRPr="00864914">
              <w:rPr>
                <w:sz w:val="18"/>
                <w:szCs w:val="18"/>
              </w:rPr>
              <w:t>12</w:t>
            </w:r>
            <w:r w:rsidR="00EC7A3A">
              <w:rPr>
                <w:sz w:val="18"/>
                <w:szCs w:val="18"/>
              </w:rPr>
              <w:t>,</w:t>
            </w:r>
            <w:r w:rsidRPr="00864914">
              <w:rPr>
                <w:sz w:val="18"/>
                <w:szCs w:val="18"/>
              </w:rPr>
              <w:t>798</w:t>
            </w:r>
          </w:p>
        </w:tc>
        <w:tc>
          <w:tcPr>
            <w:tcW w:w="734" w:type="dxa"/>
            <w:tcBorders>
              <w:left w:val="single" w:sz="4" w:space="0" w:color="A8D08D" w:themeColor="accent6" w:themeTint="99"/>
            </w:tcBorders>
            <w:noWrap/>
            <w:vAlign w:val="center"/>
          </w:tcPr>
          <w:p w14:paraId="2D9C518D" w14:textId="657E123A" w:rsidR="00A46F28" w:rsidRPr="00864914" w:rsidRDefault="00A46F28" w:rsidP="00EC7A3A">
            <w:pPr>
              <w:spacing w:before="20" w:after="20"/>
              <w:jc w:val="right"/>
              <w:rPr>
                <w:rFonts w:cs="Arial"/>
                <w:sz w:val="18"/>
                <w:szCs w:val="18"/>
              </w:rPr>
            </w:pPr>
            <w:r w:rsidRPr="00864914">
              <w:rPr>
                <w:sz w:val="18"/>
                <w:szCs w:val="18"/>
              </w:rPr>
              <w:t>2537</w:t>
            </w:r>
          </w:p>
        </w:tc>
        <w:tc>
          <w:tcPr>
            <w:tcW w:w="825" w:type="dxa"/>
            <w:noWrap/>
            <w:vAlign w:val="center"/>
          </w:tcPr>
          <w:p w14:paraId="60F158B3" w14:textId="308E2DC9" w:rsidR="00A46F28" w:rsidRPr="00864914" w:rsidRDefault="00A46F28" w:rsidP="00EC7A3A">
            <w:pPr>
              <w:spacing w:before="20" w:after="20"/>
              <w:jc w:val="right"/>
              <w:rPr>
                <w:rFonts w:cs="Arial"/>
                <w:sz w:val="18"/>
                <w:szCs w:val="18"/>
              </w:rPr>
            </w:pPr>
            <w:r w:rsidRPr="00864914">
              <w:rPr>
                <w:sz w:val="18"/>
                <w:szCs w:val="18"/>
              </w:rPr>
              <w:t>2424</w:t>
            </w:r>
          </w:p>
        </w:tc>
        <w:tc>
          <w:tcPr>
            <w:tcW w:w="821" w:type="dxa"/>
            <w:gridSpan w:val="2"/>
            <w:shd w:val="clear" w:color="auto" w:fill="E2EFD9" w:themeFill="accent6" w:themeFillTint="33"/>
            <w:noWrap/>
            <w:vAlign w:val="center"/>
          </w:tcPr>
          <w:p w14:paraId="25E4BA00" w14:textId="597F5561" w:rsidR="00A46F28" w:rsidRPr="00864914" w:rsidRDefault="00A46F28" w:rsidP="00EC7A3A">
            <w:pPr>
              <w:spacing w:before="20" w:after="20"/>
              <w:jc w:val="right"/>
              <w:rPr>
                <w:rFonts w:cs="Arial"/>
                <w:sz w:val="18"/>
                <w:szCs w:val="18"/>
              </w:rPr>
            </w:pPr>
            <w:r w:rsidRPr="00864914">
              <w:rPr>
                <w:sz w:val="18"/>
                <w:szCs w:val="18"/>
              </w:rPr>
              <w:t>4961</w:t>
            </w:r>
          </w:p>
        </w:tc>
      </w:tr>
      <w:tr w:rsidR="00013E94" w:rsidRPr="00855869" w14:paraId="1ACFE325" w14:textId="77777777" w:rsidTr="00013E94">
        <w:trPr>
          <w:trHeight w:val="300"/>
        </w:trPr>
        <w:tc>
          <w:tcPr>
            <w:tcW w:w="2981" w:type="dxa"/>
            <w:noWrap/>
          </w:tcPr>
          <w:p w14:paraId="35448A59" w14:textId="77777777" w:rsidR="0029558D" w:rsidRPr="00864914" w:rsidRDefault="0029558D" w:rsidP="005F77A1">
            <w:pPr>
              <w:spacing w:before="20" w:after="20"/>
              <w:rPr>
                <w:rFonts w:cs="Arial"/>
                <w:sz w:val="18"/>
                <w:szCs w:val="18"/>
              </w:rPr>
            </w:pPr>
            <w:r w:rsidRPr="00864914">
              <w:rPr>
                <w:rFonts w:cs="Arial"/>
                <w:sz w:val="18"/>
                <w:szCs w:val="18"/>
              </w:rPr>
              <w:t>Eligible as % of applicants</w:t>
            </w:r>
          </w:p>
        </w:tc>
        <w:tc>
          <w:tcPr>
            <w:tcW w:w="820" w:type="dxa"/>
            <w:noWrap/>
            <w:vAlign w:val="center"/>
          </w:tcPr>
          <w:p w14:paraId="217C3D1E" w14:textId="04FB5085" w:rsidR="0029558D" w:rsidRPr="00864914" w:rsidRDefault="0029558D" w:rsidP="00EC7A3A">
            <w:pPr>
              <w:spacing w:before="20" w:after="20"/>
              <w:jc w:val="right"/>
              <w:rPr>
                <w:rFonts w:cs="Arial"/>
                <w:sz w:val="18"/>
                <w:szCs w:val="18"/>
              </w:rPr>
            </w:pPr>
            <w:r w:rsidRPr="00864914">
              <w:rPr>
                <w:sz w:val="18"/>
                <w:szCs w:val="18"/>
              </w:rPr>
              <w:t>56%</w:t>
            </w:r>
          </w:p>
        </w:tc>
        <w:tc>
          <w:tcPr>
            <w:tcW w:w="877" w:type="dxa"/>
            <w:noWrap/>
            <w:vAlign w:val="center"/>
          </w:tcPr>
          <w:p w14:paraId="364177FF" w14:textId="384CAF78" w:rsidR="0029558D" w:rsidRPr="00864914" w:rsidRDefault="0029558D" w:rsidP="00EC7A3A">
            <w:pPr>
              <w:spacing w:before="20" w:after="20"/>
              <w:jc w:val="right"/>
              <w:rPr>
                <w:rFonts w:cs="Arial"/>
                <w:sz w:val="18"/>
                <w:szCs w:val="18"/>
              </w:rPr>
            </w:pPr>
            <w:r w:rsidRPr="00864914">
              <w:rPr>
                <w:sz w:val="18"/>
                <w:szCs w:val="18"/>
              </w:rPr>
              <w:t>67%</w:t>
            </w:r>
          </w:p>
        </w:tc>
        <w:tc>
          <w:tcPr>
            <w:tcW w:w="851" w:type="dxa"/>
            <w:tcBorders>
              <w:right w:val="single" w:sz="4" w:space="0" w:color="A8D08D" w:themeColor="accent6" w:themeTint="99"/>
            </w:tcBorders>
            <w:shd w:val="clear" w:color="auto" w:fill="E2EFD9" w:themeFill="accent6" w:themeFillTint="33"/>
            <w:noWrap/>
            <w:vAlign w:val="center"/>
          </w:tcPr>
          <w:p w14:paraId="08A55226" w14:textId="70F46E6D" w:rsidR="0029558D" w:rsidRPr="00864914" w:rsidRDefault="0029558D" w:rsidP="00EC7A3A">
            <w:pPr>
              <w:spacing w:before="20" w:after="20"/>
              <w:jc w:val="right"/>
              <w:rPr>
                <w:rFonts w:cs="Arial"/>
                <w:sz w:val="18"/>
                <w:szCs w:val="18"/>
              </w:rPr>
            </w:pPr>
            <w:r w:rsidRPr="00864914">
              <w:rPr>
                <w:sz w:val="18"/>
                <w:szCs w:val="18"/>
              </w:rPr>
              <w:t>61%</w:t>
            </w:r>
          </w:p>
        </w:tc>
        <w:tc>
          <w:tcPr>
            <w:tcW w:w="734" w:type="dxa"/>
            <w:tcBorders>
              <w:left w:val="single" w:sz="4" w:space="0" w:color="A8D08D" w:themeColor="accent6" w:themeTint="99"/>
            </w:tcBorders>
            <w:noWrap/>
            <w:vAlign w:val="center"/>
          </w:tcPr>
          <w:p w14:paraId="494D2D7B" w14:textId="6C3D31A6" w:rsidR="0029558D" w:rsidRPr="00864914" w:rsidRDefault="0029558D" w:rsidP="00EC7A3A">
            <w:pPr>
              <w:spacing w:before="20" w:after="20"/>
              <w:jc w:val="right"/>
              <w:rPr>
                <w:rFonts w:cs="Arial"/>
                <w:sz w:val="18"/>
                <w:szCs w:val="18"/>
              </w:rPr>
            </w:pPr>
            <w:r w:rsidRPr="00864914">
              <w:rPr>
                <w:sz w:val="18"/>
                <w:szCs w:val="18"/>
              </w:rPr>
              <w:t>52%</w:t>
            </w:r>
          </w:p>
        </w:tc>
        <w:tc>
          <w:tcPr>
            <w:tcW w:w="825" w:type="dxa"/>
            <w:noWrap/>
            <w:vAlign w:val="center"/>
          </w:tcPr>
          <w:p w14:paraId="30D6B1EF" w14:textId="02A6966F" w:rsidR="0029558D" w:rsidRPr="00864914" w:rsidRDefault="0029558D" w:rsidP="00EC7A3A">
            <w:pPr>
              <w:spacing w:before="20" w:after="20"/>
              <w:jc w:val="right"/>
              <w:rPr>
                <w:rFonts w:cs="Arial"/>
                <w:sz w:val="18"/>
                <w:szCs w:val="18"/>
              </w:rPr>
            </w:pPr>
            <w:r w:rsidRPr="00864914">
              <w:rPr>
                <w:sz w:val="18"/>
                <w:szCs w:val="18"/>
              </w:rPr>
              <w:t>66%</w:t>
            </w:r>
          </w:p>
        </w:tc>
        <w:tc>
          <w:tcPr>
            <w:tcW w:w="821" w:type="dxa"/>
            <w:gridSpan w:val="2"/>
            <w:shd w:val="clear" w:color="auto" w:fill="E2EFD9" w:themeFill="accent6" w:themeFillTint="33"/>
            <w:noWrap/>
            <w:vAlign w:val="center"/>
          </w:tcPr>
          <w:p w14:paraId="3774E708" w14:textId="4BE5CDCE" w:rsidR="0029558D" w:rsidRPr="00864914" w:rsidRDefault="0029558D" w:rsidP="00EC7A3A">
            <w:pPr>
              <w:spacing w:before="20" w:after="20"/>
              <w:jc w:val="right"/>
              <w:rPr>
                <w:rFonts w:cs="Arial"/>
                <w:sz w:val="18"/>
                <w:szCs w:val="18"/>
              </w:rPr>
            </w:pPr>
            <w:r w:rsidRPr="00864914">
              <w:rPr>
                <w:sz w:val="18"/>
                <w:szCs w:val="18"/>
              </w:rPr>
              <w:t>58%</w:t>
            </w:r>
          </w:p>
        </w:tc>
      </w:tr>
      <w:tr w:rsidR="00013E94" w:rsidRPr="00855869" w14:paraId="5A7AE137" w14:textId="77777777" w:rsidTr="00013E94">
        <w:trPr>
          <w:trHeight w:val="300"/>
        </w:trPr>
        <w:tc>
          <w:tcPr>
            <w:tcW w:w="2981" w:type="dxa"/>
            <w:noWrap/>
          </w:tcPr>
          <w:p w14:paraId="3449AFA0" w14:textId="77777777" w:rsidR="00FC22E6" w:rsidRPr="00864914" w:rsidRDefault="00FC22E6" w:rsidP="005F77A1">
            <w:pPr>
              <w:spacing w:before="20" w:after="20"/>
              <w:rPr>
                <w:rFonts w:cs="Arial"/>
                <w:sz w:val="18"/>
                <w:szCs w:val="18"/>
              </w:rPr>
            </w:pPr>
            <w:r w:rsidRPr="00864914">
              <w:rPr>
                <w:rFonts w:cs="Arial"/>
                <w:sz w:val="18"/>
                <w:szCs w:val="18"/>
              </w:rPr>
              <w:t>Scholarship applications</w:t>
            </w:r>
          </w:p>
        </w:tc>
        <w:tc>
          <w:tcPr>
            <w:tcW w:w="820" w:type="dxa"/>
            <w:noWrap/>
            <w:vAlign w:val="center"/>
          </w:tcPr>
          <w:p w14:paraId="09E354E9" w14:textId="77777777" w:rsidR="00FC22E6" w:rsidRPr="00864914" w:rsidRDefault="00FC22E6" w:rsidP="00EC7A3A">
            <w:pPr>
              <w:spacing w:before="20" w:after="20"/>
              <w:jc w:val="right"/>
              <w:rPr>
                <w:rFonts w:cs="Arial"/>
                <w:sz w:val="18"/>
                <w:szCs w:val="18"/>
              </w:rPr>
            </w:pPr>
            <w:r w:rsidRPr="00864914">
              <w:rPr>
                <w:rFonts w:cs="Arial"/>
                <w:sz w:val="18"/>
                <w:szCs w:val="18"/>
              </w:rPr>
              <w:t>9196</w:t>
            </w:r>
          </w:p>
        </w:tc>
        <w:tc>
          <w:tcPr>
            <w:tcW w:w="877" w:type="dxa"/>
            <w:noWrap/>
            <w:vAlign w:val="center"/>
          </w:tcPr>
          <w:p w14:paraId="713D2291" w14:textId="77777777" w:rsidR="00FC22E6" w:rsidRPr="00864914" w:rsidRDefault="00FC22E6" w:rsidP="00EC7A3A">
            <w:pPr>
              <w:spacing w:before="20" w:after="20"/>
              <w:jc w:val="right"/>
              <w:rPr>
                <w:rFonts w:cs="Arial"/>
                <w:sz w:val="18"/>
                <w:szCs w:val="18"/>
              </w:rPr>
            </w:pPr>
            <w:r w:rsidRPr="00864914">
              <w:rPr>
                <w:rFonts w:cs="Arial"/>
                <w:sz w:val="18"/>
                <w:szCs w:val="18"/>
              </w:rPr>
              <w:t>7067</w:t>
            </w:r>
          </w:p>
        </w:tc>
        <w:tc>
          <w:tcPr>
            <w:tcW w:w="851" w:type="dxa"/>
            <w:tcBorders>
              <w:right w:val="single" w:sz="4" w:space="0" w:color="A8D08D" w:themeColor="accent6" w:themeTint="99"/>
            </w:tcBorders>
            <w:shd w:val="clear" w:color="auto" w:fill="E2EFD9" w:themeFill="accent6" w:themeFillTint="33"/>
            <w:noWrap/>
            <w:vAlign w:val="center"/>
          </w:tcPr>
          <w:p w14:paraId="51641028" w14:textId="76470AA0" w:rsidR="00FC22E6" w:rsidRPr="00864914" w:rsidRDefault="00FC22E6" w:rsidP="00EC7A3A">
            <w:pPr>
              <w:spacing w:before="20" w:after="20"/>
              <w:jc w:val="right"/>
              <w:rPr>
                <w:rFonts w:cs="Arial"/>
                <w:sz w:val="18"/>
                <w:szCs w:val="18"/>
              </w:rPr>
            </w:pPr>
            <w:r w:rsidRPr="00864914">
              <w:rPr>
                <w:rFonts w:cs="Arial"/>
                <w:sz w:val="18"/>
                <w:szCs w:val="18"/>
              </w:rPr>
              <w:t>16</w:t>
            </w:r>
            <w:r w:rsidR="00EC7A3A">
              <w:rPr>
                <w:rFonts w:cs="Arial"/>
                <w:sz w:val="18"/>
                <w:szCs w:val="18"/>
              </w:rPr>
              <w:t>,</w:t>
            </w:r>
            <w:r w:rsidRPr="00864914">
              <w:rPr>
                <w:rFonts w:cs="Arial"/>
                <w:sz w:val="18"/>
                <w:szCs w:val="18"/>
              </w:rPr>
              <w:t>263</w:t>
            </w:r>
          </w:p>
        </w:tc>
        <w:tc>
          <w:tcPr>
            <w:tcW w:w="734" w:type="dxa"/>
            <w:tcBorders>
              <w:left w:val="single" w:sz="4" w:space="0" w:color="A8D08D" w:themeColor="accent6" w:themeTint="99"/>
            </w:tcBorders>
            <w:noWrap/>
            <w:vAlign w:val="center"/>
          </w:tcPr>
          <w:p w14:paraId="06CCB590" w14:textId="77777777" w:rsidR="00FC22E6" w:rsidRPr="00864914" w:rsidRDefault="00FC22E6" w:rsidP="00EC7A3A">
            <w:pPr>
              <w:spacing w:before="20" w:after="20"/>
              <w:jc w:val="right"/>
              <w:rPr>
                <w:rFonts w:cs="Arial"/>
                <w:sz w:val="18"/>
                <w:szCs w:val="18"/>
              </w:rPr>
            </w:pPr>
            <w:r w:rsidRPr="00864914">
              <w:rPr>
                <w:rFonts w:cs="Arial"/>
                <w:sz w:val="18"/>
                <w:szCs w:val="18"/>
              </w:rPr>
              <w:t>3949</w:t>
            </w:r>
          </w:p>
        </w:tc>
        <w:tc>
          <w:tcPr>
            <w:tcW w:w="825" w:type="dxa"/>
            <w:noWrap/>
            <w:vAlign w:val="center"/>
          </w:tcPr>
          <w:p w14:paraId="765DFF6B" w14:textId="77777777" w:rsidR="00FC22E6" w:rsidRPr="00864914" w:rsidRDefault="00FC22E6" w:rsidP="00EC7A3A">
            <w:pPr>
              <w:spacing w:before="20" w:after="20"/>
              <w:jc w:val="right"/>
              <w:rPr>
                <w:rFonts w:cs="Arial"/>
                <w:sz w:val="18"/>
                <w:szCs w:val="18"/>
              </w:rPr>
            </w:pPr>
            <w:r w:rsidRPr="00864914">
              <w:rPr>
                <w:rFonts w:cs="Arial"/>
                <w:sz w:val="18"/>
                <w:szCs w:val="18"/>
              </w:rPr>
              <w:t>3016</w:t>
            </w:r>
          </w:p>
        </w:tc>
        <w:tc>
          <w:tcPr>
            <w:tcW w:w="821" w:type="dxa"/>
            <w:gridSpan w:val="2"/>
            <w:shd w:val="clear" w:color="auto" w:fill="E2EFD9" w:themeFill="accent6" w:themeFillTint="33"/>
            <w:noWrap/>
            <w:vAlign w:val="center"/>
          </w:tcPr>
          <w:p w14:paraId="0F1CAF39" w14:textId="77777777" w:rsidR="00FC22E6" w:rsidRPr="00864914" w:rsidRDefault="00FC22E6" w:rsidP="00EC7A3A">
            <w:pPr>
              <w:spacing w:before="20" w:after="20"/>
              <w:jc w:val="right"/>
              <w:rPr>
                <w:rFonts w:cs="Arial"/>
                <w:sz w:val="18"/>
                <w:szCs w:val="18"/>
              </w:rPr>
            </w:pPr>
            <w:r w:rsidRPr="00864914">
              <w:rPr>
                <w:rFonts w:cs="Arial"/>
                <w:sz w:val="18"/>
                <w:szCs w:val="18"/>
              </w:rPr>
              <w:t>6965</w:t>
            </w:r>
          </w:p>
        </w:tc>
      </w:tr>
      <w:tr w:rsidR="00013E94" w:rsidRPr="00855869" w14:paraId="411363EC" w14:textId="77777777" w:rsidTr="00013E94">
        <w:trPr>
          <w:trHeight w:val="300"/>
        </w:trPr>
        <w:tc>
          <w:tcPr>
            <w:tcW w:w="2981" w:type="dxa"/>
            <w:noWrap/>
          </w:tcPr>
          <w:p w14:paraId="371EEE12" w14:textId="77777777" w:rsidR="00FC22E6" w:rsidRPr="00864914" w:rsidRDefault="00FC22E6" w:rsidP="005F77A1">
            <w:pPr>
              <w:spacing w:before="20" w:after="20"/>
              <w:rPr>
                <w:rFonts w:cs="Arial"/>
                <w:sz w:val="18"/>
                <w:szCs w:val="18"/>
              </w:rPr>
            </w:pPr>
            <w:r w:rsidRPr="00864914">
              <w:rPr>
                <w:rFonts w:cs="Arial"/>
                <w:sz w:val="18"/>
                <w:szCs w:val="18"/>
              </w:rPr>
              <w:t>Scholarship awards</w:t>
            </w:r>
          </w:p>
        </w:tc>
        <w:tc>
          <w:tcPr>
            <w:tcW w:w="820" w:type="dxa"/>
            <w:noWrap/>
            <w:vAlign w:val="center"/>
          </w:tcPr>
          <w:p w14:paraId="38A00261" w14:textId="77777777" w:rsidR="00FC22E6" w:rsidRPr="00864914" w:rsidRDefault="00FC22E6" w:rsidP="00EC7A3A">
            <w:pPr>
              <w:spacing w:before="20" w:after="20"/>
              <w:jc w:val="right"/>
              <w:rPr>
                <w:rFonts w:cs="Arial"/>
                <w:sz w:val="18"/>
                <w:szCs w:val="18"/>
              </w:rPr>
            </w:pPr>
            <w:r w:rsidRPr="00864914">
              <w:rPr>
                <w:rFonts w:cs="Arial"/>
                <w:sz w:val="18"/>
                <w:szCs w:val="18"/>
              </w:rPr>
              <w:t>4675</w:t>
            </w:r>
          </w:p>
        </w:tc>
        <w:tc>
          <w:tcPr>
            <w:tcW w:w="877" w:type="dxa"/>
            <w:noWrap/>
            <w:vAlign w:val="center"/>
          </w:tcPr>
          <w:p w14:paraId="6D8814E8" w14:textId="77777777" w:rsidR="00FC22E6" w:rsidRPr="00864914" w:rsidRDefault="00FC22E6" w:rsidP="00EC7A3A">
            <w:pPr>
              <w:spacing w:before="20" w:after="20"/>
              <w:jc w:val="right"/>
              <w:rPr>
                <w:rFonts w:cs="Arial"/>
                <w:sz w:val="18"/>
                <w:szCs w:val="18"/>
              </w:rPr>
            </w:pPr>
            <w:r w:rsidRPr="00864914">
              <w:rPr>
                <w:rFonts w:cs="Arial"/>
                <w:sz w:val="18"/>
                <w:szCs w:val="18"/>
              </w:rPr>
              <w:t>3486</w:t>
            </w:r>
          </w:p>
        </w:tc>
        <w:tc>
          <w:tcPr>
            <w:tcW w:w="851" w:type="dxa"/>
            <w:tcBorders>
              <w:right w:val="single" w:sz="4" w:space="0" w:color="A8D08D" w:themeColor="accent6" w:themeTint="99"/>
            </w:tcBorders>
            <w:shd w:val="clear" w:color="auto" w:fill="E2EFD9" w:themeFill="accent6" w:themeFillTint="33"/>
            <w:noWrap/>
            <w:vAlign w:val="center"/>
          </w:tcPr>
          <w:p w14:paraId="18970809" w14:textId="77777777" w:rsidR="00FC22E6" w:rsidRPr="00864914" w:rsidRDefault="00FC22E6" w:rsidP="00EC7A3A">
            <w:pPr>
              <w:spacing w:before="20" w:after="20"/>
              <w:jc w:val="right"/>
              <w:rPr>
                <w:rFonts w:cs="Arial"/>
                <w:sz w:val="18"/>
                <w:szCs w:val="18"/>
              </w:rPr>
            </w:pPr>
            <w:r w:rsidRPr="00864914">
              <w:rPr>
                <w:rFonts w:cs="Arial"/>
                <w:sz w:val="18"/>
                <w:szCs w:val="18"/>
              </w:rPr>
              <w:t>8161</w:t>
            </w:r>
          </w:p>
        </w:tc>
        <w:tc>
          <w:tcPr>
            <w:tcW w:w="734" w:type="dxa"/>
            <w:tcBorders>
              <w:left w:val="single" w:sz="4" w:space="0" w:color="A8D08D" w:themeColor="accent6" w:themeTint="99"/>
            </w:tcBorders>
            <w:noWrap/>
            <w:vAlign w:val="center"/>
          </w:tcPr>
          <w:p w14:paraId="751C0F91" w14:textId="77777777" w:rsidR="00FC22E6" w:rsidRPr="00864914" w:rsidRDefault="00FC22E6" w:rsidP="00EC7A3A">
            <w:pPr>
              <w:spacing w:before="20" w:after="20"/>
              <w:jc w:val="right"/>
              <w:rPr>
                <w:rFonts w:cs="Arial"/>
                <w:sz w:val="18"/>
                <w:szCs w:val="18"/>
              </w:rPr>
            </w:pPr>
            <w:r w:rsidRPr="00864914">
              <w:rPr>
                <w:rFonts w:cs="Arial"/>
                <w:sz w:val="18"/>
                <w:szCs w:val="18"/>
              </w:rPr>
              <w:t>1860</w:t>
            </w:r>
          </w:p>
        </w:tc>
        <w:tc>
          <w:tcPr>
            <w:tcW w:w="825" w:type="dxa"/>
            <w:noWrap/>
            <w:vAlign w:val="center"/>
          </w:tcPr>
          <w:p w14:paraId="508E26C2" w14:textId="77777777" w:rsidR="00FC22E6" w:rsidRPr="00864914" w:rsidRDefault="00FC22E6" w:rsidP="00EC7A3A">
            <w:pPr>
              <w:spacing w:before="20" w:after="20"/>
              <w:jc w:val="right"/>
              <w:rPr>
                <w:rFonts w:cs="Arial"/>
                <w:sz w:val="18"/>
                <w:szCs w:val="18"/>
              </w:rPr>
            </w:pPr>
            <w:r w:rsidRPr="00864914">
              <w:rPr>
                <w:rFonts w:cs="Arial"/>
                <w:sz w:val="18"/>
                <w:szCs w:val="18"/>
              </w:rPr>
              <w:t>1503</w:t>
            </w:r>
          </w:p>
        </w:tc>
        <w:tc>
          <w:tcPr>
            <w:tcW w:w="821" w:type="dxa"/>
            <w:gridSpan w:val="2"/>
            <w:shd w:val="clear" w:color="auto" w:fill="E2EFD9" w:themeFill="accent6" w:themeFillTint="33"/>
            <w:noWrap/>
            <w:vAlign w:val="center"/>
          </w:tcPr>
          <w:p w14:paraId="7871CEB1" w14:textId="77777777" w:rsidR="00FC22E6" w:rsidRPr="00864914" w:rsidRDefault="00FC22E6" w:rsidP="00EC7A3A">
            <w:pPr>
              <w:spacing w:before="20" w:after="20"/>
              <w:jc w:val="right"/>
              <w:rPr>
                <w:rFonts w:cs="Arial"/>
                <w:sz w:val="18"/>
                <w:szCs w:val="18"/>
              </w:rPr>
            </w:pPr>
            <w:r w:rsidRPr="00864914">
              <w:rPr>
                <w:rFonts w:cs="Arial"/>
                <w:sz w:val="18"/>
                <w:szCs w:val="18"/>
              </w:rPr>
              <w:t>3363</w:t>
            </w:r>
          </w:p>
        </w:tc>
      </w:tr>
      <w:tr w:rsidR="00013E94" w:rsidRPr="00855869" w14:paraId="7B2A1862" w14:textId="77777777" w:rsidTr="00013E94">
        <w:trPr>
          <w:trHeight w:val="300"/>
        </w:trPr>
        <w:tc>
          <w:tcPr>
            <w:tcW w:w="2981" w:type="dxa"/>
            <w:noWrap/>
          </w:tcPr>
          <w:p w14:paraId="1FED25E2" w14:textId="77777777" w:rsidR="00FC22E6" w:rsidRPr="00864914" w:rsidRDefault="00FC22E6" w:rsidP="005F77A1">
            <w:pPr>
              <w:spacing w:before="20" w:after="20"/>
              <w:rPr>
                <w:rFonts w:cs="Arial"/>
                <w:sz w:val="18"/>
                <w:szCs w:val="18"/>
              </w:rPr>
            </w:pPr>
            <w:r w:rsidRPr="00864914">
              <w:rPr>
                <w:rFonts w:cs="Arial"/>
                <w:sz w:val="18"/>
                <w:szCs w:val="18"/>
              </w:rPr>
              <w:t>Awards as % scholarship applicants</w:t>
            </w:r>
          </w:p>
        </w:tc>
        <w:tc>
          <w:tcPr>
            <w:tcW w:w="820" w:type="dxa"/>
            <w:noWrap/>
            <w:vAlign w:val="center"/>
          </w:tcPr>
          <w:p w14:paraId="67D31E13" w14:textId="77777777" w:rsidR="00FC22E6" w:rsidRPr="00864914" w:rsidRDefault="00FC22E6" w:rsidP="00EC7A3A">
            <w:pPr>
              <w:spacing w:before="20" w:after="20"/>
              <w:jc w:val="right"/>
              <w:rPr>
                <w:rFonts w:cs="Arial"/>
                <w:sz w:val="18"/>
                <w:szCs w:val="18"/>
              </w:rPr>
            </w:pPr>
            <w:r w:rsidRPr="00864914">
              <w:rPr>
                <w:rFonts w:cs="Arial"/>
                <w:sz w:val="18"/>
                <w:szCs w:val="18"/>
              </w:rPr>
              <w:t>51%</w:t>
            </w:r>
          </w:p>
        </w:tc>
        <w:tc>
          <w:tcPr>
            <w:tcW w:w="877" w:type="dxa"/>
            <w:noWrap/>
            <w:vAlign w:val="center"/>
          </w:tcPr>
          <w:p w14:paraId="2935A9FA" w14:textId="77777777" w:rsidR="00FC22E6" w:rsidRPr="00864914" w:rsidRDefault="00FC22E6" w:rsidP="00EC7A3A">
            <w:pPr>
              <w:spacing w:before="20" w:after="20"/>
              <w:jc w:val="right"/>
              <w:rPr>
                <w:rFonts w:cs="Arial"/>
                <w:sz w:val="18"/>
                <w:szCs w:val="18"/>
              </w:rPr>
            </w:pPr>
            <w:r w:rsidRPr="00864914">
              <w:rPr>
                <w:rFonts w:cs="Arial"/>
                <w:sz w:val="18"/>
                <w:szCs w:val="18"/>
              </w:rPr>
              <w:t>49%</w:t>
            </w:r>
          </w:p>
        </w:tc>
        <w:tc>
          <w:tcPr>
            <w:tcW w:w="851" w:type="dxa"/>
            <w:tcBorders>
              <w:right w:val="single" w:sz="4" w:space="0" w:color="A8D08D" w:themeColor="accent6" w:themeTint="99"/>
            </w:tcBorders>
            <w:shd w:val="clear" w:color="auto" w:fill="E2EFD9" w:themeFill="accent6" w:themeFillTint="33"/>
            <w:noWrap/>
            <w:vAlign w:val="center"/>
          </w:tcPr>
          <w:p w14:paraId="0AC6A4F4" w14:textId="77777777" w:rsidR="00FC22E6" w:rsidRPr="00864914" w:rsidRDefault="00FC22E6" w:rsidP="00EC7A3A">
            <w:pPr>
              <w:spacing w:before="20" w:after="20"/>
              <w:jc w:val="right"/>
              <w:rPr>
                <w:rFonts w:cs="Arial"/>
                <w:sz w:val="18"/>
                <w:szCs w:val="18"/>
              </w:rPr>
            </w:pPr>
            <w:r w:rsidRPr="00864914">
              <w:rPr>
                <w:rFonts w:cs="Arial"/>
                <w:sz w:val="18"/>
                <w:szCs w:val="18"/>
              </w:rPr>
              <w:t>50%</w:t>
            </w:r>
          </w:p>
        </w:tc>
        <w:tc>
          <w:tcPr>
            <w:tcW w:w="734" w:type="dxa"/>
            <w:tcBorders>
              <w:left w:val="single" w:sz="4" w:space="0" w:color="A8D08D" w:themeColor="accent6" w:themeTint="99"/>
            </w:tcBorders>
            <w:noWrap/>
            <w:vAlign w:val="center"/>
          </w:tcPr>
          <w:p w14:paraId="01B2E2E9" w14:textId="77777777" w:rsidR="00FC22E6" w:rsidRPr="00864914" w:rsidRDefault="00FC22E6" w:rsidP="00EC7A3A">
            <w:pPr>
              <w:spacing w:before="20" w:after="20"/>
              <w:jc w:val="right"/>
              <w:rPr>
                <w:rFonts w:cs="Arial"/>
                <w:sz w:val="18"/>
                <w:szCs w:val="18"/>
              </w:rPr>
            </w:pPr>
            <w:r w:rsidRPr="00864914">
              <w:rPr>
                <w:rFonts w:cs="Arial"/>
                <w:sz w:val="18"/>
                <w:szCs w:val="18"/>
              </w:rPr>
              <w:t>47%</w:t>
            </w:r>
          </w:p>
        </w:tc>
        <w:tc>
          <w:tcPr>
            <w:tcW w:w="825" w:type="dxa"/>
            <w:noWrap/>
            <w:vAlign w:val="center"/>
          </w:tcPr>
          <w:p w14:paraId="46B7B5F3" w14:textId="77777777" w:rsidR="00FC22E6" w:rsidRPr="00864914" w:rsidRDefault="00FC22E6" w:rsidP="00EC7A3A">
            <w:pPr>
              <w:spacing w:before="20" w:after="20"/>
              <w:jc w:val="right"/>
              <w:rPr>
                <w:rFonts w:cs="Arial"/>
                <w:sz w:val="18"/>
                <w:szCs w:val="18"/>
              </w:rPr>
            </w:pPr>
            <w:r w:rsidRPr="00864914">
              <w:rPr>
                <w:rFonts w:cs="Arial"/>
                <w:sz w:val="18"/>
                <w:szCs w:val="18"/>
              </w:rPr>
              <w:t>50%</w:t>
            </w:r>
          </w:p>
        </w:tc>
        <w:tc>
          <w:tcPr>
            <w:tcW w:w="821" w:type="dxa"/>
            <w:gridSpan w:val="2"/>
            <w:shd w:val="clear" w:color="auto" w:fill="E2EFD9" w:themeFill="accent6" w:themeFillTint="33"/>
            <w:noWrap/>
            <w:vAlign w:val="center"/>
          </w:tcPr>
          <w:p w14:paraId="10CBF2B1" w14:textId="77777777" w:rsidR="00FC22E6" w:rsidRPr="00864914" w:rsidRDefault="00FC22E6" w:rsidP="00EC7A3A">
            <w:pPr>
              <w:spacing w:before="20" w:after="20"/>
              <w:jc w:val="right"/>
              <w:rPr>
                <w:rFonts w:cs="Arial"/>
                <w:sz w:val="18"/>
                <w:szCs w:val="18"/>
              </w:rPr>
            </w:pPr>
            <w:r w:rsidRPr="00864914">
              <w:rPr>
                <w:rFonts w:cs="Arial"/>
                <w:sz w:val="18"/>
                <w:szCs w:val="18"/>
              </w:rPr>
              <w:t>48%</w:t>
            </w:r>
          </w:p>
        </w:tc>
      </w:tr>
      <w:tr w:rsidR="00013E94" w:rsidRPr="00855869" w14:paraId="08FA8C82" w14:textId="77777777" w:rsidTr="00013E94">
        <w:trPr>
          <w:trHeight w:val="300"/>
        </w:trPr>
        <w:tc>
          <w:tcPr>
            <w:tcW w:w="2981" w:type="dxa"/>
            <w:tcBorders>
              <w:bottom w:val="single" w:sz="4" w:space="0" w:color="A8D08D" w:themeColor="accent6" w:themeTint="99"/>
            </w:tcBorders>
            <w:noWrap/>
          </w:tcPr>
          <w:p w14:paraId="505AE66D" w14:textId="77777777" w:rsidR="00A46F28" w:rsidRPr="00864914" w:rsidRDefault="00A46F28" w:rsidP="005F77A1">
            <w:pPr>
              <w:spacing w:before="20" w:after="20"/>
              <w:rPr>
                <w:rFonts w:cs="Arial"/>
                <w:sz w:val="18"/>
                <w:szCs w:val="18"/>
              </w:rPr>
            </w:pPr>
            <w:r w:rsidRPr="00864914">
              <w:rPr>
                <w:rFonts w:cs="Arial"/>
                <w:sz w:val="18"/>
                <w:szCs w:val="18"/>
              </w:rPr>
              <w:t>Uptake as % of awards</w:t>
            </w:r>
          </w:p>
        </w:tc>
        <w:tc>
          <w:tcPr>
            <w:tcW w:w="820" w:type="dxa"/>
            <w:tcBorders>
              <w:bottom w:val="single" w:sz="4" w:space="0" w:color="A8D08D" w:themeColor="accent6" w:themeTint="99"/>
            </w:tcBorders>
            <w:noWrap/>
            <w:vAlign w:val="center"/>
          </w:tcPr>
          <w:p w14:paraId="4A46CF1F" w14:textId="4A153B7E" w:rsidR="00A46F28" w:rsidRPr="00864914" w:rsidRDefault="00A46F28" w:rsidP="00EC7A3A">
            <w:pPr>
              <w:spacing w:before="20" w:after="20"/>
              <w:jc w:val="right"/>
              <w:rPr>
                <w:rFonts w:cs="Arial"/>
                <w:sz w:val="18"/>
                <w:szCs w:val="18"/>
              </w:rPr>
            </w:pPr>
            <w:r w:rsidRPr="00864914">
              <w:rPr>
                <w:sz w:val="18"/>
                <w:szCs w:val="18"/>
              </w:rPr>
              <w:t>91%</w:t>
            </w:r>
          </w:p>
        </w:tc>
        <w:tc>
          <w:tcPr>
            <w:tcW w:w="877" w:type="dxa"/>
            <w:tcBorders>
              <w:bottom w:val="single" w:sz="4" w:space="0" w:color="A8D08D" w:themeColor="accent6" w:themeTint="99"/>
            </w:tcBorders>
            <w:noWrap/>
            <w:vAlign w:val="center"/>
          </w:tcPr>
          <w:p w14:paraId="1984A4D7" w14:textId="2B983195" w:rsidR="00A46F28" w:rsidRPr="00864914" w:rsidRDefault="00A46F28" w:rsidP="00EC7A3A">
            <w:pPr>
              <w:spacing w:before="20" w:after="20"/>
              <w:jc w:val="right"/>
              <w:rPr>
                <w:rFonts w:cs="Arial"/>
                <w:sz w:val="18"/>
                <w:szCs w:val="18"/>
              </w:rPr>
            </w:pPr>
            <w:r w:rsidRPr="00864914">
              <w:rPr>
                <w:sz w:val="18"/>
                <w:szCs w:val="18"/>
              </w:rPr>
              <w:t>88%</w:t>
            </w:r>
          </w:p>
        </w:tc>
        <w:tc>
          <w:tcPr>
            <w:tcW w:w="851" w:type="dxa"/>
            <w:tcBorders>
              <w:bottom w:val="single" w:sz="4" w:space="0" w:color="A8D08D" w:themeColor="accent6" w:themeTint="99"/>
              <w:right w:val="single" w:sz="4" w:space="0" w:color="A8D08D" w:themeColor="accent6" w:themeTint="99"/>
            </w:tcBorders>
            <w:shd w:val="clear" w:color="auto" w:fill="E2EFD9" w:themeFill="accent6" w:themeFillTint="33"/>
            <w:noWrap/>
            <w:vAlign w:val="center"/>
          </w:tcPr>
          <w:p w14:paraId="10B49803" w14:textId="08B2EEAF" w:rsidR="00A46F28" w:rsidRPr="00864914" w:rsidRDefault="00A46F28" w:rsidP="00EC7A3A">
            <w:pPr>
              <w:spacing w:before="20" w:after="20"/>
              <w:jc w:val="right"/>
              <w:rPr>
                <w:rFonts w:cs="Arial"/>
                <w:sz w:val="18"/>
                <w:szCs w:val="18"/>
              </w:rPr>
            </w:pPr>
            <w:r w:rsidRPr="00864914">
              <w:rPr>
                <w:sz w:val="18"/>
                <w:szCs w:val="18"/>
              </w:rPr>
              <w:t>90%</w:t>
            </w:r>
          </w:p>
        </w:tc>
        <w:tc>
          <w:tcPr>
            <w:tcW w:w="734" w:type="dxa"/>
            <w:tcBorders>
              <w:left w:val="single" w:sz="4" w:space="0" w:color="A8D08D" w:themeColor="accent6" w:themeTint="99"/>
              <w:bottom w:val="single" w:sz="4" w:space="0" w:color="A8D08D" w:themeColor="accent6" w:themeTint="99"/>
            </w:tcBorders>
            <w:noWrap/>
            <w:vAlign w:val="center"/>
          </w:tcPr>
          <w:p w14:paraId="7B385EA3" w14:textId="537B62F9" w:rsidR="00A46F28" w:rsidRPr="00864914" w:rsidRDefault="00A46F28" w:rsidP="00EC7A3A">
            <w:pPr>
              <w:spacing w:before="20" w:after="20"/>
              <w:jc w:val="right"/>
              <w:rPr>
                <w:rFonts w:cs="Arial"/>
                <w:sz w:val="18"/>
                <w:szCs w:val="18"/>
              </w:rPr>
            </w:pPr>
            <w:r w:rsidRPr="00864914">
              <w:rPr>
                <w:sz w:val="18"/>
                <w:szCs w:val="18"/>
              </w:rPr>
              <w:t>92%</w:t>
            </w:r>
          </w:p>
        </w:tc>
        <w:tc>
          <w:tcPr>
            <w:tcW w:w="825" w:type="dxa"/>
            <w:tcBorders>
              <w:bottom w:val="single" w:sz="4" w:space="0" w:color="A8D08D" w:themeColor="accent6" w:themeTint="99"/>
            </w:tcBorders>
            <w:noWrap/>
            <w:vAlign w:val="center"/>
          </w:tcPr>
          <w:p w14:paraId="3C939238" w14:textId="3F90DB86" w:rsidR="00A46F28" w:rsidRPr="00864914" w:rsidRDefault="00A46F28" w:rsidP="00EC7A3A">
            <w:pPr>
              <w:spacing w:before="20" w:after="20"/>
              <w:jc w:val="right"/>
              <w:rPr>
                <w:rFonts w:cs="Arial"/>
                <w:sz w:val="18"/>
                <w:szCs w:val="18"/>
              </w:rPr>
            </w:pPr>
            <w:r w:rsidRPr="00864914">
              <w:rPr>
                <w:sz w:val="18"/>
                <w:szCs w:val="18"/>
              </w:rPr>
              <w:t>88%</w:t>
            </w:r>
          </w:p>
        </w:tc>
        <w:tc>
          <w:tcPr>
            <w:tcW w:w="821" w:type="dxa"/>
            <w:gridSpan w:val="2"/>
            <w:tcBorders>
              <w:bottom w:val="single" w:sz="4" w:space="0" w:color="A8D08D" w:themeColor="accent6" w:themeTint="99"/>
            </w:tcBorders>
            <w:shd w:val="clear" w:color="auto" w:fill="E2EFD9" w:themeFill="accent6" w:themeFillTint="33"/>
            <w:noWrap/>
            <w:vAlign w:val="center"/>
          </w:tcPr>
          <w:p w14:paraId="045D43B1" w14:textId="33428131" w:rsidR="00A46F28" w:rsidRPr="00864914" w:rsidRDefault="00A46F28" w:rsidP="00EC7A3A">
            <w:pPr>
              <w:spacing w:before="20" w:after="20"/>
              <w:jc w:val="right"/>
              <w:rPr>
                <w:rFonts w:cs="Arial"/>
                <w:sz w:val="18"/>
                <w:szCs w:val="18"/>
              </w:rPr>
            </w:pPr>
            <w:r w:rsidRPr="00864914">
              <w:rPr>
                <w:sz w:val="18"/>
                <w:szCs w:val="18"/>
              </w:rPr>
              <w:t>90%</w:t>
            </w:r>
          </w:p>
        </w:tc>
      </w:tr>
    </w:tbl>
    <w:p w14:paraId="0EED1B57" w14:textId="62B616C2" w:rsidR="00FC22E6" w:rsidRPr="00864914" w:rsidRDefault="00013E94" w:rsidP="00FC22E6">
      <w:pPr>
        <w:rPr>
          <w:rFonts w:cs="Arial"/>
          <w:sz w:val="16"/>
          <w:szCs w:val="16"/>
        </w:rPr>
      </w:pPr>
      <w:r>
        <w:rPr>
          <w:rFonts w:cs="Arial"/>
          <w:sz w:val="16"/>
          <w:szCs w:val="16"/>
        </w:rPr>
        <w:br/>
      </w:r>
      <w:r w:rsidR="00445885">
        <w:rPr>
          <w:rFonts w:cs="Arial"/>
          <w:sz w:val="16"/>
          <w:szCs w:val="16"/>
        </w:rPr>
        <w:t>LLN: Language, literacy and numeracy / VSK: Vocational skills and knowledge</w:t>
      </w:r>
      <w:r w:rsidR="00445885">
        <w:rPr>
          <w:rFonts w:cs="Arial"/>
          <w:sz w:val="16"/>
          <w:szCs w:val="16"/>
        </w:rPr>
        <w:br/>
      </w:r>
      <w:r w:rsidR="00FC22E6" w:rsidRPr="00864914">
        <w:rPr>
          <w:rFonts w:cs="Arial"/>
          <w:sz w:val="16"/>
          <w:szCs w:val="16"/>
        </w:rPr>
        <w:t>Source: Calculated from APTC Table B1a and Bib.</w:t>
      </w:r>
    </w:p>
    <w:p w14:paraId="393E905A" w14:textId="77777777" w:rsidR="00FC22E6" w:rsidRDefault="00FC22E6" w:rsidP="00FC22E6">
      <w:pPr>
        <w:rPr>
          <w:rFonts w:cs="Arial"/>
        </w:rPr>
      </w:pPr>
    </w:p>
    <w:p w14:paraId="3034ABEE" w14:textId="706A8E78" w:rsidR="00A46F28" w:rsidRPr="00A46F28" w:rsidRDefault="00FC22E6" w:rsidP="00A46F28">
      <w:pPr>
        <w:rPr>
          <w:rFonts w:cs="Arial"/>
        </w:rPr>
      </w:pPr>
      <w:r w:rsidRPr="00D17CCB">
        <w:rPr>
          <w:rFonts w:cs="Arial"/>
        </w:rPr>
        <w:t xml:space="preserve">Eligible applicants as a proportion of total applicants </w:t>
      </w:r>
      <w:r w:rsidR="008F1919">
        <w:rPr>
          <w:rFonts w:cs="Arial"/>
        </w:rPr>
        <w:t>rose</w:t>
      </w:r>
      <w:r w:rsidRPr="00D17CCB">
        <w:rPr>
          <w:rFonts w:cs="Arial"/>
        </w:rPr>
        <w:t xml:space="preserve"> from </w:t>
      </w:r>
      <w:r w:rsidR="008F1919">
        <w:rPr>
          <w:rFonts w:cs="Arial"/>
        </w:rPr>
        <w:t>56</w:t>
      </w:r>
      <w:r>
        <w:rPr>
          <w:rFonts w:cs="Arial"/>
        </w:rPr>
        <w:t xml:space="preserve"> per cent</w:t>
      </w:r>
      <w:r w:rsidRPr="00D17CCB">
        <w:rPr>
          <w:rFonts w:cs="Arial"/>
        </w:rPr>
        <w:t xml:space="preserve"> in Stage I to </w:t>
      </w:r>
      <w:r w:rsidR="008F1919">
        <w:rPr>
          <w:rFonts w:cs="Arial"/>
        </w:rPr>
        <w:t>67</w:t>
      </w:r>
      <w:r>
        <w:rPr>
          <w:rFonts w:cs="Arial"/>
        </w:rPr>
        <w:t xml:space="preserve"> per cent</w:t>
      </w:r>
      <w:r w:rsidRPr="00D17CCB">
        <w:rPr>
          <w:rFonts w:cs="Arial"/>
        </w:rPr>
        <w:t xml:space="preserve"> in Stage II. </w:t>
      </w:r>
      <w:r w:rsidR="00A46F28" w:rsidRPr="00A46F28">
        <w:rPr>
          <w:rFonts w:cs="Arial"/>
        </w:rPr>
        <w:t>Reasons for the increase include re</w:t>
      </w:r>
      <w:r w:rsidR="00862980">
        <w:rPr>
          <w:rFonts w:cs="Arial"/>
        </w:rPr>
        <w:t>-</w:t>
      </w:r>
      <w:r w:rsidR="00A46F28" w:rsidRPr="00A46F28">
        <w:rPr>
          <w:rFonts w:cs="Arial"/>
        </w:rPr>
        <w:t>design of the application form, improved initial screening of applicants</w:t>
      </w:r>
      <w:r w:rsidR="00DB6026">
        <w:rPr>
          <w:rFonts w:cs="Arial"/>
        </w:rPr>
        <w:t>,</w:t>
      </w:r>
      <w:r w:rsidR="00A46F28" w:rsidRPr="00A46F28">
        <w:rPr>
          <w:rFonts w:cs="Arial"/>
        </w:rPr>
        <w:t xml:space="preserve"> re</w:t>
      </w:r>
      <w:r w:rsidR="00862980">
        <w:rPr>
          <w:rFonts w:cs="Arial"/>
        </w:rPr>
        <w:t>-</w:t>
      </w:r>
      <w:r w:rsidR="00A46F28" w:rsidRPr="00A46F28">
        <w:rPr>
          <w:rFonts w:cs="Arial"/>
        </w:rPr>
        <w:t xml:space="preserve">design of LLN assessments as part of the Australian Core Skills Framework which increased reliability, and introduction of </w:t>
      </w:r>
      <w:r w:rsidR="0002414D">
        <w:rPr>
          <w:rFonts w:cs="Arial"/>
        </w:rPr>
        <w:t>new industry entrant (</w:t>
      </w:r>
      <w:r w:rsidR="00A46F28" w:rsidRPr="00A46F28">
        <w:rPr>
          <w:rFonts w:cs="Arial"/>
        </w:rPr>
        <w:t>NIE</w:t>
      </w:r>
      <w:r w:rsidR="0002414D">
        <w:rPr>
          <w:rFonts w:cs="Arial"/>
        </w:rPr>
        <w:t>)</w:t>
      </w:r>
      <w:r w:rsidR="00A46F28" w:rsidRPr="00A46F28">
        <w:rPr>
          <w:rFonts w:cs="Arial"/>
        </w:rPr>
        <w:t xml:space="preserve"> courses which relaxed entry criteria for some courses.  </w:t>
      </w:r>
    </w:p>
    <w:p w14:paraId="6FB49E21" w14:textId="196302A7" w:rsidR="00A46F28" w:rsidRPr="00A46F28" w:rsidRDefault="00A46F28" w:rsidP="00A46F28">
      <w:pPr>
        <w:rPr>
          <w:rFonts w:cs="Arial"/>
        </w:rPr>
      </w:pPr>
      <w:r w:rsidRPr="00A46F28">
        <w:rPr>
          <w:rFonts w:cs="Arial"/>
        </w:rPr>
        <w:t>Scholarship awards as a percentage of scholarship applicants remained stead</w:t>
      </w:r>
      <w:r w:rsidR="00DB6026">
        <w:rPr>
          <w:rFonts w:cs="Arial"/>
        </w:rPr>
        <w:t>y in the two stages at about 50 per cent</w:t>
      </w:r>
      <w:r w:rsidRPr="00A46F28">
        <w:rPr>
          <w:rFonts w:cs="Arial"/>
        </w:rPr>
        <w:t>. Scholarship uptake as a percentage of awards als</w:t>
      </w:r>
      <w:r w:rsidR="00DB6026">
        <w:rPr>
          <w:rFonts w:cs="Arial"/>
        </w:rPr>
        <w:t>o remained constant at about 90 per cent</w:t>
      </w:r>
      <w:r w:rsidRPr="00A46F28">
        <w:rPr>
          <w:rFonts w:cs="Arial"/>
        </w:rPr>
        <w:t xml:space="preserve"> between the two stages.  </w:t>
      </w:r>
    </w:p>
    <w:p w14:paraId="7530D60E" w14:textId="5189989F" w:rsidR="00FC22E6" w:rsidRDefault="00FC22E6" w:rsidP="008E7579">
      <w:pPr>
        <w:pStyle w:val="Tableheading"/>
        <w:spacing w:before="200"/>
      </w:pPr>
      <w:bookmarkStart w:id="178" w:name="_Toc274059218"/>
      <w:bookmarkStart w:id="179" w:name="_Toc274146426"/>
      <w:bookmarkStart w:id="180" w:name="_Toc274915885"/>
      <w:bookmarkStart w:id="181" w:name="_Toc278446863"/>
      <w:r w:rsidRPr="0072121D">
        <w:t>Figure</w:t>
      </w:r>
      <w:r>
        <w:t xml:space="preserve"> 3.1.1: </w:t>
      </w:r>
      <w:r w:rsidRPr="00AD05DC">
        <w:rPr>
          <w:bCs/>
        </w:rPr>
        <w:t>Student intake ratios by stage</w:t>
      </w:r>
      <w:bookmarkEnd w:id="178"/>
      <w:bookmarkEnd w:id="179"/>
      <w:bookmarkEnd w:id="180"/>
      <w:bookmarkEnd w:id="181"/>
      <w:r w:rsidRPr="00AD05DC">
        <w:rPr>
          <w:bCs/>
        </w:rPr>
        <w:t xml:space="preserve"> </w:t>
      </w:r>
    </w:p>
    <w:p w14:paraId="6D90D8DC" w14:textId="77777777" w:rsidR="001C7C5F" w:rsidRPr="00D17CCB" w:rsidRDefault="001C7C5F" w:rsidP="00FC22E6">
      <w:pPr>
        <w:rPr>
          <w:rFonts w:cs="Arial"/>
        </w:rPr>
      </w:pPr>
      <w:r>
        <w:rPr>
          <w:noProof/>
          <w:lang w:eastAsia="en-AU"/>
        </w:rPr>
        <w:drawing>
          <wp:inline distT="0" distB="0" distL="0" distR="0" wp14:anchorId="400DD49C" wp14:editId="44AC0435">
            <wp:extent cx="3425402" cy="2529840"/>
            <wp:effectExtent l="0" t="0" r="29210" b="3556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DC60D6" w14:textId="77777777" w:rsidR="00FC22E6" w:rsidRPr="00AD05DC" w:rsidRDefault="00FC22E6" w:rsidP="00FC22E6">
      <w:pPr>
        <w:rPr>
          <w:rFonts w:cs="Arial"/>
          <w:sz w:val="18"/>
          <w:szCs w:val="18"/>
        </w:rPr>
      </w:pPr>
      <w:r>
        <w:rPr>
          <w:rFonts w:cs="Arial"/>
          <w:sz w:val="18"/>
          <w:szCs w:val="18"/>
        </w:rPr>
        <w:t xml:space="preserve">Source: </w:t>
      </w:r>
      <w:r w:rsidRPr="00AD05DC">
        <w:rPr>
          <w:rFonts w:cs="Arial"/>
          <w:sz w:val="18"/>
          <w:szCs w:val="18"/>
        </w:rPr>
        <w:t>APTC Tables B.1a and B.1b.</w:t>
      </w:r>
    </w:p>
    <w:p w14:paraId="697BE7C1" w14:textId="77777777" w:rsidR="00FC22E6" w:rsidRDefault="00FC22E6" w:rsidP="00FC22E6">
      <w:pPr>
        <w:rPr>
          <w:rFonts w:cs="Arial"/>
        </w:rPr>
      </w:pPr>
      <w:r w:rsidRPr="00D17CCB">
        <w:rPr>
          <w:rFonts w:cs="Arial"/>
        </w:rPr>
        <w:lastRenderedPageBreak/>
        <w:t xml:space="preserve">The following </w:t>
      </w:r>
      <w:r>
        <w:rPr>
          <w:rFonts w:cs="Arial"/>
        </w:rPr>
        <w:t>table</w:t>
      </w:r>
      <w:r w:rsidRPr="00D17CCB">
        <w:rPr>
          <w:rFonts w:cs="Arial"/>
        </w:rPr>
        <w:t xml:space="preserve"> compares the proportion of eligible applicants and scholarship uptake by nationality of applicants.</w:t>
      </w:r>
    </w:p>
    <w:p w14:paraId="5176B42C" w14:textId="343D6BF0" w:rsidR="00FC22E6" w:rsidRDefault="00FC22E6" w:rsidP="00FC22E6">
      <w:pPr>
        <w:pStyle w:val="Tableheading"/>
      </w:pPr>
      <w:bookmarkStart w:id="182" w:name="_Toc274146427"/>
      <w:bookmarkStart w:id="183" w:name="_Toc274915886"/>
      <w:bookmarkStart w:id="184" w:name="_Toc278446864"/>
      <w:r>
        <w:t xml:space="preserve">Table 3.1.2: </w:t>
      </w:r>
      <w:bookmarkEnd w:id="182"/>
      <w:r w:rsidR="001C7C5F" w:rsidRPr="00530584">
        <w:t>Applicants and those eligible by nationality and stage</w:t>
      </w:r>
      <w:bookmarkEnd w:id="183"/>
      <w:bookmarkEnd w:id="184"/>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8"/>
        <w:gridCol w:w="888"/>
        <w:gridCol w:w="888"/>
        <w:gridCol w:w="888"/>
        <w:gridCol w:w="888"/>
        <w:gridCol w:w="888"/>
        <w:gridCol w:w="888"/>
      </w:tblGrid>
      <w:tr w:rsidR="00940DD4" w:rsidRPr="00940DD4" w14:paraId="78F11EC4" w14:textId="77777777" w:rsidTr="00381FEF">
        <w:trPr>
          <w:trHeight w:val="330"/>
        </w:trPr>
        <w:tc>
          <w:tcPr>
            <w:tcW w:w="0" w:type="auto"/>
            <w:vMerge w:val="restart"/>
            <w:shd w:val="clear" w:color="auto" w:fill="C5E0B3" w:themeFill="accent6" w:themeFillTint="66"/>
            <w:noWrap/>
            <w:hideMark/>
          </w:tcPr>
          <w:p w14:paraId="4D0C4FD8" w14:textId="77777777" w:rsidR="00381FEF" w:rsidRDefault="00381FEF" w:rsidP="00940DD4">
            <w:pPr>
              <w:rPr>
                <w:rFonts w:cs="Arial"/>
                <w:b/>
                <w:bCs/>
                <w:sz w:val="20"/>
              </w:rPr>
            </w:pPr>
          </w:p>
          <w:p w14:paraId="6C5FFC9D" w14:textId="77777777" w:rsidR="00381FEF" w:rsidRDefault="00381FEF" w:rsidP="00940DD4">
            <w:pPr>
              <w:rPr>
                <w:rFonts w:cs="Arial"/>
                <w:b/>
                <w:bCs/>
                <w:sz w:val="20"/>
              </w:rPr>
            </w:pPr>
          </w:p>
          <w:p w14:paraId="51EAECC0" w14:textId="77777777" w:rsidR="00940DD4" w:rsidRPr="00940DD4" w:rsidRDefault="00940DD4" w:rsidP="00940DD4">
            <w:pPr>
              <w:rPr>
                <w:rFonts w:cs="Arial"/>
                <w:b/>
                <w:bCs/>
                <w:sz w:val="20"/>
              </w:rPr>
            </w:pPr>
            <w:r w:rsidRPr="00940DD4">
              <w:rPr>
                <w:rFonts w:cs="Arial"/>
                <w:b/>
                <w:bCs/>
                <w:sz w:val="20"/>
              </w:rPr>
              <w:t>Nationality</w:t>
            </w:r>
          </w:p>
        </w:tc>
        <w:tc>
          <w:tcPr>
            <w:tcW w:w="0" w:type="auto"/>
            <w:gridSpan w:val="3"/>
            <w:shd w:val="clear" w:color="auto" w:fill="C5E0B3" w:themeFill="accent6" w:themeFillTint="66"/>
            <w:noWrap/>
            <w:hideMark/>
          </w:tcPr>
          <w:p w14:paraId="3C8969C0" w14:textId="77777777" w:rsidR="00940DD4" w:rsidRPr="00940DD4" w:rsidRDefault="00940DD4" w:rsidP="009F3DAA">
            <w:pPr>
              <w:spacing w:before="40" w:after="40"/>
              <w:jc w:val="center"/>
              <w:rPr>
                <w:rFonts w:cs="Arial"/>
                <w:b/>
                <w:bCs/>
                <w:sz w:val="20"/>
              </w:rPr>
            </w:pPr>
            <w:r w:rsidRPr="00940DD4">
              <w:rPr>
                <w:rFonts w:cs="Arial"/>
                <w:b/>
                <w:bCs/>
                <w:sz w:val="20"/>
              </w:rPr>
              <w:t>Stage I</w:t>
            </w:r>
          </w:p>
        </w:tc>
        <w:tc>
          <w:tcPr>
            <w:tcW w:w="0" w:type="auto"/>
            <w:gridSpan w:val="3"/>
            <w:shd w:val="clear" w:color="auto" w:fill="C5E0B3" w:themeFill="accent6" w:themeFillTint="66"/>
            <w:noWrap/>
            <w:hideMark/>
          </w:tcPr>
          <w:p w14:paraId="7EAAC915" w14:textId="77777777" w:rsidR="00940DD4" w:rsidRPr="00940DD4" w:rsidRDefault="00940DD4" w:rsidP="009F3DAA">
            <w:pPr>
              <w:spacing w:before="40" w:after="40"/>
              <w:jc w:val="center"/>
              <w:rPr>
                <w:rFonts w:cs="Arial"/>
                <w:b/>
                <w:bCs/>
                <w:sz w:val="20"/>
              </w:rPr>
            </w:pPr>
            <w:r w:rsidRPr="00940DD4">
              <w:rPr>
                <w:rFonts w:cs="Arial"/>
                <w:b/>
                <w:bCs/>
                <w:sz w:val="20"/>
              </w:rPr>
              <w:t>Stage II</w:t>
            </w:r>
          </w:p>
        </w:tc>
      </w:tr>
      <w:tr w:rsidR="00940DD4" w:rsidRPr="00940DD4" w14:paraId="3DBCE43D" w14:textId="77777777" w:rsidTr="00013E94">
        <w:trPr>
          <w:cantSplit/>
          <w:trHeight w:val="1610"/>
        </w:trPr>
        <w:tc>
          <w:tcPr>
            <w:tcW w:w="0" w:type="auto"/>
            <w:vMerge/>
            <w:hideMark/>
          </w:tcPr>
          <w:p w14:paraId="55363405" w14:textId="77777777" w:rsidR="00940DD4" w:rsidRPr="00940DD4" w:rsidRDefault="00940DD4" w:rsidP="00940DD4">
            <w:pPr>
              <w:rPr>
                <w:rFonts w:cs="Arial"/>
                <w:b/>
                <w:bCs/>
                <w:sz w:val="20"/>
              </w:rPr>
            </w:pPr>
          </w:p>
        </w:tc>
        <w:tc>
          <w:tcPr>
            <w:tcW w:w="0" w:type="auto"/>
            <w:noWrap/>
            <w:textDirection w:val="btLr"/>
            <w:hideMark/>
          </w:tcPr>
          <w:p w14:paraId="1B769689" w14:textId="77777777" w:rsidR="00940DD4" w:rsidRPr="0035367C" w:rsidRDefault="00940DD4" w:rsidP="00940DD4">
            <w:pPr>
              <w:ind w:left="113" w:right="113"/>
              <w:rPr>
                <w:rFonts w:cs="Arial"/>
                <w:b/>
                <w:bCs/>
                <w:sz w:val="18"/>
              </w:rPr>
            </w:pPr>
          </w:p>
          <w:p w14:paraId="2F79BCC5" w14:textId="77777777" w:rsidR="00940DD4" w:rsidRPr="0035367C" w:rsidRDefault="00940DD4" w:rsidP="00940DD4">
            <w:pPr>
              <w:ind w:left="113" w:right="113"/>
              <w:rPr>
                <w:rFonts w:cs="Arial"/>
                <w:b/>
                <w:bCs/>
                <w:sz w:val="18"/>
              </w:rPr>
            </w:pPr>
            <w:r w:rsidRPr="0035367C">
              <w:rPr>
                <w:rFonts w:cs="Arial"/>
                <w:b/>
                <w:bCs/>
                <w:sz w:val="18"/>
              </w:rPr>
              <w:t># Applications</w:t>
            </w:r>
          </w:p>
        </w:tc>
        <w:tc>
          <w:tcPr>
            <w:tcW w:w="0" w:type="auto"/>
            <w:noWrap/>
            <w:textDirection w:val="btLr"/>
            <w:hideMark/>
          </w:tcPr>
          <w:p w14:paraId="6C4B917A" w14:textId="77777777" w:rsidR="00940DD4" w:rsidRPr="0035367C" w:rsidRDefault="00940DD4" w:rsidP="00940DD4">
            <w:pPr>
              <w:ind w:left="113" w:right="113"/>
              <w:rPr>
                <w:rFonts w:cs="Arial"/>
                <w:b/>
                <w:bCs/>
                <w:sz w:val="18"/>
              </w:rPr>
            </w:pPr>
          </w:p>
          <w:p w14:paraId="2A18F334" w14:textId="77777777" w:rsidR="00940DD4" w:rsidRPr="0035367C" w:rsidRDefault="00940DD4" w:rsidP="00940DD4">
            <w:pPr>
              <w:ind w:left="113" w:right="113"/>
              <w:rPr>
                <w:rFonts w:cs="Arial"/>
                <w:b/>
                <w:bCs/>
                <w:sz w:val="18"/>
              </w:rPr>
            </w:pPr>
            <w:r w:rsidRPr="0035367C">
              <w:rPr>
                <w:rFonts w:cs="Arial"/>
                <w:b/>
                <w:bCs/>
                <w:sz w:val="18"/>
              </w:rPr>
              <w:t># Eligible</w:t>
            </w:r>
          </w:p>
        </w:tc>
        <w:tc>
          <w:tcPr>
            <w:tcW w:w="0" w:type="auto"/>
            <w:tcBorders>
              <w:right w:val="single" w:sz="4" w:space="0" w:color="A8D08D" w:themeColor="accent6" w:themeTint="99"/>
            </w:tcBorders>
            <w:shd w:val="clear" w:color="auto" w:fill="E2EFD9" w:themeFill="accent6" w:themeFillTint="33"/>
            <w:noWrap/>
            <w:textDirection w:val="btLr"/>
            <w:hideMark/>
          </w:tcPr>
          <w:p w14:paraId="1A36CB5D" w14:textId="77777777" w:rsidR="00940DD4" w:rsidRPr="0035367C" w:rsidRDefault="00940DD4" w:rsidP="00940DD4">
            <w:pPr>
              <w:ind w:left="113" w:right="113"/>
              <w:rPr>
                <w:rFonts w:cs="Arial"/>
                <w:b/>
                <w:bCs/>
                <w:sz w:val="18"/>
              </w:rPr>
            </w:pPr>
          </w:p>
          <w:p w14:paraId="43246E79" w14:textId="77777777" w:rsidR="00940DD4" w:rsidRPr="0035367C" w:rsidRDefault="00940DD4" w:rsidP="00940DD4">
            <w:pPr>
              <w:ind w:left="113" w:right="113"/>
              <w:rPr>
                <w:rFonts w:cs="Arial"/>
                <w:b/>
                <w:bCs/>
                <w:sz w:val="18"/>
              </w:rPr>
            </w:pPr>
            <w:r w:rsidRPr="0035367C">
              <w:rPr>
                <w:rFonts w:cs="Arial"/>
                <w:b/>
                <w:bCs/>
                <w:sz w:val="18"/>
              </w:rPr>
              <w:t>% Eligible</w:t>
            </w:r>
          </w:p>
        </w:tc>
        <w:tc>
          <w:tcPr>
            <w:tcW w:w="0" w:type="auto"/>
            <w:tcBorders>
              <w:left w:val="single" w:sz="4" w:space="0" w:color="A8D08D" w:themeColor="accent6" w:themeTint="99"/>
            </w:tcBorders>
            <w:noWrap/>
            <w:textDirection w:val="btLr"/>
            <w:hideMark/>
          </w:tcPr>
          <w:p w14:paraId="67AF00EE" w14:textId="77777777" w:rsidR="00940DD4" w:rsidRPr="0035367C" w:rsidRDefault="00940DD4" w:rsidP="00940DD4">
            <w:pPr>
              <w:ind w:left="113" w:right="113"/>
              <w:rPr>
                <w:rFonts w:cs="Arial"/>
                <w:b/>
                <w:bCs/>
                <w:sz w:val="18"/>
              </w:rPr>
            </w:pPr>
          </w:p>
          <w:p w14:paraId="3FC396A8" w14:textId="77777777" w:rsidR="00940DD4" w:rsidRPr="0035367C" w:rsidRDefault="00940DD4" w:rsidP="00940DD4">
            <w:pPr>
              <w:ind w:left="113" w:right="113"/>
              <w:rPr>
                <w:rFonts w:cs="Arial"/>
                <w:b/>
                <w:bCs/>
                <w:sz w:val="18"/>
              </w:rPr>
            </w:pPr>
            <w:r w:rsidRPr="0035367C">
              <w:rPr>
                <w:rFonts w:cs="Arial"/>
                <w:b/>
                <w:bCs/>
                <w:sz w:val="18"/>
              </w:rPr>
              <w:t># Applications</w:t>
            </w:r>
          </w:p>
        </w:tc>
        <w:tc>
          <w:tcPr>
            <w:tcW w:w="0" w:type="auto"/>
            <w:noWrap/>
            <w:textDirection w:val="btLr"/>
            <w:hideMark/>
          </w:tcPr>
          <w:p w14:paraId="4D778FF6" w14:textId="77777777" w:rsidR="00940DD4" w:rsidRPr="0035367C" w:rsidRDefault="00940DD4" w:rsidP="00940DD4">
            <w:pPr>
              <w:ind w:left="113" w:right="113"/>
              <w:rPr>
                <w:rFonts w:cs="Arial"/>
                <w:b/>
                <w:bCs/>
                <w:sz w:val="18"/>
              </w:rPr>
            </w:pPr>
          </w:p>
          <w:p w14:paraId="7EDA9D8A" w14:textId="77777777" w:rsidR="00940DD4" w:rsidRPr="0035367C" w:rsidRDefault="00940DD4" w:rsidP="00940DD4">
            <w:pPr>
              <w:ind w:left="113" w:right="113"/>
              <w:rPr>
                <w:rFonts w:cs="Arial"/>
                <w:b/>
                <w:bCs/>
                <w:sz w:val="18"/>
              </w:rPr>
            </w:pPr>
            <w:r w:rsidRPr="0035367C">
              <w:rPr>
                <w:rFonts w:cs="Arial"/>
                <w:b/>
                <w:bCs/>
                <w:sz w:val="18"/>
              </w:rPr>
              <w:t># Eligible</w:t>
            </w:r>
          </w:p>
        </w:tc>
        <w:tc>
          <w:tcPr>
            <w:tcW w:w="0" w:type="auto"/>
            <w:shd w:val="clear" w:color="auto" w:fill="E2EFD9" w:themeFill="accent6" w:themeFillTint="33"/>
            <w:noWrap/>
            <w:textDirection w:val="btLr"/>
            <w:hideMark/>
          </w:tcPr>
          <w:p w14:paraId="23DABAC9" w14:textId="77777777" w:rsidR="00940DD4" w:rsidRPr="0035367C" w:rsidRDefault="00940DD4" w:rsidP="00940DD4">
            <w:pPr>
              <w:ind w:left="113" w:right="113"/>
              <w:rPr>
                <w:rFonts w:cs="Arial"/>
                <w:b/>
                <w:bCs/>
                <w:sz w:val="18"/>
              </w:rPr>
            </w:pPr>
          </w:p>
          <w:p w14:paraId="193C6A0B" w14:textId="77777777" w:rsidR="00940DD4" w:rsidRPr="0035367C" w:rsidRDefault="00940DD4" w:rsidP="00940DD4">
            <w:pPr>
              <w:ind w:left="113" w:right="113"/>
              <w:rPr>
                <w:rFonts w:cs="Arial"/>
                <w:b/>
                <w:bCs/>
                <w:sz w:val="18"/>
              </w:rPr>
            </w:pPr>
            <w:r w:rsidRPr="0035367C">
              <w:rPr>
                <w:rFonts w:cs="Arial"/>
                <w:b/>
                <w:bCs/>
                <w:sz w:val="18"/>
              </w:rPr>
              <w:t>% Eligible</w:t>
            </w:r>
          </w:p>
        </w:tc>
      </w:tr>
      <w:tr w:rsidR="00940DD4" w:rsidRPr="008C383D" w14:paraId="3184E9DE" w14:textId="77777777" w:rsidTr="00013E94">
        <w:tc>
          <w:tcPr>
            <w:tcW w:w="0" w:type="auto"/>
            <w:noWrap/>
            <w:hideMark/>
          </w:tcPr>
          <w:p w14:paraId="128CD380" w14:textId="77777777" w:rsidR="00940DD4" w:rsidRPr="008C383D" w:rsidRDefault="00940DD4" w:rsidP="008C383D">
            <w:pPr>
              <w:spacing w:before="10" w:after="10"/>
              <w:rPr>
                <w:rFonts w:cs="Arial"/>
                <w:sz w:val="18"/>
              </w:rPr>
            </w:pPr>
            <w:r w:rsidRPr="008C383D">
              <w:rPr>
                <w:rFonts w:cs="Arial"/>
                <w:sz w:val="18"/>
              </w:rPr>
              <w:t>Cook Islands</w:t>
            </w:r>
          </w:p>
        </w:tc>
        <w:tc>
          <w:tcPr>
            <w:tcW w:w="0" w:type="auto"/>
            <w:noWrap/>
            <w:hideMark/>
          </w:tcPr>
          <w:p w14:paraId="3F9A9916" w14:textId="77777777" w:rsidR="00940DD4" w:rsidRPr="008C383D" w:rsidRDefault="00940DD4" w:rsidP="00013E94">
            <w:pPr>
              <w:spacing w:before="10" w:after="10"/>
              <w:jc w:val="right"/>
              <w:rPr>
                <w:rFonts w:cs="Arial"/>
                <w:sz w:val="18"/>
              </w:rPr>
            </w:pPr>
            <w:r w:rsidRPr="008C383D">
              <w:rPr>
                <w:rFonts w:cs="Arial"/>
                <w:sz w:val="18"/>
              </w:rPr>
              <w:t>1</w:t>
            </w:r>
          </w:p>
        </w:tc>
        <w:tc>
          <w:tcPr>
            <w:tcW w:w="0" w:type="auto"/>
            <w:noWrap/>
            <w:hideMark/>
          </w:tcPr>
          <w:p w14:paraId="28EFB4B0" w14:textId="77777777" w:rsidR="00940DD4" w:rsidRPr="008C383D" w:rsidRDefault="00940DD4" w:rsidP="00013E94">
            <w:pPr>
              <w:spacing w:before="10" w:after="10"/>
              <w:jc w:val="right"/>
              <w:rPr>
                <w:rFonts w:cs="Arial"/>
                <w:sz w:val="18"/>
              </w:rPr>
            </w:pPr>
            <w:r w:rsidRPr="008C383D">
              <w:rPr>
                <w:rFonts w:cs="Arial"/>
                <w:sz w:val="18"/>
              </w:rPr>
              <w:t>1</w:t>
            </w:r>
          </w:p>
        </w:tc>
        <w:tc>
          <w:tcPr>
            <w:tcW w:w="0" w:type="auto"/>
            <w:tcBorders>
              <w:right w:val="single" w:sz="4" w:space="0" w:color="A8D08D" w:themeColor="accent6" w:themeTint="99"/>
            </w:tcBorders>
            <w:shd w:val="clear" w:color="auto" w:fill="E2EFD9" w:themeFill="accent6" w:themeFillTint="33"/>
            <w:noWrap/>
            <w:hideMark/>
          </w:tcPr>
          <w:p w14:paraId="0EF399A9" w14:textId="396B097F" w:rsidR="00940DD4" w:rsidRPr="008C383D" w:rsidRDefault="00940DD4" w:rsidP="00013E94">
            <w:pPr>
              <w:spacing w:before="10" w:after="10"/>
              <w:jc w:val="right"/>
              <w:rPr>
                <w:rFonts w:cs="Arial"/>
                <w:sz w:val="18"/>
              </w:rPr>
            </w:pPr>
            <w:r w:rsidRPr="008C383D">
              <w:rPr>
                <w:rFonts w:cs="Arial"/>
                <w:sz w:val="18"/>
              </w:rPr>
              <w:t>100</w:t>
            </w:r>
          </w:p>
        </w:tc>
        <w:tc>
          <w:tcPr>
            <w:tcW w:w="0" w:type="auto"/>
            <w:tcBorders>
              <w:left w:val="single" w:sz="4" w:space="0" w:color="A8D08D" w:themeColor="accent6" w:themeTint="99"/>
            </w:tcBorders>
            <w:noWrap/>
            <w:hideMark/>
          </w:tcPr>
          <w:p w14:paraId="325A9414" w14:textId="77777777" w:rsidR="00940DD4" w:rsidRPr="008C383D" w:rsidRDefault="00940DD4" w:rsidP="00013E94">
            <w:pPr>
              <w:spacing w:before="10" w:after="10"/>
              <w:jc w:val="right"/>
              <w:rPr>
                <w:rFonts w:cs="Arial"/>
                <w:sz w:val="18"/>
              </w:rPr>
            </w:pPr>
          </w:p>
        </w:tc>
        <w:tc>
          <w:tcPr>
            <w:tcW w:w="0" w:type="auto"/>
            <w:noWrap/>
            <w:hideMark/>
          </w:tcPr>
          <w:p w14:paraId="57EF9922" w14:textId="77777777" w:rsidR="00940DD4" w:rsidRPr="008C383D" w:rsidRDefault="00940DD4" w:rsidP="00013E94">
            <w:pPr>
              <w:spacing w:before="10" w:after="10"/>
              <w:jc w:val="right"/>
              <w:rPr>
                <w:rFonts w:cs="Arial"/>
                <w:sz w:val="18"/>
              </w:rPr>
            </w:pPr>
          </w:p>
        </w:tc>
        <w:tc>
          <w:tcPr>
            <w:tcW w:w="0" w:type="auto"/>
            <w:shd w:val="clear" w:color="auto" w:fill="E2EFD9" w:themeFill="accent6" w:themeFillTint="33"/>
            <w:noWrap/>
            <w:hideMark/>
          </w:tcPr>
          <w:p w14:paraId="1DD28D56" w14:textId="77777777" w:rsidR="00940DD4" w:rsidRPr="008C383D" w:rsidRDefault="00940DD4" w:rsidP="00013E94">
            <w:pPr>
              <w:spacing w:before="10" w:after="10"/>
              <w:jc w:val="right"/>
              <w:rPr>
                <w:rFonts w:cs="Arial"/>
                <w:sz w:val="18"/>
              </w:rPr>
            </w:pPr>
          </w:p>
        </w:tc>
      </w:tr>
      <w:tr w:rsidR="00940DD4" w:rsidRPr="008C383D" w14:paraId="5771EE96" w14:textId="77777777" w:rsidTr="00013E94">
        <w:tc>
          <w:tcPr>
            <w:tcW w:w="0" w:type="auto"/>
            <w:noWrap/>
            <w:hideMark/>
          </w:tcPr>
          <w:p w14:paraId="530CCA61" w14:textId="77777777" w:rsidR="00940DD4" w:rsidRPr="008C383D" w:rsidRDefault="00940DD4" w:rsidP="008C383D">
            <w:pPr>
              <w:spacing w:before="10" w:after="10"/>
              <w:rPr>
                <w:rFonts w:cs="Arial"/>
                <w:sz w:val="18"/>
              </w:rPr>
            </w:pPr>
            <w:r w:rsidRPr="008C383D">
              <w:rPr>
                <w:rFonts w:cs="Arial"/>
                <w:sz w:val="18"/>
              </w:rPr>
              <w:t xml:space="preserve">FSM </w:t>
            </w:r>
          </w:p>
        </w:tc>
        <w:tc>
          <w:tcPr>
            <w:tcW w:w="0" w:type="auto"/>
            <w:noWrap/>
            <w:hideMark/>
          </w:tcPr>
          <w:p w14:paraId="2CBCD82F" w14:textId="77777777" w:rsidR="00940DD4" w:rsidRPr="008C383D" w:rsidRDefault="00940DD4" w:rsidP="00013E94">
            <w:pPr>
              <w:spacing w:before="10" w:after="10"/>
              <w:jc w:val="right"/>
              <w:rPr>
                <w:rFonts w:cs="Arial"/>
                <w:sz w:val="18"/>
              </w:rPr>
            </w:pPr>
            <w:r w:rsidRPr="008C383D">
              <w:rPr>
                <w:rFonts w:cs="Arial"/>
                <w:sz w:val="18"/>
              </w:rPr>
              <w:t>33</w:t>
            </w:r>
          </w:p>
        </w:tc>
        <w:tc>
          <w:tcPr>
            <w:tcW w:w="0" w:type="auto"/>
            <w:noWrap/>
            <w:hideMark/>
          </w:tcPr>
          <w:p w14:paraId="63BE60F5" w14:textId="77777777" w:rsidR="00940DD4" w:rsidRPr="008C383D" w:rsidRDefault="00940DD4" w:rsidP="00013E94">
            <w:pPr>
              <w:spacing w:before="10" w:after="10"/>
              <w:jc w:val="right"/>
              <w:rPr>
                <w:rFonts w:cs="Arial"/>
                <w:sz w:val="18"/>
              </w:rPr>
            </w:pPr>
            <w:r w:rsidRPr="008C383D">
              <w:rPr>
                <w:rFonts w:cs="Arial"/>
                <w:sz w:val="18"/>
              </w:rPr>
              <w:t>6</w:t>
            </w:r>
          </w:p>
        </w:tc>
        <w:tc>
          <w:tcPr>
            <w:tcW w:w="0" w:type="auto"/>
            <w:tcBorders>
              <w:right w:val="single" w:sz="4" w:space="0" w:color="A8D08D" w:themeColor="accent6" w:themeTint="99"/>
            </w:tcBorders>
            <w:shd w:val="clear" w:color="auto" w:fill="E2EFD9" w:themeFill="accent6" w:themeFillTint="33"/>
            <w:noWrap/>
            <w:hideMark/>
          </w:tcPr>
          <w:p w14:paraId="199A87B3" w14:textId="5A582DB8" w:rsidR="00940DD4" w:rsidRPr="008C383D" w:rsidRDefault="00940DD4" w:rsidP="00013E94">
            <w:pPr>
              <w:spacing w:before="10" w:after="10"/>
              <w:jc w:val="right"/>
              <w:rPr>
                <w:rFonts w:cs="Arial"/>
                <w:sz w:val="18"/>
              </w:rPr>
            </w:pPr>
            <w:r w:rsidRPr="008C383D">
              <w:rPr>
                <w:rFonts w:cs="Arial"/>
                <w:sz w:val="18"/>
              </w:rPr>
              <w:t>18</w:t>
            </w:r>
          </w:p>
        </w:tc>
        <w:tc>
          <w:tcPr>
            <w:tcW w:w="0" w:type="auto"/>
            <w:tcBorders>
              <w:left w:val="single" w:sz="4" w:space="0" w:color="A8D08D" w:themeColor="accent6" w:themeTint="99"/>
            </w:tcBorders>
            <w:noWrap/>
            <w:hideMark/>
          </w:tcPr>
          <w:p w14:paraId="585498B2" w14:textId="77777777" w:rsidR="00940DD4" w:rsidRPr="008C383D" w:rsidRDefault="00940DD4" w:rsidP="00013E94">
            <w:pPr>
              <w:spacing w:before="10" w:after="10"/>
              <w:jc w:val="right"/>
              <w:rPr>
                <w:rFonts w:cs="Arial"/>
                <w:sz w:val="18"/>
              </w:rPr>
            </w:pPr>
            <w:r w:rsidRPr="008C383D">
              <w:rPr>
                <w:rFonts w:cs="Arial"/>
                <w:sz w:val="18"/>
              </w:rPr>
              <w:t>9</w:t>
            </w:r>
          </w:p>
        </w:tc>
        <w:tc>
          <w:tcPr>
            <w:tcW w:w="0" w:type="auto"/>
            <w:noWrap/>
            <w:hideMark/>
          </w:tcPr>
          <w:p w14:paraId="4072C71F" w14:textId="77777777" w:rsidR="00940DD4" w:rsidRPr="008C383D" w:rsidRDefault="00940DD4" w:rsidP="00013E94">
            <w:pPr>
              <w:spacing w:before="10" w:after="10"/>
              <w:jc w:val="right"/>
              <w:rPr>
                <w:rFonts w:cs="Arial"/>
                <w:sz w:val="18"/>
              </w:rPr>
            </w:pPr>
            <w:r w:rsidRPr="008C383D">
              <w:rPr>
                <w:rFonts w:cs="Arial"/>
                <w:sz w:val="18"/>
              </w:rPr>
              <w:t>5</w:t>
            </w:r>
          </w:p>
        </w:tc>
        <w:tc>
          <w:tcPr>
            <w:tcW w:w="0" w:type="auto"/>
            <w:shd w:val="clear" w:color="auto" w:fill="E2EFD9" w:themeFill="accent6" w:themeFillTint="33"/>
            <w:noWrap/>
            <w:hideMark/>
          </w:tcPr>
          <w:p w14:paraId="0E4DBDAA" w14:textId="03F263C8" w:rsidR="00940DD4" w:rsidRPr="008C383D" w:rsidRDefault="00940DD4" w:rsidP="00013E94">
            <w:pPr>
              <w:spacing w:before="10" w:after="10"/>
              <w:jc w:val="right"/>
              <w:rPr>
                <w:rFonts w:cs="Arial"/>
                <w:sz w:val="18"/>
              </w:rPr>
            </w:pPr>
            <w:r w:rsidRPr="008C383D">
              <w:rPr>
                <w:rFonts w:cs="Arial"/>
                <w:sz w:val="18"/>
              </w:rPr>
              <w:t>56</w:t>
            </w:r>
          </w:p>
        </w:tc>
      </w:tr>
      <w:tr w:rsidR="00940DD4" w:rsidRPr="008C383D" w14:paraId="2630DC74" w14:textId="77777777" w:rsidTr="00013E94">
        <w:tc>
          <w:tcPr>
            <w:tcW w:w="0" w:type="auto"/>
            <w:noWrap/>
            <w:hideMark/>
          </w:tcPr>
          <w:p w14:paraId="48DAC370" w14:textId="77777777" w:rsidR="00940DD4" w:rsidRPr="008C383D" w:rsidRDefault="00940DD4" w:rsidP="008C383D">
            <w:pPr>
              <w:spacing w:before="10" w:after="10"/>
              <w:rPr>
                <w:rFonts w:cs="Arial"/>
                <w:sz w:val="18"/>
              </w:rPr>
            </w:pPr>
            <w:r w:rsidRPr="008C383D">
              <w:rPr>
                <w:rFonts w:cs="Arial"/>
                <w:sz w:val="18"/>
              </w:rPr>
              <w:t>Fiji</w:t>
            </w:r>
          </w:p>
        </w:tc>
        <w:tc>
          <w:tcPr>
            <w:tcW w:w="0" w:type="auto"/>
            <w:noWrap/>
            <w:hideMark/>
          </w:tcPr>
          <w:p w14:paraId="0B887C74" w14:textId="77777777" w:rsidR="00940DD4" w:rsidRPr="008C383D" w:rsidRDefault="00940DD4" w:rsidP="00013E94">
            <w:pPr>
              <w:spacing w:before="10" w:after="10"/>
              <w:jc w:val="right"/>
              <w:rPr>
                <w:rFonts w:cs="Arial"/>
                <w:sz w:val="18"/>
              </w:rPr>
            </w:pPr>
            <w:r w:rsidRPr="008C383D">
              <w:rPr>
                <w:rFonts w:cs="Arial"/>
                <w:sz w:val="18"/>
              </w:rPr>
              <w:t>3546</w:t>
            </w:r>
          </w:p>
        </w:tc>
        <w:tc>
          <w:tcPr>
            <w:tcW w:w="0" w:type="auto"/>
            <w:noWrap/>
            <w:hideMark/>
          </w:tcPr>
          <w:p w14:paraId="0E1B1CAD" w14:textId="77777777" w:rsidR="00940DD4" w:rsidRPr="008C383D" w:rsidRDefault="00940DD4" w:rsidP="00013E94">
            <w:pPr>
              <w:spacing w:before="10" w:after="10"/>
              <w:jc w:val="right"/>
              <w:rPr>
                <w:rFonts w:cs="Arial"/>
                <w:sz w:val="18"/>
              </w:rPr>
            </w:pPr>
            <w:r w:rsidRPr="008C383D">
              <w:rPr>
                <w:rFonts w:cs="Arial"/>
                <w:sz w:val="18"/>
              </w:rPr>
              <w:t>2247</w:t>
            </w:r>
          </w:p>
        </w:tc>
        <w:tc>
          <w:tcPr>
            <w:tcW w:w="0" w:type="auto"/>
            <w:tcBorders>
              <w:right w:val="single" w:sz="4" w:space="0" w:color="A8D08D" w:themeColor="accent6" w:themeTint="99"/>
            </w:tcBorders>
            <w:shd w:val="clear" w:color="auto" w:fill="E2EFD9" w:themeFill="accent6" w:themeFillTint="33"/>
            <w:noWrap/>
            <w:hideMark/>
          </w:tcPr>
          <w:p w14:paraId="4127C49B" w14:textId="03DECADB" w:rsidR="00940DD4" w:rsidRPr="008C383D" w:rsidRDefault="00940DD4" w:rsidP="00013E94">
            <w:pPr>
              <w:spacing w:before="10" w:after="10"/>
              <w:jc w:val="right"/>
              <w:rPr>
                <w:rFonts w:cs="Arial"/>
                <w:sz w:val="18"/>
              </w:rPr>
            </w:pPr>
            <w:r w:rsidRPr="008C383D">
              <w:rPr>
                <w:rFonts w:cs="Arial"/>
                <w:sz w:val="18"/>
              </w:rPr>
              <w:t>63</w:t>
            </w:r>
          </w:p>
        </w:tc>
        <w:tc>
          <w:tcPr>
            <w:tcW w:w="0" w:type="auto"/>
            <w:tcBorders>
              <w:left w:val="single" w:sz="4" w:space="0" w:color="A8D08D" w:themeColor="accent6" w:themeTint="99"/>
            </w:tcBorders>
            <w:noWrap/>
            <w:hideMark/>
          </w:tcPr>
          <w:p w14:paraId="2DAE4B25" w14:textId="77777777" w:rsidR="00940DD4" w:rsidRPr="008C383D" w:rsidRDefault="00940DD4" w:rsidP="00013E94">
            <w:pPr>
              <w:spacing w:before="10" w:after="10"/>
              <w:jc w:val="right"/>
              <w:rPr>
                <w:rFonts w:cs="Arial"/>
                <w:sz w:val="18"/>
              </w:rPr>
            </w:pPr>
            <w:r w:rsidRPr="008C383D">
              <w:rPr>
                <w:rFonts w:cs="Arial"/>
                <w:sz w:val="18"/>
              </w:rPr>
              <w:t>2911</w:t>
            </w:r>
          </w:p>
        </w:tc>
        <w:tc>
          <w:tcPr>
            <w:tcW w:w="0" w:type="auto"/>
            <w:noWrap/>
            <w:hideMark/>
          </w:tcPr>
          <w:p w14:paraId="1285A64E" w14:textId="77777777" w:rsidR="00940DD4" w:rsidRPr="008C383D" w:rsidRDefault="00940DD4" w:rsidP="00013E94">
            <w:pPr>
              <w:spacing w:before="10" w:after="10"/>
              <w:jc w:val="right"/>
              <w:rPr>
                <w:rFonts w:cs="Arial"/>
                <w:sz w:val="18"/>
              </w:rPr>
            </w:pPr>
            <w:r w:rsidRPr="008C383D">
              <w:rPr>
                <w:rFonts w:cs="Arial"/>
                <w:sz w:val="18"/>
              </w:rPr>
              <w:t>1795</w:t>
            </w:r>
          </w:p>
        </w:tc>
        <w:tc>
          <w:tcPr>
            <w:tcW w:w="0" w:type="auto"/>
            <w:shd w:val="clear" w:color="auto" w:fill="E2EFD9" w:themeFill="accent6" w:themeFillTint="33"/>
            <w:noWrap/>
            <w:hideMark/>
          </w:tcPr>
          <w:p w14:paraId="2C49CC56" w14:textId="04EAB3EB" w:rsidR="00940DD4" w:rsidRPr="008C383D" w:rsidRDefault="00940DD4" w:rsidP="00013E94">
            <w:pPr>
              <w:spacing w:before="10" w:after="10"/>
              <w:jc w:val="right"/>
              <w:rPr>
                <w:rFonts w:cs="Arial"/>
                <w:sz w:val="18"/>
              </w:rPr>
            </w:pPr>
            <w:r w:rsidRPr="008C383D">
              <w:rPr>
                <w:rFonts w:cs="Arial"/>
                <w:sz w:val="18"/>
              </w:rPr>
              <w:t>62</w:t>
            </w:r>
          </w:p>
        </w:tc>
      </w:tr>
      <w:tr w:rsidR="00940DD4" w:rsidRPr="008C383D" w14:paraId="758E6788" w14:textId="77777777" w:rsidTr="00013E94">
        <w:tc>
          <w:tcPr>
            <w:tcW w:w="0" w:type="auto"/>
            <w:noWrap/>
            <w:hideMark/>
          </w:tcPr>
          <w:p w14:paraId="3B86267B" w14:textId="77777777" w:rsidR="00940DD4" w:rsidRPr="008C383D" w:rsidRDefault="00940DD4" w:rsidP="008C383D">
            <w:pPr>
              <w:spacing w:before="10" w:after="10"/>
              <w:rPr>
                <w:rFonts w:cs="Arial"/>
                <w:sz w:val="18"/>
              </w:rPr>
            </w:pPr>
            <w:r w:rsidRPr="008C383D">
              <w:rPr>
                <w:rFonts w:cs="Arial"/>
                <w:sz w:val="18"/>
              </w:rPr>
              <w:t>Kiribati</w:t>
            </w:r>
          </w:p>
        </w:tc>
        <w:tc>
          <w:tcPr>
            <w:tcW w:w="0" w:type="auto"/>
            <w:noWrap/>
            <w:hideMark/>
          </w:tcPr>
          <w:p w14:paraId="247F1C72" w14:textId="77777777" w:rsidR="00940DD4" w:rsidRPr="008C383D" w:rsidRDefault="00940DD4" w:rsidP="00013E94">
            <w:pPr>
              <w:spacing w:before="10" w:after="10"/>
              <w:jc w:val="right"/>
              <w:rPr>
                <w:rFonts w:cs="Arial"/>
                <w:sz w:val="18"/>
              </w:rPr>
            </w:pPr>
            <w:r w:rsidRPr="008C383D">
              <w:rPr>
                <w:rFonts w:cs="Arial"/>
                <w:sz w:val="18"/>
              </w:rPr>
              <w:t>484</w:t>
            </w:r>
          </w:p>
        </w:tc>
        <w:tc>
          <w:tcPr>
            <w:tcW w:w="0" w:type="auto"/>
            <w:noWrap/>
            <w:hideMark/>
          </w:tcPr>
          <w:p w14:paraId="3B72FA23" w14:textId="77777777" w:rsidR="00940DD4" w:rsidRPr="008C383D" w:rsidRDefault="00940DD4" w:rsidP="00013E94">
            <w:pPr>
              <w:spacing w:before="10" w:after="10"/>
              <w:jc w:val="right"/>
              <w:rPr>
                <w:rFonts w:cs="Arial"/>
                <w:sz w:val="18"/>
              </w:rPr>
            </w:pPr>
            <w:r w:rsidRPr="008C383D">
              <w:rPr>
                <w:rFonts w:cs="Arial"/>
                <w:sz w:val="18"/>
              </w:rPr>
              <w:t>137</w:t>
            </w:r>
          </w:p>
        </w:tc>
        <w:tc>
          <w:tcPr>
            <w:tcW w:w="0" w:type="auto"/>
            <w:tcBorders>
              <w:right w:val="single" w:sz="4" w:space="0" w:color="A8D08D" w:themeColor="accent6" w:themeTint="99"/>
            </w:tcBorders>
            <w:shd w:val="clear" w:color="auto" w:fill="E2EFD9" w:themeFill="accent6" w:themeFillTint="33"/>
            <w:noWrap/>
            <w:hideMark/>
          </w:tcPr>
          <w:p w14:paraId="44F2D772" w14:textId="1518F353" w:rsidR="00940DD4" w:rsidRPr="008C383D" w:rsidRDefault="00940DD4" w:rsidP="00013E94">
            <w:pPr>
              <w:spacing w:before="10" w:after="10"/>
              <w:jc w:val="right"/>
              <w:rPr>
                <w:rFonts w:cs="Arial"/>
                <w:sz w:val="18"/>
              </w:rPr>
            </w:pPr>
            <w:r w:rsidRPr="008C383D">
              <w:rPr>
                <w:rFonts w:cs="Arial"/>
                <w:sz w:val="18"/>
              </w:rPr>
              <w:t>28</w:t>
            </w:r>
          </w:p>
        </w:tc>
        <w:tc>
          <w:tcPr>
            <w:tcW w:w="0" w:type="auto"/>
            <w:tcBorders>
              <w:left w:val="single" w:sz="4" w:space="0" w:color="A8D08D" w:themeColor="accent6" w:themeTint="99"/>
            </w:tcBorders>
            <w:noWrap/>
            <w:hideMark/>
          </w:tcPr>
          <w:p w14:paraId="33401C3D" w14:textId="77777777" w:rsidR="00940DD4" w:rsidRPr="008C383D" w:rsidRDefault="00940DD4" w:rsidP="00013E94">
            <w:pPr>
              <w:spacing w:before="10" w:after="10"/>
              <w:jc w:val="right"/>
              <w:rPr>
                <w:rFonts w:cs="Arial"/>
                <w:sz w:val="18"/>
              </w:rPr>
            </w:pPr>
            <w:r w:rsidRPr="008C383D">
              <w:rPr>
                <w:rFonts w:cs="Arial"/>
                <w:sz w:val="18"/>
              </w:rPr>
              <w:t>581</w:t>
            </w:r>
          </w:p>
        </w:tc>
        <w:tc>
          <w:tcPr>
            <w:tcW w:w="0" w:type="auto"/>
            <w:noWrap/>
            <w:hideMark/>
          </w:tcPr>
          <w:p w14:paraId="3D88123F" w14:textId="77777777" w:rsidR="00940DD4" w:rsidRPr="008C383D" w:rsidRDefault="00940DD4" w:rsidP="00013E94">
            <w:pPr>
              <w:spacing w:before="10" w:after="10"/>
              <w:jc w:val="right"/>
              <w:rPr>
                <w:rFonts w:cs="Arial"/>
                <w:sz w:val="18"/>
              </w:rPr>
            </w:pPr>
            <w:r w:rsidRPr="008C383D">
              <w:rPr>
                <w:rFonts w:cs="Arial"/>
                <w:sz w:val="18"/>
              </w:rPr>
              <w:t>347</w:t>
            </w:r>
          </w:p>
        </w:tc>
        <w:tc>
          <w:tcPr>
            <w:tcW w:w="0" w:type="auto"/>
            <w:shd w:val="clear" w:color="auto" w:fill="E2EFD9" w:themeFill="accent6" w:themeFillTint="33"/>
            <w:noWrap/>
            <w:hideMark/>
          </w:tcPr>
          <w:p w14:paraId="2830DCAB" w14:textId="3B05040E" w:rsidR="00940DD4" w:rsidRPr="008C383D" w:rsidRDefault="00940DD4" w:rsidP="00013E94">
            <w:pPr>
              <w:spacing w:before="10" w:after="10"/>
              <w:jc w:val="right"/>
              <w:rPr>
                <w:rFonts w:cs="Arial"/>
                <w:sz w:val="18"/>
              </w:rPr>
            </w:pPr>
            <w:r w:rsidRPr="008C383D">
              <w:rPr>
                <w:rFonts w:cs="Arial"/>
                <w:sz w:val="18"/>
              </w:rPr>
              <w:t>60</w:t>
            </w:r>
          </w:p>
        </w:tc>
      </w:tr>
      <w:tr w:rsidR="00940DD4" w:rsidRPr="008C383D" w14:paraId="02405108" w14:textId="77777777" w:rsidTr="00013E94">
        <w:tc>
          <w:tcPr>
            <w:tcW w:w="0" w:type="auto"/>
            <w:noWrap/>
            <w:hideMark/>
          </w:tcPr>
          <w:p w14:paraId="7326BD52" w14:textId="77777777" w:rsidR="00940DD4" w:rsidRPr="008C383D" w:rsidRDefault="00940DD4" w:rsidP="008C383D">
            <w:pPr>
              <w:spacing w:before="10" w:after="10"/>
              <w:rPr>
                <w:rFonts w:cs="Arial"/>
                <w:sz w:val="18"/>
              </w:rPr>
            </w:pPr>
            <w:r w:rsidRPr="008C383D">
              <w:rPr>
                <w:rFonts w:cs="Arial"/>
                <w:sz w:val="18"/>
              </w:rPr>
              <w:t>Marshall Islands</w:t>
            </w:r>
          </w:p>
        </w:tc>
        <w:tc>
          <w:tcPr>
            <w:tcW w:w="0" w:type="auto"/>
            <w:noWrap/>
            <w:hideMark/>
          </w:tcPr>
          <w:p w14:paraId="3039E8CD" w14:textId="77777777" w:rsidR="00940DD4" w:rsidRPr="008C383D" w:rsidRDefault="00940DD4" w:rsidP="00013E94">
            <w:pPr>
              <w:spacing w:before="10" w:after="10"/>
              <w:jc w:val="right"/>
              <w:rPr>
                <w:rFonts w:cs="Arial"/>
                <w:sz w:val="18"/>
              </w:rPr>
            </w:pPr>
            <w:r w:rsidRPr="008C383D">
              <w:rPr>
                <w:rFonts w:cs="Arial"/>
                <w:sz w:val="18"/>
              </w:rPr>
              <w:t>53</w:t>
            </w:r>
          </w:p>
        </w:tc>
        <w:tc>
          <w:tcPr>
            <w:tcW w:w="0" w:type="auto"/>
            <w:noWrap/>
            <w:hideMark/>
          </w:tcPr>
          <w:p w14:paraId="38A4DD9C" w14:textId="77777777" w:rsidR="00940DD4" w:rsidRPr="008C383D" w:rsidRDefault="00940DD4" w:rsidP="00013E94">
            <w:pPr>
              <w:spacing w:before="10" w:after="10"/>
              <w:jc w:val="right"/>
              <w:rPr>
                <w:rFonts w:cs="Arial"/>
                <w:sz w:val="18"/>
              </w:rPr>
            </w:pPr>
            <w:r w:rsidRPr="008C383D">
              <w:rPr>
                <w:rFonts w:cs="Arial"/>
                <w:sz w:val="18"/>
              </w:rPr>
              <w:t>29</w:t>
            </w:r>
          </w:p>
        </w:tc>
        <w:tc>
          <w:tcPr>
            <w:tcW w:w="0" w:type="auto"/>
            <w:tcBorders>
              <w:right w:val="single" w:sz="4" w:space="0" w:color="A8D08D" w:themeColor="accent6" w:themeTint="99"/>
            </w:tcBorders>
            <w:shd w:val="clear" w:color="auto" w:fill="E2EFD9" w:themeFill="accent6" w:themeFillTint="33"/>
            <w:noWrap/>
            <w:hideMark/>
          </w:tcPr>
          <w:p w14:paraId="27D67B0C" w14:textId="793B80BB" w:rsidR="00940DD4" w:rsidRPr="008C383D" w:rsidRDefault="00940DD4" w:rsidP="00013E94">
            <w:pPr>
              <w:spacing w:before="10" w:after="10"/>
              <w:jc w:val="right"/>
              <w:rPr>
                <w:rFonts w:cs="Arial"/>
                <w:sz w:val="18"/>
              </w:rPr>
            </w:pPr>
            <w:r w:rsidRPr="008C383D">
              <w:rPr>
                <w:rFonts w:cs="Arial"/>
                <w:sz w:val="18"/>
              </w:rPr>
              <w:t>55</w:t>
            </w:r>
          </w:p>
        </w:tc>
        <w:tc>
          <w:tcPr>
            <w:tcW w:w="0" w:type="auto"/>
            <w:tcBorders>
              <w:left w:val="single" w:sz="4" w:space="0" w:color="A8D08D" w:themeColor="accent6" w:themeTint="99"/>
            </w:tcBorders>
            <w:noWrap/>
            <w:hideMark/>
          </w:tcPr>
          <w:p w14:paraId="6A3B38E0" w14:textId="77777777" w:rsidR="00940DD4" w:rsidRPr="008C383D" w:rsidRDefault="00940DD4" w:rsidP="00013E94">
            <w:pPr>
              <w:spacing w:before="10" w:after="10"/>
              <w:jc w:val="right"/>
              <w:rPr>
                <w:rFonts w:cs="Arial"/>
                <w:sz w:val="18"/>
              </w:rPr>
            </w:pPr>
            <w:r w:rsidRPr="008C383D">
              <w:rPr>
                <w:rFonts w:cs="Arial"/>
                <w:sz w:val="18"/>
              </w:rPr>
              <w:t>36</w:t>
            </w:r>
          </w:p>
        </w:tc>
        <w:tc>
          <w:tcPr>
            <w:tcW w:w="0" w:type="auto"/>
            <w:noWrap/>
            <w:hideMark/>
          </w:tcPr>
          <w:p w14:paraId="7D01C815" w14:textId="77777777" w:rsidR="00940DD4" w:rsidRPr="008C383D" w:rsidRDefault="00940DD4" w:rsidP="00013E94">
            <w:pPr>
              <w:spacing w:before="10" w:after="10"/>
              <w:jc w:val="right"/>
              <w:rPr>
                <w:rFonts w:cs="Arial"/>
                <w:sz w:val="18"/>
              </w:rPr>
            </w:pPr>
            <w:r w:rsidRPr="008C383D">
              <w:rPr>
                <w:rFonts w:cs="Arial"/>
                <w:sz w:val="18"/>
              </w:rPr>
              <w:t>26</w:t>
            </w:r>
          </w:p>
        </w:tc>
        <w:tc>
          <w:tcPr>
            <w:tcW w:w="0" w:type="auto"/>
            <w:shd w:val="clear" w:color="auto" w:fill="E2EFD9" w:themeFill="accent6" w:themeFillTint="33"/>
            <w:noWrap/>
            <w:hideMark/>
          </w:tcPr>
          <w:p w14:paraId="4865BE3F" w14:textId="4A796414" w:rsidR="00940DD4" w:rsidRPr="008C383D" w:rsidRDefault="00940DD4" w:rsidP="00013E94">
            <w:pPr>
              <w:spacing w:before="10" w:after="10"/>
              <w:jc w:val="right"/>
              <w:rPr>
                <w:rFonts w:cs="Arial"/>
                <w:sz w:val="18"/>
              </w:rPr>
            </w:pPr>
            <w:r w:rsidRPr="008C383D">
              <w:rPr>
                <w:rFonts w:cs="Arial"/>
                <w:sz w:val="18"/>
              </w:rPr>
              <w:t>72</w:t>
            </w:r>
          </w:p>
        </w:tc>
      </w:tr>
      <w:tr w:rsidR="00940DD4" w:rsidRPr="008C383D" w14:paraId="6DF2ED46" w14:textId="77777777" w:rsidTr="00013E94">
        <w:tc>
          <w:tcPr>
            <w:tcW w:w="0" w:type="auto"/>
            <w:noWrap/>
            <w:hideMark/>
          </w:tcPr>
          <w:p w14:paraId="787140B9" w14:textId="77777777" w:rsidR="00940DD4" w:rsidRPr="008C383D" w:rsidRDefault="00940DD4" w:rsidP="008C383D">
            <w:pPr>
              <w:spacing w:before="10" w:after="10"/>
              <w:rPr>
                <w:rFonts w:cs="Arial"/>
                <w:sz w:val="18"/>
              </w:rPr>
            </w:pPr>
            <w:r w:rsidRPr="008C383D">
              <w:rPr>
                <w:rFonts w:cs="Arial"/>
                <w:sz w:val="18"/>
              </w:rPr>
              <w:t>Nauru</w:t>
            </w:r>
          </w:p>
        </w:tc>
        <w:tc>
          <w:tcPr>
            <w:tcW w:w="0" w:type="auto"/>
            <w:noWrap/>
            <w:hideMark/>
          </w:tcPr>
          <w:p w14:paraId="2BCCE87B" w14:textId="77777777" w:rsidR="00940DD4" w:rsidRPr="008C383D" w:rsidRDefault="00940DD4" w:rsidP="00013E94">
            <w:pPr>
              <w:spacing w:before="10" w:after="10"/>
              <w:jc w:val="right"/>
              <w:rPr>
                <w:rFonts w:cs="Arial"/>
                <w:sz w:val="18"/>
              </w:rPr>
            </w:pPr>
            <w:r w:rsidRPr="008C383D">
              <w:rPr>
                <w:rFonts w:cs="Arial"/>
                <w:sz w:val="18"/>
              </w:rPr>
              <w:t>162</w:t>
            </w:r>
          </w:p>
        </w:tc>
        <w:tc>
          <w:tcPr>
            <w:tcW w:w="0" w:type="auto"/>
            <w:noWrap/>
            <w:hideMark/>
          </w:tcPr>
          <w:p w14:paraId="6EFF770B" w14:textId="77777777" w:rsidR="00940DD4" w:rsidRPr="008C383D" w:rsidRDefault="00940DD4" w:rsidP="00013E94">
            <w:pPr>
              <w:spacing w:before="10" w:after="10"/>
              <w:jc w:val="right"/>
              <w:rPr>
                <w:rFonts w:cs="Arial"/>
                <w:sz w:val="18"/>
              </w:rPr>
            </w:pPr>
            <w:r w:rsidRPr="008C383D">
              <w:rPr>
                <w:rFonts w:cs="Arial"/>
                <w:sz w:val="18"/>
              </w:rPr>
              <w:t>67</w:t>
            </w:r>
          </w:p>
        </w:tc>
        <w:tc>
          <w:tcPr>
            <w:tcW w:w="0" w:type="auto"/>
            <w:tcBorders>
              <w:right w:val="single" w:sz="4" w:space="0" w:color="A8D08D" w:themeColor="accent6" w:themeTint="99"/>
            </w:tcBorders>
            <w:shd w:val="clear" w:color="auto" w:fill="E2EFD9" w:themeFill="accent6" w:themeFillTint="33"/>
            <w:noWrap/>
            <w:hideMark/>
          </w:tcPr>
          <w:p w14:paraId="5986E252" w14:textId="7AC66E01" w:rsidR="00940DD4" w:rsidRPr="008C383D" w:rsidRDefault="00940DD4" w:rsidP="00013E94">
            <w:pPr>
              <w:spacing w:before="10" w:after="10"/>
              <w:jc w:val="right"/>
              <w:rPr>
                <w:rFonts w:cs="Arial"/>
                <w:sz w:val="18"/>
              </w:rPr>
            </w:pPr>
            <w:r w:rsidRPr="008C383D">
              <w:rPr>
                <w:rFonts w:cs="Arial"/>
                <w:sz w:val="18"/>
              </w:rPr>
              <w:t>41</w:t>
            </w:r>
          </w:p>
        </w:tc>
        <w:tc>
          <w:tcPr>
            <w:tcW w:w="0" w:type="auto"/>
            <w:tcBorders>
              <w:left w:val="single" w:sz="4" w:space="0" w:color="A8D08D" w:themeColor="accent6" w:themeTint="99"/>
            </w:tcBorders>
            <w:noWrap/>
            <w:hideMark/>
          </w:tcPr>
          <w:p w14:paraId="26A55169" w14:textId="77777777" w:rsidR="00940DD4" w:rsidRPr="008C383D" w:rsidRDefault="00940DD4" w:rsidP="00013E94">
            <w:pPr>
              <w:spacing w:before="10" w:after="10"/>
              <w:jc w:val="right"/>
              <w:rPr>
                <w:rFonts w:cs="Arial"/>
                <w:sz w:val="18"/>
              </w:rPr>
            </w:pPr>
            <w:r w:rsidRPr="008C383D">
              <w:rPr>
                <w:rFonts w:cs="Arial"/>
                <w:sz w:val="18"/>
              </w:rPr>
              <w:t>46</w:t>
            </w:r>
          </w:p>
        </w:tc>
        <w:tc>
          <w:tcPr>
            <w:tcW w:w="0" w:type="auto"/>
            <w:noWrap/>
            <w:hideMark/>
          </w:tcPr>
          <w:p w14:paraId="2F30F905" w14:textId="77777777" w:rsidR="00940DD4" w:rsidRPr="008C383D" w:rsidRDefault="00940DD4" w:rsidP="00013E94">
            <w:pPr>
              <w:spacing w:before="10" w:after="10"/>
              <w:jc w:val="right"/>
              <w:rPr>
                <w:rFonts w:cs="Arial"/>
                <w:sz w:val="18"/>
              </w:rPr>
            </w:pPr>
            <w:r w:rsidRPr="008C383D">
              <w:rPr>
                <w:rFonts w:cs="Arial"/>
                <w:sz w:val="18"/>
              </w:rPr>
              <w:t>29</w:t>
            </w:r>
          </w:p>
        </w:tc>
        <w:tc>
          <w:tcPr>
            <w:tcW w:w="0" w:type="auto"/>
            <w:shd w:val="clear" w:color="auto" w:fill="E2EFD9" w:themeFill="accent6" w:themeFillTint="33"/>
            <w:noWrap/>
            <w:hideMark/>
          </w:tcPr>
          <w:p w14:paraId="04CE006C" w14:textId="2E0128AF" w:rsidR="00940DD4" w:rsidRPr="008C383D" w:rsidRDefault="00940DD4" w:rsidP="00013E94">
            <w:pPr>
              <w:spacing w:before="10" w:after="10"/>
              <w:jc w:val="right"/>
              <w:rPr>
                <w:rFonts w:cs="Arial"/>
                <w:sz w:val="18"/>
              </w:rPr>
            </w:pPr>
            <w:r w:rsidRPr="008C383D">
              <w:rPr>
                <w:rFonts w:cs="Arial"/>
                <w:sz w:val="18"/>
              </w:rPr>
              <w:t>63</w:t>
            </w:r>
          </w:p>
        </w:tc>
      </w:tr>
      <w:tr w:rsidR="00940DD4" w:rsidRPr="008C383D" w14:paraId="436EA35D" w14:textId="77777777" w:rsidTr="00013E94">
        <w:tc>
          <w:tcPr>
            <w:tcW w:w="0" w:type="auto"/>
            <w:noWrap/>
            <w:hideMark/>
          </w:tcPr>
          <w:p w14:paraId="1B857F8E" w14:textId="77777777" w:rsidR="00940DD4" w:rsidRPr="008C383D" w:rsidRDefault="00940DD4" w:rsidP="008C383D">
            <w:pPr>
              <w:spacing w:before="10" w:after="10"/>
              <w:rPr>
                <w:rFonts w:cs="Arial"/>
                <w:sz w:val="18"/>
              </w:rPr>
            </w:pPr>
            <w:r w:rsidRPr="008C383D">
              <w:rPr>
                <w:rFonts w:cs="Arial"/>
                <w:sz w:val="18"/>
              </w:rPr>
              <w:t>Niue</w:t>
            </w:r>
          </w:p>
        </w:tc>
        <w:tc>
          <w:tcPr>
            <w:tcW w:w="0" w:type="auto"/>
            <w:noWrap/>
            <w:hideMark/>
          </w:tcPr>
          <w:p w14:paraId="6B7B3E6E" w14:textId="77777777" w:rsidR="00940DD4" w:rsidRPr="008C383D" w:rsidRDefault="00940DD4" w:rsidP="00013E94">
            <w:pPr>
              <w:spacing w:before="10" w:after="10"/>
              <w:jc w:val="right"/>
              <w:rPr>
                <w:rFonts w:cs="Arial"/>
                <w:sz w:val="18"/>
              </w:rPr>
            </w:pPr>
            <w:r w:rsidRPr="008C383D">
              <w:rPr>
                <w:rFonts w:cs="Arial"/>
                <w:sz w:val="18"/>
              </w:rPr>
              <w:t>22</w:t>
            </w:r>
          </w:p>
        </w:tc>
        <w:tc>
          <w:tcPr>
            <w:tcW w:w="0" w:type="auto"/>
            <w:noWrap/>
            <w:hideMark/>
          </w:tcPr>
          <w:p w14:paraId="7216E59D" w14:textId="77777777" w:rsidR="00940DD4" w:rsidRPr="008C383D" w:rsidRDefault="00940DD4" w:rsidP="00013E94">
            <w:pPr>
              <w:spacing w:before="10" w:after="10"/>
              <w:jc w:val="right"/>
              <w:rPr>
                <w:rFonts w:cs="Arial"/>
                <w:sz w:val="18"/>
              </w:rPr>
            </w:pPr>
            <w:r w:rsidRPr="008C383D">
              <w:rPr>
                <w:rFonts w:cs="Arial"/>
                <w:sz w:val="18"/>
              </w:rPr>
              <w:t>14</w:t>
            </w:r>
          </w:p>
        </w:tc>
        <w:tc>
          <w:tcPr>
            <w:tcW w:w="0" w:type="auto"/>
            <w:tcBorders>
              <w:right w:val="single" w:sz="4" w:space="0" w:color="A8D08D" w:themeColor="accent6" w:themeTint="99"/>
            </w:tcBorders>
            <w:shd w:val="clear" w:color="auto" w:fill="E2EFD9" w:themeFill="accent6" w:themeFillTint="33"/>
            <w:noWrap/>
            <w:hideMark/>
          </w:tcPr>
          <w:p w14:paraId="7373A85A" w14:textId="2977281B" w:rsidR="00940DD4" w:rsidRPr="008C383D" w:rsidRDefault="00940DD4" w:rsidP="00013E94">
            <w:pPr>
              <w:spacing w:before="10" w:after="10"/>
              <w:jc w:val="right"/>
              <w:rPr>
                <w:rFonts w:cs="Arial"/>
                <w:sz w:val="18"/>
              </w:rPr>
            </w:pPr>
            <w:r w:rsidRPr="008C383D">
              <w:rPr>
                <w:rFonts w:cs="Arial"/>
                <w:sz w:val="18"/>
              </w:rPr>
              <w:t>64</w:t>
            </w:r>
          </w:p>
        </w:tc>
        <w:tc>
          <w:tcPr>
            <w:tcW w:w="0" w:type="auto"/>
            <w:tcBorders>
              <w:left w:val="single" w:sz="4" w:space="0" w:color="A8D08D" w:themeColor="accent6" w:themeTint="99"/>
            </w:tcBorders>
            <w:noWrap/>
            <w:hideMark/>
          </w:tcPr>
          <w:p w14:paraId="370E6953" w14:textId="77777777" w:rsidR="00940DD4" w:rsidRPr="008C383D" w:rsidRDefault="00940DD4" w:rsidP="00013E94">
            <w:pPr>
              <w:spacing w:before="10" w:after="10"/>
              <w:jc w:val="right"/>
              <w:rPr>
                <w:rFonts w:cs="Arial"/>
                <w:sz w:val="18"/>
              </w:rPr>
            </w:pPr>
            <w:r w:rsidRPr="008C383D">
              <w:rPr>
                <w:rFonts w:cs="Arial"/>
                <w:sz w:val="18"/>
              </w:rPr>
              <w:t>14</w:t>
            </w:r>
          </w:p>
        </w:tc>
        <w:tc>
          <w:tcPr>
            <w:tcW w:w="0" w:type="auto"/>
            <w:noWrap/>
            <w:hideMark/>
          </w:tcPr>
          <w:p w14:paraId="3EEB6CE5" w14:textId="77777777" w:rsidR="00940DD4" w:rsidRPr="008C383D" w:rsidRDefault="00940DD4" w:rsidP="00013E94">
            <w:pPr>
              <w:spacing w:before="10" w:after="10"/>
              <w:jc w:val="right"/>
              <w:rPr>
                <w:rFonts w:cs="Arial"/>
                <w:sz w:val="18"/>
              </w:rPr>
            </w:pPr>
            <w:r w:rsidRPr="008C383D">
              <w:rPr>
                <w:rFonts w:cs="Arial"/>
                <w:sz w:val="18"/>
              </w:rPr>
              <w:t>11</w:t>
            </w:r>
          </w:p>
        </w:tc>
        <w:tc>
          <w:tcPr>
            <w:tcW w:w="0" w:type="auto"/>
            <w:shd w:val="clear" w:color="auto" w:fill="E2EFD9" w:themeFill="accent6" w:themeFillTint="33"/>
            <w:noWrap/>
            <w:hideMark/>
          </w:tcPr>
          <w:p w14:paraId="68BD5B90" w14:textId="7D829E1B" w:rsidR="00940DD4" w:rsidRPr="008C383D" w:rsidRDefault="00940DD4" w:rsidP="00013E94">
            <w:pPr>
              <w:spacing w:before="10" w:after="10"/>
              <w:jc w:val="right"/>
              <w:rPr>
                <w:rFonts w:cs="Arial"/>
                <w:sz w:val="18"/>
              </w:rPr>
            </w:pPr>
            <w:r w:rsidRPr="008C383D">
              <w:rPr>
                <w:rFonts w:cs="Arial"/>
                <w:sz w:val="18"/>
              </w:rPr>
              <w:t>79</w:t>
            </w:r>
          </w:p>
        </w:tc>
      </w:tr>
      <w:tr w:rsidR="00940DD4" w:rsidRPr="008C383D" w14:paraId="54C12ED8" w14:textId="77777777" w:rsidTr="00013E94">
        <w:tc>
          <w:tcPr>
            <w:tcW w:w="0" w:type="auto"/>
            <w:noWrap/>
            <w:hideMark/>
          </w:tcPr>
          <w:p w14:paraId="067E10E3" w14:textId="77777777" w:rsidR="00940DD4" w:rsidRPr="008C383D" w:rsidRDefault="00940DD4" w:rsidP="008C383D">
            <w:pPr>
              <w:spacing w:before="10" w:after="10"/>
              <w:rPr>
                <w:rFonts w:cs="Arial"/>
                <w:sz w:val="18"/>
              </w:rPr>
            </w:pPr>
            <w:r w:rsidRPr="008C383D">
              <w:rPr>
                <w:rFonts w:cs="Arial"/>
                <w:sz w:val="18"/>
              </w:rPr>
              <w:t>Other</w:t>
            </w:r>
          </w:p>
        </w:tc>
        <w:tc>
          <w:tcPr>
            <w:tcW w:w="0" w:type="auto"/>
            <w:noWrap/>
            <w:hideMark/>
          </w:tcPr>
          <w:p w14:paraId="2D5A8FBC" w14:textId="77777777" w:rsidR="00940DD4" w:rsidRPr="008C383D" w:rsidRDefault="00940DD4" w:rsidP="00013E94">
            <w:pPr>
              <w:spacing w:before="10" w:after="10"/>
              <w:jc w:val="right"/>
              <w:rPr>
                <w:rFonts w:cs="Arial"/>
                <w:sz w:val="18"/>
              </w:rPr>
            </w:pPr>
            <w:r w:rsidRPr="008C383D">
              <w:rPr>
                <w:rFonts w:cs="Arial"/>
                <w:sz w:val="18"/>
              </w:rPr>
              <w:t>14</w:t>
            </w:r>
          </w:p>
        </w:tc>
        <w:tc>
          <w:tcPr>
            <w:tcW w:w="0" w:type="auto"/>
            <w:noWrap/>
            <w:hideMark/>
          </w:tcPr>
          <w:p w14:paraId="0648ECC7" w14:textId="77777777" w:rsidR="00940DD4" w:rsidRPr="008C383D" w:rsidRDefault="00940DD4" w:rsidP="00013E94">
            <w:pPr>
              <w:spacing w:before="10" w:after="10"/>
              <w:jc w:val="right"/>
              <w:rPr>
                <w:rFonts w:cs="Arial"/>
                <w:sz w:val="18"/>
              </w:rPr>
            </w:pPr>
            <w:r w:rsidRPr="008C383D">
              <w:rPr>
                <w:rFonts w:cs="Arial"/>
                <w:sz w:val="18"/>
              </w:rPr>
              <w:t>8</w:t>
            </w:r>
          </w:p>
        </w:tc>
        <w:tc>
          <w:tcPr>
            <w:tcW w:w="0" w:type="auto"/>
            <w:tcBorders>
              <w:right w:val="single" w:sz="4" w:space="0" w:color="A8D08D" w:themeColor="accent6" w:themeTint="99"/>
            </w:tcBorders>
            <w:shd w:val="clear" w:color="auto" w:fill="E2EFD9" w:themeFill="accent6" w:themeFillTint="33"/>
            <w:noWrap/>
            <w:hideMark/>
          </w:tcPr>
          <w:p w14:paraId="36B03ABA" w14:textId="5B4A6481" w:rsidR="00940DD4" w:rsidRPr="008C383D" w:rsidRDefault="00940DD4" w:rsidP="00013E94">
            <w:pPr>
              <w:spacing w:before="10" w:after="10"/>
              <w:jc w:val="right"/>
              <w:rPr>
                <w:rFonts w:cs="Arial"/>
                <w:sz w:val="18"/>
              </w:rPr>
            </w:pPr>
            <w:r w:rsidRPr="008C383D">
              <w:rPr>
                <w:rFonts w:cs="Arial"/>
                <w:sz w:val="18"/>
              </w:rPr>
              <w:t>57</w:t>
            </w:r>
          </w:p>
        </w:tc>
        <w:tc>
          <w:tcPr>
            <w:tcW w:w="0" w:type="auto"/>
            <w:tcBorders>
              <w:left w:val="single" w:sz="4" w:space="0" w:color="A8D08D" w:themeColor="accent6" w:themeTint="99"/>
            </w:tcBorders>
            <w:noWrap/>
            <w:hideMark/>
          </w:tcPr>
          <w:p w14:paraId="21C9C066" w14:textId="77777777" w:rsidR="00940DD4" w:rsidRPr="008C383D" w:rsidRDefault="00940DD4" w:rsidP="00013E94">
            <w:pPr>
              <w:spacing w:before="10" w:after="10"/>
              <w:jc w:val="right"/>
              <w:rPr>
                <w:rFonts w:cs="Arial"/>
                <w:sz w:val="18"/>
              </w:rPr>
            </w:pPr>
            <w:r w:rsidRPr="008C383D">
              <w:rPr>
                <w:rFonts w:cs="Arial"/>
                <w:sz w:val="18"/>
              </w:rPr>
              <w:t>54</w:t>
            </w:r>
          </w:p>
        </w:tc>
        <w:tc>
          <w:tcPr>
            <w:tcW w:w="0" w:type="auto"/>
            <w:noWrap/>
            <w:hideMark/>
          </w:tcPr>
          <w:p w14:paraId="53E6BFD4" w14:textId="77777777" w:rsidR="00940DD4" w:rsidRPr="008C383D" w:rsidRDefault="00940DD4" w:rsidP="00013E94">
            <w:pPr>
              <w:spacing w:before="10" w:after="10"/>
              <w:jc w:val="right"/>
              <w:rPr>
                <w:rFonts w:cs="Arial"/>
                <w:sz w:val="18"/>
              </w:rPr>
            </w:pPr>
            <w:r w:rsidRPr="008C383D">
              <w:rPr>
                <w:rFonts w:cs="Arial"/>
                <w:sz w:val="18"/>
              </w:rPr>
              <w:t>47</w:t>
            </w:r>
          </w:p>
        </w:tc>
        <w:tc>
          <w:tcPr>
            <w:tcW w:w="0" w:type="auto"/>
            <w:shd w:val="clear" w:color="auto" w:fill="E2EFD9" w:themeFill="accent6" w:themeFillTint="33"/>
            <w:noWrap/>
            <w:hideMark/>
          </w:tcPr>
          <w:p w14:paraId="5659F963" w14:textId="16F87E87" w:rsidR="00940DD4" w:rsidRPr="008C383D" w:rsidRDefault="00940DD4" w:rsidP="00013E94">
            <w:pPr>
              <w:spacing w:before="10" w:after="10"/>
              <w:jc w:val="right"/>
              <w:rPr>
                <w:rFonts w:cs="Arial"/>
                <w:sz w:val="18"/>
              </w:rPr>
            </w:pPr>
            <w:r w:rsidRPr="008C383D">
              <w:rPr>
                <w:rFonts w:cs="Arial"/>
                <w:sz w:val="18"/>
              </w:rPr>
              <w:t>87</w:t>
            </w:r>
          </w:p>
        </w:tc>
      </w:tr>
      <w:tr w:rsidR="00940DD4" w:rsidRPr="008C383D" w14:paraId="30CF02E4" w14:textId="77777777" w:rsidTr="00013E94">
        <w:tc>
          <w:tcPr>
            <w:tcW w:w="0" w:type="auto"/>
            <w:noWrap/>
            <w:hideMark/>
          </w:tcPr>
          <w:p w14:paraId="122EF32E" w14:textId="77777777" w:rsidR="00940DD4" w:rsidRPr="008C383D" w:rsidRDefault="00940DD4" w:rsidP="008C383D">
            <w:pPr>
              <w:spacing w:before="10" w:after="10"/>
              <w:rPr>
                <w:rFonts w:cs="Arial"/>
                <w:sz w:val="18"/>
              </w:rPr>
            </w:pPr>
            <w:r w:rsidRPr="008C383D">
              <w:rPr>
                <w:rFonts w:cs="Arial"/>
                <w:sz w:val="18"/>
              </w:rPr>
              <w:t>Palau</w:t>
            </w:r>
          </w:p>
        </w:tc>
        <w:tc>
          <w:tcPr>
            <w:tcW w:w="0" w:type="auto"/>
            <w:noWrap/>
            <w:hideMark/>
          </w:tcPr>
          <w:p w14:paraId="2E33F5F7" w14:textId="77777777" w:rsidR="00940DD4" w:rsidRPr="008C383D" w:rsidRDefault="00940DD4" w:rsidP="00013E94">
            <w:pPr>
              <w:spacing w:before="10" w:after="10"/>
              <w:jc w:val="right"/>
              <w:rPr>
                <w:rFonts w:cs="Arial"/>
                <w:sz w:val="18"/>
              </w:rPr>
            </w:pPr>
            <w:r w:rsidRPr="008C383D">
              <w:rPr>
                <w:rFonts w:cs="Arial"/>
                <w:sz w:val="18"/>
              </w:rPr>
              <w:t>13</w:t>
            </w:r>
          </w:p>
        </w:tc>
        <w:tc>
          <w:tcPr>
            <w:tcW w:w="0" w:type="auto"/>
            <w:noWrap/>
            <w:hideMark/>
          </w:tcPr>
          <w:p w14:paraId="1A6FDECC" w14:textId="77777777" w:rsidR="00940DD4" w:rsidRPr="008C383D" w:rsidRDefault="00940DD4" w:rsidP="00013E94">
            <w:pPr>
              <w:spacing w:before="10" w:after="10"/>
              <w:jc w:val="right"/>
              <w:rPr>
                <w:rFonts w:cs="Arial"/>
                <w:sz w:val="18"/>
              </w:rPr>
            </w:pPr>
            <w:r w:rsidRPr="008C383D">
              <w:rPr>
                <w:rFonts w:cs="Arial"/>
                <w:sz w:val="18"/>
              </w:rPr>
              <w:t>10</w:t>
            </w:r>
          </w:p>
        </w:tc>
        <w:tc>
          <w:tcPr>
            <w:tcW w:w="0" w:type="auto"/>
            <w:tcBorders>
              <w:right w:val="single" w:sz="4" w:space="0" w:color="A8D08D" w:themeColor="accent6" w:themeTint="99"/>
            </w:tcBorders>
            <w:shd w:val="clear" w:color="auto" w:fill="E2EFD9" w:themeFill="accent6" w:themeFillTint="33"/>
            <w:noWrap/>
            <w:hideMark/>
          </w:tcPr>
          <w:p w14:paraId="50C2F852" w14:textId="4FFE9AC1" w:rsidR="00940DD4" w:rsidRPr="008C383D" w:rsidRDefault="00940DD4" w:rsidP="00013E94">
            <w:pPr>
              <w:spacing w:before="10" w:after="10"/>
              <w:jc w:val="right"/>
              <w:rPr>
                <w:rFonts w:cs="Arial"/>
                <w:sz w:val="18"/>
              </w:rPr>
            </w:pPr>
            <w:r w:rsidRPr="008C383D">
              <w:rPr>
                <w:rFonts w:cs="Arial"/>
                <w:sz w:val="18"/>
              </w:rPr>
              <w:t>77</w:t>
            </w:r>
          </w:p>
        </w:tc>
        <w:tc>
          <w:tcPr>
            <w:tcW w:w="0" w:type="auto"/>
            <w:tcBorders>
              <w:left w:val="single" w:sz="4" w:space="0" w:color="A8D08D" w:themeColor="accent6" w:themeTint="99"/>
            </w:tcBorders>
            <w:noWrap/>
            <w:hideMark/>
          </w:tcPr>
          <w:p w14:paraId="62BD552D" w14:textId="77777777" w:rsidR="00940DD4" w:rsidRPr="008C383D" w:rsidRDefault="00940DD4" w:rsidP="00013E94">
            <w:pPr>
              <w:spacing w:before="10" w:after="10"/>
              <w:jc w:val="right"/>
              <w:rPr>
                <w:rFonts w:cs="Arial"/>
                <w:sz w:val="18"/>
              </w:rPr>
            </w:pPr>
            <w:r w:rsidRPr="008C383D">
              <w:rPr>
                <w:rFonts w:cs="Arial"/>
                <w:sz w:val="18"/>
              </w:rPr>
              <w:t>23</w:t>
            </w:r>
          </w:p>
        </w:tc>
        <w:tc>
          <w:tcPr>
            <w:tcW w:w="0" w:type="auto"/>
            <w:noWrap/>
            <w:hideMark/>
          </w:tcPr>
          <w:p w14:paraId="14799510" w14:textId="77777777" w:rsidR="00940DD4" w:rsidRPr="008C383D" w:rsidRDefault="00940DD4" w:rsidP="00013E94">
            <w:pPr>
              <w:spacing w:before="10" w:after="10"/>
              <w:jc w:val="right"/>
              <w:rPr>
                <w:rFonts w:cs="Arial"/>
                <w:sz w:val="18"/>
              </w:rPr>
            </w:pPr>
            <w:r w:rsidRPr="008C383D">
              <w:rPr>
                <w:rFonts w:cs="Arial"/>
                <w:sz w:val="18"/>
              </w:rPr>
              <w:t>21</w:t>
            </w:r>
          </w:p>
        </w:tc>
        <w:tc>
          <w:tcPr>
            <w:tcW w:w="0" w:type="auto"/>
            <w:shd w:val="clear" w:color="auto" w:fill="E2EFD9" w:themeFill="accent6" w:themeFillTint="33"/>
            <w:noWrap/>
            <w:hideMark/>
          </w:tcPr>
          <w:p w14:paraId="17584801" w14:textId="561AB950" w:rsidR="00940DD4" w:rsidRPr="008C383D" w:rsidRDefault="00940DD4" w:rsidP="00013E94">
            <w:pPr>
              <w:spacing w:before="10" w:after="10"/>
              <w:jc w:val="right"/>
              <w:rPr>
                <w:rFonts w:cs="Arial"/>
                <w:sz w:val="18"/>
              </w:rPr>
            </w:pPr>
            <w:r w:rsidRPr="008C383D">
              <w:rPr>
                <w:rFonts w:cs="Arial"/>
                <w:sz w:val="18"/>
              </w:rPr>
              <w:t>91</w:t>
            </w:r>
          </w:p>
        </w:tc>
      </w:tr>
      <w:tr w:rsidR="00940DD4" w:rsidRPr="008C383D" w14:paraId="4B9BE5CF" w14:textId="77777777" w:rsidTr="00013E94">
        <w:tc>
          <w:tcPr>
            <w:tcW w:w="0" w:type="auto"/>
            <w:noWrap/>
            <w:hideMark/>
          </w:tcPr>
          <w:p w14:paraId="10AEA4F8" w14:textId="77777777" w:rsidR="00940DD4" w:rsidRPr="008C383D" w:rsidRDefault="00940DD4" w:rsidP="008C383D">
            <w:pPr>
              <w:spacing w:before="10" w:after="10"/>
              <w:rPr>
                <w:rFonts w:cs="Arial"/>
                <w:sz w:val="18"/>
              </w:rPr>
            </w:pPr>
            <w:r w:rsidRPr="008C383D">
              <w:rPr>
                <w:rFonts w:cs="Arial"/>
                <w:sz w:val="18"/>
              </w:rPr>
              <w:t>Papua New Guinea</w:t>
            </w:r>
          </w:p>
        </w:tc>
        <w:tc>
          <w:tcPr>
            <w:tcW w:w="0" w:type="auto"/>
            <w:noWrap/>
            <w:hideMark/>
          </w:tcPr>
          <w:p w14:paraId="16FB8428" w14:textId="77777777" w:rsidR="00940DD4" w:rsidRPr="008C383D" w:rsidRDefault="00940DD4" w:rsidP="00013E94">
            <w:pPr>
              <w:spacing w:before="10" w:after="10"/>
              <w:jc w:val="right"/>
              <w:rPr>
                <w:rFonts w:cs="Arial"/>
                <w:sz w:val="18"/>
              </w:rPr>
            </w:pPr>
            <w:r w:rsidRPr="008C383D">
              <w:rPr>
                <w:rFonts w:cs="Arial"/>
                <w:sz w:val="18"/>
              </w:rPr>
              <w:t>3312</w:t>
            </w:r>
          </w:p>
        </w:tc>
        <w:tc>
          <w:tcPr>
            <w:tcW w:w="0" w:type="auto"/>
            <w:noWrap/>
            <w:hideMark/>
          </w:tcPr>
          <w:p w14:paraId="4A099FA3" w14:textId="77777777" w:rsidR="00940DD4" w:rsidRPr="008C383D" w:rsidRDefault="00940DD4" w:rsidP="00013E94">
            <w:pPr>
              <w:spacing w:before="10" w:after="10"/>
              <w:jc w:val="right"/>
              <w:rPr>
                <w:rFonts w:cs="Arial"/>
                <w:sz w:val="18"/>
              </w:rPr>
            </w:pPr>
            <w:r w:rsidRPr="008C383D">
              <w:rPr>
                <w:rFonts w:cs="Arial"/>
                <w:sz w:val="18"/>
              </w:rPr>
              <w:t>1698</w:t>
            </w:r>
          </w:p>
        </w:tc>
        <w:tc>
          <w:tcPr>
            <w:tcW w:w="0" w:type="auto"/>
            <w:tcBorders>
              <w:right w:val="single" w:sz="4" w:space="0" w:color="A8D08D" w:themeColor="accent6" w:themeTint="99"/>
            </w:tcBorders>
            <w:shd w:val="clear" w:color="auto" w:fill="E2EFD9" w:themeFill="accent6" w:themeFillTint="33"/>
            <w:noWrap/>
            <w:hideMark/>
          </w:tcPr>
          <w:p w14:paraId="6E3E1763" w14:textId="7583BB8C" w:rsidR="00940DD4" w:rsidRPr="008C383D" w:rsidRDefault="00940DD4" w:rsidP="00013E94">
            <w:pPr>
              <w:spacing w:before="10" w:after="10"/>
              <w:jc w:val="right"/>
              <w:rPr>
                <w:rFonts w:cs="Arial"/>
                <w:sz w:val="18"/>
              </w:rPr>
            </w:pPr>
            <w:r w:rsidRPr="008C383D">
              <w:rPr>
                <w:rFonts w:cs="Arial"/>
                <w:sz w:val="18"/>
              </w:rPr>
              <w:t>51</w:t>
            </w:r>
          </w:p>
        </w:tc>
        <w:tc>
          <w:tcPr>
            <w:tcW w:w="0" w:type="auto"/>
            <w:tcBorders>
              <w:left w:val="single" w:sz="4" w:space="0" w:color="A8D08D" w:themeColor="accent6" w:themeTint="99"/>
            </w:tcBorders>
            <w:noWrap/>
            <w:hideMark/>
          </w:tcPr>
          <w:p w14:paraId="5F1435BC" w14:textId="77777777" w:rsidR="00940DD4" w:rsidRPr="008C383D" w:rsidRDefault="00940DD4" w:rsidP="00013E94">
            <w:pPr>
              <w:spacing w:before="10" w:after="10"/>
              <w:jc w:val="right"/>
              <w:rPr>
                <w:rFonts w:cs="Arial"/>
                <w:sz w:val="18"/>
              </w:rPr>
            </w:pPr>
            <w:r w:rsidRPr="008C383D">
              <w:rPr>
                <w:rFonts w:cs="Arial"/>
                <w:sz w:val="18"/>
              </w:rPr>
              <w:t>1462</w:t>
            </w:r>
          </w:p>
        </w:tc>
        <w:tc>
          <w:tcPr>
            <w:tcW w:w="0" w:type="auto"/>
            <w:noWrap/>
            <w:hideMark/>
          </w:tcPr>
          <w:p w14:paraId="255E6868" w14:textId="77777777" w:rsidR="00940DD4" w:rsidRPr="008C383D" w:rsidRDefault="00940DD4" w:rsidP="00013E94">
            <w:pPr>
              <w:spacing w:before="10" w:after="10"/>
              <w:jc w:val="right"/>
              <w:rPr>
                <w:rFonts w:cs="Arial"/>
                <w:sz w:val="18"/>
              </w:rPr>
            </w:pPr>
            <w:r w:rsidRPr="008C383D">
              <w:rPr>
                <w:rFonts w:cs="Arial"/>
                <w:sz w:val="18"/>
              </w:rPr>
              <w:t>1015</w:t>
            </w:r>
          </w:p>
        </w:tc>
        <w:tc>
          <w:tcPr>
            <w:tcW w:w="0" w:type="auto"/>
            <w:shd w:val="clear" w:color="auto" w:fill="E2EFD9" w:themeFill="accent6" w:themeFillTint="33"/>
            <w:noWrap/>
            <w:hideMark/>
          </w:tcPr>
          <w:p w14:paraId="31D821F8" w14:textId="5A441BB6" w:rsidR="00940DD4" w:rsidRPr="008C383D" w:rsidRDefault="00940DD4" w:rsidP="00013E94">
            <w:pPr>
              <w:spacing w:before="10" w:after="10"/>
              <w:jc w:val="right"/>
              <w:rPr>
                <w:rFonts w:cs="Arial"/>
                <w:sz w:val="18"/>
              </w:rPr>
            </w:pPr>
            <w:r w:rsidRPr="008C383D">
              <w:rPr>
                <w:rFonts w:cs="Arial"/>
                <w:sz w:val="18"/>
              </w:rPr>
              <w:t>69</w:t>
            </w:r>
          </w:p>
        </w:tc>
      </w:tr>
      <w:tr w:rsidR="00940DD4" w:rsidRPr="008C383D" w14:paraId="52BA5805" w14:textId="77777777" w:rsidTr="00013E94">
        <w:tc>
          <w:tcPr>
            <w:tcW w:w="0" w:type="auto"/>
            <w:noWrap/>
            <w:hideMark/>
          </w:tcPr>
          <w:p w14:paraId="36CC1150" w14:textId="77777777" w:rsidR="00940DD4" w:rsidRPr="008C383D" w:rsidRDefault="00940DD4" w:rsidP="008C383D">
            <w:pPr>
              <w:spacing w:before="10" w:after="10"/>
              <w:rPr>
                <w:rFonts w:cs="Arial"/>
                <w:sz w:val="18"/>
              </w:rPr>
            </w:pPr>
            <w:r w:rsidRPr="008C383D">
              <w:rPr>
                <w:rFonts w:cs="Arial"/>
                <w:sz w:val="18"/>
              </w:rPr>
              <w:t>Samoa</w:t>
            </w:r>
          </w:p>
        </w:tc>
        <w:tc>
          <w:tcPr>
            <w:tcW w:w="0" w:type="auto"/>
            <w:noWrap/>
            <w:hideMark/>
          </w:tcPr>
          <w:p w14:paraId="4DC0FF1B" w14:textId="77777777" w:rsidR="00940DD4" w:rsidRPr="008C383D" w:rsidRDefault="00940DD4" w:rsidP="00013E94">
            <w:pPr>
              <w:spacing w:before="10" w:after="10"/>
              <w:jc w:val="right"/>
              <w:rPr>
                <w:rFonts w:cs="Arial"/>
                <w:sz w:val="18"/>
              </w:rPr>
            </w:pPr>
            <w:r w:rsidRPr="008C383D">
              <w:rPr>
                <w:rFonts w:cs="Arial"/>
                <w:sz w:val="18"/>
              </w:rPr>
              <w:t>1002</w:t>
            </w:r>
          </w:p>
        </w:tc>
        <w:tc>
          <w:tcPr>
            <w:tcW w:w="0" w:type="auto"/>
            <w:noWrap/>
            <w:hideMark/>
          </w:tcPr>
          <w:p w14:paraId="00078EDF" w14:textId="77777777" w:rsidR="00940DD4" w:rsidRPr="008C383D" w:rsidRDefault="00940DD4" w:rsidP="00013E94">
            <w:pPr>
              <w:spacing w:before="10" w:after="10"/>
              <w:jc w:val="right"/>
              <w:rPr>
                <w:rFonts w:cs="Arial"/>
                <w:sz w:val="18"/>
              </w:rPr>
            </w:pPr>
            <w:r w:rsidRPr="008C383D">
              <w:rPr>
                <w:rFonts w:cs="Arial"/>
                <w:sz w:val="18"/>
              </w:rPr>
              <w:t>698</w:t>
            </w:r>
          </w:p>
        </w:tc>
        <w:tc>
          <w:tcPr>
            <w:tcW w:w="0" w:type="auto"/>
            <w:tcBorders>
              <w:right w:val="single" w:sz="4" w:space="0" w:color="A8D08D" w:themeColor="accent6" w:themeTint="99"/>
            </w:tcBorders>
            <w:shd w:val="clear" w:color="auto" w:fill="E2EFD9" w:themeFill="accent6" w:themeFillTint="33"/>
            <w:noWrap/>
            <w:hideMark/>
          </w:tcPr>
          <w:p w14:paraId="3D00AF3E" w14:textId="59BED71B" w:rsidR="00940DD4" w:rsidRPr="008C383D" w:rsidRDefault="00940DD4" w:rsidP="00013E94">
            <w:pPr>
              <w:spacing w:before="10" w:after="10"/>
              <w:jc w:val="right"/>
              <w:rPr>
                <w:rFonts w:cs="Arial"/>
                <w:sz w:val="18"/>
              </w:rPr>
            </w:pPr>
            <w:r w:rsidRPr="008C383D">
              <w:rPr>
                <w:rFonts w:cs="Arial"/>
                <w:sz w:val="18"/>
              </w:rPr>
              <w:t>70</w:t>
            </w:r>
          </w:p>
        </w:tc>
        <w:tc>
          <w:tcPr>
            <w:tcW w:w="0" w:type="auto"/>
            <w:tcBorders>
              <w:left w:val="single" w:sz="4" w:space="0" w:color="A8D08D" w:themeColor="accent6" w:themeTint="99"/>
            </w:tcBorders>
            <w:noWrap/>
            <w:hideMark/>
          </w:tcPr>
          <w:p w14:paraId="5E4FBA22" w14:textId="77777777" w:rsidR="00940DD4" w:rsidRPr="008C383D" w:rsidRDefault="00940DD4" w:rsidP="00013E94">
            <w:pPr>
              <w:spacing w:before="10" w:after="10"/>
              <w:jc w:val="right"/>
              <w:rPr>
                <w:rFonts w:cs="Arial"/>
                <w:sz w:val="18"/>
              </w:rPr>
            </w:pPr>
            <w:r w:rsidRPr="008C383D">
              <w:rPr>
                <w:rFonts w:cs="Arial"/>
                <w:sz w:val="18"/>
              </w:rPr>
              <w:t>840</w:t>
            </w:r>
          </w:p>
        </w:tc>
        <w:tc>
          <w:tcPr>
            <w:tcW w:w="0" w:type="auto"/>
            <w:noWrap/>
            <w:hideMark/>
          </w:tcPr>
          <w:p w14:paraId="33A4A54F" w14:textId="77777777" w:rsidR="00940DD4" w:rsidRPr="008C383D" w:rsidRDefault="00940DD4" w:rsidP="00013E94">
            <w:pPr>
              <w:spacing w:before="10" w:after="10"/>
              <w:jc w:val="right"/>
              <w:rPr>
                <w:rFonts w:cs="Arial"/>
                <w:sz w:val="18"/>
              </w:rPr>
            </w:pPr>
            <w:r w:rsidRPr="008C383D">
              <w:rPr>
                <w:rFonts w:cs="Arial"/>
                <w:sz w:val="18"/>
              </w:rPr>
              <w:t>683</w:t>
            </w:r>
          </w:p>
        </w:tc>
        <w:tc>
          <w:tcPr>
            <w:tcW w:w="0" w:type="auto"/>
            <w:shd w:val="clear" w:color="auto" w:fill="E2EFD9" w:themeFill="accent6" w:themeFillTint="33"/>
            <w:noWrap/>
            <w:hideMark/>
          </w:tcPr>
          <w:p w14:paraId="4E66A44F" w14:textId="01E7F34E" w:rsidR="00940DD4" w:rsidRPr="008C383D" w:rsidRDefault="00940DD4" w:rsidP="00013E94">
            <w:pPr>
              <w:spacing w:before="10" w:after="10"/>
              <w:jc w:val="right"/>
              <w:rPr>
                <w:rFonts w:cs="Arial"/>
                <w:sz w:val="18"/>
              </w:rPr>
            </w:pPr>
            <w:r w:rsidRPr="008C383D">
              <w:rPr>
                <w:rFonts w:cs="Arial"/>
                <w:sz w:val="18"/>
              </w:rPr>
              <w:t>81</w:t>
            </w:r>
          </w:p>
        </w:tc>
      </w:tr>
      <w:tr w:rsidR="00940DD4" w:rsidRPr="008C383D" w14:paraId="6757B2A6" w14:textId="77777777" w:rsidTr="00013E94">
        <w:tc>
          <w:tcPr>
            <w:tcW w:w="0" w:type="auto"/>
            <w:noWrap/>
            <w:hideMark/>
          </w:tcPr>
          <w:p w14:paraId="51CF922E" w14:textId="77777777" w:rsidR="00940DD4" w:rsidRPr="008C383D" w:rsidRDefault="00940DD4" w:rsidP="008C383D">
            <w:pPr>
              <w:spacing w:before="10" w:after="10"/>
              <w:rPr>
                <w:rFonts w:cs="Arial"/>
                <w:sz w:val="18"/>
              </w:rPr>
            </w:pPr>
            <w:r w:rsidRPr="008C383D">
              <w:rPr>
                <w:rFonts w:cs="Arial"/>
                <w:sz w:val="18"/>
              </w:rPr>
              <w:t>Solomon Islands</w:t>
            </w:r>
          </w:p>
        </w:tc>
        <w:tc>
          <w:tcPr>
            <w:tcW w:w="0" w:type="auto"/>
            <w:noWrap/>
            <w:hideMark/>
          </w:tcPr>
          <w:p w14:paraId="2327CACD" w14:textId="77777777" w:rsidR="00940DD4" w:rsidRPr="008C383D" w:rsidRDefault="00940DD4" w:rsidP="00013E94">
            <w:pPr>
              <w:spacing w:before="10" w:after="10"/>
              <w:jc w:val="right"/>
              <w:rPr>
                <w:rFonts w:cs="Arial"/>
                <w:sz w:val="18"/>
              </w:rPr>
            </w:pPr>
            <w:r w:rsidRPr="008C383D">
              <w:rPr>
                <w:rFonts w:cs="Arial"/>
                <w:sz w:val="18"/>
              </w:rPr>
              <w:t>1630</w:t>
            </w:r>
          </w:p>
        </w:tc>
        <w:tc>
          <w:tcPr>
            <w:tcW w:w="0" w:type="auto"/>
            <w:noWrap/>
            <w:hideMark/>
          </w:tcPr>
          <w:p w14:paraId="489BD704" w14:textId="77777777" w:rsidR="00940DD4" w:rsidRPr="008C383D" w:rsidRDefault="00940DD4" w:rsidP="00013E94">
            <w:pPr>
              <w:spacing w:before="10" w:after="10"/>
              <w:jc w:val="right"/>
              <w:rPr>
                <w:rFonts w:cs="Arial"/>
                <w:sz w:val="18"/>
              </w:rPr>
            </w:pPr>
            <w:r w:rsidRPr="008C383D">
              <w:rPr>
                <w:rFonts w:cs="Arial"/>
                <w:sz w:val="18"/>
              </w:rPr>
              <w:t>666</w:t>
            </w:r>
          </w:p>
        </w:tc>
        <w:tc>
          <w:tcPr>
            <w:tcW w:w="0" w:type="auto"/>
            <w:tcBorders>
              <w:right w:val="single" w:sz="4" w:space="0" w:color="A8D08D" w:themeColor="accent6" w:themeTint="99"/>
            </w:tcBorders>
            <w:shd w:val="clear" w:color="auto" w:fill="E2EFD9" w:themeFill="accent6" w:themeFillTint="33"/>
            <w:noWrap/>
            <w:hideMark/>
          </w:tcPr>
          <w:p w14:paraId="1D94854E" w14:textId="094EFA5B" w:rsidR="00940DD4" w:rsidRPr="008C383D" w:rsidRDefault="00940DD4" w:rsidP="00013E94">
            <w:pPr>
              <w:spacing w:before="10" w:after="10"/>
              <w:jc w:val="right"/>
              <w:rPr>
                <w:rFonts w:cs="Arial"/>
                <w:sz w:val="18"/>
              </w:rPr>
            </w:pPr>
            <w:r w:rsidRPr="008C383D">
              <w:rPr>
                <w:rFonts w:cs="Arial"/>
                <w:sz w:val="18"/>
              </w:rPr>
              <w:t>41</w:t>
            </w:r>
          </w:p>
        </w:tc>
        <w:tc>
          <w:tcPr>
            <w:tcW w:w="0" w:type="auto"/>
            <w:tcBorders>
              <w:left w:val="single" w:sz="4" w:space="0" w:color="A8D08D" w:themeColor="accent6" w:themeTint="99"/>
            </w:tcBorders>
            <w:noWrap/>
            <w:hideMark/>
          </w:tcPr>
          <w:p w14:paraId="65CAB46F" w14:textId="77777777" w:rsidR="00940DD4" w:rsidRPr="008C383D" w:rsidRDefault="00940DD4" w:rsidP="00013E94">
            <w:pPr>
              <w:spacing w:before="10" w:after="10"/>
              <w:jc w:val="right"/>
              <w:rPr>
                <w:rFonts w:cs="Arial"/>
                <w:sz w:val="18"/>
              </w:rPr>
            </w:pPr>
            <w:r w:rsidRPr="008C383D">
              <w:rPr>
                <w:rFonts w:cs="Arial"/>
                <w:sz w:val="18"/>
              </w:rPr>
              <w:t>1194</w:t>
            </w:r>
          </w:p>
        </w:tc>
        <w:tc>
          <w:tcPr>
            <w:tcW w:w="0" w:type="auto"/>
            <w:noWrap/>
            <w:hideMark/>
          </w:tcPr>
          <w:p w14:paraId="2C7901E2" w14:textId="77777777" w:rsidR="00940DD4" w:rsidRPr="008C383D" w:rsidRDefault="00940DD4" w:rsidP="00013E94">
            <w:pPr>
              <w:spacing w:before="10" w:after="10"/>
              <w:jc w:val="right"/>
              <w:rPr>
                <w:rFonts w:cs="Arial"/>
                <w:sz w:val="18"/>
              </w:rPr>
            </w:pPr>
            <w:r w:rsidRPr="008C383D">
              <w:rPr>
                <w:rFonts w:cs="Arial"/>
                <w:sz w:val="18"/>
              </w:rPr>
              <w:t>745</w:t>
            </w:r>
          </w:p>
        </w:tc>
        <w:tc>
          <w:tcPr>
            <w:tcW w:w="0" w:type="auto"/>
            <w:shd w:val="clear" w:color="auto" w:fill="E2EFD9" w:themeFill="accent6" w:themeFillTint="33"/>
            <w:noWrap/>
            <w:hideMark/>
          </w:tcPr>
          <w:p w14:paraId="394A02BC" w14:textId="3A6DB72D" w:rsidR="00940DD4" w:rsidRPr="008C383D" w:rsidRDefault="00940DD4" w:rsidP="00013E94">
            <w:pPr>
              <w:spacing w:before="10" w:after="10"/>
              <w:jc w:val="right"/>
              <w:rPr>
                <w:rFonts w:cs="Arial"/>
                <w:sz w:val="18"/>
              </w:rPr>
            </w:pPr>
            <w:r w:rsidRPr="008C383D">
              <w:rPr>
                <w:rFonts w:cs="Arial"/>
                <w:sz w:val="18"/>
              </w:rPr>
              <w:t>62</w:t>
            </w:r>
          </w:p>
        </w:tc>
      </w:tr>
      <w:tr w:rsidR="00940DD4" w:rsidRPr="008C383D" w14:paraId="61A4071F" w14:textId="77777777" w:rsidTr="00013E94">
        <w:tc>
          <w:tcPr>
            <w:tcW w:w="0" w:type="auto"/>
            <w:noWrap/>
            <w:hideMark/>
          </w:tcPr>
          <w:p w14:paraId="2A6D67AB" w14:textId="77777777" w:rsidR="00940DD4" w:rsidRPr="008C383D" w:rsidRDefault="00940DD4" w:rsidP="008C383D">
            <w:pPr>
              <w:spacing w:before="10" w:after="10"/>
              <w:rPr>
                <w:rFonts w:cs="Arial"/>
                <w:sz w:val="18"/>
              </w:rPr>
            </w:pPr>
            <w:r w:rsidRPr="008C383D">
              <w:rPr>
                <w:rFonts w:cs="Arial"/>
                <w:sz w:val="18"/>
              </w:rPr>
              <w:t>Tonga</w:t>
            </w:r>
          </w:p>
        </w:tc>
        <w:tc>
          <w:tcPr>
            <w:tcW w:w="0" w:type="auto"/>
            <w:noWrap/>
            <w:hideMark/>
          </w:tcPr>
          <w:p w14:paraId="422ECB09" w14:textId="77777777" w:rsidR="00940DD4" w:rsidRPr="008C383D" w:rsidRDefault="00940DD4" w:rsidP="00013E94">
            <w:pPr>
              <w:spacing w:before="10" w:after="10"/>
              <w:jc w:val="right"/>
              <w:rPr>
                <w:rFonts w:cs="Arial"/>
                <w:sz w:val="18"/>
              </w:rPr>
            </w:pPr>
            <w:r w:rsidRPr="008C383D">
              <w:rPr>
                <w:rFonts w:cs="Arial"/>
                <w:sz w:val="18"/>
              </w:rPr>
              <w:t>530</w:t>
            </w:r>
          </w:p>
        </w:tc>
        <w:tc>
          <w:tcPr>
            <w:tcW w:w="0" w:type="auto"/>
            <w:noWrap/>
            <w:hideMark/>
          </w:tcPr>
          <w:p w14:paraId="182FEFCA" w14:textId="77777777" w:rsidR="00940DD4" w:rsidRPr="008C383D" w:rsidRDefault="00940DD4" w:rsidP="00013E94">
            <w:pPr>
              <w:spacing w:before="10" w:after="10"/>
              <w:jc w:val="right"/>
              <w:rPr>
                <w:rFonts w:cs="Arial"/>
                <w:sz w:val="18"/>
              </w:rPr>
            </w:pPr>
            <w:r w:rsidRPr="008C383D">
              <w:rPr>
                <w:rFonts w:cs="Arial"/>
                <w:sz w:val="18"/>
              </w:rPr>
              <w:t>325</w:t>
            </w:r>
          </w:p>
        </w:tc>
        <w:tc>
          <w:tcPr>
            <w:tcW w:w="0" w:type="auto"/>
            <w:tcBorders>
              <w:right w:val="single" w:sz="4" w:space="0" w:color="A8D08D" w:themeColor="accent6" w:themeTint="99"/>
            </w:tcBorders>
            <w:shd w:val="clear" w:color="auto" w:fill="E2EFD9" w:themeFill="accent6" w:themeFillTint="33"/>
            <w:noWrap/>
            <w:hideMark/>
          </w:tcPr>
          <w:p w14:paraId="020ED1DB" w14:textId="35E73CD7" w:rsidR="00940DD4" w:rsidRPr="008C383D" w:rsidRDefault="00940DD4" w:rsidP="00013E94">
            <w:pPr>
              <w:spacing w:before="10" w:after="10"/>
              <w:jc w:val="right"/>
              <w:rPr>
                <w:rFonts w:cs="Arial"/>
                <w:sz w:val="18"/>
              </w:rPr>
            </w:pPr>
            <w:r w:rsidRPr="008C383D">
              <w:rPr>
                <w:rFonts w:cs="Arial"/>
                <w:sz w:val="18"/>
              </w:rPr>
              <w:t>61</w:t>
            </w:r>
          </w:p>
        </w:tc>
        <w:tc>
          <w:tcPr>
            <w:tcW w:w="0" w:type="auto"/>
            <w:tcBorders>
              <w:left w:val="single" w:sz="4" w:space="0" w:color="A8D08D" w:themeColor="accent6" w:themeTint="99"/>
            </w:tcBorders>
            <w:noWrap/>
            <w:hideMark/>
          </w:tcPr>
          <w:p w14:paraId="0D957E40" w14:textId="77777777" w:rsidR="00940DD4" w:rsidRPr="008C383D" w:rsidRDefault="00940DD4" w:rsidP="00013E94">
            <w:pPr>
              <w:spacing w:before="10" w:after="10"/>
              <w:jc w:val="right"/>
              <w:rPr>
                <w:rFonts w:cs="Arial"/>
                <w:sz w:val="18"/>
              </w:rPr>
            </w:pPr>
            <w:r w:rsidRPr="008C383D">
              <w:rPr>
                <w:rFonts w:cs="Arial"/>
                <w:sz w:val="18"/>
              </w:rPr>
              <w:t>221</w:t>
            </w:r>
          </w:p>
        </w:tc>
        <w:tc>
          <w:tcPr>
            <w:tcW w:w="0" w:type="auto"/>
            <w:noWrap/>
            <w:hideMark/>
          </w:tcPr>
          <w:p w14:paraId="3B191FDD" w14:textId="77777777" w:rsidR="00940DD4" w:rsidRPr="008C383D" w:rsidRDefault="00940DD4" w:rsidP="00013E94">
            <w:pPr>
              <w:spacing w:before="10" w:after="10"/>
              <w:jc w:val="right"/>
              <w:rPr>
                <w:rFonts w:cs="Arial"/>
                <w:sz w:val="18"/>
              </w:rPr>
            </w:pPr>
            <w:r w:rsidRPr="008C383D">
              <w:rPr>
                <w:rFonts w:cs="Arial"/>
                <w:sz w:val="18"/>
              </w:rPr>
              <w:t>153</w:t>
            </w:r>
          </w:p>
        </w:tc>
        <w:tc>
          <w:tcPr>
            <w:tcW w:w="0" w:type="auto"/>
            <w:shd w:val="clear" w:color="auto" w:fill="E2EFD9" w:themeFill="accent6" w:themeFillTint="33"/>
            <w:noWrap/>
            <w:hideMark/>
          </w:tcPr>
          <w:p w14:paraId="4DE83E1F" w14:textId="1E1909E6" w:rsidR="00940DD4" w:rsidRPr="008C383D" w:rsidRDefault="00940DD4" w:rsidP="00013E94">
            <w:pPr>
              <w:spacing w:before="10" w:after="10"/>
              <w:jc w:val="right"/>
              <w:rPr>
                <w:rFonts w:cs="Arial"/>
                <w:sz w:val="18"/>
              </w:rPr>
            </w:pPr>
            <w:r w:rsidRPr="008C383D">
              <w:rPr>
                <w:rFonts w:cs="Arial"/>
                <w:sz w:val="18"/>
              </w:rPr>
              <w:t>69</w:t>
            </w:r>
          </w:p>
        </w:tc>
      </w:tr>
      <w:tr w:rsidR="00940DD4" w:rsidRPr="008C383D" w14:paraId="38562651" w14:textId="77777777" w:rsidTr="00013E94">
        <w:tc>
          <w:tcPr>
            <w:tcW w:w="0" w:type="auto"/>
            <w:noWrap/>
            <w:hideMark/>
          </w:tcPr>
          <w:p w14:paraId="6CB2249F" w14:textId="77777777" w:rsidR="00940DD4" w:rsidRPr="008C383D" w:rsidRDefault="00940DD4" w:rsidP="008C383D">
            <w:pPr>
              <w:spacing w:before="10" w:after="10"/>
              <w:rPr>
                <w:rFonts w:cs="Arial"/>
                <w:sz w:val="18"/>
              </w:rPr>
            </w:pPr>
            <w:r w:rsidRPr="008C383D">
              <w:rPr>
                <w:rFonts w:cs="Arial"/>
                <w:sz w:val="18"/>
              </w:rPr>
              <w:t>Tuvalu</w:t>
            </w:r>
          </w:p>
        </w:tc>
        <w:tc>
          <w:tcPr>
            <w:tcW w:w="0" w:type="auto"/>
            <w:noWrap/>
            <w:hideMark/>
          </w:tcPr>
          <w:p w14:paraId="0933EB57" w14:textId="77777777" w:rsidR="00940DD4" w:rsidRPr="008C383D" w:rsidRDefault="00940DD4" w:rsidP="00013E94">
            <w:pPr>
              <w:spacing w:before="10" w:after="10"/>
              <w:jc w:val="right"/>
              <w:rPr>
                <w:rFonts w:cs="Arial"/>
                <w:sz w:val="18"/>
              </w:rPr>
            </w:pPr>
            <w:r w:rsidRPr="008C383D">
              <w:rPr>
                <w:rFonts w:cs="Arial"/>
                <w:sz w:val="18"/>
              </w:rPr>
              <w:t>118</w:t>
            </w:r>
          </w:p>
        </w:tc>
        <w:tc>
          <w:tcPr>
            <w:tcW w:w="0" w:type="auto"/>
            <w:noWrap/>
            <w:hideMark/>
          </w:tcPr>
          <w:p w14:paraId="27D81A96" w14:textId="77777777" w:rsidR="00940DD4" w:rsidRPr="008C383D" w:rsidRDefault="00940DD4" w:rsidP="00013E94">
            <w:pPr>
              <w:spacing w:before="10" w:after="10"/>
              <w:jc w:val="right"/>
              <w:rPr>
                <w:rFonts w:cs="Arial"/>
                <w:sz w:val="18"/>
              </w:rPr>
            </w:pPr>
            <w:r w:rsidRPr="008C383D">
              <w:rPr>
                <w:rFonts w:cs="Arial"/>
                <w:sz w:val="18"/>
              </w:rPr>
              <w:t>67</w:t>
            </w:r>
          </w:p>
        </w:tc>
        <w:tc>
          <w:tcPr>
            <w:tcW w:w="0" w:type="auto"/>
            <w:tcBorders>
              <w:right w:val="single" w:sz="4" w:space="0" w:color="A8D08D" w:themeColor="accent6" w:themeTint="99"/>
            </w:tcBorders>
            <w:shd w:val="clear" w:color="auto" w:fill="E2EFD9" w:themeFill="accent6" w:themeFillTint="33"/>
            <w:noWrap/>
            <w:hideMark/>
          </w:tcPr>
          <w:p w14:paraId="2880A5E4" w14:textId="0315DE66" w:rsidR="00940DD4" w:rsidRPr="008C383D" w:rsidRDefault="00940DD4" w:rsidP="00013E94">
            <w:pPr>
              <w:spacing w:before="10" w:after="10"/>
              <w:jc w:val="right"/>
              <w:rPr>
                <w:rFonts w:cs="Arial"/>
                <w:sz w:val="18"/>
              </w:rPr>
            </w:pPr>
            <w:r w:rsidRPr="008C383D">
              <w:rPr>
                <w:rFonts w:cs="Arial"/>
                <w:sz w:val="18"/>
              </w:rPr>
              <w:t>57</w:t>
            </w:r>
          </w:p>
        </w:tc>
        <w:tc>
          <w:tcPr>
            <w:tcW w:w="0" w:type="auto"/>
            <w:tcBorders>
              <w:left w:val="single" w:sz="4" w:space="0" w:color="A8D08D" w:themeColor="accent6" w:themeTint="99"/>
            </w:tcBorders>
            <w:noWrap/>
            <w:hideMark/>
          </w:tcPr>
          <w:p w14:paraId="6A68D48C" w14:textId="77777777" w:rsidR="00940DD4" w:rsidRPr="008C383D" w:rsidRDefault="00940DD4" w:rsidP="00013E94">
            <w:pPr>
              <w:spacing w:before="10" w:after="10"/>
              <w:jc w:val="right"/>
              <w:rPr>
                <w:rFonts w:cs="Arial"/>
                <w:sz w:val="18"/>
              </w:rPr>
            </w:pPr>
            <w:r w:rsidRPr="008C383D">
              <w:rPr>
                <w:rFonts w:cs="Arial"/>
                <w:sz w:val="18"/>
              </w:rPr>
              <w:t>127</w:t>
            </w:r>
          </w:p>
        </w:tc>
        <w:tc>
          <w:tcPr>
            <w:tcW w:w="0" w:type="auto"/>
            <w:noWrap/>
            <w:hideMark/>
          </w:tcPr>
          <w:p w14:paraId="52AEEBF4" w14:textId="77777777" w:rsidR="00940DD4" w:rsidRPr="008C383D" w:rsidRDefault="00940DD4" w:rsidP="00013E94">
            <w:pPr>
              <w:spacing w:before="10" w:after="10"/>
              <w:jc w:val="right"/>
              <w:rPr>
                <w:rFonts w:cs="Arial"/>
                <w:sz w:val="18"/>
              </w:rPr>
            </w:pPr>
            <w:r w:rsidRPr="008C383D">
              <w:rPr>
                <w:rFonts w:cs="Arial"/>
                <w:sz w:val="18"/>
              </w:rPr>
              <w:t>70</w:t>
            </w:r>
          </w:p>
        </w:tc>
        <w:tc>
          <w:tcPr>
            <w:tcW w:w="0" w:type="auto"/>
            <w:shd w:val="clear" w:color="auto" w:fill="E2EFD9" w:themeFill="accent6" w:themeFillTint="33"/>
            <w:noWrap/>
            <w:hideMark/>
          </w:tcPr>
          <w:p w14:paraId="1B9EDB77" w14:textId="419D9126" w:rsidR="00940DD4" w:rsidRPr="008C383D" w:rsidRDefault="00940DD4" w:rsidP="00013E94">
            <w:pPr>
              <w:spacing w:before="10" w:after="10"/>
              <w:jc w:val="right"/>
              <w:rPr>
                <w:rFonts w:cs="Arial"/>
                <w:sz w:val="18"/>
              </w:rPr>
            </w:pPr>
            <w:r w:rsidRPr="008C383D">
              <w:rPr>
                <w:rFonts w:cs="Arial"/>
                <w:sz w:val="18"/>
              </w:rPr>
              <w:t>55</w:t>
            </w:r>
          </w:p>
        </w:tc>
      </w:tr>
      <w:tr w:rsidR="00940DD4" w:rsidRPr="008C383D" w14:paraId="37E06FE9" w14:textId="77777777" w:rsidTr="00013E94">
        <w:tc>
          <w:tcPr>
            <w:tcW w:w="0" w:type="auto"/>
            <w:noWrap/>
            <w:hideMark/>
          </w:tcPr>
          <w:p w14:paraId="5C08D335" w14:textId="77777777" w:rsidR="00940DD4" w:rsidRPr="008C383D" w:rsidRDefault="00940DD4" w:rsidP="008C383D">
            <w:pPr>
              <w:spacing w:before="10" w:after="10"/>
              <w:rPr>
                <w:rFonts w:cs="Arial"/>
                <w:sz w:val="18"/>
              </w:rPr>
            </w:pPr>
            <w:r w:rsidRPr="008C383D">
              <w:rPr>
                <w:rFonts w:cs="Arial"/>
                <w:sz w:val="18"/>
              </w:rPr>
              <w:t>Vanuatu</w:t>
            </w:r>
          </w:p>
        </w:tc>
        <w:tc>
          <w:tcPr>
            <w:tcW w:w="0" w:type="auto"/>
            <w:noWrap/>
            <w:hideMark/>
          </w:tcPr>
          <w:p w14:paraId="599B73AA" w14:textId="77777777" w:rsidR="00940DD4" w:rsidRPr="008C383D" w:rsidRDefault="00940DD4" w:rsidP="00013E94">
            <w:pPr>
              <w:spacing w:before="10" w:after="10"/>
              <w:jc w:val="right"/>
              <w:rPr>
                <w:rFonts w:cs="Arial"/>
                <w:sz w:val="18"/>
              </w:rPr>
            </w:pPr>
            <w:r w:rsidRPr="008C383D">
              <w:rPr>
                <w:rFonts w:cs="Arial"/>
                <w:sz w:val="18"/>
              </w:rPr>
              <w:t>1509</w:t>
            </w:r>
          </w:p>
        </w:tc>
        <w:tc>
          <w:tcPr>
            <w:tcW w:w="0" w:type="auto"/>
            <w:noWrap/>
            <w:hideMark/>
          </w:tcPr>
          <w:p w14:paraId="3BB131AD" w14:textId="77777777" w:rsidR="00940DD4" w:rsidRPr="008C383D" w:rsidRDefault="00940DD4" w:rsidP="00013E94">
            <w:pPr>
              <w:spacing w:before="10" w:after="10"/>
              <w:jc w:val="right"/>
              <w:rPr>
                <w:rFonts w:cs="Arial"/>
                <w:sz w:val="18"/>
              </w:rPr>
            </w:pPr>
            <w:r w:rsidRPr="008C383D">
              <w:rPr>
                <w:rFonts w:cs="Arial"/>
                <w:sz w:val="18"/>
              </w:rPr>
              <w:t>985</w:t>
            </w:r>
          </w:p>
        </w:tc>
        <w:tc>
          <w:tcPr>
            <w:tcW w:w="0" w:type="auto"/>
            <w:tcBorders>
              <w:right w:val="single" w:sz="4" w:space="0" w:color="A8D08D" w:themeColor="accent6" w:themeTint="99"/>
            </w:tcBorders>
            <w:shd w:val="clear" w:color="auto" w:fill="E2EFD9" w:themeFill="accent6" w:themeFillTint="33"/>
            <w:noWrap/>
            <w:hideMark/>
          </w:tcPr>
          <w:p w14:paraId="17CB896D" w14:textId="79019DCF" w:rsidR="00940DD4" w:rsidRPr="008C383D" w:rsidRDefault="00940DD4" w:rsidP="00013E94">
            <w:pPr>
              <w:spacing w:before="10" w:after="10"/>
              <w:jc w:val="right"/>
              <w:rPr>
                <w:rFonts w:cs="Arial"/>
                <w:sz w:val="18"/>
              </w:rPr>
            </w:pPr>
            <w:r w:rsidRPr="008C383D">
              <w:rPr>
                <w:rFonts w:cs="Arial"/>
                <w:sz w:val="18"/>
              </w:rPr>
              <w:t>65</w:t>
            </w:r>
          </w:p>
        </w:tc>
        <w:tc>
          <w:tcPr>
            <w:tcW w:w="0" w:type="auto"/>
            <w:tcBorders>
              <w:left w:val="single" w:sz="4" w:space="0" w:color="A8D08D" w:themeColor="accent6" w:themeTint="99"/>
            </w:tcBorders>
            <w:noWrap/>
            <w:hideMark/>
          </w:tcPr>
          <w:p w14:paraId="7663CA53" w14:textId="77777777" w:rsidR="00940DD4" w:rsidRPr="008C383D" w:rsidRDefault="00940DD4" w:rsidP="00013E94">
            <w:pPr>
              <w:spacing w:before="10" w:after="10"/>
              <w:jc w:val="right"/>
              <w:rPr>
                <w:rFonts w:cs="Arial"/>
                <w:sz w:val="18"/>
              </w:rPr>
            </w:pPr>
            <w:r w:rsidRPr="008C383D">
              <w:rPr>
                <w:rFonts w:cs="Arial"/>
                <w:sz w:val="18"/>
              </w:rPr>
              <w:t>1158</w:t>
            </w:r>
          </w:p>
        </w:tc>
        <w:tc>
          <w:tcPr>
            <w:tcW w:w="0" w:type="auto"/>
            <w:noWrap/>
            <w:hideMark/>
          </w:tcPr>
          <w:p w14:paraId="6D55C70A" w14:textId="77777777" w:rsidR="00940DD4" w:rsidRPr="008C383D" w:rsidRDefault="00940DD4" w:rsidP="00013E94">
            <w:pPr>
              <w:spacing w:before="10" w:after="10"/>
              <w:jc w:val="right"/>
              <w:rPr>
                <w:rFonts w:cs="Arial"/>
                <w:sz w:val="18"/>
              </w:rPr>
            </w:pPr>
            <w:r w:rsidRPr="008C383D">
              <w:rPr>
                <w:rFonts w:cs="Arial"/>
                <w:sz w:val="18"/>
              </w:rPr>
              <w:t>777</w:t>
            </w:r>
          </w:p>
        </w:tc>
        <w:tc>
          <w:tcPr>
            <w:tcW w:w="0" w:type="auto"/>
            <w:shd w:val="clear" w:color="auto" w:fill="E2EFD9" w:themeFill="accent6" w:themeFillTint="33"/>
            <w:noWrap/>
            <w:hideMark/>
          </w:tcPr>
          <w:p w14:paraId="0EC1B243" w14:textId="54D63B6A" w:rsidR="00940DD4" w:rsidRPr="008C383D" w:rsidRDefault="00940DD4" w:rsidP="00013E94">
            <w:pPr>
              <w:spacing w:before="10" w:after="10"/>
              <w:jc w:val="right"/>
              <w:rPr>
                <w:rFonts w:cs="Arial"/>
                <w:sz w:val="18"/>
              </w:rPr>
            </w:pPr>
            <w:r w:rsidRPr="008C383D">
              <w:rPr>
                <w:rFonts w:cs="Arial"/>
                <w:sz w:val="18"/>
              </w:rPr>
              <w:t>67</w:t>
            </w:r>
          </w:p>
        </w:tc>
      </w:tr>
      <w:tr w:rsidR="00940DD4" w:rsidRPr="008C383D" w14:paraId="4C6DC40A" w14:textId="77777777" w:rsidTr="00013E94">
        <w:tc>
          <w:tcPr>
            <w:tcW w:w="0" w:type="auto"/>
            <w:noWrap/>
            <w:hideMark/>
          </w:tcPr>
          <w:p w14:paraId="383200A2" w14:textId="798B55CC" w:rsidR="00940DD4" w:rsidRPr="008C383D" w:rsidRDefault="00940DD4" w:rsidP="00DF1699">
            <w:pPr>
              <w:spacing w:before="10" w:after="10"/>
              <w:rPr>
                <w:rFonts w:cs="Arial"/>
                <w:sz w:val="18"/>
              </w:rPr>
            </w:pPr>
            <w:r w:rsidRPr="008C383D">
              <w:rPr>
                <w:rFonts w:cs="Arial"/>
                <w:sz w:val="18"/>
              </w:rPr>
              <w:t xml:space="preserve">No </w:t>
            </w:r>
            <w:r w:rsidR="00DF1699">
              <w:rPr>
                <w:rFonts w:cs="Arial"/>
                <w:sz w:val="18"/>
              </w:rPr>
              <w:t>c</w:t>
            </w:r>
            <w:r w:rsidR="00013E94">
              <w:rPr>
                <w:rFonts w:cs="Arial"/>
                <w:sz w:val="18"/>
              </w:rPr>
              <w:t>itizenship i</w:t>
            </w:r>
            <w:r w:rsidRPr="008C383D">
              <w:rPr>
                <w:rFonts w:cs="Arial"/>
                <w:sz w:val="18"/>
              </w:rPr>
              <w:t>ndicated</w:t>
            </w:r>
          </w:p>
        </w:tc>
        <w:tc>
          <w:tcPr>
            <w:tcW w:w="0" w:type="auto"/>
            <w:noWrap/>
            <w:hideMark/>
          </w:tcPr>
          <w:p w14:paraId="714F0929" w14:textId="77777777" w:rsidR="00940DD4" w:rsidRPr="008C383D" w:rsidRDefault="00940DD4" w:rsidP="00013E94">
            <w:pPr>
              <w:spacing w:before="10" w:after="10"/>
              <w:jc w:val="right"/>
              <w:rPr>
                <w:rFonts w:cs="Arial"/>
                <w:sz w:val="18"/>
              </w:rPr>
            </w:pPr>
            <w:r w:rsidRPr="008C383D">
              <w:rPr>
                <w:rFonts w:cs="Arial"/>
                <w:sz w:val="18"/>
              </w:rPr>
              <w:t>4</w:t>
            </w:r>
          </w:p>
        </w:tc>
        <w:tc>
          <w:tcPr>
            <w:tcW w:w="0" w:type="auto"/>
            <w:noWrap/>
            <w:hideMark/>
          </w:tcPr>
          <w:p w14:paraId="001F6096" w14:textId="77777777" w:rsidR="00940DD4" w:rsidRPr="008C383D" w:rsidRDefault="00940DD4" w:rsidP="00013E94">
            <w:pPr>
              <w:spacing w:before="10" w:after="10"/>
              <w:jc w:val="right"/>
              <w:rPr>
                <w:rFonts w:cs="Arial"/>
                <w:sz w:val="18"/>
              </w:rPr>
            </w:pPr>
            <w:r w:rsidRPr="008C383D">
              <w:rPr>
                <w:rFonts w:cs="Arial"/>
                <w:sz w:val="18"/>
              </w:rPr>
              <w:t>3</w:t>
            </w:r>
          </w:p>
        </w:tc>
        <w:tc>
          <w:tcPr>
            <w:tcW w:w="0" w:type="auto"/>
            <w:tcBorders>
              <w:right w:val="single" w:sz="4" w:space="0" w:color="A8D08D" w:themeColor="accent6" w:themeTint="99"/>
            </w:tcBorders>
            <w:shd w:val="clear" w:color="auto" w:fill="E2EFD9" w:themeFill="accent6" w:themeFillTint="33"/>
            <w:noWrap/>
            <w:hideMark/>
          </w:tcPr>
          <w:p w14:paraId="4EC9032D" w14:textId="4E0FF53A" w:rsidR="00940DD4" w:rsidRPr="008C383D" w:rsidRDefault="00940DD4" w:rsidP="00013E94">
            <w:pPr>
              <w:spacing w:before="10" w:after="10"/>
              <w:jc w:val="right"/>
              <w:rPr>
                <w:rFonts w:cs="Arial"/>
                <w:sz w:val="18"/>
              </w:rPr>
            </w:pPr>
            <w:r w:rsidRPr="008C383D">
              <w:rPr>
                <w:rFonts w:cs="Arial"/>
                <w:sz w:val="18"/>
              </w:rPr>
              <w:t>75</w:t>
            </w:r>
          </w:p>
        </w:tc>
        <w:tc>
          <w:tcPr>
            <w:tcW w:w="0" w:type="auto"/>
            <w:tcBorders>
              <w:left w:val="single" w:sz="4" w:space="0" w:color="A8D08D" w:themeColor="accent6" w:themeTint="99"/>
            </w:tcBorders>
            <w:noWrap/>
            <w:hideMark/>
          </w:tcPr>
          <w:p w14:paraId="108BC765" w14:textId="77777777" w:rsidR="00940DD4" w:rsidRPr="008C383D" w:rsidRDefault="00940DD4" w:rsidP="00013E94">
            <w:pPr>
              <w:spacing w:before="10" w:after="10"/>
              <w:jc w:val="right"/>
              <w:rPr>
                <w:rFonts w:cs="Arial"/>
                <w:sz w:val="18"/>
              </w:rPr>
            </w:pPr>
            <w:r w:rsidRPr="008C383D">
              <w:rPr>
                <w:rFonts w:cs="Arial"/>
                <w:sz w:val="18"/>
              </w:rPr>
              <w:t>4</w:t>
            </w:r>
          </w:p>
        </w:tc>
        <w:tc>
          <w:tcPr>
            <w:tcW w:w="0" w:type="auto"/>
            <w:noWrap/>
            <w:hideMark/>
          </w:tcPr>
          <w:p w14:paraId="5D6D1AB9" w14:textId="77777777" w:rsidR="00940DD4" w:rsidRPr="008C383D" w:rsidRDefault="00940DD4" w:rsidP="00013E94">
            <w:pPr>
              <w:spacing w:before="10" w:after="10"/>
              <w:jc w:val="right"/>
              <w:rPr>
                <w:rFonts w:cs="Arial"/>
                <w:sz w:val="18"/>
              </w:rPr>
            </w:pPr>
            <w:r w:rsidRPr="008C383D">
              <w:rPr>
                <w:rFonts w:cs="Arial"/>
                <w:sz w:val="18"/>
              </w:rPr>
              <w:t>2</w:t>
            </w:r>
          </w:p>
        </w:tc>
        <w:tc>
          <w:tcPr>
            <w:tcW w:w="0" w:type="auto"/>
            <w:shd w:val="clear" w:color="auto" w:fill="E2EFD9" w:themeFill="accent6" w:themeFillTint="33"/>
            <w:noWrap/>
            <w:hideMark/>
          </w:tcPr>
          <w:p w14:paraId="3DA70B6A" w14:textId="39B23ED4" w:rsidR="00940DD4" w:rsidRPr="008C383D" w:rsidRDefault="00940DD4" w:rsidP="00013E94">
            <w:pPr>
              <w:spacing w:before="10" w:after="10"/>
              <w:jc w:val="right"/>
              <w:rPr>
                <w:rFonts w:cs="Arial"/>
                <w:sz w:val="18"/>
              </w:rPr>
            </w:pPr>
            <w:r w:rsidRPr="008C383D">
              <w:rPr>
                <w:rFonts w:cs="Arial"/>
                <w:sz w:val="18"/>
              </w:rPr>
              <w:t>50</w:t>
            </w:r>
          </w:p>
        </w:tc>
      </w:tr>
      <w:tr w:rsidR="00940DD4" w:rsidRPr="008C383D" w14:paraId="082CAFD2" w14:textId="77777777" w:rsidTr="00013E94">
        <w:tc>
          <w:tcPr>
            <w:tcW w:w="0" w:type="auto"/>
            <w:shd w:val="clear" w:color="auto" w:fill="E2EFD9" w:themeFill="accent6" w:themeFillTint="33"/>
            <w:noWrap/>
            <w:hideMark/>
          </w:tcPr>
          <w:p w14:paraId="2A068801" w14:textId="77777777" w:rsidR="00940DD4" w:rsidRPr="008C383D" w:rsidRDefault="00940DD4" w:rsidP="008C383D">
            <w:pPr>
              <w:spacing w:before="10" w:after="10"/>
              <w:rPr>
                <w:rFonts w:cs="Arial"/>
                <w:b/>
                <w:bCs/>
                <w:sz w:val="18"/>
              </w:rPr>
            </w:pPr>
            <w:r w:rsidRPr="008C383D">
              <w:rPr>
                <w:rFonts w:cs="Arial"/>
                <w:b/>
                <w:bCs/>
                <w:sz w:val="18"/>
              </w:rPr>
              <w:t>TOTAL</w:t>
            </w:r>
          </w:p>
        </w:tc>
        <w:tc>
          <w:tcPr>
            <w:tcW w:w="0" w:type="auto"/>
            <w:shd w:val="clear" w:color="auto" w:fill="E2EFD9" w:themeFill="accent6" w:themeFillTint="33"/>
            <w:noWrap/>
            <w:hideMark/>
          </w:tcPr>
          <w:p w14:paraId="579C5612" w14:textId="770DCCE9" w:rsidR="00940DD4" w:rsidRPr="008C383D" w:rsidRDefault="00940DD4" w:rsidP="00013E94">
            <w:pPr>
              <w:spacing w:before="10" w:after="10"/>
              <w:jc w:val="right"/>
              <w:rPr>
                <w:rFonts w:cs="Arial"/>
                <w:b/>
                <w:bCs/>
                <w:sz w:val="18"/>
              </w:rPr>
            </w:pPr>
            <w:r w:rsidRPr="008C383D">
              <w:rPr>
                <w:rFonts w:cs="Arial"/>
                <w:b/>
                <w:bCs/>
                <w:sz w:val="18"/>
              </w:rPr>
              <w:t>12</w:t>
            </w:r>
            <w:r w:rsidR="00621D41">
              <w:rPr>
                <w:rFonts w:cs="Arial"/>
                <w:b/>
                <w:bCs/>
                <w:sz w:val="18"/>
              </w:rPr>
              <w:t>,</w:t>
            </w:r>
            <w:r w:rsidRPr="008C383D">
              <w:rPr>
                <w:rFonts w:cs="Arial"/>
                <w:b/>
                <w:bCs/>
                <w:sz w:val="18"/>
              </w:rPr>
              <w:t>433</w:t>
            </w:r>
          </w:p>
        </w:tc>
        <w:tc>
          <w:tcPr>
            <w:tcW w:w="0" w:type="auto"/>
            <w:shd w:val="clear" w:color="auto" w:fill="E2EFD9" w:themeFill="accent6" w:themeFillTint="33"/>
            <w:noWrap/>
            <w:hideMark/>
          </w:tcPr>
          <w:p w14:paraId="239EC3DD" w14:textId="77777777" w:rsidR="00940DD4" w:rsidRPr="008C383D" w:rsidRDefault="00940DD4" w:rsidP="00013E94">
            <w:pPr>
              <w:spacing w:before="10" w:after="10"/>
              <w:jc w:val="right"/>
              <w:rPr>
                <w:rFonts w:cs="Arial"/>
                <w:b/>
                <w:bCs/>
                <w:sz w:val="18"/>
              </w:rPr>
            </w:pPr>
            <w:r w:rsidRPr="008C383D">
              <w:rPr>
                <w:rFonts w:cs="Arial"/>
                <w:b/>
                <w:bCs/>
                <w:sz w:val="18"/>
              </w:rPr>
              <w:t>6961</w:t>
            </w:r>
          </w:p>
        </w:tc>
        <w:tc>
          <w:tcPr>
            <w:tcW w:w="0" w:type="auto"/>
            <w:tcBorders>
              <w:right w:val="single" w:sz="4" w:space="0" w:color="A8D08D" w:themeColor="accent6" w:themeTint="99"/>
            </w:tcBorders>
            <w:shd w:val="clear" w:color="auto" w:fill="E2EFD9" w:themeFill="accent6" w:themeFillTint="33"/>
            <w:noWrap/>
            <w:hideMark/>
          </w:tcPr>
          <w:p w14:paraId="1CCCA82A" w14:textId="553F998C" w:rsidR="00940DD4" w:rsidRPr="008C383D" w:rsidRDefault="00940DD4" w:rsidP="00013E94">
            <w:pPr>
              <w:spacing w:before="10" w:after="10"/>
              <w:jc w:val="right"/>
              <w:rPr>
                <w:rFonts w:cs="Arial"/>
                <w:b/>
                <w:bCs/>
                <w:sz w:val="18"/>
              </w:rPr>
            </w:pPr>
            <w:r w:rsidRPr="008C383D">
              <w:rPr>
                <w:rFonts w:cs="Arial"/>
                <w:b/>
                <w:bCs/>
                <w:sz w:val="18"/>
              </w:rPr>
              <w:t>56</w:t>
            </w:r>
          </w:p>
        </w:tc>
        <w:tc>
          <w:tcPr>
            <w:tcW w:w="0" w:type="auto"/>
            <w:tcBorders>
              <w:left w:val="single" w:sz="4" w:space="0" w:color="A8D08D" w:themeColor="accent6" w:themeTint="99"/>
            </w:tcBorders>
            <w:shd w:val="clear" w:color="auto" w:fill="E2EFD9" w:themeFill="accent6" w:themeFillTint="33"/>
            <w:noWrap/>
            <w:hideMark/>
          </w:tcPr>
          <w:p w14:paraId="725C138B" w14:textId="77777777" w:rsidR="00940DD4" w:rsidRPr="008C383D" w:rsidRDefault="00940DD4" w:rsidP="00013E94">
            <w:pPr>
              <w:spacing w:before="10" w:after="10"/>
              <w:jc w:val="right"/>
              <w:rPr>
                <w:rFonts w:cs="Arial"/>
                <w:b/>
                <w:bCs/>
                <w:sz w:val="18"/>
              </w:rPr>
            </w:pPr>
            <w:r w:rsidRPr="008C383D">
              <w:rPr>
                <w:rFonts w:cs="Arial"/>
                <w:b/>
                <w:bCs/>
                <w:sz w:val="18"/>
              </w:rPr>
              <w:t>8680</w:t>
            </w:r>
          </w:p>
        </w:tc>
        <w:tc>
          <w:tcPr>
            <w:tcW w:w="0" w:type="auto"/>
            <w:shd w:val="clear" w:color="auto" w:fill="E2EFD9" w:themeFill="accent6" w:themeFillTint="33"/>
            <w:noWrap/>
            <w:hideMark/>
          </w:tcPr>
          <w:p w14:paraId="5166B5DA" w14:textId="77777777" w:rsidR="00940DD4" w:rsidRPr="008C383D" w:rsidRDefault="00940DD4" w:rsidP="00013E94">
            <w:pPr>
              <w:spacing w:before="10" w:after="10"/>
              <w:jc w:val="right"/>
              <w:rPr>
                <w:rFonts w:cs="Arial"/>
                <w:b/>
                <w:bCs/>
                <w:sz w:val="18"/>
              </w:rPr>
            </w:pPr>
            <w:r w:rsidRPr="008C383D">
              <w:rPr>
                <w:rFonts w:cs="Arial"/>
                <w:b/>
                <w:bCs/>
                <w:sz w:val="18"/>
              </w:rPr>
              <w:t>5837</w:t>
            </w:r>
          </w:p>
        </w:tc>
        <w:tc>
          <w:tcPr>
            <w:tcW w:w="0" w:type="auto"/>
            <w:shd w:val="clear" w:color="auto" w:fill="E2EFD9" w:themeFill="accent6" w:themeFillTint="33"/>
            <w:noWrap/>
            <w:hideMark/>
          </w:tcPr>
          <w:p w14:paraId="6C5B5DDC" w14:textId="06212562" w:rsidR="00940DD4" w:rsidRPr="008C383D" w:rsidRDefault="00940DD4" w:rsidP="00013E94">
            <w:pPr>
              <w:spacing w:before="10" w:after="10"/>
              <w:jc w:val="right"/>
              <w:rPr>
                <w:rFonts w:cs="Arial"/>
                <w:b/>
                <w:bCs/>
                <w:sz w:val="18"/>
              </w:rPr>
            </w:pPr>
            <w:r w:rsidRPr="008C383D">
              <w:rPr>
                <w:rFonts w:cs="Arial"/>
                <w:b/>
                <w:bCs/>
                <w:sz w:val="18"/>
              </w:rPr>
              <w:t>67</w:t>
            </w:r>
          </w:p>
        </w:tc>
      </w:tr>
    </w:tbl>
    <w:p w14:paraId="3561B82C" w14:textId="57A6B8B4" w:rsidR="00940DD4" w:rsidRPr="00950268" w:rsidRDefault="008C383D" w:rsidP="00940DD4">
      <w:pPr>
        <w:rPr>
          <w:rFonts w:cs="Arial"/>
          <w:sz w:val="16"/>
          <w:szCs w:val="16"/>
        </w:rPr>
      </w:pPr>
      <w:r>
        <w:rPr>
          <w:rFonts w:cs="Arial"/>
          <w:sz w:val="16"/>
          <w:szCs w:val="16"/>
        </w:rPr>
        <w:br/>
      </w:r>
      <w:r w:rsidR="00940DD4" w:rsidRPr="00950268">
        <w:rPr>
          <w:rFonts w:cs="Arial"/>
          <w:sz w:val="16"/>
          <w:szCs w:val="16"/>
        </w:rPr>
        <w:t xml:space="preserve">NOTE: Number </w:t>
      </w:r>
      <w:r w:rsidR="00862980" w:rsidRPr="00950268">
        <w:rPr>
          <w:rFonts w:cs="Arial"/>
          <w:sz w:val="16"/>
          <w:szCs w:val="16"/>
        </w:rPr>
        <w:t>‘</w:t>
      </w:r>
      <w:r w:rsidR="00940DD4" w:rsidRPr="00950268">
        <w:rPr>
          <w:rFonts w:cs="Arial"/>
          <w:sz w:val="16"/>
          <w:szCs w:val="16"/>
        </w:rPr>
        <w:t>eligible</w:t>
      </w:r>
      <w:r w:rsidR="00862980" w:rsidRPr="00950268">
        <w:rPr>
          <w:rFonts w:cs="Arial"/>
          <w:sz w:val="16"/>
          <w:szCs w:val="16"/>
        </w:rPr>
        <w:t>’</w:t>
      </w:r>
      <w:r w:rsidR="00940DD4" w:rsidRPr="00950268">
        <w:rPr>
          <w:rFonts w:cs="Arial"/>
          <w:sz w:val="16"/>
          <w:szCs w:val="16"/>
        </w:rPr>
        <w:t xml:space="preserve"> based on both LLN and VSK requirements requires a summation of candidates in various stages of processing, including: ready to consider for offer; offer sent; offer declined; offer deferred; offer accepted; scholarship round and not contactable/no response. Each of these categories ha</w:t>
      </w:r>
      <w:r w:rsidR="009026A9">
        <w:rPr>
          <w:rFonts w:cs="Arial"/>
          <w:sz w:val="16"/>
          <w:szCs w:val="16"/>
        </w:rPr>
        <w:t>s</w:t>
      </w:r>
      <w:r w:rsidR="00940DD4" w:rsidRPr="00950268">
        <w:rPr>
          <w:rFonts w:cs="Arial"/>
          <w:sz w:val="16"/>
          <w:szCs w:val="16"/>
        </w:rPr>
        <w:t xml:space="preserve"> met both LLN and VSK requirements. (Source: Marty Rollings, APTC communication </w:t>
      </w:r>
      <w:r w:rsidR="00F53FA8">
        <w:rPr>
          <w:rFonts w:cs="Arial"/>
          <w:sz w:val="16"/>
          <w:szCs w:val="16"/>
        </w:rPr>
        <w:t>12 August and 5 September 2014)</w:t>
      </w:r>
    </w:p>
    <w:p w14:paraId="076F8397" w14:textId="1283BDC3" w:rsidR="00940DD4" w:rsidRPr="00940DD4" w:rsidRDefault="00013E94" w:rsidP="00940DD4">
      <w:pPr>
        <w:rPr>
          <w:rFonts w:cs="Arial"/>
          <w:szCs w:val="22"/>
        </w:rPr>
      </w:pPr>
      <w:r>
        <w:rPr>
          <w:rFonts w:cs="Arial"/>
          <w:szCs w:val="22"/>
        </w:rPr>
        <w:br/>
      </w:r>
      <w:r w:rsidR="00940DD4" w:rsidRPr="00940DD4">
        <w:rPr>
          <w:rFonts w:cs="Arial"/>
          <w:szCs w:val="22"/>
        </w:rPr>
        <w:t>Several campus countries registered notable increases in eligibility rates between stages, including Solomon Islands from</w:t>
      </w:r>
      <w:r w:rsidR="00DB6026">
        <w:rPr>
          <w:rFonts w:cs="Arial"/>
          <w:szCs w:val="22"/>
        </w:rPr>
        <w:t xml:space="preserve"> </w:t>
      </w:r>
      <w:r w:rsidR="00940DD4" w:rsidRPr="00940DD4">
        <w:rPr>
          <w:rFonts w:cs="Arial"/>
          <w:szCs w:val="22"/>
        </w:rPr>
        <w:t>41</w:t>
      </w:r>
      <w:r w:rsidR="00DB6026">
        <w:rPr>
          <w:rFonts w:cs="Arial"/>
          <w:szCs w:val="22"/>
        </w:rPr>
        <w:t xml:space="preserve"> per cent to 62 per cent</w:t>
      </w:r>
      <w:r w:rsidR="00940DD4" w:rsidRPr="00940DD4">
        <w:rPr>
          <w:rFonts w:cs="Arial"/>
          <w:szCs w:val="22"/>
        </w:rPr>
        <w:t xml:space="preserve">, PNG from </w:t>
      </w:r>
      <w:r w:rsidR="00F53FA8">
        <w:rPr>
          <w:rFonts w:cs="Arial"/>
          <w:szCs w:val="22"/>
        </w:rPr>
        <w:br/>
      </w:r>
      <w:r w:rsidR="00940DD4" w:rsidRPr="00940DD4">
        <w:rPr>
          <w:rFonts w:cs="Arial"/>
          <w:szCs w:val="22"/>
        </w:rPr>
        <w:t>51</w:t>
      </w:r>
      <w:r w:rsidR="00DB6026">
        <w:rPr>
          <w:rFonts w:cs="Arial"/>
          <w:szCs w:val="22"/>
        </w:rPr>
        <w:t xml:space="preserve"> per cent</w:t>
      </w:r>
      <w:r w:rsidR="00940DD4" w:rsidRPr="00940DD4">
        <w:rPr>
          <w:rFonts w:cs="Arial"/>
          <w:szCs w:val="22"/>
        </w:rPr>
        <w:t xml:space="preserve"> to 69</w:t>
      </w:r>
      <w:r w:rsidR="00DB6026">
        <w:rPr>
          <w:rFonts w:cs="Arial"/>
          <w:szCs w:val="22"/>
        </w:rPr>
        <w:t xml:space="preserve"> per cent</w:t>
      </w:r>
      <w:r w:rsidR="00940DD4" w:rsidRPr="00940DD4">
        <w:rPr>
          <w:rFonts w:cs="Arial"/>
          <w:szCs w:val="22"/>
        </w:rPr>
        <w:t xml:space="preserve"> and Samoa from 70</w:t>
      </w:r>
      <w:r w:rsidR="00DB6026">
        <w:rPr>
          <w:rFonts w:cs="Arial"/>
          <w:szCs w:val="22"/>
        </w:rPr>
        <w:t xml:space="preserve"> per cent</w:t>
      </w:r>
      <w:r w:rsidR="00940DD4" w:rsidRPr="00940DD4">
        <w:rPr>
          <w:rFonts w:cs="Arial"/>
          <w:szCs w:val="22"/>
        </w:rPr>
        <w:t xml:space="preserve"> to 81</w:t>
      </w:r>
      <w:r w:rsidR="00F53FA8">
        <w:rPr>
          <w:rFonts w:cs="Arial"/>
          <w:szCs w:val="22"/>
        </w:rPr>
        <w:t xml:space="preserve"> </w:t>
      </w:r>
      <w:r w:rsidR="00DB6026">
        <w:rPr>
          <w:rFonts w:cs="Arial"/>
          <w:szCs w:val="22"/>
        </w:rPr>
        <w:t>per cent</w:t>
      </w:r>
      <w:r w:rsidR="00940DD4" w:rsidRPr="00940DD4">
        <w:rPr>
          <w:rFonts w:cs="Arial"/>
          <w:szCs w:val="22"/>
        </w:rPr>
        <w:t>. Kiribati also raise</w:t>
      </w:r>
      <w:r w:rsidR="00DB6026">
        <w:rPr>
          <w:rFonts w:cs="Arial"/>
          <w:szCs w:val="22"/>
        </w:rPr>
        <w:t>d</w:t>
      </w:r>
      <w:r w:rsidR="00940DD4" w:rsidRPr="00940DD4">
        <w:rPr>
          <w:rFonts w:cs="Arial"/>
          <w:szCs w:val="22"/>
        </w:rPr>
        <w:t xml:space="preserve"> the proportion of eligible applicants from 28</w:t>
      </w:r>
      <w:r w:rsidR="00DB6026">
        <w:rPr>
          <w:rFonts w:cs="Arial"/>
          <w:szCs w:val="22"/>
        </w:rPr>
        <w:t xml:space="preserve"> per cent</w:t>
      </w:r>
      <w:r w:rsidR="00940DD4" w:rsidRPr="00940DD4">
        <w:rPr>
          <w:rFonts w:cs="Arial"/>
          <w:szCs w:val="22"/>
        </w:rPr>
        <w:t xml:space="preserve"> to 60</w:t>
      </w:r>
      <w:r w:rsidR="00DB6026">
        <w:rPr>
          <w:rFonts w:cs="Arial"/>
          <w:szCs w:val="22"/>
        </w:rPr>
        <w:t xml:space="preserve"> per cent</w:t>
      </w:r>
      <w:r w:rsidR="00940DD4" w:rsidRPr="00940DD4">
        <w:rPr>
          <w:rFonts w:cs="Arial"/>
          <w:szCs w:val="22"/>
        </w:rPr>
        <w:t xml:space="preserve">. </w:t>
      </w:r>
    </w:p>
    <w:p w14:paraId="5C17EBBE" w14:textId="77777777" w:rsidR="00FC22E6" w:rsidRPr="00727D43" w:rsidRDefault="00FC22E6" w:rsidP="00FC22E6">
      <w:pPr>
        <w:rPr>
          <w:rFonts w:cs="Arial"/>
          <w:szCs w:val="22"/>
        </w:rPr>
      </w:pPr>
      <w:r>
        <w:rPr>
          <w:rFonts w:cs="Arial"/>
          <w:szCs w:val="22"/>
        </w:rPr>
        <w:t>The two following tables indicate that by nationality, Samoa has a 10–14 percentage point edge compared with Vanuatu and PNG, both in ratio of entrants to applicants and in scholarship awards as a percentage of applications.</w:t>
      </w:r>
    </w:p>
    <w:p w14:paraId="5DDACBAD" w14:textId="77777777" w:rsidR="00E31797" w:rsidRDefault="00E31797">
      <w:pPr>
        <w:spacing w:after="0"/>
        <w:rPr>
          <w:rFonts w:cs="Arial"/>
          <w:b/>
          <w:color w:val="76923C"/>
          <w:szCs w:val="22"/>
        </w:rPr>
      </w:pPr>
      <w:bookmarkStart w:id="185" w:name="_Toc274146428"/>
      <w:bookmarkStart w:id="186" w:name="_Toc274915887"/>
      <w:r>
        <w:br w:type="page"/>
      </w:r>
    </w:p>
    <w:p w14:paraId="1CBBBCD8" w14:textId="68674BFB" w:rsidR="00FC22E6" w:rsidRPr="009037C7" w:rsidRDefault="00FC22E6" w:rsidP="00FC22E6">
      <w:pPr>
        <w:pStyle w:val="Tableheading"/>
        <w:rPr>
          <w:rFonts w:eastAsia="Calibri"/>
        </w:rPr>
      </w:pPr>
      <w:bookmarkStart w:id="187" w:name="_Toc278446865"/>
      <w:r>
        <w:lastRenderedPageBreak/>
        <w:t>Table 3.1.3: Ratio of entrants to applicants by nationality</w:t>
      </w:r>
      <w:bookmarkEnd w:id="185"/>
      <w:bookmarkEnd w:id="186"/>
      <w:bookmarkEnd w:id="187"/>
    </w:p>
    <w:tbl>
      <w:tblPr>
        <w:tblStyle w:val="TableGrid2"/>
        <w:tblW w:w="70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1622"/>
        <w:gridCol w:w="1985"/>
        <w:gridCol w:w="1559"/>
      </w:tblGrid>
      <w:tr w:rsidR="00FC22E6" w:rsidRPr="003D549C" w14:paraId="69FC0DAD" w14:textId="77777777" w:rsidTr="005825A6">
        <w:tc>
          <w:tcPr>
            <w:tcW w:w="3544" w:type="dxa"/>
            <w:gridSpan w:val="2"/>
            <w:tcBorders>
              <w:right w:val="single" w:sz="4" w:space="0" w:color="A8D08D" w:themeColor="accent6" w:themeTint="99"/>
            </w:tcBorders>
            <w:shd w:val="clear" w:color="auto" w:fill="C5E0B3" w:themeFill="accent6" w:themeFillTint="66"/>
          </w:tcPr>
          <w:p w14:paraId="694859F9" w14:textId="77777777" w:rsidR="00FC22E6" w:rsidRPr="003D549C" w:rsidRDefault="00FC22E6" w:rsidP="005F77A1">
            <w:pPr>
              <w:spacing w:before="20" w:after="20"/>
              <w:jc w:val="center"/>
              <w:rPr>
                <w:rFonts w:cs="Arial"/>
                <w:b/>
                <w:sz w:val="18"/>
              </w:rPr>
            </w:pPr>
            <w:r w:rsidRPr="003D549C">
              <w:rPr>
                <w:rFonts w:cs="Arial"/>
                <w:b/>
                <w:sz w:val="18"/>
              </w:rPr>
              <w:t xml:space="preserve">Campus </w:t>
            </w:r>
            <w:r>
              <w:rPr>
                <w:rFonts w:cs="Arial"/>
                <w:b/>
                <w:sz w:val="18"/>
              </w:rPr>
              <w:t>c</w:t>
            </w:r>
            <w:r w:rsidRPr="003D549C">
              <w:rPr>
                <w:rFonts w:cs="Arial"/>
                <w:b/>
                <w:sz w:val="18"/>
              </w:rPr>
              <w:t>ountry</w:t>
            </w:r>
          </w:p>
        </w:tc>
        <w:tc>
          <w:tcPr>
            <w:tcW w:w="3544" w:type="dxa"/>
            <w:gridSpan w:val="2"/>
            <w:tcBorders>
              <w:left w:val="single" w:sz="4" w:space="0" w:color="A8D08D" w:themeColor="accent6" w:themeTint="99"/>
            </w:tcBorders>
            <w:shd w:val="clear" w:color="auto" w:fill="C5E0B3" w:themeFill="accent6" w:themeFillTint="66"/>
          </w:tcPr>
          <w:p w14:paraId="17B08571" w14:textId="77777777" w:rsidR="00FC22E6" w:rsidRPr="003D549C" w:rsidRDefault="00FC22E6" w:rsidP="005F77A1">
            <w:pPr>
              <w:spacing w:before="20" w:after="20"/>
              <w:jc w:val="center"/>
              <w:rPr>
                <w:rFonts w:cs="Arial"/>
                <w:b/>
                <w:sz w:val="18"/>
              </w:rPr>
            </w:pPr>
            <w:r w:rsidRPr="003D549C">
              <w:rPr>
                <w:rFonts w:cs="Arial"/>
                <w:b/>
                <w:sz w:val="18"/>
              </w:rPr>
              <w:t xml:space="preserve">Small </w:t>
            </w:r>
            <w:r>
              <w:rPr>
                <w:rFonts w:cs="Arial"/>
                <w:b/>
                <w:sz w:val="18"/>
              </w:rPr>
              <w:t>i</w:t>
            </w:r>
            <w:r w:rsidRPr="003D549C">
              <w:rPr>
                <w:rFonts w:cs="Arial"/>
                <w:b/>
                <w:sz w:val="18"/>
              </w:rPr>
              <w:t xml:space="preserve">sland </w:t>
            </w:r>
            <w:r>
              <w:rPr>
                <w:rFonts w:cs="Arial"/>
                <w:b/>
                <w:sz w:val="18"/>
              </w:rPr>
              <w:t>s</w:t>
            </w:r>
            <w:r w:rsidRPr="003D549C">
              <w:rPr>
                <w:rFonts w:cs="Arial"/>
                <w:b/>
                <w:sz w:val="18"/>
              </w:rPr>
              <w:t>tates</w:t>
            </w:r>
          </w:p>
        </w:tc>
      </w:tr>
      <w:tr w:rsidR="00FC22E6" w:rsidRPr="003D549C" w14:paraId="029EC356" w14:textId="77777777" w:rsidTr="005825A6">
        <w:tc>
          <w:tcPr>
            <w:tcW w:w="1922" w:type="dxa"/>
            <w:shd w:val="clear" w:color="auto" w:fill="E2EFD9" w:themeFill="accent6" w:themeFillTint="33"/>
          </w:tcPr>
          <w:p w14:paraId="7F830C5A" w14:textId="77777777" w:rsidR="006F0A30" w:rsidRDefault="006F0A30" w:rsidP="006F0A30">
            <w:pPr>
              <w:spacing w:before="20" w:after="20"/>
              <w:rPr>
                <w:rFonts w:cs="Arial"/>
                <w:b/>
                <w:sz w:val="18"/>
              </w:rPr>
            </w:pPr>
          </w:p>
          <w:p w14:paraId="05A58695" w14:textId="77777777" w:rsidR="00FC22E6" w:rsidRPr="003D549C" w:rsidRDefault="00FC22E6" w:rsidP="006F0A30">
            <w:pPr>
              <w:spacing w:before="20" w:after="20"/>
              <w:rPr>
                <w:rFonts w:cs="Arial"/>
                <w:b/>
                <w:sz w:val="18"/>
              </w:rPr>
            </w:pPr>
            <w:r w:rsidRPr="003D549C">
              <w:rPr>
                <w:rFonts w:cs="Arial"/>
                <w:b/>
                <w:sz w:val="18"/>
              </w:rPr>
              <w:t>Nationality</w:t>
            </w:r>
          </w:p>
        </w:tc>
        <w:tc>
          <w:tcPr>
            <w:tcW w:w="1622" w:type="dxa"/>
            <w:tcBorders>
              <w:right w:val="single" w:sz="4" w:space="0" w:color="A8D08D" w:themeColor="accent6" w:themeTint="99"/>
            </w:tcBorders>
            <w:shd w:val="clear" w:color="auto" w:fill="E2EFD9" w:themeFill="accent6" w:themeFillTint="33"/>
          </w:tcPr>
          <w:p w14:paraId="3A28C8B6" w14:textId="77777777" w:rsidR="00FC22E6" w:rsidRPr="003D549C" w:rsidRDefault="00FC22E6" w:rsidP="005F77A1">
            <w:pPr>
              <w:spacing w:before="20" w:after="20"/>
              <w:jc w:val="center"/>
              <w:rPr>
                <w:rFonts w:cs="Arial"/>
                <w:b/>
                <w:sz w:val="18"/>
              </w:rPr>
            </w:pPr>
            <w:r w:rsidRPr="003D549C">
              <w:rPr>
                <w:rFonts w:cs="Arial"/>
                <w:b/>
                <w:sz w:val="18"/>
              </w:rPr>
              <w:t>Entrants as a % of applicants</w:t>
            </w:r>
          </w:p>
        </w:tc>
        <w:tc>
          <w:tcPr>
            <w:tcW w:w="1985" w:type="dxa"/>
            <w:tcBorders>
              <w:left w:val="single" w:sz="4" w:space="0" w:color="A8D08D" w:themeColor="accent6" w:themeTint="99"/>
            </w:tcBorders>
            <w:shd w:val="clear" w:color="auto" w:fill="E2EFD9" w:themeFill="accent6" w:themeFillTint="33"/>
          </w:tcPr>
          <w:p w14:paraId="617DDE84" w14:textId="77777777" w:rsidR="006F0A30" w:rsidRDefault="006F0A30" w:rsidP="006F0A30">
            <w:pPr>
              <w:spacing w:before="20" w:after="20"/>
              <w:rPr>
                <w:rFonts w:cs="Arial"/>
                <w:b/>
                <w:sz w:val="18"/>
              </w:rPr>
            </w:pPr>
          </w:p>
          <w:p w14:paraId="49A8CC01" w14:textId="77777777" w:rsidR="00FC22E6" w:rsidRPr="003D549C" w:rsidRDefault="00FC22E6" w:rsidP="006F0A30">
            <w:pPr>
              <w:spacing w:before="20" w:after="20"/>
              <w:rPr>
                <w:rFonts w:cs="Arial"/>
                <w:b/>
                <w:sz w:val="18"/>
              </w:rPr>
            </w:pPr>
            <w:r w:rsidRPr="003D549C">
              <w:rPr>
                <w:rFonts w:cs="Arial"/>
                <w:b/>
                <w:sz w:val="18"/>
              </w:rPr>
              <w:t>Nationality</w:t>
            </w:r>
          </w:p>
        </w:tc>
        <w:tc>
          <w:tcPr>
            <w:tcW w:w="1559" w:type="dxa"/>
            <w:shd w:val="clear" w:color="auto" w:fill="E2EFD9" w:themeFill="accent6" w:themeFillTint="33"/>
          </w:tcPr>
          <w:p w14:paraId="6BA70CB1" w14:textId="77777777" w:rsidR="00FC22E6" w:rsidRPr="003D549C" w:rsidRDefault="00FC22E6" w:rsidP="005F77A1">
            <w:pPr>
              <w:spacing w:before="20" w:after="20"/>
              <w:jc w:val="center"/>
              <w:rPr>
                <w:rFonts w:cs="Arial"/>
                <w:b/>
                <w:sz w:val="18"/>
              </w:rPr>
            </w:pPr>
            <w:r w:rsidRPr="003D549C">
              <w:rPr>
                <w:rFonts w:cs="Arial"/>
                <w:b/>
                <w:sz w:val="18"/>
              </w:rPr>
              <w:t>Entrants as a % of applicants</w:t>
            </w:r>
          </w:p>
        </w:tc>
      </w:tr>
      <w:tr w:rsidR="00FC22E6" w:rsidRPr="003D549C" w14:paraId="4C5D9428" w14:textId="77777777" w:rsidTr="005825A6">
        <w:tc>
          <w:tcPr>
            <w:tcW w:w="1922" w:type="dxa"/>
          </w:tcPr>
          <w:p w14:paraId="1FB87669" w14:textId="77777777" w:rsidR="00FC22E6" w:rsidRPr="003D549C" w:rsidRDefault="00FC22E6" w:rsidP="005F77A1">
            <w:pPr>
              <w:spacing w:before="20" w:after="20"/>
              <w:rPr>
                <w:rFonts w:cs="Arial"/>
                <w:sz w:val="18"/>
              </w:rPr>
            </w:pPr>
            <w:r w:rsidRPr="003D549C">
              <w:rPr>
                <w:rFonts w:cs="Arial"/>
                <w:sz w:val="18"/>
              </w:rPr>
              <w:t>Samoa</w:t>
            </w:r>
          </w:p>
        </w:tc>
        <w:tc>
          <w:tcPr>
            <w:tcW w:w="1622" w:type="dxa"/>
            <w:tcBorders>
              <w:right w:val="single" w:sz="4" w:space="0" w:color="A8D08D" w:themeColor="accent6" w:themeTint="99"/>
            </w:tcBorders>
          </w:tcPr>
          <w:p w14:paraId="02A36E85" w14:textId="77777777" w:rsidR="00FC22E6" w:rsidRPr="003D549C" w:rsidRDefault="00FC22E6" w:rsidP="005F77A1">
            <w:pPr>
              <w:spacing w:before="20" w:after="20"/>
              <w:jc w:val="center"/>
              <w:rPr>
                <w:rFonts w:cs="Arial"/>
                <w:sz w:val="18"/>
              </w:rPr>
            </w:pPr>
            <w:r w:rsidRPr="003D549C">
              <w:rPr>
                <w:rFonts w:cs="Arial"/>
                <w:sz w:val="18"/>
              </w:rPr>
              <w:t>48</w:t>
            </w:r>
          </w:p>
        </w:tc>
        <w:tc>
          <w:tcPr>
            <w:tcW w:w="1985" w:type="dxa"/>
            <w:tcBorders>
              <w:left w:val="single" w:sz="4" w:space="0" w:color="A8D08D" w:themeColor="accent6" w:themeTint="99"/>
            </w:tcBorders>
          </w:tcPr>
          <w:p w14:paraId="52D39CA9" w14:textId="77777777" w:rsidR="00FC22E6" w:rsidRPr="003D549C" w:rsidRDefault="00FC22E6" w:rsidP="005F77A1">
            <w:pPr>
              <w:spacing w:before="20" w:after="20"/>
              <w:rPr>
                <w:rFonts w:cs="Arial"/>
                <w:sz w:val="18"/>
              </w:rPr>
            </w:pPr>
            <w:r w:rsidRPr="003D549C">
              <w:rPr>
                <w:rFonts w:cs="Arial"/>
                <w:sz w:val="18"/>
              </w:rPr>
              <w:t>Niue</w:t>
            </w:r>
          </w:p>
        </w:tc>
        <w:tc>
          <w:tcPr>
            <w:tcW w:w="1559" w:type="dxa"/>
          </w:tcPr>
          <w:p w14:paraId="1B2DF004" w14:textId="77777777" w:rsidR="00FC22E6" w:rsidRPr="003D549C" w:rsidRDefault="00FC22E6" w:rsidP="005F77A1">
            <w:pPr>
              <w:spacing w:before="20" w:after="20"/>
              <w:jc w:val="center"/>
              <w:rPr>
                <w:rFonts w:cs="Arial"/>
                <w:sz w:val="18"/>
              </w:rPr>
            </w:pPr>
            <w:r w:rsidRPr="003D549C">
              <w:rPr>
                <w:rFonts w:cs="Arial"/>
                <w:sz w:val="18"/>
              </w:rPr>
              <w:t>58</w:t>
            </w:r>
          </w:p>
        </w:tc>
      </w:tr>
      <w:tr w:rsidR="00FC22E6" w:rsidRPr="003D549C" w14:paraId="3B406A6A" w14:textId="77777777" w:rsidTr="005825A6">
        <w:tc>
          <w:tcPr>
            <w:tcW w:w="1922" w:type="dxa"/>
          </w:tcPr>
          <w:p w14:paraId="3D09A00B" w14:textId="77777777" w:rsidR="00FC22E6" w:rsidRPr="003D549C" w:rsidRDefault="00FC22E6" w:rsidP="005F77A1">
            <w:pPr>
              <w:spacing w:before="20" w:after="20"/>
              <w:rPr>
                <w:rFonts w:cs="Arial"/>
                <w:sz w:val="18"/>
              </w:rPr>
            </w:pPr>
            <w:r w:rsidRPr="003D549C">
              <w:rPr>
                <w:rFonts w:cs="Arial"/>
                <w:sz w:val="18"/>
              </w:rPr>
              <w:t>Fiji</w:t>
            </w:r>
          </w:p>
        </w:tc>
        <w:tc>
          <w:tcPr>
            <w:tcW w:w="1622" w:type="dxa"/>
            <w:tcBorders>
              <w:right w:val="single" w:sz="4" w:space="0" w:color="A8D08D" w:themeColor="accent6" w:themeTint="99"/>
            </w:tcBorders>
          </w:tcPr>
          <w:p w14:paraId="354D93D9" w14:textId="77777777" w:rsidR="00FC22E6" w:rsidRPr="003D549C" w:rsidRDefault="00FC22E6" w:rsidP="005F77A1">
            <w:pPr>
              <w:spacing w:before="20" w:after="20"/>
              <w:jc w:val="center"/>
              <w:rPr>
                <w:rFonts w:cs="Arial"/>
                <w:sz w:val="18"/>
              </w:rPr>
            </w:pPr>
            <w:r w:rsidRPr="003D549C">
              <w:rPr>
                <w:rFonts w:cs="Arial"/>
                <w:sz w:val="18"/>
              </w:rPr>
              <w:t>40</w:t>
            </w:r>
          </w:p>
        </w:tc>
        <w:tc>
          <w:tcPr>
            <w:tcW w:w="1985" w:type="dxa"/>
            <w:tcBorders>
              <w:left w:val="single" w:sz="4" w:space="0" w:color="A8D08D" w:themeColor="accent6" w:themeTint="99"/>
            </w:tcBorders>
          </w:tcPr>
          <w:p w14:paraId="7C2DBB1A" w14:textId="77777777" w:rsidR="00FC22E6" w:rsidRPr="003D549C" w:rsidRDefault="00FC22E6" w:rsidP="005F77A1">
            <w:pPr>
              <w:spacing w:before="20" w:after="20"/>
              <w:rPr>
                <w:rFonts w:cs="Arial"/>
                <w:sz w:val="18"/>
              </w:rPr>
            </w:pPr>
            <w:r w:rsidRPr="003D549C">
              <w:rPr>
                <w:rFonts w:cs="Arial"/>
                <w:sz w:val="18"/>
              </w:rPr>
              <w:t xml:space="preserve">Tonga </w:t>
            </w:r>
          </w:p>
        </w:tc>
        <w:tc>
          <w:tcPr>
            <w:tcW w:w="1559" w:type="dxa"/>
          </w:tcPr>
          <w:p w14:paraId="016FDB65" w14:textId="77777777" w:rsidR="00FC22E6" w:rsidRPr="003D549C" w:rsidRDefault="00FC22E6" w:rsidP="005F77A1">
            <w:pPr>
              <w:spacing w:before="20" w:after="20"/>
              <w:jc w:val="center"/>
              <w:rPr>
                <w:rFonts w:cs="Arial"/>
                <w:sz w:val="18"/>
              </w:rPr>
            </w:pPr>
            <w:r w:rsidRPr="003D549C">
              <w:rPr>
                <w:rFonts w:cs="Arial"/>
                <w:sz w:val="18"/>
              </w:rPr>
              <w:t>46</w:t>
            </w:r>
          </w:p>
        </w:tc>
      </w:tr>
      <w:tr w:rsidR="00FC22E6" w:rsidRPr="003D549C" w14:paraId="75116C49" w14:textId="77777777" w:rsidTr="005825A6">
        <w:tc>
          <w:tcPr>
            <w:tcW w:w="1922" w:type="dxa"/>
            <w:shd w:val="clear" w:color="auto" w:fill="E2EFD9" w:themeFill="accent6" w:themeFillTint="33"/>
          </w:tcPr>
          <w:p w14:paraId="313F2B3E" w14:textId="77777777" w:rsidR="00FC22E6" w:rsidRPr="003D549C" w:rsidRDefault="00FC22E6" w:rsidP="005F77A1">
            <w:pPr>
              <w:spacing w:before="20" w:after="20"/>
              <w:rPr>
                <w:rFonts w:cs="Arial"/>
                <w:sz w:val="18"/>
              </w:rPr>
            </w:pPr>
            <w:r w:rsidRPr="003D549C">
              <w:rPr>
                <w:rFonts w:cs="Arial"/>
                <w:sz w:val="18"/>
              </w:rPr>
              <w:t>Average all countries</w:t>
            </w:r>
          </w:p>
        </w:tc>
        <w:tc>
          <w:tcPr>
            <w:tcW w:w="1622" w:type="dxa"/>
            <w:tcBorders>
              <w:right w:val="single" w:sz="4" w:space="0" w:color="A8D08D" w:themeColor="accent6" w:themeTint="99"/>
            </w:tcBorders>
            <w:shd w:val="clear" w:color="auto" w:fill="E2EFD9" w:themeFill="accent6" w:themeFillTint="33"/>
          </w:tcPr>
          <w:p w14:paraId="5F6ABA72" w14:textId="77777777" w:rsidR="00FC22E6" w:rsidRPr="003D549C" w:rsidRDefault="00FC22E6" w:rsidP="005F77A1">
            <w:pPr>
              <w:spacing w:before="20" w:after="20"/>
              <w:jc w:val="center"/>
              <w:rPr>
                <w:rFonts w:cs="Arial"/>
                <w:sz w:val="18"/>
              </w:rPr>
            </w:pPr>
            <w:r w:rsidRPr="003D549C">
              <w:rPr>
                <w:rFonts w:cs="Arial"/>
                <w:sz w:val="18"/>
              </w:rPr>
              <w:t>39</w:t>
            </w:r>
          </w:p>
        </w:tc>
        <w:tc>
          <w:tcPr>
            <w:tcW w:w="1985" w:type="dxa"/>
            <w:tcBorders>
              <w:left w:val="single" w:sz="4" w:space="0" w:color="A8D08D" w:themeColor="accent6" w:themeTint="99"/>
            </w:tcBorders>
          </w:tcPr>
          <w:p w14:paraId="1C7F87D9" w14:textId="77777777" w:rsidR="00FC22E6" w:rsidRPr="003D549C" w:rsidRDefault="00FC22E6" w:rsidP="005F77A1">
            <w:pPr>
              <w:spacing w:before="20" w:after="20"/>
              <w:rPr>
                <w:rFonts w:cs="Arial"/>
                <w:sz w:val="18"/>
              </w:rPr>
            </w:pPr>
            <w:r w:rsidRPr="003D549C">
              <w:rPr>
                <w:rFonts w:cs="Arial"/>
                <w:sz w:val="18"/>
              </w:rPr>
              <w:t>Tuvalu</w:t>
            </w:r>
          </w:p>
        </w:tc>
        <w:tc>
          <w:tcPr>
            <w:tcW w:w="1559" w:type="dxa"/>
          </w:tcPr>
          <w:p w14:paraId="638B60E7" w14:textId="77777777" w:rsidR="00FC22E6" w:rsidRPr="003D549C" w:rsidRDefault="00FC22E6" w:rsidP="005F77A1">
            <w:pPr>
              <w:spacing w:before="20" w:after="20"/>
              <w:jc w:val="center"/>
              <w:rPr>
                <w:rFonts w:cs="Arial"/>
                <w:sz w:val="18"/>
              </w:rPr>
            </w:pPr>
            <w:r w:rsidRPr="003D549C">
              <w:rPr>
                <w:rFonts w:cs="Arial"/>
                <w:sz w:val="18"/>
              </w:rPr>
              <w:t>43</w:t>
            </w:r>
          </w:p>
        </w:tc>
      </w:tr>
      <w:tr w:rsidR="00FC22E6" w:rsidRPr="003D549C" w14:paraId="602C47F8" w14:textId="77777777" w:rsidTr="005825A6">
        <w:tc>
          <w:tcPr>
            <w:tcW w:w="1922" w:type="dxa"/>
            <w:shd w:val="clear" w:color="auto" w:fill="auto"/>
          </w:tcPr>
          <w:p w14:paraId="38741BB7" w14:textId="77777777" w:rsidR="00FC22E6" w:rsidRPr="003D549C" w:rsidRDefault="00FC22E6" w:rsidP="005F77A1">
            <w:pPr>
              <w:spacing w:before="20" w:after="20"/>
              <w:rPr>
                <w:rFonts w:cs="Arial"/>
                <w:sz w:val="18"/>
              </w:rPr>
            </w:pPr>
            <w:r w:rsidRPr="003D549C">
              <w:rPr>
                <w:rFonts w:cs="Arial"/>
                <w:sz w:val="18"/>
              </w:rPr>
              <w:t xml:space="preserve">Solomon Islands </w:t>
            </w:r>
          </w:p>
        </w:tc>
        <w:tc>
          <w:tcPr>
            <w:tcW w:w="1622" w:type="dxa"/>
            <w:tcBorders>
              <w:right w:val="single" w:sz="4" w:space="0" w:color="A8D08D" w:themeColor="accent6" w:themeTint="99"/>
            </w:tcBorders>
            <w:shd w:val="clear" w:color="auto" w:fill="auto"/>
          </w:tcPr>
          <w:p w14:paraId="5958043C" w14:textId="77777777" w:rsidR="00FC22E6" w:rsidRPr="003D549C" w:rsidRDefault="00FC22E6" w:rsidP="005F77A1">
            <w:pPr>
              <w:spacing w:before="20" w:after="20"/>
              <w:jc w:val="center"/>
              <w:rPr>
                <w:rFonts w:cs="Arial"/>
                <w:sz w:val="18"/>
              </w:rPr>
            </w:pPr>
            <w:r w:rsidRPr="003D549C">
              <w:rPr>
                <w:rFonts w:cs="Arial"/>
                <w:sz w:val="18"/>
              </w:rPr>
              <w:t>37</w:t>
            </w:r>
          </w:p>
        </w:tc>
        <w:tc>
          <w:tcPr>
            <w:tcW w:w="1985" w:type="dxa"/>
            <w:tcBorders>
              <w:left w:val="single" w:sz="4" w:space="0" w:color="A8D08D" w:themeColor="accent6" w:themeTint="99"/>
            </w:tcBorders>
          </w:tcPr>
          <w:p w14:paraId="20A759F3" w14:textId="77777777" w:rsidR="00FC22E6" w:rsidRPr="003D549C" w:rsidRDefault="00FC22E6" w:rsidP="005F77A1">
            <w:pPr>
              <w:spacing w:before="20" w:after="20"/>
              <w:rPr>
                <w:rFonts w:cs="Arial"/>
                <w:sz w:val="18"/>
              </w:rPr>
            </w:pPr>
            <w:r w:rsidRPr="003D549C">
              <w:rPr>
                <w:rFonts w:cs="Arial"/>
                <w:sz w:val="18"/>
              </w:rPr>
              <w:t xml:space="preserve">RMI </w:t>
            </w:r>
          </w:p>
        </w:tc>
        <w:tc>
          <w:tcPr>
            <w:tcW w:w="1559" w:type="dxa"/>
          </w:tcPr>
          <w:p w14:paraId="4F32852F" w14:textId="77777777" w:rsidR="00FC22E6" w:rsidRPr="003D549C" w:rsidRDefault="00FC22E6" w:rsidP="005F77A1">
            <w:pPr>
              <w:spacing w:before="20" w:after="20"/>
              <w:jc w:val="center"/>
              <w:rPr>
                <w:rFonts w:cs="Arial"/>
                <w:sz w:val="18"/>
              </w:rPr>
            </w:pPr>
            <w:r w:rsidRPr="003D549C">
              <w:rPr>
                <w:rFonts w:cs="Arial"/>
                <w:sz w:val="18"/>
              </w:rPr>
              <w:t>43</w:t>
            </w:r>
          </w:p>
        </w:tc>
      </w:tr>
      <w:tr w:rsidR="00FC22E6" w:rsidRPr="003D549C" w14:paraId="1532B318" w14:textId="77777777" w:rsidTr="005825A6">
        <w:tc>
          <w:tcPr>
            <w:tcW w:w="1922" w:type="dxa"/>
          </w:tcPr>
          <w:p w14:paraId="1DD1E484" w14:textId="77777777" w:rsidR="00FC22E6" w:rsidRPr="003D549C" w:rsidRDefault="00FC22E6" w:rsidP="005F77A1">
            <w:pPr>
              <w:spacing w:before="20" w:after="20"/>
              <w:rPr>
                <w:rFonts w:cs="Arial"/>
                <w:sz w:val="18"/>
              </w:rPr>
            </w:pPr>
            <w:r w:rsidRPr="003D549C">
              <w:rPr>
                <w:rFonts w:cs="Arial"/>
                <w:sz w:val="18"/>
              </w:rPr>
              <w:t>PNG</w:t>
            </w:r>
          </w:p>
        </w:tc>
        <w:tc>
          <w:tcPr>
            <w:tcW w:w="1622" w:type="dxa"/>
            <w:tcBorders>
              <w:right w:val="single" w:sz="4" w:space="0" w:color="A8D08D" w:themeColor="accent6" w:themeTint="99"/>
            </w:tcBorders>
          </w:tcPr>
          <w:p w14:paraId="18385341" w14:textId="77777777" w:rsidR="00FC22E6" w:rsidRPr="003D549C" w:rsidRDefault="00FC22E6" w:rsidP="005F77A1">
            <w:pPr>
              <w:spacing w:before="20" w:after="20"/>
              <w:jc w:val="center"/>
              <w:rPr>
                <w:rFonts w:cs="Arial"/>
                <w:sz w:val="18"/>
              </w:rPr>
            </w:pPr>
            <w:r w:rsidRPr="003D549C">
              <w:rPr>
                <w:rFonts w:cs="Arial"/>
                <w:sz w:val="18"/>
              </w:rPr>
              <w:t>36</w:t>
            </w:r>
          </w:p>
        </w:tc>
        <w:tc>
          <w:tcPr>
            <w:tcW w:w="1985" w:type="dxa"/>
            <w:tcBorders>
              <w:left w:val="single" w:sz="4" w:space="0" w:color="A8D08D" w:themeColor="accent6" w:themeTint="99"/>
            </w:tcBorders>
            <w:shd w:val="clear" w:color="auto" w:fill="E2EFD9" w:themeFill="accent6" w:themeFillTint="33"/>
          </w:tcPr>
          <w:p w14:paraId="43DE9A0A" w14:textId="77777777" w:rsidR="00FC22E6" w:rsidRPr="003D549C" w:rsidRDefault="00FC22E6" w:rsidP="005F77A1">
            <w:pPr>
              <w:spacing w:before="20" w:after="20"/>
              <w:rPr>
                <w:rFonts w:cs="Arial"/>
                <w:sz w:val="18"/>
              </w:rPr>
            </w:pPr>
            <w:r w:rsidRPr="003D549C">
              <w:rPr>
                <w:rFonts w:cs="Arial"/>
                <w:sz w:val="18"/>
              </w:rPr>
              <w:t>Average all countries</w:t>
            </w:r>
          </w:p>
        </w:tc>
        <w:tc>
          <w:tcPr>
            <w:tcW w:w="1559" w:type="dxa"/>
            <w:shd w:val="clear" w:color="auto" w:fill="E2EFD9" w:themeFill="accent6" w:themeFillTint="33"/>
          </w:tcPr>
          <w:p w14:paraId="4DC838AA" w14:textId="77777777" w:rsidR="00FC22E6" w:rsidRPr="003D549C" w:rsidRDefault="00FC22E6" w:rsidP="005F77A1">
            <w:pPr>
              <w:spacing w:before="20" w:after="20"/>
              <w:jc w:val="center"/>
              <w:rPr>
                <w:rFonts w:cs="Arial"/>
                <w:sz w:val="18"/>
              </w:rPr>
            </w:pPr>
            <w:r w:rsidRPr="003D549C">
              <w:rPr>
                <w:rFonts w:cs="Arial"/>
                <w:sz w:val="18"/>
              </w:rPr>
              <w:t>39</w:t>
            </w:r>
          </w:p>
        </w:tc>
      </w:tr>
      <w:tr w:rsidR="00FC22E6" w:rsidRPr="003D549C" w14:paraId="7639504A" w14:textId="77777777" w:rsidTr="005825A6">
        <w:tc>
          <w:tcPr>
            <w:tcW w:w="1922" w:type="dxa"/>
            <w:shd w:val="clear" w:color="auto" w:fill="auto"/>
          </w:tcPr>
          <w:p w14:paraId="550D5152" w14:textId="77777777" w:rsidR="00FC22E6" w:rsidRPr="003D549C" w:rsidRDefault="00FC22E6" w:rsidP="005F77A1">
            <w:pPr>
              <w:spacing w:before="20" w:after="20"/>
              <w:rPr>
                <w:rFonts w:cs="Arial"/>
                <w:sz w:val="18"/>
              </w:rPr>
            </w:pPr>
            <w:r w:rsidRPr="003D549C">
              <w:rPr>
                <w:rFonts w:cs="Arial"/>
                <w:sz w:val="18"/>
              </w:rPr>
              <w:t xml:space="preserve">Vanuatu </w:t>
            </w:r>
          </w:p>
        </w:tc>
        <w:tc>
          <w:tcPr>
            <w:tcW w:w="1622" w:type="dxa"/>
            <w:tcBorders>
              <w:right w:val="single" w:sz="4" w:space="0" w:color="A8D08D" w:themeColor="accent6" w:themeTint="99"/>
            </w:tcBorders>
            <w:shd w:val="clear" w:color="auto" w:fill="auto"/>
          </w:tcPr>
          <w:p w14:paraId="7AF59A11" w14:textId="77777777" w:rsidR="00FC22E6" w:rsidRPr="003D549C" w:rsidRDefault="00FC22E6" w:rsidP="005F77A1">
            <w:pPr>
              <w:spacing w:before="20" w:after="20"/>
              <w:jc w:val="center"/>
              <w:rPr>
                <w:rFonts w:cs="Arial"/>
                <w:sz w:val="18"/>
              </w:rPr>
            </w:pPr>
            <w:r w:rsidRPr="003D549C">
              <w:rPr>
                <w:rFonts w:cs="Arial"/>
                <w:sz w:val="18"/>
              </w:rPr>
              <w:t>34</w:t>
            </w:r>
          </w:p>
        </w:tc>
        <w:tc>
          <w:tcPr>
            <w:tcW w:w="1985" w:type="dxa"/>
            <w:tcBorders>
              <w:left w:val="single" w:sz="4" w:space="0" w:color="A8D08D" w:themeColor="accent6" w:themeTint="99"/>
            </w:tcBorders>
          </w:tcPr>
          <w:p w14:paraId="3B2471DE" w14:textId="77777777" w:rsidR="00FC22E6" w:rsidRPr="003D549C" w:rsidRDefault="00FC22E6" w:rsidP="005F77A1">
            <w:pPr>
              <w:spacing w:before="20" w:after="20"/>
              <w:rPr>
                <w:rFonts w:cs="Arial"/>
                <w:sz w:val="18"/>
              </w:rPr>
            </w:pPr>
            <w:r w:rsidRPr="003D549C">
              <w:rPr>
                <w:rFonts w:cs="Arial"/>
                <w:sz w:val="18"/>
              </w:rPr>
              <w:t>Nauru</w:t>
            </w:r>
          </w:p>
        </w:tc>
        <w:tc>
          <w:tcPr>
            <w:tcW w:w="1559" w:type="dxa"/>
          </w:tcPr>
          <w:p w14:paraId="00311683" w14:textId="77777777" w:rsidR="00FC22E6" w:rsidRPr="003D549C" w:rsidRDefault="00FC22E6" w:rsidP="005F77A1">
            <w:pPr>
              <w:spacing w:before="20" w:after="20"/>
              <w:jc w:val="center"/>
              <w:rPr>
                <w:rFonts w:cs="Arial"/>
                <w:sz w:val="18"/>
              </w:rPr>
            </w:pPr>
            <w:r w:rsidRPr="003D549C">
              <w:rPr>
                <w:rFonts w:cs="Arial"/>
                <w:sz w:val="18"/>
              </w:rPr>
              <w:t>38</w:t>
            </w:r>
          </w:p>
        </w:tc>
      </w:tr>
      <w:tr w:rsidR="00FC22E6" w:rsidRPr="003D549C" w14:paraId="35BD2357" w14:textId="77777777" w:rsidTr="005825A6">
        <w:tc>
          <w:tcPr>
            <w:tcW w:w="1922" w:type="dxa"/>
          </w:tcPr>
          <w:p w14:paraId="0FCA29A3" w14:textId="77777777" w:rsidR="00FC22E6" w:rsidRPr="003D549C" w:rsidRDefault="00FC22E6" w:rsidP="005F77A1">
            <w:pPr>
              <w:spacing w:before="20" w:after="20"/>
              <w:rPr>
                <w:rFonts w:cs="Arial"/>
                <w:sz w:val="18"/>
              </w:rPr>
            </w:pPr>
          </w:p>
        </w:tc>
        <w:tc>
          <w:tcPr>
            <w:tcW w:w="1622" w:type="dxa"/>
            <w:tcBorders>
              <w:right w:val="single" w:sz="4" w:space="0" w:color="A8D08D" w:themeColor="accent6" w:themeTint="99"/>
            </w:tcBorders>
          </w:tcPr>
          <w:p w14:paraId="59AC12BA" w14:textId="77777777" w:rsidR="00FC22E6" w:rsidRPr="003D549C" w:rsidRDefault="00FC22E6" w:rsidP="005F77A1">
            <w:pPr>
              <w:spacing w:before="20" w:after="20"/>
              <w:jc w:val="center"/>
              <w:rPr>
                <w:rFonts w:cs="Arial"/>
                <w:sz w:val="18"/>
              </w:rPr>
            </w:pPr>
          </w:p>
        </w:tc>
        <w:tc>
          <w:tcPr>
            <w:tcW w:w="1985" w:type="dxa"/>
            <w:tcBorders>
              <w:left w:val="single" w:sz="4" w:space="0" w:color="A8D08D" w:themeColor="accent6" w:themeTint="99"/>
            </w:tcBorders>
          </w:tcPr>
          <w:p w14:paraId="39575278" w14:textId="77777777" w:rsidR="00FC22E6" w:rsidRPr="003D549C" w:rsidRDefault="00FC22E6" w:rsidP="005F77A1">
            <w:pPr>
              <w:spacing w:before="20" w:after="20"/>
              <w:rPr>
                <w:rFonts w:cs="Arial"/>
                <w:sz w:val="18"/>
              </w:rPr>
            </w:pPr>
            <w:r w:rsidRPr="003D549C">
              <w:rPr>
                <w:rFonts w:cs="Arial"/>
                <w:sz w:val="18"/>
              </w:rPr>
              <w:t>Kiribati</w:t>
            </w:r>
          </w:p>
        </w:tc>
        <w:tc>
          <w:tcPr>
            <w:tcW w:w="1559" w:type="dxa"/>
          </w:tcPr>
          <w:p w14:paraId="6603AAD2" w14:textId="77777777" w:rsidR="00FC22E6" w:rsidRPr="003D549C" w:rsidRDefault="00FC22E6" w:rsidP="005F77A1">
            <w:pPr>
              <w:spacing w:before="20" w:after="20"/>
              <w:jc w:val="center"/>
              <w:rPr>
                <w:rFonts w:cs="Arial"/>
                <w:sz w:val="18"/>
              </w:rPr>
            </w:pPr>
            <w:r w:rsidRPr="003D549C">
              <w:rPr>
                <w:rFonts w:cs="Arial"/>
                <w:sz w:val="18"/>
              </w:rPr>
              <w:t>34</w:t>
            </w:r>
          </w:p>
        </w:tc>
      </w:tr>
      <w:tr w:rsidR="00FC22E6" w:rsidRPr="003D549C" w14:paraId="70B4E18F" w14:textId="77777777" w:rsidTr="005825A6">
        <w:tc>
          <w:tcPr>
            <w:tcW w:w="1922" w:type="dxa"/>
          </w:tcPr>
          <w:p w14:paraId="34018D68" w14:textId="77777777" w:rsidR="00FC22E6" w:rsidRPr="003D549C" w:rsidRDefault="00FC22E6" w:rsidP="005F77A1">
            <w:pPr>
              <w:spacing w:before="20" w:after="20"/>
              <w:rPr>
                <w:rFonts w:cs="Arial"/>
                <w:sz w:val="18"/>
              </w:rPr>
            </w:pPr>
          </w:p>
        </w:tc>
        <w:tc>
          <w:tcPr>
            <w:tcW w:w="1622" w:type="dxa"/>
            <w:tcBorders>
              <w:right w:val="single" w:sz="4" w:space="0" w:color="A8D08D" w:themeColor="accent6" w:themeTint="99"/>
            </w:tcBorders>
          </w:tcPr>
          <w:p w14:paraId="3A9AAF97" w14:textId="77777777" w:rsidR="00FC22E6" w:rsidRPr="003D549C" w:rsidRDefault="00FC22E6" w:rsidP="005F77A1">
            <w:pPr>
              <w:spacing w:before="20" w:after="20"/>
              <w:jc w:val="center"/>
              <w:rPr>
                <w:rFonts w:cs="Arial"/>
                <w:sz w:val="18"/>
              </w:rPr>
            </w:pPr>
          </w:p>
        </w:tc>
        <w:tc>
          <w:tcPr>
            <w:tcW w:w="1985" w:type="dxa"/>
            <w:tcBorders>
              <w:left w:val="single" w:sz="4" w:space="0" w:color="A8D08D" w:themeColor="accent6" w:themeTint="99"/>
            </w:tcBorders>
            <w:shd w:val="clear" w:color="auto" w:fill="auto"/>
          </w:tcPr>
          <w:p w14:paraId="5B4F0168" w14:textId="77777777" w:rsidR="00FC22E6" w:rsidRPr="003D549C" w:rsidRDefault="00FC22E6" w:rsidP="005F77A1">
            <w:pPr>
              <w:spacing w:before="20" w:after="20"/>
              <w:rPr>
                <w:rFonts w:cs="Arial"/>
                <w:sz w:val="18"/>
              </w:rPr>
            </w:pPr>
            <w:r w:rsidRPr="003D549C">
              <w:rPr>
                <w:rFonts w:cs="Arial"/>
                <w:sz w:val="18"/>
              </w:rPr>
              <w:t>Palau</w:t>
            </w:r>
          </w:p>
        </w:tc>
        <w:tc>
          <w:tcPr>
            <w:tcW w:w="1559" w:type="dxa"/>
            <w:shd w:val="clear" w:color="auto" w:fill="auto"/>
          </w:tcPr>
          <w:p w14:paraId="00F5CC8D" w14:textId="77777777" w:rsidR="00FC22E6" w:rsidRPr="003D549C" w:rsidRDefault="00FC22E6" w:rsidP="005F77A1">
            <w:pPr>
              <w:spacing w:before="20" w:after="20"/>
              <w:jc w:val="center"/>
              <w:rPr>
                <w:rFonts w:cs="Arial"/>
                <w:sz w:val="18"/>
              </w:rPr>
            </w:pPr>
            <w:r w:rsidRPr="003D549C">
              <w:rPr>
                <w:rFonts w:cs="Arial"/>
                <w:sz w:val="18"/>
              </w:rPr>
              <w:t>33</w:t>
            </w:r>
          </w:p>
        </w:tc>
      </w:tr>
      <w:tr w:rsidR="00FC22E6" w:rsidRPr="003D549C" w14:paraId="7D83B2D7" w14:textId="77777777" w:rsidTr="005825A6">
        <w:tc>
          <w:tcPr>
            <w:tcW w:w="1922" w:type="dxa"/>
            <w:tcBorders>
              <w:bottom w:val="single" w:sz="4" w:space="0" w:color="A8D08D" w:themeColor="accent6" w:themeTint="99"/>
            </w:tcBorders>
          </w:tcPr>
          <w:p w14:paraId="663E2ED2" w14:textId="77777777" w:rsidR="00FC22E6" w:rsidRPr="003D549C" w:rsidRDefault="00FC22E6" w:rsidP="005F77A1">
            <w:pPr>
              <w:spacing w:before="20" w:after="20"/>
              <w:rPr>
                <w:rFonts w:cs="Arial"/>
                <w:sz w:val="18"/>
              </w:rPr>
            </w:pPr>
          </w:p>
        </w:tc>
        <w:tc>
          <w:tcPr>
            <w:tcW w:w="1622" w:type="dxa"/>
            <w:tcBorders>
              <w:bottom w:val="single" w:sz="4" w:space="0" w:color="A8D08D" w:themeColor="accent6" w:themeTint="99"/>
              <w:right w:val="single" w:sz="4" w:space="0" w:color="A8D08D" w:themeColor="accent6" w:themeTint="99"/>
            </w:tcBorders>
          </w:tcPr>
          <w:p w14:paraId="7A972E0A" w14:textId="77777777" w:rsidR="00FC22E6" w:rsidRPr="003D549C" w:rsidRDefault="00FC22E6" w:rsidP="005F77A1">
            <w:pPr>
              <w:spacing w:before="20" w:after="20"/>
              <w:jc w:val="center"/>
              <w:rPr>
                <w:rFonts w:cs="Arial"/>
                <w:sz w:val="18"/>
              </w:rPr>
            </w:pPr>
          </w:p>
        </w:tc>
        <w:tc>
          <w:tcPr>
            <w:tcW w:w="1985" w:type="dxa"/>
            <w:tcBorders>
              <w:left w:val="single" w:sz="4" w:space="0" w:color="A8D08D" w:themeColor="accent6" w:themeTint="99"/>
              <w:bottom w:val="single" w:sz="4" w:space="0" w:color="A8D08D" w:themeColor="accent6" w:themeTint="99"/>
            </w:tcBorders>
          </w:tcPr>
          <w:p w14:paraId="14CE2A39" w14:textId="77777777" w:rsidR="00FC22E6" w:rsidRPr="003D549C" w:rsidRDefault="00FC22E6" w:rsidP="005F77A1">
            <w:pPr>
              <w:spacing w:before="20" w:after="20"/>
              <w:rPr>
                <w:rFonts w:cs="Arial"/>
                <w:sz w:val="18"/>
              </w:rPr>
            </w:pPr>
            <w:r w:rsidRPr="003D549C">
              <w:rPr>
                <w:rFonts w:cs="Arial"/>
                <w:sz w:val="18"/>
              </w:rPr>
              <w:t>FSM</w:t>
            </w:r>
          </w:p>
        </w:tc>
        <w:tc>
          <w:tcPr>
            <w:tcW w:w="1559" w:type="dxa"/>
            <w:tcBorders>
              <w:bottom w:val="single" w:sz="4" w:space="0" w:color="A8D08D" w:themeColor="accent6" w:themeTint="99"/>
            </w:tcBorders>
          </w:tcPr>
          <w:p w14:paraId="44369876" w14:textId="77777777" w:rsidR="00FC22E6" w:rsidRPr="003D549C" w:rsidRDefault="00FC22E6" w:rsidP="005F77A1">
            <w:pPr>
              <w:spacing w:before="20" w:after="20"/>
              <w:jc w:val="center"/>
              <w:rPr>
                <w:rFonts w:cs="Arial"/>
                <w:sz w:val="18"/>
              </w:rPr>
            </w:pPr>
            <w:r w:rsidRPr="003D549C">
              <w:rPr>
                <w:rFonts w:cs="Arial"/>
                <w:sz w:val="18"/>
              </w:rPr>
              <w:t>21</w:t>
            </w:r>
          </w:p>
        </w:tc>
      </w:tr>
    </w:tbl>
    <w:p w14:paraId="4070E95A" w14:textId="77777777" w:rsidR="00FC22E6" w:rsidRPr="003D549C" w:rsidRDefault="00FC22E6" w:rsidP="00FC22E6">
      <w:pPr>
        <w:spacing w:line="276" w:lineRule="auto"/>
        <w:rPr>
          <w:rFonts w:eastAsia="Calibri" w:cs="Arial"/>
          <w:sz w:val="16"/>
          <w:szCs w:val="18"/>
        </w:rPr>
      </w:pPr>
      <w:r w:rsidRPr="003D549C">
        <w:rPr>
          <w:rFonts w:eastAsia="Calibri" w:cs="Arial"/>
          <w:sz w:val="16"/>
          <w:szCs w:val="18"/>
        </w:rPr>
        <w:t>Source:</w:t>
      </w:r>
      <w:r>
        <w:rPr>
          <w:rFonts w:eastAsia="Calibri" w:cs="Arial"/>
          <w:sz w:val="16"/>
          <w:szCs w:val="18"/>
        </w:rPr>
        <w:t xml:space="preserve"> </w:t>
      </w:r>
      <w:r w:rsidRPr="003D549C">
        <w:rPr>
          <w:rFonts w:eastAsia="Calibri" w:cs="Arial"/>
          <w:sz w:val="16"/>
          <w:szCs w:val="18"/>
        </w:rPr>
        <w:t>APTC Table B.2</w:t>
      </w:r>
    </w:p>
    <w:p w14:paraId="46B4F64A" w14:textId="1B311F9E" w:rsidR="00FC22E6" w:rsidRPr="00AD225D" w:rsidRDefault="00FC22E6" w:rsidP="00FC22E6">
      <w:pPr>
        <w:pStyle w:val="Tableheading"/>
      </w:pPr>
      <w:bookmarkStart w:id="188" w:name="_Toc274146429"/>
      <w:bookmarkStart w:id="189" w:name="_Toc274915888"/>
      <w:bookmarkStart w:id="190" w:name="_Toc278446866"/>
      <w:r>
        <w:t xml:space="preserve">Table 3.1.4: </w:t>
      </w:r>
      <w:r>
        <w:rPr>
          <w:rFonts w:eastAsia="Calibri"/>
        </w:rPr>
        <w:t>Scholarship awards as a percentage of</w:t>
      </w:r>
      <w:r w:rsidRPr="009037C7">
        <w:rPr>
          <w:rFonts w:eastAsia="Calibri"/>
        </w:rPr>
        <w:t xml:space="preserve"> applicants</w:t>
      </w:r>
      <w:r>
        <w:rPr>
          <w:rFonts w:eastAsia="Calibri"/>
        </w:rPr>
        <w:t xml:space="preserve"> by nationality</w:t>
      </w:r>
      <w:bookmarkEnd w:id="188"/>
      <w:bookmarkEnd w:id="189"/>
      <w:bookmarkEnd w:id="190"/>
    </w:p>
    <w:tbl>
      <w:tblPr>
        <w:tblStyle w:val="TableGrid2"/>
        <w:tblW w:w="70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1642"/>
        <w:gridCol w:w="1985"/>
        <w:gridCol w:w="1559"/>
      </w:tblGrid>
      <w:tr w:rsidR="00FC22E6" w:rsidRPr="00AD225D" w14:paraId="73463F14" w14:textId="77777777" w:rsidTr="00013E94">
        <w:tc>
          <w:tcPr>
            <w:tcW w:w="3544" w:type="dxa"/>
            <w:gridSpan w:val="2"/>
            <w:tcBorders>
              <w:right w:val="single" w:sz="4" w:space="0" w:color="A8D08D" w:themeColor="accent6" w:themeTint="99"/>
            </w:tcBorders>
            <w:shd w:val="clear" w:color="auto" w:fill="C5E0B3" w:themeFill="accent6" w:themeFillTint="66"/>
          </w:tcPr>
          <w:p w14:paraId="2759517F" w14:textId="77777777" w:rsidR="00FC22E6" w:rsidRPr="00AD225D" w:rsidRDefault="00FC22E6" w:rsidP="005F77A1">
            <w:pPr>
              <w:spacing w:before="20" w:after="20"/>
              <w:jc w:val="center"/>
              <w:rPr>
                <w:rFonts w:cs="Arial"/>
                <w:b/>
                <w:sz w:val="18"/>
              </w:rPr>
            </w:pPr>
            <w:r w:rsidRPr="00AD225D">
              <w:rPr>
                <w:rFonts w:cs="Arial"/>
                <w:b/>
                <w:sz w:val="18"/>
              </w:rPr>
              <w:t xml:space="preserve">Campus </w:t>
            </w:r>
            <w:r>
              <w:rPr>
                <w:rFonts w:cs="Arial"/>
                <w:b/>
                <w:sz w:val="18"/>
              </w:rPr>
              <w:t>c</w:t>
            </w:r>
            <w:r w:rsidRPr="00AD225D">
              <w:rPr>
                <w:rFonts w:cs="Arial"/>
                <w:b/>
                <w:sz w:val="18"/>
              </w:rPr>
              <w:t>ountry</w:t>
            </w:r>
          </w:p>
        </w:tc>
        <w:tc>
          <w:tcPr>
            <w:tcW w:w="3544" w:type="dxa"/>
            <w:gridSpan w:val="2"/>
            <w:tcBorders>
              <w:left w:val="single" w:sz="4" w:space="0" w:color="A8D08D" w:themeColor="accent6" w:themeTint="99"/>
            </w:tcBorders>
            <w:shd w:val="clear" w:color="auto" w:fill="C5E0B3" w:themeFill="accent6" w:themeFillTint="66"/>
          </w:tcPr>
          <w:p w14:paraId="28983C18" w14:textId="77777777" w:rsidR="00FC22E6" w:rsidRPr="00AD225D" w:rsidRDefault="00FC22E6" w:rsidP="005F77A1">
            <w:pPr>
              <w:spacing w:before="20" w:after="20"/>
              <w:jc w:val="center"/>
              <w:rPr>
                <w:rFonts w:cs="Arial"/>
                <w:b/>
                <w:sz w:val="18"/>
              </w:rPr>
            </w:pPr>
            <w:r w:rsidRPr="00AD225D">
              <w:rPr>
                <w:rFonts w:cs="Arial"/>
                <w:b/>
                <w:sz w:val="18"/>
              </w:rPr>
              <w:t xml:space="preserve">Small </w:t>
            </w:r>
            <w:r>
              <w:rPr>
                <w:rFonts w:cs="Arial"/>
                <w:b/>
                <w:sz w:val="18"/>
              </w:rPr>
              <w:t>i</w:t>
            </w:r>
            <w:r w:rsidRPr="00AD225D">
              <w:rPr>
                <w:rFonts w:cs="Arial"/>
                <w:b/>
                <w:sz w:val="18"/>
              </w:rPr>
              <w:t xml:space="preserve">sland </w:t>
            </w:r>
            <w:r>
              <w:rPr>
                <w:rFonts w:cs="Arial"/>
                <w:b/>
                <w:sz w:val="18"/>
              </w:rPr>
              <w:t>s</w:t>
            </w:r>
            <w:r w:rsidRPr="00AD225D">
              <w:rPr>
                <w:rFonts w:cs="Arial"/>
                <w:b/>
                <w:sz w:val="18"/>
              </w:rPr>
              <w:t>tates</w:t>
            </w:r>
          </w:p>
        </w:tc>
      </w:tr>
      <w:tr w:rsidR="00FC22E6" w:rsidRPr="00AD225D" w14:paraId="7D9F07F0" w14:textId="77777777" w:rsidTr="00013E94">
        <w:tc>
          <w:tcPr>
            <w:tcW w:w="1902" w:type="dxa"/>
            <w:shd w:val="clear" w:color="auto" w:fill="E2EFD9" w:themeFill="accent6" w:themeFillTint="33"/>
          </w:tcPr>
          <w:p w14:paraId="09EEBD5E" w14:textId="77777777" w:rsidR="006F0A30" w:rsidRDefault="006F0A30" w:rsidP="006F0A30">
            <w:pPr>
              <w:spacing w:before="20" w:after="20"/>
              <w:rPr>
                <w:rFonts w:cs="Arial"/>
                <w:b/>
                <w:sz w:val="18"/>
              </w:rPr>
            </w:pPr>
          </w:p>
          <w:p w14:paraId="68EEE4B7" w14:textId="77777777" w:rsidR="00FC22E6" w:rsidRPr="00AD225D" w:rsidRDefault="00FC22E6" w:rsidP="006F0A30">
            <w:pPr>
              <w:spacing w:before="20" w:after="20"/>
              <w:rPr>
                <w:rFonts w:cs="Arial"/>
                <w:b/>
                <w:sz w:val="18"/>
              </w:rPr>
            </w:pPr>
            <w:r w:rsidRPr="00AD225D">
              <w:rPr>
                <w:rFonts w:cs="Arial"/>
                <w:b/>
                <w:sz w:val="18"/>
              </w:rPr>
              <w:t>Nationality</w:t>
            </w:r>
          </w:p>
        </w:tc>
        <w:tc>
          <w:tcPr>
            <w:tcW w:w="1642" w:type="dxa"/>
            <w:tcBorders>
              <w:right w:val="single" w:sz="4" w:space="0" w:color="A8D08D" w:themeColor="accent6" w:themeTint="99"/>
            </w:tcBorders>
            <w:shd w:val="clear" w:color="auto" w:fill="E2EFD9" w:themeFill="accent6" w:themeFillTint="33"/>
          </w:tcPr>
          <w:p w14:paraId="2FC92376" w14:textId="77777777" w:rsidR="00FC22E6" w:rsidRPr="00AD225D" w:rsidRDefault="00FC22E6" w:rsidP="005F77A1">
            <w:pPr>
              <w:spacing w:before="20" w:after="20"/>
              <w:jc w:val="center"/>
              <w:rPr>
                <w:rFonts w:cs="Arial"/>
                <w:b/>
                <w:sz w:val="18"/>
              </w:rPr>
            </w:pPr>
            <w:r w:rsidRPr="00AD225D">
              <w:rPr>
                <w:rFonts w:cs="Arial"/>
                <w:b/>
                <w:sz w:val="18"/>
              </w:rPr>
              <w:t>Scholarship awards as a % of applicants</w:t>
            </w:r>
          </w:p>
        </w:tc>
        <w:tc>
          <w:tcPr>
            <w:tcW w:w="1985" w:type="dxa"/>
            <w:tcBorders>
              <w:left w:val="single" w:sz="4" w:space="0" w:color="A8D08D" w:themeColor="accent6" w:themeTint="99"/>
            </w:tcBorders>
            <w:shd w:val="clear" w:color="auto" w:fill="E2EFD9" w:themeFill="accent6" w:themeFillTint="33"/>
          </w:tcPr>
          <w:p w14:paraId="26E37819" w14:textId="77777777" w:rsidR="006F0A30" w:rsidRDefault="006F0A30" w:rsidP="006F0A30">
            <w:pPr>
              <w:spacing w:before="20" w:after="20"/>
              <w:rPr>
                <w:rFonts w:cs="Arial"/>
                <w:b/>
                <w:sz w:val="18"/>
              </w:rPr>
            </w:pPr>
          </w:p>
          <w:p w14:paraId="52623DAF" w14:textId="77777777" w:rsidR="00FC22E6" w:rsidRPr="00AD225D" w:rsidRDefault="00FC22E6" w:rsidP="006F0A30">
            <w:pPr>
              <w:spacing w:before="20" w:after="20"/>
              <w:rPr>
                <w:rFonts w:cs="Arial"/>
                <w:b/>
                <w:sz w:val="18"/>
              </w:rPr>
            </w:pPr>
            <w:r w:rsidRPr="00AD225D">
              <w:rPr>
                <w:rFonts w:cs="Arial"/>
                <w:b/>
                <w:sz w:val="18"/>
              </w:rPr>
              <w:t>Nationality</w:t>
            </w:r>
          </w:p>
        </w:tc>
        <w:tc>
          <w:tcPr>
            <w:tcW w:w="1559" w:type="dxa"/>
            <w:shd w:val="clear" w:color="auto" w:fill="E2EFD9" w:themeFill="accent6" w:themeFillTint="33"/>
          </w:tcPr>
          <w:p w14:paraId="1DE537EC" w14:textId="77777777" w:rsidR="00FC22E6" w:rsidRPr="00AD225D" w:rsidRDefault="00FC22E6" w:rsidP="005F77A1">
            <w:pPr>
              <w:spacing w:before="20" w:after="20"/>
              <w:jc w:val="center"/>
              <w:rPr>
                <w:rFonts w:cs="Arial"/>
                <w:b/>
                <w:sz w:val="18"/>
              </w:rPr>
            </w:pPr>
            <w:r w:rsidRPr="00AD225D">
              <w:rPr>
                <w:rFonts w:cs="Arial"/>
                <w:b/>
                <w:sz w:val="18"/>
              </w:rPr>
              <w:t>Scholarship awards as a % of applicants</w:t>
            </w:r>
          </w:p>
        </w:tc>
      </w:tr>
      <w:tr w:rsidR="00FC22E6" w:rsidRPr="00AD225D" w14:paraId="5DCD63EB" w14:textId="77777777" w:rsidTr="00013E94">
        <w:tc>
          <w:tcPr>
            <w:tcW w:w="1902" w:type="dxa"/>
          </w:tcPr>
          <w:p w14:paraId="59006CA9" w14:textId="77777777" w:rsidR="00FC22E6" w:rsidRPr="00AD225D" w:rsidRDefault="00FC22E6" w:rsidP="005F77A1">
            <w:pPr>
              <w:spacing w:before="20" w:after="20"/>
              <w:rPr>
                <w:rFonts w:cs="Arial"/>
                <w:sz w:val="18"/>
              </w:rPr>
            </w:pPr>
            <w:r w:rsidRPr="00AD225D">
              <w:rPr>
                <w:rFonts w:cs="Arial"/>
                <w:sz w:val="18"/>
              </w:rPr>
              <w:t>Samoa</w:t>
            </w:r>
          </w:p>
        </w:tc>
        <w:tc>
          <w:tcPr>
            <w:tcW w:w="1642" w:type="dxa"/>
            <w:tcBorders>
              <w:right w:val="single" w:sz="4" w:space="0" w:color="A8D08D" w:themeColor="accent6" w:themeTint="99"/>
            </w:tcBorders>
          </w:tcPr>
          <w:p w14:paraId="00556D95" w14:textId="77777777" w:rsidR="00FC22E6" w:rsidRPr="00AD225D" w:rsidRDefault="00FC22E6" w:rsidP="005F77A1">
            <w:pPr>
              <w:spacing w:before="20" w:after="20"/>
              <w:jc w:val="center"/>
              <w:rPr>
                <w:rFonts w:cs="Arial"/>
                <w:sz w:val="18"/>
              </w:rPr>
            </w:pPr>
            <w:r w:rsidRPr="00AD225D">
              <w:rPr>
                <w:rFonts w:cs="Arial"/>
                <w:sz w:val="18"/>
              </w:rPr>
              <w:t>42</w:t>
            </w:r>
          </w:p>
        </w:tc>
        <w:tc>
          <w:tcPr>
            <w:tcW w:w="1985" w:type="dxa"/>
            <w:tcBorders>
              <w:left w:val="single" w:sz="4" w:space="0" w:color="A8D08D" w:themeColor="accent6" w:themeTint="99"/>
            </w:tcBorders>
          </w:tcPr>
          <w:p w14:paraId="6859ACF7" w14:textId="77777777" w:rsidR="00FC22E6" w:rsidRPr="00AD225D" w:rsidRDefault="00FC22E6" w:rsidP="005F77A1">
            <w:pPr>
              <w:spacing w:before="20" w:after="20"/>
              <w:rPr>
                <w:rFonts w:cs="Arial"/>
                <w:sz w:val="18"/>
              </w:rPr>
            </w:pPr>
            <w:r w:rsidRPr="00AD225D">
              <w:rPr>
                <w:rFonts w:cs="Arial"/>
                <w:sz w:val="18"/>
              </w:rPr>
              <w:t>Niue</w:t>
            </w:r>
          </w:p>
        </w:tc>
        <w:tc>
          <w:tcPr>
            <w:tcW w:w="1559" w:type="dxa"/>
          </w:tcPr>
          <w:p w14:paraId="534D76A4" w14:textId="77777777" w:rsidR="00FC22E6" w:rsidRPr="00AD225D" w:rsidRDefault="00FC22E6" w:rsidP="005F77A1">
            <w:pPr>
              <w:spacing w:before="20" w:after="20"/>
              <w:jc w:val="center"/>
              <w:rPr>
                <w:rFonts w:cs="Arial"/>
                <w:sz w:val="18"/>
              </w:rPr>
            </w:pPr>
            <w:r w:rsidRPr="00AD225D">
              <w:rPr>
                <w:rFonts w:cs="Arial"/>
                <w:sz w:val="18"/>
              </w:rPr>
              <w:t>50</w:t>
            </w:r>
          </w:p>
        </w:tc>
      </w:tr>
      <w:tr w:rsidR="00FC22E6" w:rsidRPr="00AD225D" w14:paraId="6026D19E" w14:textId="77777777" w:rsidTr="00013E94">
        <w:tc>
          <w:tcPr>
            <w:tcW w:w="1902" w:type="dxa"/>
          </w:tcPr>
          <w:p w14:paraId="2B7F0F41" w14:textId="77777777" w:rsidR="00FC22E6" w:rsidRPr="00AD225D" w:rsidRDefault="00FC22E6" w:rsidP="005F77A1">
            <w:pPr>
              <w:spacing w:before="20" w:after="20"/>
              <w:rPr>
                <w:rFonts w:cs="Arial"/>
                <w:sz w:val="18"/>
              </w:rPr>
            </w:pPr>
            <w:r w:rsidRPr="00AD225D">
              <w:rPr>
                <w:rFonts w:cs="Arial"/>
                <w:sz w:val="18"/>
              </w:rPr>
              <w:t>Fiji</w:t>
            </w:r>
          </w:p>
        </w:tc>
        <w:tc>
          <w:tcPr>
            <w:tcW w:w="1642" w:type="dxa"/>
            <w:tcBorders>
              <w:right w:val="single" w:sz="4" w:space="0" w:color="A8D08D" w:themeColor="accent6" w:themeTint="99"/>
            </w:tcBorders>
          </w:tcPr>
          <w:p w14:paraId="44790522" w14:textId="77777777" w:rsidR="00FC22E6" w:rsidRPr="00AD225D" w:rsidRDefault="00FC22E6" w:rsidP="005F77A1">
            <w:pPr>
              <w:spacing w:before="20" w:after="20"/>
              <w:jc w:val="center"/>
              <w:rPr>
                <w:rFonts w:cs="Arial"/>
                <w:sz w:val="18"/>
              </w:rPr>
            </w:pPr>
            <w:r w:rsidRPr="00AD225D">
              <w:rPr>
                <w:rFonts w:cs="Arial"/>
                <w:sz w:val="18"/>
              </w:rPr>
              <w:t>31</w:t>
            </w:r>
          </w:p>
        </w:tc>
        <w:tc>
          <w:tcPr>
            <w:tcW w:w="1985" w:type="dxa"/>
            <w:tcBorders>
              <w:left w:val="single" w:sz="4" w:space="0" w:color="A8D08D" w:themeColor="accent6" w:themeTint="99"/>
            </w:tcBorders>
          </w:tcPr>
          <w:p w14:paraId="71C6BEFE" w14:textId="77777777" w:rsidR="00FC22E6" w:rsidRPr="00AD225D" w:rsidRDefault="00FC22E6" w:rsidP="005F77A1">
            <w:pPr>
              <w:spacing w:before="20" w:after="20"/>
              <w:rPr>
                <w:rFonts w:cs="Arial"/>
                <w:sz w:val="18"/>
              </w:rPr>
            </w:pPr>
            <w:r w:rsidRPr="00AD225D">
              <w:rPr>
                <w:rFonts w:cs="Arial"/>
                <w:sz w:val="18"/>
              </w:rPr>
              <w:t>RMI</w:t>
            </w:r>
          </w:p>
        </w:tc>
        <w:tc>
          <w:tcPr>
            <w:tcW w:w="1559" w:type="dxa"/>
          </w:tcPr>
          <w:p w14:paraId="709A07B6" w14:textId="77777777" w:rsidR="00FC22E6" w:rsidRPr="00AD225D" w:rsidRDefault="00FC22E6" w:rsidP="005F77A1">
            <w:pPr>
              <w:spacing w:before="20" w:after="20"/>
              <w:jc w:val="center"/>
              <w:rPr>
                <w:rFonts w:cs="Arial"/>
                <w:sz w:val="18"/>
              </w:rPr>
            </w:pPr>
            <w:r w:rsidRPr="00AD225D">
              <w:rPr>
                <w:rFonts w:cs="Arial"/>
                <w:sz w:val="18"/>
              </w:rPr>
              <w:t>40</w:t>
            </w:r>
          </w:p>
        </w:tc>
      </w:tr>
      <w:tr w:rsidR="00FC22E6" w:rsidRPr="00AD225D" w14:paraId="22FCB8C9" w14:textId="77777777" w:rsidTr="00013E94">
        <w:tc>
          <w:tcPr>
            <w:tcW w:w="1902" w:type="dxa"/>
            <w:shd w:val="clear" w:color="auto" w:fill="E2EFD9" w:themeFill="accent6" w:themeFillTint="33"/>
          </w:tcPr>
          <w:p w14:paraId="4C448805" w14:textId="77777777" w:rsidR="00FC22E6" w:rsidRPr="00AD225D" w:rsidRDefault="00FC22E6" w:rsidP="005F77A1">
            <w:pPr>
              <w:spacing w:before="20" w:after="20"/>
              <w:rPr>
                <w:rFonts w:cs="Arial"/>
                <w:sz w:val="18"/>
              </w:rPr>
            </w:pPr>
            <w:r w:rsidRPr="00AD225D">
              <w:rPr>
                <w:rFonts w:cs="Arial"/>
                <w:sz w:val="18"/>
              </w:rPr>
              <w:t>Average all countries</w:t>
            </w:r>
          </w:p>
        </w:tc>
        <w:tc>
          <w:tcPr>
            <w:tcW w:w="1642" w:type="dxa"/>
            <w:tcBorders>
              <w:right w:val="single" w:sz="4" w:space="0" w:color="A8D08D" w:themeColor="accent6" w:themeTint="99"/>
            </w:tcBorders>
            <w:shd w:val="clear" w:color="auto" w:fill="E2EFD9" w:themeFill="accent6" w:themeFillTint="33"/>
          </w:tcPr>
          <w:p w14:paraId="7C22F7B0" w14:textId="77777777" w:rsidR="00FC22E6" w:rsidRPr="00AD225D" w:rsidRDefault="00FC22E6" w:rsidP="005F77A1">
            <w:pPr>
              <w:spacing w:before="20" w:after="20"/>
              <w:jc w:val="center"/>
              <w:rPr>
                <w:rFonts w:cs="Arial"/>
                <w:sz w:val="18"/>
              </w:rPr>
            </w:pPr>
            <w:r w:rsidRPr="00AD225D">
              <w:rPr>
                <w:rFonts w:cs="Arial"/>
                <w:sz w:val="18"/>
              </w:rPr>
              <w:t>31</w:t>
            </w:r>
          </w:p>
        </w:tc>
        <w:tc>
          <w:tcPr>
            <w:tcW w:w="1985" w:type="dxa"/>
            <w:tcBorders>
              <w:left w:val="single" w:sz="4" w:space="0" w:color="A8D08D" w:themeColor="accent6" w:themeTint="99"/>
            </w:tcBorders>
          </w:tcPr>
          <w:p w14:paraId="64850CE7" w14:textId="77777777" w:rsidR="00FC22E6" w:rsidRPr="00AD225D" w:rsidRDefault="00FC22E6" w:rsidP="005F77A1">
            <w:pPr>
              <w:spacing w:before="20" w:after="20"/>
              <w:rPr>
                <w:rFonts w:cs="Arial"/>
                <w:sz w:val="18"/>
              </w:rPr>
            </w:pPr>
            <w:r w:rsidRPr="00AD225D">
              <w:rPr>
                <w:rFonts w:cs="Arial"/>
                <w:sz w:val="18"/>
              </w:rPr>
              <w:t>Tuvalu</w:t>
            </w:r>
          </w:p>
        </w:tc>
        <w:tc>
          <w:tcPr>
            <w:tcW w:w="1559" w:type="dxa"/>
          </w:tcPr>
          <w:p w14:paraId="5F4CDE65" w14:textId="77777777" w:rsidR="00FC22E6" w:rsidRPr="00AD225D" w:rsidRDefault="00FC22E6" w:rsidP="005F77A1">
            <w:pPr>
              <w:spacing w:before="20" w:after="20"/>
              <w:jc w:val="center"/>
              <w:rPr>
                <w:rFonts w:cs="Arial"/>
                <w:sz w:val="18"/>
              </w:rPr>
            </w:pPr>
            <w:r w:rsidRPr="00AD225D">
              <w:rPr>
                <w:rFonts w:cs="Arial"/>
                <w:sz w:val="18"/>
              </w:rPr>
              <w:t>36</w:t>
            </w:r>
          </w:p>
        </w:tc>
      </w:tr>
      <w:tr w:rsidR="00FC22E6" w:rsidRPr="00AD225D" w14:paraId="47ADEC20" w14:textId="77777777" w:rsidTr="00013E94">
        <w:tc>
          <w:tcPr>
            <w:tcW w:w="1902" w:type="dxa"/>
            <w:shd w:val="clear" w:color="auto" w:fill="auto"/>
          </w:tcPr>
          <w:p w14:paraId="5449C6AB" w14:textId="77777777" w:rsidR="00FC22E6" w:rsidRPr="00AD225D" w:rsidRDefault="00FC22E6" w:rsidP="005F77A1">
            <w:pPr>
              <w:spacing w:before="20" w:after="20"/>
              <w:rPr>
                <w:rFonts w:cs="Arial"/>
                <w:sz w:val="18"/>
              </w:rPr>
            </w:pPr>
            <w:r w:rsidRPr="00AD225D">
              <w:rPr>
                <w:rFonts w:cs="Arial"/>
                <w:sz w:val="18"/>
              </w:rPr>
              <w:t xml:space="preserve">Solomon Islands </w:t>
            </w:r>
          </w:p>
        </w:tc>
        <w:tc>
          <w:tcPr>
            <w:tcW w:w="1642" w:type="dxa"/>
            <w:tcBorders>
              <w:right w:val="single" w:sz="4" w:space="0" w:color="A8D08D" w:themeColor="accent6" w:themeTint="99"/>
            </w:tcBorders>
            <w:shd w:val="clear" w:color="auto" w:fill="auto"/>
          </w:tcPr>
          <w:p w14:paraId="2D576B2F" w14:textId="77777777" w:rsidR="00FC22E6" w:rsidRPr="00AD225D" w:rsidRDefault="00FC22E6" w:rsidP="005F77A1">
            <w:pPr>
              <w:spacing w:before="20" w:after="20"/>
              <w:jc w:val="center"/>
              <w:rPr>
                <w:rFonts w:cs="Arial"/>
                <w:sz w:val="18"/>
              </w:rPr>
            </w:pPr>
            <w:r w:rsidRPr="00AD225D">
              <w:rPr>
                <w:rFonts w:cs="Arial"/>
                <w:sz w:val="18"/>
              </w:rPr>
              <w:t>30</w:t>
            </w:r>
          </w:p>
        </w:tc>
        <w:tc>
          <w:tcPr>
            <w:tcW w:w="1985" w:type="dxa"/>
            <w:tcBorders>
              <w:left w:val="single" w:sz="4" w:space="0" w:color="A8D08D" w:themeColor="accent6" w:themeTint="99"/>
            </w:tcBorders>
          </w:tcPr>
          <w:p w14:paraId="0DB7B47B" w14:textId="77777777" w:rsidR="00FC22E6" w:rsidRPr="00AD225D" w:rsidRDefault="00FC22E6" w:rsidP="005F77A1">
            <w:pPr>
              <w:spacing w:before="20" w:after="20"/>
              <w:rPr>
                <w:rFonts w:cs="Arial"/>
                <w:sz w:val="18"/>
              </w:rPr>
            </w:pPr>
            <w:r w:rsidRPr="00AD225D">
              <w:rPr>
                <w:rFonts w:cs="Arial"/>
                <w:sz w:val="18"/>
              </w:rPr>
              <w:t>Tonga</w:t>
            </w:r>
          </w:p>
        </w:tc>
        <w:tc>
          <w:tcPr>
            <w:tcW w:w="1559" w:type="dxa"/>
          </w:tcPr>
          <w:p w14:paraId="5B939452" w14:textId="77777777" w:rsidR="00FC22E6" w:rsidRPr="00AD225D" w:rsidRDefault="00FC22E6" w:rsidP="005F77A1">
            <w:pPr>
              <w:spacing w:before="20" w:after="20"/>
              <w:jc w:val="center"/>
              <w:rPr>
                <w:rFonts w:cs="Arial"/>
                <w:sz w:val="18"/>
              </w:rPr>
            </w:pPr>
            <w:r w:rsidRPr="00AD225D">
              <w:rPr>
                <w:rFonts w:cs="Arial"/>
                <w:sz w:val="18"/>
              </w:rPr>
              <w:t>46</w:t>
            </w:r>
          </w:p>
        </w:tc>
      </w:tr>
      <w:tr w:rsidR="00FC22E6" w:rsidRPr="00AD225D" w14:paraId="2621B956" w14:textId="77777777" w:rsidTr="00013E94">
        <w:tc>
          <w:tcPr>
            <w:tcW w:w="1902" w:type="dxa"/>
          </w:tcPr>
          <w:p w14:paraId="76485566" w14:textId="77777777" w:rsidR="00FC22E6" w:rsidRPr="00AD225D" w:rsidRDefault="00FC22E6" w:rsidP="005F77A1">
            <w:pPr>
              <w:spacing w:before="20" w:after="20"/>
              <w:rPr>
                <w:rFonts w:cs="Arial"/>
                <w:sz w:val="18"/>
              </w:rPr>
            </w:pPr>
            <w:r w:rsidRPr="00AD225D">
              <w:rPr>
                <w:rFonts w:cs="Arial"/>
                <w:sz w:val="18"/>
              </w:rPr>
              <w:t>PNG</w:t>
            </w:r>
          </w:p>
        </w:tc>
        <w:tc>
          <w:tcPr>
            <w:tcW w:w="1642" w:type="dxa"/>
            <w:tcBorders>
              <w:right w:val="single" w:sz="4" w:space="0" w:color="A8D08D" w:themeColor="accent6" w:themeTint="99"/>
            </w:tcBorders>
          </w:tcPr>
          <w:p w14:paraId="500118B9" w14:textId="77777777" w:rsidR="00FC22E6" w:rsidRPr="00AD225D" w:rsidRDefault="00FC22E6" w:rsidP="005F77A1">
            <w:pPr>
              <w:spacing w:before="20" w:after="20"/>
              <w:jc w:val="center"/>
              <w:rPr>
                <w:rFonts w:cs="Arial"/>
                <w:sz w:val="18"/>
              </w:rPr>
            </w:pPr>
            <w:r w:rsidRPr="00AD225D">
              <w:rPr>
                <w:rFonts w:cs="Arial"/>
                <w:sz w:val="18"/>
              </w:rPr>
              <w:t>30</w:t>
            </w:r>
          </w:p>
        </w:tc>
        <w:tc>
          <w:tcPr>
            <w:tcW w:w="1985" w:type="dxa"/>
            <w:tcBorders>
              <w:left w:val="single" w:sz="4" w:space="0" w:color="A8D08D" w:themeColor="accent6" w:themeTint="99"/>
            </w:tcBorders>
            <w:shd w:val="clear" w:color="auto" w:fill="E2EFD9" w:themeFill="accent6" w:themeFillTint="33"/>
          </w:tcPr>
          <w:p w14:paraId="551E55FC" w14:textId="77777777" w:rsidR="00FC22E6" w:rsidRPr="00AD225D" w:rsidRDefault="00FC22E6" w:rsidP="005F77A1">
            <w:pPr>
              <w:spacing w:before="20" w:after="20"/>
              <w:rPr>
                <w:rFonts w:cs="Arial"/>
                <w:sz w:val="18"/>
              </w:rPr>
            </w:pPr>
            <w:r w:rsidRPr="00AD225D">
              <w:rPr>
                <w:rFonts w:cs="Arial"/>
                <w:sz w:val="18"/>
              </w:rPr>
              <w:t>Average all countries</w:t>
            </w:r>
          </w:p>
        </w:tc>
        <w:tc>
          <w:tcPr>
            <w:tcW w:w="1559" w:type="dxa"/>
            <w:shd w:val="clear" w:color="auto" w:fill="E2EFD9" w:themeFill="accent6" w:themeFillTint="33"/>
          </w:tcPr>
          <w:p w14:paraId="07D58A27" w14:textId="77777777" w:rsidR="00FC22E6" w:rsidRPr="00AD225D" w:rsidRDefault="00FC22E6" w:rsidP="005F77A1">
            <w:pPr>
              <w:spacing w:before="20" w:after="20"/>
              <w:jc w:val="center"/>
              <w:rPr>
                <w:rFonts w:cs="Arial"/>
                <w:sz w:val="18"/>
              </w:rPr>
            </w:pPr>
            <w:r w:rsidRPr="00AD225D">
              <w:rPr>
                <w:rFonts w:cs="Arial"/>
                <w:sz w:val="18"/>
              </w:rPr>
              <w:t>31</w:t>
            </w:r>
          </w:p>
        </w:tc>
      </w:tr>
      <w:tr w:rsidR="00FC22E6" w:rsidRPr="00AD225D" w14:paraId="5DCC120D" w14:textId="77777777" w:rsidTr="00013E94">
        <w:tc>
          <w:tcPr>
            <w:tcW w:w="1902" w:type="dxa"/>
            <w:shd w:val="clear" w:color="auto" w:fill="auto"/>
          </w:tcPr>
          <w:p w14:paraId="76CFD06F" w14:textId="77777777" w:rsidR="00FC22E6" w:rsidRPr="00AD225D" w:rsidRDefault="00FC22E6" w:rsidP="005F77A1">
            <w:pPr>
              <w:spacing w:before="20" w:after="20"/>
              <w:rPr>
                <w:rFonts w:cs="Arial"/>
                <w:sz w:val="18"/>
              </w:rPr>
            </w:pPr>
            <w:r w:rsidRPr="00AD225D">
              <w:rPr>
                <w:rFonts w:cs="Arial"/>
                <w:sz w:val="18"/>
              </w:rPr>
              <w:t xml:space="preserve">Vanuatu </w:t>
            </w:r>
          </w:p>
        </w:tc>
        <w:tc>
          <w:tcPr>
            <w:tcW w:w="1642" w:type="dxa"/>
            <w:tcBorders>
              <w:right w:val="single" w:sz="4" w:space="0" w:color="A8D08D" w:themeColor="accent6" w:themeTint="99"/>
            </w:tcBorders>
            <w:shd w:val="clear" w:color="auto" w:fill="auto"/>
          </w:tcPr>
          <w:p w14:paraId="1D7C3B5F" w14:textId="77777777" w:rsidR="00FC22E6" w:rsidRPr="00AD225D" w:rsidRDefault="00FC22E6" w:rsidP="005F77A1">
            <w:pPr>
              <w:spacing w:before="20" w:after="20"/>
              <w:jc w:val="center"/>
              <w:rPr>
                <w:rFonts w:cs="Arial"/>
                <w:sz w:val="18"/>
              </w:rPr>
            </w:pPr>
            <w:r w:rsidRPr="00AD225D">
              <w:rPr>
                <w:rFonts w:cs="Arial"/>
                <w:sz w:val="18"/>
              </w:rPr>
              <w:t>30</w:t>
            </w:r>
          </w:p>
        </w:tc>
        <w:tc>
          <w:tcPr>
            <w:tcW w:w="1985" w:type="dxa"/>
            <w:tcBorders>
              <w:left w:val="single" w:sz="4" w:space="0" w:color="A8D08D" w:themeColor="accent6" w:themeTint="99"/>
            </w:tcBorders>
          </w:tcPr>
          <w:p w14:paraId="41FE6788" w14:textId="77777777" w:rsidR="00FC22E6" w:rsidRPr="00AD225D" w:rsidRDefault="00FC22E6" w:rsidP="005F77A1">
            <w:pPr>
              <w:spacing w:before="20" w:after="20"/>
              <w:rPr>
                <w:rFonts w:cs="Arial"/>
                <w:sz w:val="18"/>
              </w:rPr>
            </w:pPr>
            <w:r w:rsidRPr="00AD225D">
              <w:rPr>
                <w:rFonts w:cs="Arial"/>
                <w:sz w:val="18"/>
              </w:rPr>
              <w:t>Nauru</w:t>
            </w:r>
          </w:p>
        </w:tc>
        <w:tc>
          <w:tcPr>
            <w:tcW w:w="1559" w:type="dxa"/>
          </w:tcPr>
          <w:p w14:paraId="57D692D6" w14:textId="77777777" w:rsidR="00FC22E6" w:rsidRPr="00AD225D" w:rsidRDefault="00FC22E6" w:rsidP="005F77A1">
            <w:pPr>
              <w:spacing w:before="20" w:after="20"/>
              <w:jc w:val="center"/>
              <w:rPr>
                <w:rFonts w:cs="Arial"/>
                <w:sz w:val="18"/>
              </w:rPr>
            </w:pPr>
            <w:r w:rsidRPr="00AD225D">
              <w:rPr>
                <w:rFonts w:cs="Arial"/>
                <w:sz w:val="18"/>
              </w:rPr>
              <w:t>30</w:t>
            </w:r>
          </w:p>
        </w:tc>
      </w:tr>
      <w:tr w:rsidR="00FC22E6" w:rsidRPr="00AD225D" w14:paraId="21DF7649" w14:textId="77777777" w:rsidTr="00013E94">
        <w:tc>
          <w:tcPr>
            <w:tcW w:w="1902" w:type="dxa"/>
          </w:tcPr>
          <w:p w14:paraId="78DD75A7" w14:textId="77777777" w:rsidR="00FC22E6" w:rsidRPr="00AD225D" w:rsidRDefault="00FC22E6" w:rsidP="005F77A1">
            <w:pPr>
              <w:spacing w:before="20" w:after="20"/>
              <w:rPr>
                <w:rFonts w:cs="Arial"/>
                <w:sz w:val="18"/>
              </w:rPr>
            </w:pPr>
          </w:p>
        </w:tc>
        <w:tc>
          <w:tcPr>
            <w:tcW w:w="1642" w:type="dxa"/>
            <w:tcBorders>
              <w:right w:val="single" w:sz="4" w:space="0" w:color="A8D08D" w:themeColor="accent6" w:themeTint="99"/>
            </w:tcBorders>
          </w:tcPr>
          <w:p w14:paraId="62F78E50" w14:textId="77777777" w:rsidR="00FC22E6" w:rsidRPr="00AD225D" w:rsidRDefault="00FC22E6" w:rsidP="005F77A1">
            <w:pPr>
              <w:spacing w:before="20" w:after="20"/>
              <w:jc w:val="center"/>
              <w:rPr>
                <w:rFonts w:cs="Arial"/>
                <w:sz w:val="18"/>
              </w:rPr>
            </w:pPr>
          </w:p>
        </w:tc>
        <w:tc>
          <w:tcPr>
            <w:tcW w:w="1985" w:type="dxa"/>
            <w:tcBorders>
              <w:left w:val="single" w:sz="4" w:space="0" w:color="A8D08D" w:themeColor="accent6" w:themeTint="99"/>
            </w:tcBorders>
          </w:tcPr>
          <w:p w14:paraId="4E1B7CA3" w14:textId="77777777" w:rsidR="00FC22E6" w:rsidRPr="00AD225D" w:rsidRDefault="00FC22E6" w:rsidP="005F77A1">
            <w:pPr>
              <w:spacing w:before="20" w:after="20"/>
              <w:rPr>
                <w:rFonts w:cs="Arial"/>
                <w:sz w:val="18"/>
              </w:rPr>
            </w:pPr>
            <w:r w:rsidRPr="00AD225D">
              <w:rPr>
                <w:rFonts w:cs="Arial"/>
                <w:sz w:val="18"/>
              </w:rPr>
              <w:t>Palau</w:t>
            </w:r>
          </w:p>
        </w:tc>
        <w:tc>
          <w:tcPr>
            <w:tcW w:w="1559" w:type="dxa"/>
          </w:tcPr>
          <w:p w14:paraId="0F89506F" w14:textId="77777777" w:rsidR="00FC22E6" w:rsidRPr="00AD225D" w:rsidRDefault="00FC22E6" w:rsidP="005F77A1">
            <w:pPr>
              <w:spacing w:before="20" w:after="20"/>
              <w:jc w:val="center"/>
              <w:rPr>
                <w:rFonts w:cs="Arial"/>
                <w:sz w:val="18"/>
              </w:rPr>
            </w:pPr>
            <w:r w:rsidRPr="00AD225D">
              <w:rPr>
                <w:rFonts w:cs="Arial"/>
                <w:sz w:val="18"/>
              </w:rPr>
              <w:t>28</w:t>
            </w:r>
          </w:p>
        </w:tc>
      </w:tr>
      <w:tr w:rsidR="00FC22E6" w:rsidRPr="00AD225D" w14:paraId="3E273F35" w14:textId="77777777" w:rsidTr="00013E94">
        <w:tc>
          <w:tcPr>
            <w:tcW w:w="1902" w:type="dxa"/>
          </w:tcPr>
          <w:p w14:paraId="14C99EB2" w14:textId="77777777" w:rsidR="00FC22E6" w:rsidRPr="00AD225D" w:rsidRDefault="00FC22E6" w:rsidP="005F77A1">
            <w:pPr>
              <w:spacing w:before="20" w:after="20"/>
              <w:rPr>
                <w:rFonts w:cs="Arial"/>
                <w:sz w:val="18"/>
              </w:rPr>
            </w:pPr>
          </w:p>
        </w:tc>
        <w:tc>
          <w:tcPr>
            <w:tcW w:w="1642" w:type="dxa"/>
            <w:tcBorders>
              <w:right w:val="single" w:sz="4" w:space="0" w:color="A8D08D" w:themeColor="accent6" w:themeTint="99"/>
            </w:tcBorders>
          </w:tcPr>
          <w:p w14:paraId="15D9D3C8" w14:textId="77777777" w:rsidR="00FC22E6" w:rsidRPr="00AD225D" w:rsidRDefault="00FC22E6" w:rsidP="005F77A1">
            <w:pPr>
              <w:spacing w:before="20" w:after="20"/>
              <w:jc w:val="center"/>
              <w:rPr>
                <w:rFonts w:cs="Arial"/>
                <w:sz w:val="18"/>
              </w:rPr>
            </w:pPr>
          </w:p>
        </w:tc>
        <w:tc>
          <w:tcPr>
            <w:tcW w:w="1985" w:type="dxa"/>
            <w:tcBorders>
              <w:left w:val="single" w:sz="4" w:space="0" w:color="A8D08D" w:themeColor="accent6" w:themeTint="99"/>
            </w:tcBorders>
            <w:shd w:val="clear" w:color="auto" w:fill="auto"/>
          </w:tcPr>
          <w:p w14:paraId="609E4D36" w14:textId="77777777" w:rsidR="00FC22E6" w:rsidRPr="00AD225D" w:rsidRDefault="00FC22E6" w:rsidP="005F77A1">
            <w:pPr>
              <w:spacing w:before="20" w:after="20"/>
              <w:rPr>
                <w:rFonts w:cs="Arial"/>
                <w:sz w:val="18"/>
              </w:rPr>
            </w:pPr>
            <w:r w:rsidRPr="00AD225D">
              <w:rPr>
                <w:rFonts w:cs="Arial"/>
                <w:sz w:val="18"/>
              </w:rPr>
              <w:t>Kiribati</w:t>
            </w:r>
          </w:p>
        </w:tc>
        <w:tc>
          <w:tcPr>
            <w:tcW w:w="1559" w:type="dxa"/>
            <w:shd w:val="clear" w:color="auto" w:fill="auto"/>
          </w:tcPr>
          <w:p w14:paraId="3404FB3E" w14:textId="77777777" w:rsidR="00FC22E6" w:rsidRPr="00AD225D" w:rsidRDefault="00FC22E6" w:rsidP="005F77A1">
            <w:pPr>
              <w:spacing w:before="20" w:after="20"/>
              <w:jc w:val="center"/>
              <w:rPr>
                <w:rFonts w:cs="Arial"/>
                <w:sz w:val="18"/>
              </w:rPr>
            </w:pPr>
            <w:r w:rsidRPr="00AD225D">
              <w:rPr>
                <w:rFonts w:cs="Arial"/>
                <w:sz w:val="18"/>
              </w:rPr>
              <w:t>25</w:t>
            </w:r>
          </w:p>
        </w:tc>
      </w:tr>
      <w:tr w:rsidR="00FC22E6" w:rsidRPr="00AD225D" w14:paraId="7F309890" w14:textId="77777777" w:rsidTr="00013E94">
        <w:tc>
          <w:tcPr>
            <w:tcW w:w="1902" w:type="dxa"/>
            <w:tcBorders>
              <w:bottom w:val="single" w:sz="4" w:space="0" w:color="A8D08D" w:themeColor="accent6" w:themeTint="99"/>
            </w:tcBorders>
          </w:tcPr>
          <w:p w14:paraId="02B0AB40" w14:textId="77777777" w:rsidR="00FC22E6" w:rsidRPr="00AD225D" w:rsidRDefault="00FC22E6" w:rsidP="005F77A1">
            <w:pPr>
              <w:spacing w:before="20" w:after="20"/>
              <w:rPr>
                <w:rFonts w:cs="Arial"/>
                <w:sz w:val="18"/>
              </w:rPr>
            </w:pPr>
          </w:p>
        </w:tc>
        <w:tc>
          <w:tcPr>
            <w:tcW w:w="1642" w:type="dxa"/>
            <w:tcBorders>
              <w:bottom w:val="single" w:sz="4" w:space="0" w:color="A8D08D" w:themeColor="accent6" w:themeTint="99"/>
              <w:right w:val="single" w:sz="4" w:space="0" w:color="A8D08D" w:themeColor="accent6" w:themeTint="99"/>
            </w:tcBorders>
          </w:tcPr>
          <w:p w14:paraId="4EA6654E" w14:textId="77777777" w:rsidR="00FC22E6" w:rsidRPr="00AD225D" w:rsidRDefault="00FC22E6" w:rsidP="005F77A1">
            <w:pPr>
              <w:spacing w:before="20" w:after="20"/>
              <w:jc w:val="center"/>
              <w:rPr>
                <w:rFonts w:cs="Arial"/>
                <w:sz w:val="18"/>
              </w:rPr>
            </w:pPr>
          </w:p>
        </w:tc>
        <w:tc>
          <w:tcPr>
            <w:tcW w:w="1985" w:type="dxa"/>
            <w:tcBorders>
              <w:left w:val="single" w:sz="4" w:space="0" w:color="A8D08D" w:themeColor="accent6" w:themeTint="99"/>
              <w:bottom w:val="single" w:sz="4" w:space="0" w:color="A8D08D" w:themeColor="accent6" w:themeTint="99"/>
            </w:tcBorders>
          </w:tcPr>
          <w:p w14:paraId="60893DE0" w14:textId="77777777" w:rsidR="00FC22E6" w:rsidRPr="00AD225D" w:rsidRDefault="00FC22E6" w:rsidP="005F77A1">
            <w:pPr>
              <w:spacing w:before="20" w:after="20"/>
              <w:rPr>
                <w:rFonts w:cs="Arial"/>
                <w:sz w:val="18"/>
              </w:rPr>
            </w:pPr>
            <w:r w:rsidRPr="00AD225D">
              <w:rPr>
                <w:rFonts w:cs="Arial"/>
                <w:sz w:val="18"/>
              </w:rPr>
              <w:t>FSM</w:t>
            </w:r>
          </w:p>
        </w:tc>
        <w:tc>
          <w:tcPr>
            <w:tcW w:w="1559" w:type="dxa"/>
            <w:tcBorders>
              <w:bottom w:val="single" w:sz="4" w:space="0" w:color="A8D08D" w:themeColor="accent6" w:themeTint="99"/>
            </w:tcBorders>
          </w:tcPr>
          <w:p w14:paraId="0C17915F" w14:textId="77777777" w:rsidR="00FC22E6" w:rsidRPr="00AD225D" w:rsidRDefault="00FC22E6" w:rsidP="005F77A1">
            <w:pPr>
              <w:spacing w:before="20" w:after="20"/>
              <w:jc w:val="center"/>
              <w:rPr>
                <w:rFonts w:cs="Arial"/>
                <w:sz w:val="18"/>
              </w:rPr>
            </w:pPr>
            <w:r w:rsidRPr="00AD225D">
              <w:rPr>
                <w:rFonts w:cs="Arial"/>
                <w:sz w:val="18"/>
              </w:rPr>
              <w:t>17</w:t>
            </w:r>
          </w:p>
        </w:tc>
      </w:tr>
    </w:tbl>
    <w:p w14:paraId="0659CF37" w14:textId="77777777" w:rsidR="00FC22E6" w:rsidRDefault="00FC22E6" w:rsidP="00FC22E6">
      <w:pPr>
        <w:spacing w:line="276" w:lineRule="auto"/>
        <w:rPr>
          <w:rFonts w:eastAsia="Calibri" w:cs="Arial"/>
          <w:sz w:val="16"/>
          <w:szCs w:val="18"/>
        </w:rPr>
      </w:pPr>
      <w:r w:rsidRPr="00EF7B32">
        <w:rPr>
          <w:rFonts w:eastAsia="Calibri" w:cs="Arial"/>
          <w:sz w:val="16"/>
          <w:szCs w:val="18"/>
        </w:rPr>
        <w:t>Source: APTC Table B.2</w:t>
      </w:r>
    </w:p>
    <w:p w14:paraId="66B48C3A" w14:textId="77777777" w:rsidR="003E441F" w:rsidRPr="003E441F" w:rsidRDefault="003E441F" w:rsidP="00BB39A7">
      <w:pPr>
        <w:spacing w:after="0"/>
        <w:rPr>
          <w:rFonts w:eastAsia="Calibri" w:cs="Arial"/>
          <w:sz w:val="2"/>
          <w:szCs w:val="18"/>
        </w:rPr>
      </w:pPr>
    </w:p>
    <w:p w14:paraId="3E6F310B" w14:textId="11CD565F" w:rsidR="003D355F" w:rsidRDefault="00D71012" w:rsidP="002028A6">
      <w:pPr>
        <w:pStyle w:val="Heading2"/>
      </w:pPr>
      <w:bookmarkStart w:id="191" w:name="_Toc274059124"/>
      <w:bookmarkStart w:id="192" w:name="_Toc274145066"/>
      <w:bookmarkStart w:id="193" w:name="_Toc274900450"/>
      <w:bookmarkStart w:id="194" w:name="_Toc278447844"/>
      <w:bookmarkStart w:id="195" w:name="_Toc278453317"/>
      <w:r>
        <w:t xml:space="preserve">3.2 </w:t>
      </w:r>
      <w:r w:rsidR="003E441F">
        <w:tab/>
      </w:r>
      <w:r w:rsidR="00FC22E6" w:rsidRPr="00D17CCB">
        <w:t>Waitlist</w:t>
      </w:r>
      <w:bookmarkEnd w:id="191"/>
      <w:bookmarkEnd w:id="192"/>
      <w:bookmarkEnd w:id="193"/>
      <w:bookmarkEnd w:id="194"/>
      <w:bookmarkEnd w:id="195"/>
    </w:p>
    <w:p w14:paraId="4AB95873" w14:textId="77777777" w:rsidR="00FC22E6" w:rsidRPr="00D17CCB" w:rsidRDefault="00FC22E6" w:rsidP="00FC22E6">
      <w:pPr>
        <w:rPr>
          <w:rFonts w:cs="Arial"/>
        </w:rPr>
      </w:pPr>
      <w:r w:rsidRPr="00D17CCB">
        <w:rPr>
          <w:rFonts w:cs="Arial"/>
        </w:rPr>
        <w:t xml:space="preserve">Currently </w:t>
      </w:r>
      <w:r>
        <w:rPr>
          <w:rFonts w:cs="Arial"/>
        </w:rPr>
        <w:t xml:space="preserve">980 </w:t>
      </w:r>
      <w:r w:rsidRPr="00D17CCB">
        <w:rPr>
          <w:rFonts w:cs="Arial"/>
        </w:rPr>
        <w:t>applicants</w:t>
      </w:r>
      <w:r>
        <w:rPr>
          <w:rFonts w:cs="Arial"/>
        </w:rPr>
        <w:t>, equivalent to just over half of current enrolment,</w:t>
      </w:r>
      <w:r w:rsidRPr="00D17CCB">
        <w:rPr>
          <w:rFonts w:cs="Arial"/>
        </w:rPr>
        <w:t xml:space="preserve"> have been placed on the waitlist (W/L) </w:t>
      </w:r>
      <w:r>
        <w:rPr>
          <w:rFonts w:cs="Arial"/>
        </w:rPr>
        <w:t xml:space="preserve">for entrance when places open. </w:t>
      </w:r>
      <w:r w:rsidRPr="00D17CCB">
        <w:rPr>
          <w:rFonts w:cs="Arial"/>
        </w:rPr>
        <w:t>As a percentage of current enrolment, the waitlist represents 21</w:t>
      </w:r>
      <w:r>
        <w:rPr>
          <w:rFonts w:cs="Arial"/>
        </w:rPr>
        <w:t xml:space="preserve"> per cent</w:t>
      </w:r>
      <w:r w:rsidRPr="00D17CCB">
        <w:rPr>
          <w:rFonts w:cs="Arial"/>
        </w:rPr>
        <w:t xml:space="preserve"> of current enrolment in Samoa, 56</w:t>
      </w:r>
      <w:r>
        <w:rPr>
          <w:rFonts w:cs="Arial"/>
        </w:rPr>
        <w:t xml:space="preserve"> per cent</w:t>
      </w:r>
      <w:r w:rsidRPr="00D17CCB">
        <w:rPr>
          <w:rFonts w:cs="Arial"/>
        </w:rPr>
        <w:t xml:space="preserve"> in Fiji, 67</w:t>
      </w:r>
      <w:r>
        <w:rPr>
          <w:rFonts w:cs="Arial"/>
        </w:rPr>
        <w:t xml:space="preserve"> per cent</w:t>
      </w:r>
      <w:r w:rsidRPr="00D17CCB">
        <w:rPr>
          <w:rFonts w:cs="Arial"/>
        </w:rPr>
        <w:t xml:space="preserve"> in Vanuatu and 73</w:t>
      </w:r>
      <w:r>
        <w:rPr>
          <w:rFonts w:cs="Arial"/>
        </w:rPr>
        <w:t xml:space="preserve"> per cent in PNG. </w:t>
      </w:r>
      <w:r w:rsidRPr="00D17CCB">
        <w:rPr>
          <w:rFonts w:cs="Arial"/>
        </w:rPr>
        <w:t xml:space="preserve">The following table shows the number of accepted applicants on the wait list by campus location. </w:t>
      </w:r>
    </w:p>
    <w:p w14:paraId="43830B5E" w14:textId="47E8E726" w:rsidR="00FC22E6" w:rsidRPr="00D17CCB" w:rsidRDefault="00FC22E6" w:rsidP="00BB39A7">
      <w:pPr>
        <w:pStyle w:val="Tableheading"/>
        <w:spacing w:before="200"/>
      </w:pPr>
      <w:bookmarkStart w:id="196" w:name="_Toc274146430"/>
      <w:bookmarkStart w:id="197" w:name="_Toc274915889"/>
      <w:bookmarkStart w:id="198" w:name="_Toc278446867"/>
      <w:r>
        <w:t>Table 3.2.1:</w:t>
      </w:r>
      <w:r w:rsidRPr="00D17CCB">
        <w:t xml:space="preserve"> Applicants on waiting list, by campus</w:t>
      </w:r>
      <w:r>
        <w:t xml:space="preserve">, and as </w:t>
      </w:r>
      <w:r w:rsidR="00BB39A7">
        <w:t>percentage</w:t>
      </w:r>
      <w:r>
        <w:t xml:space="preserve"> of </w:t>
      </w:r>
      <w:r w:rsidR="00BB39A7">
        <w:br/>
      </w:r>
      <w:r>
        <w:t>current enrolment</w:t>
      </w:r>
      <w:bookmarkEnd w:id="196"/>
      <w:bookmarkEnd w:id="197"/>
      <w:bookmarkEnd w:id="198"/>
    </w:p>
    <w:tbl>
      <w:tblPr>
        <w:tblStyle w:val="TableGrid"/>
        <w:tblW w:w="73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9"/>
        <w:gridCol w:w="908"/>
        <w:gridCol w:w="1002"/>
        <w:gridCol w:w="1291"/>
        <w:gridCol w:w="1251"/>
        <w:gridCol w:w="850"/>
      </w:tblGrid>
      <w:tr w:rsidR="00FC22E6" w:rsidRPr="000D4ACD" w14:paraId="04B3C1C6" w14:textId="77777777" w:rsidTr="00E91C6C">
        <w:trPr>
          <w:trHeight w:val="300"/>
        </w:trPr>
        <w:tc>
          <w:tcPr>
            <w:tcW w:w="2069" w:type="dxa"/>
            <w:vMerge w:val="restart"/>
            <w:shd w:val="clear" w:color="auto" w:fill="C5E0B3" w:themeFill="accent6" w:themeFillTint="66"/>
            <w:noWrap/>
          </w:tcPr>
          <w:p w14:paraId="1557FBF4" w14:textId="77777777" w:rsidR="00FC22E6" w:rsidRPr="000D4ACD" w:rsidRDefault="00FC22E6" w:rsidP="005F77A1">
            <w:pPr>
              <w:spacing w:before="20" w:after="20"/>
              <w:rPr>
                <w:rFonts w:cs="Arial"/>
                <w:b/>
                <w:sz w:val="18"/>
              </w:rPr>
            </w:pPr>
            <w:r w:rsidRPr="000D4ACD">
              <w:rPr>
                <w:rFonts w:cs="Arial"/>
                <w:b/>
                <w:sz w:val="18"/>
              </w:rPr>
              <w:t>School</w:t>
            </w:r>
          </w:p>
        </w:tc>
        <w:tc>
          <w:tcPr>
            <w:tcW w:w="4452" w:type="dxa"/>
            <w:gridSpan w:val="4"/>
            <w:shd w:val="clear" w:color="auto" w:fill="C5E0B3" w:themeFill="accent6" w:themeFillTint="66"/>
            <w:noWrap/>
          </w:tcPr>
          <w:p w14:paraId="6B697B35" w14:textId="77777777" w:rsidR="00FC22E6" w:rsidRPr="000D4ACD" w:rsidRDefault="00FC22E6" w:rsidP="005F77A1">
            <w:pPr>
              <w:spacing w:before="20" w:after="20"/>
              <w:jc w:val="center"/>
              <w:rPr>
                <w:rFonts w:cs="Arial"/>
                <w:b/>
                <w:sz w:val="18"/>
              </w:rPr>
            </w:pPr>
            <w:r w:rsidRPr="000D4ACD">
              <w:rPr>
                <w:rFonts w:cs="Arial"/>
                <w:b/>
                <w:sz w:val="18"/>
              </w:rPr>
              <w:t xml:space="preserve">APTC </w:t>
            </w:r>
            <w:r>
              <w:rPr>
                <w:rFonts w:cs="Arial"/>
                <w:b/>
                <w:sz w:val="18"/>
              </w:rPr>
              <w:t>c</w:t>
            </w:r>
            <w:r w:rsidRPr="000D4ACD">
              <w:rPr>
                <w:rFonts w:cs="Arial"/>
                <w:b/>
                <w:sz w:val="18"/>
              </w:rPr>
              <w:t xml:space="preserve">ampus </w:t>
            </w:r>
            <w:r>
              <w:rPr>
                <w:rFonts w:cs="Arial"/>
                <w:b/>
                <w:sz w:val="18"/>
              </w:rPr>
              <w:t>c</w:t>
            </w:r>
            <w:r w:rsidRPr="000D4ACD">
              <w:rPr>
                <w:rFonts w:cs="Arial"/>
                <w:b/>
                <w:sz w:val="18"/>
              </w:rPr>
              <w:t>ountry</w:t>
            </w:r>
          </w:p>
        </w:tc>
        <w:tc>
          <w:tcPr>
            <w:tcW w:w="850" w:type="dxa"/>
            <w:vMerge w:val="restart"/>
            <w:shd w:val="clear" w:color="auto" w:fill="C5E0B3" w:themeFill="accent6" w:themeFillTint="66"/>
          </w:tcPr>
          <w:p w14:paraId="48A8899A" w14:textId="77777777" w:rsidR="00FC22E6" w:rsidRPr="000D4ACD" w:rsidRDefault="00FC22E6" w:rsidP="005F77A1">
            <w:pPr>
              <w:spacing w:before="20" w:after="20"/>
              <w:jc w:val="center"/>
              <w:rPr>
                <w:rFonts w:cs="Arial"/>
                <w:b/>
                <w:sz w:val="18"/>
              </w:rPr>
            </w:pPr>
            <w:r w:rsidRPr="000D4ACD">
              <w:rPr>
                <w:rFonts w:cs="Arial"/>
                <w:b/>
                <w:sz w:val="18"/>
              </w:rPr>
              <w:t xml:space="preserve">W/L </w:t>
            </w:r>
            <w:r>
              <w:rPr>
                <w:rFonts w:cs="Arial"/>
                <w:b/>
                <w:sz w:val="18"/>
              </w:rPr>
              <w:t>t</w:t>
            </w:r>
            <w:r w:rsidRPr="000D4ACD">
              <w:rPr>
                <w:rFonts w:cs="Arial"/>
                <w:b/>
                <w:sz w:val="18"/>
              </w:rPr>
              <w:t>otal</w:t>
            </w:r>
          </w:p>
        </w:tc>
      </w:tr>
      <w:tr w:rsidR="00FC22E6" w:rsidRPr="000D4ACD" w14:paraId="7139CEE2" w14:textId="77777777" w:rsidTr="00E91C6C">
        <w:trPr>
          <w:trHeight w:val="300"/>
        </w:trPr>
        <w:tc>
          <w:tcPr>
            <w:tcW w:w="2069" w:type="dxa"/>
            <w:vMerge/>
            <w:shd w:val="clear" w:color="auto" w:fill="C5E0B3" w:themeFill="accent6" w:themeFillTint="66"/>
          </w:tcPr>
          <w:p w14:paraId="7F1D80D3" w14:textId="77777777" w:rsidR="00FC22E6" w:rsidRPr="000D4ACD" w:rsidRDefault="00FC22E6" w:rsidP="005F77A1">
            <w:pPr>
              <w:spacing w:before="20" w:after="20"/>
              <w:rPr>
                <w:rFonts w:cs="Arial"/>
                <w:b/>
                <w:sz w:val="18"/>
              </w:rPr>
            </w:pPr>
          </w:p>
        </w:tc>
        <w:tc>
          <w:tcPr>
            <w:tcW w:w="908" w:type="dxa"/>
            <w:shd w:val="clear" w:color="auto" w:fill="C5E0B3" w:themeFill="accent6" w:themeFillTint="66"/>
            <w:noWrap/>
          </w:tcPr>
          <w:p w14:paraId="29E40BD3" w14:textId="77777777" w:rsidR="00FC22E6" w:rsidRPr="000D4ACD" w:rsidRDefault="00FC22E6" w:rsidP="005F77A1">
            <w:pPr>
              <w:spacing w:before="20" w:after="20"/>
              <w:jc w:val="center"/>
              <w:rPr>
                <w:rFonts w:cs="Arial"/>
                <w:b/>
                <w:sz w:val="18"/>
              </w:rPr>
            </w:pPr>
            <w:r w:rsidRPr="000D4ACD">
              <w:rPr>
                <w:rFonts w:cs="Arial"/>
                <w:b/>
                <w:sz w:val="18"/>
              </w:rPr>
              <w:t>Fiji</w:t>
            </w:r>
          </w:p>
        </w:tc>
        <w:tc>
          <w:tcPr>
            <w:tcW w:w="1002" w:type="dxa"/>
            <w:shd w:val="clear" w:color="auto" w:fill="C5E0B3" w:themeFill="accent6" w:themeFillTint="66"/>
            <w:noWrap/>
          </w:tcPr>
          <w:p w14:paraId="2CA66A28" w14:textId="77777777" w:rsidR="00FC22E6" w:rsidRPr="000D4ACD" w:rsidRDefault="00FC22E6" w:rsidP="005F77A1">
            <w:pPr>
              <w:spacing w:before="20" w:after="20"/>
              <w:jc w:val="center"/>
              <w:rPr>
                <w:rFonts w:cs="Arial"/>
                <w:b/>
                <w:sz w:val="18"/>
              </w:rPr>
            </w:pPr>
            <w:r w:rsidRPr="000D4ACD">
              <w:rPr>
                <w:rFonts w:cs="Arial"/>
                <w:b/>
                <w:sz w:val="18"/>
              </w:rPr>
              <w:t>PNG</w:t>
            </w:r>
          </w:p>
        </w:tc>
        <w:tc>
          <w:tcPr>
            <w:tcW w:w="1291" w:type="dxa"/>
            <w:shd w:val="clear" w:color="auto" w:fill="C5E0B3" w:themeFill="accent6" w:themeFillTint="66"/>
            <w:noWrap/>
          </w:tcPr>
          <w:p w14:paraId="07434578" w14:textId="77777777" w:rsidR="00FC22E6" w:rsidRPr="000D4ACD" w:rsidRDefault="00FC22E6" w:rsidP="005F77A1">
            <w:pPr>
              <w:spacing w:before="20" w:after="20"/>
              <w:jc w:val="center"/>
              <w:rPr>
                <w:rFonts w:cs="Arial"/>
                <w:b/>
                <w:sz w:val="18"/>
              </w:rPr>
            </w:pPr>
            <w:r w:rsidRPr="000D4ACD">
              <w:rPr>
                <w:rFonts w:cs="Arial"/>
                <w:b/>
                <w:sz w:val="18"/>
              </w:rPr>
              <w:t>Samoa</w:t>
            </w:r>
          </w:p>
        </w:tc>
        <w:tc>
          <w:tcPr>
            <w:tcW w:w="1251" w:type="dxa"/>
            <w:shd w:val="clear" w:color="auto" w:fill="C5E0B3" w:themeFill="accent6" w:themeFillTint="66"/>
            <w:noWrap/>
          </w:tcPr>
          <w:p w14:paraId="3ACCC444" w14:textId="77777777" w:rsidR="00FC22E6" w:rsidRPr="000D4ACD" w:rsidRDefault="00FC22E6" w:rsidP="005F77A1">
            <w:pPr>
              <w:spacing w:before="20" w:after="20"/>
              <w:jc w:val="center"/>
              <w:rPr>
                <w:rFonts w:cs="Arial"/>
                <w:b/>
                <w:sz w:val="18"/>
              </w:rPr>
            </w:pPr>
            <w:r w:rsidRPr="000D4ACD">
              <w:rPr>
                <w:rFonts w:cs="Arial"/>
                <w:b/>
                <w:sz w:val="18"/>
              </w:rPr>
              <w:t>Vanuatu</w:t>
            </w:r>
          </w:p>
        </w:tc>
        <w:tc>
          <w:tcPr>
            <w:tcW w:w="850" w:type="dxa"/>
            <w:vMerge/>
            <w:shd w:val="clear" w:color="auto" w:fill="C5E0B3" w:themeFill="accent6" w:themeFillTint="66"/>
          </w:tcPr>
          <w:p w14:paraId="5C923CF8" w14:textId="77777777" w:rsidR="00FC22E6" w:rsidRPr="000D4ACD" w:rsidRDefault="00FC22E6" w:rsidP="005F77A1">
            <w:pPr>
              <w:spacing w:before="20" w:after="20"/>
              <w:jc w:val="center"/>
              <w:rPr>
                <w:rFonts w:cs="Arial"/>
                <w:b/>
                <w:sz w:val="18"/>
              </w:rPr>
            </w:pPr>
          </w:p>
        </w:tc>
      </w:tr>
      <w:tr w:rsidR="00FC22E6" w:rsidRPr="000D4ACD" w14:paraId="1E7D8817" w14:textId="77777777" w:rsidTr="00E91C6C">
        <w:trPr>
          <w:trHeight w:val="300"/>
        </w:trPr>
        <w:tc>
          <w:tcPr>
            <w:tcW w:w="2069" w:type="dxa"/>
            <w:noWrap/>
          </w:tcPr>
          <w:p w14:paraId="51C2974E" w14:textId="77777777" w:rsidR="00FC22E6" w:rsidRPr="000D4ACD" w:rsidRDefault="00FC22E6" w:rsidP="005F77A1">
            <w:pPr>
              <w:spacing w:before="20" w:after="20"/>
              <w:rPr>
                <w:rFonts w:cs="Arial"/>
                <w:sz w:val="18"/>
              </w:rPr>
            </w:pPr>
            <w:r w:rsidRPr="000D4ACD">
              <w:rPr>
                <w:rFonts w:cs="Arial"/>
                <w:sz w:val="18"/>
              </w:rPr>
              <w:t>SHCS</w:t>
            </w:r>
          </w:p>
        </w:tc>
        <w:tc>
          <w:tcPr>
            <w:tcW w:w="908" w:type="dxa"/>
            <w:noWrap/>
          </w:tcPr>
          <w:p w14:paraId="3133780F" w14:textId="77777777" w:rsidR="00FC22E6" w:rsidRPr="000D4ACD" w:rsidRDefault="00FC22E6" w:rsidP="005F77A1">
            <w:pPr>
              <w:spacing w:before="20" w:after="20"/>
              <w:jc w:val="center"/>
              <w:rPr>
                <w:rFonts w:cs="Arial"/>
                <w:sz w:val="18"/>
              </w:rPr>
            </w:pPr>
            <w:r w:rsidRPr="000D4ACD">
              <w:rPr>
                <w:rFonts w:cs="Arial"/>
                <w:sz w:val="18"/>
              </w:rPr>
              <w:t>255</w:t>
            </w:r>
          </w:p>
        </w:tc>
        <w:tc>
          <w:tcPr>
            <w:tcW w:w="1002" w:type="dxa"/>
            <w:noWrap/>
          </w:tcPr>
          <w:p w14:paraId="1E91A06F" w14:textId="77777777" w:rsidR="00FC22E6" w:rsidRPr="000D4ACD" w:rsidRDefault="00FC22E6" w:rsidP="005F77A1">
            <w:pPr>
              <w:spacing w:before="20" w:after="20"/>
              <w:jc w:val="center"/>
              <w:rPr>
                <w:rFonts w:cs="Arial"/>
                <w:sz w:val="18"/>
              </w:rPr>
            </w:pPr>
            <w:r w:rsidRPr="000D4ACD">
              <w:rPr>
                <w:rFonts w:cs="Arial"/>
                <w:sz w:val="18"/>
              </w:rPr>
              <w:t>49</w:t>
            </w:r>
          </w:p>
        </w:tc>
        <w:tc>
          <w:tcPr>
            <w:tcW w:w="1291" w:type="dxa"/>
            <w:noWrap/>
          </w:tcPr>
          <w:p w14:paraId="53C472A7" w14:textId="77777777" w:rsidR="00FC22E6" w:rsidRPr="000D4ACD" w:rsidRDefault="00FC22E6" w:rsidP="005F77A1">
            <w:pPr>
              <w:spacing w:before="20" w:after="20"/>
              <w:jc w:val="center"/>
              <w:rPr>
                <w:rFonts w:cs="Arial"/>
                <w:sz w:val="18"/>
              </w:rPr>
            </w:pPr>
            <w:r w:rsidRPr="000D4ACD">
              <w:rPr>
                <w:rFonts w:cs="Arial"/>
                <w:sz w:val="18"/>
              </w:rPr>
              <w:t>39</w:t>
            </w:r>
          </w:p>
        </w:tc>
        <w:tc>
          <w:tcPr>
            <w:tcW w:w="1251" w:type="dxa"/>
            <w:noWrap/>
          </w:tcPr>
          <w:p w14:paraId="326F5094" w14:textId="77777777" w:rsidR="00FC22E6" w:rsidRPr="000D4ACD" w:rsidRDefault="00FC22E6" w:rsidP="005F77A1">
            <w:pPr>
              <w:spacing w:before="20" w:after="20"/>
              <w:jc w:val="center"/>
              <w:rPr>
                <w:rFonts w:cs="Arial"/>
                <w:sz w:val="18"/>
              </w:rPr>
            </w:pPr>
            <w:r w:rsidRPr="000D4ACD">
              <w:rPr>
                <w:rFonts w:cs="Arial"/>
                <w:sz w:val="18"/>
              </w:rPr>
              <w:t>168</w:t>
            </w:r>
          </w:p>
        </w:tc>
        <w:tc>
          <w:tcPr>
            <w:tcW w:w="850" w:type="dxa"/>
            <w:noWrap/>
          </w:tcPr>
          <w:p w14:paraId="7373046C" w14:textId="77777777" w:rsidR="00FC22E6" w:rsidRPr="000D4ACD" w:rsidRDefault="00FC22E6" w:rsidP="005F77A1">
            <w:pPr>
              <w:spacing w:before="20" w:after="20"/>
              <w:jc w:val="center"/>
              <w:rPr>
                <w:rFonts w:cs="Arial"/>
                <w:sz w:val="18"/>
              </w:rPr>
            </w:pPr>
            <w:r w:rsidRPr="000D4ACD">
              <w:rPr>
                <w:rFonts w:cs="Arial"/>
                <w:sz w:val="18"/>
              </w:rPr>
              <w:t>511</w:t>
            </w:r>
          </w:p>
        </w:tc>
      </w:tr>
      <w:tr w:rsidR="00FC22E6" w:rsidRPr="000D4ACD" w14:paraId="3BCA692C" w14:textId="77777777" w:rsidTr="00E91C6C">
        <w:trPr>
          <w:trHeight w:val="300"/>
        </w:trPr>
        <w:tc>
          <w:tcPr>
            <w:tcW w:w="2069" w:type="dxa"/>
            <w:noWrap/>
          </w:tcPr>
          <w:p w14:paraId="50DAA0B6" w14:textId="77777777" w:rsidR="00FC22E6" w:rsidRPr="000D4ACD" w:rsidRDefault="00FC22E6" w:rsidP="005F77A1">
            <w:pPr>
              <w:spacing w:before="20" w:after="20"/>
              <w:rPr>
                <w:rFonts w:cs="Arial"/>
                <w:sz w:val="18"/>
              </w:rPr>
            </w:pPr>
            <w:r w:rsidRPr="000D4ACD">
              <w:rPr>
                <w:rFonts w:cs="Arial"/>
                <w:sz w:val="18"/>
              </w:rPr>
              <w:t>STT</w:t>
            </w:r>
          </w:p>
        </w:tc>
        <w:tc>
          <w:tcPr>
            <w:tcW w:w="908" w:type="dxa"/>
            <w:noWrap/>
          </w:tcPr>
          <w:p w14:paraId="6E545575" w14:textId="77777777" w:rsidR="00FC22E6" w:rsidRPr="000D4ACD" w:rsidRDefault="00FC22E6" w:rsidP="005F77A1">
            <w:pPr>
              <w:spacing w:before="20" w:after="20"/>
              <w:jc w:val="center"/>
              <w:rPr>
                <w:rFonts w:cs="Arial"/>
                <w:sz w:val="18"/>
              </w:rPr>
            </w:pPr>
            <w:r w:rsidRPr="000D4ACD">
              <w:rPr>
                <w:rFonts w:cs="Arial"/>
                <w:sz w:val="18"/>
              </w:rPr>
              <w:t>213</w:t>
            </w:r>
          </w:p>
        </w:tc>
        <w:tc>
          <w:tcPr>
            <w:tcW w:w="1002" w:type="dxa"/>
            <w:noWrap/>
          </w:tcPr>
          <w:p w14:paraId="345F668F" w14:textId="77777777" w:rsidR="00FC22E6" w:rsidRPr="000D4ACD" w:rsidRDefault="00FC22E6" w:rsidP="005F77A1">
            <w:pPr>
              <w:spacing w:before="20" w:after="20"/>
              <w:jc w:val="center"/>
              <w:rPr>
                <w:rFonts w:cs="Arial"/>
                <w:sz w:val="18"/>
              </w:rPr>
            </w:pPr>
            <w:r w:rsidRPr="000D4ACD">
              <w:rPr>
                <w:rFonts w:cs="Arial"/>
                <w:sz w:val="18"/>
              </w:rPr>
              <w:t>204</w:t>
            </w:r>
          </w:p>
        </w:tc>
        <w:tc>
          <w:tcPr>
            <w:tcW w:w="1291" w:type="dxa"/>
            <w:noWrap/>
          </w:tcPr>
          <w:p w14:paraId="4AEE5BEF" w14:textId="77777777" w:rsidR="00FC22E6" w:rsidRPr="000D4ACD" w:rsidRDefault="00FC22E6" w:rsidP="005F77A1">
            <w:pPr>
              <w:spacing w:before="20" w:after="20"/>
              <w:jc w:val="center"/>
              <w:rPr>
                <w:rFonts w:cs="Arial"/>
                <w:sz w:val="18"/>
              </w:rPr>
            </w:pPr>
            <w:r w:rsidRPr="000D4ACD">
              <w:rPr>
                <w:rFonts w:cs="Arial"/>
                <w:sz w:val="18"/>
              </w:rPr>
              <w:t>26</w:t>
            </w:r>
          </w:p>
        </w:tc>
        <w:tc>
          <w:tcPr>
            <w:tcW w:w="1251" w:type="dxa"/>
            <w:noWrap/>
          </w:tcPr>
          <w:p w14:paraId="3549AD73" w14:textId="77777777" w:rsidR="00FC22E6" w:rsidRPr="000D4ACD" w:rsidRDefault="00FC22E6" w:rsidP="005F77A1">
            <w:pPr>
              <w:spacing w:before="20" w:after="20"/>
              <w:jc w:val="center"/>
              <w:rPr>
                <w:rFonts w:cs="Arial"/>
                <w:sz w:val="18"/>
              </w:rPr>
            </w:pPr>
            <w:r w:rsidRPr="000D4ACD">
              <w:rPr>
                <w:rFonts w:cs="Arial"/>
                <w:sz w:val="18"/>
              </w:rPr>
              <w:t>0</w:t>
            </w:r>
          </w:p>
        </w:tc>
        <w:tc>
          <w:tcPr>
            <w:tcW w:w="850" w:type="dxa"/>
            <w:noWrap/>
          </w:tcPr>
          <w:p w14:paraId="668FF582" w14:textId="77777777" w:rsidR="00FC22E6" w:rsidRPr="000D4ACD" w:rsidRDefault="00FC22E6" w:rsidP="005F77A1">
            <w:pPr>
              <w:spacing w:before="20" w:after="20"/>
              <w:jc w:val="center"/>
              <w:rPr>
                <w:rFonts w:cs="Arial"/>
                <w:sz w:val="18"/>
              </w:rPr>
            </w:pPr>
            <w:r w:rsidRPr="000D4ACD">
              <w:rPr>
                <w:rFonts w:cs="Arial"/>
                <w:sz w:val="18"/>
              </w:rPr>
              <w:t>443</w:t>
            </w:r>
          </w:p>
        </w:tc>
      </w:tr>
      <w:tr w:rsidR="00FC22E6" w:rsidRPr="000D4ACD" w14:paraId="3835BB31" w14:textId="77777777" w:rsidTr="00E91C6C">
        <w:trPr>
          <w:trHeight w:val="300"/>
        </w:trPr>
        <w:tc>
          <w:tcPr>
            <w:tcW w:w="2069" w:type="dxa"/>
            <w:noWrap/>
          </w:tcPr>
          <w:p w14:paraId="5F319ADE" w14:textId="77777777" w:rsidR="00FC22E6" w:rsidRPr="000D4ACD" w:rsidRDefault="00FC22E6" w:rsidP="005F77A1">
            <w:pPr>
              <w:spacing w:before="20" w:after="20"/>
              <w:rPr>
                <w:rFonts w:cs="Arial"/>
                <w:sz w:val="18"/>
              </w:rPr>
            </w:pPr>
            <w:r w:rsidRPr="000D4ACD">
              <w:rPr>
                <w:rFonts w:cs="Arial"/>
                <w:sz w:val="18"/>
              </w:rPr>
              <w:t>Combined</w:t>
            </w:r>
          </w:p>
        </w:tc>
        <w:tc>
          <w:tcPr>
            <w:tcW w:w="908" w:type="dxa"/>
            <w:noWrap/>
          </w:tcPr>
          <w:p w14:paraId="0D0F2758" w14:textId="77777777" w:rsidR="00FC22E6" w:rsidRPr="000D4ACD" w:rsidRDefault="00FC22E6" w:rsidP="005F77A1">
            <w:pPr>
              <w:spacing w:before="20" w:after="20"/>
              <w:jc w:val="center"/>
              <w:rPr>
                <w:rFonts w:cs="Arial"/>
                <w:sz w:val="18"/>
              </w:rPr>
            </w:pPr>
            <w:r w:rsidRPr="000D4ACD">
              <w:rPr>
                <w:rFonts w:cs="Arial"/>
                <w:sz w:val="18"/>
              </w:rPr>
              <w:t>7</w:t>
            </w:r>
          </w:p>
        </w:tc>
        <w:tc>
          <w:tcPr>
            <w:tcW w:w="1002" w:type="dxa"/>
            <w:noWrap/>
          </w:tcPr>
          <w:p w14:paraId="196515A4" w14:textId="77777777" w:rsidR="00FC22E6" w:rsidRPr="000D4ACD" w:rsidRDefault="00FC22E6" w:rsidP="005F77A1">
            <w:pPr>
              <w:spacing w:before="20" w:after="20"/>
              <w:jc w:val="center"/>
              <w:rPr>
                <w:rFonts w:cs="Arial"/>
                <w:sz w:val="18"/>
              </w:rPr>
            </w:pPr>
            <w:r w:rsidRPr="000D4ACD">
              <w:rPr>
                <w:rFonts w:cs="Arial"/>
                <w:sz w:val="18"/>
              </w:rPr>
              <w:t>16</w:t>
            </w:r>
          </w:p>
        </w:tc>
        <w:tc>
          <w:tcPr>
            <w:tcW w:w="1291" w:type="dxa"/>
            <w:noWrap/>
          </w:tcPr>
          <w:p w14:paraId="55FBF0AB" w14:textId="77777777" w:rsidR="00FC22E6" w:rsidRPr="000D4ACD" w:rsidRDefault="00FC22E6" w:rsidP="005F77A1">
            <w:pPr>
              <w:spacing w:before="20" w:after="20"/>
              <w:jc w:val="center"/>
              <w:rPr>
                <w:rFonts w:cs="Arial"/>
                <w:sz w:val="18"/>
              </w:rPr>
            </w:pPr>
          </w:p>
        </w:tc>
        <w:tc>
          <w:tcPr>
            <w:tcW w:w="1251" w:type="dxa"/>
            <w:noWrap/>
          </w:tcPr>
          <w:p w14:paraId="3D4CC3E3" w14:textId="77777777" w:rsidR="00FC22E6" w:rsidRPr="000D4ACD" w:rsidRDefault="00FC22E6" w:rsidP="005F77A1">
            <w:pPr>
              <w:spacing w:before="20" w:after="20"/>
              <w:jc w:val="center"/>
              <w:rPr>
                <w:rFonts w:cs="Arial"/>
                <w:sz w:val="18"/>
              </w:rPr>
            </w:pPr>
            <w:r w:rsidRPr="000D4ACD">
              <w:rPr>
                <w:rFonts w:cs="Arial"/>
                <w:sz w:val="18"/>
              </w:rPr>
              <w:t>2</w:t>
            </w:r>
          </w:p>
        </w:tc>
        <w:tc>
          <w:tcPr>
            <w:tcW w:w="850" w:type="dxa"/>
            <w:noWrap/>
          </w:tcPr>
          <w:p w14:paraId="4503A74B" w14:textId="77777777" w:rsidR="00FC22E6" w:rsidRPr="000D4ACD" w:rsidRDefault="00FC22E6" w:rsidP="005F77A1">
            <w:pPr>
              <w:spacing w:before="20" w:after="20"/>
              <w:jc w:val="center"/>
              <w:rPr>
                <w:rFonts w:cs="Arial"/>
                <w:sz w:val="18"/>
              </w:rPr>
            </w:pPr>
            <w:r w:rsidRPr="000D4ACD">
              <w:rPr>
                <w:rFonts w:cs="Arial"/>
                <w:sz w:val="18"/>
              </w:rPr>
              <w:t>25</w:t>
            </w:r>
          </w:p>
        </w:tc>
      </w:tr>
      <w:tr w:rsidR="00FC22E6" w:rsidRPr="000D4ACD" w14:paraId="1DD7E538" w14:textId="77777777" w:rsidTr="00E91C6C">
        <w:trPr>
          <w:trHeight w:val="300"/>
        </w:trPr>
        <w:tc>
          <w:tcPr>
            <w:tcW w:w="2069" w:type="dxa"/>
            <w:noWrap/>
          </w:tcPr>
          <w:p w14:paraId="005B2391" w14:textId="77777777" w:rsidR="00FC22E6" w:rsidRPr="000D4ACD" w:rsidRDefault="00FC22E6" w:rsidP="005F77A1">
            <w:pPr>
              <w:spacing w:before="20" w:after="20"/>
              <w:rPr>
                <w:rFonts w:cs="Arial"/>
                <w:sz w:val="18"/>
              </w:rPr>
            </w:pPr>
            <w:r w:rsidRPr="000D4ACD">
              <w:rPr>
                <w:rFonts w:cs="Arial"/>
                <w:sz w:val="18"/>
              </w:rPr>
              <w:t>Total W/L</w:t>
            </w:r>
          </w:p>
        </w:tc>
        <w:tc>
          <w:tcPr>
            <w:tcW w:w="908" w:type="dxa"/>
            <w:noWrap/>
          </w:tcPr>
          <w:p w14:paraId="43702035" w14:textId="77777777" w:rsidR="00FC22E6" w:rsidRPr="000D4ACD" w:rsidRDefault="00FC22E6" w:rsidP="005F77A1">
            <w:pPr>
              <w:spacing w:before="20" w:after="20"/>
              <w:jc w:val="center"/>
              <w:rPr>
                <w:rFonts w:cs="Arial"/>
                <w:sz w:val="18"/>
              </w:rPr>
            </w:pPr>
            <w:r w:rsidRPr="000D4ACD">
              <w:rPr>
                <w:rFonts w:cs="Arial"/>
                <w:sz w:val="18"/>
              </w:rPr>
              <w:t>475</w:t>
            </w:r>
          </w:p>
        </w:tc>
        <w:tc>
          <w:tcPr>
            <w:tcW w:w="1002" w:type="dxa"/>
            <w:noWrap/>
          </w:tcPr>
          <w:p w14:paraId="3F906361" w14:textId="77777777" w:rsidR="00FC22E6" w:rsidRPr="000D4ACD" w:rsidRDefault="00FC22E6" w:rsidP="005F77A1">
            <w:pPr>
              <w:spacing w:before="20" w:after="20"/>
              <w:jc w:val="center"/>
              <w:rPr>
                <w:rFonts w:cs="Arial"/>
                <w:sz w:val="18"/>
              </w:rPr>
            </w:pPr>
            <w:r w:rsidRPr="000D4ACD">
              <w:rPr>
                <w:rFonts w:cs="Arial"/>
                <w:sz w:val="18"/>
              </w:rPr>
              <w:t>269</w:t>
            </w:r>
          </w:p>
        </w:tc>
        <w:tc>
          <w:tcPr>
            <w:tcW w:w="1291" w:type="dxa"/>
            <w:noWrap/>
          </w:tcPr>
          <w:p w14:paraId="21414519" w14:textId="77777777" w:rsidR="00FC22E6" w:rsidRPr="000D4ACD" w:rsidRDefault="00FC22E6" w:rsidP="005F77A1">
            <w:pPr>
              <w:spacing w:before="20" w:after="20"/>
              <w:jc w:val="center"/>
              <w:rPr>
                <w:rFonts w:cs="Arial"/>
                <w:sz w:val="18"/>
              </w:rPr>
            </w:pPr>
            <w:r w:rsidRPr="000D4ACD">
              <w:rPr>
                <w:rFonts w:cs="Arial"/>
                <w:sz w:val="18"/>
              </w:rPr>
              <w:t>65</w:t>
            </w:r>
          </w:p>
        </w:tc>
        <w:tc>
          <w:tcPr>
            <w:tcW w:w="1251" w:type="dxa"/>
            <w:noWrap/>
          </w:tcPr>
          <w:p w14:paraId="6004A726" w14:textId="77777777" w:rsidR="00FC22E6" w:rsidRPr="000D4ACD" w:rsidRDefault="00FC22E6" w:rsidP="005F77A1">
            <w:pPr>
              <w:spacing w:before="20" w:after="20"/>
              <w:jc w:val="center"/>
              <w:rPr>
                <w:rFonts w:cs="Arial"/>
                <w:sz w:val="18"/>
              </w:rPr>
            </w:pPr>
            <w:r w:rsidRPr="000D4ACD">
              <w:rPr>
                <w:rFonts w:cs="Arial"/>
                <w:sz w:val="18"/>
              </w:rPr>
              <w:t>170</w:t>
            </w:r>
          </w:p>
        </w:tc>
        <w:tc>
          <w:tcPr>
            <w:tcW w:w="850" w:type="dxa"/>
            <w:noWrap/>
          </w:tcPr>
          <w:p w14:paraId="2D8D3931" w14:textId="77777777" w:rsidR="00FC22E6" w:rsidRPr="000D4ACD" w:rsidRDefault="00FC22E6" w:rsidP="005F77A1">
            <w:pPr>
              <w:spacing w:before="20" w:after="20"/>
              <w:jc w:val="center"/>
              <w:rPr>
                <w:rFonts w:cs="Arial"/>
                <w:sz w:val="18"/>
              </w:rPr>
            </w:pPr>
            <w:r w:rsidRPr="000D4ACD">
              <w:rPr>
                <w:rFonts w:cs="Arial"/>
                <w:sz w:val="18"/>
              </w:rPr>
              <w:t>979</w:t>
            </w:r>
          </w:p>
        </w:tc>
      </w:tr>
      <w:tr w:rsidR="00FC22E6" w:rsidRPr="000D4ACD" w14:paraId="7DEA8E0E" w14:textId="77777777" w:rsidTr="00E91C6C">
        <w:trPr>
          <w:trHeight w:val="300"/>
        </w:trPr>
        <w:tc>
          <w:tcPr>
            <w:tcW w:w="2069" w:type="dxa"/>
            <w:noWrap/>
          </w:tcPr>
          <w:p w14:paraId="7E8155B4" w14:textId="77777777" w:rsidR="00FC22E6" w:rsidRPr="000D4ACD" w:rsidRDefault="00FC22E6" w:rsidP="005F77A1">
            <w:pPr>
              <w:spacing w:before="20" w:after="20"/>
              <w:rPr>
                <w:rFonts w:cs="Arial"/>
                <w:sz w:val="18"/>
              </w:rPr>
            </w:pPr>
            <w:r w:rsidRPr="000D4ACD">
              <w:rPr>
                <w:rFonts w:cs="Arial"/>
                <w:sz w:val="18"/>
              </w:rPr>
              <w:t xml:space="preserve">Current enrolment </w:t>
            </w:r>
          </w:p>
        </w:tc>
        <w:tc>
          <w:tcPr>
            <w:tcW w:w="908" w:type="dxa"/>
            <w:noWrap/>
          </w:tcPr>
          <w:p w14:paraId="42C1DBB8" w14:textId="77777777" w:rsidR="00FC22E6" w:rsidRPr="000D4ACD" w:rsidRDefault="00FC22E6" w:rsidP="005F77A1">
            <w:pPr>
              <w:spacing w:before="20" w:after="20"/>
              <w:jc w:val="center"/>
              <w:rPr>
                <w:rFonts w:cs="Arial"/>
                <w:sz w:val="18"/>
              </w:rPr>
            </w:pPr>
            <w:r w:rsidRPr="000D4ACD">
              <w:rPr>
                <w:rFonts w:cs="Arial"/>
                <w:sz w:val="18"/>
              </w:rPr>
              <w:t>843</w:t>
            </w:r>
          </w:p>
        </w:tc>
        <w:tc>
          <w:tcPr>
            <w:tcW w:w="1002" w:type="dxa"/>
            <w:noWrap/>
          </w:tcPr>
          <w:p w14:paraId="2216E91A" w14:textId="77777777" w:rsidR="00FC22E6" w:rsidRPr="000D4ACD" w:rsidRDefault="00FC22E6" w:rsidP="005F77A1">
            <w:pPr>
              <w:spacing w:before="20" w:after="20"/>
              <w:jc w:val="center"/>
              <w:rPr>
                <w:rFonts w:cs="Arial"/>
                <w:sz w:val="18"/>
              </w:rPr>
            </w:pPr>
            <w:r w:rsidRPr="000D4ACD">
              <w:rPr>
                <w:rFonts w:cs="Arial"/>
                <w:sz w:val="18"/>
              </w:rPr>
              <w:t>370</w:t>
            </w:r>
          </w:p>
        </w:tc>
        <w:tc>
          <w:tcPr>
            <w:tcW w:w="1291" w:type="dxa"/>
            <w:noWrap/>
          </w:tcPr>
          <w:p w14:paraId="63F95A51" w14:textId="77777777" w:rsidR="00FC22E6" w:rsidRPr="000D4ACD" w:rsidRDefault="00FC22E6" w:rsidP="005F77A1">
            <w:pPr>
              <w:spacing w:before="20" w:after="20"/>
              <w:jc w:val="center"/>
              <w:rPr>
                <w:rFonts w:cs="Arial"/>
                <w:sz w:val="18"/>
              </w:rPr>
            </w:pPr>
            <w:r w:rsidRPr="000D4ACD">
              <w:rPr>
                <w:rFonts w:cs="Arial"/>
                <w:sz w:val="18"/>
              </w:rPr>
              <w:t>309</w:t>
            </w:r>
          </w:p>
        </w:tc>
        <w:tc>
          <w:tcPr>
            <w:tcW w:w="1251" w:type="dxa"/>
            <w:noWrap/>
          </w:tcPr>
          <w:p w14:paraId="700AC764" w14:textId="77777777" w:rsidR="00FC22E6" w:rsidRPr="000D4ACD" w:rsidRDefault="00FC22E6" w:rsidP="005F77A1">
            <w:pPr>
              <w:spacing w:before="20" w:after="20"/>
              <w:jc w:val="center"/>
              <w:rPr>
                <w:rFonts w:cs="Arial"/>
                <w:sz w:val="18"/>
              </w:rPr>
            </w:pPr>
            <w:r w:rsidRPr="000D4ACD">
              <w:rPr>
                <w:rFonts w:cs="Arial"/>
                <w:sz w:val="18"/>
              </w:rPr>
              <w:t>255</w:t>
            </w:r>
          </w:p>
        </w:tc>
        <w:tc>
          <w:tcPr>
            <w:tcW w:w="850" w:type="dxa"/>
            <w:noWrap/>
          </w:tcPr>
          <w:p w14:paraId="68902BBB" w14:textId="77777777" w:rsidR="00FC22E6" w:rsidRPr="000D4ACD" w:rsidRDefault="00FC22E6" w:rsidP="005F77A1">
            <w:pPr>
              <w:spacing w:before="20" w:after="20"/>
              <w:jc w:val="center"/>
              <w:rPr>
                <w:rFonts w:cs="Arial"/>
                <w:sz w:val="18"/>
              </w:rPr>
            </w:pPr>
            <w:r w:rsidRPr="000D4ACD">
              <w:rPr>
                <w:rFonts w:cs="Arial"/>
                <w:sz w:val="18"/>
              </w:rPr>
              <w:t>1937</w:t>
            </w:r>
          </w:p>
        </w:tc>
      </w:tr>
      <w:tr w:rsidR="00FC22E6" w:rsidRPr="00F45065" w14:paraId="0595FFC7" w14:textId="77777777" w:rsidTr="00E91C6C">
        <w:trPr>
          <w:trHeight w:val="300"/>
        </w:trPr>
        <w:tc>
          <w:tcPr>
            <w:tcW w:w="2069" w:type="dxa"/>
            <w:shd w:val="clear" w:color="auto" w:fill="E2EFD9" w:themeFill="accent6" w:themeFillTint="33"/>
            <w:noWrap/>
          </w:tcPr>
          <w:p w14:paraId="2A58A939" w14:textId="77777777" w:rsidR="00FC22E6" w:rsidRPr="00F45065" w:rsidRDefault="00FC22E6" w:rsidP="005F77A1">
            <w:pPr>
              <w:spacing w:before="20" w:after="20"/>
              <w:rPr>
                <w:rFonts w:cs="Arial"/>
                <w:b/>
                <w:sz w:val="18"/>
              </w:rPr>
            </w:pPr>
            <w:r w:rsidRPr="00F45065">
              <w:rPr>
                <w:rFonts w:cs="Arial"/>
                <w:b/>
                <w:sz w:val="18"/>
              </w:rPr>
              <w:t>W/L as % enrolment</w:t>
            </w:r>
          </w:p>
        </w:tc>
        <w:tc>
          <w:tcPr>
            <w:tcW w:w="908" w:type="dxa"/>
            <w:shd w:val="clear" w:color="auto" w:fill="E2EFD9" w:themeFill="accent6" w:themeFillTint="33"/>
            <w:noWrap/>
          </w:tcPr>
          <w:p w14:paraId="2660A62F" w14:textId="77777777" w:rsidR="00FC22E6" w:rsidRPr="00F45065" w:rsidRDefault="00FC22E6" w:rsidP="005F77A1">
            <w:pPr>
              <w:spacing w:before="20" w:after="20"/>
              <w:jc w:val="center"/>
              <w:rPr>
                <w:rFonts w:cs="Arial"/>
                <w:b/>
                <w:sz w:val="18"/>
              </w:rPr>
            </w:pPr>
            <w:r w:rsidRPr="00F45065">
              <w:rPr>
                <w:rFonts w:cs="Arial"/>
                <w:b/>
                <w:sz w:val="18"/>
              </w:rPr>
              <w:t>56%</w:t>
            </w:r>
          </w:p>
        </w:tc>
        <w:tc>
          <w:tcPr>
            <w:tcW w:w="1002" w:type="dxa"/>
            <w:shd w:val="clear" w:color="auto" w:fill="E2EFD9" w:themeFill="accent6" w:themeFillTint="33"/>
            <w:noWrap/>
          </w:tcPr>
          <w:p w14:paraId="64D40E92" w14:textId="77777777" w:rsidR="00FC22E6" w:rsidRPr="00F45065" w:rsidRDefault="00FC22E6" w:rsidP="005F77A1">
            <w:pPr>
              <w:spacing w:before="20" w:after="20"/>
              <w:jc w:val="center"/>
              <w:rPr>
                <w:rFonts w:cs="Arial"/>
                <w:b/>
                <w:sz w:val="18"/>
              </w:rPr>
            </w:pPr>
            <w:r w:rsidRPr="00F45065">
              <w:rPr>
                <w:rFonts w:cs="Arial"/>
                <w:b/>
                <w:sz w:val="18"/>
              </w:rPr>
              <w:t>73%</w:t>
            </w:r>
          </w:p>
        </w:tc>
        <w:tc>
          <w:tcPr>
            <w:tcW w:w="1291" w:type="dxa"/>
            <w:shd w:val="clear" w:color="auto" w:fill="E2EFD9" w:themeFill="accent6" w:themeFillTint="33"/>
            <w:noWrap/>
          </w:tcPr>
          <w:p w14:paraId="363FEB67" w14:textId="77777777" w:rsidR="00FC22E6" w:rsidRPr="00F45065" w:rsidRDefault="00FC22E6" w:rsidP="005F77A1">
            <w:pPr>
              <w:spacing w:before="20" w:after="20"/>
              <w:jc w:val="center"/>
              <w:rPr>
                <w:rFonts w:cs="Arial"/>
                <w:b/>
                <w:sz w:val="18"/>
              </w:rPr>
            </w:pPr>
            <w:r w:rsidRPr="00F45065">
              <w:rPr>
                <w:rFonts w:cs="Arial"/>
                <w:b/>
                <w:sz w:val="18"/>
              </w:rPr>
              <w:t>21%</w:t>
            </w:r>
          </w:p>
        </w:tc>
        <w:tc>
          <w:tcPr>
            <w:tcW w:w="1251" w:type="dxa"/>
            <w:shd w:val="clear" w:color="auto" w:fill="E2EFD9" w:themeFill="accent6" w:themeFillTint="33"/>
            <w:noWrap/>
          </w:tcPr>
          <w:p w14:paraId="4D36ABA1" w14:textId="77777777" w:rsidR="00FC22E6" w:rsidRPr="00F45065" w:rsidRDefault="00FC22E6" w:rsidP="005F77A1">
            <w:pPr>
              <w:spacing w:before="20" w:after="20"/>
              <w:jc w:val="center"/>
              <w:rPr>
                <w:rFonts w:cs="Arial"/>
                <w:b/>
                <w:sz w:val="18"/>
              </w:rPr>
            </w:pPr>
            <w:r w:rsidRPr="00F45065">
              <w:rPr>
                <w:rFonts w:cs="Arial"/>
                <w:b/>
                <w:sz w:val="18"/>
              </w:rPr>
              <w:t>67%</w:t>
            </w:r>
          </w:p>
        </w:tc>
        <w:tc>
          <w:tcPr>
            <w:tcW w:w="850" w:type="dxa"/>
            <w:shd w:val="clear" w:color="auto" w:fill="E2EFD9" w:themeFill="accent6" w:themeFillTint="33"/>
            <w:noWrap/>
          </w:tcPr>
          <w:p w14:paraId="456317D4" w14:textId="77777777" w:rsidR="00FC22E6" w:rsidRPr="00F45065" w:rsidRDefault="00FC22E6" w:rsidP="005F77A1">
            <w:pPr>
              <w:spacing w:before="20" w:after="20"/>
              <w:jc w:val="center"/>
              <w:rPr>
                <w:rFonts w:cs="Arial"/>
                <w:b/>
                <w:sz w:val="18"/>
              </w:rPr>
            </w:pPr>
            <w:r w:rsidRPr="00F45065">
              <w:rPr>
                <w:rFonts w:cs="Arial"/>
                <w:b/>
                <w:sz w:val="18"/>
              </w:rPr>
              <w:t>51%</w:t>
            </w:r>
          </w:p>
        </w:tc>
      </w:tr>
    </w:tbl>
    <w:p w14:paraId="66822E03" w14:textId="4CA9A354" w:rsidR="00FC22E6" w:rsidRPr="00EF7B32" w:rsidRDefault="00FC22E6" w:rsidP="00FC22E6">
      <w:pPr>
        <w:rPr>
          <w:rFonts w:cs="Arial"/>
          <w:sz w:val="16"/>
          <w:szCs w:val="18"/>
        </w:rPr>
      </w:pPr>
      <w:r w:rsidRPr="00EF7B32">
        <w:rPr>
          <w:rFonts w:cs="Arial"/>
          <w:sz w:val="16"/>
          <w:szCs w:val="18"/>
        </w:rPr>
        <w:t xml:space="preserve"> Source: AP</w:t>
      </w:r>
      <w:r w:rsidR="00C3291E">
        <w:rPr>
          <w:rFonts w:cs="Arial"/>
          <w:sz w:val="16"/>
          <w:szCs w:val="18"/>
        </w:rPr>
        <w:t>T</w:t>
      </w:r>
      <w:r w:rsidRPr="00EF7B32">
        <w:rPr>
          <w:rFonts w:cs="Arial"/>
          <w:sz w:val="16"/>
          <w:szCs w:val="18"/>
        </w:rPr>
        <w:t>C Table B.3.</w:t>
      </w:r>
    </w:p>
    <w:p w14:paraId="2B2C1630" w14:textId="77777777" w:rsidR="00FC22E6" w:rsidRPr="00D17CCB" w:rsidRDefault="00FC22E6" w:rsidP="00FC22E6">
      <w:pPr>
        <w:rPr>
          <w:rFonts w:cs="Arial"/>
        </w:rPr>
      </w:pPr>
      <w:r w:rsidRPr="00D17CCB">
        <w:rPr>
          <w:rFonts w:cs="Arial"/>
        </w:rPr>
        <w:t>Three training packages account for three-fourths of the waitlist (731 of 979): community services, tourism/hospitality an</w:t>
      </w:r>
      <w:r>
        <w:rPr>
          <w:rFonts w:cs="Arial"/>
        </w:rPr>
        <w:t xml:space="preserve">d construction-related trades. </w:t>
      </w:r>
      <w:r w:rsidRPr="00D17CCB">
        <w:rPr>
          <w:rFonts w:cs="Arial"/>
        </w:rPr>
        <w:t xml:space="preserve">The following chart shows the specific </w:t>
      </w:r>
      <w:r>
        <w:rPr>
          <w:rFonts w:cs="Arial"/>
        </w:rPr>
        <w:t xml:space="preserve">courses </w:t>
      </w:r>
      <w:r w:rsidRPr="00D17CCB">
        <w:rPr>
          <w:rFonts w:cs="Arial"/>
        </w:rPr>
        <w:t xml:space="preserve">with largest wait lists by school. </w:t>
      </w:r>
    </w:p>
    <w:p w14:paraId="555BF4E5" w14:textId="377484BB" w:rsidR="00FC22E6" w:rsidRPr="00D17CCB" w:rsidRDefault="00FC22E6" w:rsidP="003E441F">
      <w:pPr>
        <w:pStyle w:val="Tableheading"/>
        <w:spacing w:before="200"/>
      </w:pPr>
      <w:bookmarkStart w:id="199" w:name="_Toc274059223"/>
      <w:bookmarkStart w:id="200" w:name="_Toc274146431"/>
      <w:bookmarkStart w:id="201" w:name="_Toc274915890"/>
      <w:bookmarkStart w:id="202" w:name="_Toc278446868"/>
      <w:r>
        <w:lastRenderedPageBreak/>
        <w:t xml:space="preserve">Figure 3.2.1: </w:t>
      </w:r>
      <w:r w:rsidRPr="00A97087">
        <w:t>Courses and qualifications with largest waiting lists</w:t>
      </w:r>
      <w:r w:rsidR="003E441F">
        <w:br/>
      </w:r>
      <w:r w:rsidRPr="00A97087">
        <w:t xml:space="preserve"> </w:t>
      </w:r>
      <w:r>
        <w:t xml:space="preserve">(number of </w:t>
      </w:r>
      <w:r w:rsidRPr="00A97087">
        <w:t>admitted students, STT in red)</w:t>
      </w:r>
      <w:bookmarkEnd w:id="199"/>
      <w:bookmarkEnd w:id="200"/>
      <w:bookmarkEnd w:id="201"/>
      <w:bookmarkEnd w:id="202"/>
    </w:p>
    <w:p w14:paraId="43CEDDA4" w14:textId="77777777" w:rsidR="00FC22E6" w:rsidRPr="00D17CCB" w:rsidRDefault="00FC22E6" w:rsidP="00BB39A7">
      <w:pPr>
        <w:spacing w:after="0"/>
        <w:rPr>
          <w:rFonts w:cs="Arial"/>
        </w:rPr>
      </w:pPr>
      <w:r w:rsidRPr="00D17CCB">
        <w:rPr>
          <w:rFonts w:cs="Arial"/>
          <w:noProof/>
          <w:lang w:eastAsia="en-AU"/>
        </w:rPr>
        <w:drawing>
          <wp:inline distT="0" distB="0" distL="0" distR="0" wp14:anchorId="040B7BDA" wp14:editId="0121B9C6">
            <wp:extent cx="4416002" cy="3945467"/>
            <wp:effectExtent l="0" t="0" r="29210" b="171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19BE5B" w14:textId="77777777" w:rsidR="00FC22E6" w:rsidRPr="00A97087" w:rsidRDefault="00FC22E6" w:rsidP="00FC22E6">
      <w:pPr>
        <w:rPr>
          <w:rFonts w:cs="Arial"/>
          <w:sz w:val="16"/>
          <w:szCs w:val="18"/>
        </w:rPr>
      </w:pPr>
      <w:r>
        <w:rPr>
          <w:rFonts w:cs="Arial"/>
          <w:sz w:val="16"/>
          <w:szCs w:val="18"/>
        </w:rPr>
        <w:t xml:space="preserve">Source: </w:t>
      </w:r>
      <w:r w:rsidRPr="00A97087">
        <w:rPr>
          <w:rFonts w:cs="Arial"/>
          <w:sz w:val="16"/>
          <w:szCs w:val="18"/>
        </w:rPr>
        <w:t>APTC Table B.3</w:t>
      </w:r>
    </w:p>
    <w:p w14:paraId="60A8AAD5" w14:textId="5A0C5B79" w:rsidR="003D355F" w:rsidRDefault="00263DD5" w:rsidP="002028A6">
      <w:pPr>
        <w:pStyle w:val="Heading2"/>
      </w:pPr>
      <w:bookmarkStart w:id="203" w:name="_Toc274059125"/>
      <w:bookmarkStart w:id="204" w:name="_Toc274145067"/>
      <w:bookmarkStart w:id="205" w:name="_Toc274900451"/>
      <w:bookmarkStart w:id="206" w:name="_Toc278447845"/>
      <w:bookmarkStart w:id="207" w:name="_Toc278453318"/>
      <w:r>
        <w:t xml:space="preserve">3.3 </w:t>
      </w:r>
      <w:r w:rsidR="003E441F">
        <w:tab/>
      </w:r>
      <w:r w:rsidR="00FC22E6" w:rsidRPr="00D17CCB">
        <w:t>Entrants by source of funding</w:t>
      </w:r>
      <w:bookmarkEnd w:id="203"/>
      <w:bookmarkEnd w:id="204"/>
      <w:bookmarkEnd w:id="205"/>
      <w:bookmarkEnd w:id="206"/>
      <w:bookmarkEnd w:id="207"/>
    </w:p>
    <w:p w14:paraId="41AE9E4C" w14:textId="7D576F22" w:rsidR="00FC22E6" w:rsidRDefault="00FC22E6" w:rsidP="00FC22E6">
      <w:pPr>
        <w:rPr>
          <w:rFonts w:cs="Arial"/>
        </w:rPr>
      </w:pPr>
      <w:r>
        <w:rPr>
          <w:rFonts w:cs="Arial"/>
        </w:rPr>
        <w:t>About three-</w:t>
      </w:r>
      <w:r w:rsidR="0026411D">
        <w:rPr>
          <w:rFonts w:cs="Arial"/>
        </w:rPr>
        <w:t>quarters</w:t>
      </w:r>
      <w:r w:rsidRPr="00D17CCB">
        <w:rPr>
          <w:rFonts w:cs="Arial"/>
        </w:rPr>
        <w:t xml:space="preserve"> of entering students w</w:t>
      </w:r>
      <w:r>
        <w:rPr>
          <w:rFonts w:cs="Arial"/>
        </w:rPr>
        <w:t xml:space="preserve">ere supported on scholarships. </w:t>
      </w:r>
      <w:r w:rsidRPr="00D17CCB">
        <w:rPr>
          <w:rFonts w:cs="Arial"/>
        </w:rPr>
        <w:t>This remaine</w:t>
      </w:r>
      <w:r>
        <w:rPr>
          <w:rFonts w:cs="Arial"/>
        </w:rPr>
        <w:t>d constant over the two stages.</w:t>
      </w:r>
      <w:r w:rsidRPr="00D17CCB">
        <w:rPr>
          <w:rFonts w:cs="Arial"/>
        </w:rPr>
        <w:t xml:space="preserve"> Employer funding </w:t>
      </w:r>
      <w:r>
        <w:rPr>
          <w:rFonts w:cs="Arial"/>
        </w:rPr>
        <w:t xml:space="preserve">supported </w:t>
      </w:r>
      <w:r w:rsidRPr="00D17CCB">
        <w:rPr>
          <w:rFonts w:cs="Arial"/>
        </w:rPr>
        <w:t>an average of 17</w:t>
      </w:r>
      <w:r>
        <w:rPr>
          <w:rFonts w:cs="Arial"/>
        </w:rPr>
        <w:t> </w:t>
      </w:r>
      <w:r w:rsidRPr="00D17CCB">
        <w:rPr>
          <w:rFonts w:cs="Arial"/>
        </w:rPr>
        <w:t>per</w:t>
      </w:r>
      <w:r>
        <w:rPr>
          <w:rFonts w:cs="Arial"/>
        </w:rPr>
        <w:t xml:space="preserve"> </w:t>
      </w:r>
      <w:r w:rsidRPr="00D17CCB">
        <w:rPr>
          <w:rFonts w:cs="Arial"/>
        </w:rPr>
        <w:t xml:space="preserve">cent </w:t>
      </w:r>
      <w:r>
        <w:rPr>
          <w:rFonts w:cs="Arial"/>
        </w:rPr>
        <w:t xml:space="preserve">of students </w:t>
      </w:r>
      <w:r w:rsidRPr="00D17CCB">
        <w:rPr>
          <w:rFonts w:cs="Arial"/>
        </w:rPr>
        <w:t>over the two stages, but dropped from 28</w:t>
      </w:r>
      <w:r>
        <w:rPr>
          <w:rFonts w:cs="Arial"/>
        </w:rPr>
        <w:t xml:space="preserve"> per cent</w:t>
      </w:r>
      <w:r w:rsidRPr="00D17CCB">
        <w:rPr>
          <w:rFonts w:cs="Arial"/>
        </w:rPr>
        <w:t xml:space="preserve"> to 11</w:t>
      </w:r>
      <w:r>
        <w:rPr>
          <w:rFonts w:cs="Arial"/>
        </w:rPr>
        <w:t xml:space="preserve"> per cent</w:t>
      </w:r>
      <w:r w:rsidRPr="00D17CCB">
        <w:rPr>
          <w:rFonts w:cs="Arial"/>
        </w:rPr>
        <w:t xml:space="preserve"> in STT between the two stages.</w:t>
      </w:r>
      <w:r>
        <w:rPr>
          <w:rStyle w:val="FootnoteReference"/>
          <w:rFonts w:cs="Arial"/>
        </w:rPr>
        <w:footnoteReference w:id="14"/>
      </w:r>
      <w:r>
        <w:rPr>
          <w:rFonts w:cs="Arial"/>
        </w:rPr>
        <w:t xml:space="preserve"> Income from fee-for-</w:t>
      </w:r>
      <w:r w:rsidRPr="00D17CCB">
        <w:rPr>
          <w:rFonts w:cs="Arial"/>
        </w:rPr>
        <w:t>service and partnership agreements was virtually nil in the first stage and increased to a combined 5.7</w:t>
      </w:r>
      <w:r>
        <w:rPr>
          <w:rFonts w:cs="Arial"/>
        </w:rPr>
        <w:t xml:space="preserve"> per cent</w:t>
      </w:r>
      <w:r w:rsidRPr="00D17CCB">
        <w:rPr>
          <w:rFonts w:cs="Arial"/>
        </w:rPr>
        <w:t xml:space="preserve"> in </w:t>
      </w:r>
      <w:r>
        <w:rPr>
          <w:rFonts w:cs="Arial"/>
        </w:rPr>
        <w:t>Stage II.</w:t>
      </w:r>
      <w:r w:rsidRPr="00D17CCB">
        <w:rPr>
          <w:rFonts w:cs="Arial"/>
        </w:rPr>
        <w:t xml:space="preserve"> Self-financed trainees accounted for only an average of 4.5</w:t>
      </w:r>
      <w:r>
        <w:rPr>
          <w:rFonts w:cs="Arial"/>
        </w:rPr>
        <w:t xml:space="preserve"> per cent</w:t>
      </w:r>
      <w:r w:rsidRPr="00D17CCB">
        <w:rPr>
          <w:rFonts w:cs="Arial"/>
        </w:rPr>
        <w:t xml:space="preserve"> of the total.</w:t>
      </w:r>
    </w:p>
    <w:p w14:paraId="62FB992E" w14:textId="60B27B38" w:rsidR="00FC22E6" w:rsidRPr="00D17CCB" w:rsidRDefault="00FC22E6" w:rsidP="00FC22E6">
      <w:pPr>
        <w:rPr>
          <w:rFonts w:cs="Arial"/>
        </w:rPr>
      </w:pPr>
      <w:r>
        <w:rPr>
          <w:rFonts w:cs="Arial"/>
        </w:rPr>
        <w:t xml:space="preserve">APTC management provided the following explanation for the decline in fee-for-services: </w:t>
      </w:r>
      <w:r w:rsidR="00C13035">
        <w:rPr>
          <w:rFonts w:cs="Arial"/>
        </w:rPr>
        <w:t>‘</w:t>
      </w:r>
      <w:r w:rsidRPr="008E2911">
        <w:rPr>
          <w:rFonts w:cs="Arial"/>
        </w:rPr>
        <w:t>There were a number of industry-based course</w:t>
      </w:r>
      <w:r>
        <w:rPr>
          <w:rFonts w:cs="Arial"/>
        </w:rPr>
        <w:t>s conducted in PNG in Stage</w:t>
      </w:r>
      <w:r w:rsidR="008F71CD">
        <w:rPr>
          <w:rFonts w:cs="Arial"/>
        </w:rPr>
        <w:t> </w:t>
      </w:r>
      <w:r>
        <w:rPr>
          <w:rFonts w:cs="Arial"/>
        </w:rPr>
        <w:t xml:space="preserve">I. </w:t>
      </w:r>
      <w:r w:rsidRPr="008E2911">
        <w:rPr>
          <w:rFonts w:cs="Arial"/>
        </w:rPr>
        <w:t>At the commencement of Stage II, delivery across PNG was consolidated to the Port Moresby campus with the implementat</w:t>
      </w:r>
      <w:r>
        <w:rPr>
          <w:rFonts w:cs="Arial"/>
        </w:rPr>
        <w:t>ion of the POMTech partnership.</w:t>
      </w:r>
      <w:r w:rsidRPr="008E2911">
        <w:rPr>
          <w:rFonts w:cs="Arial"/>
        </w:rPr>
        <w:t xml:space="preserve"> The commencement of Stage II also coincided with a contraction in work-based training due to decreased dem</w:t>
      </w:r>
      <w:r>
        <w:rPr>
          <w:rFonts w:cs="Arial"/>
        </w:rPr>
        <w:t xml:space="preserve">and from the mining industry. </w:t>
      </w:r>
      <w:r w:rsidRPr="008E2911">
        <w:rPr>
          <w:rFonts w:cs="Arial"/>
        </w:rPr>
        <w:t xml:space="preserve">OK Tedi and New Britain Palm Oil – APTC withdrew in 2011 (under Stage </w:t>
      </w:r>
      <w:r>
        <w:rPr>
          <w:rFonts w:cs="Arial"/>
        </w:rPr>
        <w:t>I</w:t>
      </w:r>
      <w:r w:rsidRPr="008E2911">
        <w:rPr>
          <w:rFonts w:cs="Arial"/>
        </w:rPr>
        <w:t xml:space="preserve">) because the organisations were receiving subsidised training (not paying fees). Furthermore, APTC was paying rental for use of facilities. A decision was made by the end of Stage </w:t>
      </w:r>
      <w:r>
        <w:rPr>
          <w:rFonts w:cs="Arial"/>
        </w:rPr>
        <w:t>I</w:t>
      </w:r>
      <w:r w:rsidRPr="008E2911">
        <w:rPr>
          <w:rFonts w:cs="Arial"/>
        </w:rPr>
        <w:t xml:space="preserve"> not to continue to provide corporate clients with subsidised trai</w:t>
      </w:r>
      <w:r>
        <w:rPr>
          <w:rFonts w:cs="Arial"/>
        </w:rPr>
        <w:t>ning.</w:t>
      </w:r>
      <w:r w:rsidRPr="008E2911">
        <w:rPr>
          <w:rFonts w:cs="Arial"/>
        </w:rPr>
        <w:t xml:space="preserve"> Feedback is that most of these companies would not pay fees.</w:t>
      </w:r>
      <w:r>
        <w:rPr>
          <w:rFonts w:cs="Arial"/>
        </w:rPr>
        <w:t xml:space="preserve"> </w:t>
      </w:r>
      <w:r w:rsidRPr="008E2911">
        <w:rPr>
          <w:rFonts w:cs="Arial"/>
        </w:rPr>
        <w:t>There was also a substantial turnover of PNG staff at the end of Stage I and this hampered the ability of APTC to deliver some planned industry-based training programs.</w:t>
      </w:r>
      <w:r>
        <w:rPr>
          <w:rFonts w:cs="Arial"/>
        </w:rPr>
        <w:t xml:space="preserve"> </w:t>
      </w:r>
      <w:r w:rsidRPr="008E2911">
        <w:rPr>
          <w:rFonts w:cs="Arial"/>
        </w:rPr>
        <w:t xml:space="preserve">The delivery profile in PNG also changed in Stage II to include more </w:t>
      </w:r>
      <w:r w:rsidRPr="008E2911">
        <w:rPr>
          <w:rFonts w:cs="Arial"/>
        </w:rPr>
        <w:lastRenderedPageBreak/>
        <w:t xml:space="preserve">SHCS delivery in line with the outcomes of the feasibility studies conducted on </w:t>
      </w:r>
      <w:r>
        <w:rPr>
          <w:rFonts w:cs="Arial"/>
        </w:rPr>
        <w:t>the commencement of the stage</w:t>
      </w:r>
      <w:r w:rsidR="00C13035">
        <w:rPr>
          <w:rFonts w:cs="Arial"/>
        </w:rPr>
        <w:t>’</w:t>
      </w:r>
      <w:r>
        <w:rPr>
          <w:rFonts w:cs="Arial"/>
        </w:rPr>
        <w:t>. (Marty Rollings, APTC Management, writt</w:t>
      </w:r>
      <w:r w:rsidR="008F71CD">
        <w:rPr>
          <w:rFonts w:cs="Arial"/>
        </w:rPr>
        <w:t>en communication 12 August 2014</w:t>
      </w:r>
      <w:r>
        <w:rPr>
          <w:rFonts w:cs="Arial"/>
        </w:rPr>
        <w:t>)</w:t>
      </w:r>
    </w:p>
    <w:p w14:paraId="6930762A" w14:textId="77777777" w:rsidR="00FC22E6" w:rsidRPr="00D17CCB" w:rsidRDefault="00FC22E6" w:rsidP="00FC22E6">
      <w:pPr>
        <w:pStyle w:val="Tableheading"/>
      </w:pPr>
      <w:bookmarkStart w:id="208" w:name="_Toc274146432"/>
      <w:bookmarkStart w:id="209" w:name="_Toc274915891"/>
      <w:bookmarkStart w:id="210" w:name="_Toc278446869"/>
      <w:r>
        <w:t>Table 3.3.1:</w:t>
      </w:r>
      <w:r w:rsidRPr="00D17CCB">
        <w:t xml:space="preserve"> Percentage of entrants by funding source</w:t>
      </w:r>
      <w:bookmarkEnd w:id="208"/>
      <w:bookmarkEnd w:id="209"/>
      <w:bookmarkEnd w:id="21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624"/>
        <w:gridCol w:w="708"/>
        <w:gridCol w:w="851"/>
        <w:gridCol w:w="709"/>
        <w:gridCol w:w="708"/>
        <w:gridCol w:w="709"/>
        <w:gridCol w:w="851"/>
      </w:tblGrid>
      <w:tr w:rsidR="00FC22E6" w:rsidRPr="00495D03" w14:paraId="7F4A119C" w14:textId="77777777" w:rsidTr="00BF4EC3">
        <w:trPr>
          <w:trHeight w:val="300"/>
        </w:trPr>
        <w:tc>
          <w:tcPr>
            <w:tcW w:w="2070" w:type="dxa"/>
            <w:vMerge w:val="restart"/>
            <w:shd w:val="clear" w:color="auto" w:fill="C5E0B3" w:themeFill="accent6" w:themeFillTint="66"/>
            <w:noWrap/>
          </w:tcPr>
          <w:p w14:paraId="03321E26" w14:textId="77777777" w:rsidR="00FC22E6" w:rsidRPr="00495D03" w:rsidRDefault="00FC22E6" w:rsidP="005F77A1">
            <w:pPr>
              <w:spacing w:before="20" w:after="20"/>
              <w:rPr>
                <w:rFonts w:cs="Arial"/>
                <w:b/>
                <w:sz w:val="18"/>
              </w:rPr>
            </w:pPr>
          </w:p>
        </w:tc>
        <w:tc>
          <w:tcPr>
            <w:tcW w:w="1332" w:type="dxa"/>
            <w:gridSpan w:val="2"/>
            <w:tcBorders>
              <w:right w:val="single" w:sz="4" w:space="0" w:color="A8D08D" w:themeColor="accent6" w:themeTint="99"/>
            </w:tcBorders>
            <w:shd w:val="clear" w:color="auto" w:fill="C5E0B3" w:themeFill="accent6" w:themeFillTint="66"/>
            <w:noWrap/>
          </w:tcPr>
          <w:p w14:paraId="34BB5911" w14:textId="77777777" w:rsidR="00FC22E6" w:rsidRPr="00495D03" w:rsidRDefault="00FC22E6" w:rsidP="005F77A1">
            <w:pPr>
              <w:spacing w:before="20" w:after="20"/>
              <w:jc w:val="center"/>
              <w:rPr>
                <w:rFonts w:cs="Arial"/>
                <w:b/>
                <w:sz w:val="18"/>
              </w:rPr>
            </w:pPr>
            <w:r w:rsidRPr="00495D03">
              <w:rPr>
                <w:rFonts w:cs="Arial"/>
                <w:b/>
                <w:sz w:val="18"/>
              </w:rPr>
              <w:t>SHCS</w:t>
            </w:r>
          </w:p>
        </w:tc>
        <w:tc>
          <w:tcPr>
            <w:tcW w:w="1560" w:type="dxa"/>
            <w:gridSpan w:val="2"/>
            <w:tcBorders>
              <w:left w:val="single" w:sz="4" w:space="0" w:color="A8D08D" w:themeColor="accent6" w:themeTint="99"/>
              <w:right w:val="single" w:sz="4" w:space="0" w:color="A8D08D" w:themeColor="accent6" w:themeTint="99"/>
            </w:tcBorders>
            <w:shd w:val="clear" w:color="auto" w:fill="C5E0B3" w:themeFill="accent6" w:themeFillTint="66"/>
            <w:noWrap/>
          </w:tcPr>
          <w:p w14:paraId="1254C30A" w14:textId="77777777" w:rsidR="00FC22E6" w:rsidRPr="00495D03" w:rsidRDefault="00FC22E6" w:rsidP="005F77A1">
            <w:pPr>
              <w:spacing w:before="20" w:after="20"/>
              <w:jc w:val="center"/>
              <w:rPr>
                <w:rFonts w:cs="Arial"/>
                <w:b/>
                <w:sz w:val="18"/>
              </w:rPr>
            </w:pPr>
            <w:r w:rsidRPr="00495D03">
              <w:rPr>
                <w:rFonts w:cs="Arial"/>
                <w:b/>
                <w:sz w:val="18"/>
              </w:rPr>
              <w:t>STT</w:t>
            </w:r>
          </w:p>
        </w:tc>
        <w:tc>
          <w:tcPr>
            <w:tcW w:w="2268" w:type="dxa"/>
            <w:gridSpan w:val="3"/>
            <w:tcBorders>
              <w:left w:val="single" w:sz="4" w:space="0" w:color="A8D08D" w:themeColor="accent6" w:themeTint="99"/>
            </w:tcBorders>
            <w:shd w:val="clear" w:color="auto" w:fill="C5E0B3" w:themeFill="accent6" w:themeFillTint="66"/>
            <w:noWrap/>
          </w:tcPr>
          <w:p w14:paraId="58CB034A" w14:textId="77777777" w:rsidR="00FC22E6" w:rsidRPr="00495D03" w:rsidRDefault="00FC22E6" w:rsidP="005F77A1">
            <w:pPr>
              <w:spacing w:before="20" w:after="20"/>
              <w:jc w:val="center"/>
              <w:rPr>
                <w:rFonts w:cs="Arial"/>
                <w:b/>
                <w:sz w:val="18"/>
              </w:rPr>
            </w:pPr>
            <w:r w:rsidRPr="00495D03">
              <w:rPr>
                <w:rFonts w:cs="Arial"/>
                <w:b/>
                <w:sz w:val="18"/>
              </w:rPr>
              <w:t>Total</w:t>
            </w:r>
          </w:p>
        </w:tc>
      </w:tr>
      <w:tr w:rsidR="00FC22E6" w:rsidRPr="00495D03" w14:paraId="3365DC70" w14:textId="77777777" w:rsidTr="00BF4EC3">
        <w:trPr>
          <w:trHeight w:val="300"/>
        </w:trPr>
        <w:tc>
          <w:tcPr>
            <w:tcW w:w="2070" w:type="dxa"/>
            <w:vMerge/>
            <w:shd w:val="clear" w:color="auto" w:fill="C5E0B3" w:themeFill="accent6" w:themeFillTint="66"/>
            <w:noWrap/>
          </w:tcPr>
          <w:p w14:paraId="579284CF" w14:textId="77777777" w:rsidR="00FC22E6" w:rsidRPr="00495D03" w:rsidRDefault="00FC22E6" w:rsidP="005F77A1">
            <w:pPr>
              <w:spacing w:before="20" w:after="20"/>
              <w:rPr>
                <w:rFonts w:cs="Arial"/>
                <w:b/>
                <w:sz w:val="18"/>
              </w:rPr>
            </w:pPr>
          </w:p>
        </w:tc>
        <w:tc>
          <w:tcPr>
            <w:tcW w:w="1332" w:type="dxa"/>
            <w:gridSpan w:val="2"/>
            <w:tcBorders>
              <w:right w:val="single" w:sz="4" w:space="0" w:color="A8D08D" w:themeColor="accent6" w:themeTint="99"/>
            </w:tcBorders>
            <w:shd w:val="clear" w:color="auto" w:fill="C5E0B3" w:themeFill="accent6" w:themeFillTint="66"/>
            <w:noWrap/>
          </w:tcPr>
          <w:p w14:paraId="2AFDCBD9" w14:textId="77777777" w:rsidR="00FC22E6" w:rsidRPr="00495D03" w:rsidRDefault="00FC22E6" w:rsidP="005F77A1">
            <w:pPr>
              <w:spacing w:before="20" w:after="20"/>
              <w:jc w:val="center"/>
              <w:rPr>
                <w:rFonts w:cs="Arial"/>
                <w:b/>
                <w:sz w:val="18"/>
              </w:rPr>
            </w:pPr>
            <w:r w:rsidRPr="00495D03">
              <w:rPr>
                <w:rFonts w:cs="Arial"/>
                <w:b/>
                <w:sz w:val="18"/>
              </w:rPr>
              <w:t>Stage</w:t>
            </w:r>
          </w:p>
        </w:tc>
        <w:tc>
          <w:tcPr>
            <w:tcW w:w="1560" w:type="dxa"/>
            <w:gridSpan w:val="2"/>
            <w:tcBorders>
              <w:left w:val="single" w:sz="4" w:space="0" w:color="A8D08D" w:themeColor="accent6" w:themeTint="99"/>
              <w:right w:val="single" w:sz="4" w:space="0" w:color="A8D08D" w:themeColor="accent6" w:themeTint="99"/>
            </w:tcBorders>
            <w:shd w:val="clear" w:color="auto" w:fill="C5E0B3" w:themeFill="accent6" w:themeFillTint="66"/>
            <w:noWrap/>
          </w:tcPr>
          <w:p w14:paraId="658204B8" w14:textId="77777777" w:rsidR="00FC22E6" w:rsidRPr="00495D03" w:rsidRDefault="00FC22E6" w:rsidP="005F77A1">
            <w:pPr>
              <w:spacing w:before="20" w:after="20"/>
              <w:jc w:val="center"/>
              <w:rPr>
                <w:rFonts w:cs="Arial"/>
                <w:b/>
                <w:sz w:val="18"/>
              </w:rPr>
            </w:pPr>
            <w:r w:rsidRPr="00495D03">
              <w:rPr>
                <w:rFonts w:cs="Arial"/>
                <w:b/>
                <w:sz w:val="18"/>
              </w:rPr>
              <w:t>Stage</w:t>
            </w:r>
          </w:p>
        </w:tc>
        <w:tc>
          <w:tcPr>
            <w:tcW w:w="1417" w:type="dxa"/>
            <w:gridSpan w:val="2"/>
            <w:tcBorders>
              <w:left w:val="single" w:sz="4" w:space="0" w:color="A8D08D" w:themeColor="accent6" w:themeTint="99"/>
              <w:right w:val="single" w:sz="4" w:space="0" w:color="A8D08D" w:themeColor="accent6" w:themeTint="99"/>
            </w:tcBorders>
            <w:shd w:val="clear" w:color="auto" w:fill="C5E0B3" w:themeFill="accent6" w:themeFillTint="66"/>
            <w:noWrap/>
          </w:tcPr>
          <w:p w14:paraId="47FBEC39" w14:textId="77777777" w:rsidR="00FC22E6" w:rsidRPr="00495D03" w:rsidRDefault="00FC22E6" w:rsidP="005F77A1">
            <w:pPr>
              <w:spacing w:before="20" w:after="20"/>
              <w:jc w:val="center"/>
              <w:rPr>
                <w:rFonts w:cs="Arial"/>
                <w:b/>
                <w:sz w:val="18"/>
              </w:rPr>
            </w:pPr>
            <w:r w:rsidRPr="00495D03">
              <w:rPr>
                <w:rFonts w:cs="Arial"/>
                <w:b/>
                <w:sz w:val="18"/>
              </w:rPr>
              <w:t>Stage I</w:t>
            </w:r>
          </w:p>
        </w:tc>
        <w:tc>
          <w:tcPr>
            <w:tcW w:w="851" w:type="dxa"/>
            <w:vMerge w:val="restart"/>
            <w:tcBorders>
              <w:left w:val="single" w:sz="4" w:space="0" w:color="A8D08D" w:themeColor="accent6" w:themeTint="99"/>
            </w:tcBorders>
            <w:shd w:val="clear" w:color="auto" w:fill="C5E0B3" w:themeFill="accent6" w:themeFillTint="66"/>
            <w:noWrap/>
          </w:tcPr>
          <w:p w14:paraId="26A21755" w14:textId="77777777" w:rsidR="00FC22E6" w:rsidRPr="00495D03" w:rsidRDefault="00FC22E6" w:rsidP="005F77A1">
            <w:pPr>
              <w:spacing w:before="20" w:after="20"/>
              <w:jc w:val="center"/>
              <w:rPr>
                <w:rFonts w:cs="Arial"/>
                <w:b/>
                <w:sz w:val="18"/>
              </w:rPr>
            </w:pPr>
            <w:r w:rsidRPr="00495D03">
              <w:rPr>
                <w:rFonts w:cs="Arial"/>
                <w:b/>
                <w:sz w:val="18"/>
              </w:rPr>
              <w:t>Total to date</w:t>
            </w:r>
          </w:p>
        </w:tc>
      </w:tr>
      <w:tr w:rsidR="00FC22E6" w:rsidRPr="00495D03" w14:paraId="2EEE3CCD" w14:textId="77777777" w:rsidTr="00BF4EC3">
        <w:trPr>
          <w:trHeight w:val="300"/>
        </w:trPr>
        <w:tc>
          <w:tcPr>
            <w:tcW w:w="2070" w:type="dxa"/>
            <w:vMerge/>
            <w:shd w:val="clear" w:color="auto" w:fill="C5E0B3" w:themeFill="accent6" w:themeFillTint="66"/>
            <w:noWrap/>
          </w:tcPr>
          <w:p w14:paraId="65C6963E" w14:textId="77777777" w:rsidR="00FC22E6" w:rsidRPr="00495D03" w:rsidRDefault="00FC22E6" w:rsidP="005F77A1">
            <w:pPr>
              <w:spacing w:before="20" w:after="20"/>
              <w:rPr>
                <w:rFonts w:cs="Arial"/>
                <w:b/>
                <w:sz w:val="18"/>
              </w:rPr>
            </w:pPr>
          </w:p>
        </w:tc>
        <w:tc>
          <w:tcPr>
            <w:tcW w:w="624" w:type="dxa"/>
            <w:shd w:val="clear" w:color="auto" w:fill="C5E0B3" w:themeFill="accent6" w:themeFillTint="66"/>
            <w:noWrap/>
          </w:tcPr>
          <w:p w14:paraId="0E7EB566" w14:textId="77777777" w:rsidR="00FC22E6" w:rsidRPr="00495D03" w:rsidRDefault="00FC22E6" w:rsidP="005F77A1">
            <w:pPr>
              <w:spacing w:before="20" w:after="20"/>
              <w:jc w:val="center"/>
              <w:rPr>
                <w:rFonts w:cs="Arial"/>
                <w:b/>
                <w:sz w:val="18"/>
              </w:rPr>
            </w:pPr>
            <w:r w:rsidRPr="00495D03">
              <w:rPr>
                <w:rFonts w:cs="Arial"/>
                <w:b/>
                <w:sz w:val="18"/>
              </w:rPr>
              <w:t>I</w:t>
            </w:r>
          </w:p>
        </w:tc>
        <w:tc>
          <w:tcPr>
            <w:tcW w:w="708" w:type="dxa"/>
            <w:tcBorders>
              <w:right w:val="single" w:sz="4" w:space="0" w:color="A8D08D" w:themeColor="accent6" w:themeTint="99"/>
            </w:tcBorders>
            <w:shd w:val="clear" w:color="auto" w:fill="C5E0B3" w:themeFill="accent6" w:themeFillTint="66"/>
            <w:noWrap/>
          </w:tcPr>
          <w:p w14:paraId="2E01BA9C" w14:textId="77777777" w:rsidR="00FC22E6" w:rsidRPr="00495D03" w:rsidRDefault="00FC22E6" w:rsidP="005F77A1">
            <w:pPr>
              <w:spacing w:before="20" w:after="20"/>
              <w:jc w:val="center"/>
              <w:rPr>
                <w:rFonts w:cs="Arial"/>
                <w:b/>
                <w:sz w:val="18"/>
              </w:rPr>
            </w:pPr>
            <w:r w:rsidRPr="00495D03">
              <w:rPr>
                <w:rFonts w:cs="Arial"/>
                <w:b/>
                <w:sz w:val="18"/>
              </w:rPr>
              <w:t>II</w:t>
            </w:r>
          </w:p>
        </w:tc>
        <w:tc>
          <w:tcPr>
            <w:tcW w:w="851" w:type="dxa"/>
            <w:tcBorders>
              <w:left w:val="single" w:sz="4" w:space="0" w:color="A8D08D" w:themeColor="accent6" w:themeTint="99"/>
            </w:tcBorders>
            <w:shd w:val="clear" w:color="auto" w:fill="C5E0B3" w:themeFill="accent6" w:themeFillTint="66"/>
            <w:noWrap/>
          </w:tcPr>
          <w:p w14:paraId="1360C120" w14:textId="77777777" w:rsidR="00FC22E6" w:rsidRPr="00495D03" w:rsidRDefault="00FC22E6" w:rsidP="005F77A1">
            <w:pPr>
              <w:spacing w:before="20" w:after="20"/>
              <w:jc w:val="center"/>
              <w:rPr>
                <w:rFonts w:cs="Arial"/>
                <w:b/>
                <w:sz w:val="18"/>
              </w:rPr>
            </w:pPr>
            <w:r w:rsidRPr="00495D03">
              <w:rPr>
                <w:rFonts w:cs="Arial"/>
                <w:b/>
                <w:sz w:val="18"/>
              </w:rPr>
              <w:t>I</w:t>
            </w:r>
          </w:p>
        </w:tc>
        <w:tc>
          <w:tcPr>
            <w:tcW w:w="709" w:type="dxa"/>
            <w:tcBorders>
              <w:right w:val="single" w:sz="4" w:space="0" w:color="A8D08D" w:themeColor="accent6" w:themeTint="99"/>
            </w:tcBorders>
            <w:shd w:val="clear" w:color="auto" w:fill="C5E0B3" w:themeFill="accent6" w:themeFillTint="66"/>
            <w:noWrap/>
          </w:tcPr>
          <w:p w14:paraId="01DDA2EC" w14:textId="77777777" w:rsidR="00FC22E6" w:rsidRPr="00495D03" w:rsidRDefault="00FC22E6" w:rsidP="005F77A1">
            <w:pPr>
              <w:spacing w:before="20" w:after="20"/>
              <w:jc w:val="center"/>
              <w:rPr>
                <w:rFonts w:cs="Arial"/>
                <w:b/>
                <w:sz w:val="18"/>
              </w:rPr>
            </w:pPr>
            <w:r w:rsidRPr="00495D03">
              <w:rPr>
                <w:rFonts w:cs="Arial"/>
                <w:b/>
                <w:sz w:val="18"/>
              </w:rPr>
              <w:t>II</w:t>
            </w:r>
          </w:p>
        </w:tc>
        <w:tc>
          <w:tcPr>
            <w:tcW w:w="708" w:type="dxa"/>
            <w:tcBorders>
              <w:left w:val="single" w:sz="4" w:space="0" w:color="A8D08D" w:themeColor="accent6" w:themeTint="99"/>
            </w:tcBorders>
            <w:shd w:val="clear" w:color="auto" w:fill="C5E0B3" w:themeFill="accent6" w:themeFillTint="66"/>
            <w:noWrap/>
          </w:tcPr>
          <w:p w14:paraId="2EBFF75A" w14:textId="77777777" w:rsidR="00FC22E6" w:rsidRPr="00495D03" w:rsidRDefault="00FC22E6" w:rsidP="005F77A1">
            <w:pPr>
              <w:spacing w:before="20" w:after="20"/>
              <w:jc w:val="center"/>
              <w:rPr>
                <w:rFonts w:cs="Arial"/>
                <w:b/>
                <w:sz w:val="18"/>
              </w:rPr>
            </w:pPr>
            <w:r w:rsidRPr="00495D03">
              <w:rPr>
                <w:rFonts w:cs="Arial"/>
                <w:b/>
                <w:sz w:val="18"/>
              </w:rPr>
              <w:t>I</w:t>
            </w:r>
          </w:p>
        </w:tc>
        <w:tc>
          <w:tcPr>
            <w:tcW w:w="709" w:type="dxa"/>
            <w:tcBorders>
              <w:right w:val="single" w:sz="4" w:space="0" w:color="A8D08D" w:themeColor="accent6" w:themeTint="99"/>
            </w:tcBorders>
            <w:shd w:val="clear" w:color="auto" w:fill="C5E0B3" w:themeFill="accent6" w:themeFillTint="66"/>
            <w:noWrap/>
          </w:tcPr>
          <w:p w14:paraId="1580F358" w14:textId="77777777" w:rsidR="00FC22E6" w:rsidRPr="00495D03" w:rsidRDefault="00FC22E6" w:rsidP="005F77A1">
            <w:pPr>
              <w:spacing w:before="20" w:after="20"/>
              <w:jc w:val="center"/>
              <w:rPr>
                <w:rFonts w:cs="Arial"/>
                <w:b/>
                <w:sz w:val="18"/>
              </w:rPr>
            </w:pPr>
            <w:r w:rsidRPr="00495D03">
              <w:rPr>
                <w:rFonts w:cs="Arial"/>
                <w:b/>
                <w:sz w:val="18"/>
              </w:rPr>
              <w:t>II</w:t>
            </w:r>
          </w:p>
        </w:tc>
        <w:tc>
          <w:tcPr>
            <w:tcW w:w="851" w:type="dxa"/>
            <w:vMerge/>
            <w:tcBorders>
              <w:left w:val="single" w:sz="4" w:space="0" w:color="A8D08D" w:themeColor="accent6" w:themeTint="99"/>
            </w:tcBorders>
            <w:shd w:val="clear" w:color="auto" w:fill="C5E0B3" w:themeFill="accent6" w:themeFillTint="66"/>
            <w:noWrap/>
          </w:tcPr>
          <w:p w14:paraId="0F043191" w14:textId="77777777" w:rsidR="00FC22E6" w:rsidRPr="00495D03" w:rsidRDefault="00FC22E6" w:rsidP="005F77A1">
            <w:pPr>
              <w:spacing w:before="20" w:after="20"/>
              <w:jc w:val="center"/>
              <w:rPr>
                <w:rFonts w:cs="Arial"/>
                <w:b/>
                <w:sz w:val="18"/>
              </w:rPr>
            </w:pPr>
          </w:p>
        </w:tc>
      </w:tr>
      <w:tr w:rsidR="00FC22E6" w:rsidRPr="00495D03" w14:paraId="4EC61765" w14:textId="77777777" w:rsidTr="00BF4EC3">
        <w:trPr>
          <w:trHeight w:val="300"/>
        </w:trPr>
        <w:tc>
          <w:tcPr>
            <w:tcW w:w="2070" w:type="dxa"/>
            <w:noWrap/>
          </w:tcPr>
          <w:p w14:paraId="049F5600" w14:textId="77777777" w:rsidR="00FC22E6" w:rsidRPr="00495D03" w:rsidRDefault="00FC22E6" w:rsidP="005F77A1">
            <w:pPr>
              <w:spacing w:before="20" w:after="20"/>
              <w:rPr>
                <w:rFonts w:cs="Arial"/>
                <w:sz w:val="18"/>
              </w:rPr>
            </w:pPr>
            <w:r w:rsidRPr="00495D03">
              <w:rPr>
                <w:rFonts w:cs="Arial"/>
                <w:sz w:val="18"/>
              </w:rPr>
              <w:t>Scholarship</w:t>
            </w:r>
          </w:p>
        </w:tc>
        <w:tc>
          <w:tcPr>
            <w:tcW w:w="624" w:type="dxa"/>
            <w:noWrap/>
          </w:tcPr>
          <w:p w14:paraId="6FB2E316" w14:textId="77777777" w:rsidR="00FC22E6" w:rsidRPr="00495D03" w:rsidRDefault="00FC22E6" w:rsidP="005F77A1">
            <w:pPr>
              <w:spacing w:before="20" w:after="20"/>
              <w:jc w:val="center"/>
              <w:rPr>
                <w:rFonts w:cs="Arial"/>
                <w:sz w:val="18"/>
              </w:rPr>
            </w:pPr>
            <w:r w:rsidRPr="00495D03">
              <w:rPr>
                <w:rFonts w:cs="Arial"/>
                <w:sz w:val="18"/>
              </w:rPr>
              <w:t>80</w:t>
            </w:r>
          </w:p>
        </w:tc>
        <w:tc>
          <w:tcPr>
            <w:tcW w:w="708" w:type="dxa"/>
            <w:tcBorders>
              <w:right w:val="single" w:sz="4" w:space="0" w:color="A8D08D" w:themeColor="accent6" w:themeTint="99"/>
            </w:tcBorders>
            <w:noWrap/>
          </w:tcPr>
          <w:p w14:paraId="3CBEBFD3" w14:textId="77777777" w:rsidR="00FC22E6" w:rsidRPr="00495D03" w:rsidRDefault="00FC22E6" w:rsidP="005F77A1">
            <w:pPr>
              <w:spacing w:before="20" w:after="20"/>
              <w:jc w:val="center"/>
              <w:rPr>
                <w:rFonts w:cs="Arial"/>
                <w:sz w:val="18"/>
              </w:rPr>
            </w:pPr>
            <w:r w:rsidRPr="00495D03">
              <w:rPr>
                <w:rFonts w:cs="Arial"/>
                <w:sz w:val="18"/>
              </w:rPr>
              <w:t>74</w:t>
            </w:r>
          </w:p>
        </w:tc>
        <w:tc>
          <w:tcPr>
            <w:tcW w:w="851" w:type="dxa"/>
            <w:tcBorders>
              <w:left w:val="single" w:sz="4" w:space="0" w:color="A8D08D" w:themeColor="accent6" w:themeTint="99"/>
            </w:tcBorders>
            <w:noWrap/>
          </w:tcPr>
          <w:p w14:paraId="7CD1CCCD" w14:textId="77777777" w:rsidR="00FC22E6" w:rsidRPr="00495D03" w:rsidRDefault="00FC22E6" w:rsidP="005F77A1">
            <w:pPr>
              <w:spacing w:before="20" w:after="20"/>
              <w:jc w:val="center"/>
              <w:rPr>
                <w:rFonts w:cs="Arial"/>
                <w:sz w:val="18"/>
              </w:rPr>
            </w:pPr>
            <w:r w:rsidRPr="00495D03">
              <w:rPr>
                <w:rFonts w:cs="Arial"/>
                <w:sz w:val="18"/>
              </w:rPr>
              <w:t>68</w:t>
            </w:r>
          </w:p>
        </w:tc>
        <w:tc>
          <w:tcPr>
            <w:tcW w:w="709" w:type="dxa"/>
            <w:tcBorders>
              <w:right w:val="single" w:sz="4" w:space="0" w:color="A8D08D" w:themeColor="accent6" w:themeTint="99"/>
            </w:tcBorders>
            <w:noWrap/>
          </w:tcPr>
          <w:p w14:paraId="17AADBCC" w14:textId="77777777" w:rsidR="00FC22E6" w:rsidRPr="00495D03" w:rsidRDefault="00FC22E6" w:rsidP="005F77A1">
            <w:pPr>
              <w:spacing w:before="20" w:after="20"/>
              <w:jc w:val="center"/>
              <w:rPr>
                <w:rFonts w:cs="Arial"/>
                <w:sz w:val="18"/>
              </w:rPr>
            </w:pPr>
            <w:r w:rsidRPr="00495D03">
              <w:rPr>
                <w:rFonts w:cs="Arial"/>
                <w:sz w:val="18"/>
              </w:rPr>
              <w:t>78</w:t>
            </w:r>
          </w:p>
        </w:tc>
        <w:tc>
          <w:tcPr>
            <w:tcW w:w="708" w:type="dxa"/>
            <w:tcBorders>
              <w:left w:val="single" w:sz="4" w:space="0" w:color="A8D08D" w:themeColor="accent6" w:themeTint="99"/>
            </w:tcBorders>
            <w:noWrap/>
          </w:tcPr>
          <w:p w14:paraId="10BED663" w14:textId="77777777" w:rsidR="00FC22E6" w:rsidRPr="00495D03" w:rsidRDefault="00FC22E6" w:rsidP="005F77A1">
            <w:pPr>
              <w:spacing w:before="20" w:after="20"/>
              <w:jc w:val="center"/>
              <w:rPr>
                <w:rFonts w:cs="Arial"/>
                <w:sz w:val="18"/>
              </w:rPr>
            </w:pPr>
            <w:r w:rsidRPr="00495D03">
              <w:rPr>
                <w:rFonts w:cs="Arial"/>
                <w:sz w:val="18"/>
              </w:rPr>
              <w:t>74.0</w:t>
            </w:r>
          </w:p>
        </w:tc>
        <w:tc>
          <w:tcPr>
            <w:tcW w:w="709" w:type="dxa"/>
            <w:tcBorders>
              <w:right w:val="single" w:sz="4" w:space="0" w:color="A8D08D" w:themeColor="accent6" w:themeTint="99"/>
            </w:tcBorders>
            <w:noWrap/>
          </w:tcPr>
          <w:p w14:paraId="04334D10" w14:textId="77777777" w:rsidR="00FC22E6" w:rsidRPr="00495D03" w:rsidRDefault="00FC22E6" w:rsidP="005F77A1">
            <w:pPr>
              <w:spacing w:before="20" w:after="20"/>
              <w:jc w:val="center"/>
              <w:rPr>
                <w:rFonts w:cs="Arial"/>
                <w:sz w:val="18"/>
              </w:rPr>
            </w:pPr>
            <w:r w:rsidRPr="00495D03">
              <w:rPr>
                <w:rFonts w:cs="Arial"/>
                <w:sz w:val="18"/>
              </w:rPr>
              <w:t>75.6</w:t>
            </w:r>
          </w:p>
        </w:tc>
        <w:tc>
          <w:tcPr>
            <w:tcW w:w="851" w:type="dxa"/>
            <w:tcBorders>
              <w:left w:val="single" w:sz="4" w:space="0" w:color="A8D08D" w:themeColor="accent6" w:themeTint="99"/>
            </w:tcBorders>
            <w:noWrap/>
          </w:tcPr>
          <w:p w14:paraId="3F202206" w14:textId="77777777" w:rsidR="00FC22E6" w:rsidRPr="00495D03" w:rsidRDefault="00FC22E6" w:rsidP="005F77A1">
            <w:pPr>
              <w:spacing w:before="20" w:after="20"/>
              <w:jc w:val="center"/>
              <w:rPr>
                <w:rFonts w:cs="Arial"/>
                <w:sz w:val="18"/>
              </w:rPr>
            </w:pPr>
            <w:r w:rsidRPr="00495D03">
              <w:rPr>
                <w:rFonts w:cs="Arial"/>
                <w:sz w:val="18"/>
              </w:rPr>
              <w:t>74.8</w:t>
            </w:r>
          </w:p>
        </w:tc>
      </w:tr>
      <w:tr w:rsidR="00FC22E6" w:rsidRPr="00495D03" w14:paraId="1F881C80" w14:textId="77777777" w:rsidTr="00BF4EC3">
        <w:trPr>
          <w:trHeight w:val="300"/>
        </w:trPr>
        <w:tc>
          <w:tcPr>
            <w:tcW w:w="2070" w:type="dxa"/>
            <w:noWrap/>
          </w:tcPr>
          <w:p w14:paraId="207C6804" w14:textId="77777777" w:rsidR="00FC22E6" w:rsidRPr="00495D03" w:rsidRDefault="00FC22E6" w:rsidP="005F77A1">
            <w:pPr>
              <w:spacing w:before="20" w:after="20"/>
              <w:rPr>
                <w:rFonts w:cs="Arial"/>
                <w:sz w:val="18"/>
              </w:rPr>
            </w:pPr>
            <w:r w:rsidRPr="00495D03">
              <w:rPr>
                <w:rFonts w:cs="Arial"/>
                <w:sz w:val="18"/>
              </w:rPr>
              <w:t>Employer funded</w:t>
            </w:r>
          </w:p>
        </w:tc>
        <w:tc>
          <w:tcPr>
            <w:tcW w:w="624" w:type="dxa"/>
            <w:noWrap/>
          </w:tcPr>
          <w:p w14:paraId="5FAF31A0" w14:textId="77777777" w:rsidR="00FC22E6" w:rsidRPr="00495D03" w:rsidRDefault="00FC22E6" w:rsidP="005F77A1">
            <w:pPr>
              <w:spacing w:before="20" w:after="20"/>
              <w:jc w:val="center"/>
              <w:rPr>
                <w:rFonts w:cs="Arial"/>
                <w:sz w:val="18"/>
              </w:rPr>
            </w:pPr>
            <w:r w:rsidRPr="00495D03">
              <w:rPr>
                <w:rFonts w:cs="Arial"/>
                <w:sz w:val="18"/>
              </w:rPr>
              <w:t>14</w:t>
            </w:r>
          </w:p>
        </w:tc>
        <w:tc>
          <w:tcPr>
            <w:tcW w:w="708" w:type="dxa"/>
            <w:tcBorders>
              <w:right w:val="single" w:sz="4" w:space="0" w:color="A8D08D" w:themeColor="accent6" w:themeTint="99"/>
            </w:tcBorders>
            <w:noWrap/>
          </w:tcPr>
          <w:p w14:paraId="5F0FAE99" w14:textId="77777777" w:rsidR="00FC22E6" w:rsidRPr="00495D03" w:rsidRDefault="00FC22E6" w:rsidP="005F77A1">
            <w:pPr>
              <w:spacing w:before="20" w:after="20"/>
              <w:jc w:val="center"/>
              <w:rPr>
                <w:rFonts w:cs="Arial"/>
                <w:sz w:val="18"/>
              </w:rPr>
            </w:pPr>
            <w:r w:rsidRPr="00495D03">
              <w:rPr>
                <w:rFonts w:cs="Arial"/>
                <w:sz w:val="18"/>
              </w:rPr>
              <w:t>15</w:t>
            </w:r>
          </w:p>
        </w:tc>
        <w:tc>
          <w:tcPr>
            <w:tcW w:w="851" w:type="dxa"/>
            <w:tcBorders>
              <w:left w:val="single" w:sz="4" w:space="0" w:color="A8D08D" w:themeColor="accent6" w:themeTint="99"/>
            </w:tcBorders>
            <w:noWrap/>
          </w:tcPr>
          <w:p w14:paraId="77AA1DDD" w14:textId="77777777" w:rsidR="00FC22E6" w:rsidRPr="00495D03" w:rsidRDefault="00FC22E6" w:rsidP="005F77A1">
            <w:pPr>
              <w:spacing w:before="20" w:after="20"/>
              <w:jc w:val="center"/>
              <w:rPr>
                <w:rFonts w:cs="Arial"/>
                <w:sz w:val="18"/>
              </w:rPr>
            </w:pPr>
            <w:r w:rsidRPr="00495D03">
              <w:rPr>
                <w:rFonts w:cs="Arial"/>
                <w:sz w:val="18"/>
              </w:rPr>
              <w:t>28</w:t>
            </w:r>
          </w:p>
        </w:tc>
        <w:tc>
          <w:tcPr>
            <w:tcW w:w="709" w:type="dxa"/>
            <w:tcBorders>
              <w:right w:val="single" w:sz="4" w:space="0" w:color="A8D08D" w:themeColor="accent6" w:themeTint="99"/>
            </w:tcBorders>
            <w:noWrap/>
          </w:tcPr>
          <w:p w14:paraId="544891E8" w14:textId="77777777" w:rsidR="00FC22E6" w:rsidRPr="00495D03" w:rsidRDefault="00FC22E6" w:rsidP="005F77A1">
            <w:pPr>
              <w:spacing w:before="20" w:after="20"/>
              <w:jc w:val="center"/>
              <w:rPr>
                <w:rFonts w:cs="Arial"/>
                <w:sz w:val="18"/>
              </w:rPr>
            </w:pPr>
            <w:r w:rsidRPr="00495D03">
              <w:rPr>
                <w:rFonts w:cs="Arial"/>
                <w:sz w:val="18"/>
              </w:rPr>
              <w:t>11</w:t>
            </w:r>
          </w:p>
        </w:tc>
        <w:tc>
          <w:tcPr>
            <w:tcW w:w="708" w:type="dxa"/>
            <w:tcBorders>
              <w:left w:val="single" w:sz="4" w:space="0" w:color="A8D08D" w:themeColor="accent6" w:themeTint="99"/>
            </w:tcBorders>
            <w:noWrap/>
          </w:tcPr>
          <w:p w14:paraId="7F125D66" w14:textId="77777777" w:rsidR="00FC22E6" w:rsidRPr="00495D03" w:rsidRDefault="00FC22E6" w:rsidP="005F77A1">
            <w:pPr>
              <w:spacing w:before="20" w:after="20"/>
              <w:jc w:val="center"/>
              <w:rPr>
                <w:rFonts w:cs="Arial"/>
                <w:sz w:val="18"/>
              </w:rPr>
            </w:pPr>
            <w:r w:rsidRPr="00495D03">
              <w:rPr>
                <w:rFonts w:cs="Arial"/>
                <w:sz w:val="18"/>
              </w:rPr>
              <w:t>20.4</w:t>
            </w:r>
          </w:p>
        </w:tc>
        <w:tc>
          <w:tcPr>
            <w:tcW w:w="709" w:type="dxa"/>
            <w:tcBorders>
              <w:right w:val="single" w:sz="4" w:space="0" w:color="A8D08D" w:themeColor="accent6" w:themeTint="99"/>
            </w:tcBorders>
            <w:noWrap/>
          </w:tcPr>
          <w:p w14:paraId="7E961660" w14:textId="77777777" w:rsidR="00FC22E6" w:rsidRPr="00495D03" w:rsidRDefault="00FC22E6" w:rsidP="005F77A1">
            <w:pPr>
              <w:spacing w:before="20" w:after="20"/>
              <w:jc w:val="center"/>
              <w:rPr>
                <w:rFonts w:cs="Arial"/>
                <w:sz w:val="18"/>
              </w:rPr>
            </w:pPr>
            <w:r w:rsidRPr="00495D03">
              <w:rPr>
                <w:rFonts w:cs="Arial"/>
                <w:sz w:val="18"/>
              </w:rPr>
              <w:t>13.3</w:t>
            </w:r>
          </w:p>
        </w:tc>
        <w:tc>
          <w:tcPr>
            <w:tcW w:w="851" w:type="dxa"/>
            <w:tcBorders>
              <w:left w:val="single" w:sz="4" w:space="0" w:color="A8D08D" w:themeColor="accent6" w:themeTint="99"/>
            </w:tcBorders>
            <w:noWrap/>
          </w:tcPr>
          <w:p w14:paraId="5EE558AF" w14:textId="77777777" w:rsidR="00FC22E6" w:rsidRPr="00495D03" w:rsidRDefault="00FC22E6" w:rsidP="005F77A1">
            <w:pPr>
              <w:spacing w:before="20" w:after="20"/>
              <w:jc w:val="center"/>
              <w:rPr>
                <w:rFonts w:cs="Arial"/>
                <w:sz w:val="18"/>
              </w:rPr>
            </w:pPr>
            <w:r w:rsidRPr="00495D03">
              <w:rPr>
                <w:rFonts w:cs="Arial"/>
                <w:sz w:val="18"/>
              </w:rPr>
              <w:t>16.9</w:t>
            </w:r>
          </w:p>
        </w:tc>
      </w:tr>
      <w:tr w:rsidR="00FC22E6" w:rsidRPr="00495D03" w14:paraId="7122F3E6" w14:textId="77777777" w:rsidTr="00BF4EC3">
        <w:trPr>
          <w:trHeight w:val="300"/>
        </w:trPr>
        <w:tc>
          <w:tcPr>
            <w:tcW w:w="2070" w:type="dxa"/>
            <w:noWrap/>
          </w:tcPr>
          <w:p w14:paraId="43BA15B2" w14:textId="77777777" w:rsidR="00FC22E6" w:rsidRPr="00495D03" w:rsidRDefault="00FC22E6" w:rsidP="005F77A1">
            <w:pPr>
              <w:spacing w:before="20" w:after="20"/>
              <w:rPr>
                <w:rFonts w:cs="Arial"/>
                <w:sz w:val="18"/>
              </w:rPr>
            </w:pPr>
            <w:r w:rsidRPr="00495D03">
              <w:rPr>
                <w:rFonts w:cs="Arial"/>
                <w:sz w:val="18"/>
              </w:rPr>
              <w:t>Self or privately funded</w:t>
            </w:r>
          </w:p>
        </w:tc>
        <w:tc>
          <w:tcPr>
            <w:tcW w:w="624" w:type="dxa"/>
            <w:noWrap/>
          </w:tcPr>
          <w:p w14:paraId="54DF142C" w14:textId="77777777" w:rsidR="00FC22E6" w:rsidRPr="00495D03" w:rsidRDefault="00FC22E6" w:rsidP="005F77A1">
            <w:pPr>
              <w:spacing w:before="20" w:after="20"/>
              <w:jc w:val="center"/>
              <w:rPr>
                <w:rFonts w:cs="Arial"/>
                <w:sz w:val="18"/>
              </w:rPr>
            </w:pPr>
            <w:r w:rsidRPr="00495D03">
              <w:rPr>
                <w:rFonts w:cs="Arial"/>
                <w:sz w:val="18"/>
              </w:rPr>
              <w:t>6</w:t>
            </w:r>
          </w:p>
        </w:tc>
        <w:tc>
          <w:tcPr>
            <w:tcW w:w="708" w:type="dxa"/>
            <w:tcBorders>
              <w:right w:val="single" w:sz="4" w:space="0" w:color="A8D08D" w:themeColor="accent6" w:themeTint="99"/>
            </w:tcBorders>
            <w:noWrap/>
          </w:tcPr>
          <w:p w14:paraId="0D15B2E8" w14:textId="77777777" w:rsidR="00FC22E6" w:rsidRPr="00495D03" w:rsidRDefault="00FC22E6" w:rsidP="005F77A1">
            <w:pPr>
              <w:spacing w:before="20" w:after="20"/>
              <w:jc w:val="center"/>
              <w:rPr>
                <w:rFonts w:cs="Arial"/>
                <w:sz w:val="18"/>
              </w:rPr>
            </w:pPr>
            <w:r w:rsidRPr="00495D03">
              <w:rPr>
                <w:rFonts w:cs="Arial"/>
                <w:sz w:val="18"/>
              </w:rPr>
              <w:t>5</w:t>
            </w:r>
          </w:p>
        </w:tc>
        <w:tc>
          <w:tcPr>
            <w:tcW w:w="851" w:type="dxa"/>
            <w:tcBorders>
              <w:left w:val="single" w:sz="4" w:space="0" w:color="A8D08D" w:themeColor="accent6" w:themeTint="99"/>
            </w:tcBorders>
            <w:noWrap/>
          </w:tcPr>
          <w:p w14:paraId="147D165F" w14:textId="77777777" w:rsidR="00FC22E6" w:rsidRPr="00495D03" w:rsidRDefault="00FC22E6" w:rsidP="005F77A1">
            <w:pPr>
              <w:spacing w:before="20" w:after="20"/>
              <w:jc w:val="center"/>
              <w:rPr>
                <w:rFonts w:cs="Arial"/>
                <w:sz w:val="18"/>
              </w:rPr>
            </w:pPr>
            <w:r w:rsidRPr="00495D03">
              <w:rPr>
                <w:rFonts w:cs="Arial"/>
                <w:sz w:val="18"/>
              </w:rPr>
              <w:t>4</w:t>
            </w:r>
          </w:p>
        </w:tc>
        <w:tc>
          <w:tcPr>
            <w:tcW w:w="709" w:type="dxa"/>
            <w:tcBorders>
              <w:right w:val="single" w:sz="4" w:space="0" w:color="A8D08D" w:themeColor="accent6" w:themeTint="99"/>
            </w:tcBorders>
            <w:noWrap/>
          </w:tcPr>
          <w:p w14:paraId="1DCFF4CF" w14:textId="77777777" w:rsidR="00FC22E6" w:rsidRPr="00495D03" w:rsidRDefault="00FC22E6" w:rsidP="005F77A1">
            <w:pPr>
              <w:spacing w:before="20" w:after="20"/>
              <w:jc w:val="center"/>
              <w:rPr>
                <w:rFonts w:cs="Arial"/>
                <w:sz w:val="18"/>
              </w:rPr>
            </w:pPr>
            <w:r w:rsidRPr="00495D03">
              <w:rPr>
                <w:rFonts w:cs="Arial"/>
                <w:sz w:val="18"/>
              </w:rPr>
              <w:t>2</w:t>
            </w:r>
          </w:p>
        </w:tc>
        <w:tc>
          <w:tcPr>
            <w:tcW w:w="708" w:type="dxa"/>
            <w:tcBorders>
              <w:left w:val="single" w:sz="4" w:space="0" w:color="A8D08D" w:themeColor="accent6" w:themeTint="99"/>
            </w:tcBorders>
            <w:noWrap/>
          </w:tcPr>
          <w:p w14:paraId="4DEF68D0" w14:textId="77777777" w:rsidR="00FC22E6" w:rsidRPr="00495D03" w:rsidRDefault="00FC22E6" w:rsidP="005F77A1">
            <w:pPr>
              <w:spacing w:before="20" w:after="20"/>
              <w:jc w:val="center"/>
              <w:rPr>
                <w:rFonts w:cs="Arial"/>
                <w:sz w:val="18"/>
              </w:rPr>
            </w:pPr>
            <w:r w:rsidRPr="00495D03">
              <w:rPr>
                <w:rFonts w:cs="Arial"/>
                <w:sz w:val="18"/>
              </w:rPr>
              <w:t>5.2</w:t>
            </w:r>
          </w:p>
        </w:tc>
        <w:tc>
          <w:tcPr>
            <w:tcW w:w="709" w:type="dxa"/>
            <w:tcBorders>
              <w:right w:val="single" w:sz="4" w:space="0" w:color="A8D08D" w:themeColor="accent6" w:themeTint="99"/>
            </w:tcBorders>
            <w:noWrap/>
          </w:tcPr>
          <w:p w14:paraId="7494D591" w14:textId="77777777" w:rsidR="00FC22E6" w:rsidRPr="00495D03" w:rsidRDefault="00FC22E6" w:rsidP="005F77A1">
            <w:pPr>
              <w:spacing w:before="20" w:after="20"/>
              <w:jc w:val="center"/>
              <w:rPr>
                <w:rFonts w:cs="Arial"/>
                <w:sz w:val="18"/>
              </w:rPr>
            </w:pPr>
            <w:r w:rsidRPr="00495D03">
              <w:rPr>
                <w:rFonts w:cs="Arial"/>
                <w:sz w:val="18"/>
              </w:rPr>
              <w:t>3.8</w:t>
            </w:r>
          </w:p>
        </w:tc>
        <w:tc>
          <w:tcPr>
            <w:tcW w:w="851" w:type="dxa"/>
            <w:tcBorders>
              <w:left w:val="single" w:sz="4" w:space="0" w:color="A8D08D" w:themeColor="accent6" w:themeTint="99"/>
            </w:tcBorders>
            <w:noWrap/>
          </w:tcPr>
          <w:p w14:paraId="0CD20BFF" w14:textId="77777777" w:rsidR="00FC22E6" w:rsidRPr="00495D03" w:rsidRDefault="00FC22E6" w:rsidP="005F77A1">
            <w:pPr>
              <w:spacing w:before="20" w:after="20"/>
              <w:jc w:val="center"/>
              <w:rPr>
                <w:rFonts w:cs="Arial"/>
                <w:sz w:val="18"/>
              </w:rPr>
            </w:pPr>
            <w:r w:rsidRPr="00495D03">
              <w:rPr>
                <w:rFonts w:cs="Arial"/>
                <w:sz w:val="18"/>
              </w:rPr>
              <w:t>4.5</w:t>
            </w:r>
          </w:p>
        </w:tc>
      </w:tr>
      <w:tr w:rsidR="00FC22E6" w:rsidRPr="00495D03" w14:paraId="48214407" w14:textId="77777777" w:rsidTr="00BF4EC3">
        <w:trPr>
          <w:trHeight w:val="300"/>
        </w:trPr>
        <w:tc>
          <w:tcPr>
            <w:tcW w:w="2070" w:type="dxa"/>
            <w:noWrap/>
          </w:tcPr>
          <w:p w14:paraId="64F3BC95" w14:textId="77777777" w:rsidR="00FC22E6" w:rsidRPr="00495D03" w:rsidRDefault="00FC22E6" w:rsidP="005F77A1">
            <w:pPr>
              <w:spacing w:before="20" w:after="20"/>
              <w:rPr>
                <w:rFonts w:cs="Arial"/>
                <w:sz w:val="18"/>
              </w:rPr>
            </w:pPr>
            <w:r w:rsidRPr="00495D03">
              <w:rPr>
                <w:rFonts w:cs="Arial"/>
                <w:sz w:val="18"/>
              </w:rPr>
              <w:t xml:space="preserve">Fee for </w:t>
            </w:r>
            <w:r>
              <w:rPr>
                <w:rFonts w:cs="Arial"/>
                <w:sz w:val="18"/>
              </w:rPr>
              <w:t>s</w:t>
            </w:r>
            <w:r w:rsidRPr="00495D03">
              <w:rPr>
                <w:rFonts w:cs="Arial"/>
                <w:sz w:val="18"/>
              </w:rPr>
              <w:t>ervice</w:t>
            </w:r>
          </w:p>
        </w:tc>
        <w:tc>
          <w:tcPr>
            <w:tcW w:w="624" w:type="dxa"/>
            <w:noWrap/>
          </w:tcPr>
          <w:p w14:paraId="75968E0C" w14:textId="77777777" w:rsidR="00FC22E6" w:rsidRPr="00495D03" w:rsidRDefault="00FC22E6" w:rsidP="005F77A1">
            <w:pPr>
              <w:spacing w:before="20" w:after="20"/>
              <w:jc w:val="center"/>
              <w:rPr>
                <w:rFonts w:cs="Arial"/>
                <w:sz w:val="18"/>
              </w:rPr>
            </w:pPr>
            <w:r w:rsidRPr="00495D03">
              <w:rPr>
                <w:rFonts w:cs="Arial"/>
                <w:sz w:val="18"/>
              </w:rPr>
              <w:t>0</w:t>
            </w:r>
          </w:p>
        </w:tc>
        <w:tc>
          <w:tcPr>
            <w:tcW w:w="708" w:type="dxa"/>
            <w:tcBorders>
              <w:right w:val="single" w:sz="4" w:space="0" w:color="A8D08D" w:themeColor="accent6" w:themeTint="99"/>
            </w:tcBorders>
            <w:noWrap/>
          </w:tcPr>
          <w:p w14:paraId="2BD44E1C" w14:textId="77777777" w:rsidR="00FC22E6" w:rsidRPr="00495D03" w:rsidRDefault="00FC22E6" w:rsidP="005F77A1">
            <w:pPr>
              <w:spacing w:before="20" w:after="20"/>
              <w:jc w:val="center"/>
              <w:rPr>
                <w:rFonts w:cs="Arial"/>
                <w:sz w:val="18"/>
              </w:rPr>
            </w:pPr>
            <w:r w:rsidRPr="00495D03">
              <w:rPr>
                <w:rFonts w:cs="Arial"/>
                <w:sz w:val="18"/>
              </w:rPr>
              <w:t>3</w:t>
            </w:r>
          </w:p>
        </w:tc>
        <w:tc>
          <w:tcPr>
            <w:tcW w:w="851" w:type="dxa"/>
            <w:tcBorders>
              <w:left w:val="single" w:sz="4" w:space="0" w:color="A8D08D" w:themeColor="accent6" w:themeTint="99"/>
            </w:tcBorders>
            <w:noWrap/>
          </w:tcPr>
          <w:p w14:paraId="0AC54372" w14:textId="77777777" w:rsidR="00FC22E6" w:rsidRPr="00495D03" w:rsidRDefault="00FC22E6" w:rsidP="005F77A1">
            <w:pPr>
              <w:spacing w:before="20" w:after="20"/>
              <w:jc w:val="center"/>
              <w:rPr>
                <w:rFonts w:cs="Arial"/>
                <w:sz w:val="18"/>
              </w:rPr>
            </w:pPr>
            <w:r w:rsidRPr="00495D03">
              <w:rPr>
                <w:rFonts w:cs="Arial"/>
                <w:sz w:val="18"/>
              </w:rPr>
              <w:t>0</w:t>
            </w:r>
          </w:p>
        </w:tc>
        <w:tc>
          <w:tcPr>
            <w:tcW w:w="709" w:type="dxa"/>
            <w:tcBorders>
              <w:right w:val="single" w:sz="4" w:space="0" w:color="A8D08D" w:themeColor="accent6" w:themeTint="99"/>
            </w:tcBorders>
            <w:noWrap/>
          </w:tcPr>
          <w:p w14:paraId="4CB91387" w14:textId="77777777" w:rsidR="00FC22E6" w:rsidRPr="00495D03" w:rsidRDefault="00FC22E6" w:rsidP="005F77A1">
            <w:pPr>
              <w:spacing w:before="20" w:after="20"/>
              <w:jc w:val="center"/>
              <w:rPr>
                <w:rFonts w:cs="Arial"/>
                <w:sz w:val="18"/>
              </w:rPr>
            </w:pPr>
            <w:r w:rsidRPr="00495D03">
              <w:rPr>
                <w:rFonts w:cs="Arial"/>
                <w:sz w:val="18"/>
              </w:rPr>
              <w:t>2</w:t>
            </w:r>
          </w:p>
        </w:tc>
        <w:tc>
          <w:tcPr>
            <w:tcW w:w="708" w:type="dxa"/>
            <w:tcBorders>
              <w:left w:val="single" w:sz="4" w:space="0" w:color="A8D08D" w:themeColor="accent6" w:themeTint="99"/>
            </w:tcBorders>
            <w:noWrap/>
          </w:tcPr>
          <w:p w14:paraId="732EF4D6" w14:textId="77777777" w:rsidR="00FC22E6" w:rsidRPr="00495D03" w:rsidRDefault="00FC22E6" w:rsidP="005F77A1">
            <w:pPr>
              <w:spacing w:before="20" w:after="20"/>
              <w:jc w:val="center"/>
              <w:rPr>
                <w:rFonts w:cs="Arial"/>
                <w:sz w:val="18"/>
              </w:rPr>
            </w:pPr>
            <w:r w:rsidRPr="00495D03">
              <w:rPr>
                <w:rFonts w:cs="Arial"/>
                <w:sz w:val="18"/>
              </w:rPr>
              <w:t>0.0</w:t>
            </w:r>
          </w:p>
        </w:tc>
        <w:tc>
          <w:tcPr>
            <w:tcW w:w="709" w:type="dxa"/>
            <w:tcBorders>
              <w:right w:val="single" w:sz="4" w:space="0" w:color="A8D08D" w:themeColor="accent6" w:themeTint="99"/>
            </w:tcBorders>
            <w:noWrap/>
          </w:tcPr>
          <w:p w14:paraId="6B73AAED" w14:textId="77777777" w:rsidR="00FC22E6" w:rsidRPr="00495D03" w:rsidRDefault="00FC22E6" w:rsidP="005F77A1">
            <w:pPr>
              <w:spacing w:before="20" w:after="20"/>
              <w:jc w:val="center"/>
              <w:rPr>
                <w:rFonts w:cs="Arial"/>
                <w:sz w:val="18"/>
              </w:rPr>
            </w:pPr>
            <w:r w:rsidRPr="00495D03">
              <w:rPr>
                <w:rFonts w:cs="Arial"/>
                <w:sz w:val="18"/>
              </w:rPr>
              <w:t>2.8</w:t>
            </w:r>
          </w:p>
        </w:tc>
        <w:tc>
          <w:tcPr>
            <w:tcW w:w="851" w:type="dxa"/>
            <w:tcBorders>
              <w:left w:val="single" w:sz="4" w:space="0" w:color="A8D08D" w:themeColor="accent6" w:themeTint="99"/>
            </w:tcBorders>
            <w:noWrap/>
          </w:tcPr>
          <w:p w14:paraId="4F714999" w14:textId="77777777" w:rsidR="00FC22E6" w:rsidRPr="00495D03" w:rsidRDefault="00FC22E6" w:rsidP="005F77A1">
            <w:pPr>
              <w:spacing w:before="20" w:after="20"/>
              <w:jc w:val="center"/>
              <w:rPr>
                <w:rFonts w:cs="Arial"/>
                <w:sz w:val="18"/>
              </w:rPr>
            </w:pPr>
            <w:r w:rsidRPr="00495D03">
              <w:rPr>
                <w:rFonts w:cs="Arial"/>
                <w:sz w:val="18"/>
              </w:rPr>
              <w:t>1.4</w:t>
            </w:r>
          </w:p>
        </w:tc>
      </w:tr>
      <w:tr w:rsidR="00FC22E6" w:rsidRPr="00495D03" w14:paraId="213B502B" w14:textId="77777777" w:rsidTr="00BF4EC3">
        <w:trPr>
          <w:trHeight w:val="300"/>
        </w:trPr>
        <w:tc>
          <w:tcPr>
            <w:tcW w:w="2070" w:type="dxa"/>
            <w:noWrap/>
          </w:tcPr>
          <w:p w14:paraId="3F3BAB64" w14:textId="77777777" w:rsidR="00FC22E6" w:rsidRPr="00495D03" w:rsidRDefault="00FC22E6" w:rsidP="005F77A1">
            <w:pPr>
              <w:spacing w:before="20" w:after="20"/>
              <w:rPr>
                <w:rFonts w:cs="Arial"/>
                <w:sz w:val="18"/>
              </w:rPr>
            </w:pPr>
            <w:r w:rsidRPr="00495D03">
              <w:rPr>
                <w:rFonts w:cs="Arial"/>
                <w:sz w:val="18"/>
              </w:rPr>
              <w:t>Partnership students</w:t>
            </w:r>
          </w:p>
        </w:tc>
        <w:tc>
          <w:tcPr>
            <w:tcW w:w="624" w:type="dxa"/>
            <w:noWrap/>
          </w:tcPr>
          <w:p w14:paraId="6F2AF5EA" w14:textId="77777777" w:rsidR="00FC22E6" w:rsidRPr="00495D03" w:rsidRDefault="00FC22E6" w:rsidP="005F77A1">
            <w:pPr>
              <w:spacing w:before="20" w:after="20"/>
              <w:jc w:val="center"/>
              <w:rPr>
                <w:rFonts w:cs="Arial"/>
                <w:sz w:val="18"/>
              </w:rPr>
            </w:pPr>
            <w:r w:rsidRPr="00495D03">
              <w:rPr>
                <w:rFonts w:cs="Arial"/>
                <w:sz w:val="18"/>
              </w:rPr>
              <w:t>0</w:t>
            </w:r>
          </w:p>
        </w:tc>
        <w:tc>
          <w:tcPr>
            <w:tcW w:w="708" w:type="dxa"/>
            <w:tcBorders>
              <w:right w:val="single" w:sz="4" w:space="0" w:color="A8D08D" w:themeColor="accent6" w:themeTint="99"/>
            </w:tcBorders>
            <w:noWrap/>
          </w:tcPr>
          <w:p w14:paraId="5E290300" w14:textId="77777777" w:rsidR="00FC22E6" w:rsidRPr="00495D03" w:rsidRDefault="00FC22E6" w:rsidP="005F77A1">
            <w:pPr>
              <w:spacing w:before="20" w:after="20"/>
              <w:jc w:val="center"/>
              <w:rPr>
                <w:rFonts w:cs="Arial"/>
                <w:sz w:val="18"/>
              </w:rPr>
            </w:pPr>
            <w:r w:rsidRPr="00495D03">
              <w:rPr>
                <w:rFonts w:cs="Arial"/>
                <w:sz w:val="18"/>
              </w:rPr>
              <w:t>1</w:t>
            </w:r>
          </w:p>
        </w:tc>
        <w:tc>
          <w:tcPr>
            <w:tcW w:w="851" w:type="dxa"/>
            <w:tcBorders>
              <w:left w:val="single" w:sz="4" w:space="0" w:color="A8D08D" w:themeColor="accent6" w:themeTint="99"/>
            </w:tcBorders>
            <w:noWrap/>
          </w:tcPr>
          <w:p w14:paraId="6664ED8A" w14:textId="77777777" w:rsidR="00FC22E6" w:rsidRPr="00495D03" w:rsidRDefault="00FC22E6" w:rsidP="005F77A1">
            <w:pPr>
              <w:spacing w:before="20" w:after="20"/>
              <w:jc w:val="center"/>
              <w:rPr>
                <w:rFonts w:cs="Arial"/>
                <w:sz w:val="18"/>
              </w:rPr>
            </w:pPr>
            <w:r w:rsidRPr="00495D03">
              <w:rPr>
                <w:rFonts w:cs="Arial"/>
                <w:sz w:val="18"/>
              </w:rPr>
              <w:t>0</w:t>
            </w:r>
          </w:p>
        </w:tc>
        <w:tc>
          <w:tcPr>
            <w:tcW w:w="709" w:type="dxa"/>
            <w:tcBorders>
              <w:right w:val="single" w:sz="4" w:space="0" w:color="A8D08D" w:themeColor="accent6" w:themeTint="99"/>
            </w:tcBorders>
            <w:noWrap/>
          </w:tcPr>
          <w:p w14:paraId="48F9BF78" w14:textId="77777777" w:rsidR="00FC22E6" w:rsidRPr="00495D03" w:rsidRDefault="00FC22E6" w:rsidP="005F77A1">
            <w:pPr>
              <w:spacing w:before="20" w:after="20"/>
              <w:jc w:val="center"/>
              <w:rPr>
                <w:rFonts w:cs="Arial"/>
                <w:sz w:val="18"/>
              </w:rPr>
            </w:pPr>
            <w:r w:rsidRPr="00495D03">
              <w:rPr>
                <w:rFonts w:cs="Arial"/>
                <w:sz w:val="18"/>
              </w:rPr>
              <w:t>6</w:t>
            </w:r>
          </w:p>
        </w:tc>
        <w:tc>
          <w:tcPr>
            <w:tcW w:w="708" w:type="dxa"/>
            <w:tcBorders>
              <w:left w:val="single" w:sz="4" w:space="0" w:color="A8D08D" w:themeColor="accent6" w:themeTint="99"/>
            </w:tcBorders>
            <w:noWrap/>
          </w:tcPr>
          <w:p w14:paraId="30332D7F" w14:textId="77777777" w:rsidR="00FC22E6" w:rsidRPr="00495D03" w:rsidRDefault="00FC22E6" w:rsidP="005F77A1">
            <w:pPr>
              <w:spacing w:before="20" w:after="20"/>
              <w:jc w:val="center"/>
              <w:rPr>
                <w:rFonts w:cs="Arial"/>
                <w:sz w:val="18"/>
              </w:rPr>
            </w:pPr>
            <w:r w:rsidRPr="00495D03">
              <w:rPr>
                <w:rFonts w:cs="Arial"/>
                <w:sz w:val="18"/>
              </w:rPr>
              <w:t>0.0</w:t>
            </w:r>
          </w:p>
        </w:tc>
        <w:tc>
          <w:tcPr>
            <w:tcW w:w="709" w:type="dxa"/>
            <w:tcBorders>
              <w:right w:val="single" w:sz="4" w:space="0" w:color="A8D08D" w:themeColor="accent6" w:themeTint="99"/>
            </w:tcBorders>
            <w:noWrap/>
          </w:tcPr>
          <w:p w14:paraId="36651EE1" w14:textId="77777777" w:rsidR="00FC22E6" w:rsidRPr="00495D03" w:rsidRDefault="00FC22E6" w:rsidP="005F77A1">
            <w:pPr>
              <w:spacing w:before="20" w:after="20"/>
              <w:jc w:val="center"/>
              <w:rPr>
                <w:rFonts w:cs="Arial"/>
                <w:sz w:val="18"/>
              </w:rPr>
            </w:pPr>
            <w:r w:rsidRPr="00495D03">
              <w:rPr>
                <w:rFonts w:cs="Arial"/>
                <w:sz w:val="18"/>
              </w:rPr>
              <w:t>2.9</w:t>
            </w:r>
          </w:p>
        </w:tc>
        <w:tc>
          <w:tcPr>
            <w:tcW w:w="851" w:type="dxa"/>
            <w:tcBorders>
              <w:left w:val="single" w:sz="4" w:space="0" w:color="A8D08D" w:themeColor="accent6" w:themeTint="99"/>
            </w:tcBorders>
            <w:noWrap/>
          </w:tcPr>
          <w:p w14:paraId="605E6AFD" w14:textId="77777777" w:rsidR="00FC22E6" w:rsidRPr="00495D03" w:rsidRDefault="00FC22E6" w:rsidP="005F77A1">
            <w:pPr>
              <w:spacing w:before="20" w:after="20"/>
              <w:jc w:val="center"/>
              <w:rPr>
                <w:rFonts w:cs="Arial"/>
                <w:sz w:val="18"/>
              </w:rPr>
            </w:pPr>
            <w:r w:rsidRPr="00495D03">
              <w:rPr>
                <w:rFonts w:cs="Arial"/>
                <w:sz w:val="18"/>
              </w:rPr>
              <w:t>1.4</w:t>
            </w:r>
          </w:p>
        </w:tc>
      </w:tr>
      <w:tr w:rsidR="00FC22E6" w:rsidRPr="00495D03" w14:paraId="21116983" w14:textId="77777777" w:rsidTr="00BF4EC3">
        <w:trPr>
          <w:trHeight w:val="440"/>
        </w:trPr>
        <w:tc>
          <w:tcPr>
            <w:tcW w:w="2070" w:type="dxa"/>
            <w:noWrap/>
          </w:tcPr>
          <w:p w14:paraId="7B7F3671" w14:textId="77777777" w:rsidR="00FC22E6" w:rsidRPr="00495D03" w:rsidRDefault="00FC22E6" w:rsidP="005F77A1">
            <w:pPr>
              <w:spacing w:before="20" w:after="20"/>
              <w:rPr>
                <w:rFonts w:cs="Arial"/>
                <w:sz w:val="18"/>
              </w:rPr>
            </w:pPr>
            <w:r w:rsidRPr="00495D03">
              <w:rPr>
                <w:rFonts w:cs="Arial"/>
                <w:sz w:val="18"/>
              </w:rPr>
              <w:t>No source recorded</w:t>
            </w:r>
          </w:p>
        </w:tc>
        <w:tc>
          <w:tcPr>
            <w:tcW w:w="624" w:type="dxa"/>
            <w:noWrap/>
          </w:tcPr>
          <w:p w14:paraId="5A588F6D" w14:textId="77777777" w:rsidR="00FC22E6" w:rsidRPr="00495D03" w:rsidRDefault="00FC22E6" w:rsidP="005F77A1">
            <w:pPr>
              <w:spacing w:before="20" w:after="20"/>
              <w:jc w:val="center"/>
              <w:rPr>
                <w:rFonts w:cs="Arial"/>
                <w:sz w:val="18"/>
              </w:rPr>
            </w:pPr>
            <w:r w:rsidRPr="00495D03">
              <w:rPr>
                <w:rFonts w:cs="Arial"/>
                <w:sz w:val="18"/>
              </w:rPr>
              <w:t>0</w:t>
            </w:r>
          </w:p>
        </w:tc>
        <w:tc>
          <w:tcPr>
            <w:tcW w:w="708" w:type="dxa"/>
            <w:tcBorders>
              <w:right w:val="single" w:sz="4" w:space="0" w:color="A8D08D" w:themeColor="accent6" w:themeTint="99"/>
            </w:tcBorders>
            <w:noWrap/>
          </w:tcPr>
          <w:p w14:paraId="1283248A" w14:textId="77777777" w:rsidR="00FC22E6" w:rsidRPr="00495D03" w:rsidRDefault="00FC22E6" w:rsidP="005F77A1">
            <w:pPr>
              <w:spacing w:before="20" w:after="20"/>
              <w:jc w:val="center"/>
              <w:rPr>
                <w:rFonts w:cs="Arial"/>
                <w:sz w:val="18"/>
              </w:rPr>
            </w:pPr>
            <w:r w:rsidRPr="00495D03">
              <w:rPr>
                <w:rFonts w:cs="Arial"/>
                <w:sz w:val="18"/>
              </w:rPr>
              <w:t>2</w:t>
            </w:r>
          </w:p>
        </w:tc>
        <w:tc>
          <w:tcPr>
            <w:tcW w:w="851" w:type="dxa"/>
            <w:tcBorders>
              <w:left w:val="single" w:sz="4" w:space="0" w:color="A8D08D" w:themeColor="accent6" w:themeTint="99"/>
            </w:tcBorders>
            <w:noWrap/>
          </w:tcPr>
          <w:p w14:paraId="4C1D70BD" w14:textId="77777777" w:rsidR="00FC22E6" w:rsidRPr="00495D03" w:rsidRDefault="00FC22E6" w:rsidP="005F77A1">
            <w:pPr>
              <w:spacing w:before="20" w:after="20"/>
              <w:jc w:val="center"/>
              <w:rPr>
                <w:rFonts w:cs="Arial"/>
                <w:sz w:val="18"/>
              </w:rPr>
            </w:pPr>
            <w:r w:rsidRPr="00495D03">
              <w:rPr>
                <w:rFonts w:cs="Arial"/>
                <w:sz w:val="18"/>
              </w:rPr>
              <w:t>0</w:t>
            </w:r>
          </w:p>
        </w:tc>
        <w:tc>
          <w:tcPr>
            <w:tcW w:w="709" w:type="dxa"/>
            <w:tcBorders>
              <w:right w:val="single" w:sz="4" w:space="0" w:color="A8D08D" w:themeColor="accent6" w:themeTint="99"/>
            </w:tcBorders>
            <w:noWrap/>
          </w:tcPr>
          <w:p w14:paraId="207ADBC1" w14:textId="77777777" w:rsidR="00FC22E6" w:rsidRPr="00495D03" w:rsidRDefault="00FC22E6" w:rsidP="005F77A1">
            <w:pPr>
              <w:spacing w:before="20" w:after="20"/>
              <w:jc w:val="center"/>
              <w:rPr>
                <w:rFonts w:cs="Arial"/>
                <w:sz w:val="18"/>
              </w:rPr>
            </w:pPr>
            <w:r w:rsidRPr="00495D03">
              <w:rPr>
                <w:rFonts w:cs="Arial"/>
                <w:sz w:val="18"/>
              </w:rPr>
              <w:t>1</w:t>
            </w:r>
          </w:p>
        </w:tc>
        <w:tc>
          <w:tcPr>
            <w:tcW w:w="708" w:type="dxa"/>
            <w:tcBorders>
              <w:left w:val="single" w:sz="4" w:space="0" w:color="A8D08D" w:themeColor="accent6" w:themeTint="99"/>
            </w:tcBorders>
            <w:noWrap/>
          </w:tcPr>
          <w:p w14:paraId="244D2D78" w14:textId="77777777" w:rsidR="00FC22E6" w:rsidRPr="00495D03" w:rsidRDefault="00FC22E6" w:rsidP="005F77A1">
            <w:pPr>
              <w:spacing w:before="20" w:after="20"/>
              <w:jc w:val="center"/>
              <w:rPr>
                <w:rFonts w:cs="Arial"/>
                <w:sz w:val="18"/>
              </w:rPr>
            </w:pPr>
            <w:r w:rsidRPr="00495D03">
              <w:rPr>
                <w:rFonts w:cs="Arial"/>
                <w:sz w:val="18"/>
              </w:rPr>
              <w:t>0.5</w:t>
            </w:r>
          </w:p>
        </w:tc>
        <w:tc>
          <w:tcPr>
            <w:tcW w:w="709" w:type="dxa"/>
            <w:tcBorders>
              <w:right w:val="single" w:sz="4" w:space="0" w:color="A8D08D" w:themeColor="accent6" w:themeTint="99"/>
            </w:tcBorders>
            <w:noWrap/>
          </w:tcPr>
          <w:p w14:paraId="3FD60A78" w14:textId="77777777" w:rsidR="00FC22E6" w:rsidRPr="00495D03" w:rsidRDefault="00FC22E6" w:rsidP="005F77A1">
            <w:pPr>
              <w:spacing w:before="20" w:after="20"/>
              <w:jc w:val="center"/>
              <w:rPr>
                <w:rFonts w:cs="Arial"/>
                <w:sz w:val="18"/>
              </w:rPr>
            </w:pPr>
            <w:r w:rsidRPr="00495D03">
              <w:rPr>
                <w:rFonts w:cs="Arial"/>
                <w:sz w:val="18"/>
              </w:rPr>
              <w:t>1.6</w:t>
            </w:r>
          </w:p>
        </w:tc>
        <w:tc>
          <w:tcPr>
            <w:tcW w:w="851" w:type="dxa"/>
            <w:tcBorders>
              <w:left w:val="single" w:sz="4" w:space="0" w:color="A8D08D" w:themeColor="accent6" w:themeTint="99"/>
            </w:tcBorders>
            <w:noWrap/>
          </w:tcPr>
          <w:p w14:paraId="115C6813" w14:textId="77777777" w:rsidR="00FC22E6" w:rsidRPr="00495D03" w:rsidRDefault="00FC22E6" w:rsidP="005F77A1">
            <w:pPr>
              <w:spacing w:before="20" w:after="20"/>
              <w:jc w:val="center"/>
              <w:rPr>
                <w:rFonts w:cs="Arial"/>
                <w:sz w:val="18"/>
              </w:rPr>
            </w:pPr>
            <w:r w:rsidRPr="00495D03">
              <w:rPr>
                <w:rFonts w:cs="Arial"/>
                <w:sz w:val="18"/>
              </w:rPr>
              <w:t>1.0</w:t>
            </w:r>
          </w:p>
        </w:tc>
      </w:tr>
      <w:tr w:rsidR="00FC22E6" w:rsidRPr="00495D03" w14:paraId="0DFEC800" w14:textId="77777777" w:rsidTr="00BF4EC3">
        <w:trPr>
          <w:trHeight w:val="300"/>
        </w:trPr>
        <w:tc>
          <w:tcPr>
            <w:tcW w:w="2070" w:type="dxa"/>
            <w:shd w:val="clear" w:color="auto" w:fill="E2EFD9" w:themeFill="accent6" w:themeFillTint="33"/>
            <w:noWrap/>
          </w:tcPr>
          <w:p w14:paraId="34097A71" w14:textId="3A2DEAB6" w:rsidR="00FC22E6" w:rsidRPr="00495D03" w:rsidRDefault="00FC22E6" w:rsidP="005F77A1">
            <w:pPr>
              <w:spacing w:before="20" w:after="20"/>
              <w:rPr>
                <w:rFonts w:cs="Arial"/>
                <w:sz w:val="18"/>
              </w:rPr>
            </w:pPr>
            <w:r w:rsidRPr="00495D03">
              <w:rPr>
                <w:rFonts w:cs="Arial"/>
                <w:sz w:val="18"/>
              </w:rPr>
              <w:t xml:space="preserve">Total </w:t>
            </w:r>
            <w:r w:rsidR="008F71CD">
              <w:rPr>
                <w:rFonts w:cs="Arial"/>
                <w:sz w:val="18"/>
              </w:rPr>
              <w:t>%</w:t>
            </w:r>
          </w:p>
        </w:tc>
        <w:tc>
          <w:tcPr>
            <w:tcW w:w="624" w:type="dxa"/>
            <w:shd w:val="clear" w:color="auto" w:fill="E2EFD9" w:themeFill="accent6" w:themeFillTint="33"/>
            <w:noWrap/>
          </w:tcPr>
          <w:p w14:paraId="6AAB0F33" w14:textId="77777777" w:rsidR="00FC22E6" w:rsidRPr="00495D03" w:rsidRDefault="00FC22E6" w:rsidP="005F77A1">
            <w:pPr>
              <w:spacing w:before="20" w:after="20"/>
              <w:jc w:val="center"/>
              <w:rPr>
                <w:rFonts w:cs="Arial"/>
                <w:sz w:val="18"/>
              </w:rPr>
            </w:pPr>
            <w:r w:rsidRPr="00495D03">
              <w:rPr>
                <w:rFonts w:cs="Arial"/>
                <w:sz w:val="18"/>
              </w:rPr>
              <w:t>100</w:t>
            </w:r>
          </w:p>
        </w:tc>
        <w:tc>
          <w:tcPr>
            <w:tcW w:w="708" w:type="dxa"/>
            <w:tcBorders>
              <w:right w:val="single" w:sz="4" w:space="0" w:color="A8D08D" w:themeColor="accent6" w:themeTint="99"/>
            </w:tcBorders>
            <w:shd w:val="clear" w:color="auto" w:fill="E2EFD9" w:themeFill="accent6" w:themeFillTint="33"/>
            <w:noWrap/>
          </w:tcPr>
          <w:p w14:paraId="3F7302AD" w14:textId="77777777" w:rsidR="00FC22E6" w:rsidRPr="00495D03" w:rsidRDefault="00FC22E6" w:rsidP="005F77A1">
            <w:pPr>
              <w:spacing w:before="20" w:after="20"/>
              <w:jc w:val="center"/>
              <w:rPr>
                <w:rFonts w:cs="Arial"/>
                <w:sz w:val="18"/>
              </w:rPr>
            </w:pPr>
            <w:r w:rsidRPr="00495D03">
              <w:rPr>
                <w:rFonts w:cs="Arial"/>
                <w:sz w:val="18"/>
              </w:rPr>
              <w:t>100</w:t>
            </w:r>
          </w:p>
        </w:tc>
        <w:tc>
          <w:tcPr>
            <w:tcW w:w="851" w:type="dxa"/>
            <w:tcBorders>
              <w:left w:val="single" w:sz="4" w:space="0" w:color="A8D08D" w:themeColor="accent6" w:themeTint="99"/>
            </w:tcBorders>
            <w:shd w:val="clear" w:color="auto" w:fill="E2EFD9" w:themeFill="accent6" w:themeFillTint="33"/>
            <w:noWrap/>
          </w:tcPr>
          <w:p w14:paraId="3A3A76F2" w14:textId="77777777" w:rsidR="00FC22E6" w:rsidRPr="00495D03" w:rsidRDefault="00FC22E6" w:rsidP="005F77A1">
            <w:pPr>
              <w:spacing w:before="20" w:after="20"/>
              <w:jc w:val="center"/>
              <w:rPr>
                <w:rFonts w:cs="Arial"/>
                <w:sz w:val="18"/>
              </w:rPr>
            </w:pPr>
            <w:r w:rsidRPr="00495D03">
              <w:rPr>
                <w:rFonts w:cs="Arial"/>
                <w:sz w:val="18"/>
              </w:rPr>
              <w:t>100</w:t>
            </w:r>
          </w:p>
        </w:tc>
        <w:tc>
          <w:tcPr>
            <w:tcW w:w="709" w:type="dxa"/>
            <w:tcBorders>
              <w:right w:val="single" w:sz="4" w:space="0" w:color="A8D08D" w:themeColor="accent6" w:themeTint="99"/>
            </w:tcBorders>
            <w:shd w:val="clear" w:color="auto" w:fill="E2EFD9" w:themeFill="accent6" w:themeFillTint="33"/>
            <w:noWrap/>
          </w:tcPr>
          <w:p w14:paraId="6FF2026B" w14:textId="77777777" w:rsidR="00FC22E6" w:rsidRPr="00495D03" w:rsidRDefault="00FC22E6" w:rsidP="005F77A1">
            <w:pPr>
              <w:spacing w:before="20" w:after="20"/>
              <w:jc w:val="center"/>
              <w:rPr>
                <w:rFonts w:cs="Arial"/>
                <w:sz w:val="18"/>
              </w:rPr>
            </w:pPr>
            <w:r w:rsidRPr="00495D03">
              <w:rPr>
                <w:rFonts w:cs="Arial"/>
                <w:sz w:val="18"/>
              </w:rPr>
              <w:t>100</w:t>
            </w:r>
          </w:p>
        </w:tc>
        <w:tc>
          <w:tcPr>
            <w:tcW w:w="708" w:type="dxa"/>
            <w:tcBorders>
              <w:left w:val="single" w:sz="4" w:space="0" w:color="A8D08D" w:themeColor="accent6" w:themeTint="99"/>
            </w:tcBorders>
            <w:shd w:val="clear" w:color="auto" w:fill="E2EFD9" w:themeFill="accent6" w:themeFillTint="33"/>
            <w:noWrap/>
          </w:tcPr>
          <w:p w14:paraId="3253C147" w14:textId="77777777" w:rsidR="00FC22E6" w:rsidRPr="00495D03" w:rsidRDefault="00FC22E6" w:rsidP="005F77A1">
            <w:pPr>
              <w:spacing w:before="20" w:after="20"/>
              <w:jc w:val="center"/>
              <w:rPr>
                <w:rFonts w:cs="Arial"/>
                <w:sz w:val="18"/>
              </w:rPr>
            </w:pPr>
            <w:r w:rsidRPr="00495D03">
              <w:rPr>
                <w:rFonts w:cs="Arial"/>
                <w:sz w:val="18"/>
              </w:rPr>
              <w:t>100</w:t>
            </w:r>
          </w:p>
        </w:tc>
        <w:tc>
          <w:tcPr>
            <w:tcW w:w="709" w:type="dxa"/>
            <w:tcBorders>
              <w:right w:val="single" w:sz="4" w:space="0" w:color="A8D08D" w:themeColor="accent6" w:themeTint="99"/>
            </w:tcBorders>
            <w:shd w:val="clear" w:color="auto" w:fill="E2EFD9" w:themeFill="accent6" w:themeFillTint="33"/>
            <w:noWrap/>
          </w:tcPr>
          <w:p w14:paraId="522A84C1" w14:textId="77777777" w:rsidR="00FC22E6" w:rsidRPr="00495D03" w:rsidRDefault="00FC22E6" w:rsidP="005F77A1">
            <w:pPr>
              <w:spacing w:before="20" w:after="20"/>
              <w:jc w:val="center"/>
              <w:rPr>
                <w:rFonts w:cs="Arial"/>
                <w:sz w:val="18"/>
              </w:rPr>
            </w:pPr>
            <w:r w:rsidRPr="00495D03">
              <w:rPr>
                <w:rFonts w:cs="Arial"/>
                <w:sz w:val="18"/>
              </w:rPr>
              <w:t>100</w:t>
            </w:r>
          </w:p>
        </w:tc>
        <w:tc>
          <w:tcPr>
            <w:tcW w:w="851" w:type="dxa"/>
            <w:tcBorders>
              <w:left w:val="single" w:sz="4" w:space="0" w:color="A8D08D" w:themeColor="accent6" w:themeTint="99"/>
            </w:tcBorders>
            <w:shd w:val="clear" w:color="auto" w:fill="E2EFD9" w:themeFill="accent6" w:themeFillTint="33"/>
            <w:noWrap/>
          </w:tcPr>
          <w:p w14:paraId="4433B049" w14:textId="77777777" w:rsidR="00FC22E6" w:rsidRPr="00495D03" w:rsidRDefault="00FC22E6" w:rsidP="005F77A1">
            <w:pPr>
              <w:spacing w:before="20" w:after="20"/>
              <w:jc w:val="center"/>
              <w:rPr>
                <w:rFonts w:cs="Arial"/>
                <w:sz w:val="18"/>
              </w:rPr>
            </w:pPr>
            <w:r w:rsidRPr="00495D03">
              <w:rPr>
                <w:rFonts w:cs="Arial"/>
                <w:sz w:val="18"/>
              </w:rPr>
              <w:t>100</w:t>
            </w:r>
          </w:p>
        </w:tc>
      </w:tr>
    </w:tbl>
    <w:p w14:paraId="024B558F" w14:textId="0E921A04" w:rsidR="00FC22E6" w:rsidRPr="000065D0" w:rsidRDefault="008F71CD" w:rsidP="00FC22E6">
      <w:pPr>
        <w:rPr>
          <w:rFonts w:cs="Arial"/>
          <w:sz w:val="18"/>
          <w:szCs w:val="18"/>
        </w:rPr>
      </w:pPr>
      <w:r>
        <w:rPr>
          <w:rFonts w:cs="Arial"/>
          <w:sz w:val="16"/>
          <w:szCs w:val="18"/>
        </w:rPr>
        <w:br/>
      </w:r>
      <w:r w:rsidR="00FC22E6" w:rsidRPr="008F71CD">
        <w:rPr>
          <w:rFonts w:cs="Arial"/>
          <w:sz w:val="16"/>
          <w:szCs w:val="18"/>
        </w:rPr>
        <w:t>Note: Stage II is to date. Source: APTC Table C.1a</w:t>
      </w:r>
      <w:r w:rsidR="000C0286" w:rsidRPr="008F71CD">
        <w:rPr>
          <w:rFonts w:cs="Arial"/>
          <w:sz w:val="16"/>
          <w:szCs w:val="18"/>
        </w:rPr>
        <w:br/>
      </w:r>
    </w:p>
    <w:p w14:paraId="1F1E1336" w14:textId="68A356D6" w:rsidR="003D355F" w:rsidRDefault="00514474" w:rsidP="002028A6">
      <w:pPr>
        <w:pStyle w:val="Heading2"/>
      </w:pPr>
      <w:bookmarkStart w:id="211" w:name="_Toc274059126"/>
      <w:bookmarkStart w:id="212" w:name="_Toc274145068"/>
      <w:bookmarkStart w:id="213" w:name="_Toc274900452"/>
      <w:bookmarkStart w:id="214" w:name="_Toc278447846"/>
      <w:bookmarkStart w:id="215" w:name="_Toc278453319"/>
      <w:r>
        <w:t xml:space="preserve">3.4 </w:t>
      </w:r>
      <w:r w:rsidR="00210E15">
        <w:tab/>
      </w:r>
      <w:r w:rsidR="00FC22E6" w:rsidRPr="00D17CCB">
        <w:t>Entrants by employment status</w:t>
      </w:r>
      <w:bookmarkEnd w:id="211"/>
      <w:bookmarkEnd w:id="212"/>
      <w:bookmarkEnd w:id="213"/>
      <w:bookmarkEnd w:id="214"/>
      <w:bookmarkEnd w:id="215"/>
    </w:p>
    <w:p w14:paraId="5FD3C44D" w14:textId="77777777" w:rsidR="00FC22E6" w:rsidRDefault="00FC22E6" w:rsidP="00FC22E6">
      <w:r>
        <w:t xml:space="preserve">About two-thirds of the students were employed on entry to APTC. Between stages, the proportion increased in SHCS from 58 per cent to 75 per cent, and dropped from 67 per cent to 61 per cent in STT. The decrease in </w:t>
      </w:r>
      <w:r w:rsidRPr="00191746">
        <w:t xml:space="preserve">STT </w:t>
      </w:r>
      <w:r>
        <w:t>was due to the introduction of new industry entrant programs such as the Certificate III in Painting and D</w:t>
      </w:r>
      <w:r w:rsidRPr="00191746">
        <w:t xml:space="preserve">ecorating and </w:t>
      </w:r>
      <w:r>
        <w:t>Certificate III in Wall and Floor T</w:t>
      </w:r>
      <w:r w:rsidRPr="00191746">
        <w:t>iling.</w:t>
      </w:r>
    </w:p>
    <w:p w14:paraId="5A1EABF7" w14:textId="15F1AE40" w:rsidR="00FC22E6" w:rsidRPr="00450DE4" w:rsidRDefault="00FC22E6" w:rsidP="00FC22E6">
      <w:pPr>
        <w:pStyle w:val="Tableheading"/>
      </w:pPr>
      <w:bookmarkStart w:id="216" w:name="_Toc274059225"/>
      <w:bookmarkStart w:id="217" w:name="_Toc274146433"/>
      <w:bookmarkStart w:id="218" w:name="_Toc274915892"/>
      <w:bookmarkStart w:id="219" w:name="_Toc278446870"/>
      <w:r>
        <w:t xml:space="preserve">Figure 3.4.1: </w:t>
      </w:r>
      <w:r w:rsidRPr="000065D0">
        <w:rPr>
          <w:bCs/>
        </w:rPr>
        <w:t xml:space="preserve">Percentage of entrants employed on entrance by </w:t>
      </w:r>
      <w:r w:rsidR="00BF4EC3">
        <w:rPr>
          <w:bCs/>
        </w:rPr>
        <w:br/>
      </w:r>
      <w:r w:rsidRPr="000065D0">
        <w:rPr>
          <w:bCs/>
        </w:rPr>
        <w:t>school and stage, 2007 to present</w:t>
      </w:r>
      <w:bookmarkEnd w:id="216"/>
      <w:bookmarkEnd w:id="217"/>
      <w:bookmarkEnd w:id="218"/>
      <w:bookmarkEnd w:id="219"/>
    </w:p>
    <w:p w14:paraId="65B81572" w14:textId="77777777" w:rsidR="00FC22E6" w:rsidRPr="00D17CCB" w:rsidRDefault="00FC22E6" w:rsidP="00FC22E6">
      <w:pPr>
        <w:rPr>
          <w:rFonts w:cs="Arial"/>
        </w:rPr>
      </w:pPr>
      <w:r w:rsidRPr="00D17CCB">
        <w:rPr>
          <w:rFonts w:cs="Arial"/>
          <w:noProof/>
          <w:lang w:eastAsia="en-AU"/>
        </w:rPr>
        <w:drawing>
          <wp:inline distT="0" distB="0" distL="0" distR="0" wp14:anchorId="233747D9" wp14:editId="1ACC0D0D">
            <wp:extent cx="4390602" cy="2645833"/>
            <wp:effectExtent l="25400" t="25400" r="3598"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1B93C6" w14:textId="77777777" w:rsidR="00FC22E6" w:rsidRDefault="00FC22E6" w:rsidP="00FC22E6">
      <w:pPr>
        <w:rPr>
          <w:rFonts w:cs="Arial"/>
          <w:sz w:val="16"/>
          <w:szCs w:val="18"/>
        </w:rPr>
      </w:pPr>
      <w:r w:rsidRPr="000065D0">
        <w:rPr>
          <w:rFonts w:cs="Arial"/>
          <w:sz w:val="16"/>
          <w:szCs w:val="18"/>
        </w:rPr>
        <w:t>Source: APTC D.10</w:t>
      </w:r>
    </w:p>
    <w:p w14:paraId="05E09B01" w14:textId="14A72014" w:rsidR="00E31797" w:rsidRDefault="00E31797">
      <w:pPr>
        <w:spacing w:after="0"/>
        <w:rPr>
          <w:rFonts w:cs="Arial"/>
          <w:sz w:val="16"/>
          <w:szCs w:val="18"/>
        </w:rPr>
      </w:pPr>
      <w:r>
        <w:rPr>
          <w:rFonts w:cs="Arial"/>
          <w:sz w:val="16"/>
          <w:szCs w:val="18"/>
        </w:rPr>
        <w:br w:type="page"/>
      </w:r>
    </w:p>
    <w:p w14:paraId="6A864C67" w14:textId="77777777" w:rsidR="00E31797" w:rsidRPr="008E7579" w:rsidRDefault="00E31797" w:rsidP="00FC22E6">
      <w:pPr>
        <w:rPr>
          <w:rFonts w:cs="Arial"/>
          <w:sz w:val="2"/>
          <w:szCs w:val="18"/>
        </w:rPr>
      </w:pPr>
    </w:p>
    <w:p w14:paraId="5700F935" w14:textId="5D472EE2" w:rsidR="003D355F" w:rsidRDefault="00514474" w:rsidP="002028A6">
      <w:pPr>
        <w:pStyle w:val="Heading1"/>
      </w:pPr>
      <w:bookmarkStart w:id="220" w:name="_Toc274059127"/>
      <w:bookmarkStart w:id="221" w:name="_Toc278447847"/>
      <w:bookmarkStart w:id="222" w:name="_Toc278453320"/>
      <w:r>
        <w:t xml:space="preserve">4 </w:t>
      </w:r>
      <w:r w:rsidR="00210E15">
        <w:tab/>
      </w:r>
      <w:r w:rsidR="00FC22E6" w:rsidRPr="00D17CCB">
        <w:t>Enrolments</w:t>
      </w:r>
      <w:bookmarkEnd w:id="220"/>
      <w:bookmarkEnd w:id="221"/>
      <w:bookmarkEnd w:id="222"/>
    </w:p>
    <w:p w14:paraId="5B653DC5" w14:textId="0EDE69AC" w:rsidR="003D355F" w:rsidRDefault="00514474" w:rsidP="002028A6">
      <w:pPr>
        <w:pStyle w:val="Heading2"/>
      </w:pPr>
      <w:bookmarkStart w:id="223" w:name="_Toc274059128"/>
      <w:bookmarkStart w:id="224" w:name="_Toc274145070"/>
      <w:bookmarkStart w:id="225" w:name="_Toc274900454"/>
      <w:bookmarkStart w:id="226" w:name="_Toc278447848"/>
      <w:bookmarkStart w:id="227" w:name="_Toc278453321"/>
      <w:r>
        <w:t xml:space="preserve">4.1 </w:t>
      </w:r>
      <w:r w:rsidR="00210E15">
        <w:tab/>
      </w:r>
      <w:r w:rsidR="00FC22E6" w:rsidRPr="00BA476D">
        <w:t>Cumulative enrolment</w:t>
      </w:r>
      <w:bookmarkEnd w:id="223"/>
      <w:bookmarkEnd w:id="224"/>
      <w:bookmarkEnd w:id="225"/>
      <w:bookmarkEnd w:id="226"/>
      <w:bookmarkEnd w:id="227"/>
      <w:r w:rsidR="00FC22E6" w:rsidRPr="00BA476D">
        <w:t xml:space="preserve"> </w:t>
      </w:r>
    </w:p>
    <w:p w14:paraId="55FF8E66" w14:textId="77777777" w:rsidR="00FC22E6" w:rsidRPr="00D17CCB" w:rsidRDefault="00FC22E6" w:rsidP="00FC22E6">
      <w:pPr>
        <w:rPr>
          <w:rFonts w:cs="Arial"/>
        </w:rPr>
      </w:pPr>
      <w:r w:rsidRPr="00D17CCB">
        <w:rPr>
          <w:rFonts w:cs="Arial"/>
        </w:rPr>
        <w:t>The following graph shows cumulative enrolment to date by nationality.</w:t>
      </w:r>
    </w:p>
    <w:p w14:paraId="4806C51B" w14:textId="77777777" w:rsidR="00FC22E6" w:rsidRPr="00D17CCB" w:rsidRDefault="00FC22E6" w:rsidP="00FC22E6">
      <w:pPr>
        <w:pStyle w:val="Tableheading"/>
      </w:pPr>
      <w:bookmarkStart w:id="228" w:name="_Toc274059226"/>
      <w:bookmarkStart w:id="229" w:name="_Toc274146434"/>
      <w:bookmarkStart w:id="230" w:name="_Toc274915893"/>
      <w:bookmarkStart w:id="231" w:name="_Toc278446871"/>
      <w:r>
        <w:t xml:space="preserve">Figure 4.1.1: </w:t>
      </w:r>
      <w:r w:rsidRPr="00BA476D">
        <w:rPr>
          <w:bCs/>
        </w:rPr>
        <w:t>Cumulative student enrolment by nationality since 2007</w:t>
      </w:r>
      <w:bookmarkEnd w:id="228"/>
      <w:bookmarkEnd w:id="229"/>
      <w:bookmarkEnd w:id="230"/>
      <w:bookmarkEnd w:id="231"/>
    </w:p>
    <w:p w14:paraId="46C485C8" w14:textId="77777777" w:rsidR="00FC22E6" w:rsidRPr="00D17CCB" w:rsidRDefault="00FC22E6" w:rsidP="00FC22E6">
      <w:pPr>
        <w:rPr>
          <w:rFonts w:cs="Arial"/>
        </w:rPr>
      </w:pPr>
      <w:r w:rsidRPr="00D17CCB">
        <w:rPr>
          <w:rFonts w:cs="Arial"/>
          <w:noProof/>
          <w:lang w:eastAsia="en-AU"/>
        </w:rPr>
        <w:drawing>
          <wp:inline distT="0" distB="0" distL="0" distR="0" wp14:anchorId="211D6E90" wp14:editId="09697046">
            <wp:extent cx="4572000" cy="2827867"/>
            <wp:effectExtent l="25400" t="2540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4D35D9" w14:textId="77777777" w:rsidR="00FC22E6" w:rsidRPr="00042FA1" w:rsidRDefault="00FC22E6" w:rsidP="00FC22E6">
      <w:pPr>
        <w:rPr>
          <w:rFonts w:cs="Arial"/>
          <w:sz w:val="16"/>
          <w:szCs w:val="18"/>
        </w:rPr>
      </w:pPr>
      <w:r w:rsidRPr="00042FA1">
        <w:rPr>
          <w:rFonts w:cs="Arial"/>
          <w:sz w:val="16"/>
          <w:szCs w:val="18"/>
        </w:rPr>
        <w:t>Source: APTC Table D.8</w:t>
      </w:r>
    </w:p>
    <w:p w14:paraId="3917D120" w14:textId="4386C7D6" w:rsidR="00FC22E6" w:rsidRPr="00D17CCB" w:rsidRDefault="00FC22E6" w:rsidP="00FC22E6">
      <w:pPr>
        <w:rPr>
          <w:rFonts w:cs="Arial"/>
        </w:rPr>
      </w:pPr>
      <w:r w:rsidRPr="00D17CCB">
        <w:rPr>
          <w:rFonts w:cs="Arial"/>
        </w:rPr>
        <w:t>Enrolment by nationality as a proportion of country size is pre</w:t>
      </w:r>
      <w:r>
        <w:rPr>
          <w:rFonts w:cs="Arial"/>
        </w:rPr>
        <w:t xml:space="preserve">sented in the following graph. </w:t>
      </w:r>
      <w:r w:rsidRPr="00D17CCB">
        <w:rPr>
          <w:rFonts w:cs="Arial"/>
        </w:rPr>
        <w:t>Citizens from small states may be d</w:t>
      </w:r>
      <w:r>
        <w:rPr>
          <w:rFonts w:cs="Arial"/>
        </w:rPr>
        <w:t xml:space="preserve">isproportionately represented. </w:t>
      </w:r>
      <w:r w:rsidRPr="00D17CCB">
        <w:rPr>
          <w:rFonts w:cs="Arial"/>
        </w:rPr>
        <w:t xml:space="preserve">Citizens of Samoa, Vanuatu and Fiji have a higher than average </w:t>
      </w:r>
      <w:r>
        <w:rPr>
          <w:rFonts w:cs="Arial"/>
        </w:rPr>
        <w:t xml:space="preserve">participation rates </w:t>
      </w:r>
      <w:r w:rsidRPr="00D17CCB">
        <w:rPr>
          <w:rFonts w:cs="Arial"/>
        </w:rPr>
        <w:t xml:space="preserve">in APTC, and those from PNG </w:t>
      </w:r>
      <w:r>
        <w:rPr>
          <w:rFonts w:cs="Arial"/>
        </w:rPr>
        <w:t xml:space="preserve">(over 7 million people) </w:t>
      </w:r>
      <w:r w:rsidR="00042FA1">
        <w:rPr>
          <w:rFonts w:cs="Arial"/>
        </w:rPr>
        <w:t xml:space="preserve">have a </w:t>
      </w:r>
      <w:r w:rsidRPr="00D17CCB">
        <w:rPr>
          <w:rFonts w:cs="Arial"/>
        </w:rPr>
        <w:t>much lower</w:t>
      </w:r>
      <w:r>
        <w:rPr>
          <w:rFonts w:cs="Arial"/>
        </w:rPr>
        <w:t xml:space="preserve"> participation in relation to </w:t>
      </w:r>
      <w:r w:rsidR="00042FA1">
        <w:rPr>
          <w:rFonts w:cs="Arial"/>
        </w:rPr>
        <w:t xml:space="preserve">their </w:t>
      </w:r>
      <w:r>
        <w:rPr>
          <w:rFonts w:cs="Arial"/>
        </w:rPr>
        <w:t>population</w:t>
      </w:r>
      <w:r w:rsidRPr="00D17CCB">
        <w:rPr>
          <w:rFonts w:cs="Arial"/>
        </w:rPr>
        <w:t>.</w:t>
      </w:r>
    </w:p>
    <w:p w14:paraId="61BE85E0" w14:textId="77777777" w:rsidR="00FC22E6" w:rsidRPr="00D8379D" w:rsidRDefault="00FC22E6" w:rsidP="00FC22E6">
      <w:pPr>
        <w:pStyle w:val="Tableheading"/>
      </w:pPr>
      <w:bookmarkStart w:id="232" w:name="_Toc274059227"/>
      <w:bookmarkStart w:id="233" w:name="_Toc274146435"/>
      <w:bookmarkStart w:id="234" w:name="_Toc274915894"/>
      <w:bookmarkStart w:id="235" w:name="_Toc278446872"/>
      <w:r>
        <w:t xml:space="preserve">Figure 4.1.2: </w:t>
      </w:r>
      <w:r w:rsidRPr="00D8379D">
        <w:t>Ratio of enrolment by nationality to population per country (cumulative enrolment, 2007 to present, per thousand population)</w:t>
      </w:r>
      <w:bookmarkEnd w:id="232"/>
      <w:bookmarkEnd w:id="233"/>
      <w:bookmarkEnd w:id="234"/>
      <w:bookmarkEnd w:id="235"/>
      <w:r w:rsidRPr="00D8379D">
        <w:t xml:space="preserve"> </w:t>
      </w:r>
    </w:p>
    <w:p w14:paraId="6522C6A1" w14:textId="77777777" w:rsidR="00FC22E6" w:rsidRPr="00D17CCB" w:rsidRDefault="00FC22E6" w:rsidP="00FC22E6">
      <w:pPr>
        <w:rPr>
          <w:rFonts w:cs="Arial"/>
        </w:rPr>
      </w:pPr>
      <w:r w:rsidRPr="00D17CCB">
        <w:rPr>
          <w:rFonts w:cs="Arial"/>
          <w:noProof/>
          <w:lang w:eastAsia="en-AU"/>
        </w:rPr>
        <w:drawing>
          <wp:inline distT="0" distB="0" distL="0" distR="0" wp14:anchorId="599CBE80" wp14:editId="6D452929">
            <wp:extent cx="4600575" cy="2696633"/>
            <wp:effectExtent l="25400" t="25400" r="222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2AE9AE" w14:textId="77777777" w:rsidR="00FC22E6" w:rsidRPr="00D8379D" w:rsidRDefault="00FC22E6" w:rsidP="00FC22E6">
      <w:pPr>
        <w:rPr>
          <w:rFonts w:cs="Arial"/>
          <w:sz w:val="16"/>
          <w:szCs w:val="18"/>
        </w:rPr>
      </w:pPr>
      <w:r>
        <w:rPr>
          <w:rFonts w:cs="Arial"/>
          <w:sz w:val="16"/>
          <w:szCs w:val="18"/>
        </w:rPr>
        <w:t xml:space="preserve">Source: </w:t>
      </w:r>
      <w:r w:rsidRPr="00D8379D">
        <w:rPr>
          <w:rFonts w:cs="Arial"/>
          <w:sz w:val="16"/>
          <w:szCs w:val="18"/>
        </w:rPr>
        <w:t xml:space="preserve">Based on APTC Table D.7 and SPC/Prism mid-2013 population estimates.  </w:t>
      </w:r>
    </w:p>
    <w:p w14:paraId="43536DDC" w14:textId="77777777" w:rsidR="00FC22E6" w:rsidRPr="00D17CCB" w:rsidRDefault="00FC22E6" w:rsidP="00FC22E6">
      <w:pPr>
        <w:rPr>
          <w:rFonts w:cs="Arial"/>
        </w:rPr>
      </w:pPr>
      <w:r w:rsidRPr="00D17CCB">
        <w:rPr>
          <w:rFonts w:cs="Arial"/>
        </w:rPr>
        <w:t xml:space="preserve">The following chart shows cumulative enrolment by school and training package. </w:t>
      </w:r>
      <w:r>
        <w:rPr>
          <w:rFonts w:cs="Arial"/>
        </w:rPr>
        <w:t xml:space="preserve">Four training packages account for the bulk of enrolment: community services; tourism and hospitality; metal and engineering; and construction trades. </w:t>
      </w:r>
    </w:p>
    <w:p w14:paraId="72AA6CDC" w14:textId="77777777" w:rsidR="00FC22E6" w:rsidRPr="00D17CCB" w:rsidRDefault="00FC22E6" w:rsidP="00FC22E6">
      <w:pPr>
        <w:pStyle w:val="Tableheading"/>
      </w:pPr>
      <w:bookmarkStart w:id="236" w:name="_Toc274059228"/>
      <w:bookmarkStart w:id="237" w:name="_Toc274146436"/>
      <w:bookmarkStart w:id="238" w:name="_Toc274915895"/>
      <w:bookmarkStart w:id="239" w:name="_Toc278446873"/>
      <w:r>
        <w:t xml:space="preserve">Figure 4.1.3: </w:t>
      </w:r>
      <w:r w:rsidRPr="00CD0FA2">
        <w:rPr>
          <w:bCs/>
        </w:rPr>
        <w:t>Cumulative total enrolment b</w:t>
      </w:r>
      <w:r>
        <w:rPr>
          <w:bCs/>
        </w:rPr>
        <w:t xml:space="preserve">y school and training package, </w:t>
      </w:r>
      <w:r w:rsidR="006D27CB">
        <w:rPr>
          <w:bCs/>
        </w:rPr>
        <w:br/>
      </w:r>
      <w:r w:rsidRPr="00CD0FA2">
        <w:rPr>
          <w:bCs/>
        </w:rPr>
        <w:t>2007 to present</w:t>
      </w:r>
      <w:bookmarkEnd w:id="236"/>
      <w:bookmarkEnd w:id="237"/>
      <w:bookmarkEnd w:id="238"/>
      <w:bookmarkEnd w:id="239"/>
    </w:p>
    <w:p w14:paraId="0F1F1FE6" w14:textId="77777777" w:rsidR="00FC22E6" w:rsidRPr="00D17CCB" w:rsidRDefault="00FC22E6" w:rsidP="00FC22E6">
      <w:pPr>
        <w:rPr>
          <w:rFonts w:cs="Arial"/>
        </w:rPr>
      </w:pPr>
      <w:r w:rsidRPr="00CD0FA2">
        <w:rPr>
          <w:rFonts w:cs="Arial"/>
          <w:b/>
          <w:noProof/>
          <w:lang w:eastAsia="en-AU"/>
        </w:rPr>
        <w:drawing>
          <wp:inline distT="0" distB="0" distL="0" distR="0" wp14:anchorId="11490E72" wp14:editId="3E297184">
            <wp:extent cx="5254202" cy="2980267"/>
            <wp:effectExtent l="0" t="0" r="29210" b="171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17644A" w14:textId="77777777" w:rsidR="00FC22E6" w:rsidRPr="00CD0FA2" w:rsidRDefault="00FC22E6" w:rsidP="00FC22E6">
      <w:pPr>
        <w:rPr>
          <w:rFonts w:cs="Arial"/>
          <w:sz w:val="16"/>
          <w:szCs w:val="18"/>
        </w:rPr>
      </w:pPr>
      <w:r>
        <w:rPr>
          <w:rFonts w:cs="Arial"/>
          <w:sz w:val="16"/>
          <w:szCs w:val="18"/>
        </w:rPr>
        <w:t xml:space="preserve">Source: </w:t>
      </w:r>
      <w:r w:rsidRPr="00CD0FA2">
        <w:rPr>
          <w:rFonts w:cs="Arial"/>
          <w:sz w:val="16"/>
          <w:szCs w:val="18"/>
        </w:rPr>
        <w:t>APTC Table D.1</w:t>
      </w:r>
    </w:p>
    <w:p w14:paraId="746F4B63" w14:textId="06077AB8" w:rsidR="00FC22E6" w:rsidRPr="00D17CCB" w:rsidRDefault="00FC22E6" w:rsidP="00FC22E6">
      <w:pPr>
        <w:rPr>
          <w:rFonts w:cs="Arial"/>
        </w:rPr>
      </w:pPr>
      <w:r w:rsidRPr="00D17CCB">
        <w:rPr>
          <w:rFonts w:cs="Arial"/>
        </w:rPr>
        <w:t>The following chart shows the changes in enrolment by training package between stages.</w:t>
      </w:r>
      <w:r>
        <w:rPr>
          <w:rFonts w:cs="Arial"/>
        </w:rPr>
        <w:t xml:space="preserve"> Community services increased the most, by about 500 students between stages. Compared to Stage I, enrolment in training and education decreased by 160</w:t>
      </w:r>
      <w:r w:rsidR="00C76480">
        <w:rPr>
          <w:rFonts w:cs="Arial"/>
        </w:rPr>
        <w:t> </w:t>
      </w:r>
      <w:r>
        <w:rPr>
          <w:rFonts w:cs="Arial"/>
        </w:rPr>
        <w:t xml:space="preserve">students. Metal and engineering also contracted, decreasing by about 150 students. </w:t>
      </w:r>
      <w:r w:rsidRPr="00FC6A1B">
        <w:rPr>
          <w:rFonts w:cs="Arial"/>
        </w:rPr>
        <w:t xml:space="preserve">Tourism and hospitality </w:t>
      </w:r>
      <w:r>
        <w:rPr>
          <w:rFonts w:cs="Arial"/>
        </w:rPr>
        <w:t xml:space="preserve">registered the greatest decline, </w:t>
      </w:r>
      <w:r w:rsidRPr="00FC6A1B">
        <w:rPr>
          <w:rFonts w:cs="Arial"/>
        </w:rPr>
        <w:t xml:space="preserve">by about 500 students.  </w:t>
      </w:r>
    </w:p>
    <w:p w14:paraId="6CAC135E" w14:textId="77777777" w:rsidR="00FC22E6" w:rsidRPr="00D17CCB" w:rsidRDefault="00FC22E6" w:rsidP="00FC22E6">
      <w:pPr>
        <w:pStyle w:val="Tableheading"/>
      </w:pPr>
      <w:bookmarkStart w:id="240" w:name="_Toc274059229"/>
      <w:bookmarkStart w:id="241" w:name="_Toc274146437"/>
      <w:bookmarkStart w:id="242" w:name="_Toc274915896"/>
      <w:bookmarkStart w:id="243" w:name="_Toc278446874"/>
      <w:r>
        <w:t xml:space="preserve">Figure 4.1.4: </w:t>
      </w:r>
      <w:r w:rsidRPr="00CD0FA2">
        <w:rPr>
          <w:bCs/>
        </w:rPr>
        <w:t>Enrolment by training package and stage</w:t>
      </w:r>
      <w:bookmarkEnd w:id="240"/>
      <w:bookmarkEnd w:id="241"/>
      <w:bookmarkEnd w:id="242"/>
      <w:bookmarkEnd w:id="243"/>
    </w:p>
    <w:p w14:paraId="206FE779" w14:textId="77777777" w:rsidR="00FC22E6" w:rsidRPr="00D17CCB" w:rsidRDefault="00FC22E6" w:rsidP="00FC22E6">
      <w:pPr>
        <w:rPr>
          <w:rFonts w:cs="Arial"/>
        </w:rPr>
      </w:pPr>
      <w:r w:rsidRPr="00D17CCB">
        <w:rPr>
          <w:rFonts w:cs="Arial"/>
          <w:noProof/>
          <w:lang w:eastAsia="en-AU"/>
        </w:rPr>
        <w:drawing>
          <wp:inline distT="0" distB="0" distL="0" distR="0" wp14:anchorId="563FCD08" wp14:editId="5F400E18">
            <wp:extent cx="4695190" cy="2645833"/>
            <wp:effectExtent l="0" t="0" r="29210" b="215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0FDD36" w14:textId="77777777" w:rsidR="00FC22E6" w:rsidRPr="00CD0FA2" w:rsidRDefault="00FC22E6" w:rsidP="00FC22E6">
      <w:pPr>
        <w:rPr>
          <w:rFonts w:cs="Arial"/>
          <w:sz w:val="16"/>
          <w:szCs w:val="18"/>
        </w:rPr>
      </w:pPr>
      <w:r w:rsidRPr="00CD0FA2">
        <w:rPr>
          <w:rFonts w:cs="Arial"/>
          <w:sz w:val="16"/>
          <w:szCs w:val="18"/>
        </w:rPr>
        <w:t>Source: APTC Table D.1</w:t>
      </w:r>
    </w:p>
    <w:p w14:paraId="7BA60255" w14:textId="77777777" w:rsidR="00FC22E6" w:rsidRPr="00D17CCB" w:rsidRDefault="00FC22E6" w:rsidP="00FC22E6">
      <w:pPr>
        <w:rPr>
          <w:rFonts w:cs="Arial"/>
        </w:rPr>
      </w:pPr>
      <w:r w:rsidRPr="00D17CCB">
        <w:rPr>
          <w:rFonts w:cs="Arial"/>
        </w:rPr>
        <w:t>Total enrolment by age group is shown in the following graph.</w:t>
      </w:r>
      <w:r>
        <w:rPr>
          <w:rFonts w:cs="Arial"/>
        </w:rPr>
        <w:t xml:space="preserve"> Students between the ages of 25 and 39 accounted for 60 per cent of the enrolments to date. </w:t>
      </w:r>
    </w:p>
    <w:p w14:paraId="2AB46D0B" w14:textId="184A6D7B" w:rsidR="00FC22E6" w:rsidRPr="00D17CCB" w:rsidRDefault="00FC22E6" w:rsidP="00FC22E6">
      <w:pPr>
        <w:rPr>
          <w:rFonts w:cs="Arial"/>
        </w:rPr>
      </w:pPr>
      <w:r w:rsidRPr="00D17CCB">
        <w:rPr>
          <w:rFonts w:cs="Arial"/>
        </w:rPr>
        <w:t>The age profile changed somewhat between stages and schools</w:t>
      </w:r>
      <w:r>
        <w:rPr>
          <w:rFonts w:cs="Arial"/>
        </w:rPr>
        <w:t>. Students enrolled in STT became noticeably younger</w:t>
      </w:r>
      <w:r w:rsidRPr="00D17CCB">
        <w:rPr>
          <w:rFonts w:cs="Arial"/>
        </w:rPr>
        <w:t xml:space="preserve">, </w:t>
      </w:r>
      <w:r>
        <w:rPr>
          <w:rFonts w:cs="Arial"/>
        </w:rPr>
        <w:t xml:space="preserve">as follows, </w:t>
      </w:r>
      <w:r w:rsidRPr="000C3714">
        <w:rPr>
          <w:rFonts w:cs="Arial"/>
        </w:rPr>
        <w:t>possibly due to the incorporation of New Industry Entrant prog</w:t>
      </w:r>
      <w:r>
        <w:rPr>
          <w:rFonts w:cs="Arial"/>
        </w:rPr>
        <w:t>rams into the training profile</w:t>
      </w:r>
      <w:r w:rsidR="004A6B83">
        <w:rPr>
          <w:rFonts w:cs="Arial"/>
        </w:rPr>
        <w:t>.</w:t>
      </w:r>
    </w:p>
    <w:p w14:paraId="66C81157" w14:textId="77777777" w:rsidR="00FC22E6" w:rsidRPr="00D17CCB" w:rsidRDefault="00FC22E6" w:rsidP="00FC22E6">
      <w:pPr>
        <w:pStyle w:val="Tableheading"/>
      </w:pPr>
      <w:bookmarkStart w:id="244" w:name="_Toc274059230"/>
      <w:bookmarkStart w:id="245" w:name="_Toc274146438"/>
      <w:bookmarkStart w:id="246" w:name="_Toc274915897"/>
      <w:bookmarkStart w:id="247" w:name="_Toc278446875"/>
      <w:r>
        <w:t xml:space="preserve">Figure 4.1.5: </w:t>
      </w:r>
      <w:r w:rsidRPr="000224EA">
        <w:rPr>
          <w:bCs/>
        </w:rPr>
        <w:t>Age distribution of students by school and stage</w:t>
      </w:r>
      <w:bookmarkEnd w:id="244"/>
      <w:bookmarkEnd w:id="245"/>
      <w:bookmarkEnd w:id="246"/>
      <w:bookmarkEnd w:id="247"/>
      <w:r w:rsidRPr="000224EA">
        <w:rPr>
          <w:bCs/>
        </w:rPr>
        <w:t xml:space="preserve"> </w:t>
      </w:r>
    </w:p>
    <w:p w14:paraId="244E2859" w14:textId="77777777" w:rsidR="00FC22E6" w:rsidRDefault="00FC22E6" w:rsidP="00FC22E6">
      <w:pPr>
        <w:rPr>
          <w:rFonts w:cs="Arial"/>
        </w:rPr>
      </w:pPr>
      <w:r w:rsidRPr="00D17CCB">
        <w:rPr>
          <w:rFonts w:cs="Arial"/>
          <w:noProof/>
          <w:lang w:eastAsia="en-AU"/>
        </w:rPr>
        <w:drawing>
          <wp:inline distT="0" distB="0" distL="0" distR="0" wp14:anchorId="4B62B7B6" wp14:editId="3100A667">
            <wp:extent cx="4568402" cy="2404322"/>
            <wp:effectExtent l="0" t="0" r="29210" b="3429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6EADD4" w14:textId="77777777" w:rsidR="00FC22E6" w:rsidRDefault="00FC22E6" w:rsidP="00FC22E6">
      <w:pPr>
        <w:rPr>
          <w:rFonts w:cs="Arial"/>
          <w:sz w:val="16"/>
          <w:szCs w:val="18"/>
        </w:rPr>
      </w:pPr>
      <w:r>
        <w:rPr>
          <w:rFonts w:cs="Arial"/>
          <w:sz w:val="16"/>
          <w:szCs w:val="18"/>
        </w:rPr>
        <w:t xml:space="preserve">Source: </w:t>
      </w:r>
      <w:r w:rsidRPr="000224EA">
        <w:rPr>
          <w:rFonts w:cs="Arial"/>
          <w:sz w:val="16"/>
          <w:szCs w:val="18"/>
        </w:rPr>
        <w:t>APTC Table D.6</w:t>
      </w:r>
    </w:p>
    <w:p w14:paraId="0B2A0EF9" w14:textId="77777777" w:rsidR="001E6FCA" w:rsidRPr="001E6FCA" w:rsidRDefault="001E6FCA" w:rsidP="00FC22E6">
      <w:pPr>
        <w:rPr>
          <w:rFonts w:cs="Arial"/>
          <w:sz w:val="2"/>
          <w:szCs w:val="18"/>
        </w:rPr>
      </w:pPr>
    </w:p>
    <w:p w14:paraId="620F9380" w14:textId="678D1D3A" w:rsidR="003D355F" w:rsidRDefault="002E2759" w:rsidP="002028A6">
      <w:pPr>
        <w:pStyle w:val="Heading2"/>
      </w:pPr>
      <w:bookmarkStart w:id="248" w:name="_Toc274059129"/>
      <w:bookmarkStart w:id="249" w:name="_Toc274145071"/>
      <w:bookmarkStart w:id="250" w:name="_Toc274900455"/>
      <w:bookmarkStart w:id="251" w:name="_Toc278447849"/>
      <w:bookmarkStart w:id="252" w:name="_Toc278453322"/>
      <w:r>
        <w:t xml:space="preserve">4.2 </w:t>
      </w:r>
      <w:r w:rsidR="001E6FCA">
        <w:tab/>
      </w:r>
      <w:r w:rsidR="00FC22E6" w:rsidRPr="00D17CCB">
        <w:t>Current enrolment</w:t>
      </w:r>
      <w:bookmarkEnd w:id="248"/>
      <w:bookmarkEnd w:id="249"/>
      <w:bookmarkEnd w:id="250"/>
      <w:bookmarkEnd w:id="251"/>
      <w:bookmarkEnd w:id="252"/>
    </w:p>
    <w:p w14:paraId="0A9A8E83" w14:textId="77777777" w:rsidR="00FC22E6" w:rsidRDefault="00FC22E6" w:rsidP="00FC22E6">
      <w:pPr>
        <w:rPr>
          <w:rFonts w:cs="Arial"/>
        </w:rPr>
      </w:pPr>
      <w:r>
        <w:rPr>
          <w:rFonts w:cs="Arial"/>
        </w:rPr>
        <w:t>The STT enrolled 55 per cent of the total students in the first semester of 2014, SHCS 33 per cent and common courses 12 per cent. The following chart shows enrolment by school and training package.</w:t>
      </w:r>
    </w:p>
    <w:p w14:paraId="6659F87A" w14:textId="77777777" w:rsidR="00FC22E6" w:rsidRDefault="00FC22E6" w:rsidP="00FC22E6">
      <w:pPr>
        <w:pStyle w:val="Tableheading"/>
      </w:pPr>
      <w:bookmarkStart w:id="253" w:name="_Toc274059231"/>
      <w:bookmarkStart w:id="254" w:name="_Toc274146439"/>
      <w:bookmarkStart w:id="255" w:name="_Toc274915898"/>
      <w:bookmarkStart w:id="256" w:name="_Toc278446876"/>
      <w:r>
        <w:t xml:space="preserve">Figure 4.2.1: </w:t>
      </w:r>
      <w:r w:rsidRPr="000C508A">
        <w:rPr>
          <w:bCs/>
        </w:rPr>
        <w:t xml:space="preserve">Students enrolled by school and training package, </w:t>
      </w:r>
      <w:r>
        <w:rPr>
          <w:bCs/>
        </w:rPr>
        <w:t>S</w:t>
      </w:r>
      <w:r w:rsidRPr="000C508A">
        <w:rPr>
          <w:bCs/>
        </w:rPr>
        <w:t xml:space="preserve">emester </w:t>
      </w:r>
      <w:r>
        <w:rPr>
          <w:bCs/>
        </w:rPr>
        <w:t xml:space="preserve">1, </w:t>
      </w:r>
      <w:r w:rsidRPr="000C508A">
        <w:rPr>
          <w:bCs/>
        </w:rPr>
        <w:t>2014</w:t>
      </w:r>
      <w:bookmarkEnd w:id="253"/>
      <w:bookmarkEnd w:id="254"/>
      <w:bookmarkEnd w:id="255"/>
      <w:bookmarkEnd w:id="256"/>
    </w:p>
    <w:p w14:paraId="249E45B3" w14:textId="77777777" w:rsidR="00FC22E6" w:rsidRDefault="00FC22E6" w:rsidP="00FC22E6">
      <w:pPr>
        <w:rPr>
          <w:rFonts w:cs="Arial"/>
        </w:rPr>
      </w:pPr>
      <w:r>
        <w:rPr>
          <w:noProof/>
          <w:lang w:eastAsia="en-AU"/>
        </w:rPr>
        <w:drawing>
          <wp:inline distT="0" distB="0" distL="0" distR="0" wp14:anchorId="0A40208E" wp14:editId="3AEF3DDD">
            <wp:extent cx="5228802" cy="2768600"/>
            <wp:effectExtent l="0" t="0" r="29210" b="254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E4B4A6" w14:textId="77777777" w:rsidR="00FC22E6" w:rsidRPr="000C508A" w:rsidRDefault="00FC22E6" w:rsidP="00FC22E6">
      <w:pPr>
        <w:rPr>
          <w:rFonts w:cs="Arial"/>
          <w:sz w:val="16"/>
          <w:szCs w:val="18"/>
        </w:rPr>
      </w:pPr>
      <w:r>
        <w:rPr>
          <w:rFonts w:cs="Arial"/>
          <w:sz w:val="16"/>
          <w:szCs w:val="18"/>
        </w:rPr>
        <w:t>Source:</w:t>
      </w:r>
      <w:r w:rsidRPr="000C508A">
        <w:rPr>
          <w:rFonts w:cs="Arial"/>
          <w:sz w:val="16"/>
          <w:szCs w:val="18"/>
        </w:rPr>
        <w:t xml:space="preserve"> APTC Table A.3</w:t>
      </w:r>
    </w:p>
    <w:p w14:paraId="6EF32F3A" w14:textId="77777777" w:rsidR="00FC22E6" w:rsidRDefault="00FC22E6" w:rsidP="00FC22E6">
      <w:pPr>
        <w:rPr>
          <w:rFonts w:cs="Arial"/>
        </w:rPr>
      </w:pPr>
      <w:r>
        <w:rPr>
          <w:rFonts w:cs="Arial"/>
        </w:rPr>
        <w:t>Currently by campus country, Fiji enrols 43.5 per cent of all students, followed by PNG with 19.1 per cent, Samoa with 15.9 per cent, Vanuatu with 13.2 per cent and Solomon Islands with 5.8 per cent.</w:t>
      </w:r>
    </w:p>
    <w:p w14:paraId="0267A5A2" w14:textId="77777777" w:rsidR="00FC22E6" w:rsidRPr="00D17CCB" w:rsidRDefault="00FC22E6" w:rsidP="00FC22E6">
      <w:pPr>
        <w:pStyle w:val="Tableheading"/>
      </w:pPr>
      <w:bookmarkStart w:id="257" w:name="_Toc274059232"/>
      <w:bookmarkStart w:id="258" w:name="_Toc274146440"/>
      <w:bookmarkStart w:id="259" w:name="_Toc274915899"/>
      <w:bookmarkStart w:id="260" w:name="_Toc278446877"/>
      <w:r>
        <w:t xml:space="preserve">Figure 4.2.2: </w:t>
      </w:r>
      <w:r w:rsidRPr="00A00EA3">
        <w:rPr>
          <w:bCs/>
        </w:rPr>
        <w:t xml:space="preserve">Enrolment by campus country, </w:t>
      </w:r>
      <w:r>
        <w:rPr>
          <w:bCs/>
        </w:rPr>
        <w:t>S</w:t>
      </w:r>
      <w:r w:rsidRPr="00A00EA3">
        <w:rPr>
          <w:bCs/>
        </w:rPr>
        <w:t xml:space="preserve">emester </w:t>
      </w:r>
      <w:r>
        <w:rPr>
          <w:bCs/>
        </w:rPr>
        <w:t xml:space="preserve">1, </w:t>
      </w:r>
      <w:r w:rsidRPr="00A00EA3">
        <w:rPr>
          <w:bCs/>
        </w:rPr>
        <w:t>2014</w:t>
      </w:r>
      <w:bookmarkEnd w:id="257"/>
      <w:bookmarkEnd w:id="258"/>
      <w:bookmarkEnd w:id="259"/>
      <w:bookmarkEnd w:id="260"/>
    </w:p>
    <w:p w14:paraId="5D49D825" w14:textId="77777777" w:rsidR="00FC22E6" w:rsidRPr="00D17CCB" w:rsidRDefault="00FC22E6" w:rsidP="00FC22E6">
      <w:pPr>
        <w:rPr>
          <w:rFonts w:cs="Arial"/>
        </w:rPr>
      </w:pPr>
      <w:r w:rsidRPr="00D17CCB">
        <w:rPr>
          <w:rFonts w:cs="Arial"/>
          <w:noProof/>
          <w:lang w:eastAsia="en-AU"/>
        </w:rPr>
        <w:drawing>
          <wp:inline distT="0" distB="0" distL="0" distR="0" wp14:anchorId="474BF358" wp14:editId="47C35441">
            <wp:extent cx="4572000" cy="2429933"/>
            <wp:effectExtent l="25400" t="25400" r="0" b="8467"/>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F5E84B" w14:textId="77777777" w:rsidR="00FC22E6" w:rsidRPr="004A6B83" w:rsidRDefault="00FC22E6" w:rsidP="00FC22E6">
      <w:pPr>
        <w:rPr>
          <w:rFonts w:cs="Arial"/>
          <w:sz w:val="16"/>
          <w:szCs w:val="16"/>
        </w:rPr>
      </w:pPr>
      <w:r w:rsidRPr="004A6B83">
        <w:rPr>
          <w:rFonts w:cs="Arial"/>
          <w:sz w:val="16"/>
          <w:szCs w:val="16"/>
        </w:rPr>
        <w:t>‘Other’ includes courses offered in Kiribati, Palau and Nauru. Source: APTC Table A.3</w:t>
      </w:r>
    </w:p>
    <w:p w14:paraId="5D5BE852" w14:textId="77777777" w:rsidR="009064F7" w:rsidRDefault="009064F7" w:rsidP="00FC22E6">
      <w:pPr>
        <w:rPr>
          <w:rFonts w:cs="Arial"/>
          <w:sz w:val="18"/>
          <w:szCs w:val="18"/>
        </w:rPr>
      </w:pPr>
    </w:p>
    <w:p w14:paraId="710BCD13" w14:textId="151395D7" w:rsidR="009064F7" w:rsidRPr="00C833A7" w:rsidRDefault="009064F7" w:rsidP="009064F7">
      <w:pPr>
        <w:pStyle w:val="Tableheading"/>
      </w:pPr>
      <w:bookmarkStart w:id="261" w:name="_Toc278446878"/>
      <w:r w:rsidRPr="00967DD5">
        <w:t>Figure 4.2.</w:t>
      </w:r>
      <w:r w:rsidRPr="00C833A7">
        <w:t>3: Enrolment in PNG</w:t>
      </w:r>
      <w:r>
        <w:t xml:space="preserve"> by semester, 2007 to mid-2014</w:t>
      </w:r>
      <w:bookmarkEnd w:id="261"/>
    </w:p>
    <w:p w14:paraId="6CC752C7" w14:textId="77777777" w:rsidR="009064F7" w:rsidRDefault="009064F7" w:rsidP="009064F7">
      <w:pPr>
        <w:pStyle w:val="Heading2"/>
      </w:pPr>
      <w:r>
        <w:rPr>
          <w:noProof/>
          <w:lang w:eastAsia="en-AU"/>
        </w:rPr>
        <w:drawing>
          <wp:inline distT="0" distB="0" distL="0" distR="0" wp14:anchorId="3C299FD3" wp14:editId="23E52FF4">
            <wp:extent cx="4572000" cy="2743200"/>
            <wp:effectExtent l="0" t="0" r="1905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BF8651" w14:textId="2A6D765D" w:rsidR="009064F7" w:rsidRPr="008645F0" w:rsidRDefault="009064F7" w:rsidP="008645F0">
      <w:pPr>
        <w:rPr>
          <w:sz w:val="16"/>
        </w:rPr>
      </w:pPr>
      <w:bookmarkStart w:id="262" w:name="_Toc278447850"/>
      <w:bookmarkStart w:id="263" w:name="_Toc278453323"/>
      <w:r w:rsidRPr="008645F0">
        <w:rPr>
          <w:sz w:val="16"/>
        </w:rPr>
        <w:t>Source: APTC Table D.3.</w:t>
      </w:r>
      <w:bookmarkEnd w:id="262"/>
      <w:bookmarkEnd w:id="263"/>
    </w:p>
    <w:p w14:paraId="0F90AC2B" w14:textId="2B6803BE" w:rsidR="009064F7" w:rsidRPr="00C833A7" w:rsidRDefault="009064F7" w:rsidP="009064F7">
      <w:r>
        <w:t xml:space="preserve">Enrolment per semester declined from 221 students in the second semester of 2009 to just an average of 38 in 2012, but re-bounded to 300 students in the first semester of 2013. The main factor responsible was staff attrition between Stages I and II as a result of changes in terms of service. </w:t>
      </w:r>
    </w:p>
    <w:p w14:paraId="29EC8089" w14:textId="77777777" w:rsidR="009064F7" w:rsidRDefault="009064F7" w:rsidP="00FC22E6">
      <w:pPr>
        <w:rPr>
          <w:rFonts w:cs="Arial"/>
          <w:sz w:val="18"/>
          <w:szCs w:val="18"/>
        </w:rPr>
      </w:pPr>
    </w:p>
    <w:p w14:paraId="0717751A" w14:textId="77777777" w:rsidR="00B540B7" w:rsidRPr="00B540B7" w:rsidRDefault="00B540B7" w:rsidP="00FC22E6">
      <w:pPr>
        <w:rPr>
          <w:rFonts w:cs="Arial"/>
          <w:sz w:val="2"/>
        </w:rPr>
      </w:pPr>
    </w:p>
    <w:p w14:paraId="33869FC4" w14:textId="77777777" w:rsidR="009064F7" w:rsidRDefault="009064F7">
      <w:pPr>
        <w:spacing w:after="0"/>
        <w:rPr>
          <w:rFonts w:cs="Arial"/>
          <w:b/>
          <w:bCs/>
          <w:color w:val="76923C"/>
          <w:szCs w:val="28"/>
        </w:rPr>
      </w:pPr>
      <w:bookmarkStart w:id="264" w:name="_Toc274059130"/>
      <w:bookmarkStart w:id="265" w:name="_Toc274145072"/>
      <w:bookmarkStart w:id="266" w:name="_Toc274900456"/>
      <w:r>
        <w:br w:type="page"/>
      </w:r>
    </w:p>
    <w:p w14:paraId="18DD88D3" w14:textId="5064510F" w:rsidR="003D355F" w:rsidRDefault="008D0C55" w:rsidP="002028A6">
      <w:pPr>
        <w:pStyle w:val="Heading2"/>
      </w:pPr>
      <w:bookmarkStart w:id="267" w:name="_Toc278447851"/>
      <w:bookmarkStart w:id="268" w:name="_Toc278453324"/>
      <w:r>
        <w:t xml:space="preserve">4.3 </w:t>
      </w:r>
      <w:r w:rsidR="00B540B7">
        <w:tab/>
      </w:r>
      <w:r w:rsidR="00FC22E6" w:rsidRPr="00D17CCB">
        <w:t>Enrolment by gender</w:t>
      </w:r>
      <w:bookmarkEnd w:id="264"/>
      <w:bookmarkEnd w:id="265"/>
      <w:bookmarkEnd w:id="266"/>
      <w:bookmarkEnd w:id="267"/>
      <w:bookmarkEnd w:id="268"/>
    </w:p>
    <w:p w14:paraId="05D6B8A2" w14:textId="77777777" w:rsidR="00FC22E6" w:rsidRPr="00D17CCB" w:rsidRDefault="00FC22E6" w:rsidP="00FC22E6">
      <w:pPr>
        <w:rPr>
          <w:rFonts w:cs="Arial"/>
        </w:rPr>
      </w:pPr>
      <w:r w:rsidRPr="00D17CCB">
        <w:rPr>
          <w:rFonts w:cs="Arial"/>
        </w:rPr>
        <w:t>Female enrolment comprises 38</w:t>
      </w:r>
      <w:r>
        <w:rPr>
          <w:rFonts w:cs="Arial"/>
        </w:rPr>
        <w:t xml:space="preserve"> per cent</w:t>
      </w:r>
      <w:r w:rsidRPr="00D17CCB">
        <w:rPr>
          <w:rFonts w:cs="Arial"/>
        </w:rPr>
        <w:t xml:space="preserve"> of the total to date, and increased from 36</w:t>
      </w:r>
      <w:r>
        <w:rPr>
          <w:rFonts w:cs="Arial"/>
        </w:rPr>
        <w:t> per cent</w:t>
      </w:r>
      <w:r w:rsidRPr="00D17CCB">
        <w:rPr>
          <w:rFonts w:cs="Arial"/>
        </w:rPr>
        <w:t xml:space="preserve"> in Stage I to 40</w:t>
      </w:r>
      <w:r>
        <w:rPr>
          <w:rFonts w:cs="Arial"/>
        </w:rPr>
        <w:t xml:space="preserve"> per cent</w:t>
      </w:r>
      <w:r w:rsidRPr="00D17CCB">
        <w:rPr>
          <w:rFonts w:cs="Arial"/>
        </w:rPr>
        <w:t xml:space="preserve"> in Stage II.</w:t>
      </w:r>
    </w:p>
    <w:p w14:paraId="1975D840" w14:textId="77777777" w:rsidR="00FC22E6" w:rsidRPr="00D17CCB" w:rsidRDefault="00FC22E6" w:rsidP="00FC22E6">
      <w:pPr>
        <w:pStyle w:val="Tableheading"/>
      </w:pPr>
      <w:bookmarkStart w:id="269" w:name="_Toc274059233"/>
      <w:bookmarkStart w:id="270" w:name="_Toc274146441"/>
      <w:bookmarkStart w:id="271" w:name="_Toc274915900"/>
      <w:bookmarkStart w:id="272" w:name="_Toc278446879"/>
      <w:r>
        <w:t xml:space="preserve">Figure 4.3.1: </w:t>
      </w:r>
      <w:r w:rsidRPr="004574B2">
        <w:rPr>
          <w:bCs/>
        </w:rPr>
        <w:t>Enrolment by gender and stage, 2007 to present</w:t>
      </w:r>
      <w:bookmarkEnd w:id="269"/>
      <w:bookmarkEnd w:id="270"/>
      <w:bookmarkEnd w:id="271"/>
      <w:bookmarkEnd w:id="272"/>
      <w:r w:rsidRPr="004574B2">
        <w:rPr>
          <w:bCs/>
        </w:rPr>
        <w:t xml:space="preserve"> </w:t>
      </w:r>
    </w:p>
    <w:p w14:paraId="58F5C7F8" w14:textId="77777777" w:rsidR="00FC22E6" w:rsidRPr="00D17CCB" w:rsidRDefault="00FC22E6" w:rsidP="00FC22E6">
      <w:pPr>
        <w:rPr>
          <w:rFonts w:cs="Arial"/>
        </w:rPr>
      </w:pPr>
      <w:r w:rsidRPr="00D17CCB">
        <w:rPr>
          <w:rFonts w:cs="Arial"/>
          <w:noProof/>
          <w:lang w:eastAsia="en-AU"/>
        </w:rPr>
        <w:drawing>
          <wp:inline distT="0" distB="0" distL="0" distR="0" wp14:anchorId="2B8420EC" wp14:editId="06EFD960">
            <wp:extent cx="3400425" cy="2095500"/>
            <wp:effectExtent l="25400" t="25400" r="317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056230" w14:textId="77777777" w:rsidR="00FC22E6" w:rsidRPr="00351E7A" w:rsidRDefault="00FC22E6" w:rsidP="00FC22E6">
      <w:pPr>
        <w:rPr>
          <w:rFonts w:cs="Arial"/>
          <w:sz w:val="16"/>
          <w:szCs w:val="18"/>
        </w:rPr>
      </w:pPr>
      <w:r>
        <w:rPr>
          <w:rFonts w:cs="Arial"/>
          <w:sz w:val="16"/>
          <w:szCs w:val="18"/>
        </w:rPr>
        <w:t xml:space="preserve">Source: </w:t>
      </w:r>
      <w:r w:rsidRPr="00351E7A">
        <w:rPr>
          <w:rFonts w:cs="Arial"/>
          <w:sz w:val="16"/>
          <w:szCs w:val="18"/>
        </w:rPr>
        <w:t>APTC Table D2</w:t>
      </w:r>
    </w:p>
    <w:p w14:paraId="530CD1D5" w14:textId="3F142899" w:rsidR="00116A7E" w:rsidRDefault="00594A70" w:rsidP="007D6BB9">
      <w:pPr>
        <w:rPr>
          <w:rFonts w:cs="Arial"/>
          <w:b/>
          <w:color w:val="76923C"/>
          <w:szCs w:val="22"/>
        </w:rPr>
      </w:pPr>
      <w:r>
        <w:rPr>
          <w:rFonts w:cs="Arial"/>
        </w:rPr>
        <w:br/>
      </w:r>
      <w:r w:rsidR="00FC22E6" w:rsidRPr="00D17CCB">
        <w:rPr>
          <w:rFonts w:cs="Arial"/>
        </w:rPr>
        <w:t xml:space="preserve">The following chart shows the proportion of female enrolment by school and common </w:t>
      </w:r>
      <w:r w:rsidR="00FC22E6">
        <w:rPr>
          <w:rFonts w:cs="Arial"/>
        </w:rPr>
        <w:t>course</w:t>
      </w:r>
      <w:r w:rsidR="00FC22E6" w:rsidRPr="00D17CCB">
        <w:rPr>
          <w:rFonts w:cs="Arial"/>
        </w:rPr>
        <w:t>s</w:t>
      </w:r>
      <w:r w:rsidR="00884C20">
        <w:rPr>
          <w:rFonts w:cs="Arial"/>
        </w:rPr>
        <w:t xml:space="preserve"> </w:t>
      </w:r>
      <w:r w:rsidR="00884C20" w:rsidRPr="00884C20">
        <w:rPr>
          <w:rFonts w:cs="Arial"/>
          <w:szCs w:val="22"/>
        </w:rPr>
        <w:t>shared between the two schools</w:t>
      </w:r>
      <w:r w:rsidR="00884C20">
        <w:rPr>
          <w:rFonts w:cs="Arial"/>
          <w:szCs w:val="22"/>
          <w:u w:val="single"/>
        </w:rPr>
        <w:t xml:space="preserve"> </w:t>
      </w:r>
      <w:r w:rsidR="00FC22E6">
        <w:rPr>
          <w:rFonts w:cs="Arial"/>
        </w:rPr>
        <w:t>(i.e. TAE)</w:t>
      </w:r>
      <w:r w:rsidR="00FC22E6" w:rsidRPr="00D17CCB">
        <w:rPr>
          <w:rFonts w:cs="Arial"/>
        </w:rPr>
        <w:t>.</w:t>
      </w:r>
      <w:r w:rsidR="00FC22E6">
        <w:rPr>
          <w:rFonts w:cs="Arial"/>
        </w:rPr>
        <w:t xml:space="preserve"> To date, females account for just under half the enrolments in SHCS and about one quarter of enrolments in STT.</w:t>
      </w:r>
      <w:bookmarkStart w:id="273" w:name="_Toc274059234"/>
      <w:bookmarkStart w:id="274" w:name="_Toc274146442"/>
      <w:bookmarkStart w:id="275" w:name="_Toc274915901"/>
    </w:p>
    <w:p w14:paraId="3147476E" w14:textId="7D236CAB" w:rsidR="00FC22E6" w:rsidRPr="00351E7A" w:rsidRDefault="00FC22E6" w:rsidP="00FC22E6">
      <w:pPr>
        <w:pStyle w:val="Tableheading"/>
        <w:rPr>
          <w:rFonts w:cs="Times New Roman"/>
          <w:color w:val="auto"/>
        </w:rPr>
      </w:pPr>
      <w:bookmarkStart w:id="276" w:name="_Toc278446880"/>
      <w:r>
        <w:t xml:space="preserve">Figure 4.3.2: </w:t>
      </w:r>
      <w:r w:rsidRPr="00351E7A">
        <w:t xml:space="preserve">Females as a </w:t>
      </w:r>
      <w:r w:rsidR="00647AE2">
        <w:t>percentage</w:t>
      </w:r>
      <w:r w:rsidRPr="00351E7A">
        <w:t xml:space="preserve"> of total enrolment by school and stage</w:t>
      </w:r>
      <w:bookmarkEnd w:id="273"/>
      <w:bookmarkEnd w:id="274"/>
      <w:bookmarkEnd w:id="275"/>
      <w:bookmarkEnd w:id="276"/>
    </w:p>
    <w:p w14:paraId="168C0262" w14:textId="77777777" w:rsidR="00FC22E6" w:rsidRPr="00D17CCB" w:rsidRDefault="00FC22E6" w:rsidP="00FC22E6">
      <w:pPr>
        <w:rPr>
          <w:rFonts w:cs="Arial"/>
        </w:rPr>
      </w:pPr>
      <w:r w:rsidRPr="00D17CCB">
        <w:rPr>
          <w:rFonts w:cs="Arial"/>
          <w:noProof/>
          <w:lang w:eastAsia="en-AU"/>
        </w:rPr>
        <w:drawing>
          <wp:inline distT="0" distB="0" distL="0" distR="0" wp14:anchorId="3A72F0F9" wp14:editId="669343AA">
            <wp:extent cx="4572000" cy="2417233"/>
            <wp:effectExtent l="25400" t="2540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441EA7" w14:textId="77777777" w:rsidR="00FC22E6" w:rsidRPr="00351E7A" w:rsidRDefault="00FC22E6" w:rsidP="00FC22E6">
      <w:pPr>
        <w:rPr>
          <w:rFonts w:cs="Arial"/>
          <w:sz w:val="16"/>
          <w:szCs w:val="18"/>
        </w:rPr>
      </w:pPr>
      <w:r>
        <w:rPr>
          <w:rFonts w:cs="Arial"/>
          <w:sz w:val="16"/>
          <w:szCs w:val="18"/>
        </w:rPr>
        <w:t xml:space="preserve">Source: </w:t>
      </w:r>
      <w:r w:rsidRPr="00351E7A">
        <w:rPr>
          <w:rFonts w:cs="Arial"/>
          <w:sz w:val="16"/>
          <w:szCs w:val="18"/>
        </w:rPr>
        <w:t>Ibid.</w:t>
      </w:r>
    </w:p>
    <w:p w14:paraId="49A19651" w14:textId="77777777" w:rsidR="009064F7" w:rsidRDefault="009064F7">
      <w:pPr>
        <w:spacing w:after="0"/>
        <w:rPr>
          <w:rFonts w:cs="Arial"/>
          <w:b/>
          <w:color w:val="76923C"/>
          <w:szCs w:val="22"/>
        </w:rPr>
      </w:pPr>
      <w:bookmarkStart w:id="277" w:name="_Toc274059235"/>
      <w:bookmarkStart w:id="278" w:name="_Toc274146443"/>
      <w:bookmarkStart w:id="279" w:name="_Toc274915902"/>
      <w:r>
        <w:br w:type="page"/>
      </w:r>
    </w:p>
    <w:p w14:paraId="647B84F2" w14:textId="77777777" w:rsidR="00594A70" w:rsidRPr="00D17CCB" w:rsidRDefault="00594A70" w:rsidP="00594A70">
      <w:pPr>
        <w:rPr>
          <w:rFonts w:cs="Arial"/>
        </w:rPr>
      </w:pPr>
      <w:bookmarkStart w:id="280" w:name="_Toc278446881"/>
      <w:r w:rsidRPr="00D17CCB">
        <w:rPr>
          <w:rFonts w:cs="Arial"/>
        </w:rPr>
        <w:t>The following chart shows the distribution of enrolment by training package.</w:t>
      </w:r>
    </w:p>
    <w:p w14:paraId="2A79D548" w14:textId="3584FB18" w:rsidR="00FC22E6" w:rsidRPr="00D17CCB" w:rsidRDefault="00FC22E6" w:rsidP="00FC22E6">
      <w:pPr>
        <w:pStyle w:val="Tableheading"/>
      </w:pPr>
      <w:r w:rsidRPr="00D17CCB">
        <w:t>Figur</w:t>
      </w:r>
      <w:r>
        <w:t xml:space="preserve">e 4.3.3: </w:t>
      </w:r>
      <w:r w:rsidRPr="00351E7A">
        <w:rPr>
          <w:bCs/>
        </w:rPr>
        <w:t xml:space="preserve">Enrolment by gender and training package, 2007 to present </w:t>
      </w:r>
      <w:r>
        <w:rPr>
          <w:bCs/>
        </w:rPr>
        <w:br/>
      </w:r>
      <w:r w:rsidRPr="00351E7A">
        <w:rPr>
          <w:bCs/>
        </w:rPr>
        <w:t>(number of students)</w:t>
      </w:r>
      <w:bookmarkEnd w:id="277"/>
      <w:bookmarkEnd w:id="278"/>
      <w:bookmarkEnd w:id="279"/>
      <w:bookmarkEnd w:id="280"/>
    </w:p>
    <w:p w14:paraId="1EF80140" w14:textId="77777777" w:rsidR="00FC22E6" w:rsidRPr="00D17CCB" w:rsidRDefault="00FC22E6" w:rsidP="00FC22E6">
      <w:pPr>
        <w:rPr>
          <w:rFonts w:cs="Arial"/>
        </w:rPr>
      </w:pPr>
      <w:r w:rsidRPr="00D17CCB">
        <w:rPr>
          <w:rFonts w:cs="Arial"/>
          <w:noProof/>
          <w:lang w:eastAsia="en-AU"/>
        </w:rPr>
        <w:drawing>
          <wp:inline distT="0" distB="0" distL="0" distR="0" wp14:anchorId="3A97CE57" wp14:editId="6CD3A390">
            <wp:extent cx="4924002" cy="2785533"/>
            <wp:effectExtent l="25400" t="25400" r="3598" b="8467"/>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54C2C7" w14:textId="77777777" w:rsidR="00FC22E6" w:rsidRPr="00351E7A" w:rsidRDefault="00FC22E6" w:rsidP="00FC22E6">
      <w:pPr>
        <w:rPr>
          <w:rFonts w:cs="Arial"/>
          <w:sz w:val="16"/>
          <w:szCs w:val="18"/>
        </w:rPr>
      </w:pPr>
      <w:r>
        <w:rPr>
          <w:rFonts w:cs="Arial"/>
          <w:sz w:val="16"/>
          <w:szCs w:val="18"/>
        </w:rPr>
        <w:t xml:space="preserve">Source: </w:t>
      </w:r>
      <w:r w:rsidRPr="00351E7A">
        <w:rPr>
          <w:rFonts w:cs="Arial"/>
          <w:sz w:val="16"/>
          <w:szCs w:val="18"/>
        </w:rPr>
        <w:t>APTC Tables D1, D2</w:t>
      </w:r>
    </w:p>
    <w:p w14:paraId="0F6DA79D" w14:textId="5A1029AD" w:rsidR="00116A7E" w:rsidRDefault="00FC22E6" w:rsidP="007D6BB9">
      <w:pPr>
        <w:rPr>
          <w:rFonts w:cs="Arial"/>
          <w:b/>
          <w:color w:val="76923C"/>
          <w:szCs w:val="22"/>
        </w:rPr>
      </w:pPr>
      <w:r>
        <w:rPr>
          <w:rFonts w:cs="Arial"/>
        </w:rPr>
        <w:t>Female enrolment has been marginal in STT, except for 15 per cent of the total in construction trades</w:t>
      </w:r>
      <w:r w:rsidR="0008617B">
        <w:rPr>
          <w:rFonts w:cs="Arial"/>
        </w:rPr>
        <w:t>, commercial cookery</w:t>
      </w:r>
      <w:r>
        <w:rPr>
          <w:rFonts w:cs="Arial"/>
        </w:rPr>
        <w:t xml:space="preserve"> and in textiles/clothing. </w:t>
      </w:r>
      <w:r w:rsidRPr="000C79D7">
        <w:rPr>
          <w:rFonts w:cs="Arial"/>
        </w:rPr>
        <w:t>STT training packages are typically from traditional trades and most of the</w:t>
      </w:r>
      <w:r>
        <w:rPr>
          <w:rFonts w:cs="Arial"/>
        </w:rPr>
        <w:t xml:space="preserve"> students are existing workers </w:t>
      </w:r>
      <w:r w:rsidRPr="000C79D7">
        <w:rPr>
          <w:rFonts w:cs="Arial"/>
        </w:rPr>
        <w:t>which reflects the employment patterns of the industry</w:t>
      </w:r>
      <w:r>
        <w:rPr>
          <w:rFonts w:cs="Arial"/>
        </w:rPr>
        <w:t>.</w:t>
      </w:r>
      <w:r w:rsidRPr="000C79D7">
        <w:rPr>
          <w:rFonts w:cs="Arial"/>
        </w:rPr>
        <w:t xml:space="preserve"> </w:t>
      </w:r>
      <w:r w:rsidRPr="00D17CCB">
        <w:rPr>
          <w:rFonts w:cs="Arial"/>
        </w:rPr>
        <w:t xml:space="preserve">The following chart shows the proportion of female enrolment by training package. </w:t>
      </w:r>
      <w:bookmarkStart w:id="281" w:name="_Toc274059236"/>
      <w:bookmarkStart w:id="282" w:name="_Toc274146444"/>
      <w:bookmarkStart w:id="283" w:name="_Toc274915903"/>
    </w:p>
    <w:p w14:paraId="2231E272" w14:textId="0500EC15" w:rsidR="00FC22E6" w:rsidRPr="009A0BF2" w:rsidRDefault="00FC22E6" w:rsidP="00FC22E6">
      <w:pPr>
        <w:pStyle w:val="Tableheading"/>
        <w:rPr>
          <w:rFonts w:cs="Times New Roman"/>
          <w:color w:val="auto"/>
        </w:rPr>
      </w:pPr>
      <w:bookmarkStart w:id="284" w:name="_Toc278446882"/>
      <w:r>
        <w:t xml:space="preserve">Figure 4.3.4: </w:t>
      </w:r>
      <w:r w:rsidRPr="009A0BF2">
        <w:t>Female enrolment as a percentage of total enrolment by training package, 2007 to present</w:t>
      </w:r>
      <w:bookmarkEnd w:id="281"/>
      <w:bookmarkEnd w:id="282"/>
      <w:bookmarkEnd w:id="283"/>
      <w:bookmarkEnd w:id="284"/>
    </w:p>
    <w:p w14:paraId="6EC8EB94" w14:textId="77777777" w:rsidR="00FC22E6" w:rsidRPr="00D17CCB" w:rsidRDefault="00FC22E6" w:rsidP="00FC22E6">
      <w:pPr>
        <w:rPr>
          <w:rFonts w:cs="Arial"/>
        </w:rPr>
      </w:pPr>
      <w:r w:rsidRPr="00D17CCB">
        <w:rPr>
          <w:rFonts w:cs="Arial"/>
          <w:noProof/>
          <w:lang w:eastAsia="en-AU"/>
        </w:rPr>
        <w:drawing>
          <wp:inline distT="0" distB="0" distL="0" distR="0" wp14:anchorId="0E36C1DA" wp14:editId="65B78975">
            <wp:extent cx="5153025" cy="3170767"/>
            <wp:effectExtent l="25400" t="25400" r="3175" b="4233"/>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028780" w14:textId="77777777" w:rsidR="00FC22E6" w:rsidRDefault="00FC22E6" w:rsidP="00FC22E6">
      <w:pPr>
        <w:rPr>
          <w:rFonts w:cs="Arial"/>
          <w:sz w:val="16"/>
          <w:szCs w:val="18"/>
        </w:rPr>
      </w:pPr>
      <w:r>
        <w:rPr>
          <w:rFonts w:cs="Arial"/>
          <w:sz w:val="16"/>
          <w:szCs w:val="18"/>
        </w:rPr>
        <w:t xml:space="preserve">Source: </w:t>
      </w:r>
      <w:r w:rsidRPr="009A0BF2">
        <w:rPr>
          <w:rFonts w:cs="Arial"/>
          <w:sz w:val="16"/>
          <w:szCs w:val="18"/>
        </w:rPr>
        <w:t xml:space="preserve">Calculated from </w:t>
      </w:r>
      <w:r>
        <w:rPr>
          <w:rFonts w:cs="Arial"/>
          <w:sz w:val="16"/>
          <w:szCs w:val="18"/>
        </w:rPr>
        <w:t>APTC Tables D1, D2</w:t>
      </w:r>
    </w:p>
    <w:p w14:paraId="3ABFBEEA" w14:textId="6493F782" w:rsidR="00E67162" w:rsidRDefault="00E67162" w:rsidP="00FC22E6">
      <w:pPr>
        <w:rPr>
          <w:rFonts w:cs="Arial"/>
          <w:szCs w:val="22"/>
        </w:rPr>
      </w:pPr>
      <w:r>
        <w:rPr>
          <w:rFonts w:cs="Arial"/>
          <w:szCs w:val="22"/>
        </w:rPr>
        <w:t xml:space="preserve">Table 4.3.1 shows female enrolment in traditionally male-dominated trades. </w:t>
      </w:r>
    </w:p>
    <w:p w14:paraId="6C15D100" w14:textId="1FE8B3BB" w:rsidR="00651C0D" w:rsidRPr="00293E2A" w:rsidRDefault="00E67162" w:rsidP="00293E2A">
      <w:pPr>
        <w:pStyle w:val="Tableheading"/>
        <w:rPr>
          <w:lang w:val="en-US"/>
        </w:rPr>
      </w:pPr>
      <w:bookmarkStart w:id="285" w:name="_Toc278446883"/>
      <w:r>
        <w:rPr>
          <w:lang w:val="en-US"/>
        </w:rPr>
        <w:t>Table 4.3.1</w:t>
      </w:r>
      <w:r w:rsidR="00B47CBE">
        <w:rPr>
          <w:lang w:val="en-US"/>
        </w:rPr>
        <w:t>:</w:t>
      </w:r>
      <w:r w:rsidRPr="00E67162">
        <w:rPr>
          <w:lang w:val="en-US"/>
        </w:rPr>
        <w:t xml:space="preserve"> Females enrolled in traditionally male occupations</w:t>
      </w:r>
      <w:bookmarkEnd w:id="285"/>
      <w:r w:rsidR="00506B59">
        <w:rPr>
          <w:lang w:val="en-US"/>
        </w:rPr>
        <w:fldChar w:fldCharType="begin"/>
      </w:r>
      <w:r w:rsidR="00506B59">
        <w:rPr>
          <w:lang w:val="en-US"/>
        </w:rPr>
        <w:instrText xml:space="preserve"> LINK </w:instrText>
      </w:r>
      <w:r w:rsidR="00166A83">
        <w:rPr>
          <w:lang w:val="en-US"/>
        </w:rPr>
        <w:instrText xml:space="preserve">Excel.Sheet.12 "C:\\Users\\Richard\\Desktop\\Documents\\AAA-APTC Australia-Pacific Technical College\\Data tables\\Evaluation Team Data Code AND Finance Additions AND HR V1 150714.xlsx" "summary f in m trades!R2C1:R25C7" </w:instrText>
      </w:r>
      <w:r w:rsidR="00506B59">
        <w:rPr>
          <w:lang w:val="en-US"/>
        </w:rPr>
        <w:instrText xml:space="preserve">\a \f 5 \h  \* MERGEFORMAT </w:instrText>
      </w:r>
      <w:r w:rsidR="00506B59">
        <w:rPr>
          <w:lang w:val="en-US"/>
        </w:rPr>
        <w:fldChar w:fldCharType="separat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2"/>
        <w:gridCol w:w="807"/>
        <w:gridCol w:w="851"/>
        <w:gridCol w:w="850"/>
        <w:gridCol w:w="851"/>
        <w:gridCol w:w="850"/>
        <w:gridCol w:w="993"/>
      </w:tblGrid>
      <w:tr w:rsidR="00651C0D" w:rsidRPr="00D31C7B" w14:paraId="03BB7D83" w14:textId="77777777" w:rsidTr="00120DB1">
        <w:trPr>
          <w:divId w:val="1706055103"/>
          <w:trHeight w:val="20"/>
        </w:trPr>
        <w:tc>
          <w:tcPr>
            <w:tcW w:w="3162" w:type="dxa"/>
            <w:vMerge w:val="restart"/>
            <w:shd w:val="clear" w:color="auto" w:fill="C5E0B3" w:themeFill="accent6" w:themeFillTint="66"/>
            <w:noWrap/>
            <w:hideMark/>
          </w:tcPr>
          <w:p w14:paraId="18595CA8" w14:textId="77777777" w:rsidR="00651C0D" w:rsidRPr="000859B4" w:rsidRDefault="00651C0D" w:rsidP="000859B4">
            <w:pPr>
              <w:rPr>
                <w:rFonts w:cs="Arial"/>
                <w:b/>
                <w:bCs/>
                <w:sz w:val="18"/>
                <w:szCs w:val="18"/>
                <w:lang w:eastAsia="en-AU"/>
              </w:rPr>
            </w:pPr>
            <w:r w:rsidRPr="000859B4">
              <w:rPr>
                <w:rFonts w:cs="Arial"/>
                <w:b/>
                <w:bCs/>
                <w:sz w:val="18"/>
                <w:szCs w:val="18"/>
              </w:rPr>
              <w:t>Training</w:t>
            </w:r>
            <w:r w:rsidRPr="000859B4">
              <w:rPr>
                <w:rFonts w:cs="Arial"/>
                <w:b/>
                <w:bCs/>
                <w:sz w:val="18"/>
                <w:szCs w:val="18"/>
                <w:lang w:eastAsia="en-AU"/>
              </w:rPr>
              <w:t xml:space="preserve"> package and qualification</w:t>
            </w:r>
          </w:p>
        </w:tc>
        <w:tc>
          <w:tcPr>
            <w:tcW w:w="2508" w:type="dxa"/>
            <w:gridSpan w:val="3"/>
            <w:shd w:val="clear" w:color="auto" w:fill="C5E0B3" w:themeFill="accent6" w:themeFillTint="66"/>
            <w:noWrap/>
            <w:hideMark/>
          </w:tcPr>
          <w:p w14:paraId="37446024" w14:textId="77777777" w:rsidR="00651C0D" w:rsidRPr="000859B4" w:rsidRDefault="00651C0D" w:rsidP="00E04778">
            <w:pPr>
              <w:jc w:val="center"/>
              <w:rPr>
                <w:rFonts w:cs="Arial"/>
                <w:b/>
                <w:sz w:val="18"/>
                <w:szCs w:val="18"/>
              </w:rPr>
            </w:pPr>
            <w:r w:rsidRPr="000859B4">
              <w:rPr>
                <w:rFonts w:cs="Arial"/>
                <w:b/>
                <w:sz w:val="18"/>
                <w:szCs w:val="18"/>
              </w:rPr>
              <w:t>Female enrolment</w:t>
            </w:r>
          </w:p>
        </w:tc>
        <w:tc>
          <w:tcPr>
            <w:tcW w:w="851" w:type="dxa"/>
            <w:vMerge w:val="restart"/>
            <w:shd w:val="clear" w:color="auto" w:fill="C5E0B3" w:themeFill="accent6" w:themeFillTint="66"/>
            <w:hideMark/>
          </w:tcPr>
          <w:p w14:paraId="55290704" w14:textId="77777777" w:rsidR="00651C0D" w:rsidRPr="000859B4" w:rsidRDefault="00651C0D" w:rsidP="000859B4">
            <w:pPr>
              <w:rPr>
                <w:rFonts w:cs="Arial"/>
                <w:b/>
                <w:bCs/>
                <w:sz w:val="18"/>
                <w:szCs w:val="18"/>
              </w:rPr>
            </w:pPr>
            <w:r w:rsidRPr="000859B4">
              <w:rPr>
                <w:rFonts w:cs="Arial"/>
                <w:b/>
                <w:bCs/>
                <w:sz w:val="18"/>
                <w:szCs w:val="18"/>
              </w:rPr>
              <w:t>% of female total enrol-ment</w:t>
            </w:r>
          </w:p>
        </w:tc>
        <w:tc>
          <w:tcPr>
            <w:tcW w:w="850" w:type="dxa"/>
            <w:vMerge w:val="restart"/>
            <w:shd w:val="clear" w:color="auto" w:fill="C5E0B3" w:themeFill="accent6" w:themeFillTint="66"/>
            <w:hideMark/>
          </w:tcPr>
          <w:p w14:paraId="21FEF84D" w14:textId="77777777" w:rsidR="00651C0D" w:rsidRPr="000859B4" w:rsidRDefault="00651C0D" w:rsidP="000859B4">
            <w:pPr>
              <w:rPr>
                <w:rFonts w:cs="Arial"/>
                <w:b/>
                <w:bCs/>
                <w:sz w:val="18"/>
                <w:szCs w:val="18"/>
              </w:rPr>
            </w:pPr>
            <w:r w:rsidRPr="000859B4">
              <w:rPr>
                <w:rFonts w:cs="Arial"/>
                <w:b/>
                <w:bCs/>
                <w:sz w:val="18"/>
                <w:szCs w:val="18"/>
              </w:rPr>
              <w:t>Total enrol-ment to date (M+F)</w:t>
            </w:r>
          </w:p>
        </w:tc>
        <w:tc>
          <w:tcPr>
            <w:tcW w:w="993" w:type="dxa"/>
            <w:vMerge w:val="restart"/>
            <w:shd w:val="clear" w:color="auto" w:fill="C5E0B3" w:themeFill="accent6" w:themeFillTint="66"/>
            <w:hideMark/>
          </w:tcPr>
          <w:p w14:paraId="4D885F43" w14:textId="77777777" w:rsidR="00651C0D" w:rsidRPr="000859B4" w:rsidRDefault="00651C0D" w:rsidP="000859B4">
            <w:pPr>
              <w:rPr>
                <w:rFonts w:cs="Arial"/>
                <w:b/>
                <w:bCs/>
                <w:sz w:val="18"/>
                <w:szCs w:val="18"/>
              </w:rPr>
            </w:pPr>
            <w:r w:rsidRPr="000859B4">
              <w:rPr>
                <w:rFonts w:cs="Arial"/>
                <w:b/>
                <w:bCs/>
                <w:sz w:val="18"/>
                <w:szCs w:val="18"/>
              </w:rPr>
              <w:t>Female as % total enrol-ment (M+F)</w:t>
            </w:r>
          </w:p>
        </w:tc>
      </w:tr>
      <w:tr w:rsidR="00651C0D" w:rsidRPr="00D31C7B" w14:paraId="3316F81C" w14:textId="77777777" w:rsidTr="00120DB1">
        <w:trPr>
          <w:divId w:val="1706055103"/>
          <w:trHeight w:val="327"/>
        </w:trPr>
        <w:tc>
          <w:tcPr>
            <w:tcW w:w="3162" w:type="dxa"/>
            <w:vMerge/>
            <w:hideMark/>
          </w:tcPr>
          <w:p w14:paraId="4ACABAD8" w14:textId="77777777" w:rsidR="00651C0D" w:rsidRPr="000859B4" w:rsidRDefault="00651C0D">
            <w:pPr>
              <w:rPr>
                <w:rFonts w:cs="Arial"/>
                <w:b/>
                <w:bCs/>
                <w:sz w:val="18"/>
                <w:szCs w:val="18"/>
              </w:rPr>
            </w:pPr>
          </w:p>
        </w:tc>
        <w:tc>
          <w:tcPr>
            <w:tcW w:w="807" w:type="dxa"/>
            <w:vMerge w:val="restart"/>
            <w:shd w:val="clear" w:color="auto" w:fill="C5E0B3" w:themeFill="accent6" w:themeFillTint="66"/>
            <w:hideMark/>
          </w:tcPr>
          <w:p w14:paraId="5E6EC968" w14:textId="6927A349" w:rsidR="00651C0D" w:rsidRPr="000859B4" w:rsidRDefault="00651C0D" w:rsidP="00120DB1">
            <w:pPr>
              <w:rPr>
                <w:rFonts w:cs="Arial"/>
                <w:b/>
                <w:bCs/>
                <w:sz w:val="18"/>
                <w:szCs w:val="18"/>
              </w:rPr>
            </w:pPr>
            <w:r w:rsidRPr="000859B4">
              <w:rPr>
                <w:rFonts w:cs="Arial"/>
                <w:b/>
                <w:bCs/>
                <w:sz w:val="18"/>
                <w:szCs w:val="18"/>
              </w:rPr>
              <w:t xml:space="preserve">Total Stage </w:t>
            </w:r>
            <w:r w:rsidR="00120DB1">
              <w:rPr>
                <w:rFonts w:cs="Arial"/>
                <w:b/>
                <w:bCs/>
                <w:sz w:val="18"/>
                <w:szCs w:val="18"/>
              </w:rPr>
              <w:t>I</w:t>
            </w:r>
          </w:p>
        </w:tc>
        <w:tc>
          <w:tcPr>
            <w:tcW w:w="851" w:type="dxa"/>
            <w:vMerge w:val="restart"/>
            <w:shd w:val="clear" w:color="auto" w:fill="C5E0B3" w:themeFill="accent6" w:themeFillTint="66"/>
            <w:hideMark/>
          </w:tcPr>
          <w:p w14:paraId="5B318BEC" w14:textId="6BCF10FA" w:rsidR="00651C0D" w:rsidRPr="000859B4" w:rsidRDefault="00651C0D" w:rsidP="00120DB1">
            <w:pPr>
              <w:rPr>
                <w:rFonts w:cs="Arial"/>
                <w:b/>
                <w:bCs/>
                <w:sz w:val="18"/>
                <w:szCs w:val="18"/>
              </w:rPr>
            </w:pPr>
            <w:r w:rsidRPr="000859B4">
              <w:rPr>
                <w:rFonts w:cs="Arial"/>
                <w:b/>
                <w:bCs/>
                <w:sz w:val="18"/>
                <w:szCs w:val="18"/>
              </w:rPr>
              <w:t xml:space="preserve">Total Stage </w:t>
            </w:r>
            <w:r w:rsidR="00120DB1">
              <w:rPr>
                <w:rFonts w:cs="Arial"/>
                <w:b/>
                <w:bCs/>
                <w:sz w:val="18"/>
                <w:szCs w:val="18"/>
              </w:rPr>
              <w:t>II</w:t>
            </w:r>
            <w:r w:rsidRPr="000859B4">
              <w:rPr>
                <w:rFonts w:cs="Arial"/>
                <w:b/>
                <w:bCs/>
                <w:sz w:val="18"/>
                <w:szCs w:val="18"/>
              </w:rPr>
              <w:t xml:space="preserve">  to mid-2014</w:t>
            </w:r>
          </w:p>
        </w:tc>
        <w:tc>
          <w:tcPr>
            <w:tcW w:w="850" w:type="dxa"/>
            <w:vMerge w:val="restart"/>
            <w:tcBorders>
              <w:right w:val="single" w:sz="4" w:space="0" w:color="A8D08D" w:themeColor="accent6" w:themeTint="99"/>
            </w:tcBorders>
            <w:shd w:val="clear" w:color="auto" w:fill="C5E0B3" w:themeFill="accent6" w:themeFillTint="66"/>
            <w:hideMark/>
          </w:tcPr>
          <w:p w14:paraId="16D1C137" w14:textId="77777777" w:rsidR="00651C0D" w:rsidRPr="000859B4" w:rsidRDefault="00651C0D" w:rsidP="000859B4">
            <w:pPr>
              <w:rPr>
                <w:rFonts w:cs="Arial"/>
                <w:b/>
                <w:bCs/>
                <w:sz w:val="18"/>
                <w:szCs w:val="18"/>
              </w:rPr>
            </w:pPr>
            <w:r w:rsidRPr="000859B4">
              <w:rPr>
                <w:rFonts w:cs="Arial"/>
                <w:b/>
                <w:bCs/>
                <w:sz w:val="18"/>
                <w:szCs w:val="18"/>
              </w:rPr>
              <w:t>Total to mid-2014</w:t>
            </w:r>
          </w:p>
        </w:tc>
        <w:tc>
          <w:tcPr>
            <w:tcW w:w="851" w:type="dxa"/>
            <w:vMerge/>
            <w:tcBorders>
              <w:left w:val="single" w:sz="4" w:space="0" w:color="A8D08D" w:themeColor="accent6" w:themeTint="99"/>
            </w:tcBorders>
            <w:hideMark/>
          </w:tcPr>
          <w:p w14:paraId="07EE24B7" w14:textId="77777777" w:rsidR="00651C0D" w:rsidRPr="000859B4" w:rsidRDefault="00651C0D">
            <w:pPr>
              <w:rPr>
                <w:rFonts w:cs="Arial"/>
                <w:b/>
                <w:bCs/>
                <w:sz w:val="18"/>
                <w:szCs w:val="18"/>
              </w:rPr>
            </w:pPr>
          </w:p>
        </w:tc>
        <w:tc>
          <w:tcPr>
            <w:tcW w:w="850" w:type="dxa"/>
            <w:vMerge/>
            <w:hideMark/>
          </w:tcPr>
          <w:p w14:paraId="560329C4" w14:textId="77777777" w:rsidR="00651C0D" w:rsidRPr="000859B4" w:rsidRDefault="00651C0D">
            <w:pPr>
              <w:rPr>
                <w:rFonts w:cs="Arial"/>
                <w:b/>
                <w:bCs/>
                <w:sz w:val="18"/>
                <w:szCs w:val="18"/>
              </w:rPr>
            </w:pPr>
          </w:p>
        </w:tc>
        <w:tc>
          <w:tcPr>
            <w:tcW w:w="993" w:type="dxa"/>
            <w:vMerge/>
            <w:hideMark/>
          </w:tcPr>
          <w:p w14:paraId="52662143" w14:textId="77777777" w:rsidR="00651C0D" w:rsidRPr="000859B4" w:rsidRDefault="00651C0D">
            <w:pPr>
              <w:rPr>
                <w:rFonts w:cs="Arial"/>
                <w:b/>
                <w:bCs/>
                <w:sz w:val="18"/>
                <w:szCs w:val="18"/>
              </w:rPr>
            </w:pPr>
          </w:p>
        </w:tc>
      </w:tr>
      <w:tr w:rsidR="00651C0D" w:rsidRPr="00D31C7B" w14:paraId="5775E07D" w14:textId="77777777" w:rsidTr="00120DB1">
        <w:trPr>
          <w:divId w:val="1706055103"/>
          <w:trHeight w:val="327"/>
        </w:trPr>
        <w:tc>
          <w:tcPr>
            <w:tcW w:w="3162" w:type="dxa"/>
            <w:vMerge/>
            <w:hideMark/>
          </w:tcPr>
          <w:p w14:paraId="13390BD0" w14:textId="77777777" w:rsidR="00651C0D" w:rsidRPr="000859B4" w:rsidRDefault="00651C0D">
            <w:pPr>
              <w:rPr>
                <w:rFonts w:cs="Arial"/>
                <w:b/>
                <w:bCs/>
                <w:sz w:val="18"/>
                <w:szCs w:val="18"/>
              </w:rPr>
            </w:pPr>
          </w:p>
        </w:tc>
        <w:tc>
          <w:tcPr>
            <w:tcW w:w="807" w:type="dxa"/>
            <w:vMerge/>
            <w:shd w:val="clear" w:color="auto" w:fill="C5E0B3" w:themeFill="accent6" w:themeFillTint="66"/>
            <w:hideMark/>
          </w:tcPr>
          <w:p w14:paraId="0E86E28A" w14:textId="77777777" w:rsidR="00651C0D" w:rsidRPr="000859B4" w:rsidRDefault="00651C0D">
            <w:pPr>
              <w:rPr>
                <w:rFonts w:cs="Arial"/>
                <w:b/>
                <w:bCs/>
                <w:sz w:val="18"/>
                <w:szCs w:val="18"/>
              </w:rPr>
            </w:pPr>
          </w:p>
        </w:tc>
        <w:tc>
          <w:tcPr>
            <w:tcW w:w="851" w:type="dxa"/>
            <w:vMerge/>
            <w:shd w:val="clear" w:color="auto" w:fill="C5E0B3" w:themeFill="accent6" w:themeFillTint="66"/>
            <w:hideMark/>
          </w:tcPr>
          <w:p w14:paraId="67AD6F8B" w14:textId="77777777" w:rsidR="00651C0D" w:rsidRPr="000859B4" w:rsidRDefault="00651C0D">
            <w:pPr>
              <w:rPr>
                <w:rFonts w:cs="Arial"/>
                <w:b/>
                <w:bCs/>
                <w:sz w:val="18"/>
                <w:szCs w:val="18"/>
              </w:rPr>
            </w:pPr>
          </w:p>
        </w:tc>
        <w:tc>
          <w:tcPr>
            <w:tcW w:w="850" w:type="dxa"/>
            <w:vMerge/>
            <w:tcBorders>
              <w:right w:val="single" w:sz="4" w:space="0" w:color="A8D08D" w:themeColor="accent6" w:themeTint="99"/>
            </w:tcBorders>
            <w:shd w:val="clear" w:color="auto" w:fill="C5E0B3" w:themeFill="accent6" w:themeFillTint="66"/>
            <w:hideMark/>
          </w:tcPr>
          <w:p w14:paraId="039D162B" w14:textId="77777777" w:rsidR="00651C0D" w:rsidRPr="000859B4" w:rsidRDefault="00651C0D">
            <w:pPr>
              <w:rPr>
                <w:rFonts w:cs="Arial"/>
                <w:b/>
                <w:bCs/>
                <w:sz w:val="18"/>
                <w:szCs w:val="18"/>
              </w:rPr>
            </w:pPr>
          </w:p>
        </w:tc>
        <w:tc>
          <w:tcPr>
            <w:tcW w:w="851" w:type="dxa"/>
            <w:vMerge/>
            <w:tcBorders>
              <w:left w:val="single" w:sz="4" w:space="0" w:color="A8D08D" w:themeColor="accent6" w:themeTint="99"/>
            </w:tcBorders>
            <w:hideMark/>
          </w:tcPr>
          <w:p w14:paraId="3C682DF6" w14:textId="77777777" w:rsidR="00651C0D" w:rsidRPr="000859B4" w:rsidRDefault="00651C0D">
            <w:pPr>
              <w:rPr>
                <w:rFonts w:cs="Arial"/>
                <w:b/>
                <w:bCs/>
                <w:sz w:val="18"/>
                <w:szCs w:val="18"/>
              </w:rPr>
            </w:pPr>
          </w:p>
        </w:tc>
        <w:tc>
          <w:tcPr>
            <w:tcW w:w="850" w:type="dxa"/>
            <w:vMerge/>
            <w:hideMark/>
          </w:tcPr>
          <w:p w14:paraId="03B81501" w14:textId="77777777" w:rsidR="00651C0D" w:rsidRPr="000859B4" w:rsidRDefault="00651C0D">
            <w:pPr>
              <w:rPr>
                <w:rFonts w:cs="Arial"/>
                <w:b/>
                <w:bCs/>
                <w:sz w:val="18"/>
                <w:szCs w:val="18"/>
              </w:rPr>
            </w:pPr>
          </w:p>
        </w:tc>
        <w:tc>
          <w:tcPr>
            <w:tcW w:w="993" w:type="dxa"/>
            <w:vMerge/>
            <w:hideMark/>
          </w:tcPr>
          <w:p w14:paraId="480A8AA6" w14:textId="77777777" w:rsidR="00651C0D" w:rsidRPr="000859B4" w:rsidRDefault="00651C0D">
            <w:pPr>
              <w:rPr>
                <w:rFonts w:cs="Arial"/>
                <w:b/>
                <w:bCs/>
                <w:sz w:val="18"/>
                <w:szCs w:val="18"/>
              </w:rPr>
            </w:pPr>
          </w:p>
        </w:tc>
      </w:tr>
      <w:tr w:rsidR="00120DB1" w:rsidRPr="00D31C7B" w14:paraId="6D44F843" w14:textId="77777777" w:rsidTr="00AB0732">
        <w:trPr>
          <w:divId w:val="1706055103"/>
          <w:trHeight w:val="20"/>
        </w:trPr>
        <w:tc>
          <w:tcPr>
            <w:tcW w:w="3162" w:type="dxa"/>
            <w:shd w:val="clear" w:color="auto" w:fill="E2EFD9" w:themeFill="accent6" w:themeFillTint="33"/>
            <w:noWrap/>
            <w:hideMark/>
          </w:tcPr>
          <w:p w14:paraId="6032019C" w14:textId="03CF0B38" w:rsidR="00651C0D" w:rsidRPr="000859B4" w:rsidRDefault="00651C0D" w:rsidP="00120DB1">
            <w:pPr>
              <w:spacing w:before="20" w:after="20"/>
              <w:rPr>
                <w:rFonts w:cs="Arial"/>
                <w:b/>
                <w:bCs/>
                <w:sz w:val="18"/>
                <w:szCs w:val="18"/>
              </w:rPr>
            </w:pPr>
            <w:r w:rsidRPr="000859B4">
              <w:rPr>
                <w:rFonts w:cs="Arial"/>
                <w:b/>
                <w:bCs/>
                <w:sz w:val="18"/>
                <w:szCs w:val="18"/>
              </w:rPr>
              <w:t>Automotive</w:t>
            </w:r>
            <w:r w:rsidR="00293E2A">
              <w:rPr>
                <w:rFonts w:cs="Arial"/>
                <w:b/>
                <w:bCs/>
                <w:sz w:val="18"/>
                <w:szCs w:val="18"/>
              </w:rPr>
              <w:t xml:space="preserve"> </w:t>
            </w:r>
            <w:r w:rsidRPr="000859B4">
              <w:rPr>
                <w:rFonts w:cs="Arial"/>
                <w:b/>
                <w:bCs/>
                <w:sz w:val="18"/>
                <w:szCs w:val="18"/>
              </w:rPr>
              <w:t>- total</w:t>
            </w:r>
          </w:p>
        </w:tc>
        <w:tc>
          <w:tcPr>
            <w:tcW w:w="807" w:type="dxa"/>
            <w:shd w:val="clear" w:color="auto" w:fill="E2EFD9" w:themeFill="accent6" w:themeFillTint="33"/>
            <w:noWrap/>
            <w:hideMark/>
          </w:tcPr>
          <w:p w14:paraId="7974B494"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3</w:t>
            </w:r>
          </w:p>
        </w:tc>
        <w:tc>
          <w:tcPr>
            <w:tcW w:w="851" w:type="dxa"/>
            <w:shd w:val="clear" w:color="auto" w:fill="E2EFD9" w:themeFill="accent6" w:themeFillTint="33"/>
            <w:noWrap/>
            <w:hideMark/>
          </w:tcPr>
          <w:p w14:paraId="0D409C16"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4</w:t>
            </w:r>
          </w:p>
        </w:tc>
        <w:tc>
          <w:tcPr>
            <w:tcW w:w="850" w:type="dxa"/>
            <w:tcBorders>
              <w:right w:val="single" w:sz="4" w:space="0" w:color="A8D08D" w:themeColor="accent6" w:themeTint="99"/>
            </w:tcBorders>
            <w:shd w:val="clear" w:color="auto" w:fill="E2EFD9" w:themeFill="accent6" w:themeFillTint="33"/>
            <w:noWrap/>
            <w:hideMark/>
          </w:tcPr>
          <w:p w14:paraId="02B0B750"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7</w:t>
            </w:r>
          </w:p>
        </w:tc>
        <w:tc>
          <w:tcPr>
            <w:tcW w:w="851" w:type="dxa"/>
            <w:tcBorders>
              <w:left w:val="single" w:sz="4" w:space="0" w:color="A8D08D" w:themeColor="accent6" w:themeTint="99"/>
            </w:tcBorders>
            <w:shd w:val="clear" w:color="auto" w:fill="E2EFD9" w:themeFill="accent6" w:themeFillTint="33"/>
            <w:noWrap/>
            <w:hideMark/>
          </w:tcPr>
          <w:p w14:paraId="507517D5" w14:textId="3CE25AE8" w:rsidR="00651C0D" w:rsidRPr="000859B4" w:rsidRDefault="00F40D37" w:rsidP="00120DB1">
            <w:pPr>
              <w:spacing w:before="20" w:after="20"/>
              <w:jc w:val="center"/>
              <w:rPr>
                <w:rFonts w:cs="Arial"/>
                <w:b/>
                <w:bCs/>
                <w:sz w:val="18"/>
                <w:szCs w:val="18"/>
                <w:lang w:eastAsia="en-AU"/>
              </w:rPr>
            </w:pPr>
            <w:r>
              <w:rPr>
                <w:rFonts w:cs="Arial"/>
                <w:b/>
                <w:bCs/>
                <w:sz w:val="18"/>
                <w:szCs w:val="18"/>
              </w:rPr>
              <w:t>2</w:t>
            </w:r>
          </w:p>
        </w:tc>
        <w:tc>
          <w:tcPr>
            <w:tcW w:w="850" w:type="dxa"/>
            <w:shd w:val="clear" w:color="auto" w:fill="E2EFD9" w:themeFill="accent6" w:themeFillTint="33"/>
            <w:noWrap/>
            <w:hideMark/>
          </w:tcPr>
          <w:p w14:paraId="372020D2"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419</w:t>
            </w:r>
          </w:p>
        </w:tc>
        <w:tc>
          <w:tcPr>
            <w:tcW w:w="993" w:type="dxa"/>
            <w:shd w:val="clear" w:color="auto" w:fill="E2EFD9" w:themeFill="accent6" w:themeFillTint="33"/>
            <w:noWrap/>
            <w:hideMark/>
          </w:tcPr>
          <w:p w14:paraId="6697EBFB" w14:textId="28088328" w:rsidR="00651C0D" w:rsidRPr="000859B4" w:rsidRDefault="00F40D37" w:rsidP="00120DB1">
            <w:pPr>
              <w:spacing w:before="20" w:after="20"/>
              <w:jc w:val="center"/>
              <w:rPr>
                <w:rFonts w:cs="Arial"/>
                <w:b/>
                <w:bCs/>
                <w:sz w:val="18"/>
                <w:szCs w:val="18"/>
                <w:lang w:eastAsia="en-AU"/>
              </w:rPr>
            </w:pPr>
            <w:r>
              <w:rPr>
                <w:rFonts w:cs="Arial"/>
                <w:b/>
                <w:bCs/>
                <w:sz w:val="18"/>
                <w:szCs w:val="18"/>
              </w:rPr>
              <w:t>2</w:t>
            </w:r>
          </w:p>
        </w:tc>
      </w:tr>
      <w:tr w:rsidR="00120DB1" w:rsidRPr="00D31C7B" w14:paraId="55EB67F5" w14:textId="77777777" w:rsidTr="00120DB1">
        <w:trPr>
          <w:divId w:val="1706055103"/>
          <w:trHeight w:val="20"/>
        </w:trPr>
        <w:tc>
          <w:tcPr>
            <w:tcW w:w="3162" w:type="dxa"/>
            <w:noWrap/>
            <w:hideMark/>
          </w:tcPr>
          <w:p w14:paraId="09F51AC1" w14:textId="77777777" w:rsidR="00651C0D" w:rsidRPr="000859B4" w:rsidRDefault="00651C0D" w:rsidP="00120DB1">
            <w:pPr>
              <w:spacing w:before="20" w:after="20"/>
              <w:rPr>
                <w:rFonts w:cs="Arial"/>
                <w:sz w:val="18"/>
                <w:szCs w:val="18"/>
              </w:rPr>
            </w:pPr>
            <w:r w:rsidRPr="000859B4">
              <w:rPr>
                <w:rFonts w:cs="Arial"/>
                <w:sz w:val="18"/>
                <w:szCs w:val="18"/>
              </w:rPr>
              <w:t xml:space="preserve">Cert. II- Automotive Servicing     </w:t>
            </w:r>
          </w:p>
        </w:tc>
        <w:tc>
          <w:tcPr>
            <w:tcW w:w="807" w:type="dxa"/>
            <w:noWrap/>
            <w:hideMark/>
          </w:tcPr>
          <w:p w14:paraId="1B100DB2" w14:textId="77777777" w:rsidR="00651C0D" w:rsidRPr="000859B4" w:rsidRDefault="00651C0D" w:rsidP="00120DB1">
            <w:pPr>
              <w:spacing w:before="20" w:after="20"/>
              <w:jc w:val="center"/>
              <w:rPr>
                <w:rFonts w:cs="Arial"/>
                <w:sz w:val="18"/>
                <w:szCs w:val="18"/>
              </w:rPr>
            </w:pPr>
          </w:p>
        </w:tc>
        <w:tc>
          <w:tcPr>
            <w:tcW w:w="851" w:type="dxa"/>
            <w:noWrap/>
            <w:hideMark/>
          </w:tcPr>
          <w:p w14:paraId="51EA2640" w14:textId="77777777" w:rsidR="00651C0D" w:rsidRPr="000859B4" w:rsidRDefault="00651C0D" w:rsidP="00120DB1">
            <w:pPr>
              <w:spacing w:before="20" w:after="20"/>
              <w:jc w:val="center"/>
              <w:rPr>
                <w:rFonts w:cs="Arial"/>
                <w:sz w:val="18"/>
                <w:szCs w:val="18"/>
              </w:rPr>
            </w:pPr>
            <w:r w:rsidRPr="000859B4">
              <w:rPr>
                <w:rFonts w:cs="Arial"/>
                <w:sz w:val="18"/>
                <w:szCs w:val="18"/>
              </w:rPr>
              <w:t>1</w:t>
            </w:r>
          </w:p>
        </w:tc>
        <w:tc>
          <w:tcPr>
            <w:tcW w:w="850" w:type="dxa"/>
            <w:tcBorders>
              <w:right w:val="single" w:sz="4" w:space="0" w:color="A8D08D" w:themeColor="accent6" w:themeTint="99"/>
            </w:tcBorders>
            <w:noWrap/>
            <w:hideMark/>
          </w:tcPr>
          <w:p w14:paraId="1ECA551F" w14:textId="77777777" w:rsidR="00651C0D" w:rsidRPr="000859B4" w:rsidRDefault="00651C0D" w:rsidP="00120DB1">
            <w:pPr>
              <w:spacing w:before="20" w:after="20"/>
              <w:jc w:val="center"/>
              <w:rPr>
                <w:rFonts w:cs="Arial"/>
                <w:sz w:val="18"/>
                <w:szCs w:val="18"/>
              </w:rPr>
            </w:pPr>
            <w:r w:rsidRPr="000859B4">
              <w:rPr>
                <w:rFonts w:cs="Arial"/>
                <w:sz w:val="18"/>
                <w:szCs w:val="18"/>
              </w:rPr>
              <w:t>1</w:t>
            </w:r>
          </w:p>
        </w:tc>
        <w:tc>
          <w:tcPr>
            <w:tcW w:w="851" w:type="dxa"/>
            <w:tcBorders>
              <w:left w:val="single" w:sz="4" w:space="0" w:color="A8D08D" w:themeColor="accent6" w:themeTint="99"/>
            </w:tcBorders>
            <w:noWrap/>
            <w:hideMark/>
          </w:tcPr>
          <w:p w14:paraId="53304101" w14:textId="77777777" w:rsidR="00651C0D" w:rsidRPr="000859B4" w:rsidRDefault="00651C0D" w:rsidP="00120DB1">
            <w:pPr>
              <w:spacing w:before="20" w:after="20"/>
              <w:jc w:val="center"/>
              <w:rPr>
                <w:rFonts w:cs="Arial"/>
                <w:sz w:val="18"/>
                <w:szCs w:val="18"/>
              </w:rPr>
            </w:pPr>
          </w:p>
        </w:tc>
        <w:tc>
          <w:tcPr>
            <w:tcW w:w="850" w:type="dxa"/>
            <w:noWrap/>
            <w:hideMark/>
          </w:tcPr>
          <w:p w14:paraId="7D3AACC9" w14:textId="77777777" w:rsidR="00651C0D" w:rsidRPr="000859B4" w:rsidRDefault="00651C0D" w:rsidP="00120DB1">
            <w:pPr>
              <w:spacing w:before="20" w:after="20"/>
              <w:jc w:val="center"/>
              <w:rPr>
                <w:rFonts w:cs="Arial"/>
                <w:sz w:val="18"/>
                <w:szCs w:val="18"/>
              </w:rPr>
            </w:pPr>
            <w:r w:rsidRPr="000859B4">
              <w:rPr>
                <w:rFonts w:cs="Arial"/>
                <w:sz w:val="18"/>
                <w:szCs w:val="18"/>
              </w:rPr>
              <w:t>53</w:t>
            </w:r>
          </w:p>
        </w:tc>
        <w:tc>
          <w:tcPr>
            <w:tcW w:w="993" w:type="dxa"/>
            <w:noWrap/>
            <w:hideMark/>
          </w:tcPr>
          <w:p w14:paraId="4F038AA9" w14:textId="30A8C9DA" w:rsidR="00651C0D" w:rsidRPr="00F40D37" w:rsidRDefault="00F40D37" w:rsidP="00120DB1">
            <w:pPr>
              <w:spacing w:before="20" w:after="20"/>
              <w:jc w:val="center"/>
              <w:rPr>
                <w:rFonts w:cs="Arial"/>
                <w:bCs/>
                <w:sz w:val="18"/>
                <w:szCs w:val="18"/>
                <w:lang w:eastAsia="en-AU"/>
              </w:rPr>
            </w:pPr>
            <w:r w:rsidRPr="00F40D37">
              <w:rPr>
                <w:rFonts w:cs="Arial"/>
                <w:bCs/>
                <w:sz w:val="18"/>
                <w:szCs w:val="18"/>
              </w:rPr>
              <w:t>2</w:t>
            </w:r>
          </w:p>
        </w:tc>
      </w:tr>
      <w:tr w:rsidR="00120DB1" w:rsidRPr="00D31C7B" w14:paraId="397E7271" w14:textId="77777777" w:rsidTr="00AB0732">
        <w:trPr>
          <w:divId w:val="1706055103"/>
          <w:trHeight w:val="20"/>
        </w:trPr>
        <w:tc>
          <w:tcPr>
            <w:tcW w:w="3162" w:type="dxa"/>
            <w:noWrap/>
            <w:hideMark/>
          </w:tcPr>
          <w:p w14:paraId="430017CB" w14:textId="77777777" w:rsidR="00651C0D" w:rsidRPr="000859B4" w:rsidRDefault="00651C0D" w:rsidP="00120DB1">
            <w:pPr>
              <w:spacing w:before="20" w:after="20"/>
              <w:rPr>
                <w:rFonts w:cs="Arial"/>
                <w:sz w:val="18"/>
                <w:szCs w:val="18"/>
              </w:rPr>
            </w:pPr>
            <w:r w:rsidRPr="000859B4">
              <w:rPr>
                <w:rFonts w:cs="Arial"/>
                <w:sz w:val="18"/>
                <w:szCs w:val="18"/>
              </w:rPr>
              <w:t xml:space="preserve">Cert. III- Automotive Mechanical </w:t>
            </w:r>
          </w:p>
        </w:tc>
        <w:tc>
          <w:tcPr>
            <w:tcW w:w="807" w:type="dxa"/>
            <w:noWrap/>
            <w:hideMark/>
          </w:tcPr>
          <w:p w14:paraId="759D8EE6" w14:textId="77777777" w:rsidR="00651C0D" w:rsidRPr="000859B4" w:rsidRDefault="00651C0D" w:rsidP="00120DB1">
            <w:pPr>
              <w:spacing w:before="20" w:after="20"/>
              <w:jc w:val="center"/>
              <w:rPr>
                <w:rFonts w:cs="Arial"/>
                <w:sz w:val="18"/>
                <w:szCs w:val="18"/>
              </w:rPr>
            </w:pPr>
            <w:r w:rsidRPr="000859B4">
              <w:rPr>
                <w:rFonts w:cs="Arial"/>
                <w:sz w:val="18"/>
                <w:szCs w:val="18"/>
              </w:rPr>
              <w:t>3</w:t>
            </w:r>
          </w:p>
        </w:tc>
        <w:tc>
          <w:tcPr>
            <w:tcW w:w="851" w:type="dxa"/>
            <w:noWrap/>
            <w:hideMark/>
          </w:tcPr>
          <w:p w14:paraId="38800AB0" w14:textId="77777777" w:rsidR="00651C0D" w:rsidRPr="000859B4" w:rsidRDefault="00651C0D" w:rsidP="00120DB1">
            <w:pPr>
              <w:spacing w:before="20" w:after="20"/>
              <w:jc w:val="center"/>
              <w:rPr>
                <w:rFonts w:cs="Arial"/>
                <w:sz w:val="18"/>
                <w:szCs w:val="18"/>
              </w:rPr>
            </w:pPr>
            <w:r w:rsidRPr="000859B4">
              <w:rPr>
                <w:rFonts w:cs="Arial"/>
                <w:sz w:val="18"/>
                <w:szCs w:val="18"/>
              </w:rPr>
              <w:t>3</w:t>
            </w:r>
          </w:p>
        </w:tc>
        <w:tc>
          <w:tcPr>
            <w:tcW w:w="850" w:type="dxa"/>
            <w:tcBorders>
              <w:right w:val="single" w:sz="4" w:space="0" w:color="A8D08D" w:themeColor="accent6" w:themeTint="99"/>
            </w:tcBorders>
            <w:noWrap/>
            <w:hideMark/>
          </w:tcPr>
          <w:p w14:paraId="2326C274" w14:textId="77777777" w:rsidR="00651C0D" w:rsidRPr="000859B4" w:rsidRDefault="00651C0D" w:rsidP="00120DB1">
            <w:pPr>
              <w:spacing w:before="20" w:after="20"/>
              <w:jc w:val="center"/>
              <w:rPr>
                <w:rFonts w:cs="Arial"/>
                <w:sz w:val="18"/>
                <w:szCs w:val="18"/>
              </w:rPr>
            </w:pPr>
            <w:r w:rsidRPr="000859B4">
              <w:rPr>
                <w:rFonts w:cs="Arial"/>
                <w:sz w:val="18"/>
                <w:szCs w:val="18"/>
              </w:rPr>
              <w:t>6</w:t>
            </w:r>
          </w:p>
        </w:tc>
        <w:tc>
          <w:tcPr>
            <w:tcW w:w="851" w:type="dxa"/>
            <w:tcBorders>
              <w:left w:val="single" w:sz="4" w:space="0" w:color="A8D08D" w:themeColor="accent6" w:themeTint="99"/>
            </w:tcBorders>
            <w:noWrap/>
            <w:hideMark/>
          </w:tcPr>
          <w:p w14:paraId="20FE9EAE" w14:textId="77777777" w:rsidR="00651C0D" w:rsidRPr="000859B4" w:rsidRDefault="00651C0D" w:rsidP="00120DB1">
            <w:pPr>
              <w:spacing w:before="20" w:after="20"/>
              <w:jc w:val="center"/>
              <w:rPr>
                <w:rFonts w:cs="Arial"/>
                <w:sz w:val="18"/>
                <w:szCs w:val="18"/>
              </w:rPr>
            </w:pPr>
          </w:p>
        </w:tc>
        <w:tc>
          <w:tcPr>
            <w:tcW w:w="850" w:type="dxa"/>
            <w:noWrap/>
            <w:hideMark/>
          </w:tcPr>
          <w:p w14:paraId="631A3813" w14:textId="77777777" w:rsidR="00651C0D" w:rsidRPr="000859B4" w:rsidRDefault="00651C0D" w:rsidP="00120DB1">
            <w:pPr>
              <w:spacing w:before="20" w:after="20"/>
              <w:jc w:val="center"/>
              <w:rPr>
                <w:rFonts w:cs="Arial"/>
                <w:sz w:val="18"/>
                <w:szCs w:val="18"/>
              </w:rPr>
            </w:pPr>
            <w:r w:rsidRPr="000859B4">
              <w:rPr>
                <w:rFonts w:cs="Arial"/>
                <w:sz w:val="18"/>
                <w:szCs w:val="18"/>
              </w:rPr>
              <w:t>366</w:t>
            </w:r>
          </w:p>
        </w:tc>
        <w:tc>
          <w:tcPr>
            <w:tcW w:w="993" w:type="dxa"/>
            <w:noWrap/>
            <w:hideMark/>
          </w:tcPr>
          <w:p w14:paraId="7FE619F3" w14:textId="7F91A2DE" w:rsidR="00651C0D" w:rsidRPr="00F40D37" w:rsidRDefault="00F40D37" w:rsidP="00120DB1">
            <w:pPr>
              <w:spacing w:before="20" w:after="20"/>
              <w:jc w:val="center"/>
              <w:rPr>
                <w:rFonts w:cs="Arial"/>
                <w:bCs/>
                <w:sz w:val="18"/>
                <w:szCs w:val="18"/>
                <w:lang w:eastAsia="en-AU"/>
              </w:rPr>
            </w:pPr>
            <w:r w:rsidRPr="00F40D37">
              <w:rPr>
                <w:rFonts w:cs="Arial"/>
                <w:bCs/>
                <w:sz w:val="18"/>
                <w:szCs w:val="18"/>
              </w:rPr>
              <w:t>2</w:t>
            </w:r>
          </w:p>
        </w:tc>
      </w:tr>
      <w:tr w:rsidR="00120DB1" w:rsidRPr="00293E2A" w14:paraId="4B780C40" w14:textId="77777777" w:rsidTr="00AB0732">
        <w:trPr>
          <w:divId w:val="1706055103"/>
          <w:trHeight w:val="20"/>
        </w:trPr>
        <w:tc>
          <w:tcPr>
            <w:tcW w:w="3162" w:type="dxa"/>
            <w:shd w:val="clear" w:color="auto" w:fill="E2EFD9" w:themeFill="accent6" w:themeFillTint="33"/>
            <w:noWrap/>
            <w:hideMark/>
          </w:tcPr>
          <w:p w14:paraId="42F939EF" w14:textId="38EE1000" w:rsidR="00651C0D" w:rsidRPr="00293E2A" w:rsidRDefault="00651C0D" w:rsidP="00293E2A">
            <w:pPr>
              <w:spacing w:before="20" w:after="20"/>
              <w:rPr>
                <w:rFonts w:cs="Arial"/>
                <w:b/>
                <w:sz w:val="18"/>
                <w:szCs w:val="18"/>
              </w:rPr>
            </w:pPr>
            <w:r w:rsidRPr="00293E2A">
              <w:rPr>
                <w:rFonts w:cs="Arial"/>
                <w:b/>
                <w:sz w:val="18"/>
                <w:szCs w:val="18"/>
              </w:rPr>
              <w:t>Tourism</w:t>
            </w:r>
            <w:r w:rsidRPr="00293E2A">
              <w:rPr>
                <w:rFonts w:cs="Arial"/>
                <w:b/>
                <w:bCs/>
                <w:sz w:val="18"/>
                <w:szCs w:val="18"/>
              </w:rPr>
              <w:t xml:space="preserve"> &amp; </w:t>
            </w:r>
            <w:r w:rsidR="00293E2A" w:rsidRPr="00293E2A">
              <w:rPr>
                <w:rFonts w:cs="Arial"/>
                <w:b/>
                <w:bCs/>
                <w:sz w:val="18"/>
                <w:szCs w:val="18"/>
              </w:rPr>
              <w:t>H</w:t>
            </w:r>
            <w:r w:rsidRPr="00293E2A">
              <w:rPr>
                <w:rFonts w:cs="Arial"/>
                <w:b/>
                <w:bCs/>
                <w:sz w:val="18"/>
                <w:szCs w:val="18"/>
              </w:rPr>
              <w:t>ospitality</w:t>
            </w:r>
            <w:r w:rsidR="00293E2A">
              <w:rPr>
                <w:rFonts w:cs="Arial"/>
                <w:b/>
                <w:bCs/>
                <w:sz w:val="18"/>
                <w:szCs w:val="18"/>
              </w:rPr>
              <w:t xml:space="preserve"> </w:t>
            </w:r>
            <w:r w:rsidRPr="00293E2A">
              <w:rPr>
                <w:rFonts w:cs="Arial"/>
                <w:b/>
                <w:bCs/>
                <w:sz w:val="18"/>
                <w:szCs w:val="18"/>
              </w:rPr>
              <w:t>- total</w:t>
            </w:r>
          </w:p>
        </w:tc>
        <w:tc>
          <w:tcPr>
            <w:tcW w:w="807" w:type="dxa"/>
            <w:shd w:val="clear" w:color="auto" w:fill="E2EFD9" w:themeFill="accent6" w:themeFillTint="33"/>
            <w:noWrap/>
            <w:hideMark/>
          </w:tcPr>
          <w:p w14:paraId="6E305A57" w14:textId="77777777" w:rsidR="00651C0D" w:rsidRPr="00293E2A" w:rsidRDefault="00651C0D" w:rsidP="00120DB1">
            <w:pPr>
              <w:spacing w:before="20" w:after="20"/>
              <w:jc w:val="center"/>
              <w:rPr>
                <w:rFonts w:cs="Arial"/>
                <w:b/>
                <w:bCs/>
                <w:sz w:val="18"/>
                <w:szCs w:val="18"/>
              </w:rPr>
            </w:pPr>
            <w:r w:rsidRPr="00293E2A">
              <w:rPr>
                <w:rFonts w:cs="Arial"/>
                <w:b/>
                <w:bCs/>
                <w:sz w:val="18"/>
                <w:szCs w:val="18"/>
              </w:rPr>
              <w:t>134</w:t>
            </w:r>
          </w:p>
        </w:tc>
        <w:tc>
          <w:tcPr>
            <w:tcW w:w="851" w:type="dxa"/>
            <w:shd w:val="clear" w:color="auto" w:fill="E2EFD9" w:themeFill="accent6" w:themeFillTint="33"/>
            <w:noWrap/>
            <w:hideMark/>
          </w:tcPr>
          <w:p w14:paraId="5006B79C" w14:textId="77777777" w:rsidR="00651C0D" w:rsidRPr="00293E2A" w:rsidRDefault="00651C0D" w:rsidP="00120DB1">
            <w:pPr>
              <w:spacing w:before="20" w:after="20"/>
              <w:jc w:val="center"/>
              <w:rPr>
                <w:rFonts w:cs="Arial"/>
                <w:b/>
                <w:bCs/>
                <w:sz w:val="18"/>
                <w:szCs w:val="18"/>
              </w:rPr>
            </w:pPr>
            <w:r w:rsidRPr="00293E2A">
              <w:rPr>
                <w:rFonts w:cs="Arial"/>
                <w:b/>
                <w:bCs/>
                <w:sz w:val="18"/>
                <w:szCs w:val="18"/>
              </w:rPr>
              <w:t>75</w:t>
            </w:r>
          </w:p>
        </w:tc>
        <w:tc>
          <w:tcPr>
            <w:tcW w:w="850" w:type="dxa"/>
            <w:shd w:val="clear" w:color="auto" w:fill="E2EFD9" w:themeFill="accent6" w:themeFillTint="33"/>
            <w:noWrap/>
            <w:hideMark/>
          </w:tcPr>
          <w:p w14:paraId="2CBECD31" w14:textId="77777777" w:rsidR="00651C0D" w:rsidRPr="00293E2A" w:rsidRDefault="00651C0D" w:rsidP="00120DB1">
            <w:pPr>
              <w:spacing w:before="20" w:after="20"/>
              <w:jc w:val="center"/>
              <w:rPr>
                <w:rFonts w:cs="Arial"/>
                <w:b/>
                <w:bCs/>
                <w:sz w:val="18"/>
                <w:szCs w:val="18"/>
              </w:rPr>
            </w:pPr>
            <w:r w:rsidRPr="00293E2A">
              <w:rPr>
                <w:rFonts w:cs="Arial"/>
                <w:b/>
                <w:bCs/>
                <w:sz w:val="18"/>
                <w:szCs w:val="18"/>
              </w:rPr>
              <w:t>209</w:t>
            </w:r>
          </w:p>
        </w:tc>
        <w:tc>
          <w:tcPr>
            <w:tcW w:w="851" w:type="dxa"/>
            <w:shd w:val="clear" w:color="auto" w:fill="E2EFD9" w:themeFill="accent6" w:themeFillTint="33"/>
            <w:noWrap/>
            <w:hideMark/>
          </w:tcPr>
          <w:p w14:paraId="2ED28B65" w14:textId="19E32AA1" w:rsidR="00651C0D" w:rsidRPr="00293E2A" w:rsidRDefault="00F40D37" w:rsidP="00120DB1">
            <w:pPr>
              <w:spacing w:before="20" w:after="20"/>
              <w:jc w:val="center"/>
              <w:rPr>
                <w:rFonts w:cs="Arial"/>
                <w:b/>
                <w:bCs/>
                <w:sz w:val="18"/>
                <w:szCs w:val="18"/>
                <w:lang w:eastAsia="en-AU"/>
              </w:rPr>
            </w:pPr>
            <w:r>
              <w:rPr>
                <w:rFonts w:cs="Arial"/>
                <w:b/>
                <w:bCs/>
                <w:sz w:val="18"/>
                <w:szCs w:val="18"/>
              </w:rPr>
              <w:t>48</w:t>
            </w:r>
          </w:p>
        </w:tc>
        <w:tc>
          <w:tcPr>
            <w:tcW w:w="850" w:type="dxa"/>
            <w:shd w:val="clear" w:color="auto" w:fill="E2EFD9" w:themeFill="accent6" w:themeFillTint="33"/>
            <w:noWrap/>
            <w:hideMark/>
          </w:tcPr>
          <w:p w14:paraId="5E3A7D2D" w14:textId="77777777" w:rsidR="00651C0D" w:rsidRPr="00293E2A" w:rsidRDefault="00651C0D" w:rsidP="00120DB1">
            <w:pPr>
              <w:spacing w:before="20" w:after="20"/>
              <w:jc w:val="center"/>
              <w:rPr>
                <w:rFonts w:cs="Arial"/>
                <w:b/>
                <w:bCs/>
                <w:sz w:val="18"/>
                <w:szCs w:val="18"/>
              </w:rPr>
            </w:pPr>
            <w:r w:rsidRPr="00293E2A">
              <w:rPr>
                <w:rFonts w:cs="Arial"/>
                <w:b/>
                <w:bCs/>
                <w:sz w:val="18"/>
                <w:szCs w:val="18"/>
              </w:rPr>
              <w:t>615</w:t>
            </w:r>
          </w:p>
        </w:tc>
        <w:tc>
          <w:tcPr>
            <w:tcW w:w="993" w:type="dxa"/>
            <w:shd w:val="clear" w:color="auto" w:fill="E2EFD9" w:themeFill="accent6" w:themeFillTint="33"/>
            <w:noWrap/>
            <w:hideMark/>
          </w:tcPr>
          <w:p w14:paraId="04E11F3D" w14:textId="63C75138" w:rsidR="00651C0D" w:rsidRPr="00293E2A" w:rsidRDefault="00F40D37" w:rsidP="00120DB1">
            <w:pPr>
              <w:spacing w:before="20" w:after="20"/>
              <w:jc w:val="center"/>
              <w:rPr>
                <w:rFonts w:cs="Arial"/>
                <w:b/>
                <w:bCs/>
                <w:sz w:val="18"/>
                <w:szCs w:val="18"/>
                <w:lang w:eastAsia="en-AU"/>
              </w:rPr>
            </w:pPr>
            <w:r>
              <w:rPr>
                <w:rFonts w:cs="Arial"/>
                <w:b/>
                <w:bCs/>
                <w:sz w:val="18"/>
                <w:szCs w:val="18"/>
              </w:rPr>
              <w:t>34</w:t>
            </w:r>
          </w:p>
        </w:tc>
      </w:tr>
      <w:tr w:rsidR="00120DB1" w:rsidRPr="00D31C7B" w14:paraId="750BB3C0" w14:textId="77777777" w:rsidTr="00AB0732">
        <w:trPr>
          <w:divId w:val="1706055103"/>
          <w:trHeight w:val="20"/>
        </w:trPr>
        <w:tc>
          <w:tcPr>
            <w:tcW w:w="3162" w:type="dxa"/>
            <w:noWrap/>
            <w:hideMark/>
          </w:tcPr>
          <w:p w14:paraId="577AC9B7" w14:textId="77777777" w:rsidR="00651C0D" w:rsidRPr="000859B4" w:rsidRDefault="00651C0D" w:rsidP="00120DB1">
            <w:pPr>
              <w:spacing w:before="20" w:after="20"/>
              <w:rPr>
                <w:rFonts w:cs="Arial"/>
                <w:sz w:val="18"/>
                <w:szCs w:val="18"/>
              </w:rPr>
            </w:pPr>
            <w:r w:rsidRPr="000859B4">
              <w:rPr>
                <w:rFonts w:cs="Arial"/>
                <w:sz w:val="18"/>
                <w:szCs w:val="18"/>
              </w:rPr>
              <w:t>Cert. III- Commercial Cookery</w:t>
            </w:r>
          </w:p>
        </w:tc>
        <w:tc>
          <w:tcPr>
            <w:tcW w:w="807" w:type="dxa"/>
            <w:noWrap/>
            <w:hideMark/>
          </w:tcPr>
          <w:p w14:paraId="1C9962D9" w14:textId="77777777" w:rsidR="00651C0D" w:rsidRPr="000859B4" w:rsidRDefault="00651C0D" w:rsidP="00120DB1">
            <w:pPr>
              <w:spacing w:before="20" w:after="20"/>
              <w:jc w:val="center"/>
              <w:rPr>
                <w:rFonts w:cs="Arial"/>
                <w:sz w:val="18"/>
                <w:szCs w:val="18"/>
              </w:rPr>
            </w:pPr>
            <w:r w:rsidRPr="000859B4">
              <w:rPr>
                <w:rFonts w:cs="Arial"/>
                <w:sz w:val="18"/>
                <w:szCs w:val="18"/>
              </w:rPr>
              <w:t>134</w:t>
            </w:r>
          </w:p>
        </w:tc>
        <w:tc>
          <w:tcPr>
            <w:tcW w:w="851" w:type="dxa"/>
            <w:noWrap/>
            <w:hideMark/>
          </w:tcPr>
          <w:p w14:paraId="4371F1DA" w14:textId="77777777" w:rsidR="00651C0D" w:rsidRPr="000859B4" w:rsidRDefault="00651C0D" w:rsidP="00120DB1">
            <w:pPr>
              <w:spacing w:before="20" w:after="20"/>
              <w:jc w:val="center"/>
              <w:rPr>
                <w:rFonts w:cs="Arial"/>
                <w:sz w:val="18"/>
                <w:szCs w:val="18"/>
              </w:rPr>
            </w:pPr>
            <w:r w:rsidRPr="000859B4">
              <w:rPr>
                <w:rFonts w:cs="Arial"/>
                <w:sz w:val="18"/>
                <w:szCs w:val="18"/>
              </w:rPr>
              <w:t>75</w:t>
            </w:r>
          </w:p>
        </w:tc>
        <w:tc>
          <w:tcPr>
            <w:tcW w:w="850" w:type="dxa"/>
            <w:tcBorders>
              <w:right w:val="single" w:sz="4" w:space="0" w:color="A8D08D" w:themeColor="accent6" w:themeTint="99"/>
            </w:tcBorders>
            <w:noWrap/>
            <w:hideMark/>
          </w:tcPr>
          <w:p w14:paraId="05581BEE" w14:textId="77777777" w:rsidR="00651C0D" w:rsidRPr="000859B4" w:rsidRDefault="00651C0D" w:rsidP="00120DB1">
            <w:pPr>
              <w:spacing w:before="20" w:after="20"/>
              <w:jc w:val="center"/>
              <w:rPr>
                <w:rFonts w:cs="Arial"/>
                <w:sz w:val="18"/>
                <w:szCs w:val="18"/>
              </w:rPr>
            </w:pPr>
            <w:r w:rsidRPr="000859B4">
              <w:rPr>
                <w:rFonts w:cs="Arial"/>
                <w:sz w:val="18"/>
                <w:szCs w:val="18"/>
              </w:rPr>
              <w:t>209</w:t>
            </w:r>
          </w:p>
        </w:tc>
        <w:tc>
          <w:tcPr>
            <w:tcW w:w="851" w:type="dxa"/>
            <w:tcBorders>
              <w:left w:val="single" w:sz="4" w:space="0" w:color="A8D08D" w:themeColor="accent6" w:themeTint="99"/>
            </w:tcBorders>
            <w:noWrap/>
            <w:hideMark/>
          </w:tcPr>
          <w:p w14:paraId="203423DF" w14:textId="77777777" w:rsidR="00651C0D" w:rsidRPr="000859B4" w:rsidRDefault="00651C0D" w:rsidP="00120DB1">
            <w:pPr>
              <w:spacing w:before="20" w:after="20"/>
              <w:jc w:val="center"/>
              <w:rPr>
                <w:rFonts w:cs="Arial"/>
                <w:sz w:val="18"/>
                <w:szCs w:val="18"/>
              </w:rPr>
            </w:pPr>
          </w:p>
        </w:tc>
        <w:tc>
          <w:tcPr>
            <w:tcW w:w="850" w:type="dxa"/>
            <w:noWrap/>
            <w:hideMark/>
          </w:tcPr>
          <w:p w14:paraId="0B50F483" w14:textId="77777777" w:rsidR="00651C0D" w:rsidRPr="000859B4" w:rsidRDefault="00651C0D" w:rsidP="00120DB1">
            <w:pPr>
              <w:spacing w:before="20" w:after="20"/>
              <w:jc w:val="center"/>
              <w:rPr>
                <w:rFonts w:cs="Arial"/>
                <w:sz w:val="18"/>
                <w:szCs w:val="18"/>
              </w:rPr>
            </w:pPr>
            <w:r w:rsidRPr="000859B4">
              <w:rPr>
                <w:rFonts w:cs="Arial"/>
                <w:sz w:val="18"/>
                <w:szCs w:val="18"/>
              </w:rPr>
              <w:t>615</w:t>
            </w:r>
          </w:p>
        </w:tc>
        <w:tc>
          <w:tcPr>
            <w:tcW w:w="993" w:type="dxa"/>
            <w:noWrap/>
            <w:hideMark/>
          </w:tcPr>
          <w:p w14:paraId="3BC0F88B" w14:textId="0B895F5B" w:rsidR="00651C0D" w:rsidRPr="00F40D37" w:rsidRDefault="00F40D37" w:rsidP="00120DB1">
            <w:pPr>
              <w:spacing w:before="20" w:after="20"/>
              <w:jc w:val="center"/>
              <w:rPr>
                <w:rFonts w:cs="Arial"/>
                <w:bCs/>
                <w:sz w:val="18"/>
                <w:szCs w:val="18"/>
                <w:lang w:eastAsia="en-AU"/>
              </w:rPr>
            </w:pPr>
            <w:r w:rsidRPr="00F40D37">
              <w:rPr>
                <w:rFonts w:cs="Arial"/>
                <w:bCs/>
                <w:sz w:val="18"/>
                <w:szCs w:val="18"/>
              </w:rPr>
              <w:t>34</w:t>
            </w:r>
          </w:p>
        </w:tc>
      </w:tr>
      <w:tr w:rsidR="00120DB1" w:rsidRPr="00D31C7B" w14:paraId="3DB272A7" w14:textId="77777777" w:rsidTr="00AB0732">
        <w:trPr>
          <w:divId w:val="1706055103"/>
          <w:trHeight w:val="20"/>
        </w:trPr>
        <w:tc>
          <w:tcPr>
            <w:tcW w:w="3162" w:type="dxa"/>
            <w:shd w:val="clear" w:color="auto" w:fill="E2EFD9" w:themeFill="accent6" w:themeFillTint="33"/>
            <w:noWrap/>
            <w:hideMark/>
          </w:tcPr>
          <w:p w14:paraId="5CFBC2FC" w14:textId="77777777" w:rsidR="00651C0D" w:rsidRPr="000859B4" w:rsidRDefault="00651C0D" w:rsidP="00120DB1">
            <w:pPr>
              <w:spacing w:before="20" w:after="20"/>
              <w:rPr>
                <w:rFonts w:cs="Arial"/>
                <w:b/>
                <w:bCs/>
                <w:sz w:val="18"/>
                <w:szCs w:val="18"/>
              </w:rPr>
            </w:pPr>
            <w:r w:rsidRPr="000859B4">
              <w:rPr>
                <w:rFonts w:cs="Arial"/>
                <w:b/>
                <w:bCs/>
                <w:sz w:val="18"/>
                <w:szCs w:val="18"/>
              </w:rPr>
              <w:t>Construction, Plumbing - total</w:t>
            </w:r>
          </w:p>
        </w:tc>
        <w:tc>
          <w:tcPr>
            <w:tcW w:w="807" w:type="dxa"/>
            <w:shd w:val="clear" w:color="auto" w:fill="E2EFD9" w:themeFill="accent6" w:themeFillTint="33"/>
            <w:noWrap/>
            <w:hideMark/>
          </w:tcPr>
          <w:p w14:paraId="41742F83"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91</w:t>
            </w:r>
          </w:p>
        </w:tc>
        <w:tc>
          <w:tcPr>
            <w:tcW w:w="851" w:type="dxa"/>
            <w:shd w:val="clear" w:color="auto" w:fill="E2EFD9" w:themeFill="accent6" w:themeFillTint="33"/>
            <w:noWrap/>
            <w:hideMark/>
          </w:tcPr>
          <w:p w14:paraId="214F98FF"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97</w:t>
            </w:r>
          </w:p>
        </w:tc>
        <w:tc>
          <w:tcPr>
            <w:tcW w:w="850" w:type="dxa"/>
            <w:shd w:val="clear" w:color="auto" w:fill="E2EFD9" w:themeFill="accent6" w:themeFillTint="33"/>
            <w:noWrap/>
            <w:hideMark/>
          </w:tcPr>
          <w:p w14:paraId="05AD3167"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188</w:t>
            </w:r>
          </w:p>
        </w:tc>
        <w:tc>
          <w:tcPr>
            <w:tcW w:w="851" w:type="dxa"/>
            <w:shd w:val="clear" w:color="auto" w:fill="E2EFD9" w:themeFill="accent6" w:themeFillTint="33"/>
            <w:noWrap/>
            <w:hideMark/>
          </w:tcPr>
          <w:p w14:paraId="604CE9D3" w14:textId="51EB8C3E" w:rsidR="00651C0D" w:rsidRPr="000859B4" w:rsidRDefault="00F40D37" w:rsidP="00120DB1">
            <w:pPr>
              <w:spacing w:before="20" w:after="20"/>
              <w:jc w:val="center"/>
              <w:rPr>
                <w:rFonts w:cs="Arial"/>
                <w:b/>
                <w:bCs/>
                <w:sz w:val="18"/>
                <w:szCs w:val="18"/>
                <w:lang w:eastAsia="en-AU"/>
              </w:rPr>
            </w:pPr>
            <w:r>
              <w:rPr>
                <w:rFonts w:cs="Arial"/>
                <w:b/>
                <w:bCs/>
                <w:sz w:val="18"/>
                <w:szCs w:val="18"/>
              </w:rPr>
              <w:t>43</w:t>
            </w:r>
          </w:p>
        </w:tc>
        <w:tc>
          <w:tcPr>
            <w:tcW w:w="850" w:type="dxa"/>
            <w:shd w:val="clear" w:color="auto" w:fill="E2EFD9" w:themeFill="accent6" w:themeFillTint="33"/>
            <w:noWrap/>
            <w:hideMark/>
          </w:tcPr>
          <w:p w14:paraId="01B32058" w14:textId="77777777" w:rsidR="00651C0D" w:rsidRPr="000859B4" w:rsidRDefault="00651C0D" w:rsidP="00120DB1">
            <w:pPr>
              <w:spacing w:before="20" w:after="20"/>
              <w:jc w:val="center"/>
              <w:rPr>
                <w:rFonts w:cs="Arial"/>
                <w:b/>
                <w:bCs/>
                <w:sz w:val="18"/>
                <w:szCs w:val="18"/>
              </w:rPr>
            </w:pPr>
            <w:r w:rsidRPr="000859B4">
              <w:rPr>
                <w:rFonts w:cs="Arial"/>
                <w:b/>
                <w:bCs/>
                <w:sz w:val="18"/>
                <w:szCs w:val="18"/>
                <w:lang w:val="en-US"/>
              </w:rPr>
              <w:t>1273</w:t>
            </w:r>
          </w:p>
        </w:tc>
        <w:tc>
          <w:tcPr>
            <w:tcW w:w="993" w:type="dxa"/>
            <w:shd w:val="clear" w:color="auto" w:fill="E2EFD9" w:themeFill="accent6" w:themeFillTint="33"/>
            <w:noWrap/>
            <w:hideMark/>
          </w:tcPr>
          <w:p w14:paraId="4FEC7788" w14:textId="36727A15" w:rsidR="00651C0D" w:rsidRPr="000859B4" w:rsidRDefault="00F40D37" w:rsidP="00120DB1">
            <w:pPr>
              <w:spacing w:before="20" w:after="20"/>
              <w:jc w:val="center"/>
              <w:rPr>
                <w:rFonts w:cs="Arial"/>
                <w:b/>
                <w:bCs/>
                <w:sz w:val="18"/>
                <w:szCs w:val="18"/>
                <w:lang w:eastAsia="en-AU"/>
              </w:rPr>
            </w:pPr>
            <w:r>
              <w:rPr>
                <w:rFonts w:cs="Arial"/>
                <w:b/>
                <w:bCs/>
                <w:sz w:val="18"/>
                <w:szCs w:val="18"/>
              </w:rPr>
              <w:t>15</w:t>
            </w:r>
          </w:p>
        </w:tc>
      </w:tr>
      <w:tr w:rsidR="00120DB1" w:rsidRPr="00D31C7B" w14:paraId="594C22B2" w14:textId="77777777" w:rsidTr="00120DB1">
        <w:trPr>
          <w:divId w:val="1706055103"/>
          <w:trHeight w:val="20"/>
        </w:trPr>
        <w:tc>
          <w:tcPr>
            <w:tcW w:w="3162" w:type="dxa"/>
            <w:noWrap/>
            <w:hideMark/>
          </w:tcPr>
          <w:p w14:paraId="01E53DC6" w14:textId="77777777" w:rsidR="00651C0D" w:rsidRPr="000859B4" w:rsidRDefault="00651C0D" w:rsidP="00120DB1">
            <w:pPr>
              <w:spacing w:before="20" w:after="20"/>
              <w:rPr>
                <w:rFonts w:cs="Arial"/>
                <w:sz w:val="18"/>
                <w:szCs w:val="18"/>
              </w:rPr>
            </w:pPr>
            <w:r w:rsidRPr="000859B4">
              <w:rPr>
                <w:rFonts w:cs="Arial"/>
                <w:sz w:val="18"/>
                <w:szCs w:val="18"/>
              </w:rPr>
              <w:t>Cert. II- Construction</w:t>
            </w:r>
          </w:p>
        </w:tc>
        <w:tc>
          <w:tcPr>
            <w:tcW w:w="807" w:type="dxa"/>
            <w:noWrap/>
            <w:hideMark/>
          </w:tcPr>
          <w:p w14:paraId="527F84E2" w14:textId="77777777" w:rsidR="00651C0D" w:rsidRPr="000859B4" w:rsidRDefault="00651C0D" w:rsidP="00120DB1">
            <w:pPr>
              <w:spacing w:before="20" w:after="20"/>
              <w:jc w:val="center"/>
              <w:rPr>
                <w:rFonts w:cs="Arial"/>
                <w:sz w:val="18"/>
                <w:szCs w:val="18"/>
              </w:rPr>
            </w:pPr>
          </w:p>
        </w:tc>
        <w:tc>
          <w:tcPr>
            <w:tcW w:w="851" w:type="dxa"/>
            <w:noWrap/>
            <w:hideMark/>
          </w:tcPr>
          <w:p w14:paraId="0119B58A" w14:textId="77777777" w:rsidR="00651C0D" w:rsidRPr="000859B4" w:rsidRDefault="00651C0D" w:rsidP="00120DB1">
            <w:pPr>
              <w:spacing w:before="20" w:after="20"/>
              <w:jc w:val="center"/>
              <w:rPr>
                <w:rFonts w:cs="Arial"/>
                <w:sz w:val="18"/>
                <w:szCs w:val="18"/>
              </w:rPr>
            </w:pPr>
            <w:r w:rsidRPr="000859B4">
              <w:rPr>
                <w:rFonts w:cs="Arial"/>
                <w:sz w:val="18"/>
                <w:szCs w:val="18"/>
              </w:rPr>
              <w:t>3</w:t>
            </w:r>
          </w:p>
        </w:tc>
        <w:tc>
          <w:tcPr>
            <w:tcW w:w="850" w:type="dxa"/>
            <w:tcBorders>
              <w:right w:val="single" w:sz="4" w:space="0" w:color="A8D08D" w:themeColor="accent6" w:themeTint="99"/>
            </w:tcBorders>
            <w:noWrap/>
            <w:hideMark/>
          </w:tcPr>
          <w:p w14:paraId="525614AC" w14:textId="77777777" w:rsidR="00651C0D" w:rsidRPr="000859B4" w:rsidRDefault="00651C0D" w:rsidP="00120DB1">
            <w:pPr>
              <w:spacing w:before="20" w:after="20"/>
              <w:jc w:val="center"/>
              <w:rPr>
                <w:rFonts w:cs="Arial"/>
                <w:sz w:val="18"/>
                <w:szCs w:val="18"/>
              </w:rPr>
            </w:pPr>
            <w:r w:rsidRPr="000859B4">
              <w:rPr>
                <w:rFonts w:cs="Arial"/>
                <w:sz w:val="18"/>
                <w:szCs w:val="18"/>
              </w:rPr>
              <w:t>3</w:t>
            </w:r>
          </w:p>
        </w:tc>
        <w:tc>
          <w:tcPr>
            <w:tcW w:w="851" w:type="dxa"/>
            <w:tcBorders>
              <w:left w:val="single" w:sz="4" w:space="0" w:color="A8D08D" w:themeColor="accent6" w:themeTint="99"/>
            </w:tcBorders>
            <w:noWrap/>
            <w:hideMark/>
          </w:tcPr>
          <w:p w14:paraId="4B63E466" w14:textId="77777777" w:rsidR="00651C0D" w:rsidRPr="000859B4" w:rsidRDefault="00651C0D" w:rsidP="00120DB1">
            <w:pPr>
              <w:spacing w:before="20" w:after="20"/>
              <w:jc w:val="center"/>
              <w:rPr>
                <w:rFonts w:cs="Arial"/>
                <w:sz w:val="18"/>
                <w:szCs w:val="18"/>
              </w:rPr>
            </w:pPr>
          </w:p>
        </w:tc>
        <w:tc>
          <w:tcPr>
            <w:tcW w:w="850" w:type="dxa"/>
            <w:noWrap/>
            <w:hideMark/>
          </w:tcPr>
          <w:p w14:paraId="523E0128" w14:textId="77777777" w:rsidR="00651C0D" w:rsidRPr="000859B4" w:rsidRDefault="00651C0D" w:rsidP="00120DB1">
            <w:pPr>
              <w:spacing w:before="20" w:after="20"/>
              <w:jc w:val="center"/>
              <w:rPr>
                <w:rFonts w:cs="Arial"/>
                <w:sz w:val="18"/>
                <w:szCs w:val="18"/>
              </w:rPr>
            </w:pPr>
            <w:r w:rsidRPr="000859B4">
              <w:rPr>
                <w:rFonts w:cs="Arial"/>
                <w:sz w:val="18"/>
                <w:szCs w:val="18"/>
              </w:rPr>
              <w:t>61</w:t>
            </w:r>
          </w:p>
        </w:tc>
        <w:tc>
          <w:tcPr>
            <w:tcW w:w="993" w:type="dxa"/>
            <w:noWrap/>
            <w:hideMark/>
          </w:tcPr>
          <w:p w14:paraId="2FBF4F26" w14:textId="17C25108" w:rsidR="00651C0D" w:rsidRPr="00F40D37" w:rsidRDefault="00F40D37" w:rsidP="00120DB1">
            <w:pPr>
              <w:spacing w:before="20" w:after="20"/>
              <w:jc w:val="center"/>
              <w:rPr>
                <w:rFonts w:cs="Arial"/>
                <w:bCs/>
                <w:sz w:val="18"/>
                <w:szCs w:val="18"/>
                <w:lang w:eastAsia="en-AU"/>
              </w:rPr>
            </w:pPr>
            <w:r w:rsidRPr="00F40D37">
              <w:rPr>
                <w:rFonts w:cs="Arial"/>
                <w:bCs/>
                <w:sz w:val="18"/>
                <w:szCs w:val="18"/>
              </w:rPr>
              <w:t>5</w:t>
            </w:r>
          </w:p>
        </w:tc>
      </w:tr>
      <w:tr w:rsidR="00120DB1" w:rsidRPr="00D31C7B" w14:paraId="2EDBA699" w14:textId="77777777" w:rsidTr="00120DB1">
        <w:trPr>
          <w:divId w:val="1706055103"/>
          <w:trHeight w:val="20"/>
        </w:trPr>
        <w:tc>
          <w:tcPr>
            <w:tcW w:w="3162" w:type="dxa"/>
            <w:noWrap/>
            <w:hideMark/>
          </w:tcPr>
          <w:p w14:paraId="58DBE1DA" w14:textId="77777777" w:rsidR="00651C0D" w:rsidRPr="000859B4" w:rsidRDefault="00651C0D" w:rsidP="00120DB1">
            <w:pPr>
              <w:spacing w:before="20" w:after="20"/>
              <w:rPr>
                <w:rFonts w:cs="Arial"/>
                <w:sz w:val="18"/>
                <w:szCs w:val="18"/>
              </w:rPr>
            </w:pPr>
            <w:r w:rsidRPr="000859B4">
              <w:rPr>
                <w:rFonts w:cs="Arial"/>
                <w:sz w:val="18"/>
                <w:szCs w:val="18"/>
              </w:rPr>
              <w:t xml:space="preserve">Cert. III- Carpentry       </w:t>
            </w:r>
          </w:p>
        </w:tc>
        <w:tc>
          <w:tcPr>
            <w:tcW w:w="807" w:type="dxa"/>
            <w:noWrap/>
            <w:hideMark/>
          </w:tcPr>
          <w:p w14:paraId="06744436" w14:textId="77777777" w:rsidR="00651C0D" w:rsidRPr="000859B4" w:rsidRDefault="00651C0D" w:rsidP="00120DB1">
            <w:pPr>
              <w:spacing w:before="20" w:after="20"/>
              <w:jc w:val="center"/>
              <w:rPr>
                <w:rFonts w:cs="Arial"/>
                <w:sz w:val="18"/>
                <w:szCs w:val="18"/>
              </w:rPr>
            </w:pPr>
            <w:r w:rsidRPr="000859B4">
              <w:rPr>
                <w:rFonts w:cs="Arial"/>
                <w:sz w:val="18"/>
                <w:szCs w:val="18"/>
              </w:rPr>
              <w:t>5</w:t>
            </w:r>
          </w:p>
        </w:tc>
        <w:tc>
          <w:tcPr>
            <w:tcW w:w="851" w:type="dxa"/>
            <w:noWrap/>
            <w:hideMark/>
          </w:tcPr>
          <w:p w14:paraId="35698131" w14:textId="77777777" w:rsidR="00651C0D" w:rsidRPr="000859B4" w:rsidRDefault="00651C0D" w:rsidP="00120DB1">
            <w:pPr>
              <w:spacing w:before="20" w:after="20"/>
              <w:jc w:val="center"/>
              <w:rPr>
                <w:rFonts w:cs="Arial"/>
                <w:sz w:val="18"/>
                <w:szCs w:val="18"/>
              </w:rPr>
            </w:pPr>
            <w:r w:rsidRPr="000859B4">
              <w:rPr>
                <w:rFonts w:cs="Arial"/>
                <w:sz w:val="18"/>
                <w:szCs w:val="18"/>
              </w:rPr>
              <w:t>6</w:t>
            </w:r>
          </w:p>
        </w:tc>
        <w:tc>
          <w:tcPr>
            <w:tcW w:w="850" w:type="dxa"/>
            <w:tcBorders>
              <w:right w:val="single" w:sz="4" w:space="0" w:color="A8D08D" w:themeColor="accent6" w:themeTint="99"/>
            </w:tcBorders>
            <w:noWrap/>
            <w:hideMark/>
          </w:tcPr>
          <w:p w14:paraId="2B8E09C5" w14:textId="77777777" w:rsidR="00651C0D" w:rsidRPr="000859B4" w:rsidRDefault="00651C0D" w:rsidP="00120DB1">
            <w:pPr>
              <w:spacing w:before="20" w:after="20"/>
              <w:jc w:val="center"/>
              <w:rPr>
                <w:rFonts w:cs="Arial"/>
                <w:sz w:val="18"/>
                <w:szCs w:val="18"/>
              </w:rPr>
            </w:pPr>
            <w:r w:rsidRPr="000859B4">
              <w:rPr>
                <w:rFonts w:cs="Arial"/>
                <w:sz w:val="18"/>
                <w:szCs w:val="18"/>
              </w:rPr>
              <w:t>11</w:t>
            </w:r>
          </w:p>
        </w:tc>
        <w:tc>
          <w:tcPr>
            <w:tcW w:w="851" w:type="dxa"/>
            <w:tcBorders>
              <w:left w:val="single" w:sz="4" w:space="0" w:color="A8D08D" w:themeColor="accent6" w:themeTint="99"/>
            </w:tcBorders>
            <w:noWrap/>
            <w:hideMark/>
          </w:tcPr>
          <w:p w14:paraId="0319A3A9" w14:textId="77777777" w:rsidR="00651C0D" w:rsidRPr="000859B4" w:rsidRDefault="00651C0D" w:rsidP="00120DB1">
            <w:pPr>
              <w:spacing w:before="20" w:after="20"/>
              <w:jc w:val="center"/>
              <w:rPr>
                <w:rFonts w:cs="Arial"/>
                <w:sz w:val="18"/>
                <w:szCs w:val="18"/>
              </w:rPr>
            </w:pPr>
          </w:p>
        </w:tc>
        <w:tc>
          <w:tcPr>
            <w:tcW w:w="850" w:type="dxa"/>
            <w:noWrap/>
            <w:hideMark/>
          </w:tcPr>
          <w:p w14:paraId="09A83CC0" w14:textId="77777777" w:rsidR="00651C0D" w:rsidRPr="000859B4" w:rsidRDefault="00651C0D" w:rsidP="00120DB1">
            <w:pPr>
              <w:spacing w:before="20" w:after="20"/>
              <w:jc w:val="center"/>
              <w:rPr>
                <w:rFonts w:cs="Arial"/>
                <w:sz w:val="18"/>
                <w:szCs w:val="18"/>
              </w:rPr>
            </w:pPr>
            <w:r w:rsidRPr="000859B4">
              <w:rPr>
                <w:rFonts w:cs="Arial"/>
                <w:sz w:val="18"/>
                <w:szCs w:val="18"/>
              </w:rPr>
              <w:t>674</w:t>
            </w:r>
          </w:p>
        </w:tc>
        <w:tc>
          <w:tcPr>
            <w:tcW w:w="993" w:type="dxa"/>
            <w:noWrap/>
            <w:hideMark/>
          </w:tcPr>
          <w:p w14:paraId="162F47A1" w14:textId="0B0F6F43" w:rsidR="00651C0D" w:rsidRPr="00F40D37" w:rsidRDefault="00F40D37" w:rsidP="00120DB1">
            <w:pPr>
              <w:spacing w:before="20" w:after="20"/>
              <w:jc w:val="center"/>
              <w:rPr>
                <w:rFonts w:cs="Arial"/>
                <w:bCs/>
                <w:sz w:val="18"/>
                <w:szCs w:val="18"/>
                <w:lang w:eastAsia="en-AU"/>
              </w:rPr>
            </w:pPr>
            <w:r w:rsidRPr="00F40D37">
              <w:rPr>
                <w:rFonts w:cs="Arial"/>
                <w:bCs/>
                <w:sz w:val="18"/>
                <w:szCs w:val="18"/>
              </w:rPr>
              <w:t>2</w:t>
            </w:r>
          </w:p>
        </w:tc>
      </w:tr>
      <w:tr w:rsidR="00120DB1" w:rsidRPr="00D31C7B" w14:paraId="10B62F7D" w14:textId="77777777" w:rsidTr="00120DB1">
        <w:trPr>
          <w:divId w:val="1706055103"/>
          <w:trHeight w:val="20"/>
        </w:trPr>
        <w:tc>
          <w:tcPr>
            <w:tcW w:w="3162" w:type="dxa"/>
            <w:noWrap/>
            <w:hideMark/>
          </w:tcPr>
          <w:p w14:paraId="3B93123D" w14:textId="77777777" w:rsidR="00651C0D" w:rsidRPr="000859B4" w:rsidRDefault="00651C0D" w:rsidP="00120DB1">
            <w:pPr>
              <w:spacing w:before="20" w:after="20"/>
              <w:rPr>
                <w:rFonts w:cs="Arial"/>
                <w:sz w:val="18"/>
                <w:szCs w:val="18"/>
              </w:rPr>
            </w:pPr>
            <w:r w:rsidRPr="000859B4">
              <w:rPr>
                <w:rFonts w:cs="Arial"/>
                <w:sz w:val="18"/>
                <w:szCs w:val="18"/>
              </w:rPr>
              <w:t xml:space="preserve">Cert. III- Painting &amp; Decorating     </w:t>
            </w:r>
          </w:p>
        </w:tc>
        <w:tc>
          <w:tcPr>
            <w:tcW w:w="807" w:type="dxa"/>
            <w:noWrap/>
            <w:hideMark/>
          </w:tcPr>
          <w:p w14:paraId="142F7768" w14:textId="77777777" w:rsidR="00651C0D" w:rsidRPr="000859B4" w:rsidRDefault="00651C0D" w:rsidP="00120DB1">
            <w:pPr>
              <w:spacing w:before="20" w:after="20"/>
              <w:jc w:val="center"/>
              <w:rPr>
                <w:rFonts w:cs="Arial"/>
                <w:sz w:val="18"/>
                <w:szCs w:val="18"/>
              </w:rPr>
            </w:pPr>
            <w:r w:rsidRPr="000859B4">
              <w:rPr>
                <w:rFonts w:cs="Arial"/>
                <w:sz w:val="18"/>
                <w:szCs w:val="18"/>
              </w:rPr>
              <w:t>60</w:t>
            </w:r>
          </w:p>
        </w:tc>
        <w:tc>
          <w:tcPr>
            <w:tcW w:w="851" w:type="dxa"/>
            <w:noWrap/>
            <w:hideMark/>
          </w:tcPr>
          <w:p w14:paraId="7C04865A" w14:textId="77777777" w:rsidR="00651C0D" w:rsidRPr="000859B4" w:rsidRDefault="00651C0D" w:rsidP="00120DB1">
            <w:pPr>
              <w:spacing w:before="20" w:after="20"/>
              <w:jc w:val="center"/>
              <w:rPr>
                <w:rFonts w:cs="Arial"/>
                <w:sz w:val="18"/>
                <w:szCs w:val="18"/>
              </w:rPr>
            </w:pPr>
            <w:r w:rsidRPr="000859B4">
              <w:rPr>
                <w:rFonts w:cs="Arial"/>
                <w:sz w:val="18"/>
                <w:szCs w:val="18"/>
              </w:rPr>
              <w:t>53</w:t>
            </w:r>
          </w:p>
        </w:tc>
        <w:tc>
          <w:tcPr>
            <w:tcW w:w="850" w:type="dxa"/>
            <w:tcBorders>
              <w:right w:val="single" w:sz="4" w:space="0" w:color="A8D08D" w:themeColor="accent6" w:themeTint="99"/>
            </w:tcBorders>
            <w:noWrap/>
            <w:hideMark/>
          </w:tcPr>
          <w:p w14:paraId="54A32607" w14:textId="77777777" w:rsidR="00651C0D" w:rsidRPr="000859B4" w:rsidRDefault="00651C0D" w:rsidP="00120DB1">
            <w:pPr>
              <w:spacing w:before="20" w:after="20"/>
              <w:jc w:val="center"/>
              <w:rPr>
                <w:rFonts w:cs="Arial"/>
                <w:sz w:val="18"/>
                <w:szCs w:val="18"/>
              </w:rPr>
            </w:pPr>
            <w:r w:rsidRPr="000859B4">
              <w:rPr>
                <w:rFonts w:cs="Arial"/>
                <w:sz w:val="18"/>
                <w:szCs w:val="18"/>
              </w:rPr>
              <w:t>113</w:t>
            </w:r>
          </w:p>
        </w:tc>
        <w:tc>
          <w:tcPr>
            <w:tcW w:w="851" w:type="dxa"/>
            <w:tcBorders>
              <w:left w:val="single" w:sz="4" w:space="0" w:color="A8D08D" w:themeColor="accent6" w:themeTint="99"/>
            </w:tcBorders>
            <w:noWrap/>
            <w:hideMark/>
          </w:tcPr>
          <w:p w14:paraId="11F6B3A3" w14:textId="77777777" w:rsidR="00651C0D" w:rsidRPr="000859B4" w:rsidRDefault="00651C0D" w:rsidP="00120DB1">
            <w:pPr>
              <w:spacing w:before="20" w:after="20"/>
              <w:jc w:val="center"/>
              <w:rPr>
                <w:rFonts w:cs="Arial"/>
                <w:i/>
                <w:iCs/>
                <w:sz w:val="18"/>
                <w:szCs w:val="18"/>
              </w:rPr>
            </w:pPr>
          </w:p>
        </w:tc>
        <w:tc>
          <w:tcPr>
            <w:tcW w:w="850" w:type="dxa"/>
            <w:noWrap/>
            <w:hideMark/>
          </w:tcPr>
          <w:p w14:paraId="40562691" w14:textId="77777777" w:rsidR="00651C0D" w:rsidRPr="000859B4" w:rsidRDefault="00651C0D" w:rsidP="00120DB1">
            <w:pPr>
              <w:spacing w:before="20" w:after="20"/>
              <w:jc w:val="center"/>
              <w:rPr>
                <w:rFonts w:cs="Arial"/>
                <w:sz w:val="18"/>
                <w:szCs w:val="18"/>
              </w:rPr>
            </w:pPr>
            <w:r w:rsidRPr="000859B4">
              <w:rPr>
                <w:rFonts w:cs="Arial"/>
                <w:sz w:val="18"/>
                <w:szCs w:val="18"/>
              </w:rPr>
              <w:t>261</w:t>
            </w:r>
          </w:p>
        </w:tc>
        <w:tc>
          <w:tcPr>
            <w:tcW w:w="993" w:type="dxa"/>
            <w:noWrap/>
            <w:hideMark/>
          </w:tcPr>
          <w:p w14:paraId="441264EA" w14:textId="36578191" w:rsidR="00651C0D" w:rsidRPr="00F40D37" w:rsidRDefault="00F40D37" w:rsidP="00120DB1">
            <w:pPr>
              <w:spacing w:before="20" w:after="20"/>
              <w:jc w:val="center"/>
              <w:rPr>
                <w:rFonts w:cs="Arial"/>
                <w:bCs/>
                <w:sz w:val="18"/>
                <w:szCs w:val="18"/>
                <w:lang w:eastAsia="en-AU"/>
              </w:rPr>
            </w:pPr>
            <w:r w:rsidRPr="00F40D37">
              <w:rPr>
                <w:rFonts w:cs="Arial"/>
                <w:bCs/>
                <w:sz w:val="18"/>
                <w:szCs w:val="18"/>
              </w:rPr>
              <w:t>43</w:t>
            </w:r>
          </w:p>
        </w:tc>
      </w:tr>
      <w:tr w:rsidR="00120DB1" w:rsidRPr="00D31C7B" w14:paraId="53BC7558" w14:textId="77777777" w:rsidTr="00120DB1">
        <w:trPr>
          <w:divId w:val="1706055103"/>
          <w:trHeight w:val="20"/>
        </w:trPr>
        <w:tc>
          <w:tcPr>
            <w:tcW w:w="3162" w:type="dxa"/>
            <w:noWrap/>
            <w:hideMark/>
          </w:tcPr>
          <w:p w14:paraId="38489704" w14:textId="77777777" w:rsidR="00651C0D" w:rsidRPr="000859B4" w:rsidRDefault="00651C0D" w:rsidP="00120DB1">
            <w:pPr>
              <w:spacing w:before="20" w:after="20"/>
              <w:rPr>
                <w:rFonts w:cs="Arial"/>
                <w:sz w:val="18"/>
                <w:szCs w:val="18"/>
              </w:rPr>
            </w:pPr>
            <w:r w:rsidRPr="000859B4">
              <w:rPr>
                <w:rFonts w:cs="Arial"/>
                <w:sz w:val="18"/>
                <w:szCs w:val="18"/>
              </w:rPr>
              <w:t>Cert. III- Plumbing</w:t>
            </w:r>
          </w:p>
        </w:tc>
        <w:tc>
          <w:tcPr>
            <w:tcW w:w="807" w:type="dxa"/>
            <w:noWrap/>
            <w:hideMark/>
          </w:tcPr>
          <w:p w14:paraId="53D64EAA" w14:textId="77777777" w:rsidR="00651C0D" w:rsidRPr="000859B4" w:rsidRDefault="00651C0D" w:rsidP="00120DB1">
            <w:pPr>
              <w:spacing w:before="20" w:after="20"/>
              <w:jc w:val="center"/>
              <w:rPr>
                <w:rFonts w:cs="Arial"/>
                <w:sz w:val="18"/>
                <w:szCs w:val="18"/>
              </w:rPr>
            </w:pPr>
            <w:r w:rsidRPr="000859B4">
              <w:rPr>
                <w:rFonts w:cs="Arial"/>
                <w:sz w:val="18"/>
                <w:szCs w:val="18"/>
              </w:rPr>
              <w:t>2</w:t>
            </w:r>
          </w:p>
        </w:tc>
        <w:tc>
          <w:tcPr>
            <w:tcW w:w="851" w:type="dxa"/>
            <w:noWrap/>
            <w:hideMark/>
          </w:tcPr>
          <w:p w14:paraId="5F94C445" w14:textId="77777777" w:rsidR="00651C0D" w:rsidRPr="000859B4" w:rsidRDefault="00651C0D" w:rsidP="00120DB1">
            <w:pPr>
              <w:spacing w:before="20" w:after="20"/>
              <w:jc w:val="center"/>
              <w:rPr>
                <w:rFonts w:cs="Arial"/>
                <w:sz w:val="18"/>
                <w:szCs w:val="18"/>
              </w:rPr>
            </w:pPr>
            <w:r w:rsidRPr="000859B4">
              <w:rPr>
                <w:rFonts w:cs="Arial"/>
                <w:sz w:val="18"/>
                <w:szCs w:val="18"/>
              </w:rPr>
              <w:t>1</w:t>
            </w:r>
          </w:p>
        </w:tc>
        <w:tc>
          <w:tcPr>
            <w:tcW w:w="850" w:type="dxa"/>
            <w:tcBorders>
              <w:right w:val="single" w:sz="4" w:space="0" w:color="A8D08D" w:themeColor="accent6" w:themeTint="99"/>
            </w:tcBorders>
            <w:noWrap/>
            <w:hideMark/>
          </w:tcPr>
          <w:p w14:paraId="693A7636" w14:textId="77777777" w:rsidR="00651C0D" w:rsidRPr="000859B4" w:rsidRDefault="00651C0D" w:rsidP="00120DB1">
            <w:pPr>
              <w:spacing w:before="20" w:after="20"/>
              <w:jc w:val="center"/>
              <w:rPr>
                <w:rFonts w:cs="Arial"/>
                <w:sz w:val="18"/>
                <w:szCs w:val="18"/>
              </w:rPr>
            </w:pPr>
            <w:r w:rsidRPr="000859B4">
              <w:rPr>
                <w:rFonts w:cs="Arial"/>
                <w:sz w:val="18"/>
                <w:szCs w:val="18"/>
              </w:rPr>
              <w:t>3</w:t>
            </w:r>
          </w:p>
        </w:tc>
        <w:tc>
          <w:tcPr>
            <w:tcW w:w="851" w:type="dxa"/>
            <w:tcBorders>
              <w:left w:val="single" w:sz="4" w:space="0" w:color="A8D08D" w:themeColor="accent6" w:themeTint="99"/>
            </w:tcBorders>
            <w:noWrap/>
            <w:hideMark/>
          </w:tcPr>
          <w:p w14:paraId="02D5EC15" w14:textId="77777777" w:rsidR="00651C0D" w:rsidRPr="000859B4" w:rsidRDefault="00651C0D" w:rsidP="00120DB1">
            <w:pPr>
              <w:spacing w:before="20" w:after="20"/>
              <w:jc w:val="center"/>
              <w:rPr>
                <w:rFonts w:cs="Arial"/>
                <w:sz w:val="18"/>
                <w:szCs w:val="18"/>
              </w:rPr>
            </w:pPr>
          </w:p>
        </w:tc>
        <w:tc>
          <w:tcPr>
            <w:tcW w:w="850" w:type="dxa"/>
            <w:noWrap/>
            <w:hideMark/>
          </w:tcPr>
          <w:p w14:paraId="63CE9BC5" w14:textId="77777777" w:rsidR="00651C0D" w:rsidRPr="000859B4" w:rsidRDefault="00651C0D" w:rsidP="00120DB1">
            <w:pPr>
              <w:spacing w:before="20" w:after="20"/>
              <w:jc w:val="center"/>
              <w:rPr>
                <w:rFonts w:cs="Arial"/>
                <w:sz w:val="18"/>
                <w:szCs w:val="18"/>
              </w:rPr>
            </w:pPr>
            <w:r w:rsidRPr="000859B4">
              <w:rPr>
                <w:rFonts w:cs="Arial"/>
                <w:sz w:val="18"/>
                <w:szCs w:val="18"/>
              </w:rPr>
              <w:t>132</w:t>
            </w:r>
          </w:p>
        </w:tc>
        <w:tc>
          <w:tcPr>
            <w:tcW w:w="993" w:type="dxa"/>
            <w:noWrap/>
            <w:hideMark/>
          </w:tcPr>
          <w:p w14:paraId="083AD2FA" w14:textId="1A3E01C9" w:rsidR="00651C0D" w:rsidRPr="00F40D37" w:rsidRDefault="00F40D37" w:rsidP="00120DB1">
            <w:pPr>
              <w:spacing w:before="20" w:after="20"/>
              <w:jc w:val="center"/>
              <w:rPr>
                <w:rFonts w:cs="Arial"/>
                <w:bCs/>
                <w:sz w:val="18"/>
                <w:szCs w:val="18"/>
                <w:lang w:eastAsia="en-AU"/>
              </w:rPr>
            </w:pPr>
            <w:r w:rsidRPr="00F40D37">
              <w:rPr>
                <w:rFonts w:cs="Arial"/>
                <w:bCs/>
                <w:sz w:val="18"/>
                <w:szCs w:val="18"/>
              </w:rPr>
              <w:t>2</w:t>
            </w:r>
          </w:p>
        </w:tc>
      </w:tr>
      <w:tr w:rsidR="00120DB1" w:rsidRPr="00D31C7B" w14:paraId="6037B3AA" w14:textId="77777777" w:rsidTr="00AB0732">
        <w:trPr>
          <w:divId w:val="1706055103"/>
          <w:trHeight w:val="20"/>
        </w:trPr>
        <w:tc>
          <w:tcPr>
            <w:tcW w:w="3162" w:type="dxa"/>
            <w:noWrap/>
            <w:hideMark/>
          </w:tcPr>
          <w:p w14:paraId="7FEE9778" w14:textId="77777777" w:rsidR="00651C0D" w:rsidRPr="000859B4" w:rsidRDefault="00651C0D" w:rsidP="00120DB1">
            <w:pPr>
              <w:spacing w:before="20" w:after="20"/>
              <w:rPr>
                <w:rFonts w:cs="Arial"/>
                <w:sz w:val="18"/>
                <w:szCs w:val="18"/>
              </w:rPr>
            </w:pPr>
            <w:r w:rsidRPr="000859B4">
              <w:rPr>
                <w:rFonts w:cs="Arial"/>
                <w:sz w:val="18"/>
                <w:szCs w:val="18"/>
              </w:rPr>
              <w:t>Cert. III- Wall &amp; Floor Tiling</w:t>
            </w:r>
          </w:p>
        </w:tc>
        <w:tc>
          <w:tcPr>
            <w:tcW w:w="807" w:type="dxa"/>
            <w:noWrap/>
            <w:hideMark/>
          </w:tcPr>
          <w:p w14:paraId="7F35C303" w14:textId="77777777" w:rsidR="00651C0D" w:rsidRPr="000859B4" w:rsidRDefault="00651C0D" w:rsidP="00120DB1">
            <w:pPr>
              <w:spacing w:before="20" w:after="20"/>
              <w:jc w:val="center"/>
              <w:rPr>
                <w:rFonts w:cs="Arial"/>
                <w:sz w:val="18"/>
                <w:szCs w:val="18"/>
              </w:rPr>
            </w:pPr>
            <w:r w:rsidRPr="000859B4">
              <w:rPr>
                <w:rFonts w:cs="Arial"/>
                <w:sz w:val="18"/>
                <w:szCs w:val="18"/>
              </w:rPr>
              <w:t>24</w:t>
            </w:r>
          </w:p>
        </w:tc>
        <w:tc>
          <w:tcPr>
            <w:tcW w:w="851" w:type="dxa"/>
            <w:noWrap/>
            <w:hideMark/>
          </w:tcPr>
          <w:p w14:paraId="4C8743FF" w14:textId="77777777" w:rsidR="00651C0D" w:rsidRPr="000859B4" w:rsidRDefault="00651C0D" w:rsidP="00120DB1">
            <w:pPr>
              <w:spacing w:before="20" w:after="20"/>
              <w:jc w:val="center"/>
              <w:rPr>
                <w:rFonts w:cs="Arial"/>
                <w:sz w:val="18"/>
                <w:szCs w:val="18"/>
              </w:rPr>
            </w:pPr>
            <w:r w:rsidRPr="000859B4">
              <w:rPr>
                <w:rFonts w:cs="Arial"/>
                <w:sz w:val="18"/>
                <w:szCs w:val="18"/>
              </w:rPr>
              <w:t>34</w:t>
            </w:r>
          </w:p>
        </w:tc>
        <w:tc>
          <w:tcPr>
            <w:tcW w:w="850" w:type="dxa"/>
            <w:tcBorders>
              <w:right w:val="single" w:sz="4" w:space="0" w:color="A8D08D" w:themeColor="accent6" w:themeTint="99"/>
            </w:tcBorders>
            <w:noWrap/>
            <w:hideMark/>
          </w:tcPr>
          <w:p w14:paraId="7C487BDA" w14:textId="77777777" w:rsidR="00651C0D" w:rsidRPr="000859B4" w:rsidRDefault="00651C0D" w:rsidP="00120DB1">
            <w:pPr>
              <w:spacing w:before="20" w:after="20"/>
              <w:jc w:val="center"/>
              <w:rPr>
                <w:rFonts w:cs="Arial"/>
                <w:sz w:val="18"/>
                <w:szCs w:val="18"/>
              </w:rPr>
            </w:pPr>
            <w:r w:rsidRPr="000859B4">
              <w:rPr>
                <w:rFonts w:cs="Arial"/>
                <w:sz w:val="18"/>
                <w:szCs w:val="18"/>
              </w:rPr>
              <w:t>58</w:t>
            </w:r>
          </w:p>
        </w:tc>
        <w:tc>
          <w:tcPr>
            <w:tcW w:w="851" w:type="dxa"/>
            <w:tcBorders>
              <w:left w:val="single" w:sz="4" w:space="0" w:color="A8D08D" w:themeColor="accent6" w:themeTint="99"/>
            </w:tcBorders>
            <w:noWrap/>
            <w:hideMark/>
          </w:tcPr>
          <w:p w14:paraId="03C461D2" w14:textId="77777777" w:rsidR="00651C0D" w:rsidRPr="000859B4" w:rsidRDefault="00651C0D" w:rsidP="00120DB1">
            <w:pPr>
              <w:spacing w:before="20" w:after="20"/>
              <w:jc w:val="center"/>
              <w:rPr>
                <w:rFonts w:cs="Arial"/>
                <w:i/>
                <w:iCs/>
                <w:sz w:val="18"/>
                <w:szCs w:val="18"/>
              </w:rPr>
            </w:pPr>
          </w:p>
        </w:tc>
        <w:tc>
          <w:tcPr>
            <w:tcW w:w="850" w:type="dxa"/>
            <w:noWrap/>
            <w:hideMark/>
          </w:tcPr>
          <w:p w14:paraId="1FE95FED" w14:textId="77777777" w:rsidR="00651C0D" w:rsidRPr="000859B4" w:rsidRDefault="00651C0D" w:rsidP="00120DB1">
            <w:pPr>
              <w:spacing w:before="20" w:after="20"/>
              <w:jc w:val="center"/>
              <w:rPr>
                <w:rFonts w:cs="Arial"/>
                <w:sz w:val="18"/>
                <w:szCs w:val="18"/>
              </w:rPr>
            </w:pPr>
            <w:r w:rsidRPr="000859B4">
              <w:rPr>
                <w:rFonts w:cs="Arial"/>
                <w:sz w:val="18"/>
                <w:szCs w:val="18"/>
              </w:rPr>
              <w:t>145</w:t>
            </w:r>
          </w:p>
        </w:tc>
        <w:tc>
          <w:tcPr>
            <w:tcW w:w="993" w:type="dxa"/>
            <w:noWrap/>
            <w:hideMark/>
          </w:tcPr>
          <w:p w14:paraId="5711C822" w14:textId="786AC898" w:rsidR="00651C0D" w:rsidRPr="00F40D37" w:rsidRDefault="00F40D37" w:rsidP="00120DB1">
            <w:pPr>
              <w:spacing w:before="20" w:after="20"/>
              <w:jc w:val="center"/>
              <w:rPr>
                <w:rFonts w:cs="Arial"/>
                <w:bCs/>
                <w:sz w:val="18"/>
                <w:szCs w:val="18"/>
                <w:lang w:eastAsia="en-AU"/>
              </w:rPr>
            </w:pPr>
            <w:r w:rsidRPr="00F40D37">
              <w:rPr>
                <w:rFonts w:cs="Arial"/>
                <w:bCs/>
                <w:sz w:val="18"/>
                <w:szCs w:val="18"/>
              </w:rPr>
              <w:t>40</w:t>
            </w:r>
          </w:p>
        </w:tc>
      </w:tr>
      <w:tr w:rsidR="00120DB1" w:rsidRPr="00D31C7B" w14:paraId="43D298B5" w14:textId="77777777" w:rsidTr="00AB0732">
        <w:trPr>
          <w:divId w:val="1706055103"/>
          <w:trHeight w:val="20"/>
        </w:trPr>
        <w:tc>
          <w:tcPr>
            <w:tcW w:w="3162" w:type="dxa"/>
            <w:shd w:val="clear" w:color="auto" w:fill="E2EFD9" w:themeFill="accent6" w:themeFillTint="33"/>
            <w:noWrap/>
            <w:hideMark/>
          </w:tcPr>
          <w:p w14:paraId="53F46F80" w14:textId="77777777" w:rsidR="00651C0D" w:rsidRPr="000859B4" w:rsidRDefault="00651C0D" w:rsidP="00120DB1">
            <w:pPr>
              <w:spacing w:before="20" w:after="20"/>
              <w:rPr>
                <w:rFonts w:cs="Arial"/>
                <w:b/>
                <w:bCs/>
                <w:sz w:val="18"/>
                <w:szCs w:val="18"/>
              </w:rPr>
            </w:pPr>
            <w:r w:rsidRPr="000859B4">
              <w:rPr>
                <w:rFonts w:cs="Arial"/>
                <w:b/>
                <w:bCs/>
                <w:sz w:val="18"/>
                <w:szCs w:val="18"/>
              </w:rPr>
              <w:t>Metal and Engineering - total</w:t>
            </w:r>
          </w:p>
        </w:tc>
        <w:tc>
          <w:tcPr>
            <w:tcW w:w="807" w:type="dxa"/>
            <w:shd w:val="clear" w:color="auto" w:fill="E2EFD9" w:themeFill="accent6" w:themeFillTint="33"/>
            <w:noWrap/>
            <w:hideMark/>
          </w:tcPr>
          <w:p w14:paraId="63666D2C"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7</w:t>
            </w:r>
          </w:p>
        </w:tc>
        <w:tc>
          <w:tcPr>
            <w:tcW w:w="851" w:type="dxa"/>
            <w:shd w:val="clear" w:color="auto" w:fill="E2EFD9" w:themeFill="accent6" w:themeFillTint="33"/>
            <w:noWrap/>
            <w:hideMark/>
          </w:tcPr>
          <w:p w14:paraId="6B770B7F"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14</w:t>
            </w:r>
          </w:p>
        </w:tc>
        <w:tc>
          <w:tcPr>
            <w:tcW w:w="850" w:type="dxa"/>
            <w:shd w:val="clear" w:color="auto" w:fill="E2EFD9" w:themeFill="accent6" w:themeFillTint="33"/>
            <w:noWrap/>
            <w:hideMark/>
          </w:tcPr>
          <w:p w14:paraId="5100F129"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21</w:t>
            </w:r>
          </w:p>
        </w:tc>
        <w:tc>
          <w:tcPr>
            <w:tcW w:w="851" w:type="dxa"/>
            <w:shd w:val="clear" w:color="auto" w:fill="E2EFD9" w:themeFill="accent6" w:themeFillTint="33"/>
            <w:noWrap/>
            <w:hideMark/>
          </w:tcPr>
          <w:p w14:paraId="2C308CA2" w14:textId="679CC386" w:rsidR="00651C0D" w:rsidRPr="000859B4" w:rsidRDefault="00F40D37" w:rsidP="00120DB1">
            <w:pPr>
              <w:spacing w:before="20" w:after="20"/>
              <w:jc w:val="center"/>
              <w:rPr>
                <w:rFonts w:cs="Arial"/>
                <w:b/>
                <w:bCs/>
                <w:sz w:val="18"/>
                <w:szCs w:val="18"/>
                <w:lang w:eastAsia="en-AU"/>
              </w:rPr>
            </w:pPr>
            <w:r>
              <w:rPr>
                <w:rFonts w:cs="Arial"/>
                <w:b/>
                <w:bCs/>
                <w:sz w:val="18"/>
                <w:szCs w:val="18"/>
              </w:rPr>
              <w:t>5</w:t>
            </w:r>
          </w:p>
        </w:tc>
        <w:tc>
          <w:tcPr>
            <w:tcW w:w="850" w:type="dxa"/>
            <w:shd w:val="clear" w:color="auto" w:fill="E2EFD9" w:themeFill="accent6" w:themeFillTint="33"/>
            <w:noWrap/>
            <w:hideMark/>
          </w:tcPr>
          <w:p w14:paraId="5D8FFB6A"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1249</w:t>
            </w:r>
          </w:p>
        </w:tc>
        <w:tc>
          <w:tcPr>
            <w:tcW w:w="993" w:type="dxa"/>
            <w:shd w:val="clear" w:color="auto" w:fill="E2EFD9" w:themeFill="accent6" w:themeFillTint="33"/>
            <w:noWrap/>
            <w:hideMark/>
          </w:tcPr>
          <w:p w14:paraId="77AD062B" w14:textId="5FA119EE" w:rsidR="00651C0D" w:rsidRPr="000859B4" w:rsidRDefault="00F40D37" w:rsidP="00120DB1">
            <w:pPr>
              <w:spacing w:before="20" w:after="20"/>
              <w:jc w:val="center"/>
              <w:rPr>
                <w:rFonts w:cs="Arial"/>
                <w:b/>
                <w:bCs/>
                <w:sz w:val="18"/>
                <w:szCs w:val="18"/>
                <w:lang w:eastAsia="en-AU"/>
              </w:rPr>
            </w:pPr>
            <w:r>
              <w:rPr>
                <w:rFonts w:cs="Arial"/>
                <w:b/>
                <w:bCs/>
                <w:sz w:val="18"/>
                <w:szCs w:val="18"/>
              </w:rPr>
              <w:t>2</w:t>
            </w:r>
          </w:p>
        </w:tc>
      </w:tr>
      <w:tr w:rsidR="00120DB1" w:rsidRPr="00D31C7B" w14:paraId="218AF787" w14:textId="77777777" w:rsidTr="00120DB1">
        <w:trPr>
          <w:divId w:val="1706055103"/>
          <w:trHeight w:val="20"/>
        </w:trPr>
        <w:tc>
          <w:tcPr>
            <w:tcW w:w="3162" w:type="dxa"/>
            <w:noWrap/>
            <w:hideMark/>
          </w:tcPr>
          <w:p w14:paraId="01391F9D" w14:textId="77777777" w:rsidR="00651C0D" w:rsidRPr="000859B4" w:rsidRDefault="00651C0D" w:rsidP="00120DB1">
            <w:pPr>
              <w:spacing w:before="20" w:after="20"/>
              <w:rPr>
                <w:rFonts w:cs="Arial"/>
                <w:sz w:val="18"/>
                <w:szCs w:val="18"/>
              </w:rPr>
            </w:pPr>
            <w:r w:rsidRPr="000859B4">
              <w:rPr>
                <w:rFonts w:cs="Arial"/>
                <w:sz w:val="18"/>
                <w:szCs w:val="18"/>
              </w:rPr>
              <w:t xml:space="preserve">Cert. III- Fabrication </w:t>
            </w:r>
          </w:p>
        </w:tc>
        <w:tc>
          <w:tcPr>
            <w:tcW w:w="807" w:type="dxa"/>
            <w:noWrap/>
            <w:hideMark/>
          </w:tcPr>
          <w:p w14:paraId="077E84EF" w14:textId="77777777" w:rsidR="00651C0D" w:rsidRPr="000859B4" w:rsidRDefault="00651C0D" w:rsidP="00120DB1">
            <w:pPr>
              <w:spacing w:before="20" w:after="20"/>
              <w:jc w:val="center"/>
              <w:rPr>
                <w:rFonts w:cs="Arial"/>
                <w:sz w:val="18"/>
                <w:szCs w:val="18"/>
              </w:rPr>
            </w:pPr>
            <w:r w:rsidRPr="000859B4">
              <w:rPr>
                <w:rFonts w:cs="Arial"/>
                <w:sz w:val="18"/>
                <w:szCs w:val="18"/>
              </w:rPr>
              <w:t>2</w:t>
            </w:r>
          </w:p>
        </w:tc>
        <w:tc>
          <w:tcPr>
            <w:tcW w:w="851" w:type="dxa"/>
            <w:noWrap/>
            <w:hideMark/>
          </w:tcPr>
          <w:p w14:paraId="1BBE6F76" w14:textId="77777777" w:rsidR="00651C0D" w:rsidRPr="000859B4" w:rsidRDefault="00651C0D" w:rsidP="00120DB1">
            <w:pPr>
              <w:spacing w:before="20" w:after="20"/>
              <w:jc w:val="center"/>
              <w:rPr>
                <w:rFonts w:cs="Arial"/>
                <w:sz w:val="18"/>
                <w:szCs w:val="18"/>
              </w:rPr>
            </w:pPr>
            <w:r w:rsidRPr="000859B4">
              <w:rPr>
                <w:rFonts w:cs="Arial"/>
                <w:sz w:val="18"/>
                <w:szCs w:val="18"/>
              </w:rPr>
              <w:t>4</w:t>
            </w:r>
          </w:p>
        </w:tc>
        <w:tc>
          <w:tcPr>
            <w:tcW w:w="850" w:type="dxa"/>
            <w:tcBorders>
              <w:right w:val="single" w:sz="4" w:space="0" w:color="A8D08D" w:themeColor="accent6" w:themeTint="99"/>
            </w:tcBorders>
            <w:noWrap/>
            <w:hideMark/>
          </w:tcPr>
          <w:p w14:paraId="73C6CE67" w14:textId="77777777" w:rsidR="00651C0D" w:rsidRPr="000859B4" w:rsidRDefault="00651C0D" w:rsidP="00120DB1">
            <w:pPr>
              <w:spacing w:before="20" w:after="20"/>
              <w:jc w:val="center"/>
              <w:rPr>
                <w:rFonts w:cs="Arial"/>
                <w:sz w:val="18"/>
                <w:szCs w:val="18"/>
              </w:rPr>
            </w:pPr>
            <w:r w:rsidRPr="000859B4">
              <w:rPr>
                <w:rFonts w:cs="Arial"/>
                <w:sz w:val="18"/>
                <w:szCs w:val="18"/>
              </w:rPr>
              <w:t>6</w:t>
            </w:r>
          </w:p>
        </w:tc>
        <w:tc>
          <w:tcPr>
            <w:tcW w:w="851" w:type="dxa"/>
            <w:tcBorders>
              <w:left w:val="single" w:sz="4" w:space="0" w:color="A8D08D" w:themeColor="accent6" w:themeTint="99"/>
            </w:tcBorders>
            <w:noWrap/>
            <w:hideMark/>
          </w:tcPr>
          <w:p w14:paraId="2CE94762" w14:textId="77777777" w:rsidR="00651C0D" w:rsidRPr="000859B4" w:rsidRDefault="00651C0D" w:rsidP="00120DB1">
            <w:pPr>
              <w:spacing w:before="20" w:after="20"/>
              <w:jc w:val="center"/>
              <w:rPr>
                <w:rFonts w:cs="Arial"/>
                <w:sz w:val="18"/>
                <w:szCs w:val="18"/>
              </w:rPr>
            </w:pPr>
          </w:p>
        </w:tc>
        <w:tc>
          <w:tcPr>
            <w:tcW w:w="850" w:type="dxa"/>
            <w:noWrap/>
            <w:hideMark/>
          </w:tcPr>
          <w:p w14:paraId="0C64435C" w14:textId="77777777" w:rsidR="00651C0D" w:rsidRPr="000859B4" w:rsidRDefault="00651C0D" w:rsidP="00120DB1">
            <w:pPr>
              <w:spacing w:before="20" w:after="20"/>
              <w:jc w:val="center"/>
              <w:rPr>
                <w:rFonts w:cs="Arial"/>
                <w:sz w:val="18"/>
                <w:szCs w:val="18"/>
              </w:rPr>
            </w:pPr>
            <w:r w:rsidRPr="000859B4">
              <w:rPr>
                <w:rFonts w:cs="Arial"/>
                <w:sz w:val="18"/>
                <w:szCs w:val="18"/>
              </w:rPr>
              <w:t>341</w:t>
            </w:r>
          </w:p>
        </w:tc>
        <w:tc>
          <w:tcPr>
            <w:tcW w:w="993" w:type="dxa"/>
            <w:noWrap/>
            <w:hideMark/>
          </w:tcPr>
          <w:p w14:paraId="7D78E235" w14:textId="5BE5C946" w:rsidR="00651C0D" w:rsidRPr="00F40D37" w:rsidRDefault="00F40D37" w:rsidP="00120DB1">
            <w:pPr>
              <w:spacing w:before="20" w:after="20"/>
              <w:jc w:val="center"/>
              <w:rPr>
                <w:rFonts w:cs="Arial"/>
                <w:bCs/>
                <w:sz w:val="18"/>
                <w:szCs w:val="18"/>
                <w:lang w:eastAsia="en-AU"/>
              </w:rPr>
            </w:pPr>
            <w:r w:rsidRPr="00F40D37">
              <w:rPr>
                <w:rFonts w:cs="Arial"/>
                <w:bCs/>
                <w:sz w:val="18"/>
                <w:szCs w:val="18"/>
              </w:rPr>
              <w:t>2</w:t>
            </w:r>
          </w:p>
        </w:tc>
      </w:tr>
      <w:tr w:rsidR="00120DB1" w:rsidRPr="00D31C7B" w14:paraId="795D97B5" w14:textId="77777777" w:rsidTr="00120DB1">
        <w:trPr>
          <w:divId w:val="1706055103"/>
          <w:trHeight w:val="20"/>
        </w:trPr>
        <w:tc>
          <w:tcPr>
            <w:tcW w:w="3162" w:type="dxa"/>
            <w:noWrap/>
            <w:hideMark/>
          </w:tcPr>
          <w:p w14:paraId="6B46BBA6" w14:textId="77777777" w:rsidR="00651C0D" w:rsidRPr="000859B4" w:rsidRDefault="00651C0D" w:rsidP="00120DB1">
            <w:pPr>
              <w:spacing w:before="20" w:after="20"/>
              <w:rPr>
                <w:rFonts w:cs="Arial"/>
                <w:sz w:val="18"/>
                <w:szCs w:val="18"/>
              </w:rPr>
            </w:pPr>
            <w:r w:rsidRPr="000859B4">
              <w:rPr>
                <w:rFonts w:cs="Arial"/>
                <w:sz w:val="18"/>
                <w:szCs w:val="18"/>
              </w:rPr>
              <w:t>Cert. III in Diesel Fitting</w:t>
            </w:r>
          </w:p>
        </w:tc>
        <w:tc>
          <w:tcPr>
            <w:tcW w:w="807" w:type="dxa"/>
            <w:noWrap/>
            <w:hideMark/>
          </w:tcPr>
          <w:p w14:paraId="1399C5B2" w14:textId="77777777" w:rsidR="00651C0D" w:rsidRPr="000859B4" w:rsidRDefault="00651C0D" w:rsidP="00120DB1">
            <w:pPr>
              <w:spacing w:before="20" w:after="20"/>
              <w:jc w:val="center"/>
              <w:rPr>
                <w:rFonts w:cs="Arial"/>
                <w:sz w:val="18"/>
                <w:szCs w:val="18"/>
              </w:rPr>
            </w:pPr>
            <w:r w:rsidRPr="000859B4">
              <w:rPr>
                <w:rFonts w:cs="Arial"/>
                <w:sz w:val="18"/>
                <w:szCs w:val="18"/>
              </w:rPr>
              <w:t>2</w:t>
            </w:r>
          </w:p>
        </w:tc>
        <w:tc>
          <w:tcPr>
            <w:tcW w:w="851" w:type="dxa"/>
            <w:noWrap/>
            <w:hideMark/>
          </w:tcPr>
          <w:p w14:paraId="0D41F0D8" w14:textId="77777777" w:rsidR="00651C0D" w:rsidRPr="000859B4" w:rsidRDefault="00651C0D" w:rsidP="00120DB1">
            <w:pPr>
              <w:spacing w:before="20" w:after="20"/>
              <w:jc w:val="center"/>
              <w:rPr>
                <w:rFonts w:cs="Arial"/>
                <w:sz w:val="18"/>
                <w:szCs w:val="18"/>
              </w:rPr>
            </w:pPr>
            <w:r w:rsidRPr="000859B4">
              <w:rPr>
                <w:rFonts w:cs="Arial"/>
                <w:sz w:val="18"/>
                <w:szCs w:val="18"/>
              </w:rPr>
              <w:t>3</w:t>
            </w:r>
          </w:p>
        </w:tc>
        <w:tc>
          <w:tcPr>
            <w:tcW w:w="850" w:type="dxa"/>
            <w:tcBorders>
              <w:right w:val="single" w:sz="4" w:space="0" w:color="A8D08D" w:themeColor="accent6" w:themeTint="99"/>
            </w:tcBorders>
            <w:noWrap/>
            <w:hideMark/>
          </w:tcPr>
          <w:p w14:paraId="35C14445" w14:textId="77777777" w:rsidR="00651C0D" w:rsidRPr="000859B4" w:rsidRDefault="00651C0D" w:rsidP="00120DB1">
            <w:pPr>
              <w:spacing w:before="20" w:after="20"/>
              <w:jc w:val="center"/>
              <w:rPr>
                <w:rFonts w:cs="Arial"/>
                <w:sz w:val="18"/>
                <w:szCs w:val="18"/>
              </w:rPr>
            </w:pPr>
            <w:r w:rsidRPr="000859B4">
              <w:rPr>
                <w:rFonts w:cs="Arial"/>
                <w:sz w:val="18"/>
                <w:szCs w:val="18"/>
              </w:rPr>
              <w:t>5</w:t>
            </w:r>
          </w:p>
        </w:tc>
        <w:tc>
          <w:tcPr>
            <w:tcW w:w="851" w:type="dxa"/>
            <w:tcBorders>
              <w:left w:val="single" w:sz="4" w:space="0" w:color="A8D08D" w:themeColor="accent6" w:themeTint="99"/>
            </w:tcBorders>
            <w:noWrap/>
            <w:hideMark/>
          </w:tcPr>
          <w:p w14:paraId="5264CE93" w14:textId="77777777" w:rsidR="00651C0D" w:rsidRPr="000859B4" w:rsidRDefault="00651C0D" w:rsidP="00120DB1">
            <w:pPr>
              <w:spacing w:before="20" w:after="20"/>
              <w:jc w:val="center"/>
              <w:rPr>
                <w:rFonts w:cs="Arial"/>
                <w:sz w:val="18"/>
                <w:szCs w:val="18"/>
              </w:rPr>
            </w:pPr>
          </w:p>
        </w:tc>
        <w:tc>
          <w:tcPr>
            <w:tcW w:w="850" w:type="dxa"/>
            <w:noWrap/>
            <w:hideMark/>
          </w:tcPr>
          <w:p w14:paraId="0055D07F" w14:textId="77777777" w:rsidR="00651C0D" w:rsidRPr="000859B4" w:rsidRDefault="00651C0D" w:rsidP="00120DB1">
            <w:pPr>
              <w:spacing w:before="20" w:after="20"/>
              <w:jc w:val="center"/>
              <w:rPr>
                <w:rFonts w:cs="Arial"/>
                <w:sz w:val="18"/>
                <w:szCs w:val="18"/>
              </w:rPr>
            </w:pPr>
            <w:r w:rsidRPr="000859B4">
              <w:rPr>
                <w:rFonts w:cs="Arial"/>
                <w:sz w:val="18"/>
                <w:szCs w:val="18"/>
              </w:rPr>
              <w:t>464</w:t>
            </w:r>
          </w:p>
        </w:tc>
        <w:tc>
          <w:tcPr>
            <w:tcW w:w="993" w:type="dxa"/>
            <w:noWrap/>
            <w:hideMark/>
          </w:tcPr>
          <w:p w14:paraId="772C4B9C" w14:textId="2C853DAA" w:rsidR="00651C0D" w:rsidRPr="00F40D37" w:rsidRDefault="00F40D37" w:rsidP="00120DB1">
            <w:pPr>
              <w:spacing w:before="20" w:after="20"/>
              <w:jc w:val="center"/>
              <w:rPr>
                <w:rFonts w:cs="Arial"/>
                <w:bCs/>
                <w:sz w:val="18"/>
                <w:szCs w:val="18"/>
                <w:lang w:eastAsia="en-AU"/>
              </w:rPr>
            </w:pPr>
            <w:r w:rsidRPr="00F40D37">
              <w:rPr>
                <w:rFonts w:cs="Arial"/>
                <w:bCs/>
                <w:sz w:val="18"/>
                <w:szCs w:val="18"/>
              </w:rPr>
              <w:t>1</w:t>
            </w:r>
          </w:p>
        </w:tc>
      </w:tr>
      <w:tr w:rsidR="00120DB1" w:rsidRPr="00D31C7B" w14:paraId="604639ED" w14:textId="77777777" w:rsidTr="00120DB1">
        <w:trPr>
          <w:divId w:val="1706055103"/>
          <w:trHeight w:val="20"/>
        </w:trPr>
        <w:tc>
          <w:tcPr>
            <w:tcW w:w="3162" w:type="dxa"/>
            <w:noWrap/>
            <w:hideMark/>
          </w:tcPr>
          <w:p w14:paraId="1691E288" w14:textId="77777777" w:rsidR="00651C0D" w:rsidRPr="000859B4" w:rsidRDefault="00651C0D" w:rsidP="00120DB1">
            <w:pPr>
              <w:spacing w:before="20" w:after="20"/>
              <w:rPr>
                <w:rFonts w:cs="Arial"/>
                <w:sz w:val="18"/>
                <w:szCs w:val="18"/>
              </w:rPr>
            </w:pPr>
            <w:r w:rsidRPr="000859B4">
              <w:rPr>
                <w:rFonts w:cs="Arial"/>
                <w:sz w:val="18"/>
                <w:szCs w:val="18"/>
              </w:rPr>
              <w:t>Cert. III- Fitting and Machining</w:t>
            </w:r>
          </w:p>
        </w:tc>
        <w:tc>
          <w:tcPr>
            <w:tcW w:w="807" w:type="dxa"/>
            <w:noWrap/>
            <w:hideMark/>
          </w:tcPr>
          <w:p w14:paraId="75AC44E8" w14:textId="77777777" w:rsidR="00651C0D" w:rsidRPr="000859B4" w:rsidRDefault="00651C0D" w:rsidP="00120DB1">
            <w:pPr>
              <w:spacing w:before="20" w:after="20"/>
              <w:jc w:val="center"/>
              <w:rPr>
                <w:rFonts w:cs="Arial"/>
                <w:sz w:val="18"/>
                <w:szCs w:val="18"/>
              </w:rPr>
            </w:pPr>
            <w:r w:rsidRPr="000859B4">
              <w:rPr>
                <w:rFonts w:cs="Arial"/>
                <w:sz w:val="18"/>
                <w:szCs w:val="18"/>
              </w:rPr>
              <w:t>2</w:t>
            </w:r>
          </w:p>
        </w:tc>
        <w:tc>
          <w:tcPr>
            <w:tcW w:w="851" w:type="dxa"/>
            <w:noWrap/>
            <w:hideMark/>
          </w:tcPr>
          <w:p w14:paraId="6CDC7FC0" w14:textId="77777777" w:rsidR="00651C0D" w:rsidRPr="000859B4" w:rsidRDefault="00651C0D" w:rsidP="00120DB1">
            <w:pPr>
              <w:spacing w:before="20" w:after="20"/>
              <w:jc w:val="center"/>
              <w:rPr>
                <w:rFonts w:cs="Arial"/>
                <w:sz w:val="18"/>
                <w:szCs w:val="18"/>
              </w:rPr>
            </w:pPr>
            <w:r w:rsidRPr="000859B4">
              <w:rPr>
                <w:rFonts w:cs="Arial"/>
                <w:sz w:val="18"/>
                <w:szCs w:val="18"/>
              </w:rPr>
              <w:t>5</w:t>
            </w:r>
          </w:p>
        </w:tc>
        <w:tc>
          <w:tcPr>
            <w:tcW w:w="850" w:type="dxa"/>
            <w:tcBorders>
              <w:right w:val="single" w:sz="4" w:space="0" w:color="A8D08D" w:themeColor="accent6" w:themeTint="99"/>
            </w:tcBorders>
            <w:noWrap/>
            <w:hideMark/>
          </w:tcPr>
          <w:p w14:paraId="621DD22C" w14:textId="77777777" w:rsidR="00651C0D" w:rsidRPr="000859B4" w:rsidRDefault="00651C0D" w:rsidP="00120DB1">
            <w:pPr>
              <w:spacing w:before="20" w:after="20"/>
              <w:jc w:val="center"/>
              <w:rPr>
                <w:rFonts w:cs="Arial"/>
                <w:sz w:val="18"/>
                <w:szCs w:val="18"/>
              </w:rPr>
            </w:pPr>
            <w:r w:rsidRPr="000859B4">
              <w:rPr>
                <w:rFonts w:cs="Arial"/>
                <w:sz w:val="18"/>
                <w:szCs w:val="18"/>
              </w:rPr>
              <w:t>7</w:t>
            </w:r>
          </w:p>
        </w:tc>
        <w:tc>
          <w:tcPr>
            <w:tcW w:w="851" w:type="dxa"/>
            <w:tcBorders>
              <w:left w:val="single" w:sz="4" w:space="0" w:color="A8D08D" w:themeColor="accent6" w:themeTint="99"/>
            </w:tcBorders>
            <w:noWrap/>
            <w:hideMark/>
          </w:tcPr>
          <w:p w14:paraId="2D14D1B4" w14:textId="77777777" w:rsidR="00651C0D" w:rsidRPr="000859B4" w:rsidRDefault="00651C0D" w:rsidP="00120DB1">
            <w:pPr>
              <w:spacing w:before="20" w:after="20"/>
              <w:jc w:val="center"/>
              <w:rPr>
                <w:rFonts w:cs="Arial"/>
                <w:sz w:val="18"/>
                <w:szCs w:val="18"/>
              </w:rPr>
            </w:pPr>
          </w:p>
        </w:tc>
        <w:tc>
          <w:tcPr>
            <w:tcW w:w="850" w:type="dxa"/>
            <w:noWrap/>
            <w:hideMark/>
          </w:tcPr>
          <w:p w14:paraId="12BDB990" w14:textId="77777777" w:rsidR="00651C0D" w:rsidRPr="000859B4" w:rsidRDefault="00651C0D" w:rsidP="00120DB1">
            <w:pPr>
              <w:spacing w:before="20" w:after="20"/>
              <w:jc w:val="center"/>
              <w:rPr>
                <w:rFonts w:cs="Arial"/>
                <w:sz w:val="18"/>
                <w:szCs w:val="18"/>
              </w:rPr>
            </w:pPr>
            <w:r w:rsidRPr="000859B4">
              <w:rPr>
                <w:rFonts w:cs="Arial"/>
                <w:sz w:val="18"/>
                <w:szCs w:val="18"/>
              </w:rPr>
              <w:t>317</w:t>
            </w:r>
          </w:p>
        </w:tc>
        <w:tc>
          <w:tcPr>
            <w:tcW w:w="993" w:type="dxa"/>
            <w:noWrap/>
            <w:hideMark/>
          </w:tcPr>
          <w:p w14:paraId="1384949E" w14:textId="7A9552F4" w:rsidR="00651C0D" w:rsidRPr="00F40D37" w:rsidRDefault="00F40D37" w:rsidP="00120DB1">
            <w:pPr>
              <w:spacing w:before="20" w:after="20"/>
              <w:jc w:val="center"/>
              <w:rPr>
                <w:rFonts w:cs="Arial"/>
                <w:bCs/>
                <w:sz w:val="18"/>
                <w:szCs w:val="18"/>
                <w:lang w:eastAsia="en-AU"/>
              </w:rPr>
            </w:pPr>
            <w:r w:rsidRPr="00F40D37">
              <w:rPr>
                <w:rFonts w:cs="Arial"/>
                <w:bCs/>
                <w:sz w:val="18"/>
                <w:szCs w:val="18"/>
              </w:rPr>
              <w:t>2</w:t>
            </w:r>
          </w:p>
        </w:tc>
      </w:tr>
      <w:tr w:rsidR="00120DB1" w:rsidRPr="00D31C7B" w14:paraId="09B18AA7" w14:textId="77777777" w:rsidTr="00AB0732">
        <w:trPr>
          <w:divId w:val="1706055103"/>
          <w:trHeight w:val="20"/>
        </w:trPr>
        <w:tc>
          <w:tcPr>
            <w:tcW w:w="3162" w:type="dxa"/>
            <w:noWrap/>
            <w:hideMark/>
          </w:tcPr>
          <w:p w14:paraId="012932B6" w14:textId="77777777" w:rsidR="00651C0D" w:rsidRPr="000859B4" w:rsidRDefault="00651C0D" w:rsidP="00120DB1">
            <w:pPr>
              <w:spacing w:before="20" w:after="20"/>
              <w:rPr>
                <w:rFonts w:cs="Arial"/>
                <w:sz w:val="18"/>
                <w:szCs w:val="18"/>
              </w:rPr>
            </w:pPr>
            <w:r w:rsidRPr="000859B4">
              <w:rPr>
                <w:rFonts w:cs="Arial"/>
                <w:sz w:val="18"/>
                <w:szCs w:val="18"/>
              </w:rPr>
              <w:t xml:space="preserve">Cert. III- Refrigeration &amp; A.C. </w:t>
            </w:r>
          </w:p>
        </w:tc>
        <w:tc>
          <w:tcPr>
            <w:tcW w:w="807" w:type="dxa"/>
            <w:noWrap/>
            <w:hideMark/>
          </w:tcPr>
          <w:p w14:paraId="248B1C07" w14:textId="77777777" w:rsidR="00651C0D" w:rsidRPr="000859B4" w:rsidRDefault="00651C0D" w:rsidP="00120DB1">
            <w:pPr>
              <w:spacing w:before="20" w:after="20"/>
              <w:jc w:val="center"/>
              <w:rPr>
                <w:rFonts w:cs="Arial"/>
                <w:sz w:val="18"/>
                <w:szCs w:val="18"/>
              </w:rPr>
            </w:pPr>
            <w:r w:rsidRPr="000859B4">
              <w:rPr>
                <w:rFonts w:cs="Arial"/>
                <w:sz w:val="18"/>
                <w:szCs w:val="18"/>
              </w:rPr>
              <w:t>1</w:t>
            </w:r>
          </w:p>
        </w:tc>
        <w:tc>
          <w:tcPr>
            <w:tcW w:w="851" w:type="dxa"/>
            <w:noWrap/>
            <w:hideMark/>
          </w:tcPr>
          <w:p w14:paraId="07BEFCF5" w14:textId="77777777" w:rsidR="00651C0D" w:rsidRPr="000859B4" w:rsidRDefault="00651C0D" w:rsidP="00120DB1">
            <w:pPr>
              <w:spacing w:before="20" w:after="20"/>
              <w:jc w:val="center"/>
              <w:rPr>
                <w:rFonts w:cs="Arial"/>
                <w:sz w:val="18"/>
                <w:szCs w:val="18"/>
              </w:rPr>
            </w:pPr>
            <w:r w:rsidRPr="000859B4">
              <w:rPr>
                <w:rFonts w:cs="Arial"/>
                <w:sz w:val="18"/>
                <w:szCs w:val="18"/>
              </w:rPr>
              <w:t>2</w:t>
            </w:r>
          </w:p>
        </w:tc>
        <w:tc>
          <w:tcPr>
            <w:tcW w:w="850" w:type="dxa"/>
            <w:tcBorders>
              <w:right w:val="single" w:sz="4" w:space="0" w:color="A8D08D" w:themeColor="accent6" w:themeTint="99"/>
            </w:tcBorders>
            <w:noWrap/>
            <w:hideMark/>
          </w:tcPr>
          <w:p w14:paraId="44FAFBC3" w14:textId="77777777" w:rsidR="00651C0D" w:rsidRPr="000859B4" w:rsidRDefault="00651C0D" w:rsidP="00120DB1">
            <w:pPr>
              <w:spacing w:before="20" w:after="20"/>
              <w:jc w:val="center"/>
              <w:rPr>
                <w:rFonts w:cs="Arial"/>
                <w:sz w:val="18"/>
                <w:szCs w:val="18"/>
              </w:rPr>
            </w:pPr>
            <w:r w:rsidRPr="000859B4">
              <w:rPr>
                <w:rFonts w:cs="Arial"/>
                <w:sz w:val="18"/>
                <w:szCs w:val="18"/>
              </w:rPr>
              <w:t>3</w:t>
            </w:r>
          </w:p>
        </w:tc>
        <w:tc>
          <w:tcPr>
            <w:tcW w:w="851" w:type="dxa"/>
            <w:tcBorders>
              <w:left w:val="single" w:sz="4" w:space="0" w:color="A8D08D" w:themeColor="accent6" w:themeTint="99"/>
            </w:tcBorders>
            <w:noWrap/>
            <w:hideMark/>
          </w:tcPr>
          <w:p w14:paraId="6B99453C" w14:textId="77777777" w:rsidR="00651C0D" w:rsidRPr="000859B4" w:rsidRDefault="00651C0D" w:rsidP="00120DB1">
            <w:pPr>
              <w:spacing w:before="20" w:after="20"/>
              <w:jc w:val="center"/>
              <w:rPr>
                <w:rFonts w:cs="Arial"/>
                <w:sz w:val="18"/>
                <w:szCs w:val="18"/>
              </w:rPr>
            </w:pPr>
          </w:p>
        </w:tc>
        <w:tc>
          <w:tcPr>
            <w:tcW w:w="850" w:type="dxa"/>
            <w:noWrap/>
            <w:hideMark/>
          </w:tcPr>
          <w:p w14:paraId="72020BC6" w14:textId="77777777" w:rsidR="00651C0D" w:rsidRPr="000859B4" w:rsidRDefault="00651C0D" w:rsidP="00120DB1">
            <w:pPr>
              <w:spacing w:before="20" w:after="20"/>
              <w:jc w:val="center"/>
              <w:rPr>
                <w:rFonts w:cs="Arial"/>
                <w:sz w:val="18"/>
                <w:szCs w:val="18"/>
              </w:rPr>
            </w:pPr>
            <w:r w:rsidRPr="000859B4">
              <w:rPr>
                <w:rFonts w:cs="Arial"/>
                <w:sz w:val="18"/>
                <w:szCs w:val="18"/>
              </w:rPr>
              <w:t>127</w:t>
            </w:r>
          </w:p>
        </w:tc>
        <w:tc>
          <w:tcPr>
            <w:tcW w:w="993" w:type="dxa"/>
            <w:noWrap/>
            <w:hideMark/>
          </w:tcPr>
          <w:p w14:paraId="538AAA3B" w14:textId="0225047E" w:rsidR="00651C0D" w:rsidRPr="00F40D37" w:rsidRDefault="00F40D37" w:rsidP="00120DB1">
            <w:pPr>
              <w:spacing w:before="20" w:after="20"/>
              <w:jc w:val="center"/>
              <w:rPr>
                <w:rFonts w:cs="Arial"/>
                <w:bCs/>
                <w:sz w:val="18"/>
                <w:szCs w:val="18"/>
                <w:lang w:eastAsia="en-AU"/>
              </w:rPr>
            </w:pPr>
            <w:r w:rsidRPr="00F40D37">
              <w:rPr>
                <w:rFonts w:cs="Arial"/>
                <w:bCs/>
                <w:sz w:val="18"/>
                <w:szCs w:val="18"/>
              </w:rPr>
              <w:t>2</w:t>
            </w:r>
          </w:p>
        </w:tc>
      </w:tr>
      <w:tr w:rsidR="00120DB1" w:rsidRPr="00D31C7B" w14:paraId="46DBA75A" w14:textId="77777777" w:rsidTr="00AB0732">
        <w:trPr>
          <w:divId w:val="1706055103"/>
          <w:trHeight w:val="20"/>
        </w:trPr>
        <w:tc>
          <w:tcPr>
            <w:tcW w:w="3162" w:type="dxa"/>
            <w:shd w:val="clear" w:color="auto" w:fill="E2EFD9" w:themeFill="accent6" w:themeFillTint="33"/>
            <w:noWrap/>
            <w:hideMark/>
          </w:tcPr>
          <w:p w14:paraId="7B20EDC0" w14:textId="77777777" w:rsidR="00651C0D" w:rsidRPr="000859B4" w:rsidRDefault="00651C0D" w:rsidP="00120DB1">
            <w:pPr>
              <w:spacing w:before="20" w:after="20"/>
              <w:rPr>
                <w:rFonts w:cs="Arial"/>
                <w:b/>
                <w:bCs/>
                <w:sz w:val="18"/>
                <w:szCs w:val="18"/>
              </w:rPr>
            </w:pPr>
            <w:r w:rsidRPr="000859B4">
              <w:rPr>
                <w:rFonts w:cs="Arial"/>
                <w:b/>
                <w:bCs/>
                <w:sz w:val="18"/>
                <w:szCs w:val="18"/>
              </w:rPr>
              <w:t>Electrotechnology - total</w:t>
            </w:r>
          </w:p>
        </w:tc>
        <w:tc>
          <w:tcPr>
            <w:tcW w:w="807" w:type="dxa"/>
            <w:shd w:val="clear" w:color="auto" w:fill="E2EFD9" w:themeFill="accent6" w:themeFillTint="33"/>
            <w:noWrap/>
            <w:hideMark/>
          </w:tcPr>
          <w:p w14:paraId="394DCAB9"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4</w:t>
            </w:r>
          </w:p>
        </w:tc>
        <w:tc>
          <w:tcPr>
            <w:tcW w:w="851" w:type="dxa"/>
            <w:shd w:val="clear" w:color="auto" w:fill="E2EFD9" w:themeFill="accent6" w:themeFillTint="33"/>
            <w:noWrap/>
            <w:hideMark/>
          </w:tcPr>
          <w:p w14:paraId="7866EB4D"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5</w:t>
            </w:r>
          </w:p>
        </w:tc>
        <w:tc>
          <w:tcPr>
            <w:tcW w:w="850" w:type="dxa"/>
            <w:shd w:val="clear" w:color="auto" w:fill="E2EFD9" w:themeFill="accent6" w:themeFillTint="33"/>
            <w:noWrap/>
            <w:hideMark/>
          </w:tcPr>
          <w:p w14:paraId="1F5DEFD9"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9</w:t>
            </w:r>
          </w:p>
        </w:tc>
        <w:tc>
          <w:tcPr>
            <w:tcW w:w="851" w:type="dxa"/>
            <w:shd w:val="clear" w:color="auto" w:fill="E2EFD9" w:themeFill="accent6" w:themeFillTint="33"/>
            <w:noWrap/>
            <w:hideMark/>
          </w:tcPr>
          <w:p w14:paraId="71C70982" w14:textId="7087E22B" w:rsidR="00651C0D" w:rsidRPr="000859B4" w:rsidRDefault="00F40D37" w:rsidP="00120DB1">
            <w:pPr>
              <w:spacing w:before="20" w:after="20"/>
              <w:jc w:val="center"/>
              <w:rPr>
                <w:rFonts w:cs="Arial"/>
                <w:b/>
                <w:bCs/>
                <w:sz w:val="18"/>
                <w:szCs w:val="18"/>
                <w:lang w:eastAsia="en-AU"/>
              </w:rPr>
            </w:pPr>
            <w:r>
              <w:rPr>
                <w:rFonts w:cs="Arial"/>
                <w:b/>
                <w:bCs/>
                <w:sz w:val="18"/>
                <w:szCs w:val="18"/>
              </w:rPr>
              <w:t>2</w:t>
            </w:r>
          </w:p>
        </w:tc>
        <w:tc>
          <w:tcPr>
            <w:tcW w:w="850" w:type="dxa"/>
            <w:shd w:val="clear" w:color="auto" w:fill="E2EFD9" w:themeFill="accent6" w:themeFillTint="33"/>
            <w:noWrap/>
            <w:hideMark/>
          </w:tcPr>
          <w:p w14:paraId="7BC4AA79"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311</w:t>
            </w:r>
          </w:p>
        </w:tc>
        <w:tc>
          <w:tcPr>
            <w:tcW w:w="993" w:type="dxa"/>
            <w:shd w:val="clear" w:color="auto" w:fill="E2EFD9" w:themeFill="accent6" w:themeFillTint="33"/>
            <w:noWrap/>
            <w:hideMark/>
          </w:tcPr>
          <w:p w14:paraId="42CCD387" w14:textId="25B74228" w:rsidR="00651C0D" w:rsidRPr="000859B4" w:rsidRDefault="00F40D37" w:rsidP="00120DB1">
            <w:pPr>
              <w:spacing w:before="20" w:after="20"/>
              <w:jc w:val="center"/>
              <w:rPr>
                <w:rFonts w:cs="Arial"/>
                <w:b/>
                <w:bCs/>
                <w:sz w:val="18"/>
                <w:szCs w:val="18"/>
                <w:lang w:eastAsia="en-AU"/>
              </w:rPr>
            </w:pPr>
            <w:r>
              <w:rPr>
                <w:rFonts w:cs="Arial"/>
                <w:b/>
                <w:bCs/>
                <w:sz w:val="18"/>
                <w:szCs w:val="18"/>
              </w:rPr>
              <w:t>3</w:t>
            </w:r>
          </w:p>
        </w:tc>
      </w:tr>
      <w:tr w:rsidR="00120DB1" w:rsidRPr="00D31C7B" w14:paraId="494CEBDC" w14:textId="77777777" w:rsidTr="00AB0732">
        <w:trPr>
          <w:divId w:val="1706055103"/>
          <w:trHeight w:val="20"/>
        </w:trPr>
        <w:tc>
          <w:tcPr>
            <w:tcW w:w="3162" w:type="dxa"/>
            <w:noWrap/>
            <w:hideMark/>
          </w:tcPr>
          <w:p w14:paraId="73B00235" w14:textId="77777777" w:rsidR="00651C0D" w:rsidRPr="000859B4" w:rsidRDefault="00651C0D" w:rsidP="00120DB1">
            <w:pPr>
              <w:spacing w:before="20" w:after="20"/>
              <w:rPr>
                <w:rFonts w:cs="Arial"/>
                <w:sz w:val="18"/>
                <w:szCs w:val="18"/>
              </w:rPr>
            </w:pPr>
            <w:r w:rsidRPr="000859B4">
              <w:rPr>
                <w:rFonts w:cs="Arial"/>
                <w:sz w:val="18"/>
                <w:szCs w:val="18"/>
              </w:rPr>
              <w:t>Cert. III- Electrotechnology</w:t>
            </w:r>
          </w:p>
        </w:tc>
        <w:tc>
          <w:tcPr>
            <w:tcW w:w="807" w:type="dxa"/>
            <w:noWrap/>
            <w:hideMark/>
          </w:tcPr>
          <w:p w14:paraId="42519547" w14:textId="77777777" w:rsidR="00651C0D" w:rsidRPr="000859B4" w:rsidRDefault="00651C0D" w:rsidP="00120DB1">
            <w:pPr>
              <w:spacing w:before="20" w:after="20"/>
              <w:jc w:val="center"/>
              <w:rPr>
                <w:rFonts w:cs="Arial"/>
                <w:sz w:val="18"/>
                <w:szCs w:val="18"/>
              </w:rPr>
            </w:pPr>
            <w:r w:rsidRPr="000859B4">
              <w:rPr>
                <w:rFonts w:cs="Arial"/>
                <w:sz w:val="18"/>
                <w:szCs w:val="18"/>
              </w:rPr>
              <w:t>4</w:t>
            </w:r>
          </w:p>
        </w:tc>
        <w:tc>
          <w:tcPr>
            <w:tcW w:w="851" w:type="dxa"/>
            <w:noWrap/>
            <w:hideMark/>
          </w:tcPr>
          <w:p w14:paraId="4ED89F88" w14:textId="77777777" w:rsidR="00651C0D" w:rsidRPr="000859B4" w:rsidRDefault="00651C0D" w:rsidP="00120DB1">
            <w:pPr>
              <w:spacing w:before="20" w:after="20"/>
              <w:jc w:val="center"/>
              <w:rPr>
                <w:rFonts w:cs="Arial"/>
                <w:sz w:val="18"/>
                <w:szCs w:val="18"/>
              </w:rPr>
            </w:pPr>
            <w:r w:rsidRPr="000859B4">
              <w:rPr>
                <w:rFonts w:cs="Arial"/>
                <w:sz w:val="18"/>
                <w:szCs w:val="18"/>
              </w:rPr>
              <w:t>5</w:t>
            </w:r>
          </w:p>
        </w:tc>
        <w:tc>
          <w:tcPr>
            <w:tcW w:w="850" w:type="dxa"/>
            <w:noWrap/>
            <w:hideMark/>
          </w:tcPr>
          <w:p w14:paraId="676CFCF8" w14:textId="77777777" w:rsidR="00651C0D" w:rsidRPr="000859B4" w:rsidRDefault="00651C0D" w:rsidP="00120DB1">
            <w:pPr>
              <w:spacing w:before="20" w:after="20"/>
              <w:jc w:val="center"/>
              <w:rPr>
                <w:rFonts w:cs="Arial"/>
                <w:sz w:val="18"/>
                <w:szCs w:val="18"/>
              </w:rPr>
            </w:pPr>
            <w:r w:rsidRPr="000859B4">
              <w:rPr>
                <w:rFonts w:cs="Arial"/>
                <w:sz w:val="18"/>
                <w:szCs w:val="18"/>
              </w:rPr>
              <w:t>9</w:t>
            </w:r>
          </w:p>
        </w:tc>
        <w:tc>
          <w:tcPr>
            <w:tcW w:w="851" w:type="dxa"/>
            <w:noWrap/>
            <w:hideMark/>
          </w:tcPr>
          <w:p w14:paraId="5B31AAC1" w14:textId="77777777" w:rsidR="00651C0D" w:rsidRPr="000859B4" w:rsidRDefault="00651C0D" w:rsidP="00120DB1">
            <w:pPr>
              <w:spacing w:before="20" w:after="20"/>
              <w:jc w:val="center"/>
              <w:rPr>
                <w:rFonts w:cs="Arial"/>
                <w:sz w:val="18"/>
                <w:szCs w:val="18"/>
              </w:rPr>
            </w:pPr>
          </w:p>
        </w:tc>
        <w:tc>
          <w:tcPr>
            <w:tcW w:w="850" w:type="dxa"/>
            <w:noWrap/>
            <w:hideMark/>
          </w:tcPr>
          <w:p w14:paraId="1B70A733" w14:textId="77777777" w:rsidR="00651C0D" w:rsidRPr="000859B4" w:rsidRDefault="00651C0D" w:rsidP="00120DB1">
            <w:pPr>
              <w:spacing w:before="20" w:after="20"/>
              <w:jc w:val="center"/>
              <w:rPr>
                <w:rFonts w:cs="Arial"/>
                <w:sz w:val="18"/>
                <w:szCs w:val="18"/>
              </w:rPr>
            </w:pPr>
            <w:r w:rsidRPr="000859B4">
              <w:rPr>
                <w:rFonts w:cs="Arial"/>
                <w:sz w:val="18"/>
                <w:szCs w:val="18"/>
              </w:rPr>
              <w:t>311</w:t>
            </w:r>
          </w:p>
        </w:tc>
        <w:tc>
          <w:tcPr>
            <w:tcW w:w="993" w:type="dxa"/>
            <w:noWrap/>
            <w:hideMark/>
          </w:tcPr>
          <w:p w14:paraId="4BCB1762" w14:textId="628C6499" w:rsidR="00651C0D" w:rsidRPr="00F40D37" w:rsidRDefault="00F40D37" w:rsidP="00120DB1">
            <w:pPr>
              <w:spacing w:before="20" w:after="20"/>
              <w:jc w:val="center"/>
              <w:rPr>
                <w:rFonts w:cs="Arial"/>
                <w:bCs/>
                <w:sz w:val="18"/>
                <w:szCs w:val="18"/>
                <w:lang w:eastAsia="en-AU"/>
              </w:rPr>
            </w:pPr>
            <w:r w:rsidRPr="00F40D37">
              <w:rPr>
                <w:rFonts w:cs="Arial"/>
                <w:bCs/>
                <w:sz w:val="18"/>
                <w:szCs w:val="18"/>
              </w:rPr>
              <w:t>3</w:t>
            </w:r>
          </w:p>
        </w:tc>
      </w:tr>
      <w:tr w:rsidR="00120DB1" w:rsidRPr="00D31C7B" w14:paraId="74FC7CD8" w14:textId="77777777" w:rsidTr="00AB0732">
        <w:trPr>
          <w:divId w:val="1706055103"/>
          <w:trHeight w:val="20"/>
        </w:trPr>
        <w:tc>
          <w:tcPr>
            <w:tcW w:w="3162" w:type="dxa"/>
            <w:shd w:val="clear" w:color="auto" w:fill="E2EFD9" w:themeFill="accent6" w:themeFillTint="33"/>
            <w:noWrap/>
            <w:hideMark/>
          </w:tcPr>
          <w:p w14:paraId="270127EC" w14:textId="77777777" w:rsidR="00651C0D" w:rsidRPr="000859B4" w:rsidRDefault="00651C0D" w:rsidP="00120DB1">
            <w:pPr>
              <w:spacing w:before="20" w:after="20"/>
              <w:rPr>
                <w:rFonts w:cs="Arial"/>
                <w:b/>
                <w:bCs/>
                <w:sz w:val="18"/>
                <w:szCs w:val="18"/>
              </w:rPr>
            </w:pPr>
            <w:r w:rsidRPr="000859B4">
              <w:rPr>
                <w:rFonts w:cs="Arial"/>
                <w:b/>
                <w:bCs/>
                <w:sz w:val="18"/>
                <w:szCs w:val="18"/>
              </w:rPr>
              <w:t>Total</w:t>
            </w:r>
          </w:p>
        </w:tc>
        <w:tc>
          <w:tcPr>
            <w:tcW w:w="807" w:type="dxa"/>
            <w:shd w:val="clear" w:color="auto" w:fill="E2EFD9" w:themeFill="accent6" w:themeFillTint="33"/>
            <w:noWrap/>
            <w:hideMark/>
          </w:tcPr>
          <w:p w14:paraId="726549C5"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239</w:t>
            </w:r>
          </w:p>
        </w:tc>
        <w:tc>
          <w:tcPr>
            <w:tcW w:w="851" w:type="dxa"/>
            <w:shd w:val="clear" w:color="auto" w:fill="E2EFD9" w:themeFill="accent6" w:themeFillTint="33"/>
            <w:noWrap/>
            <w:hideMark/>
          </w:tcPr>
          <w:p w14:paraId="32CBFDE2"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195</w:t>
            </w:r>
          </w:p>
        </w:tc>
        <w:tc>
          <w:tcPr>
            <w:tcW w:w="850" w:type="dxa"/>
            <w:tcBorders>
              <w:right w:val="single" w:sz="4" w:space="0" w:color="A8D08D" w:themeColor="accent6" w:themeTint="99"/>
            </w:tcBorders>
            <w:shd w:val="clear" w:color="auto" w:fill="E2EFD9" w:themeFill="accent6" w:themeFillTint="33"/>
            <w:noWrap/>
            <w:hideMark/>
          </w:tcPr>
          <w:p w14:paraId="56D78F8E"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434</w:t>
            </w:r>
          </w:p>
        </w:tc>
        <w:tc>
          <w:tcPr>
            <w:tcW w:w="851" w:type="dxa"/>
            <w:tcBorders>
              <w:left w:val="single" w:sz="4" w:space="0" w:color="A8D08D" w:themeColor="accent6" w:themeTint="99"/>
            </w:tcBorders>
            <w:shd w:val="clear" w:color="auto" w:fill="E2EFD9" w:themeFill="accent6" w:themeFillTint="33"/>
            <w:noWrap/>
            <w:hideMark/>
          </w:tcPr>
          <w:p w14:paraId="26AB2D3A" w14:textId="1F2268AD" w:rsidR="00651C0D" w:rsidRPr="000859B4" w:rsidRDefault="00F40D37" w:rsidP="00120DB1">
            <w:pPr>
              <w:spacing w:before="20" w:after="20"/>
              <w:jc w:val="center"/>
              <w:rPr>
                <w:rFonts w:cs="Arial"/>
                <w:b/>
                <w:bCs/>
                <w:sz w:val="18"/>
                <w:szCs w:val="18"/>
                <w:lang w:eastAsia="en-AU"/>
              </w:rPr>
            </w:pPr>
            <w:r>
              <w:rPr>
                <w:rFonts w:cs="Arial"/>
                <w:b/>
                <w:bCs/>
                <w:sz w:val="18"/>
                <w:szCs w:val="18"/>
              </w:rPr>
              <w:t>100</w:t>
            </w:r>
          </w:p>
        </w:tc>
        <w:tc>
          <w:tcPr>
            <w:tcW w:w="850" w:type="dxa"/>
            <w:shd w:val="clear" w:color="auto" w:fill="E2EFD9" w:themeFill="accent6" w:themeFillTint="33"/>
            <w:noWrap/>
            <w:hideMark/>
          </w:tcPr>
          <w:p w14:paraId="0FF2E077" w14:textId="77777777" w:rsidR="00651C0D" w:rsidRPr="000859B4" w:rsidRDefault="00651C0D" w:rsidP="00120DB1">
            <w:pPr>
              <w:spacing w:before="20" w:after="20"/>
              <w:jc w:val="center"/>
              <w:rPr>
                <w:rFonts w:cs="Arial"/>
                <w:b/>
                <w:bCs/>
                <w:sz w:val="18"/>
                <w:szCs w:val="18"/>
              </w:rPr>
            </w:pPr>
            <w:r w:rsidRPr="000859B4">
              <w:rPr>
                <w:rFonts w:cs="Arial"/>
                <w:b/>
                <w:bCs/>
                <w:sz w:val="18"/>
                <w:szCs w:val="18"/>
              </w:rPr>
              <w:t>3867</w:t>
            </w:r>
          </w:p>
        </w:tc>
        <w:tc>
          <w:tcPr>
            <w:tcW w:w="993" w:type="dxa"/>
            <w:shd w:val="clear" w:color="auto" w:fill="E2EFD9" w:themeFill="accent6" w:themeFillTint="33"/>
            <w:noWrap/>
            <w:hideMark/>
          </w:tcPr>
          <w:p w14:paraId="7399F943" w14:textId="6A6F92FE" w:rsidR="00651C0D" w:rsidRPr="000859B4" w:rsidRDefault="00F40D37" w:rsidP="00120DB1">
            <w:pPr>
              <w:spacing w:before="20" w:after="20"/>
              <w:jc w:val="center"/>
              <w:rPr>
                <w:rFonts w:cs="Arial"/>
                <w:b/>
                <w:bCs/>
                <w:sz w:val="18"/>
                <w:szCs w:val="18"/>
                <w:lang w:eastAsia="en-AU"/>
              </w:rPr>
            </w:pPr>
            <w:r>
              <w:rPr>
                <w:rFonts w:cs="Arial"/>
                <w:b/>
                <w:bCs/>
                <w:sz w:val="18"/>
                <w:szCs w:val="18"/>
              </w:rPr>
              <w:t>11</w:t>
            </w:r>
          </w:p>
        </w:tc>
      </w:tr>
      <w:tr w:rsidR="00120DB1" w:rsidRPr="00D31C7B" w14:paraId="0370F92B" w14:textId="77777777" w:rsidTr="00120DB1">
        <w:trPr>
          <w:divId w:val="1706055103"/>
          <w:trHeight w:val="20"/>
        </w:trPr>
        <w:tc>
          <w:tcPr>
            <w:tcW w:w="3162" w:type="dxa"/>
            <w:noWrap/>
            <w:hideMark/>
          </w:tcPr>
          <w:p w14:paraId="154E4DE7" w14:textId="77777777" w:rsidR="00651C0D" w:rsidRPr="000859B4" w:rsidRDefault="00651C0D" w:rsidP="00120DB1">
            <w:pPr>
              <w:spacing w:before="20" w:after="20"/>
              <w:rPr>
                <w:rFonts w:cs="Arial"/>
                <w:sz w:val="18"/>
                <w:szCs w:val="18"/>
              </w:rPr>
            </w:pPr>
            <w:r w:rsidRPr="000859B4">
              <w:rPr>
                <w:rFonts w:cs="Arial"/>
                <w:sz w:val="18"/>
                <w:szCs w:val="18"/>
              </w:rPr>
              <w:t xml:space="preserve">Female students enrolled </w:t>
            </w:r>
          </w:p>
        </w:tc>
        <w:tc>
          <w:tcPr>
            <w:tcW w:w="807" w:type="dxa"/>
            <w:noWrap/>
            <w:hideMark/>
          </w:tcPr>
          <w:p w14:paraId="780F4BE4" w14:textId="77777777" w:rsidR="00651C0D" w:rsidRPr="000859B4" w:rsidRDefault="00651C0D" w:rsidP="00120DB1">
            <w:pPr>
              <w:spacing w:before="20" w:after="20"/>
              <w:jc w:val="center"/>
              <w:rPr>
                <w:rFonts w:cs="Arial"/>
                <w:sz w:val="18"/>
                <w:szCs w:val="18"/>
              </w:rPr>
            </w:pPr>
            <w:r w:rsidRPr="000859B4">
              <w:rPr>
                <w:rFonts w:cs="Arial"/>
                <w:sz w:val="18"/>
                <w:szCs w:val="18"/>
              </w:rPr>
              <w:t>1619</w:t>
            </w:r>
          </w:p>
        </w:tc>
        <w:tc>
          <w:tcPr>
            <w:tcW w:w="851" w:type="dxa"/>
            <w:noWrap/>
            <w:hideMark/>
          </w:tcPr>
          <w:p w14:paraId="7DDF53C6" w14:textId="77777777" w:rsidR="00651C0D" w:rsidRPr="000859B4" w:rsidRDefault="00651C0D" w:rsidP="00120DB1">
            <w:pPr>
              <w:spacing w:before="20" w:after="20"/>
              <w:jc w:val="center"/>
              <w:rPr>
                <w:rFonts w:cs="Arial"/>
                <w:sz w:val="18"/>
                <w:szCs w:val="18"/>
              </w:rPr>
            </w:pPr>
            <w:r w:rsidRPr="000859B4">
              <w:rPr>
                <w:rFonts w:cs="Arial"/>
                <w:sz w:val="18"/>
                <w:szCs w:val="18"/>
              </w:rPr>
              <w:t>1730</w:t>
            </w:r>
          </w:p>
        </w:tc>
        <w:tc>
          <w:tcPr>
            <w:tcW w:w="850" w:type="dxa"/>
            <w:tcBorders>
              <w:right w:val="single" w:sz="4" w:space="0" w:color="A8D08D" w:themeColor="accent6" w:themeTint="99"/>
            </w:tcBorders>
            <w:noWrap/>
            <w:hideMark/>
          </w:tcPr>
          <w:p w14:paraId="7B9DCCFC" w14:textId="77777777" w:rsidR="00651C0D" w:rsidRPr="000859B4" w:rsidRDefault="00651C0D" w:rsidP="00120DB1">
            <w:pPr>
              <w:spacing w:before="20" w:after="20"/>
              <w:jc w:val="center"/>
              <w:rPr>
                <w:rFonts w:cs="Arial"/>
                <w:sz w:val="18"/>
                <w:szCs w:val="18"/>
              </w:rPr>
            </w:pPr>
            <w:r w:rsidRPr="000859B4">
              <w:rPr>
                <w:rFonts w:cs="Arial"/>
                <w:sz w:val="18"/>
                <w:szCs w:val="18"/>
              </w:rPr>
              <w:t>3349</w:t>
            </w:r>
          </w:p>
        </w:tc>
        <w:tc>
          <w:tcPr>
            <w:tcW w:w="851" w:type="dxa"/>
            <w:tcBorders>
              <w:left w:val="single" w:sz="4" w:space="0" w:color="A8D08D" w:themeColor="accent6" w:themeTint="99"/>
            </w:tcBorders>
            <w:noWrap/>
            <w:hideMark/>
          </w:tcPr>
          <w:p w14:paraId="6FCDDBB3" w14:textId="77777777" w:rsidR="00651C0D" w:rsidRPr="000859B4" w:rsidRDefault="00651C0D" w:rsidP="00120DB1">
            <w:pPr>
              <w:spacing w:before="20" w:after="20"/>
              <w:jc w:val="center"/>
              <w:rPr>
                <w:rFonts w:cs="Arial"/>
                <w:sz w:val="18"/>
                <w:szCs w:val="18"/>
              </w:rPr>
            </w:pPr>
          </w:p>
        </w:tc>
        <w:tc>
          <w:tcPr>
            <w:tcW w:w="850" w:type="dxa"/>
            <w:noWrap/>
            <w:hideMark/>
          </w:tcPr>
          <w:p w14:paraId="4772617B" w14:textId="77777777" w:rsidR="00651C0D" w:rsidRPr="000859B4" w:rsidRDefault="00651C0D" w:rsidP="00120DB1">
            <w:pPr>
              <w:spacing w:before="20" w:after="20"/>
              <w:jc w:val="center"/>
              <w:rPr>
                <w:rFonts w:cs="Arial"/>
                <w:sz w:val="18"/>
                <w:szCs w:val="18"/>
              </w:rPr>
            </w:pPr>
          </w:p>
        </w:tc>
        <w:tc>
          <w:tcPr>
            <w:tcW w:w="993" w:type="dxa"/>
            <w:noWrap/>
            <w:hideMark/>
          </w:tcPr>
          <w:p w14:paraId="0A12847A" w14:textId="77777777" w:rsidR="00651C0D" w:rsidRPr="000859B4" w:rsidRDefault="00651C0D" w:rsidP="00120DB1">
            <w:pPr>
              <w:spacing w:before="20" w:after="20"/>
              <w:jc w:val="center"/>
              <w:rPr>
                <w:rFonts w:cs="Arial"/>
                <w:sz w:val="18"/>
                <w:szCs w:val="18"/>
              </w:rPr>
            </w:pPr>
          </w:p>
        </w:tc>
      </w:tr>
      <w:tr w:rsidR="00120DB1" w:rsidRPr="00D31C7B" w14:paraId="59ADE873" w14:textId="77777777" w:rsidTr="00120DB1">
        <w:trPr>
          <w:divId w:val="1706055103"/>
          <w:trHeight w:val="20"/>
        </w:trPr>
        <w:tc>
          <w:tcPr>
            <w:tcW w:w="3162" w:type="dxa"/>
            <w:tcBorders>
              <w:bottom w:val="single" w:sz="4" w:space="0" w:color="A8D08D" w:themeColor="accent6" w:themeTint="99"/>
            </w:tcBorders>
            <w:noWrap/>
            <w:hideMark/>
          </w:tcPr>
          <w:p w14:paraId="2013869E" w14:textId="77777777" w:rsidR="00651C0D" w:rsidRPr="000859B4" w:rsidRDefault="00651C0D" w:rsidP="00120DB1">
            <w:pPr>
              <w:spacing w:before="20" w:after="20"/>
              <w:rPr>
                <w:rFonts w:cs="Arial"/>
                <w:b/>
                <w:bCs/>
                <w:sz w:val="18"/>
                <w:szCs w:val="18"/>
              </w:rPr>
            </w:pPr>
            <w:r w:rsidRPr="000859B4">
              <w:rPr>
                <w:rFonts w:cs="Arial"/>
                <w:b/>
                <w:bCs/>
                <w:sz w:val="18"/>
                <w:szCs w:val="18"/>
              </w:rPr>
              <w:t>% in traditionally male qualifications</w:t>
            </w:r>
          </w:p>
        </w:tc>
        <w:tc>
          <w:tcPr>
            <w:tcW w:w="807" w:type="dxa"/>
            <w:tcBorders>
              <w:bottom w:val="single" w:sz="4" w:space="0" w:color="A8D08D" w:themeColor="accent6" w:themeTint="99"/>
            </w:tcBorders>
            <w:noWrap/>
            <w:hideMark/>
          </w:tcPr>
          <w:p w14:paraId="28202461" w14:textId="6AE3605E" w:rsidR="00651C0D" w:rsidRPr="000859B4" w:rsidRDefault="00F40D37" w:rsidP="00120DB1">
            <w:pPr>
              <w:spacing w:before="20" w:after="20"/>
              <w:jc w:val="center"/>
              <w:rPr>
                <w:rFonts w:cs="Arial"/>
                <w:sz w:val="18"/>
                <w:szCs w:val="18"/>
              </w:rPr>
            </w:pPr>
            <w:r>
              <w:rPr>
                <w:rFonts w:cs="Arial"/>
                <w:sz w:val="18"/>
                <w:szCs w:val="18"/>
              </w:rPr>
              <w:t>15</w:t>
            </w:r>
          </w:p>
        </w:tc>
        <w:tc>
          <w:tcPr>
            <w:tcW w:w="851" w:type="dxa"/>
            <w:tcBorders>
              <w:bottom w:val="single" w:sz="4" w:space="0" w:color="A8D08D" w:themeColor="accent6" w:themeTint="99"/>
            </w:tcBorders>
            <w:noWrap/>
            <w:hideMark/>
          </w:tcPr>
          <w:p w14:paraId="742073ED" w14:textId="60B32DDC" w:rsidR="00651C0D" w:rsidRPr="000859B4" w:rsidRDefault="00F40D37" w:rsidP="00120DB1">
            <w:pPr>
              <w:spacing w:before="20" w:after="20"/>
              <w:jc w:val="center"/>
              <w:rPr>
                <w:rFonts w:cs="Arial"/>
                <w:sz w:val="18"/>
                <w:szCs w:val="18"/>
              </w:rPr>
            </w:pPr>
            <w:r>
              <w:rPr>
                <w:rFonts w:cs="Arial"/>
                <w:sz w:val="18"/>
                <w:szCs w:val="18"/>
              </w:rPr>
              <w:t>11</w:t>
            </w:r>
          </w:p>
        </w:tc>
        <w:tc>
          <w:tcPr>
            <w:tcW w:w="850" w:type="dxa"/>
            <w:tcBorders>
              <w:bottom w:val="single" w:sz="4" w:space="0" w:color="A8D08D" w:themeColor="accent6" w:themeTint="99"/>
              <w:right w:val="single" w:sz="4" w:space="0" w:color="A8D08D" w:themeColor="accent6" w:themeTint="99"/>
            </w:tcBorders>
            <w:noWrap/>
            <w:hideMark/>
          </w:tcPr>
          <w:p w14:paraId="1C0C515F" w14:textId="146536D8" w:rsidR="00651C0D" w:rsidRPr="000859B4" w:rsidRDefault="00F40D37" w:rsidP="00120DB1">
            <w:pPr>
              <w:spacing w:before="20" w:after="20"/>
              <w:jc w:val="center"/>
              <w:rPr>
                <w:rFonts w:cs="Arial"/>
                <w:sz w:val="18"/>
                <w:szCs w:val="18"/>
              </w:rPr>
            </w:pPr>
            <w:r>
              <w:rPr>
                <w:rFonts w:cs="Arial"/>
                <w:sz w:val="18"/>
                <w:szCs w:val="18"/>
              </w:rPr>
              <w:t>13</w:t>
            </w:r>
          </w:p>
        </w:tc>
        <w:tc>
          <w:tcPr>
            <w:tcW w:w="851" w:type="dxa"/>
            <w:tcBorders>
              <w:left w:val="single" w:sz="4" w:space="0" w:color="A8D08D" w:themeColor="accent6" w:themeTint="99"/>
              <w:bottom w:val="single" w:sz="4" w:space="0" w:color="A8D08D" w:themeColor="accent6" w:themeTint="99"/>
            </w:tcBorders>
            <w:noWrap/>
            <w:hideMark/>
          </w:tcPr>
          <w:p w14:paraId="1F9A702C" w14:textId="77777777" w:rsidR="00651C0D" w:rsidRPr="000859B4" w:rsidRDefault="00651C0D" w:rsidP="00120DB1">
            <w:pPr>
              <w:spacing w:before="20" w:after="20"/>
              <w:jc w:val="center"/>
              <w:rPr>
                <w:rFonts w:cs="Arial"/>
                <w:sz w:val="18"/>
                <w:szCs w:val="18"/>
              </w:rPr>
            </w:pPr>
          </w:p>
        </w:tc>
        <w:tc>
          <w:tcPr>
            <w:tcW w:w="850" w:type="dxa"/>
            <w:tcBorders>
              <w:bottom w:val="single" w:sz="4" w:space="0" w:color="A8D08D" w:themeColor="accent6" w:themeTint="99"/>
            </w:tcBorders>
            <w:noWrap/>
            <w:hideMark/>
          </w:tcPr>
          <w:p w14:paraId="02CE067B" w14:textId="77777777" w:rsidR="00651C0D" w:rsidRPr="000859B4" w:rsidRDefault="00651C0D" w:rsidP="00120DB1">
            <w:pPr>
              <w:spacing w:before="20" w:after="20"/>
              <w:jc w:val="center"/>
              <w:rPr>
                <w:rFonts w:cs="Arial"/>
                <w:sz w:val="18"/>
                <w:szCs w:val="18"/>
              </w:rPr>
            </w:pPr>
          </w:p>
        </w:tc>
        <w:tc>
          <w:tcPr>
            <w:tcW w:w="993" w:type="dxa"/>
            <w:tcBorders>
              <w:bottom w:val="single" w:sz="4" w:space="0" w:color="A8D08D" w:themeColor="accent6" w:themeTint="99"/>
            </w:tcBorders>
            <w:noWrap/>
            <w:hideMark/>
          </w:tcPr>
          <w:p w14:paraId="34DB3C87" w14:textId="77777777" w:rsidR="00651C0D" w:rsidRPr="000859B4" w:rsidRDefault="00651C0D" w:rsidP="00120DB1">
            <w:pPr>
              <w:spacing w:before="20" w:after="20"/>
              <w:jc w:val="center"/>
              <w:rPr>
                <w:rFonts w:cs="Arial"/>
                <w:sz w:val="18"/>
                <w:szCs w:val="18"/>
              </w:rPr>
            </w:pPr>
          </w:p>
        </w:tc>
      </w:tr>
    </w:tbl>
    <w:p w14:paraId="0774A8FF" w14:textId="52F0642E" w:rsidR="00E67162" w:rsidRPr="000859B4" w:rsidRDefault="00506B59" w:rsidP="00E67162">
      <w:pPr>
        <w:rPr>
          <w:rFonts w:cs="Arial"/>
          <w:sz w:val="16"/>
          <w:szCs w:val="22"/>
          <w:lang w:val="en-US"/>
        </w:rPr>
      </w:pPr>
      <w:r>
        <w:rPr>
          <w:rFonts w:cs="Arial"/>
          <w:szCs w:val="22"/>
          <w:lang w:val="en-US"/>
        </w:rPr>
        <w:fldChar w:fldCharType="end"/>
      </w:r>
      <w:r w:rsidR="00E67162" w:rsidRPr="000859B4">
        <w:rPr>
          <w:rFonts w:cs="Arial"/>
          <w:sz w:val="16"/>
          <w:szCs w:val="22"/>
          <w:lang w:val="en-US"/>
        </w:rPr>
        <w:t>Source: Calculated from APTC Statistics, Table E.2</w:t>
      </w:r>
    </w:p>
    <w:p w14:paraId="7CE7D2EE" w14:textId="584C0657" w:rsidR="00E67162" w:rsidRPr="000859B4" w:rsidRDefault="00D31C7B" w:rsidP="00FC22E6">
      <w:pPr>
        <w:rPr>
          <w:rFonts w:cs="Arial"/>
          <w:szCs w:val="22"/>
        </w:rPr>
      </w:pPr>
      <w:r>
        <w:rPr>
          <w:rFonts w:cs="Arial"/>
          <w:szCs w:val="22"/>
        </w:rPr>
        <w:br/>
      </w:r>
      <w:r w:rsidR="00B47CBE">
        <w:rPr>
          <w:rFonts w:cs="Arial"/>
          <w:szCs w:val="22"/>
        </w:rPr>
        <w:t>Over 90 per cent of female</w:t>
      </w:r>
      <w:r w:rsidR="00E67162">
        <w:rPr>
          <w:rFonts w:cs="Arial"/>
          <w:szCs w:val="22"/>
        </w:rPr>
        <w:t xml:space="preserve"> enrolment in traditionally male-dominated occupations is concentrated in </w:t>
      </w:r>
      <w:r w:rsidR="00B47CBE">
        <w:rPr>
          <w:rFonts w:cs="Arial"/>
          <w:szCs w:val="22"/>
        </w:rPr>
        <w:t xml:space="preserve">two areas: </w:t>
      </w:r>
      <w:r w:rsidR="00E67162">
        <w:rPr>
          <w:rFonts w:cs="Arial"/>
          <w:szCs w:val="22"/>
        </w:rPr>
        <w:t>commercial cookery and construction. In construction, women have made inroads in two new qualifications for the Pacific – painting and decoration</w:t>
      </w:r>
      <w:r w:rsidR="00B47CBE">
        <w:rPr>
          <w:rFonts w:cs="Arial"/>
          <w:szCs w:val="22"/>
        </w:rPr>
        <w:t>,</w:t>
      </w:r>
      <w:r w:rsidR="00E67162">
        <w:rPr>
          <w:rFonts w:cs="Arial"/>
          <w:szCs w:val="22"/>
        </w:rPr>
        <w:t xml:space="preserve"> and wall and floor tiling</w:t>
      </w:r>
      <w:r w:rsidR="00DA730C">
        <w:rPr>
          <w:rFonts w:cs="Arial"/>
          <w:szCs w:val="22"/>
        </w:rPr>
        <w:t xml:space="preserve">. Females constituted 34 per cent of total enrolments to </w:t>
      </w:r>
      <w:r w:rsidR="00BB1234">
        <w:rPr>
          <w:rFonts w:cs="Arial"/>
          <w:szCs w:val="22"/>
        </w:rPr>
        <w:t xml:space="preserve">mid-2014 </w:t>
      </w:r>
      <w:r w:rsidR="00DA730C">
        <w:rPr>
          <w:rFonts w:cs="Arial"/>
          <w:szCs w:val="22"/>
        </w:rPr>
        <w:t xml:space="preserve">in commercial cookery, 43 per cent in painting/decorating and 40 per cent in wall and floor tiling. </w:t>
      </w:r>
      <w:r w:rsidR="00BB1234">
        <w:rPr>
          <w:rFonts w:cs="Arial"/>
          <w:szCs w:val="22"/>
        </w:rPr>
        <w:t>In other male-dominated trades</w:t>
      </w:r>
      <w:r w:rsidR="003B11ED">
        <w:rPr>
          <w:rFonts w:cs="Arial"/>
          <w:szCs w:val="22"/>
        </w:rPr>
        <w:t>,</w:t>
      </w:r>
      <w:r w:rsidR="00BB1234">
        <w:rPr>
          <w:rFonts w:cs="Arial"/>
          <w:szCs w:val="22"/>
        </w:rPr>
        <w:t xml:space="preserve"> f</w:t>
      </w:r>
      <w:r w:rsidR="00DA730C">
        <w:rPr>
          <w:rFonts w:cs="Arial"/>
          <w:szCs w:val="22"/>
        </w:rPr>
        <w:t>emale enrolments averaged only about two per cent of the total.</w:t>
      </w:r>
    </w:p>
    <w:p w14:paraId="5515015B" w14:textId="43D031F4" w:rsidR="003D355F" w:rsidRDefault="003D121B" w:rsidP="002028A6">
      <w:pPr>
        <w:pStyle w:val="Heading2"/>
      </w:pPr>
      <w:bookmarkStart w:id="286" w:name="_Toc274059131"/>
      <w:bookmarkStart w:id="287" w:name="_Toc274145073"/>
      <w:bookmarkStart w:id="288" w:name="_Toc274900457"/>
      <w:bookmarkStart w:id="289" w:name="_Toc278447852"/>
      <w:bookmarkStart w:id="290" w:name="_Toc278453325"/>
      <w:r>
        <w:t xml:space="preserve">4.4 </w:t>
      </w:r>
      <w:r w:rsidR="00632F24">
        <w:tab/>
      </w:r>
      <w:r w:rsidR="00FC22E6" w:rsidRPr="00D17CCB">
        <w:t>Enrolment by semester</w:t>
      </w:r>
      <w:bookmarkEnd w:id="286"/>
      <w:bookmarkEnd w:id="287"/>
      <w:bookmarkEnd w:id="288"/>
      <w:bookmarkEnd w:id="289"/>
      <w:bookmarkEnd w:id="290"/>
    </w:p>
    <w:p w14:paraId="21E1E151" w14:textId="77777777" w:rsidR="00FC22E6" w:rsidRDefault="00FC22E6" w:rsidP="00FC22E6">
      <w:pPr>
        <w:rPr>
          <w:rFonts w:cs="Arial"/>
        </w:rPr>
      </w:pPr>
      <w:r w:rsidRPr="00D17CCB">
        <w:rPr>
          <w:rFonts w:cs="Arial"/>
        </w:rPr>
        <w:t xml:space="preserve">Enrolment by semester maps closely to the number of training </w:t>
      </w:r>
      <w:r>
        <w:rPr>
          <w:rFonts w:cs="Arial"/>
        </w:rPr>
        <w:t xml:space="preserve">courses </w:t>
      </w:r>
      <w:r w:rsidRPr="00D17CCB">
        <w:rPr>
          <w:rFonts w:cs="Arial"/>
        </w:rPr>
        <w:t xml:space="preserve">offered (see </w:t>
      </w:r>
      <w:r>
        <w:rPr>
          <w:rFonts w:cs="Arial"/>
        </w:rPr>
        <w:t>Section 2.2</w:t>
      </w:r>
      <w:r w:rsidRPr="00D17CCB">
        <w:rPr>
          <w:rFonts w:cs="Arial"/>
        </w:rPr>
        <w:t>)</w:t>
      </w:r>
      <w:r>
        <w:rPr>
          <w:rFonts w:cs="Arial"/>
        </w:rPr>
        <w:t xml:space="preserve">. Enrolment declined from 760 students in the first term of 2010 to 287 in the first term of 2012, before rebounding to 1127 in the first term of 2013.  </w:t>
      </w:r>
    </w:p>
    <w:p w14:paraId="0608B912" w14:textId="67E88315" w:rsidR="00116A7E" w:rsidRDefault="00FC22E6" w:rsidP="007D6BB9">
      <w:pPr>
        <w:rPr>
          <w:rFonts w:cs="Arial"/>
          <w:b/>
          <w:color w:val="76923C"/>
          <w:szCs w:val="22"/>
        </w:rPr>
      </w:pPr>
      <w:r>
        <w:rPr>
          <w:rFonts w:cs="Arial"/>
        </w:rPr>
        <w:t xml:space="preserve">APTC management provided the following reasons for the decline in enrolments at the beginning of Stage II: </w:t>
      </w:r>
      <w:r w:rsidR="00100470">
        <w:rPr>
          <w:rFonts w:cs="Arial"/>
        </w:rPr>
        <w:t>‘</w:t>
      </w:r>
      <w:r w:rsidRPr="007A34E4">
        <w:rPr>
          <w:rFonts w:cs="Arial"/>
        </w:rPr>
        <w:t>As Stage I drew to a close much effort was concentrated on completing st</w:t>
      </w:r>
      <w:r>
        <w:rPr>
          <w:rFonts w:cs="Arial"/>
        </w:rPr>
        <w:t>udents by the end of June 2011.</w:t>
      </w:r>
      <w:r w:rsidRPr="007A34E4">
        <w:rPr>
          <w:rFonts w:cs="Arial"/>
        </w:rPr>
        <w:t xml:space="preserve"> Enrolments dropped off from July 2010 as planning indicated that</w:t>
      </w:r>
      <w:r>
        <w:rPr>
          <w:rFonts w:cs="Arial"/>
        </w:rPr>
        <w:t xml:space="preserve"> targets were going to be met. </w:t>
      </w:r>
      <w:r w:rsidRPr="007A34E4">
        <w:rPr>
          <w:rFonts w:cs="Arial"/>
        </w:rPr>
        <w:t>Continued emphasis on enrolment would have added to project expenditu</w:t>
      </w:r>
      <w:r>
        <w:rPr>
          <w:rFonts w:cs="Arial"/>
        </w:rPr>
        <w:t xml:space="preserve">res after targets had been met. </w:t>
      </w:r>
      <w:r w:rsidRPr="007A34E4">
        <w:rPr>
          <w:rFonts w:cs="Arial"/>
        </w:rPr>
        <w:t xml:space="preserve">In the transition from Stage I to Stage II, the employment conditions for project staff were realigned to the AusAID ARF </w:t>
      </w:r>
      <w:r>
        <w:rPr>
          <w:rFonts w:cs="Arial"/>
        </w:rPr>
        <w:t xml:space="preserve">(wage scale) </w:t>
      </w:r>
      <w:r w:rsidRPr="007A34E4">
        <w:rPr>
          <w:rFonts w:cs="Arial"/>
        </w:rPr>
        <w:t>table, which meant a substantial change in employment conditions for delivery staff, especially those working in PNG where their employment p</w:t>
      </w:r>
      <w:r>
        <w:rPr>
          <w:rFonts w:cs="Arial"/>
        </w:rPr>
        <w:t xml:space="preserve">ackages </w:t>
      </w:r>
      <w:r w:rsidR="00386E3E">
        <w:rPr>
          <w:rFonts w:cs="Arial"/>
        </w:rPr>
        <w:t xml:space="preserve">were </w:t>
      </w:r>
      <w:r>
        <w:rPr>
          <w:rFonts w:cs="Arial"/>
        </w:rPr>
        <w:t>reduced by 50 per cent. There wa</w:t>
      </w:r>
      <w:r w:rsidRPr="007A34E4">
        <w:rPr>
          <w:rFonts w:cs="Arial"/>
        </w:rPr>
        <w:t>s no allowance for hardship etc. for PNG under the ARF, and no capacity for a fly-in fly-out arrangement at</w:t>
      </w:r>
      <w:r>
        <w:rPr>
          <w:rFonts w:cs="Arial"/>
        </w:rPr>
        <w:t xml:space="preserve"> the commencement of Stage II. </w:t>
      </w:r>
      <w:r w:rsidRPr="007A34E4">
        <w:rPr>
          <w:rFonts w:cs="Arial"/>
        </w:rPr>
        <w:t>Many PNG delivery staff opted to cease employment with APTC and there was substantial difficulty in recruiting new staff under the changed contractual conditions, leading to the postponem</w:t>
      </w:r>
      <w:r>
        <w:rPr>
          <w:rFonts w:cs="Arial"/>
        </w:rPr>
        <w:t xml:space="preserve">ent of planned programs in PNG. </w:t>
      </w:r>
      <w:r w:rsidRPr="007A34E4">
        <w:rPr>
          <w:rFonts w:cs="Arial"/>
        </w:rPr>
        <w:t>APTC renegotiated packages for PNG fly</w:t>
      </w:r>
      <w:r w:rsidR="00594A70">
        <w:rPr>
          <w:rFonts w:cs="Arial"/>
        </w:rPr>
        <w:t>-</w:t>
      </w:r>
      <w:r w:rsidRPr="007A34E4">
        <w:rPr>
          <w:rFonts w:cs="Arial"/>
        </w:rPr>
        <w:t>in fly</w:t>
      </w:r>
      <w:r w:rsidR="00594A70">
        <w:rPr>
          <w:rFonts w:cs="Arial"/>
        </w:rPr>
        <w:t>-</w:t>
      </w:r>
      <w:r w:rsidRPr="007A34E4">
        <w:rPr>
          <w:rFonts w:cs="Arial"/>
        </w:rPr>
        <w:t>out from March 2012 which enabled it to entice trainers back to PNG</w:t>
      </w:r>
      <w:r w:rsidR="00100470">
        <w:rPr>
          <w:rFonts w:cs="Arial"/>
        </w:rPr>
        <w:t>’</w:t>
      </w:r>
      <w:r w:rsidR="00100470" w:rsidRPr="007A34E4">
        <w:rPr>
          <w:rFonts w:cs="Arial"/>
        </w:rPr>
        <w:t>.</w:t>
      </w:r>
      <w:r w:rsidR="00100470">
        <w:rPr>
          <w:rFonts w:cs="Arial"/>
        </w:rPr>
        <w:t xml:space="preserve"> </w:t>
      </w:r>
      <w:r>
        <w:rPr>
          <w:rFonts w:cs="Arial"/>
        </w:rPr>
        <w:t xml:space="preserve">(Communication from Marty Rollings, </w:t>
      </w:r>
      <w:r w:rsidR="00594A70">
        <w:rPr>
          <w:rFonts w:cs="Arial"/>
        </w:rPr>
        <w:t>APTC management, 12 August 2014</w:t>
      </w:r>
      <w:r>
        <w:rPr>
          <w:rFonts w:cs="Arial"/>
        </w:rPr>
        <w:t xml:space="preserve">) </w:t>
      </w:r>
      <w:bookmarkStart w:id="291" w:name="_Toc274059237"/>
      <w:bookmarkStart w:id="292" w:name="_Toc274146445"/>
      <w:bookmarkStart w:id="293" w:name="_Toc274915904"/>
    </w:p>
    <w:p w14:paraId="63DC63A2" w14:textId="7CC3FE89" w:rsidR="00FC22E6" w:rsidRPr="00D17CCB" w:rsidRDefault="00FC22E6" w:rsidP="004A7A0E">
      <w:pPr>
        <w:pStyle w:val="Tableheading"/>
        <w:spacing w:before="200" w:after="0"/>
      </w:pPr>
      <w:bookmarkStart w:id="294" w:name="_Toc278446884"/>
      <w:r>
        <w:t xml:space="preserve">Figure 4.4.1: </w:t>
      </w:r>
      <w:r w:rsidRPr="000F6D74">
        <w:t>Total enrolment by semester and stage, 2007 to present</w:t>
      </w:r>
      <w:bookmarkEnd w:id="291"/>
      <w:bookmarkEnd w:id="292"/>
      <w:bookmarkEnd w:id="293"/>
      <w:bookmarkEnd w:id="294"/>
    </w:p>
    <w:p w14:paraId="18E7312B" w14:textId="77777777" w:rsidR="00FC22E6" w:rsidRPr="00D17CCB" w:rsidRDefault="00FC22E6" w:rsidP="00FC22E6">
      <w:pPr>
        <w:rPr>
          <w:rFonts w:cs="Arial"/>
        </w:rPr>
      </w:pPr>
      <w:r w:rsidRPr="00D17CCB">
        <w:rPr>
          <w:rFonts w:cs="Arial"/>
          <w:noProof/>
          <w:lang w:eastAsia="en-AU"/>
        </w:rPr>
        <w:drawing>
          <wp:inline distT="0" distB="0" distL="0" distR="0" wp14:anchorId="4D212F5C" wp14:editId="54042986">
            <wp:extent cx="4771602" cy="3479377"/>
            <wp:effectExtent l="0" t="0" r="29210" b="260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1707F13" w14:textId="543B724D" w:rsidR="00FC22E6" w:rsidRPr="00D17CCB" w:rsidRDefault="00FC22E6" w:rsidP="004A7A0E">
      <w:pPr>
        <w:pStyle w:val="Tableheading"/>
        <w:spacing w:before="200" w:after="0"/>
      </w:pPr>
      <w:bookmarkStart w:id="295" w:name="_Toc274059238"/>
      <w:bookmarkStart w:id="296" w:name="_Toc274146446"/>
      <w:bookmarkStart w:id="297" w:name="_Toc274915905"/>
      <w:bookmarkStart w:id="298" w:name="_Toc278446885"/>
      <w:r>
        <w:t xml:space="preserve">Figure 4.4.2: </w:t>
      </w:r>
      <w:r>
        <w:rPr>
          <w:bCs/>
        </w:rPr>
        <w:t>E</w:t>
      </w:r>
      <w:r w:rsidRPr="001B10D5">
        <w:rPr>
          <w:bCs/>
        </w:rPr>
        <w:t>nrolment by school and semester, 2007 to present</w:t>
      </w:r>
      <w:bookmarkEnd w:id="295"/>
      <w:bookmarkEnd w:id="296"/>
      <w:bookmarkEnd w:id="297"/>
      <w:bookmarkEnd w:id="298"/>
      <w:r w:rsidRPr="001B10D5">
        <w:rPr>
          <w:bCs/>
        </w:rPr>
        <w:t xml:space="preserve"> </w:t>
      </w:r>
    </w:p>
    <w:p w14:paraId="23C7C688" w14:textId="77777777" w:rsidR="00FC22E6" w:rsidRPr="00D17CCB" w:rsidRDefault="00FC22E6" w:rsidP="00FC22E6">
      <w:pPr>
        <w:rPr>
          <w:rFonts w:cs="Arial"/>
        </w:rPr>
      </w:pPr>
      <w:r>
        <w:rPr>
          <w:noProof/>
          <w:lang w:eastAsia="en-AU"/>
        </w:rPr>
        <w:drawing>
          <wp:inline distT="0" distB="0" distL="0" distR="0" wp14:anchorId="08FEAB46" wp14:editId="3DA25D10">
            <wp:extent cx="4644390" cy="3275965"/>
            <wp:effectExtent l="0" t="0" r="29210" b="2603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0EBD28" w14:textId="147B62CD" w:rsidR="000F692E" w:rsidRPr="000F6D74" w:rsidRDefault="000F692E" w:rsidP="000F692E">
      <w:pPr>
        <w:rPr>
          <w:rFonts w:cs="Arial"/>
          <w:sz w:val="16"/>
          <w:szCs w:val="18"/>
        </w:rPr>
      </w:pPr>
      <w:r>
        <w:rPr>
          <w:rFonts w:cs="Arial"/>
          <w:sz w:val="16"/>
          <w:szCs w:val="18"/>
        </w:rPr>
        <w:t xml:space="preserve">Source for both figures above: </w:t>
      </w:r>
      <w:r w:rsidRPr="000F6D74">
        <w:rPr>
          <w:rFonts w:cs="Arial"/>
          <w:sz w:val="16"/>
          <w:szCs w:val="18"/>
        </w:rPr>
        <w:t>APTC Table D.1.</w:t>
      </w:r>
    </w:p>
    <w:p w14:paraId="3374AD40" w14:textId="06F32827" w:rsidR="00FC22E6" w:rsidRPr="00D17CCB" w:rsidRDefault="00FC22E6" w:rsidP="00FC22E6">
      <w:pPr>
        <w:spacing w:after="0"/>
        <w:rPr>
          <w:rFonts w:cs="Arial"/>
        </w:rPr>
      </w:pPr>
      <w:r w:rsidRPr="00D17CCB">
        <w:rPr>
          <w:rFonts w:cs="Arial"/>
        </w:rPr>
        <w:t>Changes in enrolment by campus country are presented in the following graph.</w:t>
      </w:r>
    </w:p>
    <w:p w14:paraId="1E273F27" w14:textId="77777777" w:rsidR="00FC22E6" w:rsidRPr="00D17CCB" w:rsidRDefault="00FC22E6" w:rsidP="00FC22E6">
      <w:pPr>
        <w:pStyle w:val="Tableheading"/>
      </w:pPr>
      <w:bookmarkStart w:id="299" w:name="_Toc274059239"/>
      <w:bookmarkStart w:id="300" w:name="_Toc274146447"/>
      <w:bookmarkStart w:id="301" w:name="_Toc274915906"/>
      <w:bookmarkStart w:id="302" w:name="_Toc278446886"/>
      <w:r>
        <w:t xml:space="preserve">Figure 4.4.3: </w:t>
      </w:r>
      <w:r w:rsidRPr="00A8234D">
        <w:rPr>
          <w:bCs/>
        </w:rPr>
        <w:t>Enrolments by campus country and semester, 2007 to present</w:t>
      </w:r>
      <w:bookmarkEnd w:id="299"/>
      <w:bookmarkEnd w:id="300"/>
      <w:bookmarkEnd w:id="301"/>
      <w:bookmarkEnd w:id="302"/>
    </w:p>
    <w:p w14:paraId="62AE78E8" w14:textId="77777777" w:rsidR="00FC22E6" w:rsidRPr="00D17CCB" w:rsidRDefault="00FC22E6" w:rsidP="00FC22E6">
      <w:pPr>
        <w:rPr>
          <w:rFonts w:cs="Arial"/>
        </w:rPr>
      </w:pPr>
      <w:r w:rsidRPr="00D17CCB">
        <w:rPr>
          <w:rFonts w:cs="Arial"/>
          <w:noProof/>
          <w:lang w:eastAsia="en-AU"/>
        </w:rPr>
        <w:drawing>
          <wp:inline distT="0" distB="0" distL="0" distR="0" wp14:anchorId="0B73DA07" wp14:editId="5C1D9876">
            <wp:extent cx="5152602" cy="3428788"/>
            <wp:effectExtent l="0" t="0" r="29210" b="260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A614FE5" w14:textId="77777777" w:rsidR="00FC22E6" w:rsidRDefault="00FC22E6" w:rsidP="00FC22E6">
      <w:pPr>
        <w:rPr>
          <w:rFonts w:cs="Arial"/>
          <w:sz w:val="16"/>
          <w:szCs w:val="18"/>
        </w:rPr>
      </w:pPr>
      <w:r>
        <w:rPr>
          <w:rFonts w:cs="Arial"/>
          <w:sz w:val="16"/>
          <w:szCs w:val="18"/>
        </w:rPr>
        <w:t>Source:</w:t>
      </w:r>
      <w:r w:rsidRPr="00A8234D">
        <w:rPr>
          <w:rFonts w:cs="Arial"/>
          <w:sz w:val="16"/>
          <w:szCs w:val="18"/>
        </w:rPr>
        <w:t xml:space="preserve"> APTC Table D.5</w:t>
      </w:r>
    </w:p>
    <w:p w14:paraId="766EC234" w14:textId="77777777" w:rsidR="00116A7E" w:rsidRPr="00A8234D" w:rsidRDefault="00116A7E" w:rsidP="00FC22E6">
      <w:pPr>
        <w:rPr>
          <w:rFonts w:cs="Arial"/>
          <w:sz w:val="16"/>
          <w:szCs w:val="18"/>
        </w:rPr>
      </w:pPr>
    </w:p>
    <w:p w14:paraId="6242E872" w14:textId="5DAD4EEE" w:rsidR="003D355F" w:rsidRDefault="00986A31" w:rsidP="002028A6">
      <w:pPr>
        <w:pStyle w:val="Heading1"/>
      </w:pPr>
      <w:bookmarkStart w:id="303" w:name="_Toc274059132"/>
      <w:bookmarkStart w:id="304" w:name="_Toc278447853"/>
      <w:bookmarkStart w:id="305" w:name="_Toc278453326"/>
      <w:r>
        <w:t xml:space="preserve">5 </w:t>
      </w:r>
      <w:r w:rsidR="00345833">
        <w:tab/>
      </w:r>
      <w:r w:rsidR="00FC22E6" w:rsidRPr="00D17CCB">
        <w:t>Graduates and completion rates</w:t>
      </w:r>
      <w:bookmarkEnd w:id="303"/>
      <w:bookmarkEnd w:id="304"/>
      <w:bookmarkEnd w:id="305"/>
    </w:p>
    <w:p w14:paraId="3BDC389A" w14:textId="5CB9D6A1" w:rsidR="003D355F" w:rsidRDefault="00986A31" w:rsidP="002028A6">
      <w:pPr>
        <w:pStyle w:val="Heading2"/>
      </w:pPr>
      <w:bookmarkStart w:id="306" w:name="_Toc274059133"/>
      <w:bookmarkStart w:id="307" w:name="_Toc274145075"/>
      <w:bookmarkStart w:id="308" w:name="_Toc274900459"/>
      <w:bookmarkStart w:id="309" w:name="_Toc278447854"/>
      <w:bookmarkStart w:id="310" w:name="_Toc278453327"/>
      <w:r>
        <w:t xml:space="preserve">5.1 </w:t>
      </w:r>
      <w:r w:rsidR="00345833">
        <w:tab/>
      </w:r>
      <w:r w:rsidR="00FC22E6">
        <w:t>Output of g</w:t>
      </w:r>
      <w:r w:rsidR="00FC22E6" w:rsidRPr="00D17CCB">
        <w:t>raduates</w:t>
      </w:r>
      <w:bookmarkEnd w:id="306"/>
      <w:bookmarkEnd w:id="307"/>
      <w:bookmarkEnd w:id="308"/>
      <w:bookmarkEnd w:id="309"/>
      <w:bookmarkEnd w:id="310"/>
    </w:p>
    <w:p w14:paraId="0A7447F6" w14:textId="2C21BE62" w:rsidR="00FC22E6" w:rsidRDefault="00FC22E6" w:rsidP="00FC22E6">
      <w:pPr>
        <w:rPr>
          <w:rFonts w:cs="Arial"/>
        </w:rPr>
      </w:pPr>
      <w:r>
        <w:rPr>
          <w:rFonts w:cs="Arial"/>
        </w:rPr>
        <w:t xml:space="preserve">To </w:t>
      </w:r>
      <w:r w:rsidR="00F023E9">
        <w:rPr>
          <w:rFonts w:cs="Arial"/>
        </w:rPr>
        <w:t>mid-</w:t>
      </w:r>
      <w:r>
        <w:rPr>
          <w:rFonts w:cs="Arial"/>
        </w:rPr>
        <w:t>2014</w:t>
      </w:r>
      <w:r w:rsidR="00F023E9">
        <w:rPr>
          <w:rFonts w:cs="Arial"/>
        </w:rPr>
        <w:t>,</w:t>
      </w:r>
      <w:r>
        <w:rPr>
          <w:rFonts w:cs="Arial"/>
        </w:rPr>
        <w:t xml:space="preserve"> APTC produced over 6750 graduates, 52 per cent from SHCS. </w:t>
      </w:r>
    </w:p>
    <w:p w14:paraId="29F95DF1" w14:textId="77777777" w:rsidR="00FC22E6" w:rsidRPr="00931817" w:rsidRDefault="00FC22E6" w:rsidP="00FC22E6">
      <w:pPr>
        <w:pStyle w:val="Tableheading"/>
        <w:rPr>
          <w:bCs/>
        </w:rPr>
      </w:pPr>
      <w:bookmarkStart w:id="311" w:name="_Toc274059240"/>
      <w:bookmarkStart w:id="312" w:name="_Toc274146448"/>
      <w:bookmarkStart w:id="313" w:name="_Toc274915907"/>
      <w:bookmarkStart w:id="314" w:name="_Toc278446887"/>
      <w:r>
        <w:t xml:space="preserve">Figure 5.1.1: </w:t>
      </w:r>
      <w:r w:rsidRPr="00931817">
        <w:rPr>
          <w:bCs/>
        </w:rPr>
        <w:t>Gradu</w:t>
      </w:r>
      <w:r>
        <w:rPr>
          <w:bCs/>
        </w:rPr>
        <w:t>a</w:t>
      </w:r>
      <w:r w:rsidRPr="00931817">
        <w:rPr>
          <w:bCs/>
        </w:rPr>
        <w:t>tes by school and stage</w:t>
      </w:r>
      <w:bookmarkEnd w:id="311"/>
      <w:bookmarkEnd w:id="312"/>
      <w:bookmarkEnd w:id="313"/>
      <w:bookmarkEnd w:id="314"/>
      <w:r w:rsidRPr="00931817">
        <w:rPr>
          <w:bCs/>
        </w:rPr>
        <w:t xml:space="preserve"> </w:t>
      </w:r>
    </w:p>
    <w:p w14:paraId="5E95BB85" w14:textId="77777777" w:rsidR="00FC22E6" w:rsidRDefault="00FC22E6" w:rsidP="00FC22E6">
      <w:pPr>
        <w:rPr>
          <w:rFonts w:cs="Arial"/>
        </w:rPr>
      </w:pPr>
      <w:r>
        <w:rPr>
          <w:noProof/>
          <w:lang w:eastAsia="en-AU"/>
        </w:rPr>
        <w:drawing>
          <wp:inline distT="0" distB="0" distL="0" distR="0" wp14:anchorId="266BB05E" wp14:editId="0C59D666">
            <wp:extent cx="4572000" cy="2328333"/>
            <wp:effectExtent l="25400" t="25400" r="0" b="8467"/>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47B668" w14:textId="77777777" w:rsidR="00FC22E6" w:rsidRPr="00931817" w:rsidRDefault="00FC22E6" w:rsidP="00FC22E6">
      <w:pPr>
        <w:rPr>
          <w:rFonts w:cs="Arial"/>
          <w:sz w:val="16"/>
          <w:szCs w:val="18"/>
        </w:rPr>
      </w:pPr>
      <w:r w:rsidRPr="00931817">
        <w:rPr>
          <w:rFonts w:cs="Arial"/>
          <w:sz w:val="16"/>
          <w:szCs w:val="18"/>
        </w:rPr>
        <w:t xml:space="preserve">Note: </w:t>
      </w:r>
      <w:r>
        <w:rPr>
          <w:rFonts w:cs="Arial"/>
          <w:sz w:val="16"/>
          <w:szCs w:val="18"/>
        </w:rPr>
        <w:t xml:space="preserve">Stage II is through June 2014. Source: </w:t>
      </w:r>
      <w:r w:rsidRPr="00931817">
        <w:rPr>
          <w:rFonts w:cs="Arial"/>
          <w:sz w:val="16"/>
          <w:szCs w:val="18"/>
        </w:rPr>
        <w:t>APTC Table E.1, u</w:t>
      </w:r>
      <w:r>
        <w:rPr>
          <w:rFonts w:cs="Arial"/>
          <w:sz w:val="16"/>
          <w:szCs w:val="18"/>
        </w:rPr>
        <w:t>pdated 28 August 2014</w:t>
      </w:r>
    </w:p>
    <w:p w14:paraId="272D8C80" w14:textId="77777777" w:rsidR="00FC22E6" w:rsidRDefault="00FC22E6" w:rsidP="00FC22E6">
      <w:pPr>
        <w:rPr>
          <w:rFonts w:cs="Arial"/>
        </w:rPr>
      </w:pPr>
    </w:p>
    <w:p w14:paraId="3CB286B5" w14:textId="77777777" w:rsidR="004A7A0E" w:rsidRDefault="004A7A0E">
      <w:pPr>
        <w:spacing w:after="0"/>
        <w:rPr>
          <w:rFonts w:cs="Arial"/>
        </w:rPr>
      </w:pPr>
      <w:r>
        <w:rPr>
          <w:rFonts w:cs="Arial"/>
        </w:rPr>
        <w:br w:type="page"/>
      </w:r>
    </w:p>
    <w:p w14:paraId="1973C060" w14:textId="0C4E8E37" w:rsidR="00FC22E6" w:rsidRPr="00D17CCB" w:rsidRDefault="00FC22E6" w:rsidP="00FC22E6">
      <w:pPr>
        <w:rPr>
          <w:rFonts w:cs="Arial"/>
        </w:rPr>
      </w:pPr>
      <w:r w:rsidRPr="00D17CCB">
        <w:rPr>
          <w:rFonts w:cs="Arial"/>
        </w:rPr>
        <w:t>The following graph shows t</w:t>
      </w:r>
      <w:r>
        <w:rPr>
          <w:rFonts w:cs="Arial"/>
        </w:rPr>
        <w:t>he total graduates by semester.</w:t>
      </w:r>
      <w:r w:rsidRPr="00D17CCB">
        <w:rPr>
          <w:rFonts w:cs="Arial"/>
        </w:rPr>
        <w:t xml:space="preserve"> The numbers correlate </w:t>
      </w:r>
      <w:r>
        <w:rPr>
          <w:rFonts w:cs="Arial"/>
        </w:rPr>
        <w:t xml:space="preserve">closely </w:t>
      </w:r>
      <w:r w:rsidRPr="00D17CCB">
        <w:rPr>
          <w:rFonts w:cs="Arial"/>
        </w:rPr>
        <w:t xml:space="preserve">with </w:t>
      </w:r>
      <w:r>
        <w:rPr>
          <w:rFonts w:cs="Arial"/>
        </w:rPr>
        <w:t xml:space="preserve">data presented earlier on </w:t>
      </w:r>
      <w:r w:rsidRPr="00D17CCB">
        <w:rPr>
          <w:rFonts w:cs="Arial"/>
        </w:rPr>
        <w:t>number of courses and enrolments per semester.</w:t>
      </w:r>
    </w:p>
    <w:p w14:paraId="08A7ED5C" w14:textId="77777777" w:rsidR="00FC22E6" w:rsidRPr="00D17CCB" w:rsidRDefault="00FC22E6" w:rsidP="00FC22E6">
      <w:pPr>
        <w:pStyle w:val="Tableheading"/>
        <w:spacing w:before="200" w:after="0"/>
      </w:pPr>
      <w:bookmarkStart w:id="315" w:name="_Toc274059241"/>
      <w:bookmarkStart w:id="316" w:name="_Toc274146449"/>
      <w:bookmarkStart w:id="317" w:name="_Toc274915908"/>
      <w:bookmarkStart w:id="318" w:name="_Toc278446888"/>
      <w:r>
        <w:t xml:space="preserve">Figure 5.1.2: </w:t>
      </w:r>
      <w:r>
        <w:rPr>
          <w:bCs/>
        </w:rPr>
        <w:t>T</w:t>
      </w:r>
      <w:r w:rsidRPr="00947A7E">
        <w:rPr>
          <w:bCs/>
        </w:rPr>
        <w:t xml:space="preserve">otal graduates across all programs by semester, </w:t>
      </w:r>
      <w:r w:rsidR="00EA619F">
        <w:rPr>
          <w:bCs/>
        </w:rPr>
        <w:br/>
      </w:r>
      <w:r w:rsidRPr="00947A7E">
        <w:rPr>
          <w:bCs/>
        </w:rPr>
        <w:t>2007 to 30</w:t>
      </w:r>
      <w:r>
        <w:rPr>
          <w:bCs/>
        </w:rPr>
        <w:t> </w:t>
      </w:r>
      <w:r w:rsidRPr="00947A7E">
        <w:rPr>
          <w:bCs/>
        </w:rPr>
        <w:t>June 2014</w:t>
      </w:r>
      <w:bookmarkEnd w:id="315"/>
      <w:bookmarkEnd w:id="316"/>
      <w:bookmarkEnd w:id="317"/>
      <w:bookmarkEnd w:id="318"/>
    </w:p>
    <w:p w14:paraId="2D4984AA" w14:textId="77777777" w:rsidR="00FC22E6" w:rsidRPr="00D17CCB" w:rsidRDefault="00FC22E6" w:rsidP="00FC22E6">
      <w:pPr>
        <w:rPr>
          <w:rFonts w:cs="Arial"/>
        </w:rPr>
      </w:pPr>
      <w:r>
        <w:rPr>
          <w:noProof/>
          <w:lang w:eastAsia="en-AU"/>
        </w:rPr>
        <w:drawing>
          <wp:inline distT="0" distB="0" distL="0" distR="0" wp14:anchorId="6D82CF22" wp14:editId="7605231A">
            <wp:extent cx="5000202" cy="3085888"/>
            <wp:effectExtent l="0" t="0" r="29210" b="133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87347F8" w14:textId="77777777" w:rsidR="00FC22E6" w:rsidRPr="00947A7E" w:rsidRDefault="00FC22E6" w:rsidP="00FC22E6">
      <w:pPr>
        <w:rPr>
          <w:rFonts w:cs="Arial"/>
          <w:sz w:val="16"/>
          <w:szCs w:val="18"/>
        </w:rPr>
      </w:pPr>
      <w:r>
        <w:rPr>
          <w:rFonts w:cs="Arial"/>
          <w:sz w:val="16"/>
          <w:szCs w:val="18"/>
        </w:rPr>
        <w:t xml:space="preserve">Source: </w:t>
      </w:r>
      <w:r w:rsidRPr="00947A7E">
        <w:rPr>
          <w:rFonts w:cs="Arial"/>
          <w:sz w:val="16"/>
          <w:szCs w:val="18"/>
        </w:rPr>
        <w:t>APTC Table E.1, updated 28 August 2014</w:t>
      </w:r>
    </w:p>
    <w:p w14:paraId="799CE99B" w14:textId="34C4D142" w:rsidR="00FC22E6" w:rsidRPr="00D17CCB" w:rsidRDefault="00FC22E6" w:rsidP="00FC22E6">
      <w:pPr>
        <w:rPr>
          <w:rFonts w:cs="Arial"/>
        </w:rPr>
      </w:pPr>
      <w:r w:rsidRPr="00D17CCB">
        <w:rPr>
          <w:rFonts w:cs="Arial"/>
        </w:rPr>
        <w:t xml:space="preserve">This graph shows output by school. </w:t>
      </w:r>
      <w:r>
        <w:rPr>
          <w:rFonts w:cs="Arial"/>
        </w:rPr>
        <w:t>Output from STT fluctuated widely, dropping from 458 in the first half of 2011 to just 16 the following year, and from 321 in the second semester of 2013 to 100 in the first semester of 2014. According to APTC management, the same factors applied to fluctuating level of graduates as to courses offered and enrolments. (See Section 4.4 for APTC management explanation of reasons for fluctuations in enrolments, and by implication, graduates.)</w:t>
      </w:r>
    </w:p>
    <w:p w14:paraId="13BACA89" w14:textId="77777777" w:rsidR="00FC22E6" w:rsidRPr="00D17CCB" w:rsidRDefault="00FC22E6" w:rsidP="00FC22E6">
      <w:pPr>
        <w:pStyle w:val="Tableheading"/>
        <w:spacing w:before="200" w:after="0"/>
      </w:pPr>
      <w:bookmarkStart w:id="319" w:name="_Toc274059242"/>
      <w:bookmarkStart w:id="320" w:name="_Toc274146450"/>
      <w:bookmarkStart w:id="321" w:name="_Toc274915909"/>
      <w:bookmarkStart w:id="322" w:name="_Toc278446889"/>
      <w:r w:rsidRPr="00D17CCB">
        <w:t>Figure</w:t>
      </w:r>
      <w:r>
        <w:t xml:space="preserve"> 5.1.3: </w:t>
      </w:r>
      <w:r>
        <w:rPr>
          <w:bCs/>
        </w:rPr>
        <w:t>G</w:t>
      </w:r>
      <w:r w:rsidRPr="009C16BA">
        <w:rPr>
          <w:bCs/>
        </w:rPr>
        <w:t>raduates by school and semester, 2007 to 30 June 2014</w:t>
      </w:r>
      <w:bookmarkEnd w:id="319"/>
      <w:bookmarkEnd w:id="320"/>
      <w:bookmarkEnd w:id="321"/>
      <w:bookmarkEnd w:id="322"/>
    </w:p>
    <w:p w14:paraId="7FF89A8B" w14:textId="77777777" w:rsidR="00FC22E6" w:rsidRPr="00D17CCB" w:rsidRDefault="00FC22E6" w:rsidP="00FC22E6">
      <w:pPr>
        <w:rPr>
          <w:rFonts w:cs="Arial"/>
        </w:rPr>
      </w:pPr>
      <w:r>
        <w:rPr>
          <w:noProof/>
          <w:lang w:eastAsia="en-AU"/>
        </w:rPr>
        <w:drawing>
          <wp:inline distT="0" distB="0" distL="0" distR="0" wp14:anchorId="1E4B29AA" wp14:editId="3B24402C">
            <wp:extent cx="4771602" cy="2916767"/>
            <wp:effectExtent l="0" t="0" r="29210" b="2984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94E2A41" w14:textId="77777777" w:rsidR="00F023E9" w:rsidRDefault="00FC22E6" w:rsidP="008E7579">
      <w:pPr>
        <w:rPr>
          <w:rFonts w:cs="Arial"/>
          <w:sz w:val="16"/>
          <w:szCs w:val="18"/>
        </w:rPr>
      </w:pPr>
      <w:r>
        <w:rPr>
          <w:rFonts w:cs="Arial"/>
          <w:sz w:val="16"/>
          <w:szCs w:val="18"/>
        </w:rPr>
        <w:t xml:space="preserve">Source: </w:t>
      </w:r>
      <w:r w:rsidRPr="009C16BA">
        <w:rPr>
          <w:rFonts w:cs="Arial"/>
          <w:sz w:val="16"/>
          <w:szCs w:val="18"/>
        </w:rPr>
        <w:t>Ibid</w:t>
      </w:r>
    </w:p>
    <w:p w14:paraId="6739A26C" w14:textId="78BEB1D2" w:rsidR="00FC22E6" w:rsidRPr="00D17CCB" w:rsidRDefault="00FC22E6" w:rsidP="00FC22E6">
      <w:pPr>
        <w:rPr>
          <w:rFonts w:cs="Arial"/>
        </w:rPr>
      </w:pPr>
      <w:r w:rsidRPr="00D17CCB">
        <w:rPr>
          <w:rFonts w:cs="Arial"/>
        </w:rPr>
        <w:t xml:space="preserve">The following chart shows the number of graduates by training package and school. </w:t>
      </w:r>
    </w:p>
    <w:p w14:paraId="2918FE59" w14:textId="77777777" w:rsidR="00FC22E6" w:rsidRPr="009C16BA" w:rsidRDefault="00FC22E6" w:rsidP="00FC22E6">
      <w:pPr>
        <w:pStyle w:val="Tableheading"/>
        <w:rPr>
          <w:bCs/>
        </w:rPr>
      </w:pPr>
      <w:bookmarkStart w:id="323" w:name="_Toc274059243"/>
      <w:bookmarkStart w:id="324" w:name="_Toc274146451"/>
      <w:bookmarkStart w:id="325" w:name="_Toc274915910"/>
      <w:bookmarkStart w:id="326" w:name="_Toc278446890"/>
      <w:r>
        <w:t xml:space="preserve">Figure 5.1.4: </w:t>
      </w:r>
      <w:r w:rsidRPr="009C16BA">
        <w:rPr>
          <w:bCs/>
        </w:rPr>
        <w:t xml:space="preserve">Number of graduates by training package and school, </w:t>
      </w:r>
      <w:r w:rsidR="00933B3D">
        <w:rPr>
          <w:bCs/>
        </w:rPr>
        <w:br/>
      </w:r>
      <w:r w:rsidRPr="009C16BA">
        <w:rPr>
          <w:bCs/>
        </w:rPr>
        <w:t>2007 to 30</w:t>
      </w:r>
      <w:r>
        <w:rPr>
          <w:bCs/>
        </w:rPr>
        <w:t> </w:t>
      </w:r>
      <w:r w:rsidRPr="009C16BA">
        <w:rPr>
          <w:bCs/>
        </w:rPr>
        <w:t>June 2014</w:t>
      </w:r>
      <w:bookmarkEnd w:id="323"/>
      <w:bookmarkEnd w:id="324"/>
      <w:bookmarkEnd w:id="325"/>
      <w:bookmarkEnd w:id="326"/>
    </w:p>
    <w:p w14:paraId="3EE27280" w14:textId="77777777" w:rsidR="00FC22E6" w:rsidRPr="00D17CCB" w:rsidRDefault="00FC22E6" w:rsidP="00FC22E6">
      <w:pPr>
        <w:rPr>
          <w:rFonts w:cs="Arial"/>
        </w:rPr>
      </w:pPr>
      <w:r>
        <w:rPr>
          <w:noProof/>
          <w:lang w:eastAsia="en-AU"/>
        </w:rPr>
        <w:drawing>
          <wp:inline distT="0" distB="0" distL="0" distR="0" wp14:anchorId="03291419" wp14:editId="6A828292">
            <wp:extent cx="4949402" cy="3086100"/>
            <wp:effectExtent l="0" t="0" r="29210" b="127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04F6DFF" w14:textId="52C98190" w:rsidR="00FC22E6" w:rsidRPr="00CD74DB" w:rsidRDefault="00FC22E6" w:rsidP="00FC22E6">
      <w:pPr>
        <w:rPr>
          <w:rFonts w:cs="Arial"/>
          <w:sz w:val="16"/>
          <w:szCs w:val="18"/>
        </w:rPr>
      </w:pPr>
      <w:r>
        <w:rPr>
          <w:rFonts w:cs="Arial"/>
          <w:sz w:val="16"/>
          <w:szCs w:val="18"/>
        </w:rPr>
        <w:t xml:space="preserve">Source: </w:t>
      </w:r>
      <w:r w:rsidRPr="00CD74DB">
        <w:rPr>
          <w:rFonts w:cs="Arial"/>
          <w:sz w:val="16"/>
          <w:szCs w:val="18"/>
        </w:rPr>
        <w:t>APTC Table E.1</w:t>
      </w:r>
      <w:r>
        <w:rPr>
          <w:rFonts w:cs="Arial"/>
          <w:sz w:val="16"/>
          <w:szCs w:val="18"/>
        </w:rPr>
        <w:t>, updated 28 August 2014</w:t>
      </w:r>
      <w:r w:rsidR="00AA34C6">
        <w:rPr>
          <w:rFonts w:cs="Arial"/>
          <w:sz w:val="16"/>
          <w:szCs w:val="18"/>
        </w:rPr>
        <w:br/>
      </w:r>
    </w:p>
    <w:p w14:paraId="523B8CC7" w14:textId="07D2421F" w:rsidR="003D355F" w:rsidRDefault="00223410" w:rsidP="002028A6">
      <w:pPr>
        <w:pStyle w:val="Heading2"/>
      </w:pPr>
      <w:bookmarkStart w:id="327" w:name="_Toc274059134"/>
      <w:bookmarkStart w:id="328" w:name="_Toc274145076"/>
      <w:bookmarkStart w:id="329" w:name="_Toc274900460"/>
      <w:bookmarkStart w:id="330" w:name="_Toc278447855"/>
      <w:bookmarkStart w:id="331" w:name="_Toc278453328"/>
      <w:r>
        <w:t xml:space="preserve">5.2 </w:t>
      </w:r>
      <w:r w:rsidR="000E0B61">
        <w:tab/>
      </w:r>
      <w:r w:rsidR="00FC22E6" w:rsidRPr="00D17CCB">
        <w:t>Completion rates</w:t>
      </w:r>
      <w:bookmarkEnd w:id="327"/>
      <w:bookmarkEnd w:id="328"/>
      <w:bookmarkEnd w:id="329"/>
      <w:bookmarkEnd w:id="330"/>
      <w:bookmarkEnd w:id="331"/>
    </w:p>
    <w:p w14:paraId="51949086" w14:textId="2C644F11" w:rsidR="00FC22E6" w:rsidRDefault="00FC22E6" w:rsidP="00FC22E6">
      <w:pPr>
        <w:rPr>
          <w:rFonts w:cs="Arial"/>
        </w:rPr>
      </w:pPr>
      <w:r>
        <w:rPr>
          <w:rFonts w:cs="Arial"/>
        </w:rPr>
        <w:t>Completion rates are high with relatively little variation according to school, gender, age, employment status, c</w:t>
      </w:r>
      <w:r w:rsidR="00AA34C6">
        <w:rPr>
          <w:rFonts w:cs="Arial"/>
        </w:rPr>
        <w:t xml:space="preserve">ampus country and nationality. </w:t>
      </w:r>
      <w:r>
        <w:rPr>
          <w:rFonts w:cs="Arial"/>
        </w:rPr>
        <w:t>Overall, completion rates are 91 per cent</w:t>
      </w:r>
      <w:r w:rsidRPr="00DB250C">
        <w:rPr>
          <w:rFonts w:cs="Arial"/>
          <w:szCs w:val="16"/>
          <w:vertAlign w:val="superscript"/>
          <w:lang w:val="sv-SE" w:eastAsia="sv-SE"/>
        </w:rPr>
        <w:footnoteReference w:id="15"/>
      </w:r>
      <w:r>
        <w:rPr>
          <w:rFonts w:cs="Arial"/>
        </w:rPr>
        <w:t xml:space="preserve">, </w:t>
      </w:r>
      <w:r w:rsidR="00AA34C6">
        <w:rPr>
          <w:rFonts w:cs="Arial"/>
        </w:rPr>
        <w:t>with</w:t>
      </w:r>
      <w:r>
        <w:rPr>
          <w:rFonts w:cs="Arial"/>
        </w:rPr>
        <w:t xml:space="preserve"> 89 per cent for STT and 92 per cent for SHCS. Females had a higher completion rate than males, 93 per cent and 89 per cent, respectively. Completion by age group ranged for 88 per cent for those 40–44 years, to 95 per cent of those in the age group 20–24 years. Employment status for those employed, self-employed and unemployed meant little difference in completion ra</w:t>
      </w:r>
      <w:r w:rsidR="00BD0510">
        <w:rPr>
          <w:rFonts w:cs="Arial"/>
        </w:rPr>
        <w:t xml:space="preserve">tes which were </w:t>
      </w:r>
      <w:r w:rsidR="00AA34C6">
        <w:rPr>
          <w:rFonts w:cs="Arial"/>
        </w:rPr>
        <w:br/>
      </w:r>
      <w:r w:rsidR="00BD0510">
        <w:rPr>
          <w:rFonts w:cs="Arial"/>
        </w:rPr>
        <w:t xml:space="preserve">92–94 per cent. </w:t>
      </w:r>
      <w:r>
        <w:rPr>
          <w:rFonts w:cs="Arial"/>
        </w:rPr>
        <w:t xml:space="preserve">However, for those without a registered employment status, the completion rate was only 83 per cent. </w:t>
      </w:r>
    </w:p>
    <w:p w14:paraId="4B79438A" w14:textId="569634F4" w:rsidR="00FC22E6" w:rsidRDefault="00FC22E6" w:rsidP="00FC22E6">
      <w:pPr>
        <w:rPr>
          <w:rFonts w:cs="Arial"/>
        </w:rPr>
      </w:pPr>
      <w:r>
        <w:rPr>
          <w:rFonts w:cs="Arial"/>
        </w:rPr>
        <w:t xml:space="preserve">Among campus countries, students in PNG had the lowest completion rate at 86 per cent compared with Fiji five percentage points higher. By nationality, all countries had 90 per cent completion rate or above, except PNG and Vanuatu at 89 per cent and 88 per cent, respectively. Solomon Islands nationals excelled with a 97 per cent completion rate among more than 700 participants. Several small island states had extremely high completion rates, but for small numbers, including Marshall Islands and Nauru at 100 per cent. </w:t>
      </w:r>
      <w:r w:rsidR="00AA34C6">
        <w:rPr>
          <w:rFonts w:cs="Arial"/>
        </w:rPr>
        <w:t>However</w:t>
      </w:r>
      <w:r>
        <w:rPr>
          <w:rFonts w:cs="Arial"/>
        </w:rPr>
        <w:t>, overall, 639 students did not complete their qualifications, of whom 70 per cent were male.</w:t>
      </w:r>
    </w:p>
    <w:p w14:paraId="568D25D4" w14:textId="77777777" w:rsidR="004A7A0E" w:rsidRDefault="004A7A0E">
      <w:pPr>
        <w:spacing w:after="0"/>
        <w:rPr>
          <w:rFonts w:cs="Arial"/>
          <w:b/>
          <w:color w:val="76923C"/>
          <w:szCs w:val="22"/>
        </w:rPr>
      </w:pPr>
      <w:bookmarkStart w:id="332" w:name="_Toc274146452"/>
      <w:bookmarkStart w:id="333" w:name="_Toc274915911"/>
      <w:bookmarkStart w:id="334" w:name="_Toc278446891"/>
      <w:r>
        <w:br w:type="page"/>
      </w:r>
    </w:p>
    <w:p w14:paraId="0620DD54" w14:textId="27E6A679" w:rsidR="00FC22E6" w:rsidRPr="008B15AD" w:rsidRDefault="00FC22E6" w:rsidP="00FC22E6">
      <w:pPr>
        <w:pStyle w:val="Tableheading"/>
      </w:pPr>
      <w:r>
        <w:t>Table 5.2.1a:</w:t>
      </w:r>
      <w:r w:rsidRPr="00D17CCB">
        <w:t xml:space="preserve"> Completion rates</w:t>
      </w:r>
      <w:r>
        <w:t xml:space="preserve"> – total, by school, gender, age group, </w:t>
      </w:r>
      <w:r w:rsidR="00513659">
        <w:br/>
      </w:r>
      <w:r>
        <w:t>employment status</w:t>
      </w:r>
      <w:bookmarkEnd w:id="332"/>
      <w:bookmarkEnd w:id="333"/>
      <w:bookmarkEnd w:id="33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240"/>
        <w:gridCol w:w="1240"/>
        <w:gridCol w:w="1240"/>
        <w:gridCol w:w="1241"/>
      </w:tblGrid>
      <w:tr w:rsidR="004A7A0E" w:rsidRPr="00771C4B" w14:paraId="29C79B2A" w14:textId="77777777" w:rsidTr="004A7A0E">
        <w:tc>
          <w:tcPr>
            <w:tcW w:w="2552" w:type="dxa"/>
            <w:shd w:val="clear" w:color="auto" w:fill="C5E0B3" w:themeFill="accent6" w:themeFillTint="66"/>
            <w:noWrap/>
          </w:tcPr>
          <w:p w14:paraId="35D78AFA" w14:textId="77777777" w:rsidR="00FC22E6" w:rsidRPr="00771C4B" w:rsidRDefault="00FC22E6" w:rsidP="005F77A1">
            <w:pPr>
              <w:spacing w:before="10" w:after="10"/>
              <w:rPr>
                <w:rFonts w:cs="Arial"/>
                <w:b/>
                <w:sz w:val="18"/>
              </w:rPr>
            </w:pPr>
            <w:r w:rsidRPr="00771C4B">
              <w:rPr>
                <w:rFonts w:cs="Arial"/>
                <w:b/>
                <w:sz w:val="18"/>
              </w:rPr>
              <w:t> </w:t>
            </w:r>
          </w:p>
        </w:tc>
        <w:tc>
          <w:tcPr>
            <w:tcW w:w="1240" w:type="dxa"/>
            <w:shd w:val="clear" w:color="auto" w:fill="C5E0B3" w:themeFill="accent6" w:themeFillTint="66"/>
            <w:noWrap/>
          </w:tcPr>
          <w:p w14:paraId="28FB59C9" w14:textId="77777777" w:rsidR="00FC22E6" w:rsidRPr="00771C4B" w:rsidRDefault="00FC22E6" w:rsidP="00A32658">
            <w:pPr>
              <w:spacing w:before="10" w:after="10"/>
              <w:jc w:val="center"/>
              <w:rPr>
                <w:rFonts w:cs="Arial"/>
                <w:b/>
                <w:sz w:val="18"/>
              </w:rPr>
            </w:pPr>
            <w:r w:rsidRPr="00771C4B">
              <w:rPr>
                <w:rFonts w:cs="Arial"/>
                <w:b/>
                <w:sz w:val="18"/>
              </w:rPr>
              <w:t>Entrants</w:t>
            </w:r>
          </w:p>
        </w:tc>
        <w:tc>
          <w:tcPr>
            <w:tcW w:w="1240" w:type="dxa"/>
            <w:shd w:val="clear" w:color="auto" w:fill="C5E0B3" w:themeFill="accent6" w:themeFillTint="66"/>
            <w:noWrap/>
          </w:tcPr>
          <w:p w14:paraId="4DB03A01" w14:textId="77777777" w:rsidR="00FC22E6" w:rsidRPr="00771C4B" w:rsidRDefault="00FC22E6" w:rsidP="00A32658">
            <w:pPr>
              <w:spacing w:before="10" w:after="10"/>
              <w:jc w:val="center"/>
              <w:rPr>
                <w:rFonts w:cs="Arial"/>
                <w:b/>
                <w:sz w:val="18"/>
              </w:rPr>
            </w:pPr>
            <w:r w:rsidRPr="00771C4B">
              <w:rPr>
                <w:rFonts w:cs="Arial"/>
                <w:b/>
                <w:sz w:val="18"/>
              </w:rPr>
              <w:t>Graduates</w:t>
            </w:r>
          </w:p>
        </w:tc>
        <w:tc>
          <w:tcPr>
            <w:tcW w:w="1240" w:type="dxa"/>
            <w:shd w:val="clear" w:color="auto" w:fill="C5E0B3" w:themeFill="accent6" w:themeFillTint="66"/>
          </w:tcPr>
          <w:p w14:paraId="7CAE04DD" w14:textId="7BE2EF55" w:rsidR="00FC22E6" w:rsidRPr="00771C4B" w:rsidRDefault="00FC22E6" w:rsidP="00A32658">
            <w:pPr>
              <w:spacing w:before="10" w:after="10"/>
              <w:jc w:val="center"/>
              <w:rPr>
                <w:rFonts w:cs="Arial"/>
                <w:b/>
                <w:sz w:val="18"/>
              </w:rPr>
            </w:pPr>
            <w:r w:rsidRPr="00771C4B">
              <w:rPr>
                <w:rFonts w:cs="Arial"/>
                <w:b/>
                <w:sz w:val="18"/>
              </w:rPr>
              <w:t>Completion rate</w:t>
            </w:r>
            <w:r w:rsidR="00D30EF8">
              <w:rPr>
                <w:rFonts w:cs="Arial"/>
                <w:b/>
                <w:sz w:val="18"/>
              </w:rPr>
              <w:t xml:space="preserve"> %</w:t>
            </w:r>
          </w:p>
        </w:tc>
        <w:tc>
          <w:tcPr>
            <w:tcW w:w="1241" w:type="dxa"/>
            <w:shd w:val="clear" w:color="auto" w:fill="C5E0B3" w:themeFill="accent6" w:themeFillTint="66"/>
          </w:tcPr>
          <w:p w14:paraId="3AFD7D95" w14:textId="77777777" w:rsidR="00FC22E6" w:rsidRPr="00771C4B" w:rsidRDefault="00FC22E6" w:rsidP="00A32658">
            <w:pPr>
              <w:spacing w:before="10" w:after="10"/>
              <w:jc w:val="center"/>
              <w:rPr>
                <w:rFonts w:cs="Arial"/>
                <w:b/>
                <w:sz w:val="18"/>
              </w:rPr>
            </w:pPr>
            <w:r w:rsidRPr="00771C4B">
              <w:rPr>
                <w:rFonts w:cs="Arial"/>
                <w:b/>
                <w:sz w:val="18"/>
              </w:rPr>
              <w:t xml:space="preserve">No. of </w:t>
            </w:r>
            <w:r>
              <w:rPr>
                <w:rFonts w:cs="Arial"/>
                <w:b/>
                <w:sz w:val="18"/>
              </w:rPr>
              <w:br/>
            </w:r>
            <w:r w:rsidRPr="00771C4B">
              <w:rPr>
                <w:rFonts w:cs="Arial"/>
                <w:b/>
                <w:sz w:val="18"/>
              </w:rPr>
              <w:t>non- completers</w:t>
            </w:r>
          </w:p>
        </w:tc>
      </w:tr>
      <w:tr w:rsidR="004A7A0E" w:rsidRPr="00CD268B" w14:paraId="665C4F1D" w14:textId="77777777" w:rsidTr="004A7A0E">
        <w:tc>
          <w:tcPr>
            <w:tcW w:w="2552" w:type="dxa"/>
            <w:noWrap/>
            <w:vAlign w:val="center"/>
          </w:tcPr>
          <w:p w14:paraId="69987285" w14:textId="77777777" w:rsidR="00FC22E6" w:rsidRPr="00CD268B" w:rsidRDefault="00FC22E6" w:rsidP="005F77A1">
            <w:pPr>
              <w:spacing w:before="10" w:after="10"/>
              <w:rPr>
                <w:rFonts w:cs="Arial"/>
                <w:b/>
                <w:sz w:val="18"/>
              </w:rPr>
            </w:pPr>
            <w:r w:rsidRPr="00CD268B">
              <w:rPr>
                <w:rFonts w:cs="Arial"/>
                <w:b/>
                <w:sz w:val="18"/>
              </w:rPr>
              <w:t>Total (all graduates)</w:t>
            </w:r>
          </w:p>
        </w:tc>
        <w:tc>
          <w:tcPr>
            <w:tcW w:w="1240" w:type="dxa"/>
            <w:noWrap/>
            <w:vAlign w:val="center"/>
          </w:tcPr>
          <w:p w14:paraId="186E5779" w14:textId="77777777" w:rsidR="00FC22E6" w:rsidRPr="00CD268B" w:rsidRDefault="00FC22E6" w:rsidP="00A32658">
            <w:pPr>
              <w:spacing w:before="10" w:after="10"/>
              <w:jc w:val="center"/>
              <w:rPr>
                <w:rFonts w:cs="Arial"/>
                <w:b/>
                <w:sz w:val="18"/>
                <w:szCs w:val="22"/>
              </w:rPr>
            </w:pPr>
            <w:r w:rsidRPr="00CD268B">
              <w:rPr>
                <w:rFonts w:cs="Arial"/>
                <w:b/>
                <w:sz w:val="18"/>
                <w:szCs w:val="22"/>
              </w:rPr>
              <w:t>7276</w:t>
            </w:r>
          </w:p>
        </w:tc>
        <w:tc>
          <w:tcPr>
            <w:tcW w:w="1240" w:type="dxa"/>
            <w:noWrap/>
            <w:vAlign w:val="center"/>
          </w:tcPr>
          <w:p w14:paraId="5C1E79CC" w14:textId="77777777" w:rsidR="00FC22E6" w:rsidRPr="00CD268B" w:rsidRDefault="00FC22E6" w:rsidP="00A32658">
            <w:pPr>
              <w:spacing w:before="10" w:after="10"/>
              <w:jc w:val="center"/>
              <w:rPr>
                <w:rFonts w:cs="Arial"/>
                <w:b/>
                <w:sz w:val="18"/>
                <w:szCs w:val="22"/>
              </w:rPr>
            </w:pPr>
            <w:r w:rsidRPr="00CD268B">
              <w:rPr>
                <w:rFonts w:cs="Arial"/>
                <w:b/>
                <w:sz w:val="18"/>
                <w:szCs w:val="22"/>
              </w:rPr>
              <w:t>6637</w:t>
            </w:r>
          </w:p>
        </w:tc>
        <w:tc>
          <w:tcPr>
            <w:tcW w:w="1240" w:type="dxa"/>
            <w:noWrap/>
            <w:vAlign w:val="center"/>
          </w:tcPr>
          <w:p w14:paraId="183373D5" w14:textId="65E489B4" w:rsidR="00FC22E6" w:rsidRPr="00CD268B" w:rsidRDefault="00D30EF8" w:rsidP="00A32658">
            <w:pPr>
              <w:spacing w:before="10" w:after="10"/>
              <w:jc w:val="center"/>
              <w:rPr>
                <w:rFonts w:cs="Arial"/>
                <w:b/>
                <w:sz w:val="18"/>
                <w:szCs w:val="22"/>
              </w:rPr>
            </w:pPr>
            <w:r>
              <w:rPr>
                <w:rFonts w:cs="Arial"/>
                <w:b/>
                <w:sz w:val="18"/>
                <w:szCs w:val="22"/>
              </w:rPr>
              <w:t>91</w:t>
            </w:r>
          </w:p>
        </w:tc>
        <w:tc>
          <w:tcPr>
            <w:tcW w:w="1241" w:type="dxa"/>
            <w:noWrap/>
            <w:vAlign w:val="center"/>
          </w:tcPr>
          <w:p w14:paraId="08EF7B5D" w14:textId="77777777" w:rsidR="00FC22E6" w:rsidRPr="00CD268B" w:rsidRDefault="00FC22E6" w:rsidP="00A32658">
            <w:pPr>
              <w:spacing w:before="10" w:after="10"/>
              <w:jc w:val="center"/>
              <w:rPr>
                <w:rFonts w:cs="Arial"/>
                <w:b/>
                <w:sz w:val="18"/>
                <w:szCs w:val="22"/>
              </w:rPr>
            </w:pPr>
            <w:r w:rsidRPr="00CD268B">
              <w:rPr>
                <w:rFonts w:cs="Arial"/>
                <w:b/>
                <w:sz w:val="18"/>
                <w:szCs w:val="22"/>
              </w:rPr>
              <w:t>639</w:t>
            </w:r>
          </w:p>
        </w:tc>
      </w:tr>
      <w:tr w:rsidR="004A7A0E" w:rsidRPr="00771C4B" w14:paraId="0EA7B48C" w14:textId="77777777" w:rsidTr="004A7A0E">
        <w:tc>
          <w:tcPr>
            <w:tcW w:w="2552" w:type="dxa"/>
            <w:shd w:val="clear" w:color="auto" w:fill="E2EFD9" w:themeFill="accent6" w:themeFillTint="33"/>
            <w:noWrap/>
            <w:vAlign w:val="center"/>
          </w:tcPr>
          <w:p w14:paraId="7E53EB71" w14:textId="77777777" w:rsidR="00FC22E6" w:rsidRPr="00771C4B" w:rsidRDefault="00FC22E6" w:rsidP="005F77A1">
            <w:pPr>
              <w:spacing w:before="10" w:after="10"/>
              <w:rPr>
                <w:rFonts w:cs="Arial"/>
                <w:sz w:val="18"/>
              </w:rPr>
            </w:pPr>
            <w:r w:rsidRPr="00771C4B">
              <w:rPr>
                <w:rFonts w:cs="Arial"/>
                <w:b/>
                <w:bCs/>
                <w:sz w:val="18"/>
              </w:rPr>
              <w:t>By school</w:t>
            </w:r>
          </w:p>
        </w:tc>
        <w:tc>
          <w:tcPr>
            <w:tcW w:w="1240" w:type="dxa"/>
            <w:shd w:val="clear" w:color="auto" w:fill="E2EFD9" w:themeFill="accent6" w:themeFillTint="33"/>
            <w:noWrap/>
            <w:vAlign w:val="center"/>
          </w:tcPr>
          <w:p w14:paraId="747C3B12" w14:textId="77777777" w:rsidR="00FC22E6" w:rsidRPr="00771C4B" w:rsidRDefault="00FC22E6" w:rsidP="00A32658">
            <w:pPr>
              <w:spacing w:before="10" w:after="10"/>
              <w:jc w:val="center"/>
              <w:rPr>
                <w:rFonts w:cs="Arial"/>
                <w:b/>
                <w:bCs/>
                <w:sz w:val="18"/>
                <w:szCs w:val="22"/>
              </w:rPr>
            </w:pPr>
          </w:p>
        </w:tc>
        <w:tc>
          <w:tcPr>
            <w:tcW w:w="1240" w:type="dxa"/>
            <w:shd w:val="clear" w:color="auto" w:fill="E2EFD9" w:themeFill="accent6" w:themeFillTint="33"/>
            <w:noWrap/>
            <w:vAlign w:val="center"/>
          </w:tcPr>
          <w:p w14:paraId="5CF30677" w14:textId="77777777" w:rsidR="00FC22E6" w:rsidRPr="00771C4B" w:rsidRDefault="00FC22E6" w:rsidP="00A32658">
            <w:pPr>
              <w:spacing w:before="10" w:after="10"/>
              <w:jc w:val="center"/>
              <w:rPr>
                <w:rFonts w:cs="Arial"/>
                <w:sz w:val="18"/>
                <w:szCs w:val="22"/>
              </w:rPr>
            </w:pPr>
          </w:p>
        </w:tc>
        <w:tc>
          <w:tcPr>
            <w:tcW w:w="1240" w:type="dxa"/>
            <w:shd w:val="clear" w:color="auto" w:fill="E2EFD9" w:themeFill="accent6" w:themeFillTint="33"/>
            <w:noWrap/>
            <w:vAlign w:val="center"/>
          </w:tcPr>
          <w:p w14:paraId="724BF6D8" w14:textId="77777777" w:rsidR="00FC22E6" w:rsidRPr="00771C4B" w:rsidRDefault="00FC22E6" w:rsidP="00A32658">
            <w:pPr>
              <w:spacing w:before="10" w:after="10"/>
              <w:jc w:val="center"/>
              <w:rPr>
                <w:rFonts w:cs="Arial"/>
                <w:sz w:val="18"/>
                <w:szCs w:val="22"/>
              </w:rPr>
            </w:pPr>
          </w:p>
        </w:tc>
        <w:tc>
          <w:tcPr>
            <w:tcW w:w="1241" w:type="dxa"/>
            <w:shd w:val="clear" w:color="auto" w:fill="E2EFD9" w:themeFill="accent6" w:themeFillTint="33"/>
            <w:noWrap/>
            <w:vAlign w:val="center"/>
          </w:tcPr>
          <w:p w14:paraId="6749A0B9" w14:textId="77777777" w:rsidR="00FC22E6" w:rsidRPr="00771C4B" w:rsidRDefault="00FC22E6" w:rsidP="00A32658">
            <w:pPr>
              <w:spacing w:before="10" w:after="10"/>
              <w:jc w:val="center"/>
              <w:rPr>
                <w:rFonts w:cs="Arial"/>
                <w:sz w:val="18"/>
                <w:szCs w:val="22"/>
              </w:rPr>
            </w:pPr>
          </w:p>
        </w:tc>
      </w:tr>
      <w:tr w:rsidR="004A7A0E" w:rsidRPr="00771C4B" w14:paraId="0E884783" w14:textId="77777777" w:rsidTr="004A7A0E">
        <w:tc>
          <w:tcPr>
            <w:tcW w:w="2552" w:type="dxa"/>
            <w:noWrap/>
            <w:vAlign w:val="center"/>
          </w:tcPr>
          <w:p w14:paraId="52C62272" w14:textId="77777777" w:rsidR="00FC22E6" w:rsidRPr="00771C4B" w:rsidRDefault="00FC22E6" w:rsidP="005F77A1">
            <w:pPr>
              <w:spacing w:before="10" w:after="10"/>
              <w:rPr>
                <w:rFonts w:cs="Arial"/>
                <w:sz w:val="18"/>
              </w:rPr>
            </w:pPr>
            <w:r w:rsidRPr="00771C4B">
              <w:rPr>
                <w:rFonts w:cs="Arial"/>
                <w:sz w:val="18"/>
              </w:rPr>
              <w:t>SHCC</w:t>
            </w:r>
          </w:p>
        </w:tc>
        <w:tc>
          <w:tcPr>
            <w:tcW w:w="1240" w:type="dxa"/>
            <w:noWrap/>
            <w:vAlign w:val="center"/>
          </w:tcPr>
          <w:p w14:paraId="1624431D" w14:textId="77777777" w:rsidR="00FC22E6" w:rsidRPr="00771C4B" w:rsidRDefault="00FC22E6" w:rsidP="00A32658">
            <w:pPr>
              <w:spacing w:before="10" w:after="10"/>
              <w:jc w:val="center"/>
              <w:rPr>
                <w:rFonts w:cs="Arial"/>
                <w:sz w:val="18"/>
                <w:szCs w:val="22"/>
              </w:rPr>
            </w:pPr>
            <w:r w:rsidRPr="00771C4B">
              <w:rPr>
                <w:rFonts w:cs="Arial"/>
                <w:sz w:val="18"/>
                <w:szCs w:val="22"/>
              </w:rPr>
              <w:t>4328</w:t>
            </w:r>
          </w:p>
        </w:tc>
        <w:tc>
          <w:tcPr>
            <w:tcW w:w="1240" w:type="dxa"/>
            <w:noWrap/>
            <w:vAlign w:val="center"/>
          </w:tcPr>
          <w:p w14:paraId="082F5EE5" w14:textId="77777777" w:rsidR="00FC22E6" w:rsidRPr="00771C4B" w:rsidRDefault="00FC22E6" w:rsidP="00A32658">
            <w:pPr>
              <w:spacing w:before="10" w:after="10"/>
              <w:jc w:val="center"/>
              <w:rPr>
                <w:rFonts w:cs="Arial"/>
                <w:sz w:val="18"/>
                <w:szCs w:val="22"/>
              </w:rPr>
            </w:pPr>
            <w:r w:rsidRPr="00771C4B">
              <w:rPr>
                <w:rFonts w:cs="Arial"/>
                <w:sz w:val="18"/>
                <w:szCs w:val="22"/>
              </w:rPr>
              <w:t>4022</w:t>
            </w:r>
          </w:p>
        </w:tc>
        <w:tc>
          <w:tcPr>
            <w:tcW w:w="1240" w:type="dxa"/>
            <w:noWrap/>
            <w:vAlign w:val="center"/>
          </w:tcPr>
          <w:p w14:paraId="1C5822E1" w14:textId="530C3A40" w:rsidR="00FC22E6" w:rsidRPr="00771C4B" w:rsidRDefault="00D30EF8" w:rsidP="00A32658">
            <w:pPr>
              <w:spacing w:before="10" w:after="10"/>
              <w:jc w:val="center"/>
              <w:rPr>
                <w:rFonts w:cs="Arial"/>
                <w:sz w:val="18"/>
                <w:szCs w:val="22"/>
              </w:rPr>
            </w:pPr>
            <w:r>
              <w:rPr>
                <w:rFonts w:cs="Arial"/>
                <w:sz w:val="18"/>
                <w:szCs w:val="22"/>
              </w:rPr>
              <w:t>92</w:t>
            </w:r>
          </w:p>
        </w:tc>
        <w:tc>
          <w:tcPr>
            <w:tcW w:w="1241" w:type="dxa"/>
            <w:noWrap/>
            <w:vAlign w:val="center"/>
          </w:tcPr>
          <w:p w14:paraId="7C3EC13D" w14:textId="77777777" w:rsidR="00FC22E6" w:rsidRPr="00771C4B" w:rsidRDefault="00FC22E6" w:rsidP="00A32658">
            <w:pPr>
              <w:spacing w:before="10" w:after="10"/>
              <w:jc w:val="center"/>
              <w:rPr>
                <w:rFonts w:cs="Arial"/>
                <w:sz w:val="18"/>
                <w:szCs w:val="22"/>
              </w:rPr>
            </w:pPr>
            <w:r w:rsidRPr="00771C4B">
              <w:rPr>
                <w:rFonts w:cs="Arial"/>
                <w:sz w:val="18"/>
                <w:szCs w:val="22"/>
              </w:rPr>
              <w:t>306</w:t>
            </w:r>
          </w:p>
        </w:tc>
      </w:tr>
      <w:tr w:rsidR="004A7A0E" w:rsidRPr="00771C4B" w14:paraId="1299C9E7" w14:textId="77777777" w:rsidTr="004A7A0E">
        <w:tc>
          <w:tcPr>
            <w:tcW w:w="2552" w:type="dxa"/>
            <w:noWrap/>
            <w:vAlign w:val="center"/>
          </w:tcPr>
          <w:p w14:paraId="1D2C13EE" w14:textId="77777777" w:rsidR="00FC22E6" w:rsidRPr="00771C4B" w:rsidRDefault="00FC22E6" w:rsidP="005F77A1">
            <w:pPr>
              <w:spacing w:before="10" w:after="10"/>
              <w:rPr>
                <w:rFonts w:cs="Arial"/>
                <w:sz w:val="18"/>
              </w:rPr>
            </w:pPr>
            <w:r w:rsidRPr="00771C4B">
              <w:rPr>
                <w:rFonts w:cs="Arial"/>
                <w:sz w:val="18"/>
              </w:rPr>
              <w:t>STT</w:t>
            </w:r>
          </w:p>
        </w:tc>
        <w:tc>
          <w:tcPr>
            <w:tcW w:w="1240" w:type="dxa"/>
            <w:noWrap/>
            <w:vAlign w:val="center"/>
          </w:tcPr>
          <w:p w14:paraId="3F0552CC" w14:textId="77777777" w:rsidR="00FC22E6" w:rsidRPr="00771C4B" w:rsidRDefault="00FC22E6" w:rsidP="00A32658">
            <w:pPr>
              <w:spacing w:before="10" w:after="10"/>
              <w:jc w:val="center"/>
              <w:rPr>
                <w:rFonts w:cs="Arial"/>
                <w:sz w:val="18"/>
                <w:szCs w:val="22"/>
              </w:rPr>
            </w:pPr>
            <w:r w:rsidRPr="00771C4B">
              <w:rPr>
                <w:rFonts w:cs="Arial"/>
                <w:sz w:val="18"/>
                <w:szCs w:val="22"/>
              </w:rPr>
              <w:t>2948</w:t>
            </w:r>
          </w:p>
        </w:tc>
        <w:tc>
          <w:tcPr>
            <w:tcW w:w="1240" w:type="dxa"/>
            <w:noWrap/>
            <w:vAlign w:val="center"/>
          </w:tcPr>
          <w:p w14:paraId="4A4644EF" w14:textId="77777777" w:rsidR="00FC22E6" w:rsidRPr="00771C4B" w:rsidRDefault="00FC22E6" w:rsidP="00A32658">
            <w:pPr>
              <w:spacing w:before="10" w:after="10"/>
              <w:jc w:val="center"/>
              <w:rPr>
                <w:rFonts w:cs="Arial"/>
                <w:sz w:val="18"/>
                <w:szCs w:val="22"/>
              </w:rPr>
            </w:pPr>
            <w:r w:rsidRPr="00771C4B">
              <w:rPr>
                <w:rFonts w:cs="Arial"/>
                <w:sz w:val="18"/>
                <w:szCs w:val="22"/>
              </w:rPr>
              <w:t>2615</w:t>
            </w:r>
          </w:p>
        </w:tc>
        <w:tc>
          <w:tcPr>
            <w:tcW w:w="1240" w:type="dxa"/>
            <w:noWrap/>
            <w:vAlign w:val="center"/>
          </w:tcPr>
          <w:p w14:paraId="04CF6317" w14:textId="4A1AE780" w:rsidR="00FC22E6" w:rsidRPr="00771C4B" w:rsidRDefault="00D30EF8" w:rsidP="00A32658">
            <w:pPr>
              <w:spacing w:before="10" w:after="10"/>
              <w:jc w:val="center"/>
              <w:rPr>
                <w:rFonts w:cs="Arial"/>
                <w:sz w:val="18"/>
                <w:szCs w:val="22"/>
              </w:rPr>
            </w:pPr>
            <w:r>
              <w:rPr>
                <w:rFonts w:cs="Arial"/>
                <w:sz w:val="18"/>
                <w:szCs w:val="22"/>
              </w:rPr>
              <w:t>89</w:t>
            </w:r>
          </w:p>
        </w:tc>
        <w:tc>
          <w:tcPr>
            <w:tcW w:w="1241" w:type="dxa"/>
            <w:noWrap/>
            <w:vAlign w:val="center"/>
          </w:tcPr>
          <w:p w14:paraId="231909CD" w14:textId="77777777" w:rsidR="00FC22E6" w:rsidRPr="00771C4B" w:rsidRDefault="00FC22E6" w:rsidP="00A32658">
            <w:pPr>
              <w:spacing w:before="10" w:after="10"/>
              <w:jc w:val="center"/>
              <w:rPr>
                <w:rFonts w:cs="Arial"/>
                <w:sz w:val="18"/>
                <w:szCs w:val="22"/>
              </w:rPr>
            </w:pPr>
            <w:r w:rsidRPr="00771C4B">
              <w:rPr>
                <w:rFonts w:cs="Arial"/>
                <w:sz w:val="18"/>
                <w:szCs w:val="22"/>
              </w:rPr>
              <w:t>333</w:t>
            </w:r>
          </w:p>
        </w:tc>
      </w:tr>
      <w:tr w:rsidR="004A7A0E" w:rsidRPr="00771C4B" w14:paraId="08D7B36A" w14:textId="77777777" w:rsidTr="004A7A0E">
        <w:tc>
          <w:tcPr>
            <w:tcW w:w="2552" w:type="dxa"/>
            <w:shd w:val="clear" w:color="auto" w:fill="E2EFD9" w:themeFill="accent6" w:themeFillTint="33"/>
            <w:noWrap/>
            <w:vAlign w:val="center"/>
          </w:tcPr>
          <w:p w14:paraId="30E360E3" w14:textId="77777777" w:rsidR="00FC22E6" w:rsidRPr="00771C4B" w:rsidRDefault="00FC22E6" w:rsidP="005F77A1">
            <w:pPr>
              <w:spacing w:before="10" w:after="10"/>
              <w:rPr>
                <w:rFonts w:cs="Arial"/>
                <w:sz w:val="18"/>
              </w:rPr>
            </w:pPr>
            <w:r w:rsidRPr="00771C4B">
              <w:rPr>
                <w:rFonts w:cs="Arial"/>
                <w:b/>
                <w:bCs/>
                <w:sz w:val="18"/>
              </w:rPr>
              <w:t>By gender</w:t>
            </w:r>
          </w:p>
        </w:tc>
        <w:tc>
          <w:tcPr>
            <w:tcW w:w="1240" w:type="dxa"/>
            <w:shd w:val="clear" w:color="auto" w:fill="E2EFD9" w:themeFill="accent6" w:themeFillTint="33"/>
            <w:noWrap/>
            <w:vAlign w:val="center"/>
          </w:tcPr>
          <w:p w14:paraId="1E08A043" w14:textId="77777777" w:rsidR="00FC22E6" w:rsidRPr="00771C4B" w:rsidRDefault="00FC22E6" w:rsidP="00A32658">
            <w:pPr>
              <w:spacing w:before="10" w:after="10"/>
              <w:jc w:val="center"/>
              <w:rPr>
                <w:rFonts w:cs="Arial"/>
                <w:b/>
                <w:bCs/>
                <w:sz w:val="18"/>
                <w:szCs w:val="22"/>
              </w:rPr>
            </w:pPr>
          </w:p>
        </w:tc>
        <w:tc>
          <w:tcPr>
            <w:tcW w:w="1240" w:type="dxa"/>
            <w:shd w:val="clear" w:color="auto" w:fill="E2EFD9" w:themeFill="accent6" w:themeFillTint="33"/>
            <w:vAlign w:val="center"/>
          </w:tcPr>
          <w:p w14:paraId="4BF8DBDE" w14:textId="77777777" w:rsidR="00FC22E6" w:rsidRPr="00771C4B" w:rsidRDefault="00FC22E6" w:rsidP="00A32658">
            <w:pPr>
              <w:spacing w:before="10" w:after="10"/>
              <w:jc w:val="center"/>
              <w:rPr>
                <w:rFonts w:cs="Arial"/>
                <w:b/>
                <w:bCs/>
                <w:sz w:val="18"/>
                <w:szCs w:val="22"/>
              </w:rPr>
            </w:pPr>
          </w:p>
        </w:tc>
        <w:tc>
          <w:tcPr>
            <w:tcW w:w="1240" w:type="dxa"/>
            <w:shd w:val="clear" w:color="auto" w:fill="E2EFD9" w:themeFill="accent6" w:themeFillTint="33"/>
            <w:noWrap/>
            <w:vAlign w:val="center"/>
          </w:tcPr>
          <w:p w14:paraId="2517AFF6" w14:textId="77777777" w:rsidR="00FC22E6" w:rsidRPr="00771C4B" w:rsidRDefault="00FC22E6" w:rsidP="00A32658">
            <w:pPr>
              <w:spacing w:before="10" w:after="10"/>
              <w:jc w:val="center"/>
              <w:rPr>
                <w:rFonts w:cs="Arial"/>
                <w:sz w:val="18"/>
                <w:szCs w:val="22"/>
              </w:rPr>
            </w:pPr>
          </w:p>
        </w:tc>
        <w:tc>
          <w:tcPr>
            <w:tcW w:w="1241" w:type="dxa"/>
            <w:shd w:val="clear" w:color="auto" w:fill="E2EFD9" w:themeFill="accent6" w:themeFillTint="33"/>
            <w:noWrap/>
            <w:vAlign w:val="center"/>
          </w:tcPr>
          <w:p w14:paraId="18C641D1" w14:textId="77777777" w:rsidR="00FC22E6" w:rsidRPr="00771C4B" w:rsidRDefault="00FC22E6" w:rsidP="00A32658">
            <w:pPr>
              <w:spacing w:before="10" w:after="10"/>
              <w:jc w:val="center"/>
              <w:rPr>
                <w:rFonts w:cs="Arial"/>
                <w:sz w:val="18"/>
                <w:szCs w:val="22"/>
              </w:rPr>
            </w:pPr>
          </w:p>
        </w:tc>
      </w:tr>
      <w:tr w:rsidR="004A7A0E" w:rsidRPr="00771C4B" w14:paraId="42056142" w14:textId="77777777" w:rsidTr="004A7A0E">
        <w:tc>
          <w:tcPr>
            <w:tcW w:w="2552" w:type="dxa"/>
            <w:noWrap/>
            <w:vAlign w:val="center"/>
          </w:tcPr>
          <w:p w14:paraId="560A9DBB" w14:textId="77777777" w:rsidR="00FC22E6" w:rsidRPr="00771C4B" w:rsidRDefault="00FC22E6" w:rsidP="005F77A1">
            <w:pPr>
              <w:spacing w:before="10" w:after="10"/>
              <w:rPr>
                <w:rFonts w:cs="Arial"/>
                <w:sz w:val="18"/>
              </w:rPr>
            </w:pPr>
            <w:r w:rsidRPr="00771C4B">
              <w:rPr>
                <w:rFonts w:cs="Arial"/>
                <w:sz w:val="18"/>
              </w:rPr>
              <w:t>Male</w:t>
            </w:r>
          </w:p>
        </w:tc>
        <w:tc>
          <w:tcPr>
            <w:tcW w:w="1240" w:type="dxa"/>
            <w:noWrap/>
            <w:vAlign w:val="center"/>
          </w:tcPr>
          <w:p w14:paraId="7051FFEC" w14:textId="77777777" w:rsidR="00FC22E6" w:rsidRPr="00771C4B" w:rsidRDefault="00FC22E6" w:rsidP="00A32658">
            <w:pPr>
              <w:spacing w:before="10" w:after="10"/>
              <w:jc w:val="center"/>
              <w:rPr>
                <w:rFonts w:cs="Arial"/>
                <w:sz w:val="18"/>
                <w:szCs w:val="22"/>
              </w:rPr>
            </w:pPr>
            <w:r w:rsidRPr="00771C4B">
              <w:rPr>
                <w:rFonts w:cs="Arial"/>
                <w:sz w:val="18"/>
                <w:szCs w:val="22"/>
              </w:rPr>
              <w:t>4285</w:t>
            </w:r>
          </w:p>
        </w:tc>
        <w:tc>
          <w:tcPr>
            <w:tcW w:w="1240" w:type="dxa"/>
            <w:noWrap/>
            <w:vAlign w:val="center"/>
          </w:tcPr>
          <w:p w14:paraId="14D3FDA5" w14:textId="77777777" w:rsidR="00FC22E6" w:rsidRPr="00771C4B" w:rsidRDefault="00FC22E6" w:rsidP="00A32658">
            <w:pPr>
              <w:spacing w:before="10" w:after="10"/>
              <w:jc w:val="center"/>
              <w:rPr>
                <w:rFonts w:cs="Arial"/>
                <w:sz w:val="18"/>
                <w:szCs w:val="22"/>
              </w:rPr>
            </w:pPr>
            <w:r w:rsidRPr="00771C4B">
              <w:rPr>
                <w:rFonts w:cs="Arial"/>
                <w:sz w:val="18"/>
                <w:szCs w:val="22"/>
              </w:rPr>
              <w:t>3839</w:t>
            </w:r>
          </w:p>
        </w:tc>
        <w:tc>
          <w:tcPr>
            <w:tcW w:w="1240" w:type="dxa"/>
            <w:noWrap/>
            <w:vAlign w:val="center"/>
          </w:tcPr>
          <w:p w14:paraId="23B64EA0" w14:textId="1A4111AB" w:rsidR="00FC22E6" w:rsidRPr="00771C4B" w:rsidRDefault="00D30EF8" w:rsidP="00A32658">
            <w:pPr>
              <w:spacing w:before="10" w:after="10"/>
              <w:jc w:val="center"/>
              <w:rPr>
                <w:rFonts w:cs="Arial"/>
                <w:sz w:val="18"/>
                <w:szCs w:val="22"/>
              </w:rPr>
            </w:pPr>
            <w:r>
              <w:rPr>
                <w:rFonts w:cs="Arial"/>
                <w:sz w:val="18"/>
                <w:szCs w:val="22"/>
              </w:rPr>
              <w:t>89</w:t>
            </w:r>
          </w:p>
        </w:tc>
        <w:tc>
          <w:tcPr>
            <w:tcW w:w="1241" w:type="dxa"/>
            <w:noWrap/>
            <w:vAlign w:val="center"/>
          </w:tcPr>
          <w:p w14:paraId="23F325FF" w14:textId="77777777" w:rsidR="00FC22E6" w:rsidRPr="00771C4B" w:rsidRDefault="00FC22E6" w:rsidP="00A32658">
            <w:pPr>
              <w:spacing w:before="10" w:after="10"/>
              <w:jc w:val="center"/>
              <w:rPr>
                <w:rFonts w:cs="Arial"/>
                <w:sz w:val="18"/>
                <w:szCs w:val="22"/>
              </w:rPr>
            </w:pPr>
            <w:r w:rsidRPr="00771C4B">
              <w:rPr>
                <w:rFonts w:cs="Arial"/>
                <w:sz w:val="18"/>
                <w:szCs w:val="22"/>
              </w:rPr>
              <w:t>446</w:t>
            </w:r>
          </w:p>
        </w:tc>
      </w:tr>
      <w:tr w:rsidR="004A7A0E" w:rsidRPr="00771C4B" w14:paraId="33A3DEAD" w14:textId="77777777" w:rsidTr="004A7A0E">
        <w:tc>
          <w:tcPr>
            <w:tcW w:w="2552" w:type="dxa"/>
            <w:noWrap/>
            <w:vAlign w:val="center"/>
          </w:tcPr>
          <w:p w14:paraId="6370EE9A" w14:textId="77777777" w:rsidR="00FC22E6" w:rsidRPr="00771C4B" w:rsidRDefault="00FC22E6" w:rsidP="005F77A1">
            <w:pPr>
              <w:spacing w:before="10" w:after="10"/>
              <w:rPr>
                <w:rFonts w:cs="Arial"/>
                <w:sz w:val="18"/>
              </w:rPr>
            </w:pPr>
            <w:r w:rsidRPr="00771C4B">
              <w:rPr>
                <w:rFonts w:cs="Arial"/>
                <w:sz w:val="18"/>
              </w:rPr>
              <w:t>Female</w:t>
            </w:r>
          </w:p>
        </w:tc>
        <w:tc>
          <w:tcPr>
            <w:tcW w:w="1240" w:type="dxa"/>
            <w:noWrap/>
            <w:vAlign w:val="center"/>
          </w:tcPr>
          <w:p w14:paraId="7E7E6AAD" w14:textId="77777777" w:rsidR="00FC22E6" w:rsidRPr="00771C4B" w:rsidRDefault="00FC22E6" w:rsidP="00A32658">
            <w:pPr>
              <w:spacing w:before="10" w:after="10"/>
              <w:jc w:val="center"/>
              <w:rPr>
                <w:rFonts w:cs="Arial"/>
                <w:sz w:val="18"/>
                <w:szCs w:val="22"/>
              </w:rPr>
            </w:pPr>
            <w:r w:rsidRPr="00771C4B">
              <w:rPr>
                <w:rFonts w:cs="Arial"/>
                <w:sz w:val="18"/>
                <w:szCs w:val="22"/>
              </w:rPr>
              <w:t>2991</w:t>
            </w:r>
          </w:p>
        </w:tc>
        <w:tc>
          <w:tcPr>
            <w:tcW w:w="1240" w:type="dxa"/>
            <w:noWrap/>
            <w:vAlign w:val="center"/>
          </w:tcPr>
          <w:p w14:paraId="52CF5BCB" w14:textId="77777777" w:rsidR="00FC22E6" w:rsidRPr="00771C4B" w:rsidRDefault="00FC22E6" w:rsidP="00A32658">
            <w:pPr>
              <w:spacing w:before="10" w:after="10"/>
              <w:jc w:val="center"/>
              <w:rPr>
                <w:rFonts w:cs="Arial"/>
                <w:sz w:val="18"/>
                <w:szCs w:val="22"/>
              </w:rPr>
            </w:pPr>
            <w:r w:rsidRPr="00771C4B">
              <w:rPr>
                <w:rFonts w:cs="Arial"/>
                <w:sz w:val="18"/>
                <w:szCs w:val="22"/>
              </w:rPr>
              <w:t>2798</w:t>
            </w:r>
          </w:p>
        </w:tc>
        <w:tc>
          <w:tcPr>
            <w:tcW w:w="1240" w:type="dxa"/>
            <w:noWrap/>
            <w:vAlign w:val="center"/>
          </w:tcPr>
          <w:p w14:paraId="780158C7" w14:textId="0274AC2D" w:rsidR="00FC22E6" w:rsidRPr="00771C4B" w:rsidRDefault="00D30EF8" w:rsidP="00A32658">
            <w:pPr>
              <w:spacing w:before="10" w:after="10"/>
              <w:jc w:val="center"/>
              <w:rPr>
                <w:rFonts w:cs="Arial"/>
                <w:sz w:val="18"/>
                <w:szCs w:val="22"/>
              </w:rPr>
            </w:pPr>
            <w:r>
              <w:rPr>
                <w:rFonts w:cs="Arial"/>
                <w:sz w:val="18"/>
                <w:szCs w:val="22"/>
              </w:rPr>
              <w:t>93</w:t>
            </w:r>
          </w:p>
        </w:tc>
        <w:tc>
          <w:tcPr>
            <w:tcW w:w="1241" w:type="dxa"/>
            <w:noWrap/>
            <w:vAlign w:val="center"/>
          </w:tcPr>
          <w:p w14:paraId="66B7C8EB" w14:textId="77777777" w:rsidR="00FC22E6" w:rsidRPr="00771C4B" w:rsidRDefault="00FC22E6" w:rsidP="00A32658">
            <w:pPr>
              <w:spacing w:before="10" w:after="10"/>
              <w:jc w:val="center"/>
              <w:rPr>
                <w:rFonts w:cs="Arial"/>
                <w:sz w:val="18"/>
                <w:szCs w:val="22"/>
              </w:rPr>
            </w:pPr>
            <w:r w:rsidRPr="00771C4B">
              <w:rPr>
                <w:rFonts w:cs="Arial"/>
                <w:sz w:val="18"/>
                <w:szCs w:val="22"/>
              </w:rPr>
              <w:t>193</w:t>
            </w:r>
          </w:p>
        </w:tc>
      </w:tr>
      <w:tr w:rsidR="004A7A0E" w:rsidRPr="00771C4B" w14:paraId="62E14BE5" w14:textId="77777777" w:rsidTr="004A7A0E">
        <w:tc>
          <w:tcPr>
            <w:tcW w:w="2552" w:type="dxa"/>
            <w:shd w:val="clear" w:color="auto" w:fill="E2EFD9" w:themeFill="accent6" w:themeFillTint="33"/>
            <w:noWrap/>
            <w:vAlign w:val="center"/>
          </w:tcPr>
          <w:p w14:paraId="30A25DA1" w14:textId="77777777" w:rsidR="00FC22E6" w:rsidRPr="00771C4B" w:rsidRDefault="00FC22E6" w:rsidP="005F77A1">
            <w:pPr>
              <w:spacing w:before="10" w:after="10"/>
              <w:rPr>
                <w:rFonts w:cs="Arial"/>
                <w:sz w:val="18"/>
              </w:rPr>
            </w:pPr>
            <w:r w:rsidRPr="00771C4B">
              <w:rPr>
                <w:rFonts w:cs="Arial"/>
                <w:b/>
                <w:bCs/>
                <w:sz w:val="18"/>
              </w:rPr>
              <w:t>By age group</w:t>
            </w:r>
          </w:p>
        </w:tc>
        <w:tc>
          <w:tcPr>
            <w:tcW w:w="1240" w:type="dxa"/>
            <w:shd w:val="clear" w:color="auto" w:fill="E2EFD9" w:themeFill="accent6" w:themeFillTint="33"/>
            <w:noWrap/>
            <w:vAlign w:val="center"/>
          </w:tcPr>
          <w:p w14:paraId="5FEEA79A" w14:textId="77777777" w:rsidR="00FC22E6" w:rsidRPr="00771C4B" w:rsidRDefault="00FC22E6" w:rsidP="00A32658">
            <w:pPr>
              <w:spacing w:before="10" w:after="10"/>
              <w:jc w:val="center"/>
              <w:rPr>
                <w:rFonts w:cs="Arial"/>
                <w:b/>
                <w:bCs/>
                <w:sz w:val="18"/>
                <w:szCs w:val="22"/>
              </w:rPr>
            </w:pPr>
          </w:p>
        </w:tc>
        <w:tc>
          <w:tcPr>
            <w:tcW w:w="1240" w:type="dxa"/>
            <w:shd w:val="clear" w:color="auto" w:fill="E2EFD9" w:themeFill="accent6" w:themeFillTint="33"/>
            <w:vAlign w:val="center"/>
          </w:tcPr>
          <w:p w14:paraId="61A0AF09" w14:textId="77777777" w:rsidR="00FC22E6" w:rsidRPr="00771C4B" w:rsidRDefault="00FC22E6" w:rsidP="00A32658">
            <w:pPr>
              <w:spacing w:before="10" w:after="10"/>
              <w:jc w:val="center"/>
              <w:rPr>
                <w:rFonts w:cs="Arial"/>
                <w:b/>
                <w:bCs/>
                <w:sz w:val="18"/>
                <w:szCs w:val="22"/>
              </w:rPr>
            </w:pPr>
          </w:p>
        </w:tc>
        <w:tc>
          <w:tcPr>
            <w:tcW w:w="1240" w:type="dxa"/>
            <w:shd w:val="clear" w:color="auto" w:fill="E2EFD9" w:themeFill="accent6" w:themeFillTint="33"/>
            <w:noWrap/>
            <w:vAlign w:val="center"/>
          </w:tcPr>
          <w:p w14:paraId="6C67E247" w14:textId="77777777" w:rsidR="00FC22E6" w:rsidRPr="00771C4B" w:rsidRDefault="00FC22E6" w:rsidP="00A32658">
            <w:pPr>
              <w:spacing w:before="10" w:after="10"/>
              <w:jc w:val="center"/>
              <w:rPr>
                <w:rFonts w:cs="Arial"/>
                <w:sz w:val="18"/>
                <w:szCs w:val="22"/>
              </w:rPr>
            </w:pPr>
          </w:p>
        </w:tc>
        <w:tc>
          <w:tcPr>
            <w:tcW w:w="1241" w:type="dxa"/>
            <w:shd w:val="clear" w:color="auto" w:fill="E2EFD9" w:themeFill="accent6" w:themeFillTint="33"/>
            <w:noWrap/>
            <w:vAlign w:val="center"/>
          </w:tcPr>
          <w:p w14:paraId="6860C137" w14:textId="77777777" w:rsidR="00FC22E6" w:rsidRPr="00771C4B" w:rsidRDefault="00FC22E6" w:rsidP="00A32658">
            <w:pPr>
              <w:spacing w:before="10" w:after="10"/>
              <w:jc w:val="center"/>
              <w:rPr>
                <w:rFonts w:cs="Arial"/>
                <w:sz w:val="18"/>
                <w:szCs w:val="22"/>
              </w:rPr>
            </w:pPr>
          </w:p>
        </w:tc>
      </w:tr>
      <w:tr w:rsidR="004A7A0E" w:rsidRPr="00771C4B" w14:paraId="1E5FBA6C" w14:textId="77777777" w:rsidTr="004A7A0E">
        <w:tc>
          <w:tcPr>
            <w:tcW w:w="2552" w:type="dxa"/>
            <w:noWrap/>
            <w:vAlign w:val="center"/>
          </w:tcPr>
          <w:p w14:paraId="78298620" w14:textId="77777777" w:rsidR="00FC22E6" w:rsidRPr="00771C4B" w:rsidRDefault="00FC22E6" w:rsidP="005F77A1">
            <w:pPr>
              <w:spacing w:before="10" w:after="10"/>
              <w:rPr>
                <w:rFonts w:cs="Arial"/>
                <w:sz w:val="18"/>
              </w:rPr>
            </w:pPr>
            <w:r w:rsidRPr="00771C4B">
              <w:rPr>
                <w:rFonts w:cs="Arial"/>
                <w:sz w:val="18"/>
              </w:rPr>
              <w:t>15-19</w:t>
            </w:r>
          </w:p>
        </w:tc>
        <w:tc>
          <w:tcPr>
            <w:tcW w:w="1240" w:type="dxa"/>
            <w:noWrap/>
            <w:vAlign w:val="center"/>
          </w:tcPr>
          <w:p w14:paraId="6C0B7614" w14:textId="77777777" w:rsidR="00FC22E6" w:rsidRPr="00771C4B" w:rsidRDefault="00FC22E6" w:rsidP="00A32658">
            <w:pPr>
              <w:spacing w:before="10" w:after="10"/>
              <w:jc w:val="center"/>
              <w:rPr>
                <w:rFonts w:cs="Arial"/>
                <w:sz w:val="18"/>
                <w:szCs w:val="22"/>
              </w:rPr>
            </w:pPr>
            <w:r w:rsidRPr="00771C4B">
              <w:rPr>
                <w:rFonts w:cs="Arial"/>
                <w:sz w:val="18"/>
                <w:szCs w:val="22"/>
              </w:rPr>
              <w:t>10</w:t>
            </w:r>
          </w:p>
        </w:tc>
        <w:tc>
          <w:tcPr>
            <w:tcW w:w="1240" w:type="dxa"/>
            <w:noWrap/>
            <w:vAlign w:val="center"/>
          </w:tcPr>
          <w:p w14:paraId="0EBDD23B" w14:textId="77777777" w:rsidR="00FC22E6" w:rsidRPr="00771C4B" w:rsidRDefault="00FC22E6" w:rsidP="00A32658">
            <w:pPr>
              <w:spacing w:before="10" w:after="10"/>
              <w:jc w:val="center"/>
              <w:rPr>
                <w:rFonts w:cs="Arial"/>
                <w:sz w:val="18"/>
                <w:szCs w:val="22"/>
              </w:rPr>
            </w:pPr>
            <w:r w:rsidRPr="00771C4B">
              <w:rPr>
                <w:rFonts w:cs="Arial"/>
                <w:sz w:val="18"/>
                <w:szCs w:val="22"/>
              </w:rPr>
              <w:t>10</w:t>
            </w:r>
          </w:p>
        </w:tc>
        <w:tc>
          <w:tcPr>
            <w:tcW w:w="1240" w:type="dxa"/>
            <w:noWrap/>
            <w:vAlign w:val="center"/>
          </w:tcPr>
          <w:p w14:paraId="2336E9BE" w14:textId="360D06AF" w:rsidR="00FC22E6" w:rsidRPr="00771C4B" w:rsidRDefault="00D30EF8" w:rsidP="00A32658">
            <w:pPr>
              <w:spacing w:before="10" w:after="10"/>
              <w:jc w:val="center"/>
              <w:rPr>
                <w:rFonts w:cs="Arial"/>
                <w:sz w:val="18"/>
                <w:szCs w:val="22"/>
              </w:rPr>
            </w:pPr>
            <w:r>
              <w:rPr>
                <w:rFonts w:cs="Arial"/>
                <w:sz w:val="18"/>
                <w:szCs w:val="22"/>
              </w:rPr>
              <w:t>100</w:t>
            </w:r>
          </w:p>
        </w:tc>
        <w:tc>
          <w:tcPr>
            <w:tcW w:w="1241" w:type="dxa"/>
            <w:noWrap/>
            <w:vAlign w:val="center"/>
          </w:tcPr>
          <w:p w14:paraId="0CB1DC5E" w14:textId="77777777" w:rsidR="00FC22E6" w:rsidRPr="00771C4B" w:rsidRDefault="00FC22E6" w:rsidP="00A32658">
            <w:pPr>
              <w:spacing w:before="10" w:after="10"/>
              <w:jc w:val="center"/>
              <w:rPr>
                <w:rFonts w:cs="Arial"/>
                <w:sz w:val="18"/>
                <w:szCs w:val="22"/>
              </w:rPr>
            </w:pPr>
            <w:r w:rsidRPr="00771C4B">
              <w:rPr>
                <w:rFonts w:cs="Arial"/>
                <w:sz w:val="18"/>
                <w:szCs w:val="22"/>
              </w:rPr>
              <w:t>0</w:t>
            </w:r>
          </w:p>
        </w:tc>
      </w:tr>
      <w:tr w:rsidR="004A7A0E" w:rsidRPr="00771C4B" w14:paraId="080DCEC2" w14:textId="77777777" w:rsidTr="004A7A0E">
        <w:tc>
          <w:tcPr>
            <w:tcW w:w="2552" w:type="dxa"/>
            <w:noWrap/>
            <w:vAlign w:val="center"/>
          </w:tcPr>
          <w:p w14:paraId="597F8485" w14:textId="77777777" w:rsidR="00FC22E6" w:rsidRPr="00771C4B" w:rsidRDefault="00FC22E6" w:rsidP="005F77A1">
            <w:pPr>
              <w:spacing w:before="10" w:after="10"/>
              <w:rPr>
                <w:rFonts w:cs="Arial"/>
                <w:sz w:val="18"/>
              </w:rPr>
            </w:pPr>
            <w:r w:rsidRPr="00771C4B">
              <w:rPr>
                <w:rFonts w:cs="Arial"/>
                <w:sz w:val="18"/>
              </w:rPr>
              <w:t>20-24</w:t>
            </w:r>
          </w:p>
        </w:tc>
        <w:tc>
          <w:tcPr>
            <w:tcW w:w="1240" w:type="dxa"/>
            <w:noWrap/>
            <w:vAlign w:val="center"/>
          </w:tcPr>
          <w:p w14:paraId="0C0BC081" w14:textId="77777777" w:rsidR="00FC22E6" w:rsidRPr="00771C4B" w:rsidRDefault="00FC22E6" w:rsidP="00A32658">
            <w:pPr>
              <w:spacing w:before="10" w:after="10"/>
              <w:jc w:val="center"/>
              <w:rPr>
                <w:rFonts w:cs="Arial"/>
                <w:sz w:val="18"/>
                <w:szCs w:val="22"/>
              </w:rPr>
            </w:pPr>
            <w:r w:rsidRPr="00771C4B">
              <w:rPr>
                <w:rFonts w:cs="Arial"/>
                <w:sz w:val="18"/>
                <w:szCs w:val="22"/>
              </w:rPr>
              <w:t>482</w:t>
            </w:r>
          </w:p>
        </w:tc>
        <w:tc>
          <w:tcPr>
            <w:tcW w:w="1240" w:type="dxa"/>
            <w:noWrap/>
            <w:vAlign w:val="center"/>
          </w:tcPr>
          <w:p w14:paraId="39E4D4B4" w14:textId="77777777" w:rsidR="00FC22E6" w:rsidRPr="00771C4B" w:rsidRDefault="00FC22E6" w:rsidP="00A32658">
            <w:pPr>
              <w:spacing w:before="10" w:after="10"/>
              <w:jc w:val="center"/>
              <w:rPr>
                <w:rFonts w:cs="Arial"/>
                <w:sz w:val="18"/>
                <w:szCs w:val="22"/>
              </w:rPr>
            </w:pPr>
            <w:r w:rsidRPr="00771C4B">
              <w:rPr>
                <w:rFonts w:cs="Arial"/>
                <w:sz w:val="18"/>
                <w:szCs w:val="22"/>
              </w:rPr>
              <w:t>458</w:t>
            </w:r>
          </w:p>
        </w:tc>
        <w:tc>
          <w:tcPr>
            <w:tcW w:w="1240" w:type="dxa"/>
            <w:noWrap/>
            <w:vAlign w:val="center"/>
          </w:tcPr>
          <w:p w14:paraId="1AC0CDF1" w14:textId="4CA012FD" w:rsidR="00FC22E6" w:rsidRPr="00771C4B" w:rsidRDefault="00D30EF8" w:rsidP="00A32658">
            <w:pPr>
              <w:spacing w:before="10" w:after="10"/>
              <w:jc w:val="center"/>
              <w:rPr>
                <w:rFonts w:cs="Arial"/>
                <w:sz w:val="18"/>
                <w:szCs w:val="22"/>
              </w:rPr>
            </w:pPr>
            <w:r>
              <w:rPr>
                <w:rFonts w:cs="Arial"/>
                <w:sz w:val="18"/>
                <w:szCs w:val="22"/>
              </w:rPr>
              <w:t>95</w:t>
            </w:r>
          </w:p>
        </w:tc>
        <w:tc>
          <w:tcPr>
            <w:tcW w:w="1241" w:type="dxa"/>
            <w:noWrap/>
            <w:vAlign w:val="center"/>
          </w:tcPr>
          <w:p w14:paraId="71A95424" w14:textId="77777777" w:rsidR="00FC22E6" w:rsidRPr="00771C4B" w:rsidRDefault="00FC22E6" w:rsidP="00A32658">
            <w:pPr>
              <w:spacing w:before="10" w:after="10"/>
              <w:jc w:val="center"/>
              <w:rPr>
                <w:rFonts w:cs="Arial"/>
                <w:sz w:val="18"/>
                <w:szCs w:val="22"/>
              </w:rPr>
            </w:pPr>
            <w:r w:rsidRPr="00771C4B">
              <w:rPr>
                <w:rFonts w:cs="Arial"/>
                <w:sz w:val="18"/>
                <w:szCs w:val="22"/>
              </w:rPr>
              <w:t>24</w:t>
            </w:r>
          </w:p>
        </w:tc>
      </w:tr>
      <w:tr w:rsidR="004A7A0E" w:rsidRPr="00771C4B" w14:paraId="6AD5DC81" w14:textId="77777777" w:rsidTr="004A7A0E">
        <w:tc>
          <w:tcPr>
            <w:tcW w:w="2552" w:type="dxa"/>
            <w:noWrap/>
            <w:vAlign w:val="center"/>
          </w:tcPr>
          <w:p w14:paraId="14C1AEB0" w14:textId="77777777" w:rsidR="00FC22E6" w:rsidRPr="00771C4B" w:rsidRDefault="00FC22E6" w:rsidP="005F77A1">
            <w:pPr>
              <w:spacing w:before="10" w:after="10"/>
              <w:rPr>
                <w:rFonts w:cs="Arial"/>
                <w:sz w:val="18"/>
              </w:rPr>
            </w:pPr>
            <w:r w:rsidRPr="00771C4B">
              <w:rPr>
                <w:rFonts w:cs="Arial"/>
                <w:sz w:val="18"/>
              </w:rPr>
              <w:t>25-29</w:t>
            </w:r>
          </w:p>
        </w:tc>
        <w:tc>
          <w:tcPr>
            <w:tcW w:w="1240" w:type="dxa"/>
            <w:noWrap/>
            <w:vAlign w:val="center"/>
          </w:tcPr>
          <w:p w14:paraId="655750FB" w14:textId="77777777" w:rsidR="00FC22E6" w:rsidRPr="00771C4B" w:rsidRDefault="00FC22E6" w:rsidP="00A32658">
            <w:pPr>
              <w:spacing w:before="10" w:after="10"/>
              <w:jc w:val="center"/>
              <w:rPr>
                <w:rFonts w:cs="Arial"/>
                <w:sz w:val="18"/>
                <w:szCs w:val="22"/>
              </w:rPr>
            </w:pPr>
            <w:r w:rsidRPr="00771C4B">
              <w:rPr>
                <w:rFonts w:cs="Arial"/>
                <w:sz w:val="18"/>
                <w:szCs w:val="22"/>
              </w:rPr>
              <w:t>1562</w:t>
            </w:r>
          </w:p>
        </w:tc>
        <w:tc>
          <w:tcPr>
            <w:tcW w:w="1240" w:type="dxa"/>
            <w:noWrap/>
            <w:vAlign w:val="center"/>
          </w:tcPr>
          <w:p w14:paraId="61CA8C1E" w14:textId="77777777" w:rsidR="00FC22E6" w:rsidRPr="00771C4B" w:rsidRDefault="00FC22E6" w:rsidP="00A32658">
            <w:pPr>
              <w:spacing w:before="10" w:after="10"/>
              <w:jc w:val="center"/>
              <w:rPr>
                <w:rFonts w:cs="Arial"/>
                <w:sz w:val="18"/>
                <w:szCs w:val="22"/>
              </w:rPr>
            </w:pPr>
            <w:r w:rsidRPr="00771C4B">
              <w:rPr>
                <w:rFonts w:cs="Arial"/>
                <w:sz w:val="18"/>
                <w:szCs w:val="22"/>
              </w:rPr>
              <w:t>1444</w:t>
            </w:r>
          </w:p>
        </w:tc>
        <w:tc>
          <w:tcPr>
            <w:tcW w:w="1240" w:type="dxa"/>
            <w:noWrap/>
            <w:vAlign w:val="center"/>
          </w:tcPr>
          <w:p w14:paraId="326E3A0F" w14:textId="4D58EFD5" w:rsidR="00FC22E6" w:rsidRPr="00771C4B" w:rsidRDefault="00D30EF8" w:rsidP="00A32658">
            <w:pPr>
              <w:spacing w:before="10" w:after="10"/>
              <w:jc w:val="center"/>
              <w:rPr>
                <w:rFonts w:cs="Arial"/>
                <w:sz w:val="18"/>
                <w:szCs w:val="22"/>
              </w:rPr>
            </w:pPr>
            <w:r>
              <w:rPr>
                <w:rFonts w:cs="Arial"/>
                <w:sz w:val="18"/>
                <w:szCs w:val="22"/>
              </w:rPr>
              <w:t>92</w:t>
            </w:r>
          </w:p>
        </w:tc>
        <w:tc>
          <w:tcPr>
            <w:tcW w:w="1241" w:type="dxa"/>
            <w:noWrap/>
            <w:vAlign w:val="center"/>
          </w:tcPr>
          <w:p w14:paraId="49B61F26" w14:textId="77777777" w:rsidR="00FC22E6" w:rsidRPr="00771C4B" w:rsidRDefault="00FC22E6" w:rsidP="00A32658">
            <w:pPr>
              <w:spacing w:before="10" w:after="10"/>
              <w:jc w:val="center"/>
              <w:rPr>
                <w:rFonts w:cs="Arial"/>
                <w:sz w:val="18"/>
                <w:szCs w:val="22"/>
              </w:rPr>
            </w:pPr>
            <w:r w:rsidRPr="00771C4B">
              <w:rPr>
                <w:rFonts w:cs="Arial"/>
                <w:sz w:val="18"/>
                <w:szCs w:val="22"/>
              </w:rPr>
              <w:t>118</w:t>
            </w:r>
          </w:p>
        </w:tc>
      </w:tr>
      <w:tr w:rsidR="004A7A0E" w:rsidRPr="00771C4B" w14:paraId="22F2FA4E" w14:textId="77777777" w:rsidTr="004A7A0E">
        <w:tc>
          <w:tcPr>
            <w:tcW w:w="2552" w:type="dxa"/>
            <w:noWrap/>
            <w:vAlign w:val="center"/>
          </w:tcPr>
          <w:p w14:paraId="297929B1" w14:textId="77777777" w:rsidR="00FC22E6" w:rsidRPr="00771C4B" w:rsidRDefault="00FC22E6" w:rsidP="005F77A1">
            <w:pPr>
              <w:spacing w:before="10" w:after="10"/>
              <w:rPr>
                <w:rFonts w:cs="Arial"/>
                <w:sz w:val="18"/>
              </w:rPr>
            </w:pPr>
            <w:r w:rsidRPr="00771C4B">
              <w:rPr>
                <w:rFonts w:cs="Arial"/>
                <w:sz w:val="18"/>
              </w:rPr>
              <w:t>30-34</w:t>
            </w:r>
          </w:p>
        </w:tc>
        <w:tc>
          <w:tcPr>
            <w:tcW w:w="1240" w:type="dxa"/>
            <w:noWrap/>
            <w:vAlign w:val="center"/>
          </w:tcPr>
          <w:p w14:paraId="28412346" w14:textId="77777777" w:rsidR="00FC22E6" w:rsidRPr="00771C4B" w:rsidRDefault="00FC22E6" w:rsidP="00A32658">
            <w:pPr>
              <w:spacing w:before="10" w:after="10"/>
              <w:jc w:val="center"/>
              <w:rPr>
                <w:rFonts w:cs="Arial"/>
                <w:sz w:val="18"/>
                <w:szCs w:val="22"/>
              </w:rPr>
            </w:pPr>
            <w:r w:rsidRPr="00771C4B">
              <w:rPr>
                <w:rFonts w:cs="Arial"/>
                <w:sz w:val="18"/>
                <w:szCs w:val="22"/>
              </w:rPr>
              <w:t>1549</w:t>
            </w:r>
          </w:p>
        </w:tc>
        <w:tc>
          <w:tcPr>
            <w:tcW w:w="1240" w:type="dxa"/>
            <w:noWrap/>
            <w:vAlign w:val="center"/>
          </w:tcPr>
          <w:p w14:paraId="65F30234" w14:textId="77777777" w:rsidR="00FC22E6" w:rsidRPr="00771C4B" w:rsidRDefault="00FC22E6" w:rsidP="00A32658">
            <w:pPr>
              <w:spacing w:before="10" w:after="10"/>
              <w:jc w:val="center"/>
              <w:rPr>
                <w:rFonts w:cs="Arial"/>
                <w:sz w:val="18"/>
                <w:szCs w:val="22"/>
              </w:rPr>
            </w:pPr>
            <w:r w:rsidRPr="00771C4B">
              <w:rPr>
                <w:rFonts w:cs="Arial"/>
                <w:sz w:val="18"/>
                <w:szCs w:val="22"/>
              </w:rPr>
              <w:t>1439</w:t>
            </w:r>
          </w:p>
        </w:tc>
        <w:tc>
          <w:tcPr>
            <w:tcW w:w="1240" w:type="dxa"/>
            <w:noWrap/>
            <w:vAlign w:val="center"/>
          </w:tcPr>
          <w:p w14:paraId="36A87390" w14:textId="5364B372" w:rsidR="00FC22E6" w:rsidRPr="00771C4B" w:rsidRDefault="00D30EF8" w:rsidP="00A32658">
            <w:pPr>
              <w:spacing w:before="10" w:after="10"/>
              <w:jc w:val="center"/>
              <w:rPr>
                <w:rFonts w:cs="Arial"/>
                <w:sz w:val="18"/>
                <w:szCs w:val="22"/>
              </w:rPr>
            </w:pPr>
            <w:r>
              <w:rPr>
                <w:rFonts w:cs="Arial"/>
                <w:sz w:val="18"/>
                <w:szCs w:val="22"/>
              </w:rPr>
              <w:t>92</w:t>
            </w:r>
          </w:p>
        </w:tc>
        <w:tc>
          <w:tcPr>
            <w:tcW w:w="1241" w:type="dxa"/>
            <w:noWrap/>
            <w:vAlign w:val="center"/>
          </w:tcPr>
          <w:p w14:paraId="776619A6" w14:textId="77777777" w:rsidR="00FC22E6" w:rsidRPr="00771C4B" w:rsidRDefault="00FC22E6" w:rsidP="00A32658">
            <w:pPr>
              <w:spacing w:before="10" w:after="10"/>
              <w:jc w:val="center"/>
              <w:rPr>
                <w:rFonts w:cs="Arial"/>
                <w:sz w:val="18"/>
                <w:szCs w:val="22"/>
              </w:rPr>
            </w:pPr>
            <w:r w:rsidRPr="00771C4B">
              <w:rPr>
                <w:rFonts w:cs="Arial"/>
                <w:sz w:val="18"/>
                <w:szCs w:val="22"/>
              </w:rPr>
              <w:t>110</w:t>
            </w:r>
          </w:p>
        </w:tc>
      </w:tr>
      <w:tr w:rsidR="004A7A0E" w:rsidRPr="00771C4B" w14:paraId="1D6D58A0" w14:textId="77777777" w:rsidTr="004A7A0E">
        <w:tc>
          <w:tcPr>
            <w:tcW w:w="2552" w:type="dxa"/>
            <w:noWrap/>
            <w:vAlign w:val="center"/>
          </w:tcPr>
          <w:p w14:paraId="5E7945B2" w14:textId="77777777" w:rsidR="00FC22E6" w:rsidRPr="00771C4B" w:rsidRDefault="00FC22E6" w:rsidP="005F77A1">
            <w:pPr>
              <w:spacing w:before="10" w:after="10"/>
              <w:rPr>
                <w:rFonts w:cs="Arial"/>
                <w:sz w:val="18"/>
              </w:rPr>
            </w:pPr>
            <w:r w:rsidRPr="00771C4B">
              <w:rPr>
                <w:rFonts w:cs="Arial"/>
                <w:sz w:val="18"/>
              </w:rPr>
              <w:t>35-39</w:t>
            </w:r>
          </w:p>
        </w:tc>
        <w:tc>
          <w:tcPr>
            <w:tcW w:w="1240" w:type="dxa"/>
            <w:noWrap/>
            <w:vAlign w:val="center"/>
          </w:tcPr>
          <w:p w14:paraId="6D73A2D1" w14:textId="77777777" w:rsidR="00FC22E6" w:rsidRPr="00771C4B" w:rsidRDefault="00FC22E6" w:rsidP="00A32658">
            <w:pPr>
              <w:spacing w:before="10" w:after="10"/>
              <w:jc w:val="center"/>
              <w:rPr>
                <w:rFonts w:cs="Arial"/>
                <w:sz w:val="18"/>
                <w:szCs w:val="22"/>
              </w:rPr>
            </w:pPr>
            <w:r w:rsidRPr="00771C4B">
              <w:rPr>
                <w:rFonts w:cs="Arial"/>
                <w:sz w:val="18"/>
                <w:szCs w:val="22"/>
              </w:rPr>
              <w:t>1301</w:t>
            </w:r>
          </w:p>
        </w:tc>
        <w:tc>
          <w:tcPr>
            <w:tcW w:w="1240" w:type="dxa"/>
            <w:noWrap/>
            <w:vAlign w:val="center"/>
          </w:tcPr>
          <w:p w14:paraId="083A0E03" w14:textId="77777777" w:rsidR="00FC22E6" w:rsidRPr="00771C4B" w:rsidRDefault="00FC22E6" w:rsidP="00A32658">
            <w:pPr>
              <w:spacing w:before="10" w:after="10"/>
              <w:jc w:val="center"/>
              <w:rPr>
                <w:rFonts w:cs="Arial"/>
                <w:sz w:val="18"/>
                <w:szCs w:val="22"/>
              </w:rPr>
            </w:pPr>
            <w:r w:rsidRPr="00771C4B">
              <w:rPr>
                <w:rFonts w:cs="Arial"/>
                <w:sz w:val="18"/>
                <w:szCs w:val="22"/>
              </w:rPr>
              <w:t>1188</w:t>
            </w:r>
          </w:p>
        </w:tc>
        <w:tc>
          <w:tcPr>
            <w:tcW w:w="1240" w:type="dxa"/>
            <w:noWrap/>
            <w:vAlign w:val="center"/>
          </w:tcPr>
          <w:p w14:paraId="363833BA" w14:textId="4887CC2D" w:rsidR="00FC22E6" w:rsidRPr="00771C4B" w:rsidRDefault="00D30EF8" w:rsidP="00A32658">
            <w:pPr>
              <w:spacing w:before="10" w:after="10"/>
              <w:jc w:val="center"/>
              <w:rPr>
                <w:rFonts w:cs="Arial"/>
                <w:sz w:val="18"/>
                <w:szCs w:val="22"/>
              </w:rPr>
            </w:pPr>
            <w:r>
              <w:rPr>
                <w:rFonts w:cs="Arial"/>
                <w:sz w:val="18"/>
                <w:szCs w:val="22"/>
              </w:rPr>
              <w:t>91</w:t>
            </w:r>
          </w:p>
        </w:tc>
        <w:tc>
          <w:tcPr>
            <w:tcW w:w="1241" w:type="dxa"/>
            <w:noWrap/>
            <w:vAlign w:val="center"/>
          </w:tcPr>
          <w:p w14:paraId="2525279C" w14:textId="77777777" w:rsidR="00FC22E6" w:rsidRPr="00771C4B" w:rsidRDefault="00FC22E6" w:rsidP="00A32658">
            <w:pPr>
              <w:spacing w:before="10" w:after="10"/>
              <w:jc w:val="center"/>
              <w:rPr>
                <w:rFonts w:cs="Arial"/>
                <w:sz w:val="18"/>
                <w:szCs w:val="22"/>
              </w:rPr>
            </w:pPr>
            <w:r w:rsidRPr="00771C4B">
              <w:rPr>
                <w:rFonts w:cs="Arial"/>
                <w:sz w:val="18"/>
                <w:szCs w:val="22"/>
              </w:rPr>
              <w:t>113</w:t>
            </w:r>
          </w:p>
        </w:tc>
      </w:tr>
      <w:tr w:rsidR="004A7A0E" w:rsidRPr="00771C4B" w14:paraId="5D1D276B" w14:textId="77777777" w:rsidTr="004A7A0E">
        <w:tc>
          <w:tcPr>
            <w:tcW w:w="2552" w:type="dxa"/>
            <w:noWrap/>
            <w:vAlign w:val="center"/>
          </w:tcPr>
          <w:p w14:paraId="06EDBA82" w14:textId="77777777" w:rsidR="00FC22E6" w:rsidRPr="00771C4B" w:rsidRDefault="00FC22E6" w:rsidP="005F77A1">
            <w:pPr>
              <w:spacing w:before="10" w:after="10"/>
              <w:rPr>
                <w:rFonts w:cs="Arial"/>
                <w:sz w:val="18"/>
              </w:rPr>
            </w:pPr>
            <w:r w:rsidRPr="00771C4B">
              <w:rPr>
                <w:rFonts w:cs="Arial"/>
                <w:sz w:val="18"/>
              </w:rPr>
              <w:t>40-44</w:t>
            </w:r>
          </w:p>
        </w:tc>
        <w:tc>
          <w:tcPr>
            <w:tcW w:w="1240" w:type="dxa"/>
            <w:noWrap/>
            <w:vAlign w:val="center"/>
          </w:tcPr>
          <w:p w14:paraId="6918D288" w14:textId="77777777" w:rsidR="00FC22E6" w:rsidRPr="00771C4B" w:rsidRDefault="00FC22E6" w:rsidP="00A32658">
            <w:pPr>
              <w:spacing w:before="10" w:after="10"/>
              <w:jc w:val="center"/>
              <w:rPr>
                <w:rFonts w:cs="Arial"/>
                <w:sz w:val="18"/>
                <w:szCs w:val="22"/>
              </w:rPr>
            </w:pPr>
            <w:r w:rsidRPr="00771C4B">
              <w:rPr>
                <w:rFonts w:cs="Arial"/>
                <w:sz w:val="18"/>
                <w:szCs w:val="22"/>
              </w:rPr>
              <w:t>1024</w:t>
            </w:r>
          </w:p>
        </w:tc>
        <w:tc>
          <w:tcPr>
            <w:tcW w:w="1240" w:type="dxa"/>
            <w:noWrap/>
            <w:vAlign w:val="center"/>
          </w:tcPr>
          <w:p w14:paraId="7851AC48" w14:textId="77777777" w:rsidR="00FC22E6" w:rsidRPr="00771C4B" w:rsidRDefault="00FC22E6" w:rsidP="00A32658">
            <w:pPr>
              <w:spacing w:before="10" w:after="10"/>
              <w:jc w:val="center"/>
              <w:rPr>
                <w:rFonts w:cs="Arial"/>
                <w:sz w:val="18"/>
                <w:szCs w:val="22"/>
              </w:rPr>
            </w:pPr>
            <w:r w:rsidRPr="00771C4B">
              <w:rPr>
                <w:rFonts w:cs="Arial"/>
                <w:sz w:val="18"/>
                <w:szCs w:val="22"/>
              </w:rPr>
              <w:t>905</w:t>
            </w:r>
          </w:p>
        </w:tc>
        <w:tc>
          <w:tcPr>
            <w:tcW w:w="1240" w:type="dxa"/>
            <w:noWrap/>
            <w:vAlign w:val="center"/>
          </w:tcPr>
          <w:p w14:paraId="704B302D" w14:textId="44CC06C7" w:rsidR="00FC22E6" w:rsidRPr="00771C4B" w:rsidRDefault="00D30EF8" w:rsidP="00A32658">
            <w:pPr>
              <w:spacing w:before="10" w:after="10"/>
              <w:jc w:val="center"/>
              <w:rPr>
                <w:rFonts w:cs="Arial"/>
                <w:sz w:val="18"/>
                <w:szCs w:val="22"/>
              </w:rPr>
            </w:pPr>
            <w:r>
              <w:rPr>
                <w:rFonts w:cs="Arial"/>
                <w:sz w:val="18"/>
                <w:szCs w:val="22"/>
              </w:rPr>
              <w:t>88</w:t>
            </w:r>
          </w:p>
        </w:tc>
        <w:tc>
          <w:tcPr>
            <w:tcW w:w="1241" w:type="dxa"/>
            <w:noWrap/>
            <w:vAlign w:val="center"/>
          </w:tcPr>
          <w:p w14:paraId="0F842F74" w14:textId="77777777" w:rsidR="00FC22E6" w:rsidRPr="00771C4B" w:rsidRDefault="00FC22E6" w:rsidP="00A32658">
            <w:pPr>
              <w:spacing w:before="10" w:after="10"/>
              <w:jc w:val="center"/>
              <w:rPr>
                <w:rFonts w:cs="Arial"/>
                <w:sz w:val="18"/>
                <w:szCs w:val="22"/>
              </w:rPr>
            </w:pPr>
            <w:r w:rsidRPr="00771C4B">
              <w:rPr>
                <w:rFonts w:cs="Arial"/>
                <w:sz w:val="18"/>
                <w:szCs w:val="22"/>
              </w:rPr>
              <w:t>119</w:t>
            </w:r>
          </w:p>
        </w:tc>
      </w:tr>
      <w:tr w:rsidR="004A7A0E" w:rsidRPr="00771C4B" w14:paraId="45765D34" w14:textId="77777777" w:rsidTr="004A7A0E">
        <w:tc>
          <w:tcPr>
            <w:tcW w:w="2552" w:type="dxa"/>
            <w:noWrap/>
            <w:vAlign w:val="center"/>
          </w:tcPr>
          <w:p w14:paraId="427E0924" w14:textId="77777777" w:rsidR="00FC22E6" w:rsidRPr="00771C4B" w:rsidRDefault="00FC22E6" w:rsidP="005F77A1">
            <w:pPr>
              <w:spacing w:before="10" w:after="10"/>
              <w:rPr>
                <w:rFonts w:cs="Arial"/>
                <w:sz w:val="18"/>
              </w:rPr>
            </w:pPr>
            <w:r w:rsidRPr="00771C4B">
              <w:rPr>
                <w:rFonts w:cs="Arial"/>
                <w:sz w:val="18"/>
              </w:rPr>
              <w:t>45-49</w:t>
            </w:r>
          </w:p>
        </w:tc>
        <w:tc>
          <w:tcPr>
            <w:tcW w:w="1240" w:type="dxa"/>
            <w:noWrap/>
            <w:vAlign w:val="center"/>
          </w:tcPr>
          <w:p w14:paraId="783178AD" w14:textId="77777777" w:rsidR="00FC22E6" w:rsidRPr="00771C4B" w:rsidRDefault="00FC22E6" w:rsidP="00A32658">
            <w:pPr>
              <w:spacing w:before="10" w:after="10"/>
              <w:jc w:val="center"/>
              <w:rPr>
                <w:rFonts w:cs="Arial"/>
                <w:sz w:val="18"/>
                <w:szCs w:val="22"/>
              </w:rPr>
            </w:pPr>
            <w:r w:rsidRPr="00771C4B">
              <w:rPr>
                <w:rFonts w:cs="Arial"/>
                <w:sz w:val="18"/>
                <w:szCs w:val="22"/>
              </w:rPr>
              <w:t>685</w:t>
            </w:r>
          </w:p>
        </w:tc>
        <w:tc>
          <w:tcPr>
            <w:tcW w:w="1240" w:type="dxa"/>
            <w:noWrap/>
            <w:vAlign w:val="center"/>
          </w:tcPr>
          <w:p w14:paraId="1CEF7372" w14:textId="77777777" w:rsidR="00FC22E6" w:rsidRPr="00771C4B" w:rsidRDefault="00FC22E6" w:rsidP="00A32658">
            <w:pPr>
              <w:spacing w:before="10" w:after="10"/>
              <w:jc w:val="center"/>
              <w:rPr>
                <w:rFonts w:cs="Arial"/>
                <w:sz w:val="18"/>
                <w:szCs w:val="22"/>
              </w:rPr>
            </w:pPr>
            <w:r w:rsidRPr="00771C4B">
              <w:rPr>
                <w:rFonts w:cs="Arial"/>
                <w:sz w:val="18"/>
                <w:szCs w:val="22"/>
              </w:rPr>
              <w:t>616</w:t>
            </w:r>
          </w:p>
        </w:tc>
        <w:tc>
          <w:tcPr>
            <w:tcW w:w="1240" w:type="dxa"/>
            <w:noWrap/>
            <w:vAlign w:val="center"/>
          </w:tcPr>
          <w:p w14:paraId="292C93CA" w14:textId="6E7C933A" w:rsidR="00FC22E6" w:rsidRPr="00771C4B" w:rsidRDefault="00D30EF8" w:rsidP="00A32658">
            <w:pPr>
              <w:spacing w:before="10" w:after="10"/>
              <w:jc w:val="center"/>
              <w:rPr>
                <w:rFonts w:cs="Arial"/>
                <w:sz w:val="18"/>
                <w:szCs w:val="22"/>
              </w:rPr>
            </w:pPr>
            <w:r>
              <w:rPr>
                <w:rFonts w:cs="Arial"/>
                <w:sz w:val="18"/>
                <w:szCs w:val="22"/>
              </w:rPr>
              <w:t>90</w:t>
            </w:r>
          </w:p>
        </w:tc>
        <w:tc>
          <w:tcPr>
            <w:tcW w:w="1241" w:type="dxa"/>
            <w:noWrap/>
            <w:vAlign w:val="center"/>
          </w:tcPr>
          <w:p w14:paraId="2E2E68C7" w14:textId="77777777" w:rsidR="00FC22E6" w:rsidRPr="00771C4B" w:rsidRDefault="00FC22E6" w:rsidP="00A32658">
            <w:pPr>
              <w:spacing w:before="10" w:after="10"/>
              <w:jc w:val="center"/>
              <w:rPr>
                <w:rFonts w:cs="Arial"/>
                <w:sz w:val="18"/>
                <w:szCs w:val="22"/>
              </w:rPr>
            </w:pPr>
            <w:r w:rsidRPr="00771C4B">
              <w:rPr>
                <w:rFonts w:cs="Arial"/>
                <w:sz w:val="18"/>
                <w:szCs w:val="22"/>
              </w:rPr>
              <w:t>69</w:t>
            </w:r>
          </w:p>
        </w:tc>
      </w:tr>
      <w:tr w:rsidR="004A7A0E" w:rsidRPr="00771C4B" w14:paraId="019C504E" w14:textId="77777777" w:rsidTr="004A7A0E">
        <w:tc>
          <w:tcPr>
            <w:tcW w:w="2552" w:type="dxa"/>
            <w:noWrap/>
            <w:vAlign w:val="center"/>
          </w:tcPr>
          <w:p w14:paraId="68E27598" w14:textId="77777777" w:rsidR="00FC22E6" w:rsidRPr="00771C4B" w:rsidRDefault="00FC22E6" w:rsidP="005F77A1">
            <w:pPr>
              <w:spacing w:before="10" w:after="10"/>
              <w:rPr>
                <w:rFonts w:cs="Arial"/>
                <w:sz w:val="18"/>
              </w:rPr>
            </w:pPr>
            <w:r w:rsidRPr="00771C4B">
              <w:rPr>
                <w:rFonts w:cs="Arial"/>
                <w:sz w:val="18"/>
              </w:rPr>
              <w:t>&gt;50</w:t>
            </w:r>
          </w:p>
        </w:tc>
        <w:tc>
          <w:tcPr>
            <w:tcW w:w="1240" w:type="dxa"/>
            <w:noWrap/>
            <w:vAlign w:val="center"/>
          </w:tcPr>
          <w:p w14:paraId="52C64307" w14:textId="77777777" w:rsidR="00FC22E6" w:rsidRPr="00771C4B" w:rsidRDefault="00FC22E6" w:rsidP="00A32658">
            <w:pPr>
              <w:spacing w:before="10" w:after="10"/>
              <w:jc w:val="center"/>
              <w:rPr>
                <w:rFonts w:cs="Arial"/>
                <w:sz w:val="18"/>
                <w:szCs w:val="22"/>
              </w:rPr>
            </w:pPr>
            <w:r w:rsidRPr="00771C4B">
              <w:rPr>
                <w:rFonts w:cs="Arial"/>
                <w:sz w:val="18"/>
                <w:szCs w:val="22"/>
              </w:rPr>
              <w:t>663</w:t>
            </w:r>
          </w:p>
        </w:tc>
        <w:tc>
          <w:tcPr>
            <w:tcW w:w="1240" w:type="dxa"/>
            <w:noWrap/>
            <w:vAlign w:val="center"/>
          </w:tcPr>
          <w:p w14:paraId="1B063238" w14:textId="77777777" w:rsidR="00FC22E6" w:rsidRPr="00771C4B" w:rsidRDefault="00FC22E6" w:rsidP="00A32658">
            <w:pPr>
              <w:spacing w:before="10" w:after="10"/>
              <w:jc w:val="center"/>
              <w:rPr>
                <w:rFonts w:cs="Arial"/>
                <w:sz w:val="18"/>
                <w:szCs w:val="22"/>
              </w:rPr>
            </w:pPr>
            <w:r w:rsidRPr="00771C4B">
              <w:rPr>
                <w:rFonts w:cs="Arial"/>
                <w:sz w:val="18"/>
                <w:szCs w:val="22"/>
              </w:rPr>
              <w:t>577</w:t>
            </w:r>
          </w:p>
        </w:tc>
        <w:tc>
          <w:tcPr>
            <w:tcW w:w="1240" w:type="dxa"/>
            <w:noWrap/>
            <w:vAlign w:val="center"/>
          </w:tcPr>
          <w:p w14:paraId="57C15D8B" w14:textId="0DC35C21" w:rsidR="00FC22E6" w:rsidRPr="00771C4B" w:rsidRDefault="00D30EF8" w:rsidP="00A32658">
            <w:pPr>
              <w:spacing w:before="10" w:after="10"/>
              <w:jc w:val="center"/>
              <w:rPr>
                <w:rFonts w:cs="Arial"/>
                <w:sz w:val="18"/>
                <w:szCs w:val="22"/>
              </w:rPr>
            </w:pPr>
            <w:r>
              <w:rPr>
                <w:rFonts w:cs="Arial"/>
                <w:sz w:val="18"/>
                <w:szCs w:val="22"/>
              </w:rPr>
              <w:t>89</w:t>
            </w:r>
          </w:p>
        </w:tc>
        <w:tc>
          <w:tcPr>
            <w:tcW w:w="1241" w:type="dxa"/>
            <w:noWrap/>
            <w:vAlign w:val="center"/>
          </w:tcPr>
          <w:p w14:paraId="302E771D" w14:textId="77777777" w:rsidR="00FC22E6" w:rsidRPr="00771C4B" w:rsidRDefault="00FC22E6" w:rsidP="00A32658">
            <w:pPr>
              <w:spacing w:before="10" w:after="10"/>
              <w:jc w:val="center"/>
              <w:rPr>
                <w:rFonts w:cs="Arial"/>
                <w:sz w:val="18"/>
                <w:szCs w:val="22"/>
              </w:rPr>
            </w:pPr>
            <w:r w:rsidRPr="00771C4B">
              <w:rPr>
                <w:rFonts w:cs="Arial"/>
                <w:sz w:val="18"/>
                <w:szCs w:val="22"/>
              </w:rPr>
              <w:t>86</w:t>
            </w:r>
          </w:p>
        </w:tc>
      </w:tr>
      <w:tr w:rsidR="004A7A0E" w:rsidRPr="00771C4B" w14:paraId="1B46D39C" w14:textId="77777777" w:rsidTr="004A7A0E">
        <w:tc>
          <w:tcPr>
            <w:tcW w:w="2552" w:type="dxa"/>
            <w:shd w:val="clear" w:color="auto" w:fill="E2EFD9" w:themeFill="accent6" w:themeFillTint="33"/>
            <w:noWrap/>
            <w:vAlign w:val="center"/>
          </w:tcPr>
          <w:p w14:paraId="64C17FB9" w14:textId="77777777" w:rsidR="00FC22E6" w:rsidRPr="00771C4B" w:rsidRDefault="00FC22E6" w:rsidP="005F77A1">
            <w:pPr>
              <w:spacing w:before="10" w:after="10"/>
              <w:rPr>
                <w:rFonts w:cs="Arial"/>
                <w:sz w:val="18"/>
              </w:rPr>
            </w:pPr>
            <w:r w:rsidRPr="00771C4B">
              <w:rPr>
                <w:rFonts w:cs="Arial"/>
                <w:b/>
                <w:bCs/>
                <w:sz w:val="18"/>
              </w:rPr>
              <w:t>By prior employment</w:t>
            </w:r>
          </w:p>
        </w:tc>
        <w:tc>
          <w:tcPr>
            <w:tcW w:w="1240" w:type="dxa"/>
            <w:shd w:val="clear" w:color="auto" w:fill="E2EFD9" w:themeFill="accent6" w:themeFillTint="33"/>
            <w:noWrap/>
            <w:vAlign w:val="center"/>
          </w:tcPr>
          <w:p w14:paraId="6E4DCFAC" w14:textId="77777777" w:rsidR="00FC22E6" w:rsidRPr="00771C4B" w:rsidRDefault="00FC22E6" w:rsidP="00A32658">
            <w:pPr>
              <w:spacing w:before="10" w:after="10"/>
              <w:jc w:val="center"/>
              <w:rPr>
                <w:rFonts w:cs="Arial"/>
                <w:b/>
                <w:bCs/>
                <w:sz w:val="18"/>
                <w:szCs w:val="22"/>
              </w:rPr>
            </w:pPr>
          </w:p>
        </w:tc>
        <w:tc>
          <w:tcPr>
            <w:tcW w:w="1240" w:type="dxa"/>
            <w:shd w:val="clear" w:color="auto" w:fill="E2EFD9" w:themeFill="accent6" w:themeFillTint="33"/>
            <w:vAlign w:val="center"/>
          </w:tcPr>
          <w:p w14:paraId="3A24DB44" w14:textId="77777777" w:rsidR="00FC22E6" w:rsidRPr="00771C4B" w:rsidRDefault="00FC22E6" w:rsidP="00A32658">
            <w:pPr>
              <w:spacing w:before="10" w:after="10"/>
              <w:jc w:val="center"/>
              <w:rPr>
                <w:rFonts w:cs="Arial"/>
                <w:b/>
                <w:bCs/>
                <w:sz w:val="18"/>
                <w:szCs w:val="22"/>
              </w:rPr>
            </w:pPr>
          </w:p>
        </w:tc>
        <w:tc>
          <w:tcPr>
            <w:tcW w:w="1240" w:type="dxa"/>
            <w:shd w:val="clear" w:color="auto" w:fill="E2EFD9" w:themeFill="accent6" w:themeFillTint="33"/>
            <w:vAlign w:val="center"/>
          </w:tcPr>
          <w:p w14:paraId="32FC9B31" w14:textId="77777777" w:rsidR="00FC22E6" w:rsidRPr="00771C4B" w:rsidRDefault="00FC22E6" w:rsidP="00A32658">
            <w:pPr>
              <w:spacing w:before="10" w:after="10"/>
              <w:jc w:val="center"/>
              <w:rPr>
                <w:rFonts w:cs="Arial"/>
                <w:b/>
                <w:bCs/>
                <w:sz w:val="18"/>
                <w:szCs w:val="22"/>
              </w:rPr>
            </w:pPr>
          </w:p>
        </w:tc>
        <w:tc>
          <w:tcPr>
            <w:tcW w:w="1241" w:type="dxa"/>
            <w:shd w:val="clear" w:color="auto" w:fill="E2EFD9" w:themeFill="accent6" w:themeFillTint="33"/>
            <w:noWrap/>
            <w:vAlign w:val="center"/>
          </w:tcPr>
          <w:p w14:paraId="1FDA7853" w14:textId="77777777" w:rsidR="00FC22E6" w:rsidRPr="00771C4B" w:rsidRDefault="00FC22E6" w:rsidP="00A32658">
            <w:pPr>
              <w:spacing w:before="10" w:after="10"/>
              <w:jc w:val="center"/>
              <w:rPr>
                <w:rFonts w:cs="Arial"/>
                <w:sz w:val="18"/>
                <w:szCs w:val="22"/>
              </w:rPr>
            </w:pPr>
          </w:p>
        </w:tc>
      </w:tr>
      <w:tr w:rsidR="004A7A0E" w:rsidRPr="00771C4B" w14:paraId="6EC63C44" w14:textId="77777777" w:rsidTr="004A7A0E">
        <w:tc>
          <w:tcPr>
            <w:tcW w:w="2552" w:type="dxa"/>
            <w:noWrap/>
            <w:vAlign w:val="center"/>
          </w:tcPr>
          <w:p w14:paraId="0730B7C8" w14:textId="77777777" w:rsidR="00FC22E6" w:rsidRPr="00771C4B" w:rsidRDefault="00FC22E6" w:rsidP="005F77A1">
            <w:pPr>
              <w:spacing w:before="10" w:after="10"/>
              <w:rPr>
                <w:rFonts w:cs="Arial"/>
                <w:sz w:val="18"/>
              </w:rPr>
            </w:pPr>
            <w:r w:rsidRPr="00771C4B">
              <w:rPr>
                <w:rFonts w:cs="Arial"/>
                <w:sz w:val="18"/>
              </w:rPr>
              <w:t>Employed</w:t>
            </w:r>
          </w:p>
        </w:tc>
        <w:tc>
          <w:tcPr>
            <w:tcW w:w="1240" w:type="dxa"/>
            <w:noWrap/>
            <w:vAlign w:val="center"/>
          </w:tcPr>
          <w:p w14:paraId="7307184B" w14:textId="77777777" w:rsidR="00FC22E6" w:rsidRPr="00771C4B" w:rsidRDefault="00FC22E6" w:rsidP="00A32658">
            <w:pPr>
              <w:spacing w:before="10" w:after="10"/>
              <w:jc w:val="center"/>
              <w:rPr>
                <w:rFonts w:cs="Arial"/>
                <w:sz w:val="18"/>
                <w:szCs w:val="22"/>
              </w:rPr>
            </w:pPr>
            <w:r w:rsidRPr="00771C4B">
              <w:rPr>
                <w:rFonts w:cs="Arial"/>
                <w:sz w:val="18"/>
                <w:szCs w:val="22"/>
              </w:rPr>
              <w:t>4724</w:t>
            </w:r>
          </w:p>
        </w:tc>
        <w:tc>
          <w:tcPr>
            <w:tcW w:w="1240" w:type="dxa"/>
            <w:noWrap/>
            <w:vAlign w:val="center"/>
          </w:tcPr>
          <w:p w14:paraId="723BEEA1" w14:textId="77777777" w:rsidR="00FC22E6" w:rsidRPr="00771C4B" w:rsidRDefault="00FC22E6" w:rsidP="00A32658">
            <w:pPr>
              <w:spacing w:before="10" w:after="10"/>
              <w:jc w:val="center"/>
              <w:rPr>
                <w:rFonts w:cs="Arial"/>
                <w:sz w:val="18"/>
                <w:szCs w:val="22"/>
              </w:rPr>
            </w:pPr>
            <w:r w:rsidRPr="00771C4B">
              <w:rPr>
                <w:rFonts w:cs="Arial"/>
                <w:sz w:val="18"/>
                <w:szCs w:val="22"/>
              </w:rPr>
              <w:t>4386</w:t>
            </w:r>
          </w:p>
        </w:tc>
        <w:tc>
          <w:tcPr>
            <w:tcW w:w="1240" w:type="dxa"/>
            <w:noWrap/>
            <w:vAlign w:val="center"/>
          </w:tcPr>
          <w:p w14:paraId="003E7A39" w14:textId="3F9F0E03" w:rsidR="00FC22E6" w:rsidRPr="00771C4B" w:rsidRDefault="00D30EF8" w:rsidP="00A32658">
            <w:pPr>
              <w:spacing w:before="10" w:after="10"/>
              <w:jc w:val="center"/>
              <w:rPr>
                <w:rFonts w:cs="Arial"/>
                <w:sz w:val="18"/>
                <w:szCs w:val="22"/>
              </w:rPr>
            </w:pPr>
            <w:r>
              <w:rPr>
                <w:rFonts w:cs="Arial"/>
                <w:sz w:val="18"/>
                <w:szCs w:val="22"/>
              </w:rPr>
              <w:t>92</w:t>
            </w:r>
          </w:p>
        </w:tc>
        <w:tc>
          <w:tcPr>
            <w:tcW w:w="1241" w:type="dxa"/>
            <w:noWrap/>
            <w:vAlign w:val="center"/>
          </w:tcPr>
          <w:p w14:paraId="77E38730" w14:textId="77777777" w:rsidR="00FC22E6" w:rsidRPr="00771C4B" w:rsidRDefault="00FC22E6" w:rsidP="00A32658">
            <w:pPr>
              <w:spacing w:before="10" w:after="10"/>
              <w:jc w:val="center"/>
              <w:rPr>
                <w:rFonts w:cs="Arial"/>
                <w:sz w:val="18"/>
                <w:szCs w:val="22"/>
              </w:rPr>
            </w:pPr>
            <w:r w:rsidRPr="00771C4B">
              <w:rPr>
                <w:rFonts w:cs="Arial"/>
                <w:sz w:val="18"/>
                <w:szCs w:val="22"/>
              </w:rPr>
              <w:t>338</w:t>
            </w:r>
          </w:p>
        </w:tc>
      </w:tr>
      <w:tr w:rsidR="004A7A0E" w:rsidRPr="00771C4B" w14:paraId="2B9378E5" w14:textId="77777777" w:rsidTr="004A7A0E">
        <w:tc>
          <w:tcPr>
            <w:tcW w:w="2552" w:type="dxa"/>
            <w:noWrap/>
            <w:vAlign w:val="center"/>
          </w:tcPr>
          <w:p w14:paraId="4602E048" w14:textId="77777777" w:rsidR="00FC22E6" w:rsidRPr="00771C4B" w:rsidRDefault="00FC22E6" w:rsidP="005F77A1">
            <w:pPr>
              <w:spacing w:before="10" w:after="10"/>
              <w:rPr>
                <w:rFonts w:cs="Arial"/>
                <w:sz w:val="18"/>
              </w:rPr>
            </w:pPr>
            <w:r w:rsidRPr="00771C4B">
              <w:rPr>
                <w:rFonts w:cs="Arial"/>
                <w:sz w:val="18"/>
              </w:rPr>
              <w:t>Self-employed</w:t>
            </w:r>
          </w:p>
        </w:tc>
        <w:tc>
          <w:tcPr>
            <w:tcW w:w="1240" w:type="dxa"/>
            <w:noWrap/>
            <w:vAlign w:val="center"/>
          </w:tcPr>
          <w:p w14:paraId="7763136D" w14:textId="77777777" w:rsidR="00FC22E6" w:rsidRPr="00771C4B" w:rsidRDefault="00FC22E6" w:rsidP="00A32658">
            <w:pPr>
              <w:spacing w:before="10" w:after="10"/>
              <w:jc w:val="center"/>
              <w:rPr>
                <w:rFonts w:cs="Arial"/>
                <w:sz w:val="18"/>
                <w:szCs w:val="22"/>
              </w:rPr>
            </w:pPr>
            <w:r w:rsidRPr="00771C4B">
              <w:rPr>
                <w:rFonts w:cs="Arial"/>
                <w:sz w:val="18"/>
                <w:szCs w:val="22"/>
              </w:rPr>
              <w:t>312</w:t>
            </w:r>
          </w:p>
        </w:tc>
        <w:tc>
          <w:tcPr>
            <w:tcW w:w="1240" w:type="dxa"/>
            <w:noWrap/>
            <w:vAlign w:val="center"/>
          </w:tcPr>
          <w:p w14:paraId="2EED44AB" w14:textId="77777777" w:rsidR="00FC22E6" w:rsidRPr="00771C4B" w:rsidRDefault="00FC22E6" w:rsidP="00A32658">
            <w:pPr>
              <w:spacing w:before="10" w:after="10"/>
              <w:jc w:val="center"/>
              <w:rPr>
                <w:rFonts w:cs="Arial"/>
                <w:sz w:val="18"/>
                <w:szCs w:val="22"/>
              </w:rPr>
            </w:pPr>
            <w:r w:rsidRPr="00771C4B">
              <w:rPr>
                <w:rFonts w:cs="Arial"/>
                <w:sz w:val="18"/>
                <w:szCs w:val="22"/>
              </w:rPr>
              <w:t>292</w:t>
            </w:r>
          </w:p>
        </w:tc>
        <w:tc>
          <w:tcPr>
            <w:tcW w:w="1240" w:type="dxa"/>
            <w:noWrap/>
            <w:vAlign w:val="center"/>
          </w:tcPr>
          <w:p w14:paraId="5F702890" w14:textId="38B95656" w:rsidR="00FC22E6" w:rsidRPr="00771C4B" w:rsidRDefault="00D30EF8" w:rsidP="00A32658">
            <w:pPr>
              <w:spacing w:before="10" w:after="10"/>
              <w:jc w:val="center"/>
              <w:rPr>
                <w:rFonts w:cs="Arial"/>
                <w:sz w:val="18"/>
                <w:szCs w:val="22"/>
              </w:rPr>
            </w:pPr>
            <w:r>
              <w:rPr>
                <w:rFonts w:cs="Arial"/>
                <w:sz w:val="18"/>
                <w:szCs w:val="22"/>
              </w:rPr>
              <w:t>94</w:t>
            </w:r>
          </w:p>
        </w:tc>
        <w:tc>
          <w:tcPr>
            <w:tcW w:w="1241" w:type="dxa"/>
            <w:noWrap/>
            <w:vAlign w:val="center"/>
          </w:tcPr>
          <w:p w14:paraId="6CD11159" w14:textId="77777777" w:rsidR="00FC22E6" w:rsidRPr="00771C4B" w:rsidRDefault="00FC22E6" w:rsidP="00A32658">
            <w:pPr>
              <w:spacing w:before="10" w:after="10"/>
              <w:jc w:val="center"/>
              <w:rPr>
                <w:rFonts w:cs="Arial"/>
                <w:sz w:val="18"/>
                <w:szCs w:val="22"/>
              </w:rPr>
            </w:pPr>
            <w:r w:rsidRPr="00771C4B">
              <w:rPr>
                <w:rFonts w:cs="Arial"/>
                <w:sz w:val="18"/>
                <w:szCs w:val="22"/>
              </w:rPr>
              <w:t>20</w:t>
            </w:r>
          </w:p>
        </w:tc>
      </w:tr>
      <w:tr w:rsidR="004A7A0E" w:rsidRPr="00771C4B" w14:paraId="4D2ADDAC" w14:textId="77777777" w:rsidTr="004A7A0E">
        <w:tc>
          <w:tcPr>
            <w:tcW w:w="2552" w:type="dxa"/>
            <w:noWrap/>
            <w:vAlign w:val="center"/>
          </w:tcPr>
          <w:p w14:paraId="5391C2E1" w14:textId="77777777" w:rsidR="00FC22E6" w:rsidRPr="00771C4B" w:rsidRDefault="00FC22E6" w:rsidP="005F77A1">
            <w:pPr>
              <w:spacing w:before="10" w:after="10"/>
              <w:rPr>
                <w:rFonts w:cs="Arial"/>
                <w:sz w:val="18"/>
              </w:rPr>
            </w:pPr>
            <w:r w:rsidRPr="00771C4B">
              <w:rPr>
                <w:rFonts w:cs="Arial"/>
                <w:sz w:val="18"/>
              </w:rPr>
              <w:t>Unemployed</w:t>
            </w:r>
          </w:p>
        </w:tc>
        <w:tc>
          <w:tcPr>
            <w:tcW w:w="1240" w:type="dxa"/>
            <w:noWrap/>
            <w:vAlign w:val="center"/>
          </w:tcPr>
          <w:p w14:paraId="19EE1BD7" w14:textId="77777777" w:rsidR="00FC22E6" w:rsidRPr="00771C4B" w:rsidRDefault="00FC22E6" w:rsidP="00A32658">
            <w:pPr>
              <w:spacing w:before="10" w:after="10"/>
              <w:jc w:val="center"/>
              <w:rPr>
                <w:rFonts w:cs="Arial"/>
                <w:sz w:val="18"/>
                <w:szCs w:val="22"/>
              </w:rPr>
            </w:pPr>
            <w:r w:rsidRPr="00771C4B">
              <w:rPr>
                <w:rFonts w:cs="Arial"/>
                <w:sz w:val="18"/>
                <w:szCs w:val="22"/>
              </w:rPr>
              <w:t>918</w:t>
            </w:r>
          </w:p>
        </w:tc>
        <w:tc>
          <w:tcPr>
            <w:tcW w:w="1240" w:type="dxa"/>
            <w:noWrap/>
            <w:vAlign w:val="center"/>
          </w:tcPr>
          <w:p w14:paraId="5EAEC25F" w14:textId="77777777" w:rsidR="00FC22E6" w:rsidRPr="00771C4B" w:rsidRDefault="00FC22E6" w:rsidP="00A32658">
            <w:pPr>
              <w:spacing w:before="10" w:after="10"/>
              <w:jc w:val="center"/>
              <w:rPr>
                <w:rFonts w:cs="Arial"/>
                <w:sz w:val="18"/>
                <w:szCs w:val="22"/>
              </w:rPr>
            </w:pPr>
            <w:r w:rsidRPr="00771C4B">
              <w:rPr>
                <w:rFonts w:cs="Arial"/>
                <w:sz w:val="18"/>
                <w:szCs w:val="22"/>
              </w:rPr>
              <w:t>859</w:t>
            </w:r>
          </w:p>
        </w:tc>
        <w:tc>
          <w:tcPr>
            <w:tcW w:w="1240" w:type="dxa"/>
            <w:noWrap/>
            <w:vAlign w:val="center"/>
          </w:tcPr>
          <w:p w14:paraId="7163AA59" w14:textId="4BF617C2" w:rsidR="00FC22E6" w:rsidRPr="00771C4B" w:rsidRDefault="00D30EF8" w:rsidP="00A32658">
            <w:pPr>
              <w:spacing w:before="10" w:after="10"/>
              <w:jc w:val="center"/>
              <w:rPr>
                <w:rFonts w:cs="Arial"/>
                <w:sz w:val="18"/>
                <w:szCs w:val="22"/>
              </w:rPr>
            </w:pPr>
            <w:r>
              <w:rPr>
                <w:rFonts w:cs="Arial"/>
                <w:sz w:val="18"/>
                <w:szCs w:val="22"/>
              </w:rPr>
              <w:t>93</w:t>
            </w:r>
          </w:p>
        </w:tc>
        <w:tc>
          <w:tcPr>
            <w:tcW w:w="1241" w:type="dxa"/>
            <w:noWrap/>
            <w:vAlign w:val="center"/>
          </w:tcPr>
          <w:p w14:paraId="178B117E" w14:textId="77777777" w:rsidR="00FC22E6" w:rsidRPr="00771C4B" w:rsidRDefault="00FC22E6" w:rsidP="00A32658">
            <w:pPr>
              <w:spacing w:before="10" w:after="10"/>
              <w:jc w:val="center"/>
              <w:rPr>
                <w:rFonts w:cs="Arial"/>
                <w:sz w:val="18"/>
                <w:szCs w:val="22"/>
              </w:rPr>
            </w:pPr>
            <w:r w:rsidRPr="00771C4B">
              <w:rPr>
                <w:rFonts w:cs="Arial"/>
                <w:sz w:val="18"/>
                <w:szCs w:val="22"/>
              </w:rPr>
              <w:t>59</w:t>
            </w:r>
          </w:p>
        </w:tc>
      </w:tr>
      <w:tr w:rsidR="004A7A0E" w:rsidRPr="00771C4B" w14:paraId="3DD4024C" w14:textId="77777777" w:rsidTr="004A7A0E">
        <w:tc>
          <w:tcPr>
            <w:tcW w:w="2552" w:type="dxa"/>
            <w:noWrap/>
            <w:vAlign w:val="center"/>
          </w:tcPr>
          <w:p w14:paraId="0086F398" w14:textId="77777777" w:rsidR="00FC22E6" w:rsidRPr="00771C4B" w:rsidRDefault="00FC22E6" w:rsidP="005F77A1">
            <w:pPr>
              <w:spacing w:before="10" w:after="10"/>
              <w:rPr>
                <w:rFonts w:cs="Arial"/>
                <w:sz w:val="18"/>
              </w:rPr>
            </w:pPr>
            <w:r w:rsidRPr="00771C4B">
              <w:rPr>
                <w:rFonts w:cs="Arial"/>
                <w:sz w:val="18"/>
              </w:rPr>
              <w:t>Unpaid worker</w:t>
            </w:r>
          </w:p>
        </w:tc>
        <w:tc>
          <w:tcPr>
            <w:tcW w:w="1240" w:type="dxa"/>
            <w:noWrap/>
            <w:vAlign w:val="center"/>
          </w:tcPr>
          <w:p w14:paraId="543BB51B" w14:textId="77777777" w:rsidR="00FC22E6" w:rsidRPr="00771C4B" w:rsidRDefault="00FC22E6" w:rsidP="00A32658">
            <w:pPr>
              <w:spacing w:before="10" w:after="10"/>
              <w:jc w:val="center"/>
              <w:rPr>
                <w:rFonts w:cs="Arial"/>
                <w:sz w:val="18"/>
                <w:szCs w:val="22"/>
              </w:rPr>
            </w:pPr>
            <w:r w:rsidRPr="00771C4B">
              <w:rPr>
                <w:rFonts w:cs="Arial"/>
                <w:sz w:val="18"/>
                <w:szCs w:val="22"/>
              </w:rPr>
              <w:t>21</w:t>
            </w:r>
          </w:p>
        </w:tc>
        <w:tc>
          <w:tcPr>
            <w:tcW w:w="1240" w:type="dxa"/>
            <w:noWrap/>
            <w:vAlign w:val="center"/>
          </w:tcPr>
          <w:p w14:paraId="119FB111" w14:textId="77777777" w:rsidR="00FC22E6" w:rsidRPr="00771C4B" w:rsidRDefault="00FC22E6" w:rsidP="00A32658">
            <w:pPr>
              <w:spacing w:before="10" w:after="10"/>
              <w:jc w:val="center"/>
              <w:rPr>
                <w:rFonts w:cs="Arial"/>
                <w:sz w:val="18"/>
                <w:szCs w:val="22"/>
              </w:rPr>
            </w:pPr>
            <w:r w:rsidRPr="00771C4B">
              <w:rPr>
                <w:rFonts w:cs="Arial"/>
                <w:sz w:val="18"/>
                <w:szCs w:val="22"/>
              </w:rPr>
              <w:t>21</w:t>
            </w:r>
          </w:p>
        </w:tc>
        <w:tc>
          <w:tcPr>
            <w:tcW w:w="1240" w:type="dxa"/>
            <w:noWrap/>
            <w:vAlign w:val="center"/>
          </w:tcPr>
          <w:p w14:paraId="36589977" w14:textId="31603FA3" w:rsidR="00FC22E6" w:rsidRPr="00771C4B" w:rsidRDefault="00D30EF8" w:rsidP="00A32658">
            <w:pPr>
              <w:spacing w:before="10" w:after="10"/>
              <w:jc w:val="center"/>
              <w:rPr>
                <w:rFonts w:cs="Arial"/>
                <w:sz w:val="18"/>
                <w:szCs w:val="22"/>
              </w:rPr>
            </w:pPr>
            <w:r>
              <w:rPr>
                <w:rFonts w:cs="Arial"/>
                <w:sz w:val="18"/>
                <w:szCs w:val="22"/>
              </w:rPr>
              <w:t>100</w:t>
            </w:r>
          </w:p>
        </w:tc>
        <w:tc>
          <w:tcPr>
            <w:tcW w:w="1241" w:type="dxa"/>
            <w:noWrap/>
            <w:vAlign w:val="center"/>
          </w:tcPr>
          <w:p w14:paraId="00043E3B" w14:textId="77777777" w:rsidR="00FC22E6" w:rsidRPr="00771C4B" w:rsidRDefault="00FC22E6" w:rsidP="00A32658">
            <w:pPr>
              <w:spacing w:before="10" w:after="10"/>
              <w:jc w:val="center"/>
              <w:rPr>
                <w:rFonts w:cs="Arial"/>
                <w:sz w:val="18"/>
                <w:szCs w:val="22"/>
              </w:rPr>
            </w:pPr>
            <w:r w:rsidRPr="00771C4B">
              <w:rPr>
                <w:rFonts w:cs="Arial"/>
                <w:sz w:val="18"/>
                <w:szCs w:val="22"/>
              </w:rPr>
              <w:t>0</w:t>
            </w:r>
          </w:p>
        </w:tc>
      </w:tr>
      <w:tr w:rsidR="004A7A0E" w:rsidRPr="00771C4B" w14:paraId="01C04426" w14:textId="77777777" w:rsidTr="004A7A0E">
        <w:tc>
          <w:tcPr>
            <w:tcW w:w="2552" w:type="dxa"/>
            <w:tcBorders>
              <w:bottom w:val="single" w:sz="4" w:space="0" w:color="A8D08D" w:themeColor="accent6" w:themeTint="99"/>
            </w:tcBorders>
            <w:noWrap/>
            <w:vAlign w:val="center"/>
          </w:tcPr>
          <w:p w14:paraId="0969058A" w14:textId="77777777" w:rsidR="00FC22E6" w:rsidRPr="00771C4B" w:rsidRDefault="00FC22E6" w:rsidP="005F77A1">
            <w:pPr>
              <w:spacing w:before="10" w:after="10"/>
              <w:rPr>
                <w:rFonts w:cs="Arial"/>
                <w:sz w:val="18"/>
              </w:rPr>
            </w:pPr>
            <w:r w:rsidRPr="00771C4B">
              <w:rPr>
                <w:rFonts w:cs="Arial"/>
                <w:sz w:val="18"/>
              </w:rPr>
              <w:t>No employment information</w:t>
            </w:r>
          </w:p>
        </w:tc>
        <w:tc>
          <w:tcPr>
            <w:tcW w:w="1240" w:type="dxa"/>
            <w:tcBorders>
              <w:bottom w:val="single" w:sz="4" w:space="0" w:color="A8D08D" w:themeColor="accent6" w:themeTint="99"/>
            </w:tcBorders>
            <w:noWrap/>
            <w:vAlign w:val="center"/>
          </w:tcPr>
          <w:p w14:paraId="1D063E00" w14:textId="77777777" w:rsidR="00FC22E6" w:rsidRPr="00771C4B" w:rsidRDefault="00FC22E6" w:rsidP="00A32658">
            <w:pPr>
              <w:spacing w:before="10" w:after="10"/>
              <w:jc w:val="center"/>
              <w:rPr>
                <w:rFonts w:cs="Arial"/>
                <w:sz w:val="18"/>
                <w:szCs w:val="22"/>
              </w:rPr>
            </w:pPr>
            <w:r w:rsidRPr="00771C4B">
              <w:rPr>
                <w:rFonts w:cs="Arial"/>
                <w:sz w:val="18"/>
                <w:szCs w:val="22"/>
              </w:rPr>
              <w:t>1301</w:t>
            </w:r>
          </w:p>
        </w:tc>
        <w:tc>
          <w:tcPr>
            <w:tcW w:w="1240" w:type="dxa"/>
            <w:tcBorders>
              <w:bottom w:val="single" w:sz="4" w:space="0" w:color="A8D08D" w:themeColor="accent6" w:themeTint="99"/>
            </w:tcBorders>
            <w:noWrap/>
            <w:vAlign w:val="center"/>
          </w:tcPr>
          <w:p w14:paraId="138548B0" w14:textId="77777777" w:rsidR="00FC22E6" w:rsidRPr="00771C4B" w:rsidRDefault="00FC22E6" w:rsidP="00A32658">
            <w:pPr>
              <w:spacing w:before="10" w:after="10"/>
              <w:jc w:val="center"/>
              <w:rPr>
                <w:rFonts w:cs="Arial"/>
                <w:sz w:val="18"/>
                <w:szCs w:val="22"/>
              </w:rPr>
            </w:pPr>
            <w:r w:rsidRPr="00771C4B">
              <w:rPr>
                <w:rFonts w:cs="Arial"/>
                <w:sz w:val="18"/>
                <w:szCs w:val="22"/>
              </w:rPr>
              <w:t>1079</w:t>
            </w:r>
          </w:p>
        </w:tc>
        <w:tc>
          <w:tcPr>
            <w:tcW w:w="1240" w:type="dxa"/>
            <w:tcBorders>
              <w:bottom w:val="single" w:sz="4" w:space="0" w:color="A8D08D" w:themeColor="accent6" w:themeTint="99"/>
            </w:tcBorders>
            <w:noWrap/>
            <w:vAlign w:val="center"/>
          </w:tcPr>
          <w:p w14:paraId="7B4254BC" w14:textId="545D8B13" w:rsidR="00FC22E6" w:rsidRPr="00771C4B" w:rsidRDefault="00D30EF8" w:rsidP="00A32658">
            <w:pPr>
              <w:spacing w:before="10" w:after="10"/>
              <w:jc w:val="center"/>
              <w:rPr>
                <w:rFonts w:cs="Arial"/>
                <w:sz w:val="18"/>
                <w:szCs w:val="22"/>
              </w:rPr>
            </w:pPr>
            <w:r>
              <w:rPr>
                <w:rFonts w:cs="Arial"/>
                <w:sz w:val="18"/>
                <w:szCs w:val="22"/>
              </w:rPr>
              <w:t>83</w:t>
            </w:r>
          </w:p>
        </w:tc>
        <w:tc>
          <w:tcPr>
            <w:tcW w:w="1241" w:type="dxa"/>
            <w:tcBorders>
              <w:bottom w:val="single" w:sz="4" w:space="0" w:color="A8D08D" w:themeColor="accent6" w:themeTint="99"/>
            </w:tcBorders>
            <w:noWrap/>
            <w:vAlign w:val="center"/>
          </w:tcPr>
          <w:p w14:paraId="3AB9B778" w14:textId="77777777" w:rsidR="00FC22E6" w:rsidRPr="00771C4B" w:rsidRDefault="00FC22E6" w:rsidP="00A32658">
            <w:pPr>
              <w:spacing w:before="10" w:after="10"/>
              <w:jc w:val="center"/>
              <w:rPr>
                <w:rFonts w:cs="Arial"/>
                <w:sz w:val="18"/>
                <w:szCs w:val="22"/>
              </w:rPr>
            </w:pPr>
            <w:r w:rsidRPr="00771C4B">
              <w:rPr>
                <w:rFonts w:cs="Arial"/>
                <w:sz w:val="18"/>
                <w:szCs w:val="22"/>
              </w:rPr>
              <w:t>222</w:t>
            </w:r>
          </w:p>
        </w:tc>
      </w:tr>
    </w:tbl>
    <w:p w14:paraId="48031935" w14:textId="77777777" w:rsidR="00FC22E6" w:rsidRPr="00CD268B" w:rsidRDefault="00FC22E6" w:rsidP="00FC22E6">
      <w:pPr>
        <w:rPr>
          <w:rFonts w:cs="Arial"/>
          <w:sz w:val="20"/>
        </w:rPr>
      </w:pPr>
      <w:r>
        <w:rPr>
          <w:rFonts w:cs="Arial"/>
          <w:sz w:val="16"/>
          <w:szCs w:val="18"/>
        </w:rPr>
        <w:br/>
        <w:t xml:space="preserve">Source: </w:t>
      </w:r>
      <w:r w:rsidRPr="00CD268B">
        <w:rPr>
          <w:rFonts w:cs="Arial"/>
          <w:sz w:val="16"/>
          <w:szCs w:val="18"/>
        </w:rPr>
        <w:t>APTC Tables E. 2-4, updated 28 August 2014</w:t>
      </w:r>
    </w:p>
    <w:p w14:paraId="39EAD0F6" w14:textId="6E8E9E6A" w:rsidR="00FC22E6" w:rsidRPr="00FD79E6" w:rsidRDefault="00FC22E6" w:rsidP="00FC22E6">
      <w:pPr>
        <w:pStyle w:val="Tableheading"/>
      </w:pPr>
      <w:bookmarkStart w:id="335" w:name="_Toc274146453"/>
      <w:bookmarkStart w:id="336" w:name="_Toc274915912"/>
      <w:bookmarkStart w:id="337" w:name="_Toc278446892"/>
      <w:r w:rsidRPr="00FD79E6">
        <w:t>Table 5.2.1b: Completion rates by campus country and nationality</w:t>
      </w:r>
      <w:bookmarkEnd w:id="335"/>
      <w:bookmarkEnd w:id="336"/>
      <w:bookmarkEnd w:id="33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275"/>
        <w:gridCol w:w="1134"/>
        <w:gridCol w:w="1276"/>
        <w:gridCol w:w="1276"/>
      </w:tblGrid>
      <w:tr w:rsidR="004A7A0E" w:rsidRPr="00FD79E6" w14:paraId="1F6072C0" w14:textId="77777777" w:rsidTr="004A7A0E">
        <w:tc>
          <w:tcPr>
            <w:tcW w:w="2127" w:type="dxa"/>
            <w:shd w:val="clear" w:color="auto" w:fill="C5E0B3" w:themeFill="accent6" w:themeFillTint="66"/>
            <w:noWrap/>
          </w:tcPr>
          <w:p w14:paraId="005F3B86" w14:textId="77777777" w:rsidR="00FC22E6" w:rsidRPr="00FD79E6" w:rsidRDefault="00FC22E6" w:rsidP="005F77A1">
            <w:pPr>
              <w:spacing w:before="10" w:after="10"/>
              <w:rPr>
                <w:rFonts w:cs="Arial"/>
                <w:b/>
                <w:sz w:val="18"/>
                <w:szCs w:val="22"/>
              </w:rPr>
            </w:pPr>
            <w:r w:rsidRPr="00FD79E6">
              <w:rPr>
                <w:rFonts w:cs="Arial"/>
                <w:b/>
                <w:sz w:val="18"/>
                <w:szCs w:val="22"/>
              </w:rPr>
              <w:t xml:space="preserve"> </w:t>
            </w:r>
          </w:p>
        </w:tc>
        <w:tc>
          <w:tcPr>
            <w:tcW w:w="1275" w:type="dxa"/>
            <w:shd w:val="clear" w:color="auto" w:fill="C5E0B3" w:themeFill="accent6" w:themeFillTint="66"/>
            <w:noWrap/>
          </w:tcPr>
          <w:p w14:paraId="607B2219" w14:textId="77777777" w:rsidR="00FC22E6" w:rsidRPr="00FD79E6" w:rsidRDefault="00FC22E6" w:rsidP="006C5E0B">
            <w:pPr>
              <w:spacing w:before="10" w:after="10"/>
              <w:jc w:val="center"/>
              <w:rPr>
                <w:rFonts w:cs="Arial"/>
                <w:b/>
                <w:sz w:val="18"/>
                <w:szCs w:val="22"/>
              </w:rPr>
            </w:pPr>
            <w:r w:rsidRPr="00FD79E6">
              <w:rPr>
                <w:rFonts w:cs="Arial"/>
                <w:b/>
                <w:sz w:val="18"/>
                <w:szCs w:val="22"/>
              </w:rPr>
              <w:t>Entrants</w:t>
            </w:r>
          </w:p>
        </w:tc>
        <w:tc>
          <w:tcPr>
            <w:tcW w:w="1134" w:type="dxa"/>
            <w:shd w:val="clear" w:color="auto" w:fill="C5E0B3" w:themeFill="accent6" w:themeFillTint="66"/>
          </w:tcPr>
          <w:p w14:paraId="6ED80F8B" w14:textId="77777777" w:rsidR="00FC22E6" w:rsidRPr="00FD79E6" w:rsidRDefault="00FC22E6" w:rsidP="006C5E0B">
            <w:pPr>
              <w:spacing w:before="10" w:after="10"/>
              <w:jc w:val="center"/>
              <w:rPr>
                <w:rFonts w:cs="Arial"/>
                <w:b/>
                <w:sz w:val="18"/>
                <w:szCs w:val="22"/>
              </w:rPr>
            </w:pPr>
            <w:r w:rsidRPr="00FD79E6">
              <w:rPr>
                <w:rFonts w:cs="Arial"/>
                <w:b/>
                <w:sz w:val="18"/>
                <w:szCs w:val="22"/>
              </w:rPr>
              <w:t>Graduates</w:t>
            </w:r>
          </w:p>
        </w:tc>
        <w:tc>
          <w:tcPr>
            <w:tcW w:w="1276" w:type="dxa"/>
            <w:shd w:val="clear" w:color="auto" w:fill="C5E0B3" w:themeFill="accent6" w:themeFillTint="66"/>
            <w:noWrap/>
          </w:tcPr>
          <w:p w14:paraId="71D93663" w14:textId="22F159A9" w:rsidR="00FC22E6" w:rsidRPr="00FD79E6" w:rsidRDefault="00FC22E6" w:rsidP="006C5E0B">
            <w:pPr>
              <w:spacing w:before="10" w:after="10"/>
              <w:jc w:val="center"/>
              <w:rPr>
                <w:rFonts w:cs="Arial"/>
                <w:b/>
                <w:sz w:val="18"/>
                <w:szCs w:val="22"/>
              </w:rPr>
            </w:pPr>
            <w:r w:rsidRPr="00FD79E6">
              <w:rPr>
                <w:rFonts w:cs="Arial"/>
                <w:b/>
                <w:sz w:val="18"/>
                <w:szCs w:val="22"/>
              </w:rPr>
              <w:t>Completion rate</w:t>
            </w:r>
            <w:r w:rsidR="006C5E0B">
              <w:rPr>
                <w:rFonts w:cs="Arial"/>
                <w:b/>
                <w:sz w:val="18"/>
                <w:szCs w:val="22"/>
              </w:rPr>
              <w:t xml:space="preserve"> %</w:t>
            </w:r>
          </w:p>
        </w:tc>
        <w:tc>
          <w:tcPr>
            <w:tcW w:w="1276" w:type="dxa"/>
            <w:shd w:val="clear" w:color="auto" w:fill="C5E0B3" w:themeFill="accent6" w:themeFillTint="66"/>
            <w:noWrap/>
          </w:tcPr>
          <w:p w14:paraId="35086D93" w14:textId="77777777" w:rsidR="00FC22E6" w:rsidRPr="00FD79E6" w:rsidRDefault="00FC22E6" w:rsidP="006C5E0B">
            <w:pPr>
              <w:spacing w:before="10" w:after="10"/>
              <w:jc w:val="center"/>
              <w:rPr>
                <w:rFonts w:cs="Arial"/>
                <w:b/>
                <w:sz w:val="18"/>
                <w:szCs w:val="22"/>
              </w:rPr>
            </w:pPr>
            <w:r w:rsidRPr="00FD79E6">
              <w:rPr>
                <w:rFonts w:cs="Arial"/>
                <w:b/>
                <w:sz w:val="18"/>
                <w:szCs w:val="22"/>
              </w:rPr>
              <w:t xml:space="preserve">No. of </w:t>
            </w:r>
            <w:r>
              <w:rPr>
                <w:rFonts w:cs="Arial"/>
                <w:b/>
                <w:sz w:val="18"/>
                <w:szCs w:val="22"/>
              </w:rPr>
              <w:br/>
            </w:r>
            <w:r w:rsidRPr="00FD79E6">
              <w:rPr>
                <w:rFonts w:cs="Arial"/>
                <w:b/>
                <w:sz w:val="18"/>
                <w:szCs w:val="22"/>
              </w:rPr>
              <w:t>non-completers</w:t>
            </w:r>
          </w:p>
        </w:tc>
      </w:tr>
      <w:tr w:rsidR="004A7A0E" w:rsidRPr="00FD79E6" w14:paraId="75AC48DA" w14:textId="77777777" w:rsidTr="004A7A0E">
        <w:tc>
          <w:tcPr>
            <w:tcW w:w="2127" w:type="dxa"/>
            <w:shd w:val="clear" w:color="auto" w:fill="E2EFD9" w:themeFill="accent6" w:themeFillTint="33"/>
            <w:noWrap/>
          </w:tcPr>
          <w:p w14:paraId="521EFB21" w14:textId="77777777" w:rsidR="00FC22E6" w:rsidRPr="00FD79E6" w:rsidRDefault="00FC22E6" w:rsidP="005F77A1">
            <w:pPr>
              <w:spacing w:before="10" w:after="10"/>
              <w:rPr>
                <w:rFonts w:cs="Arial"/>
                <w:sz w:val="18"/>
                <w:szCs w:val="22"/>
              </w:rPr>
            </w:pPr>
            <w:r w:rsidRPr="00FD79E6">
              <w:rPr>
                <w:rFonts w:cs="Arial"/>
                <w:b/>
                <w:bCs/>
                <w:sz w:val="18"/>
                <w:szCs w:val="22"/>
              </w:rPr>
              <w:t>By campus country</w:t>
            </w:r>
          </w:p>
        </w:tc>
        <w:tc>
          <w:tcPr>
            <w:tcW w:w="1275" w:type="dxa"/>
            <w:shd w:val="clear" w:color="auto" w:fill="E2EFD9" w:themeFill="accent6" w:themeFillTint="33"/>
            <w:noWrap/>
          </w:tcPr>
          <w:p w14:paraId="0994F07E" w14:textId="77777777" w:rsidR="00FC22E6" w:rsidRPr="00FD79E6" w:rsidRDefault="00FC22E6" w:rsidP="006C5E0B">
            <w:pPr>
              <w:spacing w:before="10" w:after="10"/>
              <w:jc w:val="center"/>
              <w:rPr>
                <w:rFonts w:cs="Arial"/>
                <w:b/>
                <w:bCs/>
                <w:sz w:val="18"/>
                <w:szCs w:val="22"/>
              </w:rPr>
            </w:pPr>
          </w:p>
        </w:tc>
        <w:tc>
          <w:tcPr>
            <w:tcW w:w="1134" w:type="dxa"/>
            <w:shd w:val="clear" w:color="auto" w:fill="E2EFD9" w:themeFill="accent6" w:themeFillTint="33"/>
          </w:tcPr>
          <w:p w14:paraId="31DABA89" w14:textId="77777777" w:rsidR="00FC22E6" w:rsidRPr="00FD79E6" w:rsidRDefault="00FC22E6" w:rsidP="006C5E0B">
            <w:pPr>
              <w:spacing w:before="10" w:after="10"/>
              <w:jc w:val="center"/>
              <w:rPr>
                <w:rFonts w:cs="Arial"/>
                <w:b/>
                <w:bCs/>
                <w:sz w:val="18"/>
                <w:szCs w:val="22"/>
              </w:rPr>
            </w:pPr>
          </w:p>
        </w:tc>
        <w:tc>
          <w:tcPr>
            <w:tcW w:w="1276" w:type="dxa"/>
            <w:shd w:val="clear" w:color="auto" w:fill="E2EFD9" w:themeFill="accent6" w:themeFillTint="33"/>
          </w:tcPr>
          <w:p w14:paraId="2F32EC6B" w14:textId="77777777" w:rsidR="00FC22E6" w:rsidRPr="00FD79E6" w:rsidRDefault="00FC22E6" w:rsidP="006C5E0B">
            <w:pPr>
              <w:spacing w:before="10" w:after="10"/>
              <w:jc w:val="center"/>
              <w:rPr>
                <w:rFonts w:cs="Arial"/>
                <w:b/>
                <w:bCs/>
                <w:sz w:val="18"/>
                <w:szCs w:val="22"/>
              </w:rPr>
            </w:pPr>
          </w:p>
        </w:tc>
        <w:tc>
          <w:tcPr>
            <w:tcW w:w="1276" w:type="dxa"/>
            <w:shd w:val="clear" w:color="auto" w:fill="E2EFD9" w:themeFill="accent6" w:themeFillTint="33"/>
          </w:tcPr>
          <w:p w14:paraId="4FA485C2" w14:textId="77777777" w:rsidR="00FC22E6" w:rsidRPr="00FD79E6" w:rsidRDefault="00FC22E6" w:rsidP="006C5E0B">
            <w:pPr>
              <w:spacing w:before="10" w:after="10"/>
              <w:jc w:val="center"/>
              <w:rPr>
                <w:rFonts w:cs="Arial"/>
                <w:b/>
                <w:bCs/>
                <w:sz w:val="18"/>
                <w:szCs w:val="22"/>
              </w:rPr>
            </w:pPr>
          </w:p>
        </w:tc>
      </w:tr>
      <w:tr w:rsidR="004A7A0E" w:rsidRPr="00FD79E6" w14:paraId="1053BD26" w14:textId="77777777" w:rsidTr="004A7A0E">
        <w:tc>
          <w:tcPr>
            <w:tcW w:w="2127" w:type="dxa"/>
            <w:noWrap/>
          </w:tcPr>
          <w:p w14:paraId="6D73CA2E" w14:textId="77777777" w:rsidR="00FC22E6" w:rsidRPr="00FD79E6" w:rsidRDefault="00FC22E6" w:rsidP="005F77A1">
            <w:pPr>
              <w:spacing w:before="10" w:after="10"/>
              <w:rPr>
                <w:rFonts w:cs="Arial"/>
                <w:sz w:val="18"/>
                <w:szCs w:val="22"/>
              </w:rPr>
            </w:pPr>
            <w:r w:rsidRPr="00FD79E6">
              <w:rPr>
                <w:rFonts w:cs="Arial"/>
                <w:sz w:val="18"/>
                <w:szCs w:val="22"/>
              </w:rPr>
              <w:t>Fiji</w:t>
            </w:r>
          </w:p>
        </w:tc>
        <w:tc>
          <w:tcPr>
            <w:tcW w:w="1275" w:type="dxa"/>
            <w:noWrap/>
            <w:vAlign w:val="center"/>
          </w:tcPr>
          <w:p w14:paraId="0E2031A3" w14:textId="77777777" w:rsidR="00FC22E6" w:rsidRPr="00FD79E6" w:rsidRDefault="00FC22E6" w:rsidP="006C5E0B">
            <w:pPr>
              <w:spacing w:before="10" w:after="10"/>
              <w:jc w:val="center"/>
              <w:rPr>
                <w:rFonts w:cs="Arial"/>
                <w:sz w:val="18"/>
                <w:szCs w:val="22"/>
              </w:rPr>
            </w:pPr>
            <w:r w:rsidRPr="00FD79E6">
              <w:rPr>
                <w:rFonts w:cs="Arial"/>
                <w:sz w:val="18"/>
                <w:szCs w:val="22"/>
              </w:rPr>
              <w:t>3058</w:t>
            </w:r>
          </w:p>
        </w:tc>
        <w:tc>
          <w:tcPr>
            <w:tcW w:w="1134" w:type="dxa"/>
            <w:noWrap/>
            <w:vAlign w:val="center"/>
          </w:tcPr>
          <w:p w14:paraId="041CF57D" w14:textId="77777777" w:rsidR="00FC22E6" w:rsidRPr="00FD79E6" w:rsidRDefault="00FC22E6" w:rsidP="006C5E0B">
            <w:pPr>
              <w:spacing w:before="10" w:after="10"/>
              <w:jc w:val="center"/>
              <w:rPr>
                <w:rFonts w:cs="Arial"/>
                <w:sz w:val="18"/>
                <w:szCs w:val="22"/>
              </w:rPr>
            </w:pPr>
            <w:r w:rsidRPr="00FD79E6">
              <w:rPr>
                <w:rFonts w:cs="Arial"/>
                <w:sz w:val="18"/>
                <w:szCs w:val="22"/>
              </w:rPr>
              <w:t>2840</w:t>
            </w:r>
          </w:p>
        </w:tc>
        <w:tc>
          <w:tcPr>
            <w:tcW w:w="1276" w:type="dxa"/>
            <w:noWrap/>
            <w:vAlign w:val="center"/>
          </w:tcPr>
          <w:p w14:paraId="66026385" w14:textId="257A64A1" w:rsidR="00FC22E6" w:rsidRPr="00FD79E6" w:rsidRDefault="006C5E0B" w:rsidP="006C5E0B">
            <w:pPr>
              <w:spacing w:before="10" w:after="10"/>
              <w:jc w:val="center"/>
              <w:rPr>
                <w:rFonts w:cs="Arial"/>
                <w:sz w:val="18"/>
                <w:szCs w:val="22"/>
              </w:rPr>
            </w:pPr>
            <w:r>
              <w:rPr>
                <w:rFonts w:cs="Arial"/>
                <w:sz w:val="18"/>
                <w:szCs w:val="22"/>
              </w:rPr>
              <w:t>93</w:t>
            </w:r>
          </w:p>
        </w:tc>
        <w:tc>
          <w:tcPr>
            <w:tcW w:w="1276" w:type="dxa"/>
            <w:noWrap/>
            <w:vAlign w:val="center"/>
          </w:tcPr>
          <w:p w14:paraId="04B0DE7B" w14:textId="77777777" w:rsidR="00FC22E6" w:rsidRPr="00FD79E6" w:rsidRDefault="00FC22E6" w:rsidP="006C5E0B">
            <w:pPr>
              <w:spacing w:before="10" w:after="10"/>
              <w:jc w:val="center"/>
              <w:rPr>
                <w:rFonts w:cs="Arial"/>
                <w:sz w:val="18"/>
                <w:szCs w:val="22"/>
              </w:rPr>
            </w:pPr>
            <w:r w:rsidRPr="00FD79E6">
              <w:rPr>
                <w:rFonts w:cs="Arial"/>
                <w:sz w:val="18"/>
                <w:szCs w:val="22"/>
              </w:rPr>
              <w:t>218</w:t>
            </w:r>
          </w:p>
        </w:tc>
      </w:tr>
      <w:tr w:rsidR="004A7A0E" w:rsidRPr="00FD79E6" w14:paraId="599E2DF3" w14:textId="77777777" w:rsidTr="004A7A0E">
        <w:tc>
          <w:tcPr>
            <w:tcW w:w="2127" w:type="dxa"/>
            <w:noWrap/>
          </w:tcPr>
          <w:p w14:paraId="778C1193" w14:textId="77777777" w:rsidR="00FC22E6" w:rsidRPr="00FD79E6" w:rsidRDefault="00FC22E6" w:rsidP="005F77A1">
            <w:pPr>
              <w:spacing w:before="10" w:after="10"/>
              <w:rPr>
                <w:rFonts w:cs="Arial"/>
                <w:sz w:val="18"/>
                <w:szCs w:val="22"/>
              </w:rPr>
            </w:pPr>
            <w:r w:rsidRPr="00FD79E6">
              <w:rPr>
                <w:rFonts w:cs="Arial"/>
                <w:sz w:val="18"/>
                <w:szCs w:val="22"/>
              </w:rPr>
              <w:t>PNG</w:t>
            </w:r>
          </w:p>
        </w:tc>
        <w:tc>
          <w:tcPr>
            <w:tcW w:w="1275" w:type="dxa"/>
            <w:noWrap/>
            <w:vAlign w:val="center"/>
          </w:tcPr>
          <w:p w14:paraId="538B2C23" w14:textId="77777777" w:rsidR="00FC22E6" w:rsidRPr="00FD79E6" w:rsidRDefault="00FC22E6" w:rsidP="006C5E0B">
            <w:pPr>
              <w:spacing w:before="10" w:after="10"/>
              <w:jc w:val="center"/>
              <w:rPr>
                <w:rFonts w:cs="Arial"/>
                <w:sz w:val="18"/>
                <w:szCs w:val="22"/>
              </w:rPr>
            </w:pPr>
            <w:r w:rsidRPr="00FD79E6">
              <w:rPr>
                <w:rFonts w:cs="Arial"/>
                <w:sz w:val="18"/>
                <w:szCs w:val="22"/>
              </w:rPr>
              <w:t>1092</w:t>
            </w:r>
          </w:p>
        </w:tc>
        <w:tc>
          <w:tcPr>
            <w:tcW w:w="1134" w:type="dxa"/>
            <w:noWrap/>
            <w:vAlign w:val="center"/>
          </w:tcPr>
          <w:p w14:paraId="1D291EBF" w14:textId="77777777" w:rsidR="00FC22E6" w:rsidRPr="00FD79E6" w:rsidRDefault="00FC22E6" w:rsidP="006C5E0B">
            <w:pPr>
              <w:spacing w:before="10" w:after="10"/>
              <w:jc w:val="center"/>
              <w:rPr>
                <w:rFonts w:cs="Arial"/>
                <w:sz w:val="18"/>
                <w:szCs w:val="22"/>
              </w:rPr>
            </w:pPr>
            <w:r w:rsidRPr="00FD79E6">
              <w:rPr>
                <w:rFonts w:cs="Arial"/>
                <w:sz w:val="18"/>
                <w:szCs w:val="22"/>
              </w:rPr>
              <w:t>940</w:t>
            </w:r>
          </w:p>
        </w:tc>
        <w:tc>
          <w:tcPr>
            <w:tcW w:w="1276" w:type="dxa"/>
            <w:noWrap/>
            <w:vAlign w:val="center"/>
          </w:tcPr>
          <w:p w14:paraId="4D8D4BAB" w14:textId="56F5DC31" w:rsidR="00FC22E6" w:rsidRPr="00FD79E6" w:rsidRDefault="006C5E0B" w:rsidP="006C5E0B">
            <w:pPr>
              <w:spacing w:before="10" w:after="10"/>
              <w:jc w:val="center"/>
              <w:rPr>
                <w:rFonts w:cs="Arial"/>
                <w:sz w:val="18"/>
                <w:szCs w:val="22"/>
              </w:rPr>
            </w:pPr>
            <w:r>
              <w:rPr>
                <w:rFonts w:cs="Arial"/>
                <w:sz w:val="18"/>
                <w:szCs w:val="22"/>
              </w:rPr>
              <w:t>86</w:t>
            </w:r>
          </w:p>
        </w:tc>
        <w:tc>
          <w:tcPr>
            <w:tcW w:w="1276" w:type="dxa"/>
            <w:noWrap/>
            <w:vAlign w:val="center"/>
          </w:tcPr>
          <w:p w14:paraId="409CC77F" w14:textId="77777777" w:rsidR="00FC22E6" w:rsidRPr="00FD79E6" w:rsidRDefault="00FC22E6" w:rsidP="006C5E0B">
            <w:pPr>
              <w:spacing w:before="10" w:after="10"/>
              <w:jc w:val="center"/>
              <w:rPr>
                <w:rFonts w:cs="Arial"/>
                <w:sz w:val="18"/>
                <w:szCs w:val="22"/>
              </w:rPr>
            </w:pPr>
            <w:r w:rsidRPr="00FD79E6">
              <w:rPr>
                <w:rFonts w:cs="Arial"/>
                <w:sz w:val="18"/>
                <w:szCs w:val="22"/>
              </w:rPr>
              <w:t>152</w:t>
            </w:r>
          </w:p>
        </w:tc>
      </w:tr>
      <w:tr w:rsidR="004A7A0E" w:rsidRPr="00FD79E6" w14:paraId="46C04EAB" w14:textId="77777777" w:rsidTr="004A7A0E">
        <w:tc>
          <w:tcPr>
            <w:tcW w:w="2127" w:type="dxa"/>
            <w:noWrap/>
          </w:tcPr>
          <w:p w14:paraId="2455A2D0" w14:textId="77777777" w:rsidR="00FC22E6" w:rsidRPr="00FD79E6" w:rsidRDefault="00FC22E6" w:rsidP="005F77A1">
            <w:pPr>
              <w:spacing w:before="10" w:after="10"/>
              <w:rPr>
                <w:rFonts w:cs="Arial"/>
                <w:sz w:val="18"/>
                <w:szCs w:val="22"/>
              </w:rPr>
            </w:pPr>
            <w:r w:rsidRPr="00FD79E6">
              <w:rPr>
                <w:rFonts w:cs="Arial"/>
                <w:sz w:val="18"/>
                <w:szCs w:val="22"/>
              </w:rPr>
              <w:t>Samoa</w:t>
            </w:r>
          </w:p>
        </w:tc>
        <w:tc>
          <w:tcPr>
            <w:tcW w:w="1275" w:type="dxa"/>
            <w:noWrap/>
            <w:vAlign w:val="center"/>
          </w:tcPr>
          <w:p w14:paraId="0453CFBF" w14:textId="77777777" w:rsidR="00FC22E6" w:rsidRPr="00FD79E6" w:rsidRDefault="00FC22E6" w:rsidP="006C5E0B">
            <w:pPr>
              <w:spacing w:before="10" w:after="10"/>
              <w:jc w:val="center"/>
              <w:rPr>
                <w:rFonts w:cs="Arial"/>
                <w:sz w:val="18"/>
                <w:szCs w:val="22"/>
              </w:rPr>
            </w:pPr>
            <w:r w:rsidRPr="00FD79E6">
              <w:rPr>
                <w:rFonts w:cs="Arial"/>
                <w:sz w:val="18"/>
                <w:szCs w:val="22"/>
              </w:rPr>
              <w:t>1470</w:t>
            </w:r>
          </w:p>
        </w:tc>
        <w:tc>
          <w:tcPr>
            <w:tcW w:w="1134" w:type="dxa"/>
            <w:noWrap/>
            <w:vAlign w:val="center"/>
          </w:tcPr>
          <w:p w14:paraId="1E557F1F" w14:textId="77777777" w:rsidR="00FC22E6" w:rsidRPr="00FD79E6" w:rsidRDefault="00FC22E6" w:rsidP="006C5E0B">
            <w:pPr>
              <w:spacing w:before="10" w:after="10"/>
              <w:jc w:val="center"/>
              <w:rPr>
                <w:rFonts w:cs="Arial"/>
                <w:sz w:val="18"/>
                <w:szCs w:val="22"/>
              </w:rPr>
            </w:pPr>
            <w:r w:rsidRPr="00FD79E6">
              <w:rPr>
                <w:rFonts w:cs="Arial"/>
                <w:sz w:val="18"/>
                <w:szCs w:val="22"/>
              </w:rPr>
              <w:t>1349</w:t>
            </w:r>
          </w:p>
        </w:tc>
        <w:tc>
          <w:tcPr>
            <w:tcW w:w="1276" w:type="dxa"/>
            <w:noWrap/>
            <w:vAlign w:val="center"/>
          </w:tcPr>
          <w:p w14:paraId="50FA8C98" w14:textId="5EB2B433" w:rsidR="00FC22E6" w:rsidRPr="00FD79E6" w:rsidRDefault="006C5E0B" w:rsidP="006C5E0B">
            <w:pPr>
              <w:spacing w:before="10" w:after="10"/>
              <w:jc w:val="center"/>
              <w:rPr>
                <w:rFonts w:cs="Arial"/>
                <w:sz w:val="18"/>
                <w:szCs w:val="22"/>
              </w:rPr>
            </w:pPr>
            <w:r>
              <w:rPr>
                <w:rFonts w:cs="Arial"/>
                <w:sz w:val="18"/>
                <w:szCs w:val="22"/>
              </w:rPr>
              <w:t>91</w:t>
            </w:r>
          </w:p>
        </w:tc>
        <w:tc>
          <w:tcPr>
            <w:tcW w:w="1276" w:type="dxa"/>
            <w:noWrap/>
            <w:vAlign w:val="center"/>
          </w:tcPr>
          <w:p w14:paraId="36F0963C" w14:textId="77777777" w:rsidR="00FC22E6" w:rsidRPr="00FD79E6" w:rsidRDefault="00FC22E6" w:rsidP="006C5E0B">
            <w:pPr>
              <w:spacing w:before="10" w:after="10"/>
              <w:jc w:val="center"/>
              <w:rPr>
                <w:rFonts w:cs="Arial"/>
                <w:sz w:val="18"/>
                <w:szCs w:val="22"/>
              </w:rPr>
            </w:pPr>
            <w:r w:rsidRPr="00FD79E6">
              <w:rPr>
                <w:rFonts w:cs="Arial"/>
                <w:sz w:val="18"/>
                <w:szCs w:val="22"/>
              </w:rPr>
              <w:t>121</w:t>
            </w:r>
          </w:p>
        </w:tc>
      </w:tr>
      <w:tr w:rsidR="004A7A0E" w:rsidRPr="00FD79E6" w14:paraId="0555124E" w14:textId="77777777" w:rsidTr="004A7A0E">
        <w:tc>
          <w:tcPr>
            <w:tcW w:w="2127" w:type="dxa"/>
            <w:noWrap/>
          </w:tcPr>
          <w:p w14:paraId="5A96CBEA" w14:textId="77777777" w:rsidR="00FC22E6" w:rsidRPr="00FD79E6" w:rsidRDefault="00FC22E6" w:rsidP="005F77A1">
            <w:pPr>
              <w:spacing w:before="10" w:after="10"/>
              <w:rPr>
                <w:rFonts w:cs="Arial"/>
                <w:sz w:val="18"/>
                <w:szCs w:val="22"/>
              </w:rPr>
            </w:pPr>
            <w:r>
              <w:rPr>
                <w:rFonts w:cs="Arial"/>
                <w:sz w:val="18"/>
                <w:szCs w:val="22"/>
              </w:rPr>
              <w:t>Solomon Islands</w:t>
            </w:r>
          </w:p>
        </w:tc>
        <w:tc>
          <w:tcPr>
            <w:tcW w:w="1275" w:type="dxa"/>
            <w:noWrap/>
            <w:vAlign w:val="center"/>
          </w:tcPr>
          <w:p w14:paraId="6619A905" w14:textId="77777777" w:rsidR="00FC22E6" w:rsidRPr="00FD79E6" w:rsidRDefault="00FC22E6" w:rsidP="006C5E0B">
            <w:pPr>
              <w:spacing w:before="10" w:after="10"/>
              <w:jc w:val="center"/>
              <w:rPr>
                <w:rFonts w:cs="Arial"/>
                <w:sz w:val="18"/>
                <w:szCs w:val="22"/>
              </w:rPr>
            </w:pPr>
            <w:r w:rsidRPr="00FD79E6">
              <w:rPr>
                <w:rFonts w:cs="Arial"/>
                <w:sz w:val="18"/>
                <w:szCs w:val="22"/>
              </w:rPr>
              <w:t>94</w:t>
            </w:r>
          </w:p>
        </w:tc>
        <w:tc>
          <w:tcPr>
            <w:tcW w:w="1134" w:type="dxa"/>
            <w:noWrap/>
            <w:vAlign w:val="center"/>
          </w:tcPr>
          <w:p w14:paraId="01761CEE" w14:textId="77777777" w:rsidR="00FC22E6" w:rsidRPr="00FD79E6" w:rsidRDefault="00FC22E6" w:rsidP="006C5E0B">
            <w:pPr>
              <w:spacing w:before="10" w:after="10"/>
              <w:jc w:val="center"/>
              <w:rPr>
                <w:rFonts w:cs="Arial"/>
                <w:sz w:val="18"/>
                <w:szCs w:val="22"/>
              </w:rPr>
            </w:pPr>
            <w:r w:rsidRPr="00FD79E6">
              <w:rPr>
                <w:rFonts w:cs="Arial"/>
                <w:sz w:val="18"/>
                <w:szCs w:val="22"/>
              </w:rPr>
              <w:t>93</w:t>
            </w:r>
          </w:p>
        </w:tc>
        <w:tc>
          <w:tcPr>
            <w:tcW w:w="1276" w:type="dxa"/>
            <w:noWrap/>
            <w:vAlign w:val="center"/>
          </w:tcPr>
          <w:p w14:paraId="2B409075" w14:textId="110C867B" w:rsidR="00FC22E6" w:rsidRPr="00FD79E6" w:rsidRDefault="006C5E0B" w:rsidP="006C5E0B">
            <w:pPr>
              <w:spacing w:before="10" w:after="10"/>
              <w:jc w:val="center"/>
              <w:rPr>
                <w:rFonts w:cs="Arial"/>
                <w:sz w:val="18"/>
                <w:szCs w:val="22"/>
              </w:rPr>
            </w:pPr>
            <w:r>
              <w:rPr>
                <w:rFonts w:cs="Arial"/>
                <w:sz w:val="18"/>
                <w:szCs w:val="22"/>
              </w:rPr>
              <w:t>99</w:t>
            </w:r>
          </w:p>
        </w:tc>
        <w:tc>
          <w:tcPr>
            <w:tcW w:w="1276" w:type="dxa"/>
            <w:noWrap/>
            <w:vAlign w:val="center"/>
          </w:tcPr>
          <w:p w14:paraId="66F2A29B" w14:textId="77777777" w:rsidR="00FC22E6" w:rsidRPr="00FD79E6" w:rsidRDefault="00FC22E6" w:rsidP="006C5E0B">
            <w:pPr>
              <w:spacing w:before="10" w:after="10"/>
              <w:jc w:val="center"/>
              <w:rPr>
                <w:rFonts w:cs="Arial"/>
                <w:sz w:val="18"/>
                <w:szCs w:val="22"/>
              </w:rPr>
            </w:pPr>
            <w:r w:rsidRPr="00FD79E6">
              <w:rPr>
                <w:rFonts w:cs="Arial"/>
                <w:sz w:val="18"/>
                <w:szCs w:val="22"/>
              </w:rPr>
              <w:t>1</w:t>
            </w:r>
          </w:p>
        </w:tc>
      </w:tr>
      <w:tr w:rsidR="004A7A0E" w:rsidRPr="00FD79E6" w14:paraId="0AC43308" w14:textId="77777777" w:rsidTr="004A7A0E">
        <w:tc>
          <w:tcPr>
            <w:tcW w:w="2127" w:type="dxa"/>
            <w:noWrap/>
          </w:tcPr>
          <w:p w14:paraId="2BABEB0A" w14:textId="77777777" w:rsidR="00FC22E6" w:rsidRPr="00FD79E6" w:rsidRDefault="00FC22E6" w:rsidP="005F77A1">
            <w:pPr>
              <w:spacing w:before="10" w:after="10"/>
              <w:rPr>
                <w:rFonts w:cs="Arial"/>
                <w:sz w:val="18"/>
                <w:szCs w:val="22"/>
              </w:rPr>
            </w:pPr>
            <w:r w:rsidRPr="00FD79E6">
              <w:rPr>
                <w:rFonts w:cs="Arial"/>
                <w:sz w:val="18"/>
                <w:szCs w:val="22"/>
              </w:rPr>
              <w:t>Vanuatu</w:t>
            </w:r>
          </w:p>
        </w:tc>
        <w:tc>
          <w:tcPr>
            <w:tcW w:w="1275" w:type="dxa"/>
            <w:noWrap/>
            <w:vAlign w:val="center"/>
          </w:tcPr>
          <w:p w14:paraId="7D64BB04" w14:textId="77777777" w:rsidR="00FC22E6" w:rsidRPr="00FD79E6" w:rsidRDefault="00FC22E6" w:rsidP="006C5E0B">
            <w:pPr>
              <w:spacing w:before="10" w:after="10"/>
              <w:jc w:val="center"/>
              <w:rPr>
                <w:rFonts w:cs="Arial"/>
                <w:sz w:val="18"/>
                <w:szCs w:val="22"/>
              </w:rPr>
            </w:pPr>
            <w:r w:rsidRPr="00FD79E6">
              <w:rPr>
                <w:rFonts w:cs="Arial"/>
                <w:sz w:val="18"/>
                <w:szCs w:val="22"/>
              </w:rPr>
              <w:t>1492</w:t>
            </w:r>
          </w:p>
        </w:tc>
        <w:tc>
          <w:tcPr>
            <w:tcW w:w="1134" w:type="dxa"/>
            <w:noWrap/>
            <w:vAlign w:val="center"/>
          </w:tcPr>
          <w:p w14:paraId="1C67873C" w14:textId="77777777" w:rsidR="00FC22E6" w:rsidRPr="00FD79E6" w:rsidRDefault="00FC22E6" w:rsidP="006C5E0B">
            <w:pPr>
              <w:spacing w:before="10" w:after="10"/>
              <w:jc w:val="center"/>
              <w:rPr>
                <w:rFonts w:cs="Arial"/>
                <w:sz w:val="18"/>
                <w:szCs w:val="22"/>
              </w:rPr>
            </w:pPr>
            <w:r w:rsidRPr="00FD79E6">
              <w:rPr>
                <w:rFonts w:cs="Arial"/>
                <w:sz w:val="18"/>
                <w:szCs w:val="22"/>
              </w:rPr>
              <w:t>1358</w:t>
            </w:r>
          </w:p>
        </w:tc>
        <w:tc>
          <w:tcPr>
            <w:tcW w:w="1276" w:type="dxa"/>
            <w:noWrap/>
            <w:vAlign w:val="center"/>
          </w:tcPr>
          <w:p w14:paraId="4ABBC929" w14:textId="2F5CD023" w:rsidR="00FC22E6" w:rsidRPr="00FD79E6" w:rsidRDefault="006C5E0B" w:rsidP="006C5E0B">
            <w:pPr>
              <w:spacing w:before="10" w:after="10"/>
              <w:jc w:val="center"/>
              <w:rPr>
                <w:rFonts w:cs="Arial"/>
                <w:sz w:val="18"/>
                <w:szCs w:val="22"/>
              </w:rPr>
            </w:pPr>
            <w:r>
              <w:rPr>
                <w:rFonts w:cs="Arial"/>
                <w:sz w:val="18"/>
                <w:szCs w:val="22"/>
              </w:rPr>
              <w:t>90</w:t>
            </w:r>
          </w:p>
        </w:tc>
        <w:tc>
          <w:tcPr>
            <w:tcW w:w="1276" w:type="dxa"/>
            <w:noWrap/>
            <w:vAlign w:val="center"/>
          </w:tcPr>
          <w:p w14:paraId="212104DC" w14:textId="77777777" w:rsidR="00FC22E6" w:rsidRPr="00FD79E6" w:rsidRDefault="00FC22E6" w:rsidP="006C5E0B">
            <w:pPr>
              <w:spacing w:before="10" w:after="10"/>
              <w:jc w:val="center"/>
              <w:rPr>
                <w:rFonts w:cs="Arial"/>
                <w:sz w:val="18"/>
                <w:szCs w:val="22"/>
              </w:rPr>
            </w:pPr>
            <w:r w:rsidRPr="00FD79E6">
              <w:rPr>
                <w:rFonts w:cs="Arial"/>
                <w:sz w:val="18"/>
                <w:szCs w:val="22"/>
              </w:rPr>
              <w:t>134</w:t>
            </w:r>
          </w:p>
        </w:tc>
      </w:tr>
      <w:tr w:rsidR="004A7A0E" w:rsidRPr="00FD79E6" w14:paraId="21B7A1AD" w14:textId="77777777" w:rsidTr="004A7A0E">
        <w:tc>
          <w:tcPr>
            <w:tcW w:w="2127" w:type="dxa"/>
            <w:shd w:val="clear" w:color="auto" w:fill="E2EFD9" w:themeFill="accent6" w:themeFillTint="33"/>
            <w:noWrap/>
          </w:tcPr>
          <w:p w14:paraId="23E67BD8" w14:textId="77777777" w:rsidR="00FC22E6" w:rsidRPr="00FD79E6" w:rsidRDefault="00FC22E6" w:rsidP="005F77A1">
            <w:pPr>
              <w:spacing w:before="10" w:after="10"/>
              <w:rPr>
                <w:rFonts w:cs="Arial"/>
                <w:sz w:val="18"/>
                <w:szCs w:val="22"/>
              </w:rPr>
            </w:pPr>
            <w:r w:rsidRPr="00FD79E6">
              <w:rPr>
                <w:rFonts w:cs="Arial"/>
                <w:b/>
                <w:bCs/>
                <w:sz w:val="18"/>
                <w:szCs w:val="22"/>
              </w:rPr>
              <w:t xml:space="preserve">By nationality </w:t>
            </w:r>
            <w:r>
              <w:rPr>
                <w:rFonts w:cs="Arial"/>
                <w:b/>
                <w:bCs/>
                <w:sz w:val="18"/>
                <w:szCs w:val="22"/>
              </w:rPr>
              <w:br/>
            </w:r>
            <w:r w:rsidRPr="00FD79E6">
              <w:rPr>
                <w:rFonts w:cs="Arial"/>
                <w:b/>
                <w:bCs/>
                <w:sz w:val="18"/>
                <w:szCs w:val="22"/>
              </w:rPr>
              <w:t>(&gt;30 graduates)</w:t>
            </w:r>
          </w:p>
        </w:tc>
        <w:tc>
          <w:tcPr>
            <w:tcW w:w="1275" w:type="dxa"/>
            <w:shd w:val="clear" w:color="auto" w:fill="E2EFD9" w:themeFill="accent6" w:themeFillTint="33"/>
            <w:noWrap/>
            <w:vAlign w:val="center"/>
          </w:tcPr>
          <w:p w14:paraId="5C29E150" w14:textId="77777777" w:rsidR="00FC22E6" w:rsidRPr="00FD79E6" w:rsidRDefault="00FC22E6" w:rsidP="006C5E0B">
            <w:pPr>
              <w:spacing w:before="10" w:after="10"/>
              <w:jc w:val="center"/>
              <w:rPr>
                <w:rFonts w:cs="Arial"/>
                <w:b/>
                <w:bCs/>
                <w:sz w:val="18"/>
                <w:szCs w:val="22"/>
              </w:rPr>
            </w:pPr>
          </w:p>
        </w:tc>
        <w:tc>
          <w:tcPr>
            <w:tcW w:w="1134" w:type="dxa"/>
            <w:shd w:val="clear" w:color="auto" w:fill="E2EFD9" w:themeFill="accent6" w:themeFillTint="33"/>
            <w:vAlign w:val="center"/>
          </w:tcPr>
          <w:p w14:paraId="4DB59DB7" w14:textId="77777777" w:rsidR="00FC22E6" w:rsidRPr="00FD79E6" w:rsidRDefault="00FC22E6" w:rsidP="006C5E0B">
            <w:pPr>
              <w:spacing w:before="10" w:after="10"/>
              <w:jc w:val="center"/>
              <w:rPr>
                <w:rFonts w:cs="Arial"/>
                <w:b/>
                <w:bCs/>
                <w:sz w:val="18"/>
                <w:szCs w:val="22"/>
              </w:rPr>
            </w:pPr>
          </w:p>
        </w:tc>
        <w:tc>
          <w:tcPr>
            <w:tcW w:w="1276" w:type="dxa"/>
            <w:shd w:val="clear" w:color="auto" w:fill="E2EFD9" w:themeFill="accent6" w:themeFillTint="33"/>
            <w:vAlign w:val="center"/>
          </w:tcPr>
          <w:p w14:paraId="4B7065A6" w14:textId="77777777" w:rsidR="00FC22E6" w:rsidRPr="00FD79E6" w:rsidRDefault="00FC22E6" w:rsidP="006C5E0B">
            <w:pPr>
              <w:spacing w:before="10" w:after="10"/>
              <w:jc w:val="center"/>
              <w:rPr>
                <w:rFonts w:cs="Arial"/>
                <w:b/>
                <w:bCs/>
                <w:sz w:val="18"/>
                <w:szCs w:val="22"/>
              </w:rPr>
            </w:pPr>
          </w:p>
        </w:tc>
        <w:tc>
          <w:tcPr>
            <w:tcW w:w="1276" w:type="dxa"/>
            <w:shd w:val="clear" w:color="auto" w:fill="E2EFD9" w:themeFill="accent6" w:themeFillTint="33"/>
            <w:vAlign w:val="center"/>
          </w:tcPr>
          <w:p w14:paraId="31F867EC" w14:textId="77777777" w:rsidR="00FC22E6" w:rsidRPr="00FD79E6" w:rsidRDefault="00FC22E6" w:rsidP="006C5E0B">
            <w:pPr>
              <w:spacing w:before="10" w:after="10"/>
              <w:jc w:val="center"/>
              <w:rPr>
                <w:rFonts w:cs="Arial"/>
                <w:b/>
                <w:bCs/>
                <w:sz w:val="18"/>
                <w:szCs w:val="22"/>
              </w:rPr>
            </w:pPr>
          </w:p>
        </w:tc>
      </w:tr>
      <w:tr w:rsidR="004A7A0E" w:rsidRPr="00FD79E6" w14:paraId="003F56C0" w14:textId="77777777" w:rsidTr="004A7A0E">
        <w:tc>
          <w:tcPr>
            <w:tcW w:w="2127" w:type="dxa"/>
            <w:noWrap/>
          </w:tcPr>
          <w:p w14:paraId="1CC234A1" w14:textId="77777777" w:rsidR="00FC22E6" w:rsidRPr="00FD79E6" w:rsidRDefault="00FC22E6" w:rsidP="005F77A1">
            <w:pPr>
              <w:spacing w:before="10" w:after="10"/>
              <w:rPr>
                <w:rFonts w:cs="Arial"/>
                <w:sz w:val="18"/>
                <w:szCs w:val="22"/>
              </w:rPr>
            </w:pPr>
            <w:r w:rsidRPr="00FD79E6">
              <w:rPr>
                <w:rFonts w:cs="Arial"/>
                <w:sz w:val="18"/>
                <w:szCs w:val="22"/>
              </w:rPr>
              <w:t>Fiji</w:t>
            </w:r>
          </w:p>
        </w:tc>
        <w:tc>
          <w:tcPr>
            <w:tcW w:w="1275" w:type="dxa"/>
            <w:noWrap/>
            <w:vAlign w:val="center"/>
          </w:tcPr>
          <w:p w14:paraId="6169C29A" w14:textId="77777777" w:rsidR="00FC22E6" w:rsidRPr="00FD79E6" w:rsidRDefault="00FC22E6" w:rsidP="006C5E0B">
            <w:pPr>
              <w:spacing w:before="10" w:after="10"/>
              <w:jc w:val="center"/>
              <w:rPr>
                <w:rFonts w:cs="Arial"/>
                <w:sz w:val="18"/>
                <w:szCs w:val="22"/>
              </w:rPr>
            </w:pPr>
            <w:r w:rsidRPr="00FD79E6">
              <w:rPr>
                <w:rFonts w:cs="Arial"/>
                <w:sz w:val="18"/>
                <w:szCs w:val="22"/>
              </w:rPr>
              <w:t>2191</w:t>
            </w:r>
          </w:p>
        </w:tc>
        <w:tc>
          <w:tcPr>
            <w:tcW w:w="1134" w:type="dxa"/>
            <w:noWrap/>
            <w:vAlign w:val="center"/>
          </w:tcPr>
          <w:p w14:paraId="315B7E0A" w14:textId="77777777" w:rsidR="00FC22E6" w:rsidRPr="00FD79E6" w:rsidRDefault="00FC22E6" w:rsidP="006C5E0B">
            <w:pPr>
              <w:spacing w:before="10" w:after="10"/>
              <w:jc w:val="center"/>
              <w:rPr>
                <w:rFonts w:cs="Arial"/>
                <w:sz w:val="18"/>
                <w:szCs w:val="22"/>
              </w:rPr>
            </w:pPr>
            <w:r w:rsidRPr="00FD79E6">
              <w:rPr>
                <w:rFonts w:cs="Arial"/>
                <w:sz w:val="18"/>
                <w:szCs w:val="22"/>
              </w:rPr>
              <w:t>1996</w:t>
            </w:r>
          </w:p>
        </w:tc>
        <w:tc>
          <w:tcPr>
            <w:tcW w:w="1276" w:type="dxa"/>
            <w:noWrap/>
            <w:vAlign w:val="center"/>
          </w:tcPr>
          <w:p w14:paraId="1DFF1549" w14:textId="05582566" w:rsidR="00FC22E6" w:rsidRPr="00FD79E6" w:rsidRDefault="006C5E0B" w:rsidP="006C5E0B">
            <w:pPr>
              <w:spacing w:before="10" w:after="10"/>
              <w:jc w:val="center"/>
              <w:rPr>
                <w:rFonts w:cs="Arial"/>
                <w:sz w:val="18"/>
                <w:szCs w:val="22"/>
              </w:rPr>
            </w:pPr>
            <w:r>
              <w:rPr>
                <w:rFonts w:cs="Arial"/>
                <w:sz w:val="18"/>
                <w:szCs w:val="22"/>
              </w:rPr>
              <w:t>91</w:t>
            </w:r>
          </w:p>
        </w:tc>
        <w:tc>
          <w:tcPr>
            <w:tcW w:w="1276" w:type="dxa"/>
            <w:noWrap/>
            <w:vAlign w:val="center"/>
          </w:tcPr>
          <w:p w14:paraId="5DE04837" w14:textId="77777777" w:rsidR="00FC22E6" w:rsidRPr="00FD79E6" w:rsidRDefault="00FC22E6" w:rsidP="006C5E0B">
            <w:pPr>
              <w:spacing w:before="10" w:after="10"/>
              <w:jc w:val="center"/>
              <w:rPr>
                <w:rFonts w:cs="Arial"/>
                <w:sz w:val="18"/>
                <w:szCs w:val="22"/>
              </w:rPr>
            </w:pPr>
            <w:r w:rsidRPr="00FD79E6">
              <w:rPr>
                <w:rFonts w:cs="Arial"/>
                <w:sz w:val="18"/>
                <w:szCs w:val="22"/>
              </w:rPr>
              <w:t>195</w:t>
            </w:r>
          </w:p>
        </w:tc>
      </w:tr>
      <w:tr w:rsidR="004A7A0E" w:rsidRPr="00FD79E6" w14:paraId="28BD405F" w14:textId="77777777" w:rsidTr="004A7A0E">
        <w:tc>
          <w:tcPr>
            <w:tcW w:w="2127" w:type="dxa"/>
            <w:noWrap/>
          </w:tcPr>
          <w:p w14:paraId="18EFC564" w14:textId="77777777" w:rsidR="00FC22E6" w:rsidRPr="00FD79E6" w:rsidRDefault="00FC22E6" w:rsidP="005F77A1">
            <w:pPr>
              <w:spacing w:before="10" w:after="10"/>
              <w:rPr>
                <w:rFonts w:cs="Arial"/>
                <w:sz w:val="18"/>
                <w:szCs w:val="22"/>
              </w:rPr>
            </w:pPr>
            <w:r w:rsidRPr="00FD79E6">
              <w:rPr>
                <w:rFonts w:cs="Arial"/>
                <w:sz w:val="18"/>
                <w:szCs w:val="22"/>
              </w:rPr>
              <w:t>PNG</w:t>
            </w:r>
          </w:p>
        </w:tc>
        <w:tc>
          <w:tcPr>
            <w:tcW w:w="1275" w:type="dxa"/>
            <w:noWrap/>
            <w:vAlign w:val="center"/>
          </w:tcPr>
          <w:p w14:paraId="4174454D" w14:textId="77777777" w:rsidR="00FC22E6" w:rsidRPr="00FD79E6" w:rsidRDefault="00FC22E6" w:rsidP="006C5E0B">
            <w:pPr>
              <w:spacing w:before="10" w:after="10"/>
              <w:jc w:val="center"/>
              <w:rPr>
                <w:rFonts w:cs="Arial"/>
                <w:sz w:val="18"/>
                <w:szCs w:val="22"/>
              </w:rPr>
            </w:pPr>
            <w:r w:rsidRPr="00FD79E6">
              <w:rPr>
                <w:rFonts w:cs="Arial"/>
                <w:sz w:val="18"/>
                <w:szCs w:val="22"/>
              </w:rPr>
              <w:t>1601</w:t>
            </w:r>
          </w:p>
        </w:tc>
        <w:tc>
          <w:tcPr>
            <w:tcW w:w="1134" w:type="dxa"/>
            <w:noWrap/>
            <w:vAlign w:val="center"/>
          </w:tcPr>
          <w:p w14:paraId="2493771E" w14:textId="77777777" w:rsidR="00FC22E6" w:rsidRPr="00FD79E6" w:rsidRDefault="00FC22E6" w:rsidP="006C5E0B">
            <w:pPr>
              <w:spacing w:before="10" w:after="10"/>
              <w:jc w:val="center"/>
              <w:rPr>
                <w:rFonts w:cs="Arial"/>
                <w:sz w:val="18"/>
                <w:szCs w:val="22"/>
              </w:rPr>
            </w:pPr>
            <w:r w:rsidRPr="00FD79E6">
              <w:rPr>
                <w:rFonts w:cs="Arial"/>
                <w:sz w:val="18"/>
                <w:szCs w:val="22"/>
              </w:rPr>
              <w:t>1432</w:t>
            </w:r>
          </w:p>
        </w:tc>
        <w:tc>
          <w:tcPr>
            <w:tcW w:w="1276" w:type="dxa"/>
            <w:noWrap/>
            <w:vAlign w:val="center"/>
          </w:tcPr>
          <w:p w14:paraId="484D8547" w14:textId="7EAC6FE2" w:rsidR="00FC22E6" w:rsidRPr="00FD79E6" w:rsidRDefault="006C5E0B" w:rsidP="006C5E0B">
            <w:pPr>
              <w:spacing w:before="10" w:after="10"/>
              <w:jc w:val="center"/>
              <w:rPr>
                <w:rFonts w:cs="Arial"/>
                <w:sz w:val="18"/>
                <w:szCs w:val="22"/>
              </w:rPr>
            </w:pPr>
            <w:r>
              <w:rPr>
                <w:rFonts w:cs="Arial"/>
                <w:sz w:val="18"/>
                <w:szCs w:val="22"/>
              </w:rPr>
              <w:t>89</w:t>
            </w:r>
          </w:p>
        </w:tc>
        <w:tc>
          <w:tcPr>
            <w:tcW w:w="1276" w:type="dxa"/>
            <w:noWrap/>
            <w:vAlign w:val="center"/>
          </w:tcPr>
          <w:p w14:paraId="60FEC44A" w14:textId="77777777" w:rsidR="00FC22E6" w:rsidRPr="00FD79E6" w:rsidRDefault="00FC22E6" w:rsidP="006C5E0B">
            <w:pPr>
              <w:spacing w:before="10" w:after="10"/>
              <w:jc w:val="center"/>
              <w:rPr>
                <w:rFonts w:cs="Arial"/>
                <w:sz w:val="18"/>
                <w:szCs w:val="22"/>
              </w:rPr>
            </w:pPr>
            <w:r w:rsidRPr="00FD79E6">
              <w:rPr>
                <w:rFonts w:cs="Arial"/>
                <w:sz w:val="18"/>
                <w:szCs w:val="22"/>
              </w:rPr>
              <w:t>169</w:t>
            </w:r>
          </w:p>
        </w:tc>
      </w:tr>
      <w:tr w:rsidR="004A7A0E" w:rsidRPr="00FD79E6" w14:paraId="3206F19B" w14:textId="77777777" w:rsidTr="004A7A0E">
        <w:tc>
          <w:tcPr>
            <w:tcW w:w="2127" w:type="dxa"/>
            <w:noWrap/>
          </w:tcPr>
          <w:p w14:paraId="7F5B4F27" w14:textId="77777777" w:rsidR="00FC22E6" w:rsidRPr="00FD79E6" w:rsidRDefault="00FC22E6" w:rsidP="005F77A1">
            <w:pPr>
              <w:spacing w:before="10" w:after="10"/>
              <w:rPr>
                <w:rFonts w:cs="Arial"/>
                <w:sz w:val="18"/>
                <w:szCs w:val="22"/>
              </w:rPr>
            </w:pPr>
            <w:r w:rsidRPr="00FD79E6">
              <w:rPr>
                <w:rFonts w:cs="Arial"/>
                <w:sz w:val="18"/>
                <w:szCs w:val="22"/>
              </w:rPr>
              <w:t>Samoa</w:t>
            </w:r>
          </w:p>
        </w:tc>
        <w:tc>
          <w:tcPr>
            <w:tcW w:w="1275" w:type="dxa"/>
            <w:noWrap/>
            <w:vAlign w:val="center"/>
          </w:tcPr>
          <w:p w14:paraId="6CF898C8" w14:textId="77777777" w:rsidR="00FC22E6" w:rsidRPr="00FD79E6" w:rsidRDefault="00FC22E6" w:rsidP="006C5E0B">
            <w:pPr>
              <w:spacing w:before="10" w:after="10"/>
              <w:jc w:val="center"/>
              <w:rPr>
                <w:rFonts w:cs="Arial"/>
                <w:sz w:val="18"/>
                <w:szCs w:val="22"/>
              </w:rPr>
            </w:pPr>
            <w:r w:rsidRPr="00FD79E6">
              <w:rPr>
                <w:rFonts w:cs="Arial"/>
                <w:sz w:val="18"/>
                <w:szCs w:val="22"/>
              </w:rPr>
              <w:t>882</w:t>
            </w:r>
          </w:p>
        </w:tc>
        <w:tc>
          <w:tcPr>
            <w:tcW w:w="1134" w:type="dxa"/>
            <w:noWrap/>
            <w:vAlign w:val="center"/>
          </w:tcPr>
          <w:p w14:paraId="180A1630" w14:textId="77777777" w:rsidR="00FC22E6" w:rsidRPr="00FD79E6" w:rsidRDefault="00FC22E6" w:rsidP="006C5E0B">
            <w:pPr>
              <w:spacing w:before="10" w:after="10"/>
              <w:jc w:val="center"/>
              <w:rPr>
                <w:rFonts w:cs="Arial"/>
                <w:sz w:val="18"/>
                <w:szCs w:val="22"/>
              </w:rPr>
            </w:pPr>
            <w:r w:rsidRPr="00FD79E6">
              <w:rPr>
                <w:rFonts w:cs="Arial"/>
                <w:sz w:val="18"/>
                <w:szCs w:val="22"/>
              </w:rPr>
              <w:t>799</w:t>
            </w:r>
          </w:p>
        </w:tc>
        <w:tc>
          <w:tcPr>
            <w:tcW w:w="1276" w:type="dxa"/>
            <w:noWrap/>
            <w:vAlign w:val="center"/>
          </w:tcPr>
          <w:p w14:paraId="5601E7B5" w14:textId="01F0EB8A" w:rsidR="00FC22E6" w:rsidRPr="00FD79E6" w:rsidRDefault="006C5E0B" w:rsidP="006C5E0B">
            <w:pPr>
              <w:spacing w:before="10" w:after="10"/>
              <w:jc w:val="center"/>
              <w:rPr>
                <w:rFonts w:cs="Arial"/>
                <w:sz w:val="18"/>
                <w:szCs w:val="22"/>
              </w:rPr>
            </w:pPr>
            <w:r>
              <w:rPr>
                <w:rFonts w:cs="Arial"/>
                <w:sz w:val="18"/>
                <w:szCs w:val="22"/>
              </w:rPr>
              <w:t>90</w:t>
            </w:r>
          </w:p>
        </w:tc>
        <w:tc>
          <w:tcPr>
            <w:tcW w:w="1276" w:type="dxa"/>
            <w:noWrap/>
            <w:vAlign w:val="center"/>
          </w:tcPr>
          <w:p w14:paraId="2222F468" w14:textId="77777777" w:rsidR="00FC22E6" w:rsidRPr="00FD79E6" w:rsidRDefault="00FC22E6" w:rsidP="006C5E0B">
            <w:pPr>
              <w:spacing w:before="10" w:after="10"/>
              <w:jc w:val="center"/>
              <w:rPr>
                <w:rFonts w:cs="Arial"/>
                <w:sz w:val="18"/>
                <w:szCs w:val="22"/>
              </w:rPr>
            </w:pPr>
            <w:r w:rsidRPr="00FD79E6">
              <w:rPr>
                <w:rFonts w:cs="Arial"/>
                <w:sz w:val="18"/>
                <w:szCs w:val="22"/>
              </w:rPr>
              <w:t>83</w:t>
            </w:r>
          </w:p>
        </w:tc>
      </w:tr>
      <w:tr w:rsidR="004A7A0E" w:rsidRPr="00FD79E6" w14:paraId="6D435CA6" w14:textId="77777777" w:rsidTr="004A7A0E">
        <w:tc>
          <w:tcPr>
            <w:tcW w:w="2127" w:type="dxa"/>
            <w:noWrap/>
          </w:tcPr>
          <w:p w14:paraId="4F6F8726" w14:textId="77777777" w:rsidR="00FC22E6" w:rsidRPr="00FD79E6" w:rsidRDefault="00FC22E6" w:rsidP="005F77A1">
            <w:pPr>
              <w:spacing w:before="10" w:after="10"/>
              <w:rPr>
                <w:rFonts w:cs="Arial"/>
                <w:sz w:val="18"/>
                <w:szCs w:val="22"/>
              </w:rPr>
            </w:pPr>
            <w:r w:rsidRPr="00FD79E6">
              <w:rPr>
                <w:rFonts w:cs="Arial"/>
                <w:sz w:val="18"/>
                <w:szCs w:val="22"/>
              </w:rPr>
              <w:t>Solomon Islands</w:t>
            </w:r>
          </w:p>
        </w:tc>
        <w:tc>
          <w:tcPr>
            <w:tcW w:w="1275" w:type="dxa"/>
            <w:noWrap/>
            <w:vAlign w:val="center"/>
          </w:tcPr>
          <w:p w14:paraId="04A08D5B" w14:textId="77777777" w:rsidR="00FC22E6" w:rsidRPr="00FD79E6" w:rsidRDefault="00FC22E6" w:rsidP="006C5E0B">
            <w:pPr>
              <w:spacing w:before="10" w:after="10"/>
              <w:jc w:val="center"/>
              <w:rPr>
                <w:rFonts w:cs="Arial"/>
                <w:sz w:val="18"/>
                <w:szCs w:val="22"/>
              </w:rPr>
            </w:pPr>
            <w:r w:rsidRPr="00FD79E6">
              <w:rPr>
                <w:rFonts w:cs="Arial"/>
                <w:sz w:val="18"/>
                <w:szCs w:val="22"/>
              </w:rPr>
              <w:t>706</w:t>
            </w:r>
          </w:p>
        </w:tc>
        <w:tc>
          <w:tcPr>
            <w:tcW w:w="1134" w:type="dxa"/>
            <w:noWrap/>
            <w:vAlign w:val="center"/>
          </w:tcPr>
          <w:p w14:paraId="1E5B99A7" w14:textId="77777777" w:rsidR="00FC22E6" w:rsidRPr="00FD79E6" w:rsidRDefault="00FC22E6" w:rsidP="006C5E0B">
            <w:pPr>
              <w:spacing w:before="10" w:after="10"/>
              <w:jc w:val="center"/>
              <w:rPr>
                <w:rFonts w:cs="Arial"/>
                <w:sz w:val="18"/>
                <w:szCs w:val="22"/>
              </w:rPr>
            </w:pPr>
            <w:r w:rsidRPr="00FD79E6">
              <w:rPr>
                <w:rFonts w:cs="Arial"/>
                <w:sz w:val="18"/>
                <w:szCs w:val="22"/>
              </w:rPr>
              <w:t>684</w:t>
            </w:r>
          </w:p>
        </w:tc>
        <w:tc>
          <w:tcPr>
            <w:tcW w:w="1276" w:type="dxa"/>
            <w:noWrap/>
            <w:vAlign w:val="center"/>
          </w:tcPr>
          <w:p w14:paraId="3B225AFC" w14:textId="222F9F69" w:rsidR="00FC22E6" w:rsidRPr="00FD79E6" w:rsidRDefault="006C5E0B" w:rsidP="006C5E0B">
            <w:pPr>
              <w:spacing w:before="10" w:after="10"/>
              <w:jc w:val="center"/>
              <w:rPr>
                <w:rFonts w:cs="Arial"/>
                <w:sz w:val="18"/>
                <w:szCs w:val="22"/>
              </w:rPr>
            </w:pPr>
            <w:r>
              <w:rPr>
                <w:rFonts w:cs="Arial"/>
                <w:sz w:val="18"/>
                <w:szCs w:val="22"/>
              </w:rPr>
              <w:t>97</w:t>
            </w:r>
          </w:p>
        </w:tc>
        <w:tc>
          <w:tcPr>
            <w:tcW w:w="1276" w:type="dxa"/>
            <w:noWrap/>
            <w:vAlign w:val="center"/>
          </w:tcPr>
          <w:p w14:paraId="30093BAE" w14:textId="77777777" w:rsidR="00FC22E6" w:rsidRPr="00FD79E6" w:rsidRDefault="00FC22E6" w:rsidP="006C5E0B">
            <w:pPr>
              <w:spacing w:before="10" w:after="10"/>
              <w:jc w:val="center"/>
              <w:rPr>
                <w:rFonts w:cs="Arial"/>
                <w:sz w:val="18"/>
                <w:szCs w:val="22"/>
              </w:rPr>
            </w:pPr>
            <w:r w:rsidRPr="00FD79E6">
              <w:rPr>
                <w:rFonts w:cs="Arial"/>
                <w:sz w:val="18"/>
                <w:szCs w:val="22"/>
              </w:rPr>
              <w:t>22</w:t>
            </w:r>
          </w:p>
        </w:tc>
      </w:tr>
      <w:tr w:rsidR="004A7A0E" w:rsidRPr="00FD79E6" w14:paraId="26DA457E" w14:textId="77777777" w:rsidTr="004A7A0E">
        <w:tc>
          <w:tcPr>
            <w:tcW w:w="2127" w:type="dxa"/>
            <w:noWrap/>
          </w:tcPr>
          <w:p w14:paraId="4C462F5C" w14:textId="77777777" w:rsidR="00FC22E6" w:rsidRPr="00FD79E6" w:rsidRDefault="00FC22E6" w:rsidP="005F77A1">
            <w:pPr>
              <w:spacing w:before="10" w:after="10"/>
              <w:rPr>
                <w:rFonts w:cs="Arial"/>
                <w:sz w:val="18"/>
                <w:szCs w:val="22"/>
              </w:rPr>
            </w:pPr>
            <w:r w:rsidRPr="00FD79E6">
              <w:rPr>
                <w:rFonts w:cs="Arial"/>
                <w:sz w:val="18"/>
                <w:szCs w:val="22"/>
              </w:rPr>
              <w:t>Vanuatu</w:t>
            </w:r>
          </w:p>
        </w:tc>
        <w:tc>
          <w:tcPr>
            <w:tcW w:w="1275" w:type="dxa"/>
            <w:noWrap/>
            <w:vAlign w:val="center"/>
          </w:tcPr>
          <w:p w14:paraId="3B93BB5B" w14:textId="77777777" w:rsidR="00FC22E6" w:rsidRPr="00FD79E6" w:rsidRDefault="00FC22E6" w:rsidP="006C5E0B">
            <w:pPr>
              <w:spacing w:before="10" w:after="10"/>
              <w:jc w:val="center"/>
              <w:rPr>
                <w:rFonts w:cs="Arial"/>
                <w:sz w:val="18"/>
                <w:szCs w:val="22"/>
              </w:rPr>
            </w:pPr>
            <w:r w:rsidRPr="00FD79E6">
              <w:rPr>
                <w:rFonts w:cs="Arial"/>
                <w:sz w:val="18"/>
                <w:szCs w:val="22"/>
              </w:rPr>
              <w:t>1194</w:t>
            </w:r>
          </w:p>
        </w:tc>
        <w:tc>
          <w:tcPr>
            <w:tcW w:w="1134" w:type="dxa"/>
            <w:noWrap/>
            <w:vAlign w:val="center"/>
          </w:tcPr>
          <w:p w14:paraId="2D877138" w14:textId="77777777" w:rsidR="00FC22E6" w:rsidRPr="00FD79E6" w:rsidRDefault="00FC22E6" w:rsidP="006C5E0B">
            <w:pPr>
              <w:spacing w:before="10" w:after="10"/>
              <w:jc w:val="center"/>
              <w:rPr>
                <w:rFonts w:cs="Arial"/>
                <w:sz w:val="18"/>
                <w:szCs w:val="22"/>
              </w:rPr>
            </w:pPr>
            <w:r w:rsidRPr="00FD79E6">
              <w:rPr>
                <w:rFonts w:cs="Arial"/>
                <w:sz w:val="18"/>
                <w:szCs w:val="22"/>
              </w:rPr>
              <w:t>1058</w:t>
            </w:r>
          </w:p>
        </w:tc>
        <w:tc>
          <w:tcPr>
            <w:tcW w:w="1276" w:type="dxa"/>
            <w:noWrap/>
            <w:vAlign w:val="center"/>
          </w:tcPr>
          <w:p w14:paraId="400F3F0B" w14:textId="503DB277" w:rsidR="00FC22E6" w:rsidRPr="00FD79E6" w:rsidRDefault="006C5E0B" w:rsidP="006C5E0B">
            <w:pPr>
              <w:spacing w:before="10" w:after="10"/>
              <w:jc w:val="center"/>
              <w:rPr>
                <w:rFonts w:cs="Arial"/>
                <w:sz w:val="18"/>
                <w:szCs w:val="22"/>
              </w:rPr>
            </w:pPr>
            <w:r>
              <w:rPr>
                <w:rFonts w:cs="Arial"/>
                <w:sz w:val="18"/>
                <w:szCs w:val="22"/>
              </w:rPr>
              <w:t>88</w:t>
            </w:r>
          </w:p>
        </w:tc>
        <w:tc>
          <w:tcPr>
            <w:tcW w:w="1276" w:type="dxa"/>
            <w:noWrap/>
            <w:vAlign w:val="center"/>
          </w:tcPr>
          <w:p w14:paraId="23F270B3" w14:textId="77777777" w:rsidR="00FC22E6" w:rsidRPr="00FD79E6" w:rsidRDefault="00FC22E6" w:rsidP="006C5E0B">
            <w:pPr>
              <w:spacing w:before="10" w:after="10"/>
              <w:jc w:val="center"/>
              <w:rPr>
                <w:rFonts w:cs="Arial"/>
                <w:sz w:val="18"/>
                <w:szCs w:val="22"/>
              </w:rPr>
            </w:pPr>
            <w:r w:rsidRPr="00FD79E6">
              <w:rPr>
                <w:rFonts w:cs="Arial"/>
                <w:sz w:val="18"/>
                <w:szCs w:val="22"/>
              </w:rPr>
              <w:t>136</w:t>
            </w:r>
          </w:p>
        </w:tc>
      </w:tr>
      <w:tr w:rsidR="004A7A0E" w:rsidRPr="00FD79E6" w14:paraId="08A649E3" w14:textId="77777777" w:rsidTr="004A7A0E">
        <w:tc>
          <w:tcPr>
            <w:tcW w:w="2127" w:type="dxa"/>
            <w:noWrap/>
          </w:tcPr>
          <w:p w14:paraId="1EA8AAAC" w14:textId="77777777" w:rsidR="00FC22E6" w:rsidRPr="00FD79E6" w:rsidRDefault="00FC22E6" w:rsidP="005F77A1">
            <w:pPr>
              <w:spacing w:before="10" w:after="10"/>
              <w:rPr>
                <w:rFonts w:cs="Arial"/>
                <w:sz w:val="18"/>
                <w:szCs w:val="22"/>
              </w:rPr>
            </w:pPr>
            <w:r w:rsidRPr="00FD79E6">
              <w:rPr>
                <w:rFonts w:cs="Arial"/>
                <w:sz w:val="18"/>
                <w:szCs w:val="22"/>
              </w:rPr>
              <w:t>Kiribati</w:t>
            </w:r>
          </w:p>
        </w:tc>
        <w:tc>
          <w:tcPr>
            <w:tcW w:w="1275" w:type="dxa"/>
            <w:noWrap/>
            <w:vAlign w:val="center"/>
          </w:tcPr>
          <w:p w14:paraId="47A84F4B" w14:textId="77777777" w:rsidR="00FC22E6" w:rsidRPr="00FD79E6" w:rsidRDefault="00FC22E6" w:rsidP="006C5E0B">
            <w:pPr>
              <w:spacing w:before="10" w:after="10"/>
              <w:jc w:val="center"/>
              <w:rPr>
                <w:rFonts w:cs="Arial"/>
                <w:sz w:val="18"/>
                <w:szCs w:val="22"/>
              </w:rPr>
            </w:pPr>
            <w:r w:rsidRPr="00FD79E6">
              <w:rPr>
                <w:rFonts w:cs="Arial"/>
                <w:sz w:val="18"/>
                <w:szCs w:val="22"/>
              </w:rPr>
              <w:t>209</w:t>
            </w:r>
          </w:p>
        </w:tc>
        <w:tc>
          <w:tcPr>
            <w:tcW w:w="1134" w:type="dxa"/>
            <w:noWrap/>
            <w:vAlign w:val="center"/>
          </w:tcPr>
          <w:p w14:paraId="1EF6BCAD" w14:textId="77777777" w:rsidR="00FC22E6" w:rsidRPr="00FD79E6" w:rsidRDefault="00FC22E6" w:rsidP="006C5E0B">
            <w:pPr>
              <w:spacing w:before="10" w:after="10"/>
              <w:jc w:val="center"/>
              <w:rPr>
                <w:rFonts w:cs="Arial"/>
                <w:sz w:val="18"/>
                <w:szCs w:val="22"/>
              </w:rPr>
            </w:pPr>
            <w:r w:rsidRPr="00FD79E6">
              <w:rPr>
                <w:rFonts w:cs="Arial"/>
                <w:sz w:val="18"/>
                <w:szCs w:val="22"/>
              </w:rPr>
              <w:t>193</w:t>
            </w:r>
          </w:p>
        </w:tc>
        <w:tc>
          <w:tcPr>
            <w:tcW w:w="1276" w:type="dxa"/>
            <w:noWrap/>
            <w:vAlign w:val="center"/>
          </w:tcPr>
          <w:p w14:paraId="7AB0F6CF" w14:textId="5D9C9E20" w:rsidR="00FC22E6" w:rsidRPr="00FD79E6" w:rsidRDefault="006C5E0B" w:rsidP="006C5E0B">
            <w:pPr>
              <w:spacing w:before="10" w:after="10"/>
              <w:jc w:val="center"/>
              <w:rPr>
                <w:rFonts w:cs="Arial"/>
                <w:sz w:val="18"/>
                <w:szCs w:val="22"/>
              </w:rPr>
            </w:pPr>
            <w:r>
              <w:rPr>
                <w:rFonts w:cs="Arial"/>
                <w:sz w:val="18"/>
                <w:szCs w:val="22"/>
              </w:rPr>
              <w:t>92</w:t>
            </w:r>
          </w:p>
        </w:tc>
        <w:tc>
          <w:tcPr>
            <w:tcW w:w="1276" w:type="dxa"/>
            <w:noWrap/>
            <w:vAlign w:val="center"/>
          </w:tcPr>
          <w:p w14:paraId="71F96BB7" w14:textId="77777777" w:rsidR="00FC22E6" w:rsidRPr="00FD79E6" w:rsidRDefault="00FC22E6" w:rsidP="006C5E0B">
            <w:pPr>
              <w:spacing w:before="10" w:after="10"/>
              <w:jc w:val="center"/>
              <w:rPr>
                <w:rFonts w:cs="Arial"/>
                <w:sz w:val="18"/>
                <w:szCs w:val="22"/>
              </w:rPr>
            </w:pPr>
            <w:r w:rsidRPr="00FD79E6">
              <w:rPr>
                <w:rFonts w:cs="Arial"/>
                <w:sz w:val="18"/>
                <w:szCs w:val="22"/>
              </w:rPr>
              <w:t>16</w:t>
            </w:r>
          </w:p>
        </w:tc>
      </w:tr>
      <w:tr w:rsidR="004A7A0E" w:rsidRPr="00FD79E6" w14:paraId="1ACCE5D5" w14:textId="77777777" w:rsidTr="004A7A0E">
        <w:tc>
          <w:tcPr>
            <w:tcW w:w="2127" w:type="dxa"/>
            <w:noWrap/>
          </w:tcPr>
          <w:p w14:paraId="6E6D4D6C" w14:textId="77777777" w:rsidR="00FC22E6" w:rsidRPr="00FD79E6" w:rsidRDefault="00FC22E6" w:rsidP="005F77A1">
            <w:pPr>
              <w:spacing w:before="10" w:after="10"/>
              <w:rPr>
                <w:rFonts w:cs="Arial"/>
                <w:sz w:val="18"/>
                <w:szCs w:val="22"/>
              </w:rPr>
            </w:pPr>
            <w:r w:rsidRPr="00FD79E6">
              <w:rPr>
                <w:rFonts w:cs="Arial"/>
                <w:sz w:val="18"/>
                <w:szCs w:val="22"/>
              </w:rPr>
              <w:t>Marshall Islands</w:t>
            </w:r>
          </w:p>
        </w:tc>
        <w:tc>
          <w:tcPr>
            <w:tcW w:w="1275" w:type="dxa"/>
            <w:noWrap/>
            <w:vAlign w:val="center"/>
          </w:tcPr>
          <w:p w14:paraId="72401EC5" w14:textId="77777777" w:rsidR="00FC22E6" w:rsidRPr="00FD79E6" w:rsidRDefault="00FC22E6" w:rsidP="006C5E0B">
            <w:pPr>
              <w:spacing w:before="10" w:after="10"/>
              <w:jc w:val="center"/>
              <w:rPr>
                <w:rFonts w:cs="Arial"/>
                <w:sz w:val="18"/>
                <w:szCs w:val="22"/>
              </w:rPr>
            </w:pPr>
            <w:r w:rsidRPr="00FD79E6">
              <w:rPr>
                <w:rFonts w:cs="Arial"/>
                <w:sz w:val="18"/>
                <w:szCs w:val="22"/>
              </w:rPr>
              <w:t>31</w:t>
            </w:r>
          </w:p>
        </w:tc>
        <w:tc>
          <w:tcPr>
            <w:tcW w:w="1134" w:type="dxa"/>
            <w:noWrap/>
            <w:vAlign w:val="center"/>
          </w:tcPr>
          <w:p w14:paraId="20E95332" w14:textId="77777777" w:rsidR="00FC22E6" w:rsidRPr="00FD79E6" w:rsidRDefault="00FC22E6" w:rsidP="006C5E0B">
            <w:pPr>
              <w:spacing w:before="10" w:after="10"/>
              <w:jc w:val="center"/>
              <w:rPr>
                <w:rFonts w:cs="Arial"/>
                <w:sz w:val="18"/>
                <w:szCs w:val="22"/>
              </w:rPr>
            </w:pPr>
            <w:r w:rsidRPr="00FD79E6">
              <w:rPr>
                <w:rFonts w:cs="Arial"/>
                <w:sz w:val="18"/>
                <w:szCs w:val="22"/>
              </w:rPr>
              <w:t>30</w:t>
            </w:r>
          </w:p>
        </w:tc>
        <w:tc>
          <w:tcPr>
            <w:tcW w:w="1276" w:type="dxa"/>
            <w:noWrap/>
            <w:vAlign w:val="center"/>
          </w:tcPr>
          <w:p w14:paraId="322960BC" w14:textId="120B2140" w:rsidR="00FC22E6" w:rsidRPr="00FD79E6" w:rsidRDefault="006C5E0B" w:rsidP="006C5E0B">
            <w:pPr>
              <w:spacing w:before="10" w:after="10"/>
              <w:jc w:val="center"/>
              <w:rPr>
                <w:rFonts w:cs="Arial"/>
                <w:sz w:val="18"/>
                <w:szCs w:val="22"/>
              </w:rPr>
            </w:pPr>
            <w:r>
              <w:rPr>
                <w:rFonts w:cs="Arial"/>
                <w:sz w:val="18"/>
                <w:szCs w:val="22"/>
              </w:rPr>
              <w:t>100</w:t>
            </w:r>
          </w:p>
        </w:tc>
        <w:tc>
          <w:tcPr>
            <w:tcW w:w="1276" w:type="dxa"/>
            <w:noWrap/>
            <w:vAlign w:val="center"/>
          </w:tcPr>
          <w:p w14:paraId="7870CF48" w14:textId="77777777" w:rsidR="00FC22E6" w:rsidRPr="00FD79E6" w:rsidRDefault="00FC22E6" w:rsidP="006C5E0B">
            <w:pPr>
              <w:spacing w:before="10" w:after="10"/>
              <w:jc w:val="center"/>
              <w:rPr>
                <w:rFonts w:cs="Arial"/>
                <w:sz w:val="18"/>
                <w:szCs w:val="22"/>
              </w:rPr>
            </w:pPr>
            <w:r w:rsidRPr="00FD79E6">
              <w:rPr>
                <w:rFonts w:cs="Arial"/>
                <w:sz w:val="18"/>
                <w:szCs w:val="22"/>
              </w:rPr>
              <w:t>1</w:t>
            </w:r>
          </w:p>
        </w:tc>
      </w:tr>
      <w:tr w:rsidR="004A7A0E" w:rsidRPr="00FD79E6" w14:paraId="197118A4" w14:textId="77777777" w:rsidTr="004A7A0E">
        <w:tc>
          <w:tcPr>
            <w:tcW w:w="2127" w:type="dxa"/>
            <w:noWrap/>
          </w:tcPr>
          <w:p w14:paraId="4199ECC7" w14:textId="77777777" w:rsidR="00FC22E6" w:rsidRPr="00FD79E6" w:rsidRDefault="00FC22E6" w:rsidP="005F77A1">
            <w:pPr>
              <w:spacing w:before="10" w:after="10"/>
              <w:rPr>
                <w:rFonts w:cs="Arial"/>
                <w:sz w:val="18"/>
                <w:szCs w:val="22"/>
              </w:rPr>
            </w:pPr>
            <w:r w:rsidRPr="00FD79E6">
              <w:rPr>
                <w:rFonts w:cs="Arial"/>
                <w:sz w:val="18"/>
                <w:szCs w:val="22"/>
              </w:rPr>
              <w:t>Nauru</w:t>
            </w:r>
          </w:p>
        </w:tc>
        <w:tc>
          <w:tcPr>
            <w:tcW w:w="1275" w:type="dxa"/>
            <w:noWrap/>
            <w:vAlign w:val="center"/>
          </w:tcPr>
          <w:p w14:paraId="491D644F" w14:textId="77777777" w:rsidR="00FC22E6" w:rsidRPr="00FD79E6" w:rsidRDefault="00FC22E6" w:rsidP="006C5E0B">
            <w:pPr>
              <w:spacing w:before="10" w:after="10"/>
              <w:jc w:val="center"/>
              <w:rPr>
                <w:rFonts w:cs="Arial"/>
                <w:sz w:val="18"/>
                <w:szCs w:val="22"/>
              </w:rPr>
            </w:pPr>
            <w:r w:rsidRPr="00FD79E6">
              <w:rPr>
                <w:rFonts w:cs="Arial"/>
                <w:sz w:val="18"/>
                <w:szCs w:val="22"/>
              </w:rPr>
              <w:t>63</w:t>
            </w:r>
          </w:p>
        </w:tc>
        <w:tc>
          <w:tcPr>
            <w:tcW w:w="1134" w:type="dxa"/>
            <w:noWrap/>
            <w:vAlign w:val="center"/>
          </w:tcPr>
          <w:p w14:paraId="079E189F" w14:textId="77777777" w:rsidR="00FC22E6" w:rsidRPr="00FD79E6" w:rsidRDefault="00FC22E6" w:rsidP="006C5E0B">
            <w:pPr>
              <w:spacing w:before="10" w:after="10"/>
              <w:jc w:val="center"/>
              <w:rPr>
                <w:rFonts w:cs="Arial"/>
                <w:sz w:val="18"/>
                <w:szCs w:val="22"/>
              </w:rPr>
            </w:pPr>
            <w:r w:rsidRPr="00FD79E6">
              <w:rPr>
                <w:rFonts w:cs="Arial"/>
                <w:sz w:val="18"/>
                <w:szCs w:val="22"/>
              </w:rPr>
              <w:t>63</w:t>
            </w:r>
          </w:p>
        </w:tc>
        <w:tc>
          <w:tcPr>
            <w:tcW w:w="1276" w:type="dxa"/>
            <w:noWrap/>
            <w:vAlign w:val="center"/>
          </w:tcPr>
          <w:p w14:paraId="57235125" w14:textId="4309B439" w:rsidR="00FC22E6" w:rsidRPr="00FD79E6" w:rsidRDefault="006C5E0B" w:rsidP="006C5E0B">
            <w:pPr>
              <w:spacing w:before="10" w:after="10"/>
              <w:jc w:val="center"/>
              <w:rPr>
                <w:rFonts w:cs="Arial"/>
                <w:sz w:val="18"/>
                <w:szCs w:val="22"/>
              </w:rPr>
            </w:pPr>
            <w:r>
              <w:rPr>
                <w:rFonts w:cs="Arial"/>
                <w:sz w:val="18"/>
                <w:szCs w:val="22"/>
              </w:rPr>
              <w:t>100</w:t>
            </w:r>
          </w:p>
        </w:tc>
        <w:tc>
          <w:tcPr>
            <w:tcW w:w="1276" w:type="dxa"/>
            <w:noWrap/>
            <w:vAlign w:val="center"/>
          </w:tcPr>
          <w:p w14:paraId="00ECD9ED" w14:textId="77777777" w:rsidR="00FC22E6" w:rsidRPr="00FD79E6" w:rsidRDefault="00FC22E6" w:rsidP="006C5E0B">
            <w:pPr>
              <w:spacing w:before="10" w:after="10"/>
              <w:jc w:val="center"/>
              <w:rPr>
                <w:rFonts w:cs="Arial"/>
                <w:sz w:val="18"/>
                <w:szCs w:val="22"/>
              </w:rPr>
            </w:pPr>
            <w:r w:rsidRPr="00FD79E6">
              <w:rPr>
                <w:rFonts w:cs="Arial"/>
                <w:sz w:val="18"/>
                <w:szCs w:val="22"/>
              </w:rPr>
              <w:t>0</w:t>
            </w:r>
          </w:p>
        </w:tc>
      </w:tr>
      <w:tr w:rsidR="004A7A0E" w:rsidRPr="00FD79E6" w14:paraId="471AA34C" w14:textId="77777777" w:rsidTr="004A7A0E">
        <w:tc>
          <w:tcPr>
            <w:tcW w:w="2127" w:type="dxa"/>
            <w:noWrap/>
          </w:tcPr>
          <w:p w14:paraId="22CB0042" w14:textId="77777777" w:rsidR="00FC22E6" w:rsidRPr="00FD79E6" w:rsidRDefault="00FC22E6" w:rsidP="005F77A1">
            <w:pPr>
              <w:spacing w:before="10" w:after="10"/>
              <w:rPr>
                <w:rFonts w:cs="Arial"/>
                <w:sz w:val="18"/>
                <w:szCs w:val="22"/>
              </w:rPr>
            </w:pPr>
            <w:r w:rsidRPr="00FD79E6">
              <w:rPr>
                <w:rFonts w:cs="Arial"/>
                <w:sz w:val="18"/>
                <w:szCs w:val="22"/>
              </w:rPr>
              <w:t>Tonga</w:t>
            </w:r>
          </w:p>
        </w:tc>
        <w:tc>
          <w:tcPr>
            <w:tcW w:w="1275" w:type="dxa"/>
            <w:noWrap/>
            <w:vAlign w:val="center"/>
          </w:tcPr>
          <w:p w14:paraId="60D59730" w14:textId="77777777" w:rsidR="00FC22E6" w:rsidRPr="00FD79E6" w:rsidRDefault="00FC22E6" w:rsidP="006C5E0B">
            <w:pPr>
              <w:spacing w:before="10" w:after="10"/>
              <w:jc w:val="center"/>
              <w:rPr>
                <w:rFonts w:cs="Arial"/>
                <w:sz w:val="18"/>
                <w:szCs w:val="22"/>
              </w:rPr>
            </w:pPr>
            <w:r w:rsidRPr="00FD79E6">
              <w:rPr>
                <w:rFonts w:cs="Arial"/>
                <w:sz w:val="18"/>
                <w:szCs w:val="22"/>
              </w:rPr>
              <w:t>292</w:t>
            </w:r>
          </w:p>
        </w:tc>
        <w:tc>
          <w:tcPr>
            <w:tcW w:w="1134" w:type="dxa"/>
            <w:noWrap/>
            <w:vAlign w:val="center"/>
          </w:tcPr>
          <w:p w14:paraId="7D15FF43" w14:textId="77777777" w:rsidR="00FC22E6" w:rsidRPr="00FD79E6" w:rsidRDefault="00FC22E6" w:rsidP="006C5E0B">
            <w:pPr>
              <w:spacing w:before="10" w:after="10"/>
              <w:jc w:val="center"/>
              <w:rPr>
                <w:rFonts w:cs="Arial"/>
                <w:sz w:val="18"/>
                <w:szCs w:val="22"/>
              </w:rPr>
            </w:pPr>
            <w:r w:rsidRPr="00FD79E6">
              <w:rPr>
                <w:rFonts w:cs="Arial"/>
                <w:sz w:val="18"/>
                <w:szCs w:val="22"/>
              </w:rPr>
              <w:t>280</w:t>
            </w:r>
          </w:p>
        </w:tc>
        <w:tc>
          <w:tcPr>
            <w:tcW w:w="1276" w:type="dxa"/>
            <w:noWrap/>
            <w:vAlign w:val="center"/>
          </w:tcPr>
          <w:p w14:paraId="4FEEA85F" w14:textId="39245ECE" w:rsidR="00FC22E6" w:rsidRPr="00FD79E6" w:rsidRDefault="006C5E0B" w:rsidP="006C5E0B">
            <w:pPr>
              <w:spacing w:before="10" w:after="10"/>
              <w:jc w:val="center"/>
              <w:rPr>
                <w:rFonts w:cs="Arial"/>
                <w:sz w:val="18"/>
                <w:szCs w:val="22"/>
              </w:rPr>
            </w:pPr>
            <w:r>
              <w:rPr>
                <w:rFonts w:cs="Arial"/>
                <w:sz w:val="18"/>
                <w:szCs w:val="22"/>
              </w:rPr>
              <w:t>96</w:t>
            </w:r>
          </w:p>
        </w:tc>
        <w:tc>
          <w:tcPr>
            <w:tcW w:w="1276" w:type="dxa"/>
            <w:noWrap/>
            <w:vAlign w:val="center"/>
          </w:tcPr>
          <w:p w14:paraId="11BE283F" w14:textId="77777777" w:rsidR="00FC22E6" w:rsidRPr="00FD79E6" w:rsidRDefault="00FC22E6" w:rsidP="006C5E0B">
            <w:pPr>
              <w:spacing w:before="10" w:after="10"/>
              <w:jc w:val="center"/>
              <w:rPr>
                <w:rFonts w:cs="Arial"/>
                <w:sz w:val="18"/>
                <w:szCs w:val="22"/>
              </w:rPr>
            </w:pPr>
            <w:r w:rsidRPr="00FD79E6">
              <w:rPr>
                <w:rFonts w:cs="Arial"/>
                <w:sz w:val="18"/>
                <w:szCs w:val="22"/>
              </w:rPr>
              <w:t>12</w:t>
            </w:r>
          </w:p>
        </w:tc>
      </w:tr>
      <w:tr w:rsidR="004A7A0E" w:rsidRPr="00FD79E6" w14:paraId="45015A61" w14:textId="77777777" w:rsidTr="004A7A0E">
        <w:tc>
          <w:tcPr>
            <w:tcW w:w="2127" w:type="dxa"/>
            <w:tcBorders>
              <w:bottom w:val="single" w:sz="4" w:space="0" w:color="A8D08D" w:themeColor="accent6" w:themeTint="99"/>
            </w:tcBorders>
            <w:noWrap/>
          </w:tcPr>
          <w:p w14:paraId="63F76D1B" w14:textId="77777777" w:rsidR="00FC22E6" w:rsidRPr="00FD79E6" w:rsidRDefault="00FC22E6" w:rsidP="005F77A1">
            <w:pPr>
              <w:spacing w:before="10" w:after="10"/>
              <w:rPr>
                <w:rFonts w:cs="Arial"/>
                <w:sz w:val="18"/>
                <w:szCs w:val="22"/>
              </w:rPr>
            </w:pPr>
            <w:r w:rsidRPr="00FD79E6">
              <w:rPr>
                <w:rFonts w:cs="Arial"/>
                <w:sz w:val="18"/>
                <w:szCs w:val="22"/>
              </w:rPr>
              <w:t>Tuvalu</w:t>
            </w:r>
          </w:p>
        </w:tc>
        <w:tc>
          <w:tcPr>
            <w:tcW w:w="1275" w:type="dxa"/>
            <w:tcBorders>
              <w:bottom w:val="single" w:sz="4" w:space="0" w:color="A8D08D" w:themeColor="accent6" w:themeTint="99"/>
            </w:tcBorders>
            <w:noWrap/>
            <w:vAlign w:val="center"/>
          </w:tcPr>
          <w:p w14:paraId="26217E20" w14:textId="77777777" w:rsidR="00FC22E6" w:rsidRPr="00FD79E6" w:rsidRDefault="00FC22E6" w:rsidP="006C5E0B">
            <w:pPr>
              <w:spacing w:before="10" w:after="10"/>
              <w:jc w:val="center"/>
              <w:rPr>
                <w:rFonts w:cs="Arial"/>
                <w:sz w:val="18"/>
                <w:szCs w:val="22"/>
              </w:rPr>
            </w:pPr>
            <w:r w:rsidRPr="00FD79E6">
              <w:rPr>
                <w:rFonts w:cs="Arial"/>
                <w:sz w:val="18"/>
                <w:szCs w:val="22"/>
              </w:rPr>
              <w:t>72</w:t>
            </w:r>
          </w:p>
        </w:tc>
        <w:tc>
          <w:tcPr>
            <w:tcW w:w="1134" w:type="dxa"/>
            <w:tcBorders>
              <w:bottom w:val="single" w:sz="4" w:space="0" w:color="A8D08D" w:themeColor="accent6" w:themeTint="99"/>
            </w:tcBorders>
            <w:noWrap/>
            <w:vAlign w:val="center"/>
          </w:tcPr>
          <w:p w14:paraId="6DF058E1" w14:textId="77777777" w:rsidR="00FC22E6" w:rsidRPr="00FD79E6" w:rsidRDefault="00FC22E6" w:rsidP="006C5E0B">
            <w:pPr>
              <w:spacing w:before="10" w:after="10"/>
              <w:jc w:val="center"/>
              <w:rPr>
                <w:rFonts w:cs="Arial"/>
                <w:sz w:val="18"/>
                <w:szCs w:val="22"/>
              </w:rPr>
            </w:pPr>
            <w:r w:rsidRPr="00FD79E6">
              <w:rPr>
                <w:rFonts w:cs="Arial"/>
                <w:sz w:val="18"/>
                <w:szCs w:val="22"/>
              </w:rPr>
              <w:t>70</w:t>
            </w:r>
          </w:p>
        </w:tc>
        <w:tc>
          <w:tcPr>
            <w:tcW w:w="1276" w:type="dxa"/>
            <w:tcBorders>
              <w:bottom w:val="single" w:sz="4" w:space="0" w:color="A8D08D" w:themeColor="accent6" w:themeTint="99"/>
            </w:tcBorders>
            <w:noWrap/>
            <w:vAlign w:val="center"/>
          </w:tcPr>
          <w:p w14:paraId="388EA5FA" w14:textId="4FF62866" w:rsidR="00FC22E6" w:rsidRPr="00FD79E6" w:rsidRDefault="006C5E0B" w:rsidP="006C5E0B">
            <w:pPr>
              <w:spacing w:before="10" w:after="10"/>
              <w:jc w:val="center"/>
              <w:rPr>
                <w:rFonts w:cs="Arial"/>
                <w:sz w:val="18"/>
                <w:szCs w:val="22"/>
              </w:rPr>
            </w:pPr>
            <w:r>
              <w:rPr>
                <w:rFonts w:cs="Arial"/>
                <w:sz w:val="18"/>
                <w:szCs w:val="22"/>
              </w:rPr>
              <w:t>97</w:t>
            </w:r>
          </w:p>
        </w:tc>
        <w:tc>
          <w:tcPr>
            <w:tcW w:w="1276" w:type="dxa"/>
            <w:tcBorders>
              <w:bottom w:val="single" w:sz="4" w:space="0" w:color="A8D08D" w:themeColor="accent6" w:themeTint="99"/>
            </w:tcBorders>
            <w:noWrap/>
            <w:vAlign w:val="center"/>
          </w:tcPr>
          <w:p w14:paraId="53823392" w14:textId="77777777" w:rsidR="00FC22E6" w:rsidRPr="00FD79E6" w:rsidRDefault="00FC22E6" w:rsidP="006C5E0B">
            <w:pPr>
              <w:spacing w:before="10" w:after="10"/>
              <w:jc w:val="center"/>
              <w:rPr>
                <w:rFonts w:cs="Arial"/>
                <w:sz w:val="18"/>
                <w:szCs w:val="22"/>
              </w:rPr>
            </w:pPr>
            <w:r w:rsidRPr="00FD79E6">
              <w:rPr>
                <w:rFonts w:cs="Arial"/>
                <w:sz w:val="18"/>
                <w:szCs w:val="22"/>
              </w:rPr>
              <w:t>2</w:t>
            </w:r>
          </w:p>
        </w:tc>
      </w:tr>
    </w:tbl>
    <w:p w14:paraId="5FF51C1E" w14:textId="77777777" w:rsidR="00FC22E6" w:rsidRPr="00FD79E6" w:rsidRDefault="00FC22E6" w:rsidP="00FC22E6">
      <w:pPr>
        <w:rPr>
          <w:rFonts w:cs="Arial"/>
          <w:sz w:val="16"/>
          <w:szCs w:val="18"/>
        </w:rPr>
      </w:pPr>
      <w:r>
        <w:rPr>
          <w:rFonts w:cs="Arial"/>
          <w:sz w:val="16"/>
          <w:szCs w:val="18"/>
        </w:rPr>
        <w:br/>
        <w:t xml:space="preserve">Source: </w:t>
      </w:r>
      <w:r w:rsidRPr="00FD79E6">
        <w:rPr>
          <w:rFonts w:cs="Arial"/>
          <w:sz w:val="16"/>
          <w:szCs w:val="18"/>
        </w:rPr>
        <w:t>APTC Tables E. 5-6, updated 28 August 2014</w:t>
      </w:r>
    </w:p>
    <w:p w14:paraId="5944A5C8" w14:textId="215E9680" w:rsidR="00FC22E6" w:rsidRPr="00D17CCB" w:rsidRDefault="00FC22E6" w:rsidP="00FC22E6">
      <w:pPr>
        <w:rPr>
          <w:rFonts w:cs="Arial"/>
        </w:rPr>
      </w:pPr>
      <w:r w:rsidRPr="00D17CCB">
        <w:rPr>
          <w:rFonts w:cs="Arial"/>
        </w:rPr>
        <w:t>The following graph shows completion rates by training package.</w:t>
      </w:r>
      <w:r>
        <w:rPr>
          <w:rFonts w:cs="Arial"/>
        </w:rPr>
        <w:t xml:space="preserve"> Excluding business and hairdressing that had relatively few students, the highest completion rate was for community services at 96 per cent, and the lowest for STT courses (86–91 per cent). </w:t>
      </w:r>
    </w:p>
    <w:p w14:paraId="3998BF4D" w14:textId="77777777" w:rsidR="00FC22E6" w:rsidRPr="00D17CCB" w:rsidRDefault="00FC22E6" w:rsidP="00FC22E6">
      <w:pPr>
        <w:pStyle w:val="Tableheading"/>
      </w:pPr>
      <w:bookmarkStart w:id="338" w:name="_Toc274059246"/>
      <w:bookmarkStart w:id="339" w:name="_Toc274146454"/>
      <w:bookmarkStart w:id="340" w:name="_Toc274915913"/>
      <w:bookmarkStart w:id="341" w:name="_Toc278446893"/>
      <w:r>
        <w:t xml:space="preserve">Figure 5.2.1: </w:t>
      </w:r>
      <w:r w:rsidRPr="003D6BE3">
        <w:rPr>
          <w:bCs/>
        </w:rPr>
        <w:t>Completion rates by training packages, 2007 to 30 June 2014</w:t>
      </w:r>
      <w:bookmarkEnd w:id="338"/>
      <w:bookmarkEnd w:id="339"/>
      <w:bookmarkEnd w:id="340"/>
      <w:bookmarkEnd w:id="341"/>
      <w:r w:rsidRPr="003D6BE3">
        <w:rPr>
          <w:bCs/>
        </w:rPr>
        <w:t xml:space="preserve"> </w:t>
      </w:r>
    </w:p>
    <w:p w14:paraId="33EFB80D" w14:textId="77777777" w:rsidR="00FC22E6" w:rsidRPr="00D17CCB" w:rsidRDefault="00FC22E6" w:rsidP="00FC22E6">
      <w:pPr>
        <w:rPr>
          <w:rFonts w:cs="Arial"/>
        </w:rPr>
      </w:pPr>
      <w:r>
        <w:rPr>
          <w:noProof/>
          <w:lang w:eastAsia="en-AU"/>
        </w:rPr>
        <w:drawing>
          <wp:inline distT="0" distB="0" distL="0" distR="0" wp14:anchorId="1BB90160" wp14:editId="3776248B">
            <wp:extent cx="4847802" cy="2514177"/>
            <wp:effectExtent l="0" t="0" r="29210" b="2603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E74A4B7" w14:textId="77777777" w:rsidR="00FC22E6" w:rsidRDefault="00FC22E6" w:rsidP="00FC22E6">
      <w:pPr>
        <w:rPr>
          <w:rFonts w:cs="Arial"/>
          <w:sz w:val="16"/>
          <w:szCs w:val="18"/>
        </w:rPr>
      </w:pPr>
      <w:r>
        <w:rPr>
          <w:rFonts w:cs="Arial"/>
          <w:sz w:val="16"/>
          <w:szCs w:val="18"/>
        </w:rPr>
        <w:t xml:space="preserve">Source: </w:t>
      </w:r>
      <w:r w:rsidRPr="003D6BE3">
        <w:rPr>
          <w:rFonts w:cs="Arial"/>
          <w:sz w:val="16"/>
          <w:szCs w:val="18"/>
        </w:rPr>
        <w:t>APTC Table E. 2, updated 28 August 2014</w:t>
      </w:r>
    </w:p>
    <w:p w14:paraId="5492AFCB" w14:textId="77777777" w:rsidR="000E0B61" w:rsidRPr="000E0B61" w:rsidRDefault="000E0B61" w:rsidP="00FC22E6">
      <w:pPr>
        <w:rPr>
          <w:rFonts w:cs="Arial"/>
          <w:sz w:val="2"/>
          <w:szCs w:val="18"/>
        </w:rPr>
      </w:pPr>
    </w:p>
    <w:p w14:paraId="2BDFB9BA" w14:textId="737E7214" w:rsidR="00FC22E6" w:rsidRPr="00D17CCB" w:rsidRDefault="000E0B61" w:rsidP="002028A6">
      <w:pPr>
        <w:pStyle w:val="Heading1"/>
      </w:pPr>
      <w:bookmarkStart w:id="342" w:name="_Toc274059135"/>
      <w:bookmarkStart w:id="343" w:name="_Toc278447856"/>
      <w:bookmarkStart w:id="344" w:name="_Toc278453329"/>
      <w:r>
        <w:t>6</w:t>
      </w:r>
      <w:r>
        <w:tab/>
      </w:r>
      <w:r w:rsidR="00FC22E6" w:rsidRPr="00D17CCB">
        <w:t>Staffing</w:t>
      </w:r>
      <w:bookmarkEnd w:id="342"/>
      <w:bookmarkEnd w:id="343"/>
      <w:bookmarkEnd w:id="344"/>
    </w:p>
    <w:p w14:paraId="40E4E5B8" w14:textId="77777777" w:rsidR="00FC22E6" w:rsidRPr="005A25F3" w:rsidRDefault="00AE4AFC" w:rsidP="002028A6">
      <w:pPr>
        <w:pStyle w:val="Heading2"/>
      </w:pPr>
      <w:bookmarkStart w:id="345" w:name="_Toc274059136"/>
      <w:bookmarkStart w:id="346" w:name="_Toc274145078"/>
      <w:bookmarkStart w:id="347" w:name="_Toc274900462"/>
      <w:bookmarkStart w:id="348" w:name="_Toc278447857"/>
      <w:bookmarkStart w:id="349" w:name="_Toc278453330"/>
      <w:r>
        <w:t>6.1</w:t>
      </w:r>
      <w:r>
        <w:tab/>
      </w:r>
      <w:r w:rsidR="00FC22E6" w:rsidRPr="005A25F3">
        <w:t>Trainers and tutors</w:t>
      </w:r>
      <w:bookmarkEnd w:id="345"/>
      <w:bookmarkEnd w:id="346"/>
      <w:bookmarkEnd w:id="347"/>
      <w:bookmarkEnd w:id="348"/>
      <w:bookmarkEnd w:id="349"/>
    </w:p>
    <w:p w14:paraId="284D92D2" w14:textId="77777777" w:rsidR="00FC22E6" w:rsidRDefault="00FC22E6" w:rsidP="00FC22E6">
      <w:pPr>
        <w:rPr>
          <w:rFonts w:cs="Arial"/>
        </w:rPr>
      </w:pPr>
      <w:r>
        <w:rPr>
          <w:rFonts w:cs="Arial"/>
        </w:rPr>
        <w:t xml:space="preserve">Initially, students were taught only by expatriate trainers. Local tutors began to be hired in 2009. The recruitment of tutors accelerated in Stage II, as shown below. </w:t>
      </w:r>
    </w:p>
    <w:p w14:paraId="43064700" w14:textId="77777777" w:rsidR="00FC22E6" w:rsidRPr="00D17CCB" w:rsidRDefault="00FC22E6" w:rsidP="00FC22E6">
      <w:pPr>
        <w:pStyle w:val="Tableheading"/>
      </w:pPr>
      <w:bookmarkStart w:id="350" w:name="_Toc274059247"/>
      <w:bookmarkStart w:id="351" w:name="_Toc274146455"/>
      <w:bookmarkStart w:id="352" w:name="_Toc274915914"/>
      <w:bookmarkStart w:id="353" w:name="_Toc278446894"/>
      <w:r>
        <w:t xml:space="preserve">Figure 6.1.1: </w:t>
      </w:r>
      <w:r w:rsidRPr="00586007">
        <w:rPr>
          <w:bCs/>
        </w:rPr>
        <w:t>Number of trainers and tutors, 2007 to end 2014</w:t>
      </w:r>
      <w:bookmarkEnd w:id="350"/>
      <w:bookmarkEnd w:id="351"/>
      <w:bookmarkEnd w:id="352"/>
      <w:bookmarkEnd w:id="353"/>
      <w:r w:rsidRPr="00586007">
        <w:rPr>
          <w:bCs/>
        </w:rPr>
        <w:t xml:space="preserve"> </w:t>
      </w:r>
    </w:p>
    <w:p w14:paraId="62DE9421" w14:textId="77777777" w:rsidR="00FC22E6" w:rsidRPr="00D17CCB" w:rsidRDefault="00FC22E6" w:rsidP="00FC22E6">
      <w:pPr>
        <w:rPr>
          <w:rFonts w:cs="Arial"/>
        </w:rPr>
      </w:pPr>
      <w:r w:rsidRPr="00D17CCB">
        <w:rPr>
          <w:rFonts w:cs="Arial"/>
          <w:noProof/>
          <w:lang w:eastAsia="en-AU"/>
        </w:rPr>
        <w:drawing>
          <wp:inline distT="0" distB="0" distL="0" distR="0" wp14:anchorId="163EE6D0" wp14:editId="078F2ADB">
            <wp:extent cx="4847802" cy="2569633"/>
            <wp:effectExtent l="0" t="0" r="29210" b="2159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FE59A9F" w14:textId="77777777" w:rsidR="00FC22E6" w:rsidRPr="00586007" w:rsidRDefault="00FC22E6" w:rsidP="00FC22E6">
      <w:pPr>
        <w:rPr>
          <w:rFonts w:cs="Arial"/>
          <w:sz w:val="16"/>
          <w:szCs w:val="18"/>
        </w:rPr>
      </w:pPr>
      <w:r>
        <w:rPr>
          <w:rFonts w:cs="Arial"/>
          <w:sz w:val="16"/>
          <w:szCs w:val="18"/>
        </w:rPr>
        <w:t>Source: APTC Table F.1a and 1b</w:t>
      </w:r>
    </w:p>
    <w:p w14:paraId="76697710" w14:textId="77941B8F" w:rsidR="00FC22E6" w:rsidRPr="00D17CCB" w:rsidRDefault="00FC22E6" w:rsidP="00FC22E6">
      <w:pPr>
        <w:rPr>
          <w:rFonts w:cs="Arial"/>
        </w:rPr>
      </w:pPr>
      <w:r>
        <w:rPr>
          <w:rFonts w:cs="Arial"/>
        </w:rPr>
        <w:t>Accelerated recruitment of tutors changed the ratio of trainers to tutors substantially. In</w:t>
      </w:r>
      <w:r w:rsidR="008B0EF4">
        <w:rPr>
          <w:rFonts w:cs="Arial"/>
        </w:rPr>
        <w:t> </w:t>
      </w:r>
      <w:r>
        <w:rPr>
          <w:rFonts w:cs="Arial"/>
        </w:rPr>
        <w:t xml:space="preserve">2009 there were 18 trainers </w:t>
      </w:r>
      <w:r w:rsidR="004941D6">
        <w:rPr>
          <w:rFonts w:cs="Arial"/>
        </w:rPr>
        <w:t xml:space="preserve">to every one </w:t>
      </w:r>
      <w:r>
        <w:rPr>
          <w:rFonts w:cs="Arial"/>
        </w:rPr>
        <w:t xml:space="preserve">tutor. This dropped to 1.6 trainers per tutor at present, as shown below. </w:t>
      </w:r>
    </w:p>
    <w:p w14:paraId="702CD4DA" w14:textId="77777777" w:rsidR="008B0EF4" w:rsidRDefault="008B0EF4">
      <w:pPr>
        <w:spacing w:after="0"/>
        <w:rPr>
          <w:rFonts w:cs="Arial"/>
          <w:b/>
          <w:color w:val="76923C"/>
          <w:szCs w:val="22"/>
        </w:rPr>
      </w:pPr>
      <w:bookmarkStart w:id="354" w:name="_Toc274059248"/>
      <w:bookmarkStart w:id="355" w:name="_Toc274146456"/>
      <w:bookmarkStart w:id="356" w:name="_Toc274915915"/>
      <w:bookmarkStart w:id="357" w:name="_Toc278446895"/>
      <w:r>
        <w:br w:type="page"/>
      </w:r>
    </w:p>
    <w:p w14:paraId="47098E95" w14:textId="07F22973" w:rsidR="00FC22E6" w:rsidRPr="00D17CCB" w:rsidRDefault="00FC22E6" w:rsidP="00FC22E6">
      <w:pPr>
        <w:pStyle w:val="Tableheading"/>
      </w:pPr>
      <w:r>
        <w:t xml:space="preserve">Figure 6.1.2: </w:t>
      </w:r>
      <w:r w:rsidRPr="005F253B">
        <w:rPr>
          <w:bCs/>
        </w:rPr>
        <w:t>Ratio of trainers to tutors, 2009 to end 2014</w:t>
      </w:r>
      <w:bookmarkEnd w:id="354"/>
      <w:bookmarkEnd w:id="355"/>
      <w:bookmarkEnd w:id="356"/>
      <w:bookmarkEnd w:id="357"/>
    </w:p>
    <w:p w14:paraId="54AFC803" w14:textId="77777777" w:rsidR="00FC22E6" w:rsidRPr="00D17CCB" w:rsidRDefault="00FC22E6" w:rsidP="00FC22E6">
      <w:pPr>
        <w:rPr>
          <w:rFonts w:cs="Arial"/>
        </w:rPr>
      </w:pPr>
      <w:r w:rsidRPr="00D17CCB">
        <w:rPr>
          <w:rFonts w:cs="Arial"/>
          <w:noProof/>
          <w:lang w:eastAsia="en-AU"/>
        </w:rPr>
        <w:drawing>
          <wp:inline distT="0" distB="0" distL="0" distR="0" wp14:anchorId="001A955C" wp14:editId="2B5F0F2B">
            <wp:extent cx="4873202" cy="2611332"/>
            <wp:effectExtent l="0" t="0" r="29210" b="304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6990BC7" w14:textId="77777777" w:rsidR="00FC22E6" w:rsidRPr="005F253B" w:rsidRDefault="00FC22E6" w:rsidP="00FC22E6">
      <w:pPr>
        <w:rPr>
          <w:rFonts w:cs="Arial"/>
          <w:sz w:val="16"/>
          <w:szCs w:val="18"/>
        </w:rPr>
      </w:pPr>
      <w:r>
        <w:rPr>
          <w:rFonts w:cs="Arial"/>
          <w:sz w:val="16"/>
          <w:szCs w:val="18"/>
        </w:rPr>
        <w:t>Source: Ibid</w:t>
      </w:r>
    </w:p>
    <w:p w14:paraId="6865D8B0" w14:textId="77777777" w:rsidR="00FC22E6" w:rsidRDefault="00FC22E6" w:rsidP="00FC22E6">
      <w:pPr>
        <w:rPr>
          <w:rFonts w:cs="Arial"/>
        </w:rPr>
      </w:pPr>
      <w:r>
        <w:rPr>
          <w:rFonts w:cs="Arial"/>
        </w:rPr>
        <w:t xml:space="preserve">At present, the number of tutors exceeds the number of trainers in tourism and hospitality. The numbers are identical in metal and engineering trades. In construction trades, there are almost double the number of trainers as tutors. </w:t>
      </w:r>
    </w:p>
    <w:p w14:paraId="2636BA78" w14:textId="77777777" w:rsidR="00FC22E6" w:rsidRPr="00FF6E5E" w:rsidRDefault="00FC22E6" w:rsidP="00FC22E6">
      <w:pPr>
        <w:pStyle w:val="Tableheading"/>
        <w:rPr>
          <w:bCs/>
        </w:rPr>
      </w:pPr>
      <w:bookmarkStart w:id="358" w:name="_Toc274059249"/>
      <w:bookmarkStart w:id="359" w:name="_Toc274146457"/>
      <w:bookmarkStart w:id="360" w:name="_Toc274915916"/>
      <w:bookmarkStart w:id="361" w:name="_Toc278446896"/>
      <w:r>
        <w:t xml:space="preserve">Figure 6.1.3: </w:t>
      </w:r>
      <w:r w:rsidRPr="00FF6E5E">
        <w:rPr>
          <w:bCs/>
        </w:rPr>
        <w:t xml:space="preserve">Number of APTC trainers and tutors by training package, </w:t>
      </w:r>
      <w:r>
        <w:rPr>
          <w:bCs/>
        </w:rPr>
        <w:br/>
      </w:r>
      <w:r w:rsidRPr="00FF6E5E">
        <w:rPr>
          <w:bCs/>
        </w:rPr>
        <w:t>Jan</w:t>
      </w:r>
      <w:r>
        <w:rPr>
          <w:bCs/>
        </w:rPr>
        <w:t xml:space="preserve">uary to </w:t>
      </w:r>
      <w:r w:rsidRPr="00FF6E5E">
        <w:rPr>
          <w:bCs/>
        </w:rPr>
        <w:t>Jun</w:t>
      </w:r>
      <w:r>
        <w:rPr>
          <w:bCs/>
        </w:rPr>
        <w:t>e</w:t>
      </w:r>
      <w:r w:rsidRPr="00FF6E5E">
        <w:rPr>
          <w:bCs/>
        </w:rPr>
        <w:t xml:space="preserve"> 2014</w:t>
      </w:r>
      <w:bookmarkEnd w:id="358"/>
      <w:bookmarkEnd w:id="359"/>
      <w:bookmarkEnd w:id="360"/>
      <w:bookmarkEnd w:id="361"/>
      <w:r w:rsidRPr="00FF6E5E">
        <w:rPr>
          <w:bCs/>
        </w:rPr>
        <w:t xml:space="preserve"> </w:t>
      </w:r>
    </w:p>
    <w:p w14:paraId="1C9C61F7" w14:textId="77777777" w:rsidR="00FC22E6" w:rsidRPr="00D17CCB" w:rsidRDefault="00FC22E6" w:rsidP="00FC22E6">
      <w:pPr>
        <w:rPr>
          <w:rFonts w:cs="Arial"/>
        </w:rPr>
      </w:pPr>
      <w:r w:rsidRPr="00D17CCB">
        <w:rPr>
          <w:rFonts w:cs="Arial"/>
          <w:noProof/>
          <w:lang w:eastAsia="en-AU"/>
        </w:rPr>
        <w:drawing>
          <wp:inline distT="0" distB="0" distL="0" distR="0" wp14:anchorId="3FB4EDA5" wp14:editId="46517CA3">
            <wp:extent cx="4949402" cy="2649643"/>
            <wp:effectExtent l="0" t="0" r="29210" b="1778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6670870" w14:textId="77777777" w:rsidR="00FC22E6" w:rsidRPr="00FF6E5E" w:rsidRDefault="00FC22E6" w:rsidP="00FC22E6">
      <w:pPr>
        <w:rPr>
          <w:rFonts w:cs="Arial"/>
          <w:sz w:val="18"/>
          <w:szCs w:val="18"/>
        </w:rPr>
      </w:pPr>
      <w:r w:rsidRPr="00FF6E5E">
        <w:rPr>
          <w:rFonts w:cs="Arial"/>
          <w:sz w:val="18"/>
          <w:szCs w:val="18"/>
        </w:rPr>
        <w:t>Source: APTC Tables F1.a and 1b.</w:t>
      </w:r>
    </w:p>
    <w:p w14:paraId="29BB8402" w14:textId="77777777" w:rsidR="00FC22E6" w:rsidRDefault="00FC22E6" w:rsidP="00FC22E6">
      <w:pPr>
        <w:rPr>
          <w:rFonts w:cs="Arial"/>
        </w:rPr>
      </w:pPr>
      <w:r>
        <w:rPr>
          <w:rFonts w:cs="Arial"/>
        </w:rPr>
        <w:t>Over the past year APTC began promoting Pacific Islanders from the tutor to trainer category. Reportedly 12 trainers will be Pacific nationals by the end of 2014 which would be about one quarter of the total.</w:t>
      </w:r>
    </w:p>
    <w:p w14:paraId="6B3226DD" w14:textId="77777777" w:rsidR="00714939" w:rsidRPr="00D17CCB" w:rsidRDefault="00714939" w:rsidP="00FC22E6">
      <w:pPr>
        <w:rPr>
          <w:rFonts w:cs="Arial"/>
        </w:rPr>
      </w:pPr>
    </w:p>
    <w:p w14:paraId="156D8030" w14:textId="77777777" w:rsidR="008B0EF4" w:rsidRDefault="008B0EF4">
      <w:pPr>
        <w:spacing w:after="0"/>
        <w:rPr>
          <w:rFonts w:cs="Arial"/>
          <w:b/>
          <w:color w:val="76923C"/>
          <w:szCs w:val="22"/>
        </w:rPr>
      </w:pPr>
      <w:bookmarkStart w:id="362" w:name="_Toc274059250"/>
      <w:bookmarkStart w:id="363" w:name="_Toc274146458"/>
      <w:bookmarkStart w:id="364" w:name="_Toc274915917"/>
      <w:bookmarkStart w:id="365" w:name="_Toc278446897"/>
      <w:r>
        <w:br w:type="page"/>
      </w:r>
    </w:p>
    <w:p w14:paraId="1324FF63" w14:textId="02EE9241" w:rsidR="00FC22E6" w:rsidRPr="00D17CCB" w:rsidRDefault="00FC22E6" w:rsidP="00D54285">
      <w:pPr>
        <w:pStyle w:val="Tableheading"/>
        <w:spacing w:before="0"/>
      </w:pPr>
      <w:r>
        <w:t xml:space="preserve">Figure 6.1.4: </w:t>
      </w:r>
      <w:r w:rsidRPr="00DE3A2B">
        <w:rPr>
          <w:bCs/>
        </w:rPr>
        <w:t>Number of APTC trainers by nationality grouping, 2007 to end 2014</w:t>
      </w:r>
      <w:bookmarkEnd w:id="362"/>
      <w:bookmarkEnd w:id="363"/>
      <w:bookmarkEnd w:id="364"/>
      <w:bookmarkEnd w:id="365"/>
    </w:p>
    <w:p w14:paraId="0D662699" w14:textId="77777777" w:rsidR="00FC22E6" w:rsidRPr="00D17CCB" w:rsidRDefault="00FC22E6" w:rsidP="00FC22E6">
      <w:pPr>
        <w:rPr>
          <w:rFonts w:cs="Arial"/>
        </w:rPr>
      </w:pPr>
      <w:r w:rsidRPr="00D17CCB">
        <w:rPr>
          <w:rFonts w:cs="Arial"/>
          <w:noProof/>
          <w:lang w:eastAsia="en-AU"/>
        </w:rPr>
        <w:drawing>
          <wp:inline distT="0" distB="0" distL="0" distR="0" wp14:anchorId="7772C553" wp14:editId="69ABD8E2">
            <wp:extent cx="5228802" cy="2518410"/>
            <wp:effectExtent l="0" t="0" r="29210" b="2159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2E386D0" w14:textId="77777777" w:rsidR="00FC22E6" w:rsidRPr="00DE3A2B" w:rsidRDefault="00FC22E6" w:rsidP="00FC22E6">
      <w:pPr>
        <w:rPr>
          <w:rFonts w:cs="Arial"/>
          <w:sz w:val="16"/>
          <w:szCs w:val="18"/>
        </w:rPr>
      </w:pPr>
      <w:r>
        <w:rPr>
          <w:rFonts w:cs="Arial"/>
          <w:sz w:val="16"/>
          <w:szCs w:val="18"/>
        </w:rPr>
        <w:t xml:space="preserve">Source: </w:t>
      </w:r>
      <w:r w:rsidRPr="00DE3A2B">
        <w:rPr>
          <w:rFonts w:cs="Arial"/>
          <w:sz w:val="16"/>
          <w:szCs w:val="18"/>
        </w:rPr>
        <w:t>APTC Table F.2</w:t>
      </w:r>
    </w:p>
    <w:p w14:paraId="0DB79B21" w14:textId="24DB6A3D" w:rsidR="00FC22E6" w:rsidRDefault="00FC22E6" w:rsidP="00FC22E6">
      <w:pPr>
        <w:rPr>
          <w:rFonts w:cs="Arial"/>
        </w:rPr>
      </w:pPr>
      <w:r>
        <w:rPr>
          <w:rFonts w:cs="Arial"/>
        </w:rPr>
        <w:t xml:space="preserve">According to APTC’s HR data submitted 15 July 2014, the proportion of females among trainers and tutors increased during the second stage. Currently about </w:t>
      </w:r>
      <w:r w:rsidR="008B0EF4">
        <w:rPr>
          <w:rFonts w:cs="Arial"/>
        </w:rPr>
        <w:br/>
      </w:r>
      <w:r>
        <w:rPr>
          <w:rFonts w:cs="Arial"/>
        </w:rPr>
        <w:t xml:space="preserve">30 per cent of trainers and half of tutors are female. </w:t>
      </w:r>
    </w:p>
    <w:p w14:paraId="57C6F1FE" w14:textId="7E39283F" w:rsidR="00FC22E6" w:rsidRDefault="00FC22E6" w:rsidP="007929D8">
      <w:pPr>
        <w:pStyle w:val="Tableheading"/>
        <w:rPr>
          <w:noProof/>
          <w:lang w:val="en-US"/>
        </w:rPr>
      </w:pPr>
      <w:bookmarkStart w:id="366" w:name="_Toc274059251"/>
      <w:bookmarkStart w:id="367" w:name="_Toc274146459"/>
      <w:bookmarkStart w:id="368" w:name="_Toc274915918"/>
      <w:bookmarkStart w:id="369" w:name="_Toc278446898"/>
      <w:r>
        <w:t xml:space="preserve">Figure 6.1.5: </w:t>
      </w:r>
      <w:r w:rsidRPr="00330531">
        <w:rPr>
          <w:bCs/>
        </w:rPr>
        <w:t xml:space="preserve">Females as a </w:t>
      </w:r>
      <w:r w:rsidR="00623542">
        <w:rPr>
          <w:bCs/>
        </w:rPr>
        <w:t>percentage</w:t>
      </w:r>
      <w:r w:rsidRPr="00330531">
        <w:rPr>
          <w:bCs/>
        </w:rPr>
        <w:t xml:space="preserve"> of total trainers and tutors, 2007 to present</w:t>
      </w:r>
      <w:bookmarkEnd w:id="366"/>
      <w:bookmarkEnd w:id="367"/>
      <w:bookmarkEnd w:id="368"/>
      <w:bookmarkEnd w:id="369"/>
    </w:p>
    <w:p w14:paraId="063E6F2D" w14:textId="77777777" w:rsidR="00FC22E6" w:rsidRPr="00D17CCB" w:rsidRDefault="00FC22E6" w:rsidP="00FC22E6">
      <w:pPr>
        <w:rPr>
          <w:rFonts w:cs="Arial"/>
        </w:rPr>
      </w:pPr>
      <w:r w:rsidRPr="00D17CCB">
        <w:rPr>
          <w:rFonts w:cs="Arial"/>
          <w:noProof/>
          <w:lang w:eastAsia="en-AU"/>
        </w:rPr>
        <w:drawing>
          <wp:inline distT="0" distB="0" distL="0" distR="0" wp14:anchorId="36E2501F" wp14:editId="23289805">
            <wp:extent cx="4572000" cy="2611967"/>
            <wp:effectExtent l="25400" t="25400" r="0" b="4233"/>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3BB2EB" w14:textId="77777777" w:rsidR="00FC22E6" w:rsidRPr="00170FE3" w:rsidRDefault="00FC22E6" w:rsidP="00FC22E6">
      <w:pPr>
        <w:rPr>
          <w:rFonts w:cs="Arial"/>
          <w:sz w:val="16"/>
          <w:szCs w:val="18"/>
        </w:rPr>
      </w:pPr>
      <w:r w:rsidRPr="00170FE3">
        <w:rPr>
          <w:rFonts w:cs="Arial"/>
          <w:sz w:val="16"/>
          <w:szCs w:val="18"/>
        </w:rPr>
        <w:t>Note</w:t>
      </w:r>
      <w:r>
        <w:rPr>
          <w:rFonts w:cs="Arial"/>
          <w:sz w:val="16"/>
          <w:szCs w:val="18"/>
        </w:rPr>
        <w:t>:</w:t>
      </w:r>
      <w:r w:rsidRPr="00170FE3">
        <w:rPr>
          <w:rFonts w:cs="Arial"/>
          <w:sz w:val="16"/>
          <w:szCs w:val="18"/>
        </w:rPr>
        <w:t xml:space="preserve"> data for </w:t>
      </w:r>
      <w:r>
        <w:rPr>
          <w:rFonts w:cs="Arial"/>
          <w:sz w:val="16"/>
          <w:szCs w:val="18"/>
        </w:rPr>
        <w:t>S</w:t>
      </w:r>
      <w:r w:rsidRPr="00170FE3">
        <w:rPr>
          <w:rFonts w:cs="Arial"/>
          <w:sz w:val="16"/>
          <w:szCs w:val="18"/>
        </w:rPr>
        <w:t xml:space="preserve">tage </w:t>
      </w:r>
      <w:r>
        <w:rPr>
          <w:rFonts w:cs="Arial"/>
          <w:sz w:val="16"/>
          <w:szCs w:val="18"/>
        </w:rPr>
        <w:t>I</w:t>
      </w:r>
      <w:r w:rsidRPr="00170FE3">
        <w:rPr>
          <w:rFonts w:cs="Arial"/>
          <w:sz w:val="16"/>
          <w:szCs w:val="18"/>
        </w:rPr>
        <w:t xml:space="preserve"> are not available on gender. </w:t>
      </w:r>
      <w:r>
        <w:rPr>
          <w:rFonts w:cs="Arial"/>
          <w:sz w:val="16"/>
          <w:szCs w:val="18"/>
        </w:rPr>
        <w:t xml:space="preserve">Source: </w:t>
      </w:r>
      <w:r w:rsidRPr="00170FE3">
        <w:rPr>
          <w:rFonts w:cs="Arial"/>
          <w:sz w:val="16"/>
          <w:szCs w:val="18"/>
        </w:rPr>
        <w:t>APTC Tables F.3a and 3b.</w:t>
      </w:r>
    </w:p>
    <w:p w14:paraId="214BA33C" w14:textId="0A6574F0" w:rsidR="00FC22E6" w:rsidRPr="00D17CCB" w:rsidRDefault="00FC22E6" w:rsidP="00FC22E6">
      <w:pPr>
        <w:spacing w:after="0"/>
        <w:rPr>
          <w:rFonts w:cs="Arial"/>
        </w:rPr>
      </w:pPr>
      <w:r>
        <w:rPr>
          <w:rFonts w:cs="Arial"/>
        </w:rPr>
        <w:t>The age distribution of trainers and tutors is almost reversed, as would seem appropriate. Trainers are mostly in their fifties while most tutors are in their thirties.</w:t>
      </w:r>
    </w:p>
    <w:p w14:paraId="35276123" w14:textId="77777777" w:rsidR="008B0EF4" w:rsidRDefault="008B0EF4">
      <w:pPr>
        <w:spacing w:after="0"/>
        <w:rPr>
          <w:rFonts w:cs="Arial"/>
          <w:b/>
          <w:color w:val="76923C"/>
          <w:szCs w:val="22"/>
        </w:rPr>
      </w:pPr>
      <w:bookmarkStart w:id="370" w:name="_Toc274059252"/>
      <w:bookmarkStart w:id="371" w:name="_Toc274146460"/>
      <w:bookmarkStart w:id="372" w:name="_Toc274915919"/>
      <w:bookmarkStart w:id="373" w:name="_Toc278446899"/>
      <w:r>
        <w:br w:type="page"/>
      </w:r>
    </w:p>
    <w:p w14:paraId="6DC201AC" w14:textId="10876481" w:rsidR="00FC22E6" w:rsidRPr="00FB67DA" w:rsidRDefault="00FC22E6" w:rsidP="00FC22E6">
      <w:pPr>
        <w:pStyle w:val="Tableheading"/>
        <w:rPr>
          <w:bCs/>
        </w:rPr>
      </w:pPr>
      <w:r>
        <w:t xml:space="preserve">Figure 6.1.6: </w:t>
      </w:r>
      <w:r w:rsidRPr="00FB67DA">
        <w:rPr>
          <w:bCs/>
        </w:rPr>
        <w:t xml:space="preserve">Age distribution of trainers and tutors, </w:t>
      </w:r>
      <w:r>
        <w:rPr>
          <w:bCs/>
        </w:rPr>
        <w:t>S</w:t>
      </w:r>
      <w:r w:rsidRPr="00FB67DA">
        <w:rPr>
          <w:bCs/>
        </w:rPr>
        <w:t xml:space="preserve">emester </w:t>
      </w:r>
      <w:r>
        <w:rPr>
          <w:bCs/>
        </w:rPr>
        <w:t xml:space="preserve">1, </w:t>
      </w:r>
      <w:r w:rsidRPr="00FB67DA">
        <w:rPr>
          <w:bCs/>
        </w:rPr>
        <w:t>2014</w:t>
      </w:r>
      <w:bookmarkEnd w:id="370"/>
      <w:bookmarkEnd w:id="371"/>
      <w:bookmarkEnd w:id="372"/>
      <w:bookmarkEnd w:id="373"/>
      <w:r w:rsidRPr="00FB67DA">
        <w:rPr>
          <w:bCs/>
        </w:rPr>
        <w:t xml:space="preserve"> </w:t>
      </w:r>
    </w:p>
    <w:p w14:paraId="46C70B43" w14:textId="77777777" w:rsidR="00FC22E6" w:rsidRPr="00D17CCB" w:rsidRDefault="00FC22E6" w:rsidP="00FC22E6">
      <w:pPr>
        <w:rPr>
          <w:rFonts w:cs="Arial"/>
        </w:rPr>
      </w:pPr>
      <w:r w:rsidRPr="00D17CCB">
        <w:rPr>
          <w:rFonts w:cs="Arial"/>
          <w:noProof/>
          <w:lang w:eastAsia="en-AU"/>
        </w:rPr>
        <w:drawing>
          <wp:inline distT="0" distB="0" distL="0" distR="0" wp14:anchorId="675CBABA" wp14:editId="6E8DBC33">
            <wp:extent cx="4924002" cy="2510367"/>
            <wp:effectExtent l="0" t="0" r="29210" b="2984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D07D2D8" w14:textId="77777777" w:rsidR="00FC22E6" w:rsidRDefault="00FC22E6" w:rsidP="00FC22E6">
      <w:pPr>
        <w:rPr>
          <w:rFonts w:cs="Arial"/>
          <w:sz w:val="16"/>
          <w:szCs w:val="18"/>
        </w:rPr>
      </w:pPr>
      <w:r>
        <w:rPr>
          <w:rFonts w:cs="Arial"/>
          <w:sz w:val="16"/>
          <w:szCs w:val="18"/>
        </w:rPr>
        <w:t xml:space="preserve">Source: </w:t>
      </w:r>
      <w:r w:rsidRPr="009A15EF">
        <w:rPr>
          <w:rFonts w:cs="Arial"/>
          <w:sz w:val="16"/>
          <w:szCs w:val="18"/>
        </w:rPr>
        <w:t xml:space="preserve">APTC Tables F.4a and b. </w:t>
      </w:r>
    </w:p>
    <w:p w14:paraId="7143D3AE" w14:textId="77777777" w:rsidR="00CE661E" w:rsidRPr="009A15EF" w:rsidRDefault="00CE661E" w:rsidP="00FC22E6">
      <w:pPr>
        <w:rPr>
          <w:rFonts w:cs="Arial"/>
          <w:sz w:val="16"/>
          <w:szCs w:val="18"/>
        </w:rPr>
      </w:pPr>
    </w:p>
    <w:p w14:paraId="10308994" w14:textId="428CF9F6" w:rsidR="003D355F" w:rsidRDefault="00AE4AFC" w:rsidP="002028A6">
      <w:pPr>
        <w:pStyle w:val="Heading2"/>
      </w:pPr>
      <w:bookmarkStart w:id="374" w:name="_Toc274059137"/>
      <w:bookmarkStart w:id="375" w:name="_Toc274145079"/>
      <w:bookmarkStart w:id="376" w:name="_Toc274900463"/>
      <w:bookmarkStart w:id="377" w:name="_Toc278447858"/>
      <w:bookmarkStart w:id="378" w:name="_Toc278453331"/>
      <w:r>
        <w:t>6.2</w:t>
      </w:r>
      <w:r>
        <w:tab/>
      </w:r>
      <w:r w:rsidR="00FC22E6" w:rsidRPr="005A25F3">
        <w:t>Students per teacher</w:t>
      </w:r>
      <w:bookmarkEnd w:id="374"/>
      <w:bookmarkEnd w:id="375"/>
      <w:bookmarkEnd w:id="376"/>
      <w:bookmarkEnd w:id="377"/>
      <w:bookmarkEnd w:id="378"/>
      <w:r w:rsidR="00FC22E6" w:rsidRPr="005A25F3">
        <w:t xml:space="preserve"> </w:t>
      </w:r>
    </w:p>
    <w:p w14:paraId="311AB5D4" w14:textId="77777777" w:rsidR="00FC22E6" w:rsidRPr="00D17CCB" w:rsidRDefault="00FC22E6" w:rsidP="00FC22E6">
      <w:pPr>
        <w:rPr>
          <w:rFonts w:cs="Arial"/>
        </w:rPr>
      </w:pPr>
      <w:r w:rsidRPr="00D17CCB">
        <w:rPr>
          <w:rFonts w:cs="Arial"/>
        </w:rPr>
        <w:t>APTC has averaged 10.5 students per teacher (trainers and tutors c</w:t>
      </w:r>
      <w:r>
        <w:rPr>
          <w:rFonts w:cs="Arial"/>
        </w:rPr>
        <w:t xml:space="preserve">ombined) from 2007 to present. </w:t>
      </w:r>
      <w:r w:rsidRPr="00D17CCB">
        <w:rPr>
          <w:rFonts w:cs="Arial"/>
        </w:rPr>
        <w:t xml:space="preserve">Data are presented in the graph below by semester for all </w:t>
      </w:r>
      <w:r>
        <w:rPr>
          <w:rFonts w:cs="Arial"/>
        </w:rPr>
        <w:t xml:space="preserve">qualifications. </w:t>
      </w:r>
      <w:r w:rsidRPr="00D17CCB">
        <w:rPr>
          <w:rFonts w:cs="Arial"/>
        </w:rPr>
        <w:t xml:space="preserve">The average varied widely at the beginning of </w:t>
      </w:r>
      <w:r>
        <w:rPr>
          <w:rFonts w:cs="Arial"/>
        </w:rPr>
        <w:t xml:space="preserve">APTC operations </w:t>
      </w:r>
      <w:r w:rsidRPr="00D17CCB">
        <w:rPr>
          <w:rFonts w:cs="Arial"/>
        </w:rPr>
        <w:t xml:space="preserve">and declined substantially in 2012 commensurate with </w:t>
      </w:r>
      <w:r>
        <w:rPr>
          <w:rFonts w:cs="Arial"/>
        </w:rPr>
        <w:t xml:space="preserve">reduced enrolments. </w:t>
      </w:r>
      <w:r w:rsidRPr="00D17CCB">
        <w:rPr>
          <w:rFonts w:cs="Arial"/>
        </w:rPr>
        <w:t>The average declined since 2010 w</w:t>
      </w:r>
      <w:r>
        <w:rPr>
          <w:rFonts w:cs="Arial"/>
        </w:rPr>
        <w:t>hen the hiring of tutors began.</w:t>
      </w:r>
    </w:p>
    <w:p w14:paraId="68BE4F4B" w14:textId="48E030D4" w:rsidR="00FC22E6" w:rsidRPr="00067BBC" w:rsidRDefault="00FC22E6" w:rsidP="00FC22E6">
      <w:pPr>
        <w:pStyle w:val="Tableheading"/>
      </w:pPr>
      <w:bookmarkStart w:id="379" w:name="_Toc274059253"/>
      <w:bookmarkStart w:id="380" w:name="_Toc274146461"/>
      <w:bookmarkStart w:id="381" w:name="_Toc274915920"/>
      <w:bookmarkStart w:id="382" w:name="_Toc278446900"/>
      <w:r w:rsidRPr="00067BBC">
        <w:t>Fi</w:t>
      </w:r>
      <w:r>
        <w:t xml:space="preserve">gure 6.2.1: </w:t>
      </w:r>
      <w:r w:rsidRPr="00AC17D1">
        <w:rPr>
          <w:bCs/>
        </w:rPr>
        <w:t xml:space="preserve">Average number of students per teacher </w:t>
      </w:r>
      <w:r w:rsidR="007E7C87">
        <w:rPr>
          <w:bCs/>
        </w:rPr>
        <w:br/>
      </w:r>
      <w:r w:rsidRPr="00AC17D1">
        <w:rPr>
          <w:bCs/>
        </w:rPr>
        <w:t>(trainers and tutors combined), 2007 to mid 2014</w:t>
      </w:r>
      <w:bookmarkEnd w:id="379"/>
      <w:bookmarkEnd w:id="380"/>
      <w:bookmarkEnd w:id="381"/>
      <w:bookmarkEnd w:id="382"/>
    </w:p>
    <w:p w14:paraId="67F4E2CF" w14:textId="77777777" w:rsidR="00FC22E6" w:rsidRPr="00D17CCB" w:rsidRDefault="00FC22E6" w:rsidP="00FC22E6">
      <w:pPr>
        <w:rPr>
          <w:rFonts w:cs="Arial"/>
        </w:rPr>
      </w:pPr>
      <w:r w:rsidRPr="00D17CCB">
        <w:rPr>
          <w:rFonts w:cs="Arial"/>
          <w:noProof/>
          <w:lang w:eastAsia="en-AU"/>
        </w:rPr>
        <w:drawing>
          <wp:inline distT="0" distB="0" distL="0" distR="0" wp14:anchorId="68AB9F3C" wp14:editId="1B08B5EA">
            <wp:extent cx="4572000" cy="2743200"/>
            <wp:effectExtent l="25400" t="2540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8AE14FD" w14:textId="77777777" w:rsidR="00FC22E6" w:rsidRPr="00AC17D1" w:rsidRDefault="00FC22E6" w:rsidP="00FC22E6">
      <w:pPr>
        <w:rPr>
          <w:rFonts w:cs="Arial"/>
          <w:sz w:val="16"/>
          <w:szCs w:val="18"/>
        </w:rPr>
      </w:pPr>
      <w:r>
        <w:rPr>
          <w:rFonts w:cs="Arial"/>
          <w:sz w:val="16"/>
          <w:szCs w:val="18"/>
        </w:rPr>
        <w:t xml:space="preserve">Source: </w:t>
      </w:r>
      <w:r w:rsidRPr="00AC17D1">
        <w:rPr>
          <w:rFonts w:cs="Arial"/>
          <w:sz w:val="16"/>
          <w:szCs w:val="18"/>
        </w:rPr>
        <w:t>APTC Tables D.1 and F.1a, F.1b</w:t>
      </w:r>
    </w:p>
    <w:p w14:paraId="4A6BC12F" w14:textId="77777777" w:rsidR="008B0EF4" w:rsidRDefault="008B0EF4">
      <w:pPr>
        <w:spacing w:after="0"/>
        <w:rPr>
          <w:rFonts w:cs="Arial"/>
          <w:b/>
          <w:color w:val="76923C"/>
          <w:szCs w:val="22"/>
        </w:rPr>
      </w:pPr>
      <w:bookmarkStart w:id="383" w:name="_Toc274059254"/>
      <w:bookmarkStart w:id="384" w:name="_Toc274146462"/>
      <w:bookmarkStart w:id="385" w:name="_Toc274915921"/>
      <w:bookmarkStart w:id="386" w:name="_Toc278446901"/>
      <w:r>
        <w:br w:type="page"/>
      </w:r>
    </w:p>
    <w:p w14:paraId="0967F612" w14:textId="42C63F00" w:rsidR="00FC22E6" w:rsidRPr="00AC17D1" w:rsidRDefault="00FC22E6" w:rsidP="00FC22E6">
      <w:pPr>
        <w:pStyle w:val="Tableheading"/>
      </w:pPr>
      <w:r>
        <w:t xml:space="preserve">Figure 6.2.2: </w:t>
      </w:r>
      <w:r w:rsidRPr="00F418E5">
        <w:t xml:space="preserve">Average number of students per teacher (trainers and tutors combined) by training package, </w:t>
      </w:r>
      <w:r>
        <w:t>S</w:t>
      </w:r>
      <w:r w:rsidRPr="00F418E5">
        <w:t xml:space="preserve">emester </w:t>
      </w:r>
      <w:r>
        <w:t xml:space="preserve">1, </w:t>
      </w:r>
      <w:r w:rsidRPr="00F418E5">
        <w:t>2014</w:t>
      </w:r>
      <w:bookmarkEnd w:id="383"/>
      <w:bookmarkEnd w:id="384"/>
      <w:bookmarkEnd w:id="385"/>
      <w:bookmarkEnd w:id="386"/>
    </w:p>
    <w:p w14:paraId="7457C0F1" w14:textId="77777777" w:rsidR="00FC22E6" w:rsidRPr="00D17CCB" w:rsidRDefault="00FC22E6" w:rsidP="00FC22E6">
      <w:pPr>
        <w:rPr>
          <w:rFonts w:cs="Arial"/>
        </w:rPr>
      </w:pPr>
      <w:r w:rsidRPr="00D17CCB">
        <w:rPr>
          <w:rFonts w:cs="Arial"/>
          <w:noProof/>
          <w:lang w:eastAsia="en-AU"/>
        </w:rPr>
        <w:drawing>
          <wp:inline distT="0" distB="0" distL="0" distR="0" wp14:anchorId="383781D0" wp14:editId="447BDE0E">
            <wp:extent cx="5076825" cy="2942167"/>
            <wp:effectExtent l="25400" t="25400" r="3175" b="4233"/>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591C46D" w14:textId="77777777" w:rsidR="00FC22E6" w:rsidRDefault="00FC22E6" w:rsidP="00FC22E6">
      <w:pPr>
        <w:rPr>
          <w:rFonts w:cs="Arial"/>
          <w:sz w:val="16"/>
          <w:szCs w:val="18"/>
        </w:rPr>
      </w:pPr>
      <w:r w:rsidRPr="0026314F">
        <w:rPr>
          <w:rFonts w:cs="Arial"/>
          <w:sz w:val="16"/>
          <w:szCs w:val="18"/>
        </w:rPr>
        <w:t>Note</w:t>
      </w:r>
      <w:r>
        <w:rPr>
          <w:rFonts w:cs="Arial"/>
          <w:sz w:val="16"/>
          <w:szCs w:val="18"/>
        </w:rPr>
        <w:t xml:space="preserve">: excludes health. Source: </w:t>
      </w:r>
      <w:r w:rsidRPr="0026314F">
        <w:rPr>
          <w:rFonts w:cs="Arial"/>
          <w:sz w:val="16"/>
          <w:szCs w:val="18"/>
        </w:rPr>
        <w:t>APTC Tables D.1 and F.1a, F.1b</w:t>
      </w:r>
    </w:p>
    <w:p w14:paraId="24297293" w14:textId="0120A722" w:rsidR="00FC22E6" w:rsidRPr="000859B4" w:rsidRDefault="003B11ED" w:rsidP="00FC22E6">
      <w:pPr>
        <w:rPr>
          <w:rFonts w:cs="Arial"/>
          <w:szCs w:val="22"/>
        </w:rPr>
      </w:pPr>
      <w:r>
        <w:rPr>
          <w:rFonts w:cs="Arial"/>
          <w:szCs w:val="22"/>
        </w:rPr>
        <w:br/>
      </w:r>
      <w:r w:rsidR="004941D6" w:rsidRPr="000859B4">
        <w:rPr>
          <w:rFonts w:cs="Arial"/>
          <w:szCs w:val="22"/>
        </w:rPr>
        <w:t xml:space="preserve">APTC staff have pointed out that average class size is a better indicator of efficiency than average number of students per teacher (trainers and tutors combined.) This is because the placement of tutors was to build capacity and not mandatory for delivery of the qualification. </w:t>
      </w:r>
    </w:p>
    <w:p w14:paraId="651D373C" w14:textId="6582A1F3" w:rsidR="003D355F" w:rsidRDefault="00AE4AFC" w:rsidP="002028A6">
      <w:pPr>
        <w:pStyle w:val="Heading2"/>
      </w:pPr>
      <w:bookmarkStart w:id="387" w:name="_Toc274059138"/>
      <w:bookmarkStart w:id="388" w:name="_Toc274145080"/>
      <w:bookmarkStart w:id="389" w:name="_Toc274900464"/>
      <w:bookmarkStart w:id="390" w:name="_Toc278447859"/>
      <w:bookmarkStart w:id="391" w:name="_Toc278453332"/>
      <w:r>
        <w:t>6.3</w:t>
      </w:r>
      <w:r>
        <w:tab/>
      </w:r>
      <w:r w:rsidR="00FC22E6">
        <w:t>Average class sizes</w:t>
      </w:r>
      <w:bookmarkEnd w:id="387"/>
      <w:bookmarkEnd w:id="388"/>
      <w:bookmarkEnd w:id="389"/>
      <w:bookmarkEnd w:id="390"/>
      <w:bookmarkEnd w:id="391"/>
    </w:p>
    <w:p w14:paraId="2CDCDDBA" w14:textId="0A0E406D" w:rsidR="00FC22E6" w:rsidRDefault="00FC22E6" w:rsidP="00FC22E6">
      <w:r>
        <w:t xml:space="preserve">The following chart shows average class sizes for the two stages to date. Classes ranged from 11 to 31 students. Eliminating the outliers, the averages range from 13 to 21. Overall, class sizes averaged 17.2 students in SHCS and 14.4 in STT. One would expect that SHCS could have a higher average. However, classes in cookery, patisserie and hairdressing have maximum class sizes for safety reasons of about 16 students. </w:t>
      </w:r>
      <w:r w:rsidR="004941D6">
        <w:t xml:space="preserve">Class sizes in SHCS </w:t>
      </w:r>
      <w:r w:rsidR="007E4DB7">
        <w:t xml:space="preserve">are typically dictated by the limits of physical facilities. </w:t>
      </w:r>
      <w:r>
        <w:t>Moreover, t</w:t>
      </w:r>
      <w:r w:rsidRPr="00A7376B">
        <w:t>he APTC does not have access to lecture halls or classrooms that hold big numbers.</w:t>
      </w:r>
      <w:r>
        <w:t xml:space="preserve"> </w:t>
      </w:r>
      <w:r w:rsidR="004941D6">
        <w:t>Most STT class sizes are limited to 14</w:t>
      </w:r>
      <w:r w:rsidR="003B11ED">
        <w:t>–</w:t>
      </w:r>
      <w:r w:rsidR="004941D6">
        <w:t>16 students for safety reasons.  However, f</w:t>
      </w:r>
      <w:r>
        <w:t xml:space="preserve">or STT the two Certificate II feeder courses with larger class sizes raise its average. </w:t>
      </w:r>
    </w:p>
    <w:p w14:paraId="3032F5BF" w14:textId="77777777" w:rsidR="00FC22E6" w:rsidRPr="007B4BEF" w:rsidRDefault="00FC22E6" w:rsidP="00FC22E6">
      <w:r>
        <w:t xml:space="preserve">Courses offered through blended means, e.g. use of internet and e-learning as well as direct classroom instruction, offer potential for increased class sizes, as seen in the Certificate IV in Management and Diploma in VET.  </w:t>
      </w:r>
    </w:p>
    <w:p w14:paraId="3B263FF5" w14:textId="129E697E" w:rsidR="009E762B" w:rsidRDefault="009E762B">
      <w:pPr>
        <w:spacing w:after="0"/>
        <w:rPr>
          <w:rFonts w:cs="Arial"/>
          <w:b/>
          <w:color w:val="76923C"/>
          <w:szCs w:val="22"/>
        </w:rPr>
      </w:pPr>
      <w:bookmarkStart w:id="392" w:name="_Toc274059255"/>
      <w:bookmarkStart w:id="393" w:name="_Toc274146463"/>
      <w:bookmarkStart w:id="394" w:name="_Toc274915922"/>
      <w:r>
        <w:br w:type="page"/>
      </w:r>
    </w:p>
    <w:p w14:paraId="2E0A7DAD" w14:textId="75864587" w:rsidR="00FC22E6" w:rsidRPr="00C50355" w:rsidRDefault="00FC22E6" w:rsidP="00FF489F">
      <w:pPr>
        <w:pStyle w:val="Tableheading"/>
        <w:spacing w:before="200" w:after="0"/>
        <w:rPr>
          <w:rFonts w:cs="Times New Roman"/>
          <w:color w:val="auto"/>
        </w:rPr>
      </w:pPr>
      <w:bookmarkStart w:id="395" w:name="_Toc278446902"/>
      <w:r>
        <w:t>Figure 6.3.1: Average number of students per class</w:t>
      </w:r>
      <w:r w:rsidRPr="00C50355">
        <w:t xml:space="preserve"> to date</w:t>
      </w:r>
      <w:bookmarkEnd w:id="392"/>
      <w:bookmarkEnd w:id="393"/>
      <w:bookmarkEnd w:id="394"/>
      <w:bookmarkEnd w:id="395"/>
      <w:r w:rsidRPr="00C50355">
        <w:t xml:space="preserve"> </w:t>
      </w:r>
    </w:p>
    <w:p w14:paraId="63840ECB" w14:textId="77777777" w:rsidR="00FC22E6" w:rsidRDefault="00FC22E6" w:rsidP="00FF489F">
      <w:pPr>
        <w:pStyle w:val="Tableheading"/>
        <w:spacing w:before="200" w:after="0"/>
      </w:pPr>
      <w:r>
        <w:rPr>
          <w:noProof/>
          <w:lang w:eastAsia="en-AU"/>
        </w:rPr>
        <w:drawing>
          <wp:inline distT="0" distB="0" distL="0" distR="0" wp14:anchorId="5F02A297" wp14:editId="03245D17">
            <wp:extent cx="4572000" cy="7270750"/>
            <wp:effectExtent l="25400" t="2540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C385D62" w14:textId="77777777" w:rsidR="00FC22E6" w:rsidRDefault="00FC22E6" w:rsidP="00FC22E6">
      <w:pPr>
        <w:rPr>
          <w:sz w:val="16"/>
          <w:szCs w:val="18"/>
        </w:rPr>
      </w:pPr>
      <w:r w:rsidRPr="00B1304C">
        <w:rPr>
          <w:sz w:val="16"/>
          <w:szCs w:val="18"/>
        </w:rPr>
        <w:t xml:space="preserve">Last number in line description refers to number of times the course was offered. Excludes </w:t>
      </w:r>
      <w:r>
        <w:rPr>
          <w:sz w:val="16"/>
          <w:szCs w:val="18"/>
        </w:rPr>
        <w:t>D</w:t>
      </w:r>
      <w:r w:rsidRPr="00B1304C">
        <w:rPr>
          <w:sz w:val="16"/>
          <w:szCs w:val="18"/>
        </w:rPr>
        <w:t>iploma in VET, offered once for 53 students in blended mode. Source</w:t>
      </w:r>
      <w:r>
        <w:rPr>
          <w:sz w:val="16"/>
          <w:szCs w:val="18"/>
        </w:rPr>
        <w:t xml:space="preserve">: </w:t>
      </w:r>
      <w:r w:rsidRPr="00B1304C">
        <w:rPr>
          <w:sz w:val="16"/>
          <w:szCs w:val="18"/>
        </w:rPr>
        <w:t xml:space="preserve">Marty Rollins, APTC, </w:t>
      </w:r>
      <w:r>
        <w:rPr>
          <w:sz w:val="16"/>
          <w:szCs w:val="18"/>
        </w:rPr>
        <w:t>17 August 2014</w:t>
      </w:r>
    </w:p>
    <w:p w14:paraId="457073D8" w14:textId="0618F725" w:rsidR="009E762B" w:rsidRDefault="009E762B">
      <w:pPr>
        <w:spacing w:after="0"/>
        <w:rPr>
          <w:sz w:val="16"/>
          <w:szCs w:val="18"/>
        </w:rPr>
      </w:pPr>
      <w:r>
        <w:rPr>
          <w:sz w:val="16"/>
          <w:szCs w:val="18"/>
        </w:rPr>
        <w:br w:type="page"/>
      </w:r>
    </w:p>
    <w:p w14:paraId="06CDF979" w14:textId="77777777" w:rsidR="009E762B" w:rsidRPr="008E7579" w:rsidRDefault="009E762B" w:rsidP="00FC22E6">
      <w:pPr>
        <w:rPr>
          <w:sz w:val="4"/>
          <w:szCs w:val="18"/>
        </w:rPr>
      </w:pPr>
    </w:p>
    <w:p w14:paraId="7963580F" w14:textId="77777777" w:rsidR="003D355F" w:rsidRDefault="00620DD0" w:rsidP="002028A6">
      <w:pPr>
        <w:pStyle w:val="Heading2"/>
      </w:pPr>
      <w:bookmarkStart w:id="396" w:name="_Toc274059139"/>
      <w:bookmarkStart w:id="397" w:name="_Toc274145081"/>
      <w:bookmarkStart w:id="398" w:name="_Toc274900465"/>
      <w:bookmarkStart w:id="399" w:name="_Toc278447860"/>
      <w:bookmarkStart w:id="400" w:name="_Toc278453333"/>
      <w:r>
        <w:t>6.4</w:t>
      </w:r>
      <w:r>
        <w:tab/>
      </w:r>
      <w:r w:rsidR="00FC22E6">
        <w:t xml:space="preserve">Administrative (non-teaching) </w:t>
      </w:r>
      <w:r w:rsidR="00FC22E6" w:rsidRPr="00BD6DDB">
        <w:t>staff</w:t>
      </w:r>
      <w:bookmarkEnd w:id="396"/>
      <w:bookmarkEnd w:id="397"/>
      <w:bookmarkEnd w:id="398"/>
      <w:bookmarkEnd w:id="399"/>
      <w:bookmarkEnd w:id="400"/>
    </w:p>
    <w:p w14:paraId="73362105" w14:textId="77777777" w:rsidR="00FC22E6" w:rsidRDefault="00FC22E6" w:rsidP="00FC22E6">
      <w:r>
        <w:t>Currently, APTC has 187 staff, 48 per cent of whom are administrative/management. The following graph shows the number of academic and non-academic staff by location.</w:t>
      </w:r>
    </w:p>
    <w:p w14:paraId="7E9DBA78" w14:textId="77777777" w:rsidR="00FC22E6" w:rsidRPr="007A0178" w:rsidRDefault="00FC22E6" w:rsidP="00FC22E6">
      <w:pPr>
        <w:pStyle w:val="Tableheading"/>
        <w:rPr>
          <w:bCs/>
        </w:rPr>
      </w:pPr>
      <w:bookmarkStart w:id="401" w:name="_Toc274059256"/>
      <w:bookmarkStart w:id="402" w:name="_Toc274146464"/>
      <w:bookmarkStart w:id="403" w:name="_Toc274915923"/>
      <w:bookmarkStart w:id="404" w:name="_Toc278446903"/>
      <w:r>
        <w:t xml:space="preserve">Figure 6.4.1: </w:t>
      </w:r>
      <w:r w:rsidRPr="007A0178">
        <w:rPr>
          <w:bCs/>
        </w:rPr>
        <w:t>Academic and administrative</w:t>
      </w:r>
      <w:r>
        <w:rPr>
          <w:bCs/>
        </w:rPr>
        <w:t xml:space="preserve"> staff by location, June 30</w:t>
      </w:r>
      <w:r w:rsidRPr="007A0178">
        <w:rPr>
          <w:bCs/>
        </w:rPr>
        <w:t xml:space="preserve"> 2014</w:t>
      </w:r>
      <w:bookmarkEnd w:id="401"/>
      <w:bookmarkEnd w:id="402"/>
      <w:bookmarkEnd w:id="403"/>
      <w:bookmarkEnd w:id="404"/>
    </w:p>
    <w:p w14:paraId="04077EF7" w14:textId="77777777" w:rsidR="00FC22E6" w:rsidRDefault="00FC22E6" w:rsidP="00FC22E6">
      <w:pPr>
        <w:pStyle w:val="Tableheading"/>
      </w:pPr>
      <w:r>
        <w:rPr>
          <w:noProof/>
          <w:lang w:eastAsia="en-AU"/>
        </w:rPr>
        <w:drawing>
          <wp:inline distT="0" distB="0" distL="0" distR="0" wp14:anchorId="2513F3DA" wp14:editId="5059D3F9">
            <wp:extent cx="5000202" cy="2713143"/>
            <wp:effectExtent l="0" t="0" r="29210" b="304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E9E7677" w14:textId="77777777" w:rsidR="00FC22E6" w:rsidRPr="007A0178" w:rsidRDefault="00FC22E6" w:rsidP="00FC22E6">
      <w:pPr>
        <w:rPr>
          <w:sz w:val="16"/>
          <w:szCs w:val="18"/>
        </w:rPr>
      </w:pPr>
      <w:r w:rsidRPr="007A0178">
        <w:rPr>
          <w:sz w:val="16"/>
          <w:szCs w:val="18"/>
        </w:rPr>
        <w:t>Source: Calculated from APTC HR Submission, 15 July 2014</w:t>
      </w:r>
    </w:p>
    <w:p w14:paraId="10337791" w14:textId="77777777" w:rsidR="00FC22E6" w:rsidRDefault="00FC22E6" w:rsidP="00FC22E6">
      <w:r>
        <w:br/>
        <w:t>Overall, 58 per cent of the staff are female, including 42 per cent of the academic staff and 74 per cent of the non-academic staff. By nationality, Australians make up 38 per cent of total staff, followed by Fijians with 35 per cent of the total.</w:t>
      </w:r>
    </w:p>
    <w:p w14:paraId="217EC254" w14:textId="77777777" w:rsidR="00FC22E6" w:rsidRDefault="00FC22E6" w:rsidP="00FC22E6">
      <w:pPr>
        <w:pStyle w:val="Tableheading"/>
      </w:pPr>
      <w:bookmarkStart w:id="405" w:name="_Toc274146465"/>
      <w:bookmarkStart w:id="406" w:name="_Toc274915924"/>
      <w:bookmarkStart w:id="407" w:name="_Toc278446904"/>
      <w:r>
        <w:t xml:space="preserve">Table 6.4.1: Academic and non-academic staff by nationality and gender, </w:t>
      </w:r>
      <w:r>
        <w:br/>
        <w:t>June 2014</w:t>
      </w:r>
      <w:bookmarkEnd w:id="405"/>
      <w:bookmarkEnd w:id="406"/>
      <w:bookmarkEnd w:id="407"/>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646"/>
        <w:gridCol w:w="1047"/>
        <w:gridCol w:w="646"/>
        <w:gridCol w:w="1047"/>
        <w:gridCol w:w="897"/>
        <w:gridCol w:w="807"/>
        <w:gridCol w:w="997"/>
      </w:tblGrid>
      <w:tr w:rsidR="00FC22E6" w:rsidRPr="007A0178" w14:paraId="499102AD" w14:textId="77777777" w:rsidTr="008B0EF4">
        <w:tc>
          <w:tcPr>
            <w:tcW w:w="0" w:type="auto"/>
            <w:vMerge w:val="restart"/>
            <w:shd w:val="clear" w:color="auto" w:fill="C5E0B3" w:themeFill="accent6" w:themeFillTint="66"/>
            <w:noWrap/>
          </w:tcPr>
          <w:p w14:paraId="16F1E364" w14:textId="77777777" w:rsidR="00FC22E6" w:rsidRPr="007A0178" w:rsidRDefault="00FC22E6" w:rsidP="005F77A1">
            <w:pPr>
              <w:spacing w:before="20" w:after="20"/>
              <w:rPr>
                <w:rFonts w:cs="Arial"/>
                <w:b/>
                <w:sz w:val="18"/>
              </w:rPr>
            </w:pPr>
            <w:r w:rsidRPr="007A0178">
              <w:rPr>
                <w:rFonts w:cs="Arial"/>
                <w:b/>
                <w:sz w:val="18"/>
              </w:rPr>
              <w:t>Nationality</w:t>
            </w:r>
          </w:p>
        </w:tc>
        <w:tc>
          <w:tcPr>
            <w:tcW w:w="0" w:type="auto"/>
            <w:gridSpan w:val="2"/>
            <w:shd w:val="clear" w:color="auto" w:fill="C5E0B3" w:themeFill="accent6" w:themeFillTint="66"/>
            <w:noWrap/>
          </w:tcPr>
          <w:p w14:paraId="58AD22C2" w14:textId="77777777" w:rsidR="00FC22E6" w:rsidRPr="007A0178" w:rsidRDefault="00FC22E6" w:rsidP="005F77A1">
            <w:pPr>
              <w:spacing w:before="20" w:after="20"/>
              <w:jc w:val="center"/>
              <w:rPr>
                <w:rFonts w:cs="Arial"/>
                <w:b/>
                <w:sz w:val="18"/>
              </w:rPr>
            </w:pPr>
            <w:r w:rsidRPr="007A0178">
              <w:rPr>
                <w:rFonts w:cs="Arial"/>
                <w:b/>
                <w:sz w:val="18"/>
              </w:rPr>
              <w:t>Academic</w:t>
            </w:r>
          </w:p>
        </w:tc>
        <w:tc>
          <w:tcPr>
            <w:tcW w:w="0" w:type="auto"/>
            <w:gridSpan w:val="2"/>
            <w:shd w:val="clear" w:color="auto" w:fill="C5E0B3" w:themeFill="accent6" w:themeFillTint="66"/>
            <w:noWrap/>
          </w:tcPr>
          <w:p w14:paraId="051B457F" w14:textId="77777777" w:rsidR="00FC22E6" w:rsidRPr="007A0178" w:rsidRDefault="00FC22E6" w:rsidP="005F77A1">
            <w:pPr>
              <w:spacing w:before="20" w:after="20"/>
              <w:jc w:val="center"/>
              <w:rPr>
                <w:rFonts w:cs="Arial"/>
                <w:b/>
                <w:sz w:val="18"/>
              </w:rPr>
            </w:pPr>
            <w:r w:rsidRPr="007A0178">
              <w:rPr>
                <w:rFonts w:cs="Arial"/>
                <w:b/>
                <w:sz w:val="18"/>
              </w:rPr>
              <w:t>Non-</w:t>
            </w:r>
            <w:r>
              <w:rPr>
                <w:rFonts w:cs="Arial"/>
                <w:b/>
                <w:sz w:val="18"/>
              </w:rPr>
              <w:t>a</w:t>
            </w:r>
            <w:r w:rsidRPr="007A0178">
              <w:rPr>
                <w:rFonts w:cs="Arial"/>
                <w:b/>
                <w:sz w:val="18"/>
              </w:rPr>
              <w:t>cademic</w:t>
            </w:r>
          </w:p>
        </w:tc>
        <w:tc>
          <w:tcPr>
            <w:tcW w:w="0" w:type="auto"/>
            <w:gridSpan w:val="3"/>
            <w:shd w:val="clear" w:color="auto" w:fill="C5E0B3" w:themeFill="accent6" w:themeFillTint="66"/>
            <w:noWrap/>
          </w:tcPr>
          <w:p w14:paraId="0245C486" w14:textId="77777777" w:rsidR="00FC22E6" w:rsidRPr="007A0178" w:rsidRDefault="00FC22E6" w:rsidP="005F77A1">
            <w:pPr>
              <w:spacing w:before="20" w:after="20"/>
              <w:jc w:val="center"/>
              <w:rPr>
                <w:rFonts w:cs="Arial"/>
                <w:b/>
                <w:sz w:val="18"/>
              </w:rPr>
            </w:pPr>
            <w:r w:rsidRPr="007A0178">
              <w:rPr>
                <w:rFonts w:cs="Arial"/>
                <w:b/>
                <w:sz w:val="18"/>
              </w:rPr>
              <w:t>Total</w:t>
            </w:r>
          </w:p>
        </w:tc>
      </w:tr>
      <w:tr w:rsidR="00FC22E6" w:rsidRPr="007A0178" w14:paraId="3ED81109" w14:textId="77777777" w:rsidTr="008B0EF4">
        <w:tc>
          <w:tcPr>
            <w:tcW w:w="0" w:type="auto"/>
            <w:vMerge/>
            <w:shd w:val="clear" w:color="auto" w:fill="C5E0B3" w:themeFill="accent6" w:themeFillTint="66"/>
          </w:tcPr>
          <w:p w14:paraId="5B2070F4" w14:textId="77777777" w:rsidR="00FC22E6" w:rsidRPr="007A0178" w:rsidRDefault="00FC22E6" w:rsidP="005F77A1">
            <w:pPr>
              <w:spacing w:before="20" w:after="20"/>
              <w:rPr>
                <w:rFonts w:cs="Arial"/>
                <w:b/>
                <w:sz w:val="18"/>
              </w:rPr>
            </w:pPr>
          </w:p>
        </w:tc>
        <w:tc>
          <w:tcPr>
            <w:tcW w:w="0" w:type="auto"/>
            <w:shd w:val="clear" w:color="auto" w:fill="C5E0B3" w:themeFill="accent6" w:themeFillTint="66"/>
            <w:noWrap/>
          </w:tcPr>
          <w:p w14:paraId="069A23C6" w14:textId="77777777" w:rsidR="00FC22E6" w:rsidRPr="007A0178" w:rsidRDefault="00FC22E6" w:rsidP="005F77A1">
            <w:pPr>
              <w:spacing w:before="20" w:after="20"/>
              <w:jc w:val="center"/>
              <w:rPr>
                <w:rFonts w:cs="Arial"/>
                <w:b/>
                <w:sz w:val="18"/>
              </w:rPr>
            </w:pPr>
            <w:r w:rsidRPr="007A0178">
              <w:rPr>
                <w:rFonts w:cs="Arial"/>
                <w:b/>
                <w:sz w:val="18"/>
              </w:rPr>
              <w:t>Total</w:t>
            </w:r>
          </w:p>
        </w:tc>
        <w:tc>
          <w:tcPr>
            <w:tcW w:w="0" w:type="auto"/>
            <w:shd w:val="clear" w:color="auto" w:fill="C5E0B3" w:themeFill="accent6" w:themeFillTint="66"/>
            <w:noWrap/>
          </w:tcPr>
          <w:p w14:paraId="625B2251" w14:textId="77777777" w:rsidR="00FC22E6" w:rsidRPr="007A0178" w:rsidRDefault="00FC22E6" w:rsidP="005F77A1">
            <w:pPr>
              <w:spacing w:before="20" w:after="20"/>
              <w:jc w:val="center"/>
              <w:rPr>
                <w:rFonts w:cs="Arial"/>
                <w:b/>
                <w:sz w:val="18"/>
              </w:rPr>
            </w:pPr>
            <w:r w:rsidRPr="007A0178">
              <w:rPr>
                <w:rFonts w:cs="Arial"/>
                <w:b/>
                <w:sz w:val="18"/>
              </w:rPr>
              <w:t>% Female</w:t>
            </w:r>
          </w:p>
        </w:tc>
        <w:tc>
          <w:tcPr>
            <w:tcW w:w="0" w:type="auto"/>
            <w:shd w:val="clear" w:color="auto" w:fill="C5E0B3" w:themeFill="accent6" w:themeFillTint="66"/>
            <w:noWrap/>
          </w:tcPr>
          <w:p w14:paraId="5D4070E4" w14:textId="77777777" w:rsidR="00FC22E6" w:rsidRPr="007A0178" w:rsidRDefault="00FC22E6" w:rsidP="005F77A1">
            <w:pPr>
              <w:spacing w:before="20" w:after="20"/>
              <w:jc w:val="center"/>
              <w:rPr>
                <w:rFonts w:cs="Arial"/>
                <w:b/>
                <w:sz w:val="18"/>
              </w:rPr>
            </w:pPr>
            <w:r w:rsidRPr="007A0178">
              <w:rPr>
                <w:rFonts w:cs="Arial"/>
                <w:b/>
                <w:sz w:val="18"/>
              </w:rPr>
              <w:t>Total</w:t>
            </w:r>
          </w:p>
        </w:tc>
        <w:tc>
          <w:tcPr>
            <w:tcW w:w="0" w:type="auto"/>
            <w:shd w:val="clear" w:color="auto" w:fill="C5E0B3" w:themeFill="accent6" w:themeFillTint="66"/>
            <w:noWrap/>
          </w:tcPr>
          <w:p w14:paraId="0C37B126" w14:textId="77777777" w:rsidR="00FC22E6" w:rsidRPr="007A0178" w:rsidRDefault="00FC22E6" w:rsidP="005F77A1">
            <w:pPr>
              <w:spacing w:before="20" w:after="20"/>
              <w:jc w:val="center"/>
              <w:rPr>
                <w:rFonts w:cs="Arial"/>
                <w:b/>
                <w:sz w:val="18"/>
              </w:rPr>
            </w:pPr>
            <w:r w:rsidRPr="007A0178">
              <w:rPr>
                <w:rFonts w:cs="Arial"/>
                <w:b/>
                <w:sz w:val="18"/>
              </w:rPr>
              <w:t>% Female</w:t>
            </w:r>
          </w:p>
        </w:tc>
        <w:tc>
          <w:tcPr>
            <w:tcW w:w="0" w:type="auto"/>
            <w:shd w:val="clear" w:color="auto" w:fill="C5E0B3" w:themeFill="accent6" w:themeFillTint="66"/>
            <w:noWrap/>
          </w:tcPr>
          <w:p w14:paraId="4F93BBDF" w14:textId="77777777" w:rsidR="00FC22E6" w:rsidRPr="007A0178" w:rsidRDefault="00FC22E6" w:rsidP="005F77A1">
            <w:pPr>
              <w:spacing w:before="20" w:after="20"/>
              <w:jc w:val="center"/>
              <w:rPr>
                <w:rFonts w:cs="Arial"/>
                <w:b/>
                <w:sz w:val="18"/>
              </w:rPr>
            </w:pPr>
            <w:r w:rsidRPr="007A0178">
              <w:rPr>
                <w:rFonts w:cs="Arial"/>
                <w:b/>
                <w:sz w:val="18"/>
              </w:rPr>
              <w:t>Number</w:t>
            </w:r>
          </w:p>
        </w:tc>
        <w:tc>
          <w:tcPr>
            <w:tcW w:w="0" w:type="auto"/>
            <w:shd w:val="clear" w:color="auto" w:fill="C5E0B3" w:themeFill="accent6" w:themeFillTint="66"/>
            <w:noWrap/>
          </w:tcPr>
          <w:p w14:paraId="719B3546" w14:textId="77777777" w:rsidR="00FC22E6" w:rsidRPr="007A0178" w:rsidRDefault="00FC22E6" w:rsidP="005F77A1">
            <w:pPr>
              <w:spacing w:before="20" w:after="20"/>
              <w:jc w:val="center"/>
              <w:rPr>
                <w:rFonts w:cs="Arial"/>
                <w:b/>
                <w:sz w:val="18"/>
              </w:rPr>
            </w:pPr>
            <w:r w:rsidRPr="007A0178">
              <w:rPr>
                <w:rFonts w:cs="Arial"/>
                <w:b/>
                <w:sz w:val="18"/>
              </w:rPr>
              <w:t>% total</w:t>
            </w:r>
          </w:p>
        </w:tc>
        <w:tc>
          <w:tcPr>
            <w:tcW w:w="0" w:type="auto"/>
            <w:shd w:val="clear" w:color="auto" w:fill="C5E0B3" w:themeFill="accent6" w:themeFillTint="66"/>
            <w:noWrap/>
          </w:tcPr>
          <w:p w14:paraId="6A57A168" w14:textId="77777777" w:rsidR="00FC22E6" w:rsidRPr="007A0178" w:rsidRDefault="00FC22E6" w:rsidP="005F77A1">
            <w:pPr>
              <w:spacing w:before="20" w:after="20"/>
              <w:jc w:val="center"/>
              <w:rPr>
                <w:rFonts w:cs="Arial"/>
                <w:b/>
                <w:sz w:val="18"/>
              </w:rPr>
            </w:pPr>
            <w:r w:rsidRPr="007A0178">
              <w:rPr>
                <w:rFonts w:cs="Arial"/>
                <w:b/>
                <w:sz w:val="18"/>
              </w:rPr>
              <w:t>% female</w:t>
            </w:r>
          </w:p>
        </w:tc>
      </w:tr>
      <w:tr w:rsidR="00FC22E6" w:rsidRPr="007A0178" w14:paraId="0108B1A5" w14:textId="77777777" w:rsidTr="008B0EF4">
        <w:tc>
          <w:tcPr>
            <w:tcW w:w="0" w:type="auto"/>
            <w:noWrap/>
          </w:tcPr>
          <w:p w14:paraId="02126296" w14:textId="77777777" w:rsidR="00FC22E6" w:rsidRPr="007A0178" w:rsidRDefault="00FC22E6" w:rsidP="005F77A1">
            <w:pPr>
              <w:spacing w:before="20" w:after="20"/>
              <w:rPr>
                <w:rFonts w:cs="Arial"/>
                <w:sz w:val="18"/>
              </w:rPr>
            </w:pPr>
            <w:r w:rsidRPr="007A0178">
              <w:rPr>
                <w:rFonts w:cs="Arial"/>
                <w:sz w:val="18"/>
              </w:rPr>
              <w:t>Australian</w:t>
            </w:r>
          </w:p>
        </w:tc>
        <w:tc>
          <w:tcPr>
            <w:tcW w:w="0" w:type="auto"/>
            <w:noWrap/>
          </w:tcPr>
          <w:p w14:paraId="165CBF94" w14:textId="77777777" w:rsidR="00FC22E6" w:rsidRPr="007A0178" w:rsidRDefault="00FC22E6" w:rsidP="005F77A1">
            <w:pPr>
              <w:spacing w:before="20" w:after="20"/>
              <w:jc w:val="center"/>
              <w:rPr>
                <w:rFonts w:cs="Arial"/>
                <w:sz w:val="18"/>
              </w:rPr>
            </w:pPr>
            <w:r w:rsidRPr="007A0178">
              <w:rPr>
                <w:rFonts w:cs="Arial"/>
                <w:sz w:val="18"/>
              </w:rPr>
              <w:t>44</w:t>
            </w:r>
          </w:p>
        </w:tc>
        <w:tc>
          <w:tcPr>
            <w:tcW w:w="0" w:type="auto"/>
            <w:noWrap/>
          </w:tcPr>
          <w:p w14:paraId="7F2E5540" w14:textId="77777777" w:rsidR="00FC22E6" w:rsidRPr="007A0178" w:rsidRDefault="00FC22E6" w:rsidP="005F77A1">
            <w:pPr>
              <w:spacing w:before="20" w:after="20"/>
              <w:jc w:val="center"/>
              <w:rPr>
                <w:rFonts w:cs="Arial"/>
                <w:sz w:val="18"/>
              </w:rPr>
            </w:pPr>
            <w:r w:rsidRPr="007A0178">
              <w:rPr>
                <w:rFonts w:cs="Arial"/>
                <w:sz w:val="18"/>
              </w:rPr>
              <w:t>36</w:t>
            </w:r>
          </w:p>
        </w:tc>
        <w:tc>
          <w:tcPr>
            <w:tcW w:w="0" w:type="auto"/>
            <w:shd w:val="clear" w:color="auto" w:fill="E2EFD9" w:themeFill="accent6" w:themeFillTint="33"/>
            <w:noWrap/>
          </w:tcPr>
          <w:p w14:paraId="2F8969D8" w14:textId="77777777" w:rsidR="00FC22E6" w:rsidRPr="007A0178" w:rsidRDefault="00FC22E6" w:rsidP="005F77A1">
            <w:pPr>
              <w:spacing w:before="20" w:after="20"/>
              <w:jc w:val="center"/>
              <w:rPr>
                <w:rFonts w:cs="Arial"/>
                <w:sz w:val="18"/>
              </w:rPr>
            </w:pPr>
            <w:r w:rsidRPr="007A0178">
              <w:rPr>
                <w:rFonts w:cs="Arial"/>
                <w:sz w:val="18"/>
              </w:rPr>
              <w:t>27</w:t>
            </w:r>
          </w:p>
        </w:tc>
        <w:tc>
          <w:tcPr>
            <w:tcW w:w="0" w:type="auto"/>
            <w:shd w:val="clear" w:color="auto" w:fill="E2EFD9" w:themeFill="accent6" w:themeFillTint="33"/>
            <w:noWrap/>
          </w:tcPr>
          <w:p w14:paraId="45AE4508" w14:textId="77777777" w:rsidR="00FC22E6" w:rsidRPr="007A0178" w:rsidRDefault="00FC22E6" w:rsidP="005F77A1">
            <w:pPr>
              <w:spacing w:before="20" w:after="20"/>
              <w:jc w:val="center"/>
              <w:rPr>
                <w:rFonts w:cs="Arial"/>
                <w:sz w:val="18"/>
              </w:rPr>
            </w:pPr>
            <w:r w:rsidRPr="007A0178">
              <w:rPr>
                <w:rFonts w:cs="Arial"/>
                <w:sz w:val="18"/>
              </w:rPr>
              <w:t>70</w:t>
            </w:r>
          </w:p>
        </w:tc>
        <w:tc>
          <w:tcPr>
            <w:tcW w:w="0" w:type="auto"/>
            <w:noWrap/>
          </w:tcPr>
          <w:p w14:paraId="499B1B46" w14:textId="77777777" w:rsidR="00FC22E6" w:rsidRPr="007A0178" w:rsidRDefault="00FC22E6" w:rsidP="005F77A1">
            <w:pPr>
              <w:spacing w:before="20" w:after="20"/>
              <w:jc w:val="center"/>
              <w:rPr>
                <w:rFonts w:cs="Arial"/>
                <w:sz w:val="18"/>
              </w:rPr>
            </w:pPr>
            <w:r w:rsidRPr="007A0178">
              <w:rPr>
                <w:rFonts w:cs="Arial"/>
                <w:sz w:val="18"/>
              </w:rPr>
              <w:t>71</w:t>
            </w:r>
          </w:p>
        </w:tc>
        <w:tc>
          <w:tcPr>
            <w:tcW w:w="0" w:type="auto"/>
            <w:noWrap/>
          </w:tcPr>
          <w:p w14:paraId="5E721E53" w14:textId="77777777" w:rsidR="00FC22E6" w:rsidRPr="007A0178" w:rsidRDefault="00FC22E6" w:rsidP="005F77A1">
            <w:pPr>
              <w:spacing w:before="20" w:after="20"/>
              <w:jc w:val="center"/>
              <w:rPr>
                <w:rFonts w:cs="Arial"/>
                <w:sz w:val="18"/>
              </w:rPr>
            </w:pPr>
            <w:r w:rsidRPr="007A0178">
              <w:rPr>
                <w:rFonts w:cs="Arial"/>
                <w:sz w:val="18"/>
              </w:rPr>
              <w:t>38</w:t>
            </w:r>
          </w:p>
        </w:tc>
        <w:tc>
          <w:tcPr>
            <w:tcW w:w="0" w:type="auto"/>
            <w:noWrap/>
          </w:tcPr>
          <w:p w14:paraId="5B024472" w14:textId="77777777" w:rsidR="00FC22E6" w:rsidRPr="007A0178" w:rsidRDefault="00FC22E6" w:rsidP="005F77A1">
            <w:pPr>
              <w:spacing w:before="20" w:after="20"/>
              <w:jc w:val="center"/>
              <w:rPr>
                <w:rFonts w:cs="Arial"/>
                <w:sz w:val="18"/>
              </w:rPr>
            </w:pPr>
            <w:r w:rsidRPr="007A0178">
              <w:rPr>
                <w:rFonts w:cs="Arial"/>
                <w:sz w:val="18"/>
              </w:rPr>
              <w:t>49</w:t>
            </w:r>
          </w:p>
        </w:tc>
      </w:tr>
      <w:tr w:rsidR="00FC22E6" w:rsidRPr="007A0178" w14:paraId="320FD653" w14:textId="77777777" w:rsidTr="008B0EF4">
        <w:tc>
          <w:tcPr>
            <w:tcW w:w="0" w:type="auto"/>
            <w:noWrap/>
          </w:tcPr>
          <w:p w14:paraId="4593AD74" w14:textId="77777777" w:rsidR="00FC22E6" w:rsidRPr="007A0178" w:rsidRDefault="00FC22E6" w:rsidP="005F77A1">
            <w:pPr>
              <w:spacing w:before="20" w:after="20"/>
              <w:rPr>
                <w:rFonts w:cs="Arial"/>
                <w:sz w:val="18"/>
              </w:rPr>
            </w:pPr>
            <w:r w:rsidRPr="007A0178">
              <w:rPr>
                <w:rFonts w:cs="Arial"/>
                <w:sz w:val="18"/>
              </w:rPr>
              <w:t>Fijian</w:t>
            </w:r>
          </w:p>
        </w:tc>
        <w:tc>
          <w:tcPr>
            <w:tcW w:w="0" w:type="auto"/>
            <w:noWrap/>
          </w:tcPr>
          <w:p w14:paraId="4D7222EB" w14:textId="77777777" w:rsidR="00FC22E6" w:rsidRPr="007A0178" w:rsidRDefault="00FC22E6" w:rsidP="005F77A1">
            <w:pPr>
              <w:spacing w:before="20" w:after="20"/>
              <w:jc w:val="center"/>
              <w:rPr>
                <w:rFonts w:cs="Arial"/>
                <w:sz w:val="18"/>
              </w:rPr>
            </w:pPr>
            <w:r w:rsidRPr="007A0178">
              <w:rPr>
                <w:rFonts w:cs="Arial"/>
                <w:sz w:val="18"/>
              </w:rPr>
              <w:t>26</w:t>
            </w:r>
          </w:p>
        </w:tc>
        <w:tc>
          <w:tcPr>
            <w:tcW w:w="0" w:type="auto"/>
            <w:noWrap/>
          </w:tcPr>
          <w:p w14:paraId="2EB26644" w14:textId="77777777" w:rsidR="00FC22E6" w:rsidRPr="007A0178" w:rsidRDefault="00FC22E6" w:rsidP="005F77A1">
            <w:pPr>
              <w:spacing w:before="20" w:after="20"/>
              <w:jc w:val="center"/>
              <w:rPr>
                <w:rFonts w:cs="Arial"/>
                <w:sz w:val="18"/>
              </w:rPr>
            </w:pPr>
            <w:r w:rsidRPr="007A0178">
              <w:rPr>
                <w:rFonts w:cs="Arial"/>
                <w:sz w:val="18"/>
              </w:rPr>
              <w:t>35</w:t>
            </w:r>
          </w:p>
        </w:tc>
        <w:tc>
          <w:tcPr>
            <w:tcW w:w="0" w:type="auto"/>
            <w:shd w:val="clear" w:color="auto" w:fill="E2EFD9" w:themeFill="accent6" w:themeFillTint="33"/>
            <w:noWrap/>
          </w:tcPr>
          <w:p w14:paraId="0D0A10D4" w14:textId="77777777" w:rsidR="00FC22E6" w:rsidRPr="007A0178" w:rsidRDefault="00FC22E6" w:rsidP="005F77A1">
            <w:pPr>
              <w:spacing w:before="20" w:after="20"/>
              <w:jc w:val="center"/>
              <w:rPr>
                <w:rFonts w:cs="Arial"/>
                <w:sz w:val="18"/>
              </w:rPr>
            </w:pPr>
            <w:r w:rsidRPr="007A0178">
              <w:rPr>
                <w:rFonts w:cs="Arial"/>
                <w:sz w:val="18"/>
              </w:rPr>
              <w:t>40</w:t>
            </w:r>
          </w:p>
        </w:tc>
        <w:tc>
          <w:tcPr>
            <w:tcW w:w="0" w:type="auto"/>
            <w:shd w:val="clear" w:color="auto" w:fill="E2EFD9" w:themeFill="accent6" w:themeFillTint="33"/>
            <w:noWrap/>
          </w:tcPr>
          <w:p w14:paraId="56344B7D" w14:textId="77777777" w:rsidR="00FC22E6" w:rsidRPr="007A0178" w:rsidRDefault="00FC22E6" w:rsidP="005F77A1">
            <w:pPr>
              <w:spacing w:before="20" w:after="20"/>
              <w:jc w:val="center"/>
              <w:rPr>
                <w:rFonts w:cs="Arial"/>
                <w:sz w:val="18"/>
              </w:rPr>
            </w:pPr>
            <w:r w:rsidRPr="007A0178">
              <w:rPr>
                <w:rFonts w:cs="Arial"/>
                <w:sz w:val="18"/>
              </w:rPr>
              <w:t>75</w:t>
            </w:r>
          </w:p>
        </w:tc>
        <w:tc>
          <w:tcPr>
            <w:tcW w:w="0" w:type="auto"/>
            <w:noWrap/>
          </w:tcPr>
          <w:p w14:paraId="2F40D646" w14:textId="77777777" w:rsidR="00FC22E6" w:rsidRPr="007A0178" w:rsidRDefault="00FC22E6" w:rsidP="005F77A1">
            <w:pPr>
              <w:spacing w:before="20" w:after="20"/>
              <w:jc w:val="center"/>
              <w:rPr>
                <w:rFonts w:cs="Arial"/>
                <w:sz w:val="18"/>
              </w:rPr>
            </w:pPr>
            <w:r w:rsidRPr="007A0178">
              <w:rPr>
                <w:rFonts w:cs="Arial"/>
                <w:sz w:val="18"/>
              </w:rPr>
              <w:t>66</w:t>
            </w:r>
          </w:p>
        </w:tc>
        <w:tc>
          <w:tcPr>
            <w:tcW w:w="0" w:type="auto"/>
            <w:noWrap/>
          </w:tcPr>
          <w:p w14:paraId="6569096E" w14:textId="77777777" w:rsidR="00FC22E6" w:rsidRPr="007A0178" w:rsidRDefault="00FC22E6" w:rsidP="005F77A1">
            <w:pPr>
              <w:spacing w:before="20" w:after="20"/>
              <w:jc w:val="center"/>
              <w:rPr>
                <w:rFonts w:cs="Arial"/>
                <w:sz w:val="18"/>
              </w:rPr>
            </w:pPr>
            <w:r w:rsidRPr="007A0178">
              <w:rPr>
                <w:rFonts w:cs="Arial"/>
                <w:sz w:val="18"/>
              </w:rPr>
              <w:t>35</w:t>
            </w:r>
          </w:p>
        </w:tc>
        <w:tc>
          <w:tcPr>
            <w:tcW w:w="0" w:type="auto"/>
            <w:noWrap/>
          </w:tcPr>
          <w:p w14:paraId="099B9E2D" w14:textId="77777777" w:rsidR="00FC22E6" w:rsidRPr="007A0178" w:rsidRDefault="00FC22E6" w:rsidP="005F77A1">
            <w:pPr>
              <w:spacing w:before="20" w:after="20"/>
              <w:jc w:val="center"/>
              <w:rPr>
                <w:rFonts w:cs="Arial"/>
                <w:sz w:val="18"/>
              </w:rPr>
            </w:pPr>
            <w:r w:rsidRPr="007A0178">
              <w:rPr>
                <w:rFonts w:cs="Arial"/>
                <w:sz w:val="18"/>
              </w:rPr>
              <w:t>59</w:t>
            </w:r>
          </w:p>
        </w:tc>
      </w:tr>
      <w:tr w:rsidR="00FC22E6" w:rsidRPr="007A0178" w14:paraId="486B6F16" w14:textId="77777777" w:rsidTr="008B0EF4">
        <w:tc>
          <w:tcPr>
            <w:tcW w:w="0" w:type="auto"/>
            <w:noWrap/>
          </w:tcPr>
          <w:p w14:paraId="249E0DEA" w14:textId="77777777" w:rsidR="00FC22E6" w:rsidRPr="007A0178" w:rsidRDefault="00FC22E6" w:rsidP="005F77A1">
            <w:pPr>
              <w:spacing w:before="20" w:after="20"/>
              <w:rPr>
                <w:rFonts w:cs="Arial"/>
                <w:sz w:val="18"/>
              </w:rPr>
            </w:pPr>
            <w:r w:rsidRPr="007A0178">
              <w:rPr>
                <w:rFonts w:cs="Arial"/>
                <w:sz w:val="18"/>
              </w:rPr>
              <w:t>Samoan</w:t>
            </w:r>
          </w:p>
        </w:tc>
        <w:tc>
          <w:tcPr>
            <w:tcW w:w="0" w:type="auto"/>
            <w:noWrap/>
          </w:tcPr>
          <w:p w14:paraId="5E8882BA" w14:textId="77777777" w:rsidR="00FC22E6" w:rsidRPr="007A0178" w:rsidRDefault="00FC22E6" w:rsidP="005F77A1">
            <w:pPr>
              <w:spacing w:before="20" w:after="20"/>
              <w:jc w:val="center"/>
              <w:rPr>
                <w:rFonts w:cs="Arial"/>
                <w:sz w:val="18"/>
              </w:rPr>
            </w:pPr>
            <w:r w:rsidRPr="007A0178">
              <w:rPr>
                <w:rFonts w:cs="Arial"/>
                <w:sz w:val="18"/>
              </w:rPr>
              <w:t>9</w:t>
            </w:r>
          </w:p>
        </w:tc>
        <w:tc>
          <w:tcPr>
            <w:tcW w:w="0" w:type="auto"/>
            <w:noWrap/>
          </w:tcPr>
          <w:p w14:paraId="360C06AB" w14:textId="77777777" w:rsidR="00FC22E6" w:rsidRPr="007A0178" w:rsidRDefault="00FC22E6" w:rsidP="005F77A1">
            <w:pPr>
              <w:spacing w:before="20" w:after="20"/>
              <w:jc w:val="center"/>
              <w:rPr>
                <w:rFonts w:cs="Arial"/>
                <w:sz w:val="18"/>
              </w:rPr>
            </w:pPr>
            <w:r w:rsidRPr="007A0178">
              <w:rPr>
                <w:rFonts w:cs="Arial"/>
                <w:sz w:val="18"/>
              </w:rPr>
              <w:t>78</w:t>
            </w:r>
          </w:p>
        </w:tc>
        <w:tc>
          <w:tcPr>
            <w:tcW w:w="0" w:type="auto"/>
            <w:shd w:val="clear" w:color="auto" w:fill="E2EFD9" w:themeFill="accent6" w:themeFillTint="33"/>
            <w:noWrap/>
          </w:tcPr>
          <w:p w14:paraId="06689395" w14:textId="77777777" w:rsidR="00FC22E6" w:rsidRPr="007A0178" w:rsidRDefault="00FC22E6" w:rsidP="005F77A1">
            <w:pPr>
              <w:spacing w:before="20" w:after="20"/>
              <w:jc w:val="center"/>
              <w:rPr>
                <w:rFonts w:cs="Arial"/>
                <w:sz w:val="18"/>
              </w:rPr>
            </w:pPr>
            <w:r w:rsidRPr="007A0178">
              <w:rPr>
                <w:rFonts w:cs="Arial"/>
                <w:sz w:val="18"/>
              </w:rPr>
              <w:t>8</w:t>
            </w:r>
          </w:p>
        </w:tc>
        <w:tc>
          <w:tcPr>
            <w:tcW w:w="0" w:type="auto"/>
            <w:shd w:val="clear" w:color="auto" w:fill="E2EFD9" w:themeFill="accent6" w:themeFillTint="33"/>
            <w:noWrap/>
          </w:tcPr>
          <w:p w14:paraId="74F27D36" w14:textId="77777777" w:rsidR="00FC22E6" w:rsidRPr="007A0178" w:rsidRDefault="00FC22E6" w:rsidP="005F77A1">
            <w:pPr>
              <w:spacing w:before="20" w:after="20"/>
              <w:jc w:val="center"/>
              <w:rPr>
                <w:rFonts w:cs="Arial"/>
                <w:sz w:val="18"/>
              </w:rPr>
            </w:pPr>
            <w:r w:rsidRPr="007A0178">
              <w:rPr>
                <w:rFonts w:cs="Arial"/>
                <w:sz w:val="18"/>
              </w:rPr>
              <w:t>75</w:t>
            </w:r>
          </w:p>
        </w:tc>
        <w:tc>
          <w:tcPr>
            <w:tcW w:w="0" w:type="auto"/>
            <w:noWrap/>
          </w:tcPr>
          <w:p w14:paraId="15BA88C4" w14:textId="77777777" w:rsidR="00FC22E6" w:rsidRPr="007A0178" w:rsidRDefault="00FC22E6" w:rsidP="005F77A1">
            <w:pPr>
              <w:spacing w:before="20" w:after="20"/>
              <w:jc w:val="center"/>
              <w:rPr>
                <w:rFonts w:cs="Arial"/>
                <w:sz w:val="18"/>
              </w:rPr>
            </w:pPr>
            <w:r w:rsidRPr="007A0178">
              <w:rPr>
                <w:rFonts w:cs="Arial"/>
                <w:sz w:val="18"/>
              </w:rPr>
              <w:t>17</w:t>
            </w:r>
          </w:p>
        </w:tc>
        <w:tc>
          <w:tcPr>
            <w:tcW w:w="0" w:type="auto"/>
            <w:noWrap/>
          </w:tcPr>
          <w:p w14:paraId="301D7C54" w14:textId="77777777" w:rsidR="00FC22E6" w:rsidRPr="007A0178" w:rsidRDefault="00FC22E6" w:rsidP="005F77A1">
            <w:pPr>
              <w:spacing w:before="20" w:after="20"/>
              <w:jc w:val="center"/>
              <w:rPr>
                <w:rFonts w:cs="Arial"/>
                <w:sz w:val="18"/>
              </w:rPr>
            </w:pPr>
            <w:r w:rsidRPr="007A0178">
              <w:rPr>
                <w:rFonts w:cs="Arial"/>
                <w:sz w:val="18"/>
              </w:rPr>
              <w:t>9</w:t>
            </w:r>
          </w:p>
        </w:tc>
        <w:tc>
          <w:tcPr>
            <w:tcW w:w="0" w:type="auto"/>
            <w:noWrap/>
          </w:tcPr>
          <w:p w14:paraId="76377409" w14:textId="77777777" w:rsidR="00FC22E6" w:rsidRPr="007A0178" w:rsidRDefault="00FC22E6" w:rsidP="005F77A1">
            <w:pPr>
              <w:spacing w:before="20" w:after="20"/>
              <w:jc w:val="center"/>
              <w:rPr>
                <w:rFonts w:cs="Arial"/>
                <w:sz w:val="18"/>
              </w:rPr>
            </w:pPr>
            <w:r w:rsidRPr="007A0178">
              <w:rPr>
                <w:rFonts w:cs="Arial"/>
                <w:sz w:val="18"/>
              </w:rPr>
              <w:t>76</w:t>
            </w:r>
          </w:p>
        </w:tc>
      </w:tr>
      <w:tr w:rsidR="00FC22E6" w:rsidRPr="007A0178" w14:paraId="0090FB48" w14:textId="77777777" w:rsidTr="008B0EF4">
        <w:tc>
          <w:tcPr>
            <w:tcW w:w="0" w:type="auto"/>
            <w:noWrap/>
          </w:tcPr>
          <w:p w14:paraId="5C917588" w14:textId="77777777" w:rsidR="00FC22E6" w:rsidRPr="007A0178" w:rsidRDefault="00FC22E6" w:rsidP="005F77A1">
            <w:pPr>
              <w:spacing w:before="20" w:after="20"/>
              <w:rPr>
                <w:rFonts w:cs="Arial"/>
                <w:sz w:val="18"/>
              </w:rPr>
            </w:pPr>
            <w:r w:rsidRPr="007A0178">
              <w:rPr>
                <w:rFonts w:cs="Arial"/>
                <w:sz w:val="18"/>
              </w:rPr>
              <w:t>Ni-Vanuatu</w:t>
            </w:r>
          </w:p>
        </w:tc>
        <w:tc>
          <w:tcPr>
            <w:tcW w:w="0" w:type="auto"/>
            <w:noWrap/>
          </w:tcPr>
          <w:p w14:paraId="5356DABD" w14:textId="77777777" w:rsidR="00FC22E6" w:rsidRPr="007A0178" w:rsidRDefault="00FC22E6" w:rsidP="005F77A1">
            <w:pPr>
              <w:spacing w:before="20" w:after="20"/>
              <w:jc w:val="center"/>
              <w:rPr>
                <w:rFonts w:cs="Arial"/>
                <w:sz w:val="18"/>
              </w:rPr>
            </w:pPr>
            <w:r w:rsidRPr="007A0178">
              <w:rPr>
                <w:rFonts w:cs="Arial"/>
                <w:sz w:val="18"/>
              </w:rPr>
              <w:t>6</w:t>
            </w:r>
          </w:p>
        </w:tc>
        <w:tc>
          <w:tcPr>
            <w:tcW w:w="0" w:type="auto"/>
            <w:noWrap/>
          </w:tcPr>
          <w:p w14:paraId="461279EC" w14:textId="77777777" w:rsidR="00FC22E6" w:rsidRPr="007A0178" w:rsidRDefault="00FC22E6" w:rsidP="005F77A1">
            <w:pPr>
              <w:spacing w:before="20" w:after="20"/>
              <w:jc w:val="center"/>
              <w:rPr>
                <w:rFonts w:cs="Arial"/>
                <w:sz w:val="18"/>
              </w:rPr>
            </w:pPr>
            <w:r w:rsidRPr="007A0178">
              <w:rPr>
                <w:rFonts w:cs="Arial"/>
                <w:sz w:val="18"/>
              </w:rPr>
              <w:t>83</w:t>
            </w:r>
          </w:p>
        </w:tc>
        <w:tc>
          <w:tcPr>
            <w:tcW w:w="0" w:type="auto"/>
            <w:shd w:val="clear" w:color="auto" w:fill="E2EFD9" w:themeFill="accent6" w:themeFillTint="33"/>
            <w:noWrap/>
          </w:tcPr>
          <w:p w14:paraId="4DDC36D7" w14:textId="77777777" w:rsidR="00FC22E6" w:rsidRPr="007A0178" w:rsidRDefault="00FC22E6" w:rsidP="005F77A1">
            <w:pPr>
              <w:spacing w:before="20" w:after="20"/>
              <w:jc w:val="center"/>
              <w:rPr>
                <w:rFonts w:cs="Arial"/>
                <w:sz w:val="18"/>
              </w:rPr>
            </w:pPr>
            <w:r w:rsidRPr="007A0178">
              <w:rPr>
                <w:rFonts w:cs="Arial"/>
                <w:sz w:val="18"/>
              </w:rPr>
              <w:t>5</w:t>
            </w:r>
          </w:p>
        </w:tc>
        <w:tc>
          <w:tcPr>
            <w:tcW w:w="0" w:type="auto"/>
            <w:shd w:val="clear" w:color="auto" w:fill="E2EFD9" w:themeFill="accent6" w:themeFillTint="33"/>
            <w:noWrap/>
          </w:tcPr>
          <w:p w14:paraId="1430A35C" w14:textId="77777777" w:rsidR="00FC22E6" w:rsidRPr="007A0178" w:rsidRDefault="00FC22E6" w:rsidP="005F77A1">
            <w:pPr>
              <w:spacing w:before="20" w:after="20"/>
              <w:jc w:val="center"/>
              <w:rPr>
                <w:rFonts w:cs="Arial"/>
                <w:sz w:val="18"/>
              </w:rPr>
            </w:pPr>
            <w:r w:rsidRPr="007A0178">
              <w:rPr>
                <w:rFonts w:cs="Arial"/>
                <w:sz w:val="18"/>
              </w:rPr>
              <w:t>80</w:t>
            </w:r>
          </w:p>
        </w:tc>
        <w:tc>
          <w:tcPr>
            <w:tcW w:w="0" w:type="auto"/>
            <w:noWrap/>
          </w:tcPr>
          <w:p w14:paraId="28F7BE50" w14:textId="77777777" w:rsidR="00FC22E6" w:rsidRPr="007A0178" w:rsidRDefault="00FC22E6" w:rsidP="005F77A1">
            <w:pPr>
              <w:spacing w:before="20" w:after="20"/>
              <w:jc w:val="center"/>
              <w:rPr>
                <w:rFonts w:cs="Arial"/>
                <w:sz w:val="18"/>
              </w:rPr>
            </w:pPr>
            <w:r w:rsidRPr="007A0178">
              <w:rPr>
                <w:rFonts w:cs="Arial"/>
                <w:sz w:val="18"/>
              </w:rPr>
              <w:t>11</w:t>
            </w:r>
          </w:p>
        </w:tc>
        <w:tc>
          <w:tcPr>
            <w:tcW w:w="0" w:type="auto"/>
            <w:noWrap/>
          </w:tcPr>
          <w:p w14:paraId="434CDE40" w14:textId="77777777" w:rsidR="00FC22E6" w:rsidRPr="007A0178" w:rsidRDefault="00FC22E6" w:rsidP="005F77A1">
            <w:pPr>
              <w:spacing w:before="20" w:after="20"/>
              <w:jc w:val="center"/>
              <w:rPr>
                <w:rFonts w:cs="Arial"/>
                <w:sz w:val="18"/>
              </w:rPr>
            </w:pPr>
            <w:r w:rsidRPr="007A0178">
              <w:rPr>
                <w:rFonts w:cs="Arial"/>
                <w:sz w:val="18"/>
              </w:rPr>
              <w:t>6</w:t>
            </w:r>
          </w:p>
        </w:tc>
        <w:tc>
          <w:tcPr>
            <w:tcW w:w="0" w:type="auto"/>
            <w:noWrap/>
          </w:tcPr>
          <w:p w14:paraId="76F71942" w14:textId="77777777" w:rsidR="00FC22E6" w:rsidRPr="007A0178" w:rsidRDefault="00FC22E6" w:rsidP="005F77A1">
            <w:pPr>
              <w:spacing w:before="20" w:after="20"/>
              <w:jc w:val="center"/>
              <w:rPr>
                <w:rFonts w:cs="Arial"/>
                <w:sz w:val="18"/>
              </w:rPr>
            </w:pPr>
            <w:r w:rsidRPr="007A0178">
              <w:rPr>
                <w:rFonts w:cs="Arial"/>
                <w:sz w:val="18"/>
              </w:rPr>
              <w:t>82</w:t>
            </w:r>
          </w:p>
        </w:tc>
      </w:tr>
      <w:tr w:rsidR="00FC22E6" w:rsidRPr="007A0178" w14:paraId="78C4423E" w14:textId="77777777" w:rsidTr="008B0EF4">
        <w:tc>
          <w:tcPr>
            <w:tcW w:w="0" w:type="auto"/>
            <w:noWrap/>
          </w:tcPr>
          <w:p w14:paraId="5504A7D6" w14:textId="77777777" w:rsidR="00FC22E6" w:rsidRPr="007A0178" w:rsidRDefault="00FC22E6" w:rsidP="005F77A1">
            <w:pPr>
              <w:spacing w:before="20" w:after="20"/>
              <w:rPr>
                <w:rFonts w:cs="Arial"/>
                <w:sz w:val="18"/>
              </w:rPr>
            </w:pPr>
            <w:r w:rsidRPr="007A0178">
              <w:rPr>
                <w:rFonts w:cs="Arial"/>
                <w:sz w:val="18"/>
              </w:rPr>
              <w:t>PNG</w:t>
            </w:r>
          </w:p>
        </w:tc>
        <w:tc>
          <w:tcPr>
            <w:tcW w:w="0" w:type="auto"/>
            <w:noWrap/>
          </w:tcPr>
          <w:p w14:paraId="2EA79CCE" w14:textId="77777777" w:rsidR="00FC22E6" w:rsidRPr="007A0178" w:rsidRDefault="00FC22E6" w:rsidP="005F77A1">
            <w:pPr>
              <w:spacing w:before="20" w:after="20"/>
              <w:jc w:val="center"/>
              <w:rPr>
                <w:rFonts w:cs="Arial"/>
                <w:sz w:val="18"/>
              </w:rPr>
            </w:pPr>
            <w:r w:rsidRPr="007A0178">
              <w:rPr>
                <w:rFonts w:cs="Arial"/>
                <w:sz w:val="18"/>
              </w:rPr>
              <w:t>12</w:t>
            </w:r>
          </w:p>
        </w:tc>
        <w:tc>
          <w:tcPr>
            <w:tcW w:w="0" w:type="auto"/>
            <w:noWrap/>
          </w:tcPr>
          <w:p w14:paraId="6F374487" w14:textId="77777777" w:rsidR="00FC22E6" w:rsidRPr="007A0178" w:rsidRDefault="00FC22E6" w:rsidP="005F77A1">
            <w:pPr>
              <w:spacing w:before="20" w:after="20"/>
              <w:jc w:val="center"/>
              <w:rPr>
                <w:rFonts w:cs="Arial"/>
                <w:sz w:val="18"/>
              </w:rPr>
            </w:pPr>
            <w:r w:rsidRPr="007A0178">
              <w:rPr>
                <w:rFonts w:cs="Arial"/>
                <w:sz w:val="18"/>
              </w:rPr>
              <w:t>33</w:t>
            </w:r>
          </w:p>
        </w:tc>
        <w:tc>
          <w:tcPr>
            <w:tcW w:w="0" w:type="auto"/>
            <w:shd w:val="clear" w:color="auto" w:fill="E2EFD9" w:themeFill="accent6" w:themeFillTint="33"/>
            <w:noWrap/>
          </w:tcPr>
          <w:p w14:paraId="364CEA00" w14:textId="77777777" w:rsidR="00FC22E6" w:rsidRPr="007A0178" w:rsidRDefault="00FC22E6" w:rsidP="005F77A1">
            <w:pPr>
              <w:spacing w:before="20" w:after="20"/>
              <w:jc w:val="center"/>
              <w:rPr>
                <w:rFonts w:cs="Arial"/>
                <w:sz w:val="18"/>
              </w:rPr>
            </w:pPr>
            <w:r w:rsidRPr="007A0178">
              <w:rPr>
                <w:rFonts w:cs="Arial"/>
                <w:sz w:val="18"/>
              </w:rPr>
              <w:t>8</w:t>
            </w:r>
          </w:p>
        </w:tc>
        <w:tc>
          <w:tcPr>
            <w:tcW w:w="0" w:type="auto"/>
            <w:shd w:val="clear" w:color="auto" w:fill="E2EFD9" w:themeFill="accent6" w:themeFillTint="33"/>
            <w:noWrap/>
          </w:tcPr>
          <w:p w14:paraId="3FB9DEB0" w14:textId="77777777" w:rsidR="00FC22E6" w:rsidRPr="007A0178" w:rsidRDefault="00FC22E6" w:rsidP="005F77A1">
            <w:pPr>
              <w:spacing w:before="20" w:after="20"/>
              <w:jc w:val="center"/>
              <w:rPr>
                <w:rFonts w:cs="Arial"/>
                <w:sz w:val="18"/>
              </w:rPr>
            </w:pPr>
            <w:r w:rsidRPr="007A0178">
              <w:rPr>
                <w:rFonts w:cs="Arial"/>
                <w:sz w:val="18"/>
              </w:rPr>
              <w:t>75</w:t>
            </w:r>
          </w:p>
        </w:tc>
        <w:tc>
          <w:tcPr>
            <w:tcW w:w="0" w:type="auto"/>
            <w:noWrap/>
          </w:tcPr>
          <w:p w14:paraId="58A0D3DD" w14:textId="77777777" w:rsidR="00FC22E6" w:rsidRPr="007A0178" w:rsidRDefault="00FC22E6" w:rsidP="005F77A1">
            <w:pPr>
              <w:spacing w:before="20" w:after="20"/>
              <w:jc w:val="center"/>
              <w:rPr>
                <w:rFonts w:cs="Arial"/>
                <w:sz w:val="18"/>
              </w:rPr>
            </w:pPr>
            <w:r w:rsidRPr="007A0178">
              <w:rPr>
                <w:rFonts w:cs="Arial"/>
                <w:sz w:val="18"/>
              </w:rPr>
              <w:t>20</w:t>
            </w:r>
          </w:p>
        </w:tc>
        <w:tc>
          <w:tcPr>
            <w:tcW w:w="0" w:type="auto"/>
            <w:noWrap/>
          </w:tcPr>
          <w:p w14:paraId="2CEC9B87" w14:textId="77777777" w:rsidR="00FC22E6" w:rsidRPr="007A0178" w:rsidRDefault="00FC22E6" w:rsidP="005F77A1">
            <w:pPr>
              <w:spacing w:before="20" w:after="20"/>
              <w:jc w:val="center"/>
              <w:rPr>
                <w:rFonts w:cs="Arial"/>
                <w:sz w:val="18"/>
              </w:rPr>
            </w:pPr>
            <w:r w:rsidRPr="007A0178">
              <w:rPr>
                <w:rFonts w:cs="Arial"/>
                <w:sz w:val="18"/>
              </w:rPr>
              <w:t>11</w:t>
            </w:r>
          </w:p>
        </w:tc>
        <w:tc>
          <w:tcPr>
            <w:tcW w:w="0" w:type="auto"/>
            <w:noWrap/>
          </w:tcPr>
          <w:p w14:paraId="0C176682" w14:textId="77777777" w:rsidR="00FC22E6" w:rsidRPr="007A0178" w:rsidRDefault="00FC22E6" w:rsidP="005F77A1">
            <w:pPr>
              <w:spacing w:before="20" w:after="20"/>
              <w:jc w:val="center"/>
              <w:rPr>
                <w:rFonts w:cs="Arial"/>
                <w:sz w:val="18"/>
              </w:rPr>
            </w:pPr>
            <w:r w:rsidRPr="007A0178">
              <w:rPr>
                <w:rFonts w:cs="Arial"/>
                <w:sz w:val="18"/>
              </w:rPr>
              <w:t>50</w:t>
            </w:r>
          </w:p>
        </w:tc>
      </w:tr>
      <w:tr w:rsidR="00FC22E6" w:rsidRPr="007A0178" w14:paraId="44E3AAFD" w14:textId="77777777" w:rsidTr="008B0EF4">
        <w:tc>
          <w:tcPr>
            <w:tcW w:w="0" w:type="auto"/>
            <w:noWrap/>
          </w:tcPr>
          <w:p w14:paraId="1C2E4D7F" w14:textId="77777777" w:rsidR="00FC22E6" w:rsidRPr="007A0178" w:rsidRDefault="00FC22E6" w:rsidP="005F77A1">
            <w:pPr>
              <w:spacing w:before="20" w:after="20"/>
              <w:rPr>
                <w:rFonts w:cs="Arial"/>
                <w:sz w:val="18"/>
              </w:rPr>
            </w:pPr>
            <w:r w:rsidRPr="007A0178">
              <w:rPr>
                <w:rFonts w:cs="Arial"/>
                <w:sz w:val="18"/>
              </w:rPr>
              <w:t>Solomon Islands</w:t>
            </w:r>
          </w:p>
        </w:tc>
        <w:tc>
          <w:tcPr>
            <w:tcW w:w="0" w:type="auto"/>
            <w:noWrap/>
          </w:tcPr>
          <w:p w14:paraId="375FB61D" w14:textId="77777777" w:rsidR="00FC22E6" w:rsidRPr="007A0178" w:rsidRDefault="00FC22E6" w:rsidP="005F77A1">
            <w:pPr>
              <w:spacing w:before="20" w:after="20"/>
              <w:jc w:val="center"/>
              <w:rPr>
                <w:rFonts w:cs="Arial"/>
                <w:sz w:val="18"/>
              </w:rPr>
            </w:pPr>
            <w:r w:rsidRPr="007A0178">
              <w:rPr>
                <w:rFonts w:cs="Arial"/>
                <w:sz w:val="18"/>
              </w:rPr>
              <w:t>0</w:t>
            </w:r>
          </w:p>
        </w:tc>
        <w:tc>
          <w:tcPr>
            <w:tcW w:w="0" w:type="auto"/>
            <w:noWrap/>
          </w:tcPr>
          <w:p w14:paraId="6DDA3A1E" w14:textId="77777777" w:rsidR="00FC22E6" w:rsidRPr="007A0178" w:rsidRDefault="00FC22E6" w:rsidP="005F77A1">
            <w:pPr>
              <w:spacing w:before="20" w:after="20"/>
              <w:jc w:val="center"/>
              <w:rPr>
                <w:rFonts w:cs="Arial"/>
                <w:sz w:val="18"/>
              </w:rPr>
            </w:pPr>
          </w:p>
        </w:tc>
        <w:tc>
          <w:tcPr>
            <w:tcW w:w="0" w:type="auto"/>
            <w:shd w:val="clear" w:color="auto" w:fill="E2EFD9" w:themeFill="accent6" w:themeFillTint="33"/>
            <w:noWrap/>
          </w:tcPr>
          <w:p w14:paraId="67F48AF4" w14:textId="77777777" w:rsidR="00FC22E6" w:rsidRPr="007A0178" w:rsidRDefault="00FC22E6" w:rsidP="005F77A1">
            <w:pPr>
              <w:spacing w:before="20" w:after="20"/>
              <w:jc w:val="center"/>
              <w:rPr>
                <w:rFonts w:cs="Arial"/>
                <w:sz w:val="18"/>
              </w:rPr>
            </w:pPr>
            <w:r w:rsidRPr="007A0178">
              <w:rPr>
                <w:rFonts w:cs="Arial"/>
                <w:sz w:val="18"/>
              </w:rPr>
              <w:t>1</w:t>
            </w:r>
          </w:p>
        </w:tc>
        <w:tc>
          <w:tcPr>
            <w:tcW w:w="0" w:type="auto"/>
            <w:shd w:val="clear" w:color="auto" w:fill="E2EFD9" w:themeFill="accent6" w:themeFillTint="33"/>
            <w:noWrap/>
          </w:tcPr>
          <w:p w14:paraId="2B83AECC" w14:textId="77777777" w:rsidR="00FC22E6" w:rsidRPr="007A0178" w:rsidRDefault="00FC22E6" w:rsidP="005F77A1">
            <w:pPr>
              <w:spacing w:before="20" w:after="20"/>
              <w:jc w:val="center"/>
              <w:rPr>
                <w:rFonts w:cs="Arial"/>
                <w:sz w:val="18"/>
              </w:rPr>
            </w:pPr>
            <w:r w:rsidRPr="007A0178">
              <w:rPr>
                <w:rFonts w:cs="Arial"/>
                <w:sz w:val="18"/>
              </w:rPr>
              <w:t>100</w:t>
            </w:r>
          </w:p>
        </w:tc>
        <w:tc>
          <w:tcPr>
            <w:tcW w:w="0" w:type="auto"/>
            <w:noWrap/>
          </w:tcPr>
          <w:p w14:paraId="75D5A11F" w14:textId="77777777" w:rsidR="00FC22E6" w:rsidRPr="007A0178" w:rsidRDefault="00FC22E6" w:rsidP="005F77A1">
            <w:pPr>
              <w:spacing w:before="20" w:after="20"/>
              <w:jc w:val="center"/>
              <w:rPr>
                <w:rFonts w:cs="Arial"/>
                <w:sz w:val="18"/>
              </w:rPr>
            </w:pPr>
            <w:r w:rsidRPr="007A0178">
              <w:rPr>
                <w:rFonts w:cs="Arial"/>
                <w:sz w:val="18"/>
              </w:rPr>
              <w:t>1</w:t>
            </w:r>
          </w:p>
        </w:tc>
        <w:tc>
          <w:tcPr>
            <w:tcW w:w="0" w:type="auto"/>
            <w:noWrap/>
          </w:tcPr>
          <w:p w14:paraId="1F931A60" w14:textId="77777777" w:rsidR="00FC22E6" w:rsidRPr="007A0178" w:rsidRDefault="00FC22E6" w:rsidP="005F77A1">
            <w:pPr>
              <w:spacing w:before="20" w:after="20"/>
              <w:jc w:val="center"/>
              <w:rPr>
                <w:rFonts w:cs="Arial"/>
                <w:sz w:val="18"/>
              </w:rPr>
            </w:pPr>
            <w:r w:rsidRPr="007A0178">
              <w:rPr>
                <w:rFonts w:cs="Arial"/>
                <w:sz w:val="18"/>
              </w:rPr>
              <w:t>1</w:t>
            </w:r>
          </w:p>
        </w:tc>
        <w:tc>
          <w:tcPr>
            <w:tcW w:w="0" w:type="auto"/>
            <w:noWrap/>
          </w:tcPr>
          <w:p w14:paraId="69678EF1" w14:textId="77777777" w:rsidR="00FC22E6" w:rsidRPr="007A0178" w:rsidRDefault="00FC22E6" w:rsidP="005F77A1">
            <w:pPr>
              <w:spacing w:before="20" w:after="20"/>
              <w:jc w:val="center"/>
              <w:rPr>
                <w:rFonts w:cs="Arial"/>
                <w:sz w:val="18"/>
              </w:rPr>
            </w:pPr>
            <w:r w:rsidRPr="007A0178">
              <w:rPr>
                <w:rFonts w:cs="Arial"/>
                <w:sz w:val="18"/>
              </w:rPr>
              <w:t>100</w:t>
            </w:r>
          </w:p>
        </w:tc>
      </w:tr>
      <w:tr w:rsidR="00FC22E6" w:rsidRPr="007A0178" w14:paraId="239E3E4B" w14:textId="77777777" w:rsidTr="008B0EF4">
        <w:tc>
          <w:tcPr>
            <w:tcW w:w="0" w:type="auto"/>
            <w:noWrap/>
          </w:tcPr>
          <w:p w14:paraId="6D2373EA" w14:textId="77777777" w:rsidR="00FC22E6" w:rsidRPr="007A0178" w:rsidRDefault="00FC22E6" w:rsidP="005F77A1">
            <w:pPr>
              <w:spacing w:before="20" w:after="20"/>
              <w:rPr>
                <w:rFonts w:cs="Arial"/>
                <w:sz w:val="18"/>
              </w:rPr>
            </w:pPr>
            <w:r w:rsidRPr="007A0178">
              <w:rPr>
                <w:rFonts w:cs="Arial"/>
                <w:sz w:val="18"/>
              </w:rPr>
              <w:t>Other</w:t>
            </w:r>
          </w:p>
        </w:tc>
        <w:tc>
          <w:tcPr>
            <w:tcW w:w="0" w:type="auto"/>
            <w:noWrap/>
          </w:tcPr>
          <w:p w14:paraId="0422C735" w14:textId="77777777" w:rsidR="00FC22E6" w:rsidRPr="007A0178" w:rsidRDefault="00FC22E6" w:rsidP="005F77A1">
            <w:pPr>
              <w:spacing w:before="20" w:after="20"/>
              <w:jc w:val="center"/>
              <w:rPr>
                <w:rFonts w:cs="Arial"/>
                <w:sz w:val="18"/>
              </w:rPr>
            </w:pPr>
            <w:r w:rsidRPr="007A0178">
              <w:rPr>
                <w:rFonts w:cs="Arial"/>
                <w:sz w:val="18"/>
              </w:rPr>
              <w:t>0</w:t>
            </w:r>
          </w:p>
        </w:tc>
        <w:tc>
          <w:tcPr>
            <w:tcW w:w="0" w:type="auto"/>
            <w:noWrap/>
          </w:tcPr>
          <w:p w14:paraId="4540DEA5" w14:textId="77777777" w:rsidR="00FC22E6" w:rsidRPr="007A0178" w:rsidRDefault="00FC22E6" w:rsidP="005F77A1">
            <w:pPr>
              <w:spacing w:before="20" w:after="20"/>
              <w:jc w:val="center"/>
              <w:rPr>
                <w:rFonts w:cs="Arial"/>
                <w:sz w:val="18"/>
              </w:rPr>
            </w:pPr>
          </w:p>
        </w:tc>
        <w:tc>
          <w:tcPr>
            <w:tcW w:w="0" w:type="auto"/>
            <w:shd w:val="clear" w:color="auto" w:fill="E2EFD9" w:themeFill="accent6" w:themeFillTint="33"/>
            <w:noWrap/>
          </w:tcPr>
          <w:p w14:paraId="64AA4817" w14:textId="77777777" w:rsidR="00FC22E6" w:rsidRPr="007A0178" w:rsidRDefault="00FC22E6" w:rsidP="005F77A1">
            <w:pPr>
              <w:spacing w:before="20" w:after="20"/>
              <w:jc w:val="center"/>
              <w:rPr>
                <w:rFonts w:cs="Arial"/>
                <w:sz w:val="18"/>
              </w:rPr>
            </w:pPr>
            <w:r w:rsidRPr="007A0178">
              <w:rPr>
                <w:rFonts w:cs="Arial"/>
                <w:sz w:val="18"/>
              </w:rPr>
              <w:t>1</w:t>
            </w:r>
          </w:p>
        </w:tc>
        <w:tc>
          <w:tcPr>
            <w:tcW w:w="0" w:type="auto"/>
            <w:shd w:val="clear" w:color="auto" w:fill="E2EFD9" w:themeFill="accent6" w:themeFillTint="33"/>
            <w:noWrap/>
          </w:tcPr>
          <w:p w14:paraId="739C86A0" w14:textId="77777777" w:rsidR="00FC22E6" w:rsidRPr="007A0178" w:rsidRDefault="00FC22E6" w:rsidP="005F77A1">
            <w:pPr>
              <w:spacing w:before="20" w:after="20"/>
              <w:jc w:val="center"/>
              <w:rPr>
                <w:rFonts w:cs="Arial"/>
                <w:sz w:val="18"/>
              </w:rPr>
            </w:pPr>
            <w:r w:rsidRPr="007A0178">
              <w:rPr>
                <w:rFonts w:cs="Arial"/>
                <w:sz w:val="18"/>
              </w:rPr>
              <w:t>100</w:t>
            </w:r>
          </w:p>
        </w:tc>
        <w:tc>
          <w:tcPr>
            <w:tcW w:w="0" w:type="auto"/>
            <w:noWrap/>
          </w:tcPr>
          <w:p w14:paraId="56E59405" w14:textId="77777777" w:rsidR="00FC22E6" w:rsidRPr="007A0178" w:rsidRDefault="00FC22E6" w:rsidP="005F77A1">
            <w:pPr>
              <w:spacing w:before="20" w:after="20"/>
              <w:jc w:val="center"/>
              <w:rPr>
                <w:rFonts w:cs="Arial"/>
                <w:sz w:val="18"/>
              </w:rPr>
            </w:pPr>
            <w:r w:rsidRPr="007A0178">
              <w:rPr>
                <w:rFonts w:cs="Arial"/>
                <w:sz w:val="18"/>
              </w:rPr>
              <w:t>1</w:t>
            </w:r>
          </w:p>
        </w:tc>
        <w:tc>
          <w:tcPr>
            <w:tcW w:w="0" w:type="auto"/>
            <w:noWrap/>
          </w:tcPr>
          <w:p w14:paraId="406C733C" w14:textId="77777777" w:rsidR="00FC22E6" w:rsidRPr="007A0178" w:rsidRDefault="00FC22E6" w:rsidP="005F77A1">
            <w:pPr>
              <w:spacing w:before="20" w:after="20"/>
              <w:jc w:val="center"/>
              <w:rPr>
                <w:rFonts w:cs="Arial"/>
                <w:sz w:val="18"/>
              </w:rPr>
            </w:pPr>
            <w:r w:rsidRPr="007A0178">
              <w:rPr>
                <w:rFonts w:cs="Arial"/>
                <w:sz w:val="18"/>
              </w:rPr>
              <w:t>1</w:t>
            </w:r>
          </w:p>
        </w:tc>
        <w:tc>
          <w:tcPr>
            <w:tcW w:w="0" w:type="auto"/>
            <w:noWrap/>
          </w:tcPr>
          <w:p w14:paraId="1B8DA276" w14:textId="77777777" w:rsidR="00FC22E6" w:rsidRPr="007A0178" w:rsidRDefault="00FC22E6" w:rsidP="005F77A1">
            <w:pPr>
              <w:spacing w:before="20" w:after="20"/>
              <w:jc w:val="center"/>
              <w:rPr>
                <w:rFonts w:cs="Arial"/>
                <w:sz w:val="18"/>
              </w:rPr>
            </w:pPr>
            <w:r w:rsidRPr="007A0178">
              <w:rPr>
                <w:rFonts w:cs="Arial"/>
                <w:sz w:val="18"/>
              </w:rPr>
              <w:t>100</w:t>
            </w:r>
          </w:p>
        </w:tc>
      </w:tr>
      <w:tr w:rsidR="00FC22E6" w:rsidRPr="007A0178" w14:paraId="5AC1CC70" w14:textId="77777777" w:rsidTr="008B0EF4">
        <w:tc>
          <w:tcPr>
            <w:tcW w:w="0" w:type="auto"/>
            <w:shd w:val="clear" w:color="auto" w:fill="E2EFD9" w:themeFill="accent6" w:themeFillTint="33"/>
            <w:noWrap/>
          </w:tcPr>
          <w:p w14:paraId="08C88A48" w14:textId="77777777" w:rsidR="00FC22E6" w:rsidRPr="007A0178" w:rsidRDefault="00FC22E6" w:rsidP="005F77A1">
            <w:pPr>
              <w:spacing w:before="20" w:after="20"/>
              <w:rPr>
                <w:rFonts w:cs="Arial"/>
                <w:b/>
                <w:sz w:val="18"/>
              </w:rPr>
            </w:pPr>
            <w:r w:rsidRPr="007A0178">
              <w:rPr>
                <w:rFonts w:cs="Arial"/>
                <w:b/>
                <w:sz w:val="18"/>
              </w:rPr>
              <w:t>Total</w:t>
            </w:r>
          </w:p>
        </w:tc>
        <w:tc>
          <w:tcPr>
            <w:tcW w:w="0" w:type="auto"/>
            <w:shd w:val="clear" w:color="auto" w:fill="E2EFD9" w:themeFill="accent6" w:themeFillTint="33"/>
            <w:noWrap/>
          </w:tcPr>
          <w:p w14:paraId="106DA721" w14:textId="77777777" w:rsidR="00FC22E6" w:rsidRPr="007A0178" w:rsidRDefault="00FC22E6" w:rsidP="005F77A1">
            <w:pPr>
              <w:spacing w:before="20" w:after="20"/>
              <w:jc w:val="center"/>
              <w:rPr>
                <w:rFonts w:cs="Arial"/>
                <w:b/>
                <w:sz w:val="18"/>
              </w:rPr>
            </w:pPr>
            <w:r w:rsidRPr="007A0178">
              <w:rPr>
                <w:rFonts w:cs="Arial"/>
                <w:b/>
                <w:sz w:val="18"/>
              </w:rPr>
              <w:t>97</w:t>
            </w:r>
          </w:p>
        </w:tc>
        <w:tc>
          <w:tcPr>
            <w:tcW w:w="0" w:type="auto"/>
            <w:shd w:val="clear" w:color="auto" w:fill="E2EFD9" w:themeFill="accent6" w:themeFillTint="33"/>
            <w:noWrap/>
          </w:tcPr>
          <w:p w14:paraId="59B14E97" w14:textId="77777777" w:rsidR="00FC22E6" w:rsidRPr="007A0178" w:rsidRDefault="00FC22E6" w:rsidP="005F77A1">
            <w:pPr>
              <w:spacing w:before="20" w:after="20"/>
              <w:jc w:val="center"/>
              <w:rPr>
                <w:rFonts w:cs="Arial"/>
                <w:b/>
                <w:sz w:val="18"/>
              </w:rPr>
            </w:pPr>
            <w:r w:rsidRPr="007A0178">
              <w:rPr>
                <w:rFonts w:cs="Arial"/>
                <w:b/>
                <w:sz w:val="18"/>
              </w:rPr>
              <w:t>42</w:t>
            </w:r>
          </w:p>
        </w:tc>
        <w:tc>
          <w:tcPr>
            <w:tcW w:w="0" w:type="auto"/>
            <w:shd w:val="clear" w:color="auto" w:fill="E2EFD9" w:themeFill="accent6" w:themeFillTint="33"/>
            <w:noWrap/>
          </w:tcPr>
          <w:p w14:paraId="0220DA24" w14:textId="77777777" w:rsidR="00FC22E6" w:rsidRPr="007A0178" w:rsidRDefault="00FC22E6" w:rsidP="005F77A1">
            <w:pPr>
              <w:spacing w:before="20" w:after="20"/>
              <w:jc w:val="center"/>
              <w:rPr>
                <w:rFonts w:cs="Arial"/>
                <w:b/>
                <w:sz w:val="18"/>
              </w:rPr>
            </w:pPr>
            <w:r w:rsidRPr="007A0178">
              <w:rPr>
                <w:rFonts w:cs="Arial"/>
                <w:b/>
                <w:sz w:val="18"/>
              </w:rPr>
              <w:t>90</w:t>
            </w:r>
          </w:p>
        </w:tc>
        <w:tc>
          <w:tcPr>
            <w:tcW w:w="0" w:type="auto"/>
            <w:shd w:val="clear" w:color="auto" w:fill="E2EFD9" w:themeFill="accent6" w:themeFillTint="33"/>
            <w:noWrap/>
          </w:tcPr>
          <w:p w14:paraId="415D3E0B" w14:textId="77777777" w:rsidR="00FC22E6" w:rsidRPr="007A0178" w:rsidRDefault="00FC22E6" w:rsidP="005F77A1">
            <w:pPr>
              <w:spacing w:before="20" w:after="20"/>
              <w:jc w:val="center"/>
              <w:rPr>
                <w:rFonts w:cs="Arial"/>
                <w:b/>
                <w:sz w:val="18"/>
              </w:rPr>
            </w:pPr>
            <w:r w:rsidRPr="007A0178">
              <w:rPr>
                <w:rFonts w:cs="Arial"/>
                <w:b/>
                <w:sz w:val="18"/>
              </w:rPr>
              <w:t>74</w:t>
            </w:r>
          </w:p>
        </w:tc>
        <w:tc>
          <w:tcPr>
            <w:tcW w:w="0" w:type="auto"/>
            <w:shd w:val="clear" w:color="auto" w:fill="E2EFD9" w:themeFill="accent6" w:themeFillTint="33"/>
            <w:noWrap/>
          </w:tcPr>
          <w:p w14:paraId="3121F0DC" w14:textId="77777777" w:rsidR="00FC22E6" w:rsidRPr="007A0178" w:rsidRDefault="00FC22E6" w:rsidP="005F77A1">
            <w:pPr>
              <w:spacing w:before="20" w:after="20"/>
              <w:jc w:val="center"/>
              <w:rPr>
                <w:rFonts w:cs="Arial"/>
                <w:b/>
                <w:sz w:val="18"/>
              </w:rPr>
            </w:pPr>
            <w:r w:rsidRPr="007A0178">
              <w:rPr>
                <w:rFonts w:cs="Arial"/>
                <w:b/>
                <w:sz w:val="18"/>
              </w:rPr>
              <w:t>187</w:t>
            </w:r>
          </w:p>
        </w:tc>
        <w:tc>
          <w:tcPr>
            <w:tcW w:w="0" w:type="auto"/>
            <w:shd w:val="clear" w:color="auto" w:fill="E2EFD9" w:themeFill="accent6" w:themeFillTint="33"/>
            <w:noWrap/>
          </w:tcPr>
          <w:p w14:paraId="7E21EFA0" w14:textId="77777777" w:rsidR="00FC22E6" w:rsidRPr="007A0178" w:rsidRDefault="00FC22E6" w:rsidP="005F77A1">
            <w:pPr>
              <w:spacing w:before="20" w:after="20"/>
              <w:jc w:val="center"/>
              <w:rPr>
                <w:rFonts w:cs="Arial"/>
                <w:b/>
                <w:sz w:val="18"/>
              </w:rPr>
            </w:pPr>
            <w:r w:rsidRPr="007A0178">
              <w:rPr>
                <w:rFonts w:cs="Arial"/>
                <w:b/>
                <w:sz w:val="18"/>
              </w:rPr>
              <w:t>100</w:t>
            </w:r>
          </w:p>
        </w:tc>
        <w:tc>
          <w:tcPr>
            <w:tcW w:w="0" w:type="auto"/>
            <w:shd w:val="clear" w:color="auto" w:fill="E2EFD9" w:themeFill="accent6" w:themeFillTint="33"/>
            <w:noWrap/>
          </w:tcPr>
          <w:p w14:paraId="76F2C6CE" w14:textId="77777777" w:rsidR="00FC22E6" w:rsidRPr="007A0178" w:rsidRDefault="00FC22E6" w:rsidP="005F77A1">
            <w:pPr>
              <w:spacing w:before="20" w:after="20"/>
              <w:jc w:val="center"/>
              <w:rPr>
                <w:rFonts w:cs="Arial"/>
                <w:b/>
                <w:sz w:val="18"/>
              </w:rPr>
            </w:pPr>
            <w:r w:rsidRPr="007A0178">
              <w:rPr>
                <w:rFonts w:cs="Arial"/>
                <w:b/>
                <w:sz w:val="18"/>
              </w:rPr>
              <w:t>58</w:t>
            </w:r>
          </w:p>
        </w:tc>
      </w:tr>
      <w:tr w:rsidR="00FC22E6" w:rsidRPr="007A0178" w14:paraId="5AECC46C" w14:textId="77777777" w:rsidTr="008B0EF4">
        <w:tc>
          <w:tcPr>
            <w:tcW w:w="0" w:type="auto"/>
            <w:shd w:val="clear" w:color="auto" w:fill="E2EFD9" w:themeFill="accent6" w:themeFillTint="33"/>
            <w:noWrap/>
          </w:tcPr>
          <w:p w14:paraId="57CCCB6A" w14:textId="77777777" w:rsidR="00FC22E6" w:rsidRPr="007A0178" w:rsidRDefault="00FC22E6" w:rsidP="005F77A1">
            <w:pPr>
              <w:spacing w:before="20" w:after="20"/>
              <w:rPr>
                <w:rFonts w:cs="Arial"/>
                <w:b/>
                <w:sz w:val="18"/>
              </w:rPr>
            </w:pPr>
            <w:r w:rsidRPr="007A0178">
              <w:rPr>
                <w:rFonts w:cs="Arial"/>
                <w:b/>
                <w:sz w:val="18"/>
              </w:rPr>
              <w:t>% total</w:t>
            </w:r>
          </w:p>
        </w:tc>
        <w:tc>
          <w:tcPr>
            <w:tcW w:w="0" w:type="auto"/>
            <w:shd w:val="clear" w:color="auto" w:fill="E2EFD9" w:themeFill="accent6" w:themeFillTint="33"/>
            <w:noWrap/>
          </w:tcPr>
          <w:p w14:paraId="66A47C78" w14:textId="77777777" w:rsidR="00FC22E6" w:rsidRPr="007A0178" w:rsidRDefault="00FC22E6" w:rsidP="005F77A1">
            <w:pPr>
              <w:spacing w:before="20" w:after="20"/>
              <w:jc w:val="center"/>
              <w:rPr>
                <w:rFonts w:cs="Arial"/>
                <w:b/>
                <w:sz w:val="18"/>
              </w:rPr>
            </w:pPr>
            <w:r w:rsidRPr="007A0178">
              <w:rPr>
                <w:rFonts w:cs="Arial"/>
                <w:b/>
                <w:sz w:val="18"/>
              </w:rPr>
              <w:t>52</w:t>
            </w:r>
          </w:p>
        </w:tc>
        <w:tc>
          <w:tcPr>
            <w:tcW w:w="0" w:type="auto"/>
            <w:shd w:val="clear" w:color="auto" w:fill="E2EFD9" w:themeFill="accent6" w:themeFillTint="33"/>
            <w:noWrap/>
          </w:tcPr>
          <w:p w14:paraId="4F47F510" w14:textId="77777777" w:rsidR="00FC22E6" w:rsidRPr="007A0178" w:rsidRDefault="00FC22E6" w:rsidP="005F77A1">
            <w:pPr>
              <w:spacing w:before="20" w:after="20"/>
              <w:jc w:val="center"/>
              <w:rPr>
                <w:rFonts w:cs="Arial"/>
                <w:b/>
                <w:sz w:val="18"/>
              </w:rPr>
            </w:pPr>
          </w:p>
        </w:tc>
        <w:tc>
          <w:tcPr>
            <w:tcW w:w="0" w:type="auto"/>
            <w:shd w:val="clear" w:color="auto" w:fill="E2EFD9" w:themeFill="accent6" w:themeFillTint="33"/>
            <w:noWrap/>
          </w:tcPr>
          <w:p w14:paraId="16914F1E" w14:textId="77777777" w:rsidR="00FC22E6" w:rsidRPr="007A0178" w:rsidRDefault="00FC22E6" w:rsidP="005F77A1">
            <w:pPr>
              <w:spacing w:before="20" w:after="20"/>
              <w:jc w:val="center"/>
              <w:rPr>
                <w:rFonts w:cs="Arial"/>
                <w:b/>
                <w:sz w:val="18"/>
              </w:rPr>
            </w:pPr>
            <w:r w:rsidRPr="007A0178">
              <w:rPr>
                <w:rFonts w:cs="Arial"/>
                <w:b/>
                <w:sz w:val="18"/>
              </w:rPr>
              <w:t>48</w:t>
            </w:r>
          </w:p>
        </w:tc>
        <w:tc>
          <w:tcPr>
            <w:tcW w:w="0" w:type="auto"/>
            <w:shd w:val="clear" w:color="auto" w:fill="E2EFD9" w:themeFill="accent6" w:themeFillTint="33"/>
            <w:noWrap/>
          </w:tcPr>
          <w:p w14:paraId="5F94DF61" w14:textId="77777777" w:rsidR="00FC22E6" w:rsidRPr="007A0178" w:rsidRDefault="00FC22E6" w:rsidP="005F77A1">
            <w:pPr>
              <w:spacing w:before="20" w:after="20"/>
              <w:jc w:val="center"/>
              <w:rPr>
                <w:rFonts w:cs="Arial"/>
                <w:b/>
                <w:sz w:val="18"/>
              </w:rPr>
            </w:pPr>
          </w:p>
        </w:tc>
        <w:tc>
          <w:tcPr>
            <w:tcW w:w="0" w:type="auto"/>
            <w:shd w:val="clear" w:color="auto" w:fill="E2EFD9" w:themeFill="accent6" w:themeFillTint="33"/>
            <w:noWrap/>
          </w:tcPr>
          <w:p w14:paraId="6D4A6FE4" w14:textId="77777777" w:rsidR="00FC22E6" w:rsidRPr="007A0178" w:rsidRDefault="00FC22E6" w:rsidP="005F77A1">
            <w:pPr>
              <w:spacing w:before="20" w:after="20"/>
              <w:jc w:val="center"/>
              <w:rPr>
                <w:rFonts w:cs="Arial"/>
                <w:b/>
                <w:sz w:val="18"/>
              </w:rPr>
            </w:pPr>
            <w:r w:rsidRPr="007A0178">
              <w:rPr>
                <w:rFonts w:cs="Arial"/>
                <w:b/>
                <w:sz w:val="18"/>
              </w:rPr>
              <w:t>100</w:t>
            </w:r>
          </w:p>
        </w:tc>
        <w:tc>
          <w:tcPr>
            <w:tcW w:w="0" w:type="auto"/>
            <w:shd w:val="clear" w:color="auto" w:fill="E2EFD9" w:themeFill="accent6" w:themeFillTint="33"/>
            <w:noWrap/>
          </w:tcPr>
          <w:p w14:paraId="5BB36DFF" w14:textId="77777777" w:rsidR="00FC22E6" w:rsidRPr="007A0178" w:rsidRDefault="00FC22E6" w:rsidP="005F77A1">
            <w:pPr>
              <w:spacing w:before="20" w:after="20"/>
              <w:jc w:val="center"/>
              <w:rPr>
                <w:rFonts w:cs="Arial"/>
                <w:b/>
                <w:sz w:val="18"/>
              </w:rPr>
            </w:pPr>
          </w:p>
        </w:tc>
        <w:tc>
          <w:tcPr>
            <w:tcW w:w="0" w:type="auto"/>
            <w:shd w:val="clear" w:color="auto" w:fill="E2EFD9" w:themeFill="accent6" w:themeFillTint="33"/>
            <w:noWrap/>
          </w:tcPr>
          <w:p w14:paraId="0D8FA655" w14:textId="77777777" w:rsidR="00FC22E6" w:rsidRPr="007A0178" w:rsidRDefault="00FC22E6" w:rsidP="005F77A1">
            <w:pPr>
              <w:spacing w:before="20" w:after="20"/>
              <w:jc w:val="center"/>
              <w:rPr>
                <w:rFonts w:cs="Arial"/>
                <w:b/>
                <w:sz w:val="18"/>
              </w:rPr>
            </w:pPr>
          </w:p>
        </w:tc>
      </w:tr>
    </w:tbl>
    <w:p w14:paraId="48385041" w14:textId="77777777" w:rsidR="00FC22E6" w:rsidRPr="007A0178" w:rsidRDefault="00FC22E6" w:rsidP="00FC22E6">
      <w:pPr>
        <w:rPr>
          <w:sz w:val="16"/>
          <w:szCs w:val="18"/>
        </w:rPr>
      </w:pPr>
      <w:r w:rsidRPr="007A0178">
        <w:rPr>
          <w:sz w:val="16"/>
          <w:szCs w:val="18"/>
        </w:rPr>
        <w:t>Source: Calculated from APTC HR Submission, 15 July 2014</w:t>
      </w:r>
    </w:p>
    <w:p w14:paraId="336BB278" w14:textId="77777777" w:rsidR="00FC22E6" w:rsidRDefault="00FC22E6" w:rsidP="00FC22E6">
      <w:pPr>
        <w:rPr>
          <w:rFonts w:cs="Arial"/>
        </w:rPr>
      </w:pPr>
      <w:r>
        <w:rPr>
          <w:rFonts w:cs="Arial"/>
        </w:rPr>
        <w:br/>
        <w:t>Teaching staff slightly outweighed non-teaching staff in the first half of 2014. The ratios have fluctuated frequently, but the number of non-teaching staff has risen steadily from 41 at the end of 2008 to 97 at present.</w:t>
      </w:r>
    </w:p>
    <w:p w14:paraId="63E6CED9" w14:textId="77777777" w:rsidR="008B0EF4" w:rsidRDefault="008B0EF4">
      <w:pPr>
        <w:spacing w:after="0"/>
        <w:rPr>
          <w:rFonts w:cs="Arial"/>
          <w:b/>
          <w:color w:val="76923C"/>
          <w:szCs w:val="22"/>
        </w:rPr>
      </w:pPr>
      <w:bookmarkStart w:id="408" w:name="_Toc274059258"/>
      <w:bookmarkStart w:id="409" w:name="_Toc274146466"/>
      <w:bookmarkStart w:id="410" w:name="_Toc274915925"/>
      <w:bookmarkStart w:id="411" w:name="_Toc278446905"/>
      <w:r>
        <w:br w:type="page"/>
      </w:r>
    </w:p>
    <w:p w14:paraId="45AA6BCD" w14:textId="0DA2FACC" w:rsidR="00FC22E6" w:rsidRPr="00D17CCB" w:rsidRDefault="00FC22E6" w:rsidP="00FC22E6">
      <w:pPr>
        <w:pStyle w:val="Tableheading"/>
      </w:pPr>
      <w:r>
        <w:t xml:space="preserve">Figure 6.4.2: </w:t>
      </w:r>
      <w:r w:rsidRPr="007A0178">
        <w:rPr>
          <w:bCs/>
        </w:rPr>
        <w:t xml:space="preserve">Number of teaching and </w:t>
      </w:r>
      <w:r w:rsidR="004C0DFC">
        <w:rPr>
          <w:bCs/>
        </w:rPr>
        <w:t>non-teaching staff, 2007 to end-</w:t>
      </w:r>
      <w:r w:rsidRPr="007A0178">
        <w:rPr>
          <w:bCs/>
        </w:rPr>
        <w:t>2014</w:t>
      </w:r>
      <w:bookmarkEnd w:id="408"/>
      <w:bookmarkEnd w:id="409"/>
      <w:bookmarkEnd w:id="410"/>
      <w:bookmarkEnd w:id="411"/>
      <w:r w:rsidRPr="007A0178">
        <w:rPr>
          <w:bCs/>
        </w:rPr>
        <w:t xml:space="preserve"> </w:t>
      </w:r>
    </w:p>
    <w:p w14:paraId="35F678E1" w14:textId="77777777" w:rsidR="00FC22E6" w:rsidRPr="00D17CCB" w:rsidRDefault="00FC22E6" w:rsidP="00FC22E6">
      <w:pPr>
        <w:rPr>
          <w:rFonts w:cs="Arial"/>
        </w:rPr>
      </w:pPr>
      <w:r w:rsidRPr="00D17CCB">
        <w:rPr>
          <w:rFonts w:cs="Arial"/>
          <w:noProof/>
          <w:lang w:eastAsia="en-AU"/>
        </w:rPr>
        <w:drawing>
          <wp:inline distT="0" distB="0" distL="0" distR="0" wp14:anchorId="602720CA" wp14:editId="5821C3A4">
            <wp:extent cx="5076402" cy="2362200"/>
            <wp:effectExtent l="25400" t="25400" r="3598"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882EAC" w14:textId="77777777" w:rsidR="00FC22E6" w:rsidRPr="007A0178" w:rsidRDefault="00FC22E6" w:rsidP="00FC22E6">
      <w:pPr>
        <w:rPr>
          <w:rFonts w:cs="Arial"/>
          <w:sz w:val="16"/>
          <w:szCs w:val="18"/>
        </w:rPr>
      </w:pPr>
      <w:r>
        <w:rPr>
          <w:rFonts w:cs="Arial"/>
          <w:sz w:val="16"/>
          <w:szCs w:val="18"/>
        </w:rPr>
        <w:t xml:space="preserve">Source: </w:t>
      </w:r>
      <w:r w:rsidRPr="007A0178">
        <w:rPr>
          <w:rFonts w:cs="Arial"/>
          <w:sz w:val="16"/>
          <w:szCs w:val="18"/>
        </w:rPr>
        <w:t xml:space="preserve">APTC Tables F1a and F1b, and G1. </w:t>
      </w:r>
    </w:p>
    <w:p w14:paraId="42735BA5" w14:textId="7650A841" w:rsidR="00FC22E6" w:rsidRPr="00D17CCB" w:rsidRDefault="00FC22E6" w:rsidP="00FC22E6">
      <w:pPr>
        <w:pStyle w:val="Tableheading"/>
      </w:pPr>
      <w:bookmarkStart w:id="412" w:name="_Toc274059259"/>
      <w:bookmarkStart w:id="413" w:name="_Toc274146467"/>
      <w:bookmarkStart w:id="414" w:name="_Toc274915926"/>
      <w:bookmarkStart w:id="415" w:name="_Toc278446906"/>
      <w:r>
        <w:t xml:space="preserve">Figure 6.4.3: </w:t>
      </w:r>
      <w:r w:rsidR="007E7C87">
        <w:rPr>
          <w:bCs/>
        </w:rPr>
        <w:t>Teaching staff as a percentage</w:t>
      </w:r>
      <w:r w:rsidR="004C0DFC">
        <w:rPr>
          <w:bCs/>
        </w:rPr>
        <w:t xml:space="preserve"> of total staff, 2007 to end-</w:t>
      </w:r>
      <w:r w:rsidRPr="007A0178">
        <w:rPr>
          <w:bCs/>
        </w:rPr>
        <w:t>2014</w:t>
      </w:r>
      <w:bookmarkEnd w:id="412"/>
      <w:bookmarkEnd w:id="413"/>
      <w:bookmarkEnd w:id="414"/>
      <w:bookmarkEnd w:id="415"/>
      <w:r w:rsidRPr="007A0178">
        <w:rPr>
          <w:bCs/>
        </w:rPr>
        <w:t xml:space="preserve"> </w:t>
      </w:r>
    </w:p>
    <w:p w14:paraId="5E8F96A4" w14:textId="77777777" w:rsidR="00FC22E6" w:rsidRPr="00D17CCB" w:rsidRDefault="00FC22E6" w:rsidP="00FC22E6">
      <w:pPr>
        <w:rPr>
          <w:rFonts w:cs="Arial"/>
        </w:rPr>
      </w:pPr>
      <w:r w:rsidRPr="00D17CCB">
        <w:rPr>
          <w:rFonts w:cs="Arial"/>
          <w:noProof/>
          <w:lang w:eastAsia="en-AU"/>
        </w:rPr>
        <w:drawing>
          <wp:inline distT="0" distB="0" distL="0" distR="0" wp14:anchorId="225B57C0" wp14:editId="25422D2E">
            <wp:extent cx="4924002" cy="2607945"/>
            <wp:effectExtent l="25400" t="25400" r="3598" b="825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92F947" w14:textId="77777777" w:rsidR="00FC22E6" w:rsidRPr="000E4D4E" w:rsidRDefault="00FC22E6" w:rsidP="00FC22E6">
      <w:pPr>
        <w:rPr>
          <w:rFonts w:cs="Arial"/>
          <w:sz w:val="16"/>
          <w:szCs w:val="18"/>
        </w:rPr>
      </w:pPr>
      <w:r>
        <w:rPr>
          <w:rFonts w:cs="Arial"/>
          <w:sz w:val="16"/>
          <w:szCs w:val="18"/>
        </w:rPr>
        <w:t>Source:</w:t>
      </w:r>
      <w:r w:rsidRPr="000E4D4E">
        <w:rPr>
          <w:rFonts w:cs="Arial"/>
          <w:sz w:val="16"/>
          <w:szCs w:val="18"/>
        </w:rPr>
        <w:t xml:space="preserve"> Ibid.</w:t>
      </w:r>
    </w:p>
    <w:p w14:paraId="3272019E" w14:textId="45F8D66E" w:rsidR="00620DD0" w:rsidRDefault="00620DD0">
      <w:pPr>
        <w:spacing w:after="0"/>
        <w:rPr>
          <w:rFonts w:cs="Arial"/>
          <w:b/>
          <w:bCs/>
          <w:color w:val="76923C"/>
          <w:szCs w:val="28"/>
        </w:rPr>
      </w:pPr>
      <w:r>
        <w:br w:type="page"/>
      </w:r>
    </w:p>
    <w:p w14:paraId="5AB4E8A8" w14:textId="1110B841" w:rsidR="003D355F" w:rsidRDefault="00620DD0" w:rsidP="002028A6">
      <w:pPr>
        <w:pStyle w:val="Heading2"/>
      </w:pPr>
      <w:bookmarkStart w:id="416" w:name="_Toc274145082"/>
      <w:bookmarkStart w:id="417" w:name="_Toc274900466"/>
      <w:bookmarkStart w:id="418" w:name="_Toc278447861"/>
      <w:bookmarkStart w:id="419" w:name="_Toc278453334"/>
      <w:r>
        <w:t xml:space="preserve">6.5 </w:t>
      </w:r>
      <w:bookmarkStart w:id="420" w:name="_Toc274059140"/>
      <w:r w:rsidR="001D657C">
        <w:tab/>
      </w:r>
      <w:r w:rsidR="00FC22E6">
        <w:t>Management and a</w:t>
      </w:r>
      <w:r w:rsidR="00FC22E6" w:rsidRPr="00BD6DDB">
        <w:t>dministrative staf</w:t>
      </w:r>
      <w:r w:rsidR="00FC22E6" w:rsidRPr="00D17CCB">
        <w:t>f</w:t>
      </w:r>
      <w:bookmarkEnd w:id="416"/>
      <w:bookmarkEnd w:id="417"/>
      <w:bookmarkEnd w:id="418"/>
      <w:bookmarkEnd w:id="420"/>
      <w:bookmarkEnd w:id="419"/>
    </w:p>
    <w:p w14:paraId="694E6233" w14:textId="77777777" w:rsidR="00FC22E6" w:rsidRDefault="00FC22E6" w:rsidP="00FC22E6">
      <w:pPr>
        <w:rPr>
          <w:rFonts w:cs="Arial"/>
        </w:rPr>
      </w:pPr>
      <w:r>
        <w:rPr>
          <w:rFonts w:cs="Arial"/>
        </w:rPr>
        <w:t xml:space="preserve">The number of management staff has remained relatively constant at 10-12 while the number of administrative staff rose from 37 at the end of Stage I to 85 at present. </w:t>
      </w:r>
    </w:p>
    <w:p w14:paraId="7F1A3150" w14:textId="720698E2" w:rsidR="00FC22E6" w:rsidRPr="00210F4F" w:rsidRDefault="00FC22E6" w:rsidP="00FC22E6">
      <w:pPr>
        <w:pStyle w:val="Tableheading"/>
        <w:rPr>
          <w:bCs/>
        </w:rPr>
      </w:pPr>
      <w:bookmarkStart w:id="421" w:name="_Toc274059260"/>
      <w:bookmarkStart w:id="422" w:name="_Toc274146468"/>
      <w:bookmarkStart w:id="423" w:name="_Toc274915927"/>
      <w:bookmarkStart w:id="424" w:name="_Toc278446907"/>
      <w:r w:rsidRPr="00D17CCB">
        <w:t>Figu</w:t>
      </w:r>
      <w:r>
        <w:t xml:space="preserve">re 6.5.1: </w:t>
      </w:r>
      <w:r w:rsidRPr="00210F4F">
        <w:rPr>
          <w:bCs/>
        </w:rPr>
        <w:t xml:space="preserve">Number of management and non-management staff </w:t>
      </w:r>
      <w:r w:rsidR="00172A39">
        <w:rPr>
          <w:bCs/>
        </w:rPr>
        <w:br/>
      </w:r>
      <w:r w:rsidRPr="00210F4F">
        <w:rPr>
          <w:bCs/>
        </w:rPr>
        <w:t>(excluding teaching staff), 2007 to end 2014</w:t>
      </w:r>
      <w:bookmarkEnd w:id="421"/>
      <w:bookmarkEnd w:id="422"/>
      <w:bookmarkEnd w:id="423"/>
      <w:bookmarkEnd w:id="424"/>
    </w:p>
    <w:p w14:paraId="2AE2D4C2" w14:textId="77777777" w:rsidR="00FC22E6" w:rsidRPr="00D17CCB" w:rsidRDefault="00FC22E6" w:rsidP="00FC22E6">
      <w:pPr>
        <w:rPr>
          <w:rFonts w:cs="Arial"/>
        </w:rPr>
      </w:pPr>
      <w:r w:rsidRPr="00D17CCB">
        <w:rPr>
          <w:rFonts w:cs="Arial"/>
          <w:noProof/>
          <w:lang w:eastAsia="en-AU"/>
        </w:rPr>
        <w:drawing>
          <wp:inline distT="0" distB="0" distL="0" distR="0" wp14:anchorId="76CBFBAC" wp14:editId="0492D784">
            <wp:extent cx="5076402" cy="2535343"/>
            <wp:effectExtent l="0" t="0" r="29210" b="3048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B08D258" w14:textId="77777777" w:rsidR="00FC22E6" w:rsidRPr="00EE7E5D" w:rsidRDefault="00FC22E6" w:rsidP="00FC22E6">
      <w:pPr>
        <w:rPr>
          <w:rFonts w:cs="Arial"/>
          <w:sz w:val="16"/>
        </w:rPr>
      </w:pPr>
      <w:r w:rsidRPr="00EE7E5D">
        <w:rPr>
          <w:rFonts w:cs="Arial"/>
          <w:sz w:val="16"/>
        </w:rPr>
        <w:t>So</w:t>
      </w:r>
      <w:r>
        <w:rPr>
          <w:rFonts w:cs="Arial"/>
          <w:sz w:val="16"/>
        </w:rPr>
        <w:t xml:space="preserve">urce: </w:t>
      </w:r>
      <w:r w:rsidRPr="00EE7E5D">
        <w:rPr>
          <w:rFonts w:cs="Arial"/>
          <w:sz w:val="16"/>
        </w:rPr>
        <w:t>APTC Table G.2</w:t>
      </w:r>
    </w:p>
    <w:p w14:paraId="7C7A58D3" w14:textId="77777777" w:rsidR="00FC22E6" w:rsidRPr="00D17CCB" w:rsidRDefault="00FC22E6" w:rsidP="00FC22E6">
      <w:pPr>
        <w:rPr>
          <w:rFonts w:cs="Arial"/>
        </w:rPr>
      </w:pPr>
      <w:r>
        <w:rPr>
          <w:rFonts w:cs="Arial"/>
        </w:rPr>
        <w:br/>
        <w:t xml:space="preserve">As a result, the proportion of management staff among total staff has decreased from a high of 33 per cent in 2009 to 16 per cent at present. </w:t>
      </w:r>
    </w:p>
    <w:p w14:paraId="7CAE9534" w14:textId="7DD2DEED" w:rsidR="00FC22E6" w:rsidRPr="00D17CCB" w:rsidRDefault="00FC22E6" w:rsidP="00FC22E6">
      <w:pPr>
        <w:pStyle w:val="Tableheading"/>
      </w:pPr>
      <w:bookmarkStart w:id="425" w:name="_Toc274059261"/>
      <w:bookmarkStart w:id="426" w:name="_Toc274146469"/>
      <w:bookmarkStart w:id="427" w:name="_Toc274915928"/>
      <w:bookmarkStart w:id="428" w:name="_Toc278446908"/>
      <w:r>
        <w:t xml:space="preserve">Figure 6.5.2: </w:t>
      </w:r>
      <w:r w:rsidR="007E7C87">
        <w:rPr>
          <w:bCs/>
        </w:rPr>
        <w:t>Management staff as a percentage</w:t>
      </w:r>
      <w:r w:rsidRPr="00C16B97">
        <w:rPr>
          <w:bCs/>
        </w:rPr>
        <w:t xml:space="preserve"> of total administrative staff, </w:t>
      </w:r>
      <w:r>
        <w:rPr>
          <w:bCs/>
        </w:rPr>
        <w:br/>
      </w:r>
      <w:r w:rsidRPr="00C16B97">
        <w:rPr>
          <w:bCs/>
        </w:rPr>
        <w:t>2007 to end 2014</w:t>
      </w:r>
      <w:bookmarkEnd w:id="425"/>
      <w:bookmarkEnd w:id="426"/>
      <w:bookmarkEnd w:id="427"/>
      <w:bookmarkEnd w:id="428"/>
    </w:p>
    <w:p w14:paraId="509EE426" w14:textId="77777777" w:rsidR="00FC22E6" w:rsidRPr="00D17CCB" w:rsidRDefault="00FC22E6" w:rsidP="00FC22E6">
      <w:pPr>
        <w:rPr>
          <w:rFonts w:cs="Arial"/>
        </w:rPr>
      </w:pPr>
      <w:r w:rsidRPr="00C16B97">
        <w:rPr>
          <w:rFonts w:cs="Arial"/>
          <w:b/>
          <w:noProof/>
          <w:lang w:eastAsia="en-AU"/>
        </w:rPr>
        <w:drawing>
          <wp:inline distT="0" distB="0" distL="0" distR="0" wp14:anchorId="5E574467" wp14:editId="54E80DAA">
            <wp:extent cx="4572000" cy="2743200"/>
            <wp:effectExtent l="25400" t="2540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A3742C" w14:textId="77777777" w:rsidR="00FC22E6" w:rsidRPr="00C16B97" w:rsidRDefault="00FC22E6" w:rsidP="00FC22E6">
      <w:pPr>
        <w:rPr>
          <w:rFonts w:cs="Arial"/>
          <w:sz w:val="16"/>
          <w:szCs w:val="18"/>
        </w:rPr>
      </w:pPr>
      <w:r>
        <w:rPr>
          <w:rFonts w:cs="Arial"/>
          <w:sz w:val="16"/>
          <w:szCs w:val="18"/>
        </w:rPr>
        <w:t xml:space="preserve">Source: </w:t>
      </w:r>
      <w:r w:rsidRPr="00C16B97">
        <w:rPr>
          <w:rFonts w:cs="Arial"/>
          <w:sz w:val="16"/>
          <w:szCs w:val="18"/>
        </w:rPr>
        <w:t>APTC Table G.2</w:t>
      </w:r>
    </w:p>
    <w:p w14:paraId="6BACAB2D" w14:textId="77777777" w:rsidR="007D4420" w:rsidRDefault="007D4420" w:rsidP="00620740">
      <w:pPr>
        <w:rPr>
          <w:rFonts w:cs="Arial"/>
          <w:szCs w:val="22"/>
        </w:rPr>
      </w:pPr>
    </w:p>
    <w:p w14:paraId="3FED8E7D" w14:textId="77777777" w:rsidR="0078505C" w:rsidRDefault="0078505C" w:rsidP="002028A6">
      <w:pPr>
        <w:pStyle w:val="Heading1"/>
        <w:rPr>
          <w:szCs w:val="22"/>
        </w:rPr>
        <w:sectPr w:rsidR="0078505C" w:rsidSect="000859B4">
          <w:headerReference w:type="default" r:id="rId64"/>
          <w:endnotePr>
            <w:numFmt w:val="decimal"/>
          </w:endnotePr>
          <w:pgSz w:w="11901" w:h="16834"/>
          <w:pgMar w:top="1440" w:right="1701" w:bottom="1440" w:left="1701" w:header="720" w:footer="720" w:gutter="0"/>
          <w:cols w:space="720"/>
          <w:docGrid w:linePitch="299"/>
        </w:sectPr>
      </w:pPr>
    </w:p>
    <w:p w14:paraId="661C4BFE" w14:textId="77777777" w:rsidR="000966FB" w:rsidRDefault="000966FB">
      <w:pPr>
        <w:spacing w:after="0"/>
      </w:pPr>
      <w:bookmarkStart w:id="429" w:name="_Toc278447862"/>
      <w:bookmarkStart w:id="430" w:name="_Toc278453335"/>
    </w:p>
    <w:p w14:paraId="5A2FCC77" w14:textId="6CDFAE69" w:rsidR="00361541" w:rsidRDefault="008B0EF4" w:rsidP="002028A6">
      <w:pPr>
        <w:pStyle w:val="Heading1"/>
      </w:pPr>
      <w:r w:rsidRPr="009B4045">
        <w:t>ANNEX 5: QUESTIONNAIRE RESULTS</w:t>
      </w:r>
      <w:bookmarkEnd w:id="429"/>
      <w:bookmarkEnd w:id="430"/>
      <w:r w:rsidRPr="009B4045">
        <w:t xml:space="preserve"> </w:t>
      </w:r>
    </w:p>
    <w:p w14:paraId="4F57E51F" w14:textId="77777777" w:rsidR="00740723" w:rsidRPr="00C40325" w:rsidRDefault="00740723" w:rsidP="00740723">
      <w:pPr>
        <w:keepNext/>
        <w:keepLines/>
        <w:outlineLvl w:val="0"/>
        <w:rPr>
          <w:rFonts w:cs="Arial"/>
          <w:b/>
          <w:bCs/>
          <w:color w:val="76923C"/>
          <w:sz w:val="24"/>
          <w:szCs w:val="28"/>
          <w:lang w:eastAsia="zh-CN"/>
        </w:rPr>
      </w:pPr>
      <w:r w:rsidRPr="00C40325">
        <w:rPr>
          <w:rFonts w:cs="Arial"/>
          <w:b/>
          <w:bCs/>
          <w:color w:val="76923C"/>
          <w:sz w:val="24"/>
          <w:szCs w:val="28"/>
          <w:lang w:eastAsia="zh-CN"/>
        </w:rPr>
        <w:t xml:space="preserve">Questionnaire results – Responses to review team questions, </w:t>
      </w:r>
      <w:r>
        <w:rPr>
          <w:rFonts w:cs="Arial"/>
          <w:b/>
          <w:bCs/>
          <w:color w:val="76923C"/>
          <w:sz w:val="24"/>
          <w:szCs w:val="28"/>
          <w:lang w:eastAsia="zh-CN"/>
        </w:rPr>
        <w:br/>
      </w:r>
      <w:r w:rsidRPr="00C40325">
        <w:rPr>
          <w:rFonts w:cs="Arial"/>
          <w:b/>
          <w:bCs/>
          <w:color w:val="76923C"/>
          <w:sz w:val="24"/>
          <w:szCs w:val="28"/>
          <w:lang w:eastAsia="zh-CN"/>
        </w:rPr>
        <w:t>June–August 2014</w:t>
      </w:r>
    </w:p>
    <w:p w14:paraId="79838252" w14:textId="77777777" w:rsidR="005B53BE" w:rsidRPr="00790E89" w:rsidRDefault="005B53BE" w:rsidP="00740723">
      <w:pPr>
        <w:spacing w:before="120"/>
        <w:rPr>
          <w:lang w:eastAsia="zh-CN"/>
        </w:rPr>
      </w:pPr>
    </w:p>
    <w:p w14:paraId="094D9914" w14:textId="481FE350" w:rsidR="00740723" w:rsidRPr="00790E89" w:rsidRDefault="00740723" w:rsidP="00740723">
      <w:pPr>
        <w:rPr>
          <w:b/>
        </w:rPr>
      </w:pPr>
      <w:r w:rsidRPr="00790E89">
        <w:rPr>
          <w:b/>
        </w:rPr>
        <w:t>Table of contents</w:t>
      </w:r>
    </w:p>
    <w:p w14:paraId="1DE590C5" w14:textId="77777777" w:rsidR="00D05D09" w:rsidRPr="00D05D09" w:rsidRDefault="00D05D09" w:rsidP="00441936">
      <w:pPr>
        <w:pStyle w:val="TOC1"/>
        <w:rPr>
          <w:rFonts w:asciiTheme="minorHAnsi" w:eastAsiaTheme="minorEastAsia" w:hAnsiTheme="minorHAnsi" w:cstheme="minorBidi"/>
          <w:sz w:val="24"/>
          <w:lang w:val="en-US" w:eastAsia="ja-JP"/>
        </w:rPr>
      </w:pPr>
      <w:r w:rsidRPr="00D05D09">
        <w:t>1</w:t>
      </w:r>
      <w:r w:rsidRPr="00D05D09">
        <w:rPr>
          <w:rFonts w:asciiTheme="minorHAnsi" w:eastAsiaTheme="minorEastAsia" w:hAnsiTheme="minorHAnsi" w:cstheme="minorBidi"/>
          <w:sz w:val="24"/>
          <w:lang w:val="en-US" w:eastAsia="ja-JP"/>
        </w:rPr>
        <w:tab/>
      </w:r>
      <w:r w:rsidRPr="00D05D09">
        <w:t>Responses from current APTC students, June–August 2014</w:t>
      </w:r>
      <w:r w:rsidRPr="00D05D09">
        <w:tab/>
      </w:r>
      <w:r w:rsidRPr="00D05D09">
        <w:fldChar w:fldCharType="begin"/>
      </w:r>
      <w:r w:rsidRPr="00D05D09">
        <w:instrText xml:space="preserve"> PAGEREF _Toc278447863 \h </w:instrText>
      </w:r>
      <w:r w:rsidRPr="00D05D09">
        <w:fldChar w:fldCharType="separate"/>
      </w:r>
      <w:r w:rsidR="00EA0B4D">
        <w:t>58</w:t>
      </w:r>
      <w:r w:rsidRPr="00D05D09">
        <w:fldChar w:fldCharType="end"/>
      </w:r>
    </w:p>
    <w:p w14:paraId="1C6ADA96"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790E89">
        <w:rPr>
          <w:rFonts w:ascii="Arial" w:hAnsi="Arial" w:cs="Arial"/>
          <w:noProof/>
          <w:sz w:val="20"/>
          <w:szCs w:val="20"/>
        </w:rPr>
        <w:t>1.1</w:t>
      </w:r>
      <w:r w:rsidRPr="00790E89">
        <w:rPr>
          <w:rFonts w:ascii="Arial" w:eastAsiaTheme="minorEastAsia" w:hAnsi="Arial" w:cs="Arial"/>
          <w:noProof/>
          <w:sz w:val="20"/>
          <w:szCs w:val="20"/>
          <w:lang w:val="en-US" w:eastAsia="ja-JP"/>
        </w:rPr>
        <w:tab/>
      </w:r>
      <w:r w:rsidRPr="00790E89">
        <w:rPr>
          <w:rFonts w:ascii="Arial" w:hAnsi="Arial" w:cs="Arial"/>
          <w:noProof/>
          <w:sz w:val="20"/>
          <w:szCs w:val="20"/>
        </w:rPr>
        <w:t xml:space="preserve">Students’ funding and employment </w:t>
      </w:r>
      <w:r w:rsidRPr="00FF51CD">
        <w:rPr>
          <w:rFonts w:ascii="Arial" w:hAnsi="Arial" w:cs="Arial"/>
          <w:noProof/>
          <w:sz w:val="20"/>
          <w:szCs w:val="20"/>
        </w:rPr>
        <w:t>status while a student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_Toc274909848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59</w:t>
      </w:r>
      <w:r w:rsidRPr="00FF51CD">
        <w:rPr>
          <w:rFonts w:ascii="Arial" w:hAnsi="Arial" w:cs="Arial"/>
          <w:noProof/>
          <w:sz w:val="20"/>
          <w:szCs w:val="20"/>
        </w:rPr>
        <w:fldChar w:fldCharType="end"/>
      </w:r>
    </w:p>
    <w:p w14:paraId="4A50613E"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1.2</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Student level of satisfaction with APTC</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_Toc274909849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59</w:t>
      </w:r>
      <w:r w:rsidRPr="00FF51CD">
        <w:rPr>
          <w:rFonts w:ascii="Arial" w:hAnsi="Arial" w:cs="Arial"/>
          <w:noProof/>
          <w:sz w:val="20"/>
          <w:szCs w:val="20"/>
        </w:rPr>
        <w:fldChar w:fldCharType="end"/>
      </w:r>
    </w:p>
    <w:p w14:paraId="08AF5C92"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1.3</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Future plans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_Toc274909850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59</w:t>
      </w:r>
      <w:r w:rsidRPr="00FF51CD">
        <w:rPr>
          <w:rFonts w:ascii="Arial" w:hAnsi="Arial" w:cs="Arial"/>
          <w:noProof/>
          <w:sz w:val="20"/>
          <w:szCs w:val="20"/>
        </w:rPr>
        <w:fldChar w:fldCharType="end"/>
      </w:r>
    </w:p>
    <w:p w14:paraId="4A7F06BC"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1.4</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Intention to migrate</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_Toc274909851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59</w:t>
      </w:r>
      <w:r w:rsidRPr="00FF51CD">
        <w:rPr>
          <w:rFonts w:ascii="Arial" w:hAnsi="Arial" w:cs="Arial"/>
          <w:noProof/>
          <w:sz w:val="20"/>
          <w:szCs w:val="20"/>
        </w:rPr>
        <w:fldChar w:fldCharType="end"/>
      </w:r>
    </w:p>
    <w:p w14:paraId="06322EE5"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1.5</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Satisfaction with information provided by APTC</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_Toc274909852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60</w:t>
      </w:r>
      <w:r w:rsidRPr="00FF51CD">
        <w:rPr>
          <w:rFonts w:ascii="Arial" w:hAnsi="Arial" w:cs="Arial"/>
          <w:noProof/>
          <w:sz w:val="20"/>
          <w:szCs w:val="20"/>
        </w:rPr>
        <w:fldChar w:fldCharType="end"/>
      </w:r>
    </w:p>
    <w:p w14:paraId="4E3DBD70"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1.6</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Suggestions to improve APTC</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_Toc274909853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60</w:t>
      </w:r>
      <w:r w:rsidRPr="00FF51CD">
        <w:rPr>
          <w:rFonts w:ascii="Arial" w:hAnsi="Arial" w:cs="Arial"/>
          <w:noProof/>
          <w:sz w:val="20"/>
          <w:szCs w:val="20"/>
        </w:rPr>
        <w:fldChar w:fldCharType="end"/>
      </w:r>
    </w:p>
    <w:p w14:paraId="341634DE" w14:textId="77777777" w:rsidR="00D05D09" w:rsidRPr="00CE7DA1" w:rsidRDefault="00D05D09" w:rsidP="00441936">
      <w:pPr>
        <w:pStyle w:val="TOC1"/>
        <w:rPr>
          <w:rFonts w:asciiTheme="minorHAnsi" w:eastAsiaTheme="minorEastAsia" w:hAnsiTheme="minorHAnsi" w:cstheme="minorBidi"/>
          <w:sz w:val="24"/>
          <w:lang w:val="en-US" w:eastAsia="ja-JP"/>
        </w:rPr>
      </w:pPr>
      <w:r w:rsidRPr="00CE7DA1">
        <w:rPr>
          <w:lang w:eastAsia="zh-CN"/>
        </w:rPr>
        <w:t>2</w:t>
      </w:r>
      <w:r w:rsidRPr="00CE7DA1">
        <w:rPr>
          <w:rFonts w:asciiTheme="minorHAnsi" w:eastAsiaTheme="minorEastAsia" w:hAnsiTheme="minorHAnsi" w:cstheme="minorBidi"/>
          <w:sz w:val="24"/>
          <w:lang w:val="en-US" w:eastAsia="ja-JP"/>
        </w:rPr>
        <w:tab/>
      </w:r>
      <w:r w:rsidRPr="00CE7DA1">
        <w:rPr>
          <w:lang w:eastAsia="zh-CN"/>
        </w:rPr>
        <w:t>Responses from APTC graduates</w:t>
      </w:r>
      <w:r w:rsidRPr="00CE7DA1">
        <w:tab/>
      </w:r>
      <w:r w:rsidRPr="00CE7DA1">
        <w:fldChar w:fldCharType="begin"/>
      </w:r>
      <w:r w:rsidRPr="00CE7DA1">
        <w:instrText xml:space="preserve"> PAGEREF _Toc278447870 \h </w:instrText>
      </w:r>
      <w:r w:rsidRPr="00CE7DA1">
        <w:fldChar w:fldCharType="separate"/>
      </w:r>
      <w:r w:rsidR="00EA0B4D">
        <w:t>60</w:t>
      </w:r>
      <w:r w:rsidRPr="00CE7DA1">
        <w:fldChar w:fldCharType="end"/>
      </w:r>
    </w:p>
    <w:p w14:paraId="63DEAA17"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Employment status of graduates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_Toc274909855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61</w:t>
      </w:r>
      <w:r w:rsidRPr="00FF51CD">
        <w:rPr>
          <w:rFonts w:ascii="Arial" w:hAnsi="Arial" w:cs="Arial"/>
          <w:noProof/>
          <w:sz w:val="20"/>
          <w:szCs w:val="20"/>
        </w:rPr>
        <w:fldChar w:fldCharType="end"/>
      </w:r>
    </w:p>
    <w:p w14:paraId="70301071"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2.2</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Skills match</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_Toc274909856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61</w:t>
      </w:r>
      <w:r w:rsidRPr="00FF51CD">
        <w:rPr>
          <w:rFonts w:ascii="Arial" w:hAnsi="Arial" w:cs="Arial"/>
          <w:noProof/>
          <w:sz w:val="20"/>
          <w:szCs w:val="20"/>
        </w:rPr>
        <w:fldChar w:fldCharType="end"/>
      </w:r>
    </w:p>
    <w:p w14:paraId="7EF3A1F4"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2.3</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Source of funds to study at APTC and adequacy of allowance</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_Toc274909857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62</w:t>
      </w:r>
      <w:r w:rsidRPr="00FF51CD">
        <w:rPr>
          <w:rFonts w:ascii="Arial" w:hAnsi="Arial" w:cs="Arial"/>
          <w:noProof/>
          <w:sz w:val="20"/>
          <w:szCs w:val="20"/>
        </w:rPr>
        <w:fldChar w:fldCharType="end"/>
      </w:r>
    </w:p>
    <w:p w14:paraId="639904DA"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2.4</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How satisfied are graduates with APTC?</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_Toc274909858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62</w:t>
      </w:r>
      <w:r w:rsidRPr="00FF51CD">
        <w:rPr>
          <w:rFonts w:ascii="Arial" w:hAnsi="Arial" w:cs="Arial"/>
          <w:noProof/>
          <w:sz w:val="20"/>
          <w:szCs w:val="20"/>
        </w:rPr>
        <w:fldChar w:fldCharType="end"/>
      </w:r>
    </w:p>
    <w:p w14:paraId="005BF8BD"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2.5</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Suggestions for improvement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_Toc274909859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62</w:t>
      </w:r>
      <w:r w:rsidRPr="00FF51CD">
        <w:rPr>
          <w:rFonts w:ascii="Arial" w:hAnsi="Arial" w:cs="Arial"/>
          <w:noProof/>
          <w:sz w:val="20"/>
          <w:szCs w:val="20"/>
        </w:rPr>
        <w:fldChar w:fldCharType="end"/>
      </w:r>
    </w:p>
    <w:p w14:paraId="63622075"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2.6</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Wage and other benefits from APTC qualification</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_Toc274909860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63</w:t>
      </w:r>
      <w:r w:rsidRPr="00FF51CD">
        <w:rPr>
          <w:rFonts w:ascii="Arial" w:hAnsi="Arial" w:cs="Arial"/>
          <w:noProof/>
          <w:sz w:val="20"/>
          <w:szCs w:val="20"/>
        </w:rPr>
        <w:fldChar w:fldCharType="end"/>
      </w:r>
    </w:p>
    <w:p w14:paraId="46841261"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2.7</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APTC contact after graduation</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_Toc274909861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63</w:t>
      </w:r>
      <w:r w:rsidRPr="00FF51CD">
        <w:rPr>
          <w:rFonts w:ascii="Arial" w:hAnsi="Arial" w:cs="Arial"/>
          <w:noProof/>
          <w:sz w:val="20"/>
          <w:szCs w:val="20"/>
        </w:rPr>
        <w:fldChar w:fldCharType="end"/>
      </w:r>
    </w:p>
    <w:p w14:paraId="53C1EE5A"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2.8</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Intention to migrate</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_Toc274909862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63</w:t>
      </w:r>
      <w:r w:rsidRPr="00FF51CD">
        <w:rPr>
          <w:rFonts w:ascii="Arial" w:hAnsi="Arial" w:cs="Arial"/>
          <w:noProof/>
          <w:sz w:val="20"/>
          <w:szCs w:val="20"/>
        </w:rPr>
        <w:fldChar w:fldCharType="end"/>
      </w:r>
    </w:p>
    <w:p w14:paraId="51E1C7BD"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2.9</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Steps taken to migrate</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_Toc274909863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64</w:t>
      </w:r>
      <w:r w:rsidRPr="00FF51CD">
        <w:rPr>
          <w:rFonts w:ascii="Arial" w:hAnsi="Arial" w:cs="Arial"/>
          <w:noProof/>
          <w:sz w:val="20"/>
          <w:szCs w:val="20"/>
        </w:rPr>
        <w:fldChar w:fldCharType="end"/>
      </w:r>
    </w:p>
    <w:p w14:paraId="6516B5E5" w14:textId="77777777" w:rsidR="00D05D09" w:rsidRPr="00CE7DA1" w:rsidRDefault="00D05D09" w:rsidP="00441936">
      <w:pPr>
        <w:pStyle w:val="TOC1"/>
        <w:rPr>
          <w:rFonts w:asciiTheme="minorHAnsi" w:eastAsiaTheme="minorEastAsia" w:hAnsiTheme="minorHAnsi" w:cstheme="minorBidi"/>
          <w:sz w:val="24"/>
          <w:lang w:val="en-US" w:eastAsia="ja-JP"/>
        </w:rPr>
      </w:pPr>
      <w:r w:rsidRPr="00CE7DA1">
        <w:rPr>
          <w:lang w:eastAsia="zh-CN"/>
        </w:rPr>
        <w:t>3</w:t>
      </w:r>
      <w:r w:rsidRPr="00CE7DA1">
        <w:rPr>
          <w:rFonts w:asciiTheme="minorHAnsi" w:eastAsiaTheme="minorEastAsia" w:hAnsiTheme="minorHAnsi" w:cstheme="minorBidi"/>
          <w:sz w:val="24"/>
          <w:lang w:val="en-US" w:eastAsia="ja-JP"/>
        </w:rPr>
        <w:tab/>
      </w:r>
      <w:r w:rsidRPr="00CE7DA1">
        <w:rPr>
          <w:lang w:eastAsia="zh-CN"/>
        </w:rPr>
        <w:t>Responses from employers</w:t>
      </w:r>
      <w:r w:rsidRPr="00CE7DA1">
        <w:tab/>
      </w:r>
      <w:r w:rsidRPr="00CE7DA1">
        <w:fldChar w:fldCharType="begin"/>
      </w:r>
      <w:r w:rsidRPr="00CE7DA1">
        <w:instrText xml:space="preserve"> PAGEREF _Toc278447880 \h </w:instrText>
      </w:r>
      <w:r w:rsidRPr="00CE7DA1">
        <w:fldChar w:fldCharType="separate"/>
      </w:r>
      <w:r w:rsidR="00EA0B4D">
        <w:t>65</w:t>
      </w:r>
      <w:r w:rsidRPr="00CE7DA1">
        <w:fldChar w:fldCharType="end"/>
      </w:r>
    </w:p>
    <w:p w14:paraId="09BBD071"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3.1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Nature of engagement with APTC</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_Toc274909865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66</w:t>
      </w:r>
      <w:r w:rsidRPr="00FF51CD">
        <w:rPr>
          <w:rFonts w:ascii="Arial" w:hAnsi="Arial" w:cs="Arial"/>
          <w:noProof/>
          <w:sz w:val="20"/>
          <w:szCs w:val="20"/>
        </w:rPr>
        <w:fldChar w:fldCharType="end"/>
      </w:r>
    </w:p>
    <w:p w14:paraId="0538354E"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3.2</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Employer views of APTC responsiveness to their needs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_Toc274909866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66</w:t>
      </w:r>
      <w:r w:rsidRPr="00FF51CD">
        <w:rPr>
          <w:rFonts w:ascii="Arial" w:hAnsi="Arial" w:cs="Arial"/>
          <w:noProof/>
          <w:sz w:val="20"/>
          <w:szCs w:val="20"/>
        </w:rPr>
        <w:fldChar w:fldCharType="end"/>
      </w:r>
    </w:p>
    <w:p w14:paraId="586191EE"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3.3</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Employers’ experience of skill shortages and their response</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_Toc274909867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67</w:t>
      </w:r>
      <w:r w:rsidRPr="00FF51CD">
        <w:rPr>
          <w:rFonts w:ascii="Arial" w:hAnsi="Arial" w:cs="Arial"/>
          <w:noProof/>
          <w:sz w:val="20"/>
          <w:szCs w:val="20"/>
        </w:rPr>
        <w:fldChar w:fldCharType="end"/>
      </w:r>
    </w:p>
    <w:p w14:paraId="322831D3"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3.4</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Benefits to business of employing APTC graduates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_Toc274909868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68</w:t>
      </w:r>
      <w:r w:rsidRPr="00FF51CD">
        <w:rPr>
          <w:rFonts w:ascii="Arial" w:hAnsi="Arial" w:cs="Arial"/>
          <w:noProof/>
          <w:sz w:val="20"/>
          <w:szCs w:val="20"/>
        </w:rPr>
        <w:fldChar w:fldCharType="end"/>
      </w:r>
    </w:p>
    <w:p w14:paraId="4B0C47BD"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3.5</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What APTC graduates do well or not do well</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_Toc274909869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68</w:t>
      </w:r>
      <w:r w:rsidRPr="00FF51CD">
        <w:rPr>
          <w:rFonts w:ascii="Arial" w:hAnsi="Arial" w:cs="Arial"/>
          <w:noProof/>
          <w:sz w:val="20"/>
          <w:szCs w:val="20"/>
        </w:rPr>
        <w:fldChar w:fldCharType="end"/>
      </w:r>
    </w:p>
    <w:p w14:paraId="31290091"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3.6</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Pay benefits for APTC graduates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_Toc274909870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69</w:t>
      </w:r>
      <w:r w:rsidRPr="00FF51CD">
        <w:rPr>
          <w:rFonts w:ascii="Arial" w:hAnsi="Arial" w:cs="Arial"/>
          <w:noProof/>
          <w:sz w:val="20"/>
          <w:szCs w:val="20"/>
        </w:rPr>
        <w:fldChar w:fldCharType="end"/>
      </w:r>
    </w:p>
    <w:p w14:paraId="0D078B87"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3.7</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Suggestions for change</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_Toc274909871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69</w:t>
      </w:r>
      <w:r w:rsidRPr="00FF51CD">
        <w:rPr>
          <w:rFonts w:ascii="Arial" w:hAnsi="Arial" w:cs="Arial"/>
          <w:noProof/>
          <w:sz w:val="20"/>
          <w:szCs w:val="20"/>
        </w:rPr>
        <w:fldChar w:fldCharType="end"/>
      </w:r>
    </w:p>
    <w:p w14:paraId="1294DA3A" w14:textId="77777777" w:rsidR="00D05D09" w:rsidRPr="00CE7DA1" w:rsidRDefault="00D05D09" w:rsidP="00441936">
      <w:pPr>
        <w:pStyle w:val="TOC1"/>
        <w:rPr>
          <w:rFonts w:asciiTheme="minorHAnsi" w:eastAsiaTheme="minorEastAsia" w:hAnsiTheme="minorHAnsi" w:cstheme="minorBidi"/>
          <w:sz w:val="24"/>
          <w:lang w:val="en-US" w:eastAsia="ja-JP"/>
        </w:rPr>
      </w:pPr>
      <w:r w:rsidRPr="00CE7DA1">
        <w:t>4</w:t>
      </w:r>
      <w:r w:rsidRPr="00CE7DA1">
        <w:rPr>
          <w:rFonts w:asciiTheme="minorHAnsi" w:eastAsiaTheme="minorEastAsia" w:hAnsiTheme="minorHAnsi" w:cstheme="minorBidi"/>
          <w:sz w:val="24"/>
          <w:lang w:val="en-US" w:eastAsia="ja-JP"/>
        </w:rPr>
        <w:tab/>
      </w:r>
      <w:r w:rsidRPr="00CE7DA1">
        <w:t>Trainers and tutors</w:t>
      </w:r>
      <w:r w:rsidRPr="00CE7DA1">
        <w:tab/>
      </w:r>
      <w:r w:rsidRPr="00CE7DA1">
        <w:fldChar w:fldCharType="begin"/>
      </w:r>
      <w:r w:rsidRPr="00CE7DA1">
        <w:instrText xml:space="preserve"> PAGEREF _Toc278447888 \h </w:instrText>
      </w:r>
      <w:r w:rsidRPr="00CE7DA1">
        <w:fldChar w:fldCharType="separate"/>
      </w:r>
      <w:r w:rsidR="00EA0B4D">
        <w:t>69</w:t>
      </w:r>
      <w:r w:rsidRPr="00CE7DA1">
        <w:fldChar w:fldCharType="end"/>
      </w:r>
    </w:p>
    <w:p w14:paraId="5AE7F9A2"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4.1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Introduction</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_Toc274909873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69</w:t>
      </w:r>
      <w:r w:rsidRPr="00FF51CD">
        <w:rPr>
          <w:rFonts w:ascii="Arial" w:hAnsi="Arial" w:cs="Arial"/>
          <w:noProof/>
          <w:sz w:val="20"/>
          <w:szCs w:val="20"/>
        </w:rPr>
        <w:fldChar w:fldCharType="end"/>
      </w:r>
    </w:p>
    <w:p w14:paraId="1060A9ED"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4.2</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Trainers and tutors: Information compared</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_Toc274909874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70</w:t>
      </w:r>
      <w:r w:rsidRPr="00FF51CD">
        <w:rPr>
          <w:rFonts w:ascii="Arial" w:hAnsi="Arial" w:cs="Arial"/>
          <w:noProof/>
          <w:sz w:val="20"/>
          <w:szCs w:val="20"/>
        </w:rPr>
        <w:fldChar w:fldCharType="end"/>
      </w:r>
    </w:p>
    <w:p w14:paraId="6763960D"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4.3</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Commentary on the comparison of trainer and tutor information</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_Toc274909875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71</w:t>
      </w:r>
      <w:r w:rsidRPr="00FF51CD">
        <w:rPr>
          <w:rFonts w:ascii="Arial" w:hAnsi="Arial" w:cs="Arial"/>
          <w:noProof/>
          <w:sz w:val="20"/>
          <w:szCs w:val="20"/>
        </w:rPr>
        <w:fldChar w:fldCharType="end"/>
      </w:r>
    </w:p>
    <w:p w14:paraId="72807053"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4.4</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Trainers and tutors’ responses to open-ended questions (F= frequency)</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_Toc274909876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72</w:t>
      </w:r>
      <w:r w:rsidRPr="00FF51CD">
        <w:rPr>
          <w:rFonts w:ascii="Arial" w:hAnsi="Arial" w:cs="Arial"/>
          <w:noProof/>
          <w:sz w:val="20"/>
          <w:szCs w:val="20"/>
        </w:rPr>
        <w:fldChar w:fldCharType="end"/>
      </w:r>
    </w:p>
    <w:p w14:paraId="446206CE"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4.5</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Commentary on the trainers’ and tutors’ responses to  open-ended questions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_Toc274909877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74</w:t>
      </w:r>
      <w:r w:rsidRPr="00FF51CD">
        <w:rPr>
          <w:rFonts w:ascii="Arial" w:hAnsi="Arial" w:cs="Arial"/>
          <w:noProof/>
          <w:sz w:val="20"/>
          <w:szCs w:val="20"/>
        </w:rPr>
        <w:fldChar w:fldCharType="end"/>
      </w:r>
    </w:p>
    <w:p w14:paraId="41EC2662" w14:textId="77777777" w:rsidR="00D05D09" w:rsidRPr="00CE7DA1" w:rsidRDefault="00D05D09" w:rsidP="00441936">
      <w:pPr>
        <w:pStyle w:val="TOC1"/>
        <w:rPr>
          <w:rFonts w:asciiTheme="minorHAnsi" w:eastAsiaTheme="minorEastAsia" w:hAnsiTheme="minorHAnsi" w:cstheme="minorBidi"/>
          <w:sz w:val="24"/>
          <w:lang w:val="en-US" w:eastAsia="ja-JP"/>
        </w:rPr>
      </w:pPr>
      <w:r w:rsidRPr="00CE7DA1">
        <w:t>5</w:t>
      </w:r>
      <w:r w:rsidRPr="00CE7DA1">
        <w:rPr>
          <w:rFonts w:asciiTheme="minorHAnsi" w:eastAsiaTheme="minorEastAsia" w:hAnsiTheme="minorHAnsi" w:cstheme="minorBidi"/>
          <w:sz w:val="24"/>
          <w:lang w:val="en-US" w:eastAsia="ja-JP"/>
        </w:rPr>
        <w:tab/>
      </w:r>
      <w:r w:rsidRPr="00CE7DA1">
        <w:t>Administrative staff</w:t>
      </w:r>
      <w:r w:rsidRPr="00CE7DA1">
        <w:tab/>
      </w:r>
      <w:r w:rsidRPr="00CE7DA1">
        <w:fldChar w:fldCharType="begin"/>
      </w:r>
      <w:r w:rsidRPr="00CE7DA1">
        <w:instrText xml:space="preserve"> PAGEREF _Toc278447894 \h </w:instrText>
      </w:r>
      <w:r w:rsidRPr="00CE7DA1">
        <w:fldChar w:fldCharType="separate"/>
      </w:r>
      <w:r w:rsidR="00EA0B4D">
        <w:t>75</w:t>
      </w:r>
      <w:r w:rsidRPr="00CE7DA1">
        <w:fldChar w:fldCharType="end"/>
      </w:r>
    </w:p>
    <w:p w14:paraId="7FE2D658"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5.1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Overview</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_Toc274909879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75</w:t>
      </w:r>
      <w:r w:rsidRPr="00FF51CD">
        <w:rPr>
          <w:rFonts w:ascii="Arial" w:hAnsi="Arial" w:cs="Arial"/>
          <w:noProof/>
          <w:sz w:val="20"/>
          <w:szCs w:val="20"/>
        </w:rPr>
        <w:fldChar w:fldCharType="end"/>
      </w:r>
    </w:p>
    <w:p w14:paraId="3C45F42A" w14:textId="77777777" w:rsidR="00740723" w:rsidRPr="00FF51CD" w:rsidRDefault="00740723" w:rsidP="00740723">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5.2</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Concluding comments on trainers, tutors and administrative staff</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_Toc274909880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76</w:t>
      </w:r>
      <w:r w:rsidRPr="00FF51CD">
        <w:rPr>
          <w:rFonts w:ascii="Arial" w:hAnsi="Arial" w:cs="Arial"/>
          <w:noProof/>
          <w:sz w:val="20"/>
          <w:szCs w:val="20"/>
        </w:rPr>
        <w:fldChar w:fldCharType="end"/>
      </w:r>
    </w:p>
    <w:p w14:paraId="011442E5" w14:textId="77777777" w:rsidR="00D05D09" w:rsidRPr="00CE7DA1" w:rsidRDefault="00D05D09" w:rsidP="00032E71">
      <w:pPr>
        <w:pStyle w:val="TOC1"/>
        <w:ind w:left="351" w:hanging="351"/>
        <w:rPr>
          <w:rFonts w:asciiTheme="minorHAnsi" w:eastAsiaTheme="minorEastAsia" w:hAnsiTheme="minorHAnsi" w:cstheme="minorBidi"/>
          <w:sz w:val="24"/>
          <w:lang w:val="en-US" w:eastAsia="ja-JP"/>
        </w:rPr>
      </w:pPr>
      <w:r w:rsidRPr="00CE7DA1">
        <w:t xml:space="preserve">6 </w:t>
      </w:r>
      <w:r w:rsidRPr="00CE7DA1">
        <w:rPr>
          <w:rFonts w:asciiTheme="minorHAnsi" w:eastAsiaTheme="minorEastAsia" w:hAnsiTheme="minorHAnsi" w:cstheme="minorBidi"/>
          <w:sz w:val="24"/>
          <w:lang w:val="en-US" w:eastAsia="ja-JP"/>
        </w:rPr>
        <w:tab/>
      </w:r>
      <w:r w:rsidRPr="00CE7DA1">
        <w:t xml:space="preserve">Industry engagement at APTC – analysis of questionnaires completed by </w:t>
      </w:r>
      <w:r>
        <w:br/>
      </w:r>
      <w:r w:rsidRPr="00CE7DA1">
        <w:t>country managers</w:t>
      </w:r>
      <w:r w:rsidRPr="00CE7DA1">
        <w:tab/>
      </w:r>
      <w:r w:rsidRPr="00CE7DA1">
        <w:fldChar w:fldCharType="begin"/>
      </w:r>
      <w:r w:rsidRPr="00CE7DA1">
        <w:instrText xml:space="preserve"> PAGEREF _Toc278447897 \h </w:instrText>
      </w:r>
      <w:r w:rsidRPr="00CE7DA1">
        <w:fldChar w:fldCharType="separate"/>
      </w:r>
      <w:r w:rsidR="00EA0B4D">
        <w:t>76</w:t>
      </w:r>
      <w:r w:rsidRPr="00CE7DA1">
        <w:fldChar w:fldCharType="end"/>
      </w:r>
    </w:p>
    <w:p w14:paraId="4E6B008B" w14:textId="77777777" w:rsidR="00740723" w:rsidRPr="00FF51CD" w:rsidRDefault="00740723" w:rsidP="00740723">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6.1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Overview</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_Toc274909882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76</w:t>
      </w:r>
      <w:r w:rsidRPr="00FF51CD">
        <w:rPr>
          <w:rFonts w:ascii="Arial" w:hAnsi="Arial" w:cs="Arial"/>
          <w:noProof/>
          <w:sz w:val="20"/>
          <w:szCs w:val="20"/>
        </w:rPr>
        <w:fldChar w:fldCharType="end"/>
      </w:r>
    </w:p>
    <w:p w14:paraId="7A00BC91" w14:textId="77777777" w:rsidR="00740723" w:rsidRPr="00FF51CD" w:rsidRDefault="00740723" w:rsidP="00740723">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6.2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Introduction</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_Toc274909883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76</w:t>
      </w:r>
      <w:r w:rsidRPr="00FF51CD">
        <w:rPr>
          <w:rFonts w:ascii="Arial" w:hAnsi="Arial" w:cs="Arial"/>
          <w:noProof/>
          <w:sz w:val="20"/>
          <w:szCs w:val="20"/>
        </w:rPr>
        <w:fldChar w:fldCharType="end"/>
      </w:r>
    </w:p>
    <w:p w14:paraId="00F64C77" w14:textId="77777777" w:rsidR="00740723" w:rsidRDefault="00740723" w:rsidP="00740723"/>
    <w:p w14:paraId="4D4804C0" w14:textId="77777777" w:rsidR="00FF6548" w:rsidRDefault="00FF6548" w:rsidP="00740723"/>
    <w:p w14:paraId="39F4DF53" w14:textId="0228438E" w:rsidR="00824456" w:rsidRPr="00824456" w:rsidRDefault="00824456" w:rsidP="00824456">
      <w:pPr>
        <w:pStyle w:val="TableofFigures"/>
        <w:tabs>
          <w:tab w:val="right" w:leader="dot" w:pos="8489"/>
        </w:tabs>
        <w:rPr>
          <w:b/>
          <w:noProof/>
          <w:lang w:eastAsia="zh-CN"/>
        </w:rPr>
      </w:pPr>
      <w:r w:rsidRPr="00824456">
        <w:rPr>
          <w:b/>
          <w:noProof/>
          <w:lang w:eastAsia="zh-CN"/>
        </w:rPr>
        <w:t>List of tables</w:t>
      </w:r>
    </w:p>
    <w:p w14:paraId="3F64D117" w14:textId="5DB44E3D" w:rsidR="00824456" w:rsidRPr="00824456" w:rsidRDefault="00824456" w:rsidP="00824456">
      <w:pPr>
        <w:pStyle w:val="TableofFigures"/>
        <w:tabs>
          <w:tab w:val="right" w:leader="dot" w:pos="8489"/>
        </w:tabs>
        <w:rPr>
          <w:rFonts w:asciiTheme="minorHAnsi" w:eastAsiaTheme="minorEastAsia" w:hAnsiTheme="minorHAnsi" w:cstheme="minorBidi"/>
          <w:noProof/>
          <w:lang w:val="en-US" w:eastAsia="ja-JP"/>
        </w:rPr>
      </w:pPr>
      <w:r w:rsidRPr="00824456">
        <w:rPr>
          <w:noProof/>
          <w:sz w:val="20"/>
          <w:lang w:eastAsia="zh-CN"/>
        </w:rPr>
        <w:t xml:space="preserve">Table 5.1: Responses of current APTC students to the question ‘Do you have plans to </w:t>
      </w:r>
      <w:r>
        <w:rPr>
          <w:noProof/>
          <w:sz w:val="20"/>
          <w:lang w:eastAsia="zh-CN"/>
        </w:rPr>
        <w:br/>
        <w:t xml:space="preserve">   </w:t>
      </w:r>
      <w:r w:rsidRPr="00824456">
        <w:rPr>
          <w:noProof/>
          <w:sz w:val="20"/>
          <w:lang w:eastAsia="zh-CN"/>
        </w:rPr>
        <w:t>migrate for work to Australia or New Zealand at some stage in the future?’ (%)</w:t>
      </w:r>
      <w:r w:rsidRPr="00824456">
        <w:rPr>
          <w:noProof/>
          <w:sz w:val="20"/>
        </w:rPr>
        <w:tab/>
      </w:r>
      <w:r w:rsidRPr="00824456">
        <w:rPr>
          <w:noProof/>
          <w:sz w:val="20"/>
        </w:rPr>
        <w:fldChar w:fldCharType="begin"/>
      </w:r>
      <w:r w:rsidRPr="00824456">
        <w:rPr>
          <w:noProof/>
          <w:sz w:val="20"/>
        </w:rPr>
        <w:instrText xml:space="preserve"> PAGEREF _Toc274915929 \h </w:instrText>
      </w:r>
      <w:r w:rsidRPr="00824456">
        <w:rPr>
          <w:noProof/>
          <w:sz w:val="20"/>
        </w:rPr>
      </w:r>
      <w:r w:rsidRPr="00824456">
        <w:rPr>
          <w:noProof/>
          <w:sz w:val="20"/>
        </w:rPr>
        <w:fldChar w:fldCharType="separate"/>
      </w:r>
      <w:r w:rsidR="00EA0B4D">
        <w:rPr>
          <w:noProof/>
          <w:sz w:val="20"/>
        </w:rPr>
        <w:t>60</w:t>
      </w:r>
      <w:r w:rsidRPr="00824456">
        <w:rPr>
          <w:noProof/>
          <w:sz w:val="20"/>
        </w:rPr>
        <w:fldChar w:fldCharType="end"/>
      </w:r>
    </w:p>
    <w:p w14:paraId="19B62711" w14:textId="692A6815" w:rsidR="00824456" w:rsidRPr="00824456" w:rsidRDefault="00824456" w:rsidP="00824456">
      <w:pPr>
        <w:pStyle w:val="TableofFigures"/>
        <w:tabs>
          <w:tab w:val="right" w:leader="dot" w:pos="8489"/>
        </w:tabs>
        <w:rPr>
          <w:rFonts w:asciiTheme="minorHAnsi" w:eastAsiaTheme="minorEastAsia" w:hAnsiTheme="minorHAnsi" w:cstheme="minorBidi"/>
          <w:noProof/>
          <w:lang w:val="en-US" w:eastAsia="ja-JP"/>
        </w:rPr>
      </w:pPr>
      <w:r w:rsidRPr="00824456">
        <w:rPr>
          <w:noProof/>
          <w:sz w:val="20"/>
          <w:lang w:eastAsia="zh-CN"/>
        </w:rPr>
        <w:t xml:space="preserve">Table 5.2: Proportion of APTC graduates not with the same employer prior to APTC </w:t>
      </w:r>
      <w:r>
        <w:rPr>
          <w:noProof/>
          <w:sz w:val="20"/>
          <w:lang w:eastAsia="zh-CN"/>
        </w:rPr>
        <w:br/>
        <w:t xml:space="preserve">   </w:t>
      </w:r>
      <w:r w:rsidRPr="00824456">
        <w:rPr>
          <w:noProof/>
          <w:sz w:val="20"/>
          <w:lang w:eastAsia="zh-CN"/>
        </w:rPr>
        <w:t>who are not working now (%)</w:t>
      </w:r>
      <w:r w:rsidRPr="00824456">
        <w:rPr>
          <w:noProof/>
          <w:sz w:val="20"/>
        </w:rPr>
        <w:tab/>
      </w:r>
      <w:r w:rsidRPr="00824456">
        <w:rPr>
          <w:noProof/>
          <w:sz w:val="20"/>
        </w:rPr>
        <w:fldChar w:fldCharType="begin"/>
      </w:r>
      <w:r w:rsidRPr="00824456">
        <w:rPr>
          <w:noProof/>
          <w:sz w:val="20"/>
        </w:rPr>
        <w:instrText xml:space="preserve"> PAGEREF _Toc274915930 \h </w:instrText>
      </w:r>
      <w:r w:rsidRPr="00824456">
        <w:rPr>
          <w:noProof/>
          <w:sz w:val="20"/>
        </w:rPr>
      </w:r>
      <w:r w:rsidRPr="00824456">
        <w:rPr>
          <w:noProof/>
          <w:sz w:val="20"/>
        </w:rPr>
        <w:fldChar w:fldCharType="separate"/>
      </w:r>
      <w:r w:rsidR="00EA0B4D">
        <w:rPr>
          <w:noProof/>
          <w:sz w:val="20"/>
        </w:rPr>
        <w:t>61</w:t>
      </w:r>
      <w:r w:rsidRPr="00824456">
        <w:rPr>
          <w:noProof/>
          <w:sz w:val="20"/>
        </w:rPr>
        <w:fldChar w:fldCharType="end"/>
      </w:r>
    </w:p>
    <w:p w14:paraId="7C057B22" w14:textId="1AE7CA05" w:rsidR="00824456" w:rsidRPr="00824456" w:rsidRDefault="00824456" w:rsidP="00824456">
      <w:pPr>
        <w:pStyle w:val="TableofFigures"/>
        <w:tabs>
          <w:tab w:val="right" w:leader="dot" w:pos="8489"/>
        </w:tabs>
        <w:rPr>
          <w:rFonts w:asciiTheme="minorHAnsi" w:eastAsiaTheme="minorEastAsia" w:hAnsiTheme="minorHAnsi" w:cstheme="minorBidi"/>
          <w:noProof/>
          <w:lang w:val="en-US" w:eastAsia="ja-JP"/>
        </w:rPr>
      </w:pPr>
      <w:r w:rsidRPr="00824456">
        <w:rPr>
          <w:noProof/>
          <w:sz w:val="20"/>
          <w:lang w:eastAsia="zh-CN"/>
        </w:rPr>
        <w:t xml:space="preserve">Table 5.3: Plans of APTC graduates to migrate to other Pacific countries in the region, </w:t>
      </w:r>
      <w:r>
        <w:rPr>
          <w:noProof/>
          <w:sz w:val="20"/>
          <w:lang w:eastAsia="zh-CN"/>
        </w:rPr>
        <w:br/>
        <w:t xml:space="preserve">   </w:t>
      </w:r>
      <w:r w:rsidRPr="00824456">
        <w:rPr>
          <w:noProof/>
          <w:sz w:val="20"/>
          <w:lang w:eastAsia="zh-CN"/>
        </w:rPr>
        <w:t>Australia or New Zealand, females, males and total (%)</w:t>
      </w:r>
      <w:r w:rsidRPr="00824456">
        <w:rPr>
          <w:noProof/>
          <w:sz w:val="20"/>
        </w:rPr>
        <w:tab/>
      </w:r>
      <w:r w:rsidRPr="00824456">
        <w:rPr>
          <w:noProof/>
          <w:sz w:val="20"/>
        </w:rPr>
        <w:fldChar w:fldCharType="begin"/>
      </w:r>
      <w:r w:rsidRPr="00824456">
        <w:rPr>
          <w:noProof/>
          <w:sz w:val="20"/>
        </w:rPr>
        <w:instrText xml:space="preserve"> PAGEREF _Toc274915931 \h </w:instrText>
      </w:r>
      <w:r w:rsidRPr="00824456">
        <w:rPr>
          <w:noProof/>
          <w:sz w:val="20"/>
        </w:rPr>
      </w:r>
      <w:r w:rsidRPr="00824456">
        <w:rPr>
          <w:noProof/>
          <w:sz w:val="20"/>
        </w:rPr>
        <w:fldChar w:fldCharType="separate"/>
      </w:r>
      <w:r w:rsidR="00EA0B4D">
        <w:rPr>
          <w:noProof/>
          <w:sz w:val="20"/>
        </w:rPr>
        <w:t>64</w:t>
      </w:r>
      <w:r w:rsidRPr="00824456">
        <w:rPr>
          <w:noProof/>
          <w:sz w:val="20"/>
        </w:rPr>
        <w:fldChar w:fldCharType="end"/>
      </w:r>
    </w:p>
    <w:p w14:paraId="7951BDE3" w14:textId="493DD3DE" w:rsidR="00824456" w:rsidRPr="00824456" w:rsidRDefault="00824456" w:rsidP="00824456">
      <w:pPr>
        <w:pStyle w:val="TableofFigures"/>
        <w:tabs>
          <w:tab w:val="right" w:leader="dot" w:pos="8489"/>
        </w:tabs>
        <w:rPr>
          <w:rFonts w:asciiTheme="minorHAnsi" w:eastAsiaTheme="minorEastAsia" w:hAnsiTheme="minorHAnsi" w:cstheme="minorBidi"/>
          <w:noProof/>
          <w:lang w:val="en-US" w:eastAsia="ja-JP"/>
        </w:rPr>
      </w:pPr>
      <w:r w:rsidRPr="00824456">
        <w:rPr>
          <w:noProof/>
          <w:sz w:val="20"/>
          <w:lang w:eastAsia="zh-CN"/>
        </w:rPr>
        <w:t xml:space="preserve">Table 5.4: Estimated response rate of employers to the review team’s survey, </w:t>
      </w:r>
      <w:r>
        <w:rPr>
          <w:noProof/>
          <w:sz w:val="20"/>
          <w:lang w:eastAsia="zh-CN"/>
        </w:rPr>
        <w:br/>
        <w:t xml:space="preserve">   </w:t>
      </w:r>
      <w:r w:rsidRPr="00824456">
        <w:rPr>
          <w:noProof/>
          <w:sz w:val="20"/>
          <w:lang w:eastAsia="zh-CN"/>
        </w:rPr>
        <w:t>June–August 2014</w:t>
      </w:r>
      <w:r w:rsidRPr="00824456">
        <w:rPr>
          <w:noProof/>
          <w:sz w:val="20"/>
        </w:rPr>
        <w:tab/>
      </w:r>
      <w:r w:rsidRPr="00824456">
        <w:rPr>
          <w:noProof/>
          <w:sz w:val="20"/>
        </w:rPr>
        <w:fldChar w:fldCharType="begin"/>
      </w:r>
      <w:r w:rsidRPr="00824456">
        <w:rPr>
          <w:noProof/>
          <w:sz w:val="20"/>
        </w:rPr>
        <w:instrText xml:space="preserve"> PAGEREF _Toc274915932 \h </w:instrText>
      </w:r>
      <w:r w:rsidRPr="00824456">
        <w:rPr>
          <w:noProof/>
          <w:sz w:val="20"/>
        </w:rPr>
      </w:r>
      <w:r w:rsidRPr="00824456">
        <w:rPr>
          <w:noProof/>
          <w:sz w:val="20"/>
        </w:rPr>
        <w:fldChar w:fldCharType="separate"/>
      </w:r>
      <w:r w:rsidR="00EA0B4D">
        <w:rPr>
          <w:noProof/>
          <w:sz w:val="20"/>
        </w:rPr>
        <w:t>66</w:t>
      </w:r>
      <w:r w:rsidRPr="00824456">
        <w:rPr>
          <w:noProof/>
          <w:sz w:val="20"/>
        </w:rPr>
        <w:fldChar w:fldCharType="end"/>
      </w:r>
    </w:p>
    <w:p w14:paraId="4FEE9517" w14:textId="63F5D260" w:rsidR="00824456" w:rsidRPr="00824456" w:rsidRDefault="00824456" w:rsidP="00824456">
      <w:pPr>
        <w:pStyle w:val="TableofFigures"/>
        <w:tabs>
          <w:tab w:val="right" w:leader="dot" w:pos="8489"/>
        </w:tabs>
        <w:rPr>
          <w:rFonts w:asciiTheme="minorHAnsi" w:eastAsiaTheme="minorEastAsia" w:hAnsiTheme="minorHAnsi" w:cstheme="minorBidi"/>
          <w:noProof/>
          <w:lang w:val="en-US" w:eastAsia="ja-JP"/>
        </w:rPr>
      </w:pPr>
      <w:r w:rsidRPr="00824456">
        <w:rPr>
          <w:noProof/>
          <w:sz w:val="20"/>
          <w:lang w:eastAsia="zh-CN"/>
        </w:rPr>
        <w:t xml:space="preserve">Table 5.5: Ratings by employers of statements about APTC responsiveness, </w:t>
      </w:r>
      <w:r>
        <w:rPr>
          <w:noProof/>
          <w:sz w:val="20"/>
          <w:lang w:eastAsia="zh-CN"/>
        </w:rPr>
        <w:br/>
        <w:t xml:space="preserve">   </w:t>
      </w:r>
      <w:r w:rsidRPr="00824456">
        <w:rPr>
          <w:noProof/>
          <w:sz w:val="20"/>
          <w:lang w:eastAsia="zh-CN"/>
        </w:rPr>
        <w:t>June–August 2014 (%)</w:t>
      </w:r>
      <w:r w:rsidRPr="00824456">
        <w:rPr>
          <w:noProof/>
          <w:sz w:val="20"/>
        </w:rPr>
        <w:tab/>
      </w:r>
      <w:r w:rsidRPr="00824456">
        <w:rPr>
          <w:noProof/>
          <w:sz w:val="20"/>
        </w:rPr>
        <w:fldChar w:fldCharType="begin"/>
      </w:r>
      <w:r w:rsidRPr="00824456">
        <w:rPr>
          <w:noProof/>
          <w:sz w:val="20"/>
        </w:rPr>
        <w:instrText xml:space="preserve"> PAGEREF _Toc274915933 \h </w:instrText>
      </w:r>
      <w:r w:rsidRPr="00824456">
        <w:rPr>
          <w:noProof/>
          <w:sz w:val="20"/>
        </w:rPr>
      </w:r>
      <w:r w:rsidRPr="00824456">
        <w:rPr>
          <w:noProof/>
          <w:sz w:val="20"/>
        </w:rPr>
        <w:fldChar w:fldCharType="separate"/>
      </w:r>
      <w:r w:rsidR="00EA0B4D">
        <w:rPr>
          <w:noProof/>
          <w:sz w:val="20"/>
        </w:rPr>
        <w:t>67</w:t>
      </w:r>
      <w:r w:rsidRPr="00824456">
        <w:rPr>
          <w:noProof/>
          <w:sz w:val="20"/>
        </w:rPr>
        <w:fldChar w:fldCharType="end"/>
      </w:r>
    </w:p>
    <w:p w14:paraId="0EDA754A" w14:textId="689487D6" w:rsidR="00824456" w:rsidRPr="00824456" w:rsidRDefault="00824456" w:rsidP="00824456">
      <w:pPr>
        <w:pStyle w:val="TableofFigures"/>
        <w:tabs>
          <w:tab w:val="right" w:leader="dot" w:pos="8489"/>
        </w:tabs>
        <w:rPr>
          <w:rFonts w:asciiTheme="minorHAnsi" w:eastAsiaTheme="minorEastAsia" w:hAnsiTheme="minorHAnsi" w:cstheme="minorBidi"/>
          <w:noProof/>
          <w:lang w:val="en-US" w:eastAsia="ja-JP"/>
        </w:rPr>
      </w:pPr>
      <w:r w:rsidRPr="00824456">
        <w:rPr>
          <w:noProof/>
          <w:sz w:val="20"/>
          <w:lang w:eastAsia="zh-CN"/>
        </w:rPr>
        <w:t xml:space="preserve">Table 5.6: Ratings by employers of statements about APTC’s management of </w:t>
      </w:r>
      <w:r>
        <w:rPr>
          <w:noProof/>
          <w:sz w:val="20"/>
          <w:lang w:eastAsia="zh-CN"/>
        </w:rPr>
        <w:br/>
        <w:t xml:space="preserve">   </w:t>
      </w:r>
      <w:r w:rsidRPr="00824456">
        <w:rPr>
          <w:noProof/>
          <w:sz w:val="20"/>
          <w:lang w:eastAsia="zh-CN"/>
        </w:rPr>
        <w:t>work placements, June–August 2014 (%)</w:t>
      </w:r>
      <w:r w:rsidRPr="00824456">
        <w:rPr>
          <w:noProof/>
          <w:sz w:val="20"/>
        </w:rPr>
        <w:tab/>
      </w:r>
      <w:r w:rsidRPr="00824456">
        <w:rPr>
          <w:noProof/>
          <w:sz w:val="20"/>
        </w:rPr>
        <w:fldChar w:fldCharType="begin"/>
      </w:r>
      <w:r w:rsidRPr="00824456">
        <w:rPr>
          <w:noProof/>
          <w:sz w:val="20"/>
        </w:rPr>
        <w:instrText xml:space="preserve"> PAGEREF _Toc274915934 \h </w:instrText>
      </w:r>
      <w:r w:rsidRPr="00824456">
        <w:rPr>
          <w:noProof/>
          <w:sz w:val="20"/>
        </w:rPr>
      </w:r>
      <w:r w:rsidRPr="00824456">
        <w:rPr>
          <w:noProof/>
          <w:sz w:val="20"/>
        </w:rPr>
        <w:fldChar w:fldCharType="separate"/>
      </w:r>
      <w:r w:rsidR="00EA0B4D">
        <w:rPr>
          <w:noProof/>
          <w:sz w:val="20"/>
        </w:rPr>
        <w:t>67</w:t>
      </w:r>
      <w:r w:rsidRPr="00824456">
        <w:rPr>
          <w:noProof/>
          <w:sz w:val="20"/>
        </w:rPr>
        <w:fldChar w:fldCharType="end"/>
      </w:r>
    </w:p>
    <w:p w14:paraId="6DD25ADE" w14:textId="252C0A37" w:rsidR="00824456" w:rsidRPr="00824456" w:rsidRDefault="00824456" w:rsidP="00824456">
      <w:pPr>
        <w:pStyle w:val="TableofFigures"/>
        <w:tabs>
          <w:tab w:val="right" w:leader="dot" w:pos="8489"/>
        </w:tabs>
        <w:rPr>
          <w:rFonts w:asciiTheme="minorHAnsi" w:eastAsiaTheme="minorEastAsia" w:hAnsiTheme="minorHAnsi" w:cstheme="minorBidi"/>
          <w:noProof/>
          <w:lang w:val="en-US" w:eastAsia="ja-JP"/>
        </w:rPr>
      </w:pPr>
      <w:r w:rsidRPr="00824456">
        <w:rPr>
          <w:noProof/>
          <w:sz w:val="20"/>
          <w:lang w:eastAsia="zh-CN"/>
        </w:rPr>
        <w:t xml:space="preserve">Table 5.7: Ratings by employers of statements about the performance of APTC graduates </w:t>
      </w:r>
      <w:r>
        <w:rPr>
          <w:noProof/>
          <w:sz w:val="20"/>
          <w:lang w:eastAsia="zh-CN"/>
        </w:rPr>
        <w:br/>
        <w:t xml:space="preserve">   </w:t>
      </w:r>
      <w:r w:rsidRPr="00824456">
        <w:rPr>
          <w:noProof/>
          <w:sz w:val="20"/>
          <w:lang w:eastAsia="zh-CN"/>
        </w:rPr>
        <w:t>in their business, June–August 2014 (%)</w:t>
      </w:r>
      <w:r w:rsidRPr="00824456">
        <w:rPr>
          <w:noProof/>
          <w:sz w:val="20"/>
        </w:rPr>
        <w:tab/>
      </w:r>
      <w:r w:rsidRPr="00824456">
        <w:rPr>
          <w:noProof/>
          <w:sz w:val="20"/>
        </w:rPr>
        <w:fldChar w:fldCharType="begin"/>
      </w:r>
      <w:r w:rsidRPr="00824456">
        <w:rPr>
          <w:noProof/>
          <w:sz w:val="20"/>
        </w:rPr>
        <w:instrText xml:space="preserve"> PAGEREF _Toc274915935 \h </w:instrText>
      </w:r>
      <w:r w:rsidRPr="00824456">
        <w:rPr>
          <w:noProof/>
          <w:sz w:val="20"/>
        </w:rPr>
      </w:r>
      <w:r w:rsidRPr="00824456">
        <w:rPr>
          <w:noProof/>
          <w:sz w:val="20"/>
        </w:rPr>
        <w:fldChar w:fldCharType="separate"/>
      </w:r>
      <w:r w:rsidR="00EA0B4D">
        <w:rPr>
          <w:noProof/>
          <w:sz w:val="20"/>
        </w:rPr>
        <w:t>68</w:t>
      </w:r>
      <w:r w:rsidRPr="00824456">
        <w:rPr>
          <w:noProof/>
          <w:sz w:val="20"/>
        </w:rPr>
        <w:fldChar w:fldCharType="end"/>
      </w:r>
    </w:p>
    <w:p w14:paraId="4FE77CA2" w14:textId="77777777" w:rsidR="00E7510E" w:rsidRDefault="00E7510E" w:rsidP="000966FB">
      <w:pPr>
        <w:pStyle w:val="Heading1"/>
      </w:pPr>
    </w:p>
    <w:p w14:paraId="3275B2AB" w14:textId="77777777" w:rsidR="000966FB" w:rsidRDefault="000966FB" w:rsidP="000966FB">
      <w:pPr>
        <w:spacing w:before="120"/>
        <w:rPr>
          <w:lang w:eastAsia="zh-CN"/>
        </w:rPr>
      </w:pPr>
      <w:r>
        <w:rPr>
          <w:lang w:eastAsia="zh-CN"/>
        </w:rPr>
        <w:t>This</w:t>
      </w:r>
      <w:r w:rsidRPr="00FB3195">
        <w:rPr>
          <w:lang w:eastAsia="zh-CN"/>
        </w:rPr>
        <w:t xml:space="preserve"> </w:t>
      </w:r>
      <w:r>
        <w:rPr>
          <w:lang w:eastAsia="zh-CN"/>
        </w:rPr>
        <w:t>a</w:t>
      </w:r>
      <w:r w:rsidRPr="00FB3195">
        <w:rPr>
          <w:lang w:eastAsia="zh-CN"/>
        </w:rPr>
        <w:t xml:space="preserve">nnex presents the results of questions </w:t>
      </w:r>
      <w:r>
        <w:rPr>
          <w:lang w:eastAsia="zh-CN"/>
        </w:rPr>
        <w:t xml:space="preserve">that </w:t>
      </w:r>
      <w:r w:rsidRPr="00FB3195">
        <w:rPr>
          <w:lang w:eastAsia="zh-CN"/>
        </w:rPr>
        <w:t>the review team asked the participants to complete at the end of each consultation. The analysis below is of the responses of</w:t>
      </w:r>
      <w:r>
        <w:rPr>
          <w:lang w:eastAsia="zh-CN"/>
        </w:rPr>
        <w:t>:</w:t>
      </w:r>
      <w:r w:rsidRPr="00FB3195">
        <w:rPr>
          <w:lang w:eastAsia="zh-CN"/>
        </w:rPr>
        <w:t xml:space="preserve"> current students</w:t>
      </w:r>
      <w:r>
        <w:rPr>
          <w:lang w:eastAsia="zh-CN"/>
        </w:rPr>
        <w:t xml:space="preserve">; </w:t>
      </w:r>
      <w:r w:rsidRPr="00FB3195">
        <w:rPr>
          <w:lang w:eastAsia="zh-CN"/>
        </w:rPr>
        <w:t>APTC graduates</w:t>
      </w:r>
      <w:r>
        <w:rPr>
          <w:lang w:eastAsia="zh-CN"/>
        </w:rPr>
        <w:t xml:space="preserve">; </w:t>
      </w:r>
      <w:r w:rsidRPr="00FB3195">
        <w:rPr>
          <w:lang w:eastAsia="zh-CN"/>
        </w:rPr>
        <w:t>employers</w:t>
      </w:r>
      <w:r>
        <w:rPr>
          <w:lang w:eastAsia="zh-CN"/>
        </w:rPr>
        <w:t>; trainers and tutors; administrative staff; and APTC industrial engagement.</w:t>
      </w:r>
    </w:p>
    <w:p w14:paraId="685410C7" w14:textId="77777777" w:rsidR="000966FB" w:rsidRDefault="000966FB" w:rsidP="000966FB">
      <w:pPr>
        <w:spacing w:before="120"/>
        <w:rPr>
          <w:lang w:eastAsia="zh-CN"/>
        </w:rPr>
      </w:pPr>
      <w:r w:rsidRPr="00FB3195">
        <w:rPr>
          <w:lang w:eastAsia="zh-CN"/>
        </w:rPr>
        <w:t xml:space="preserve">Data input from the responses to the </w:t>
      </w:r>
      <w:r>
        <w:rPr>
          <w:lang w:eastAsia="zh-CN"/>
        </w:rPr>
        <w:t xml:space="preserve">first three </w:t>
      </w:r>
      <w:r w:rsidRPr="00FB3195">
        <w:rPr>
          <w:lang w:eastAsia="zh-CN"/>
        </w:rPr>
        <w:t xml:space="preserve">questions </w:t>
      </w:r>
      <w:r>
        <w:rPr>
          <w:lang w:eastAsia="zh-CN"/>
        </w:rPr>
        <w:t xml:space="preserve">was </w:t>
      </w:r>
      <w:r w:rsidRPr="00FB3195">
        <w:rPr>
          <w:lang w:eastAsia="zh-CN"/>
        </w:rPr>
        <w:t>undertaken by the Australian Council for Educational Research</w:t>
      </w:r>
      <w:r>
        <w:rPr>
          <w:lang w:eastAsia="zh-CN"/>
        </w:rPr>
        <w:t>, while the fourth and fifth were by a review team member. The review team members undertook the analysis.</w:t>
      </w:r>
      <w:r w:rsidRPr="00FB3195">
        <w:rPr>
          <w:lang w:eastAsia="zh-CN"/>
        </w:rPr>
        <w:t xml:space="preserve"> </w:t>
      </w:r>
    </w:p>
    <w:p w14:paraId="7C148725" w14:textId="77777777" w:rsidR="000966FB" w:rsidRPr="000859B4" w:rsidRDefault="000966FB" w:rsidP="000966FB">
      <w:pPr>
        <w:rPr>
          <w:rFonts w:cs="Arial"/>
        </w:rPr>
      </w:pPr>
      <w:r w:rsidRPr="000859B4">
        <w:rPr>
          <w:szCs w:val="22"/>
        </w:rPr>
        <w:t xml:space="preserve">The review team acknowledges that the </w:t>
      </w:r>
      <w:r>
        <w:rPr>
          <w:szCs w:val="22"/>
        </w:rPr>
        <w:t xml:space="preserve">numbers of those responding to the </w:t>
      </w:r>
      <w:r w:rsidRPr="000859B4">
        <w:rPr>
          <w:szCs w:val="22"/>
        </w:rPr>
        <w:t>questionnaires were relatively small in relation to the total numbers in each stakeholder group, particularly in the case of employers. T</w:t>
      </w:r>
      <w:r w:rsidRPr="000859B4">
        <w:rPr>
          <w:rFonts w:cs="Arial"/>
        </w:rPr>
        <w:t>his was highly dependent on the availability of the individual stakeholders and their willingness and motivation to be included.</w:t>
      </w:r>
    </w:p>
    <w:p w14:paraId="3A918303" w14:textId="77777777" w:rsidR="000966FB" w:rsidRPr="000859B4" w:rsidRDefault="000966FB" w:rsidP="000966FB">
      <w:pPr>
        <w:rPr>
          <w:szCs w:val="22"/>
        </w:rPr>
      </w:pPr>
      <w:r w:rsidRPr="000859B4">
        <w:rPr>
          <w:szCs w:val="22"/>
        </w:rPr>
        <w:t>However, in terms of the consequences of the limitations of the data, several points are noteworthy</w:t>
      </w:r>
      <w:r>
        <w:rPr>
          <w:szCs w:val="22"/>
        </w:rPr>
        <w:t>.</w:t>
      </w:r>
    </w:p>
    <w:p w14:paraId="7B5BEB91" w14:textId="77777777" w:rsidR="000966FB" w:rsidRPr="000859B4" w:rsidRDefault="000966FB" w:rsidP="000966FB">
      <w:pPr>
        <w:numPr>
          <w:ilvl w:val="0"/>
          <w:numId w:val="71"/>
        </w:numPr>
        <w:spacing w:after="0"/>
        <w:rPr>
          <w:szCs w:val="22"/>
        </w:rPr>
      </w:pPr>
      <w:r w:rsidRPr="000859B4">
        <w:rPr>
          <w:szCs w:val="22"/>
        </w:rPr>
        <w:t xml:space="preserve">The review team was confident that there was a high level of consistency between the responses to the questionnaires and the views expressed by each of the stakeholder groups during the many consultations conducted, informal comments by stakeholders and the team’s observations during the field visits. </w:t>
      </w:r>
      <w:r>
        <w:rPr>
          <w:szCs w:val="22"/>
        </w:rPr>
        <w:t>If </w:t>
      </w:r>
      <w:r w:rsidRPr="000859B4">
        <w:rPr>
          <w:szCs w:val="22"/>
        </w:rPr>
        <w:t xml:space="preserve">this </w:t>
      </w:r>
      <w:r>
        <w:rPr>
          <w:szCs w:val="22"/>
        </w:rPr>
        <w:t xml:space="preserve">had </w:t>
      </w:r>
      <w:r w:rsidRPr="000859B4">
        <w:rPr>
          <w:szCs w:val="22"/>
        </w:rPr>
        <w:t>not been the case, the written responses would not have been cited.</w:t>
      </w:r>
    </w:p>
    <w:p w14:paraId="106925F2" w14:textId="77777777" w:rsidR="000966FB" w:rsidRPr="000859B4" w:rsidRDefault="000966FB" w:rsidP="000966FB">
      <w:pPr>
        <w:numPr>
          <w:ilvl w:val="0"/>
          <w:numId w:val="71"/>
        </w:numPr>
        <w:spacing w:after="0"/>
        <w:rPr>
          <w:szCs w:val="22"/>
        </w:rPr>
      </w:pPr>
      <w:r w:rsidRPr="000859B4">
        <w:rPr>
          <w:szCs w:val="22"/>
        </w:rPr>
        <w:t>Annex 2 (list of persons met) includes the following numbers involved in the consultations by stakeholder group:</w:t>
      </w:r>
      <w:r w:rsidRPr="006764A3">
        <w:rPr>
          <w:szCs w:val="22"/>
        </w:rPr>
        <w:t xml:space="preserve"> </w:t>
      </w:r>
      <w:r w:rsidRPr="000859B4">
        <w:rPr>
          <w:szCs w:val="22"/>
        </w:rPr>
        <w:t>Students/graduates – 291</w:t>
      </w:r>
      <w:r w:rsidRPr="006764A3">
        <w:rPr>
          <w:szCs w:val="22"/>
        </w:rPr>
        <w:t xml:space="preserve">; </w:t>
      </w:r>
      <w:r w:rsidRPr="000859B4">
        <w:rPr>
          <w:szCs w:val="22"/>
        </w:rPr>
        <w:t>Employers – 74</w:t>
      </w:r>
      <w:r w:rsidRPr="006764A3">
        <w:rPr>
          <w:szCs w:val="22"/>
        </w:rPr>
        <w:t>;</w:t>
      </w:r>
      <w:r>
        <w:rPr>
          <w:szCs w:val="22"/>
        </w:rPr>
        <w:t xml:space="preserve"> T</w:t>
      </w:r>
      <w:r w:rsidRPr="000859B4">
        <w:rPr>
          <w:szCs w:val="22"/>
        </w:rPr>
        <w:t>rainers/tutors – 63</w:t>
      </w:r>
      <w:r w:rsidRPr="006764A3">
        <w:rPr>
          <w:szCs w:val="22"/>
        </w:rPr>
        <w:t xml:space="preserve">; </w:t>
      </w:r>
      <w:r w:rsidRPr="000859B4">
        <w:rPr>
          <w:szCs w:val="22"/>
        </w:rPr>
        <w:t>Administrative staff – 32</w:t>
      </w:r>
      <w:r w:rsidRPr="006764A3">
        <w:rPr>
          <w:szCs w:val="22"/>
        </w:rPr>
        <w:t xml:space="preserve">; </w:t>
      </w:r>
      <w:r w:rsidRPr="000859B4">
        <w:rPr>
          <w:szCs w:val="22"/>
        </w:rPr>
        <w:t>Pacific government representatives – 44</w:t>
      </w:r>
      <w:r>
        <w:rPr>
          <w:szCs w:val="22"/>
        </w:rPr>
        <w:t>.</w:t>
      </w:r>
      <w:r w:rsidRPr="000859B4">
        <w:rPr>
          <w:szCs w:val="22"/>
        </w:rPr>
        <w:t xml:space="preserve"> </w:t>
      </w:r>
    </w:p>
    <w:p w14:paraId="2CE16997" w14:textId="77777777" w:rsidR="000966FB" w:rsidRPr="000859B4" w:rsidRDefault="000966FB" w:rsidP="000966FB">
      <w:pPr>
        <w:numPr>
          <w:ilvl w:val="0"/>
          <w:numId w:val="71"/>
        </w:numPr>
        <w:spacing w:after="0"/>
        <w:rPr>
          <w:szCs w:val="22"/>
        </w:rPr>
      </w:pPr>
      <w:r w:rsidRPr="000859B4">
        <w:rPr>
          <w:szCs w:val="22"/>
        </w:rPr>
        <w:t>The biggest area of concern is the response rate to the written surveys from the employers, but the view was taken that it was prefer</w:t>
      </w:r>
      <w:r w:rsidRPr="003A3057">
        <w:rPr>
          <w:szCs w:val="22"/>
        </w:rPr>
        <w:t>able to include these responses</w:t>
      </w:r>
      <w:r>
        <w:rPr>
          <w:szCs w:val="22"/>
        </w:rPr>
        <w:t xml:space="preserve"> </w:t>
      </w:r>
      <w:r w:rsidRPr="000859B4">
        <w:rPr>
          <w:szCs w:val="22"/>
        </w:rPr>
        <w:t>than to ignore them.</w:t>
      </w:r>
    </w:p>
    <w:p w14:paraId="5E9C93EE" w14:textId="77777777" w:rsidR="000966FB" w:rsidRPr="000859B4" w:rsidRDefault="000966FB" w:rsidP="000966FB">
      <w:pPr>
        <w:spacing w:after="0"/>
        <w:rPr>
          <w:szCs w:val="22"/>
        </w:rPr>
      </w:pPr>
    </w:p>
    <w:p w14:paraId="37E3F5A4" w14:textId="77777777" w:rsidR="000966FB" w:rsidRPr="000859B4" w:rsidRDefault="000966FB" w:rsidP="000966FB">
      <w:pPr>
        <w:spacing w:after="0"/>
        <w:rPr>
          <w:szCs w:val="22"/>
        </w:rPr>
      </w:pPr>
      <w:r w:rsidRPr="000859B4">
        <w:rPr>
          <w:szCs w:val="22"/>
        </w:rPr>
        <w:t>Overall, the written responses to the questionnaires and the extent of the consultations were seen to be mutually reinforcing.</w:t>
      </w:r>
    </w:p>
    <w:p w14:paraId="08A539BA" w14:textId="77777777" w:rsidR="00740723" w:rsidRPr="00740723" w:rsidRDefault="00740723" w:rsidP="00740723">
      <w:pPr>
        <w:rPr>
          <w:sz w:val="10"/>
        </w:rPr>
      </w:pPr>
    </w:p>
    <w:p w14:paraId="7089E196" w14:textId="77777777" w:rsidR="006D3E4A" w:rsidRPr="00FB3195" w:rsidRDefault="00266E5B" w:rsidP="000668BA">
      <w:pPr>
        <w:pStyle w:val="Heading1"/>
        <w:numPr>
          <w:ilvl w:val="0"/>
          <w:numId w:val="60"/>
        </w:numPr>
      </w:pPr>
      <w:bookmarkStart w:id="431" w:name="_Toc278447863"/>
      <w:bookmarkStart w:id="432" w:name="_Toc278453336"/>
      <w:r>
        <w:t>R</w:t>
      </w:r>
      <w:r w:rsidR="006D3E4A" w:rsidRPr="00FB3195">
        <w:t>esponses from current APTC students, June</w:t>
      </w:r>
      <w:r w:rsidR="007E4377">
        <w:t>–</w:t>
      </w:r>
      <w:r w:rsidR="006D3E4A" w:rsidRPr="00FB3195">
        <w:t>August 2014</w:t>
      </w:r>
      <w:bookmarkEnd w:id="431"/>
      <w:bookmarkEnd w:id="432"/>
    </w:p>
    <w:p w14:paraId="74A037FE" w14:textId="77777777" w:rsidR="006D3E4A" w:rsidRPr="00FB3195" w:rsidRDefault="006D3E4A" w:rsidP="006D3E4A">
      <w:pPr>
        <w:spacing w:before="120"/>
        <w:rPr>
          <w:lang w:eastAsia="zh-CN"/>
        </w:rPr>
      </w:pPr>
      <w:r w:rsidRPr="00FB3195">
        <w:rPr>
          <w:lang w:eastAsia="zh-CN"/>
        </w:rPr>
        <w:t>The review team received 211 responses from the APTC students who responded to APTC’s invitation to a consultation. The respondents were invited based on the classes being held on the day and so are not likely to be representative of the total current student population. Of APTC students surveyed, 64 per cent are men and 37 per cent are women</w:t>
      </w:r>
      <w:r w:rsidR="001C0319">
        <w:rPr>
          <w:lang w:eastAsia="zh-CN"/>
        </w:rPr>
        <w:t>,</w:t>
      </w:r>
      <w:r w:rsidRPr="00FB3195">
        <w:rPr>
          <w:lang w:eastAsia="zh-CN"/>
        </w:rPr>
        <w:t xml:space="preserve"> which is close to the </w:t>
      </w:r>
      <w:r w:rsidR="001C0319">
        <w:rPr>
          <w:lang w:eastAsia="zh-CN"/>
        </w:rPr>
        <w:t>gender</w:t>
      </w:r>
      <w:r w:rsidR="001C0319" w:rsidRPr="00FB3195">
        <w:rPr>
          <w:lang w:eastAsia="zh-CN"/>
        </w:rPr>
        <w:t xml:space="preserve"> </w:t>
      </w:r>
      <w:r w:rsidRPr="00FB3195">
        <w:rPr>
          <w:lang w:eastAsia="zh-CN"/>
        </w:rPr>
        <w:t>profile for Stage II students. The largest age group is 20</w:t>
      </w:r>
      <w:r w:rsidR="001C0319">
        <w:rPr>
          <w:lang w:eastAsia="zh-CN"/>
        </w:rPr>
        <w:t>–</w:t>
      </w:r>
      <w:r w:rsidRPr="00FB3195">
        <w:rPr>
          <w:lang w:eastAsia="zh-CN"/>
        </w:rPr>
        <w:t>24 years, accounting for three-in-ten students surveyed which is nearly twice the proportion in the first semester 2014 student population. The men are more concentrated in the 20</w:t>
      </w:r>
      <w:r w:rsidR="001C0319">
        <w:rPr>
          <w:lang w:eastAsia="zh-CN"/>
        </w:rPr>
        <w:t>–</w:t>
      </w:r>
      <w:r w:rsidRPr="00FB3195">
        <w:rPr>
          <w:lang w:eastAsia="zh-CN"/>
        </w:rPr>
        <w:t>24 age range.</w:t>
      </w:r>
    </w:p>
    <w:p w14:paraId="4190F8E5" w14:textId="77777777" w:rsidR="006D3E4A" w:rsidRPr="00FB3195" w:rsidRDefault="006D3E4A" w:rsidP="006D3E4A">
      <w:pPr>
        <w:spacing w:before="120"/>
        <w:rPr>
          <w:lang w:eastAsia="zh-CN"/>
        </w:rPr>
      </w:pPr>
      <w:r w:rsidRPr="00FB3195">
        <w:rPr>
          <w:lang w:eastAsia="zh-CN"/>
        </w:rPr>
        <w:t xml:space="preserve">A profile of students by country of origin shows that </w:t>
      </w:r>
      <w:r w:rsidR="001C0319">
        <w:rPr>
          <w:lang w:eastAsia="zh-CN"/>
        </w:rPr>
        <w:t>Papua New Guinea</w:t>
      </w:r>
      <w:r w:rsidR="001C0319" w:rsidRPr="00FB3195">
        <w:rPr>
          <w:lang w:eastAsia="zh-CN"/>
        </w:rPr>
        <w:t xml:space="preserve"> </w:t>
      </w:r>
      <w:r w:rsidRPr="00FB3195">
        <w:rPr>
          <w:lang w:eastAsia="zh-CN"/>
        </w:rPr>
        <w:t xml:space="preserve">is significantly over-represented in the survey with 40 per cent of the total compared with 19 per cent of students in Semester I, 2014. Students from Fiji and Solomon Islands are somewhat under-represented in the survey compared with their share of current students (24 per cent compared with 32 per cent; 4 per cent compared with 9 per cent). The fields of study represented also differ significantly from the profile of current students, as students were chosen on basis of availability on the day requested.  </w:t>
      </w:r>
    </w:p>
    <w:p w14:paraId="71A93923" w14:textId="77777777" w:rsidR="003D355F" w:rsidRDefault="006D3E4A" w:rsidP="000668BA">
      <w:pPr>
        <w:pStyle w:val="Heading2"/>
        <w:numPr>
          <w:ilvl w:val="1"/>
          <w:numId w:val="68"/>
        </w:numPr>
      </w:pPr>
      <w:bookmarkStart w:id="433" w:name="_Toc274145085"/>
      <w:bookmarkStart w:id="434" w:name="_Toc274900469"/>
      <w:bookmarkStart w:id="435" w:name="_Toc274909848"/>
      <w:bookmarkStart w:id="436" w:name="_Toc278447864"/>
      <w:bookmarkStart w:id="437" w:name="_Toc278453337"/>
      <w:r w:rsidRPr="00FB3195">
        <w:t>Students’ funding and employment status while a student</w:t>
      </w:r>
      <w:bookmarkEnd w:id="433"/>
      <w:bookmarkEnd w:id="434"/>
      <w:bookmarkEnd w:id="435"/>
      <w:bookmarkEnd w:id="436"/>
      <w:bookmarkEnd w:id="437"/>
    </w:p>
    <w:p w14:paraId="0401ECA7" w14:textId="77777777" w:rsidR="006D3E4A" w:rsidRPr="00FB3195" w:rsidRDefault="006D3E4A" w:rsidP="006D3E4A">
      <w:pPr>
        <w:spacing w:before="120"/>
        <w:rPr>
          <w:lang w:eastAsia="zh-CN"/>
        </w:rPr>
      </w:pPr>
      <w:r w:rsidRPr="00FB3195">
        <w:rPr>
          <w:lang w:eastAsia="zh-CN"/>
        </w:rPr>
        <w:t xml:space="preserve">Four-out-of-five students are on an APTC scholarship. One-in-six students are funded by their employer. Only 4 per cent are self-funded. Most students surveyed are full-time (83 per cent). Only just over one-in-three are in paid work while a student. Of those students in paid work before APTC, 60 per cent are not in paid work while a student. This suggests that most employers have stopped paying their employees while they are </w:t>
      </w:r>
      <w:r w:rsidR="00955D5F">
        <w:rPr>
          <w:lang w:eastAsia="zh-CN"/>
        </w:rPr>
        <w:t>studying</w:t>
      </w:r>
      <w:r w:rsidRPr="00FB3195">
        <w:rPr>
          <w:lang w:eastAsia="zh-CN"/>
        </w:rPr>
        <w:t>. This situation applies to many students in children’s services, electro</w:t>
      </w:r>
      <w:r w:rsidR="00D059A3">
        <w:rPr>
          <w:lang w:eastAsia="zh-CN"/>
        </w:rPr>
        <w:t>-</w:t>
      </w:r>
      <w:r w:rsidRPr="00FB3195">
        <w:rPr>
          <w:lang w:eastAsia="zh-CN"/>
        </w:rPr>
        <w:t xml:space="preserve">technology, fabrication trade, automotive, fitting and machining and disability fields of study. </w:t>
      </w:r>
    </w:p>
    <w:p w14:paraId="58E07CBC" w14:textId="77777777" w:rsidR="003D355F" w:rsidRDefault="006D3E4A" w:rsidP="000668BA">
      <w:pPr>
        <w:pStyle w:val="Heading2"/>
        <w:numPr>
          <w:ilvl w:val="1"/>
          <w:numId w:val="68"/>
        </w:numPr>
      </w:pPr>
      <w:bookmarkStart w:id="438" w:name="_Toc274145086"/>
      <w:bookmarkStart w:id="439" w:name="_Toc274900470"/>
      <w:bookmarkStart w:id="440" w:name="_Toc274909849"/>
      <w:bookmarkStart w:id="441" w:name="_Toc278447865"/>
      <w:bookmarkStart w:id="442" w:name="_Toc278453338"/>
      <w:r w:rsidRPr="00FB3195">
        <w:t>Student level of satisfaction with APTC</w:t>
      </w:r>
      <w:bookmarkEnd w:id="438"/>
      <w:bookmarkEnd w:id="439"/>
      <w:bookmarkEnd w:id="440"/>
      <w:bookmarkEnd w:id="441"/>
      <w:bookmarkEnd w:id="442"/>
      <w:r w:rsidRPr="00FB3195">
        <w:t xml:space="preserve"> </w:t>
      </w:r>
    </w:p>
    <w:p w14:paraId="371E2FBC" w14:textId="77777777" w:rsidR="006D3E4A" w:rsidRPr="00FB3195" w:rsidRDefault="006D3E4A" w:rsidP="006D3E4A">
      <w:pPr>
        <w:spacing w:before="120"/>
        <w:rPr>
          <w:lang w:eastAsia="zh-CN"/>
        </w:rPr>
      </w:pPr>
      <w:r w:rsidRPr="00FB3195">
        <w:rPr>
          <w:lang w:eastAsia="zh-CN"/>
        </w:rPr>
        <w:t xml:space="preserve">Students are mostly very satisfied with the APTC, with 70 per cent very satisfied and 23 per cent satisfied. The proportion of women very satisfied is higher at 79 per cent. Major difficulties identified are those related to study, access to and use of computers, problems with English, the short duration of the course and financial matters. These issues accounted for half of the issues listed by students. </w:t>
      </w:r>
    </w:p>
    <w:p w14:paraId="1C1A074E" w14:textId="77777777" w:rsidR="003D355F" w:rsidRDefault="006D3E4A" w:rsidP="000668BA">
      <w:pPr>
        <w:pStyle w:val="Heading2"/>
        <w:numPr>
          <w:ilvl w:val="1"/>
          <w:numId w:val="68"/>
        </w:numPr>
      </w:pPr>
      <w:bookmarkStart w:id="443" w:name="_Toc274145087"/>
      <w:bookmarkStart w:id="444" w:name="_Toc274900471"/>
      <w:bookmarkStart w:id="445" w:name="_Toc274909850"/>
      <w:bookmarkStart w:id="446" w:name="_Toc278447866"/>
      <w:bookmarkStart w:id="447" w:name="_Toc278453339"/>
      <w:r w:rsidRPr="00FB3195">
        <w:t>Future plans</w:t>
      </w:r>
      <w:bookmarkEnd w:id="443"/>
      <w:bookmarkEnd w:id="444"/>
      <w:bookmarkEnd w:id="445"/>
      <w:bookmarkEnd w:id="446"/>
      <w:bookmarkEnd w:id="447"/>
    </w:p>
    <w:p w14:paraId="2D97042B" w14:textId="77777777" w:rsidR="00955D5F" w:rsidRDefault="006D3E4A" w:rsidP="006D3E4A">
      <w:pPr>
        <w:spacing w:before="120"/>
        <w:rPr>
          <w:lang w:eastAsia="zh-CN"/>
        </w:rPr>
      </w:pPr>
      <w:r w:rsidRPr="00FB3195">
        <w:rPr>
          <w:lang w:eastAsia="zh-CN"/>
        </w:rPr>
        <w:t xml:space="preserve">Students were asked what they wanted to do after they graduated. Just over one-in-four (28 per cent) said they would stay with the same employer. Just over one-in-three (36 per cent) said they would try to find a new job in the same field. One-in-ten said they would try to find a new job in their own country in another field to the one they were studying at APTC. </w:t>
      </w:r>
    </w:p>
    <w:p w14:paraId="1587AE61" w14:textId="077DA255" w:rsidR="006D3E4A" w:rsidRPr="00FB3195" w:rsidRDefault="006D3E4A" w:rsidP="006D3E4A">
      <w:pPr>
        <w:spacing w:before="120"/>
        <w:rPr>
          <w:lang w:eastAsia="zh-CN"/>
        </w:rPr>
      </w:pPr>
      <w:r w:rsidRPr="00FB3195">
        <w:rPr>
          <w:lang w:eastAsia="zh-CN"/>
        </w:rPr>
        <w:t xml:space="preserve">Over one-in-three (37 per cent) said they would try to find a job in another country. This applied much more </w:t>
      </w:r>
      <w:r w:rsidR="00D21BCB">
        <w:rPr>
          <w:lang w:eastAsia="zh-CN"/>
        </w:rPr>
        <w:t xml:space="preserve">for </w:t>
      </w:r>
      <w:r w:rsidRPr="00FB3195">
        <w:rPr>
          <w:lang w:eastAsia="zh-CN"/>
        </w:rPr>
        <w:t xml:space="preserve">male than </w:t>
      </w:r>
      <w:r w:rsidR="00D21BCB">
        <w:rPr>
          <w:lang w:eastAsia="zh-CN"/>
        </w:rPr>
        <w:t xml:space="preserve">for </w:t>
      </w:r>
      <w:r w:rsidRPr="00FB3195">
        <w:rPr>
          <w:lang w:eastAsia="zh-CN"/>
        </w:rPr>
        <w:t xml:space="preserve">female students (47 and 20 per cent respectively). Students were asked </w:t>
      </w:r>
      <w:r w:rsidR="00071034">
        <w:rPr>
          <w:lang w:eastAsia="zh-CN"/>
        </w:rPr>
        <w:t xml:space="preserve">in </w:t>
      </w:r>
      <w:r w:rsidRPr="00FB3195">
        <w:rPr>
          <w:lang w:eastAsia="zh-CN"/>
        </w:rPr>
        <w:t xml:space="preserve">which country they wanted to </w:t>
      </w:r>
      <w:r w:rsidR="00955D5F">
        <w:rPr>
          <w:lang w:eastAsia="zh-CN"/>
        </w:rPr>
        <w:t>work</w:t>
      </w:r>
      <w:r w:rsidRPr="00FB3195">
        <w:rPr>
          <w:lang w:eastAsia="zh-CN"/>
        </w:rPr>
        <w:t xml:space="preserve">. The largest number of mentions for a country was Australia (86), </w:t>
      </w:r>
      <w:r w:rsidR="00A17652">
        <w:rPr>
          <w:lang w:eastAsia="zh-CN"/>
        </w:rPr>
        <w:t xml:space="preserve">which was </w:t>
      </w:r>
      <w:r w:rsidRPr="00FB3195">
        <w:rPr>
          <w:lang w:eastAsia="zh-CN"/>
        </w:rPr>
        <w:t xml:space="preserve">more than three times that </w:t>
      </w:r>
      <w:r w:rsidR="00071034">
        <w:rPr>
          <w:lang w:eastAsia="zh-CN"/>
        </w:rPr>
        <w:t xml:space="preserve">of </w:t>
      </w:r>
      <w:r w:rsidRPr="00FB3195">
        <w:rPr>
          <w:lang w:eastAsia="zh-CN"/>
        </w:rPr>
        <w:t>New Zealand (25). PNG was mentioned 18 times, followed by Vanuatu (14) and Fiji (6). The USA received four mentions. The 35</w:t>
      </w:r>
      <w:r w:rsidR="00A17652">
        <w:rPr>
          <w:lang w:eastAsia="zh-CN"/>
        </w:rPr>
        <w:t>–</w:t>
      </w:r>
      <w:r w:rsidRPr="00FB3195">
        <w:rPr>
          <w:lang w:eastAsia="zh-CN"/>
        </w:rPr>
        <w:t>39 age group is most likely to say they want to migrate to another country.</w:t>
      </w:r>
    </w:p>
    <w:p w14:paraId="11398107" w14:textId="77777777" w:rsidR="003D355F" w:rsidRDefault="006D3E4A" w:rsidP="000668BA">
      <w:pPr>
        <w:pStyle w:val="Heading2"/>
        <w:numPr>
          <w:ilvl w:val="1"/>
          <w:numId w:val="68"/>
        </w:numPr>
      </w:pPr>
      <w:bookmarkStart w:id="448" w:name="_Toc274145088"/>
      <w:bookmarkStart w:id="449" w:name="_Toc274900472"/>
      <w:bookmarkStart w:id="450" w:name="_Toc274909851"/>
      <w:bookmarkStart w:id="451" w:name="_Toc278447867"/>
      <w:bookmarkStart w:id="452" w:name="_Toc278453340"/>
      <w:r w:rsidRPr="00FB3195">
        <w:t>Intention to migrate</w:t>
      </w:r>
      <w:bookmarkEnd w:id="448"/>
      <w:bookmarkEnd w:id="449"/>
      <w:bookmarkEnd w:id="450"/>
      <w:bookmarkEnd w:id="451"/>
      <w:bookmarkEnd w:id="452"/>
    </w:p>
    <w:p w14:paraId="6617AF73" w14:textId="77777777" w:rsidR="006D3E4A" w:rsidRPr="00FB3195" w:rsidRDefault="0067104A" w:rsidP="006D3E4A">
      <w:pPr>
        <w:spacing w:before="120"/>
        <w:rPr>
          <w:lang w:eastAsia="zh-CN"/>
        </w:rPr>
      </w:pPr>
      <w:r>
        <w:rPr>
          <w:lang w:eastAsia="zh-CN"/>
        </w:rPr>
        <w:t>I</w:t>
      </w:r>
      <w:r w:rsidR="006D3E4A" w:rsidRPr="00FB3195">
        <w:rPr>
          <w:lang w:eastAsia="zh-CN"/>
        </w:rPr>
        <w:t>n response to a direct question about plans to migrate to Australia or New Zealand</w:t>
      </w:r>
      <w:r>
        <w:rPr>
          <w:lang w:eastAsia="zh-CN"/>
        </w:rPr>
        <w:t>, n</w:t>
      </w:r>
      <w:r w:rsidRPr="00FB3195">
        <w:rPr>
          <w:lang w:eastAsia="zh-CN"/>
        </w:rPr>
        <w:t>early two-thirds of APTC students (64 per cent)</w:t>
      </w:r>
      <w:r w:rsidR="006D3E4A" w:rsidRPr="00FB3195">
        <w:rPr>
          <w:lang w:eastAsia="zh-CN"/>
        </w:rPr>
        <w:t xml:space="preserve"> said they were planning to migrate at some stage in the future (see Table </w:t>
      </w:r>
      <w:r w:rsidR="00A17652">
        <w:rPr>
          <w:lang w:eastAsia="zh-CN"/>
        </w:rPr>
        <w:t>5</w:t>
      </w:r>
      <w:r w:rsidR="006D3E4A" w:rsidRPr="00FB3195">
        <w:rPr>
          <w:lang w:eastAsia="zh-CN"/>
        </w:rPr>
        <w:t xml:space="preserve">.1). Another one-in-five (18 per cent) </w:t>
      </w:r>
      <w:r w:rsidRPr="00FB3195">
        <w:rPr>
          <w:lang w:eastAsia="zh-CN"/>
        </w:rPr>
        <w:t>ha</w:t>
      </w:r>
      <w:r>
        <w:rPr>
          <w:lang w:eastAsia="zh-CN"/>
        </w:rPr>
        <w:t>s</w:t>
      </w:r>
      <w:r w:rsidRPr="00FB3195">
        <w:rPr>
          <w:lang w:eastAsia="zh-CN"/>
        </w:rPr>
        <w:t xml:space="preserve"> </w:t>
      </w:r>
      <w:r w:rsidR="006D3E4A" w:rsidRPr="00FB3195">
        <w:rPr>
          <w:lang w:eastAsia="zh-CN"/>
        </w:rPr>
        <w:t xml:space="preserve">taken steps to do so. Male students are slightly more likely to have taken steps to migrate </w:t>
      </w:r>
      <w:r>
        <w:rPr>
          <w:lang w:eastAsia="zh-CN"/>
        </w:rPr>
        <w:t xml:space="preserve">than females </w:t>
      </w:r>
      <w:r w:rsidR="006D3E4A" w:rsidRPr="00FB3195">
        <w:rPr>
          <w:lang w:eastAsia="zh-CN"/>
        </w:rPr>
        <w:t>(20 per cent compared with 14 per cent). The 30</w:t>
      </w:r>
      <w:r>
        <w:rPr>
          <w:lang w:eastAsia="zh-CN"/>
        </w:rPr>
        <w:t>–</w:t>
      </w:r>
      <w:r w:rsidR="006D3E4A" w:rsidRPr="00FB3195">
        <w:rPr>
          <w:lang w:eastAsia="zh-CN"/>
        </w:rPr>
        <w:t>34 year age group is most likely to plan to migrate or to have taken steps to</w:t>
      </w:r>
      <w:r>
        <w:rPr>
          <w:lang w:eastAsia="zh-CN"/>
        </w:rPr>
        <w:t>wards migration</w:t>
      </w:r>
      <w:r w:rsidR="006D3E4A" w:rsidRPr="00FB3195">
        <w:rPr>
          <w:lang w:eastAsia="zh-CN"/>
        </w:rPr>
        <w:t xml:space="preserve">. </w:t>
      </w:r>
    </w:p>
    <w:p w14:paraId="35B2BAAD" w14:textId="4D718599" w:rsidR="006D3E4A" w:rsidRPr="00FB3195" w:rsidRDefault="006D3E4A" w:rsidP="006D3E4A">
      <w:pPr>
        <w:spacing w:before="120"/>
        <w:rPr>
          <w:lang w:eastAsia="zh-CN"/>
        </w:rPr>
      </w:pPr>
      <w:r w:rsidRPr="00FB3195">
        <w:rPr>
          <w:lang w:eastAsia="zh-CN"/>
        </w:rPr>
        <w:t xml:space="preserve">Of those students interested in migrating to Australia or NZ, over half planned to </w:t>
      </w:r>
      <w:r w:rsidR="00CA3307">
        <w:rPr>
          <w:lang w:eastAsia="zh-CN"/>
        </w:rPr>
        <w:br/>
      </w:r>
      <w:r w:rsidRPr="00FB3195">
        <w:rPr>
          <w:lang w:eastAsia="zh-CN"/>
        </w:rPr>
        <w:t xml:space="preserve">work there for over five years. Male students who want to migrate to Australia or </w:t>
      </w:r>
      <w:r w:rsidR="00CA3307">
        <w:rPr>
          <w:lang w:eastAsia="zh-CN"/>
        </w:rPr>
        <w:br/>
      </w:r>
      <w:r w:rsidRPr="00FB3195">
        <w:rPr>
          <w:lang w:eastAsia="zh-CN"/>
        </w:rPr>
        <w:t xml:space="preserve">New Zealand are much more likely to say they plan to work there for over five years </w:t>
      </w:r>
      <w:r w:rsidR="007A7302">
        <w:rPr>
          <w:lang w:eastAsia="zh-CN"/>
        </w:rPr>
        <w:t xml:space="preserve">than female students </w:t>
      </w:r>
      <w:r w:rsidRPr="00FB3195">
        <w:rPr>
          <w:lang w:eastAsia="zh-CN"/>
        </w:rPr>
        <w:t>(64 per cent to 37 per cent).</w:t>
      </w:r>
    </w:p>
    <w:p w14:paraId="7D54AFC6" w14:textId="77777777" w:rsidR="00CA3307" w:rsidRDefault="00CA3307">
      <w:pPr>
        <w:spacing w:after="0"/>
        <w:rPr>
          <w:rFonts w:cs="Arial"/>
          <w:b/>
          <w:color w:val="76923C"/>
          <w:szCs w:val="22"/>
          <w:lang w:eastAsia="zh-CN"/>
        </w:rPr>
      </w:pPr>
      <w:bookmarkStart w:id="453" w:name="_Toc274146470"/>
      <w:bookmarkStart w:id="454" w:name="_Toc274915929"/>
      <w:bookmarkStart w:id="455" w:name="_Toc278446909"/>
      <w:r>
        <w:rPr>
          <w:lang w:eastAsia="zh-CN"/>
        </w:rPr>
        <w:br w:type="page"/>
      </w:r>
    </w:p>
    <w:p w14:paraId="24B047E8" w14:textId="5ABC1A95" w:rsidR="006D3E4A" w:rsidRPr="00FB3195" w:rsidRDefault="006D3E4A" w:rsidP="0011250F">
      <w:pPr>
        <w:pStyle w:val="Tableheading"/>
        <w:rPr>
          <w:lang w:eastAsia="zh-CN"/>
        </w:rPr>
      </w:pPr>
      <w:r>
        <w:rPr>
          <w:lang w:eastAsia="zh-CN"/>
        </w:rPr>
        <w:t>Table 5</w:t>
      </w:r>
      <w:r w:rsidRPr="00FB3195">
        <w:rPr>
          <w:lang w:eastAsia="zh-CN"/>
        </w:rPr>
        <w:t xml:space="preserve">.1: Responses of current APTC students to the question ‘Do you </w:t>
      </w:r>
      <w:r w:rsidR="0070102D">
        <w:rPr>
          <w:lang w:eastAsia="zh-CN"/>
        </w:rPr>
        <w:br/>
      </w:r>
      <w:r w:rsidRPr="00FB3195">
        <w:rPr>
          <w:lang w:eastAsia="zh-CN"/>
        </w:rPr>
        <w:t xml:space="preserve">have plans to migrate for work to Australia or New Zealand at some </w:t>
      </w:r>
      <w:r w:rsidR="0070102D">
        <w:rPr>
          <w:lang w:eastAsia="zh-CN"/>
        </w:rPr>
        <w:br/>
      </w:r>
      <w:r w:rsidRPr="00FB3195">
        <w:rPr>
          <w:lang w:eastAsia="zh-CN"/>
        </w:rPr>
        <w:t>stage in the future?’</w:t>
      </w:r>
      <w:r w:rsidR="00470851">
        <w:rPr>
          <w:lang w:eastAsia="zh-CN"/>
        </w:rPr>
        <w:t xml:space="preserve"> (%)</w:t>
      </w:r>
      <w:bookmarkEnd w:id="453"/>
      <w:bookmarkEnd w:id="454"/>
      <w:bookmarkEnd w:id="455"/>
      <w:r w:rsidRPr="00FB3195">
        <w:rPr>
          <w:lang w:eastAsia="zh-CN"/>
        </w:rPr>
        <w:t xml:space="preserve"> </w:t>
      </w:r>
    </w:p>
    <w:tbl>
      <w:tblPr>
        <w:tblW w:w="0" w:type="auto"/>
        <w:tblInd w:w="108" w:type="dxa"/>
        <w:tblLayout w:type="fixed"/>
        <w:tblCellMar>
          <w:left w:w="10" w:type="dxa"/>
          <w:right w:w="10" w:type="dxa"/>
        </w:tblCellMar>
        <w:tblLook w:val="04A0" w:firstRow="1" w:lastRow="0" w:firstColumn="1" w:lastColumn="0" w:noHBand="0" w:noVBand="1"/>
      </w:tblPr>
      <w:tblGrid>
        <w:gridCol w:w="1422"/>
        <w:gridCol w:w="856"/>
        <w:gridCol w:w="857"/>
        <w:gridCol w:w="857"/>
        <w:gridCol w:w="857"/>
        <w:gridCol w:w="857"/>
        <w:gridCol w:w="857"/>
        <w:gridCol w:w="857"/>
      </w:tblGrid>
      <w:tr w:rsidR="0070102D" w:rsidRPr="0011250F" w14:paraId="5E65A203" w14:textId="77777777" w:rsidTr="0070102D">
        <w:tc>
          <w:tcPr>
            <w:tcW w:w="1422" w:type="dxa"/>
            <w:shd w:val="clear" w:color="auto" w:fill="C5E0B3" w:themeFill="accent6" w:themeFillTint="66"/>
            <w:tcMar>
              <w:top w:w="15" w:type="dxa"/>
              <w:left w:w="15" w:type="dxa"/>
              <w:bottom w:w="15" w:type="dxa"/>
              <w:right w:w="15" w:type="dxa"/>
            </w:tcMar>
          </w:tcPr>
          <w:p w14:paraId="19C34695" w14:textId="77777777" w:rsidR="006D3E4A" w:rsidRPr="0011250F" w:rsidRDefault="006D3E4A" w:rsidP="0011250F">
            <w:pPr>
              <w:spacing w:before="20" w:after="20"/>
              <w:rPr>
                <w:rFonts w:cs="Arial"/>
                <w:b/>
                <w:color w:val="000000"/>
                <w:sz w:val="18"/>
                <w:lang w:eastAsia="en-AU"/>
              </w:rPr>
            </w:pPr>
            <w:r w:rsidRPr="0011250F">
              <w:rPr>
                <w:rFonts w:cs="Arial"/>
                <w:b/>
                <w:color w:val="000000"/>
                <w:sz w:val="18"/>
                <w:lang w:eastAsia="en-AU"/>
              </w:rPr>
              <w:t>Country of origin</w:t>
            </w:r>
          </w:p>
        </w:tc>
        <w:tc>
          <w:tcPr>
            <w:tcW w:w="856" w:type="dxa"/>
            <w:shd w:val="clear" w:color="auto" w:fill="C5E0B3" w:themeFill="accent6" w:themeFillTint="66"/>
            <w:tcMar>
              <w:top w:w="15" w:type="dxa"/>
              <w:left w:w="15" w:type="dxa"/>
              <w:bottom w:w="15" w:type="dxa"/>
              <w:right w:w="15" w:type="dxa"/>
            </w:tcMar>
          </w:tcPr>
          <w:p w14:paraId="7377778D" w14:textId="77777777" w:rsidR="006D3E4A" w:rsidRPr="0011250F" w:rsidRDefault="006D3E4A" w:rsidP="0070102D">
            <w:pPr>
              <w:spacing w:before="20" w:after="20"/>
              <w:jc w:val="center"/>
              <w:rPr>
                <w:rFonts w:cs="Arial"/>
                <w:b/>
                <w:color w:val="000000"/>
                <w:sz w:val="18"/>
                <w:lang w:eastAsia="en-AU"/>
              </w:rPr>
            </w:pPr>
            <w:r w:rsidRPr="0011250F">
              <w:rPr>
                <w:rFonts w:cs="Arial"/>
                <w:b/>
                <w:color w:val="000000"/>
                <w:sz w:val="18"/>
                <w:lang w:eastAsia="en-AU"/>
              </w:rPr>
              <w:t>No plans at all</w:t>
            </w:r>
            <w:r w:rsidR="0084231B">
              <w:rPr>
                <w:rFonts w:cs="Arial"/>
                <w:b/>
                <w:color w:val="000000"/>
                <w:sz w:val="18"/>
                <w:lang w:eastAsia="en-AU"/>
              </w:rPr>
              <w:br/>
              <w:t>%</w:t>
            </w:r>
          </w:p>
        </w:tc>
        <w:tc>
          <w:tcPr>
            <w:tcW w:w="857" w:type="dxa"/>
            <w:shd w:val="clear" w:color="auto" w:fill="C5E0B3" w:themeFill="accent6" w:themeFillTint="66"/>
            <w:tcMar>
              <w:top w:w="15" w:type="dxa"/>
              <w:left w:w="15" w:type="dxa"/>
              <w:bottom w:w="15" w:type="dxa"/>
              <w:right w:w="15" w:type="dxa"/>
            </w:tcMar>
          </w:tcPr>
          <w:p w14:paraId="4932499E" w14:textId="77777777" w:rsidR="006D3E4A" w:rsidRPr="0011250F" w:rsidRDefault="006D3E4A" w:rsidP="0070102D">
            <w:pPr>
              <w:spacing w:before="20" w:after="20"/>
              <w:jc w:val="center"/>
              <w:rPr>
                <w:rFonts w:cs="Arial"/>
                <w:b/>
                <w:color w:val="000000"/>
                <w:sz w:val="18"/>
                <w:lang w:eastAsia="en-AU"/>
              </w:rPr>
            </w:pPr>
            <w:r w:rsidRPr="0011250F">
              <w:rPr>
                <w:rFonts w:cs="Arial"/>
                <w:b/>
                <w:color w:val="000000"/>
                <w:sz w:val="18"/>
                <w:lang w:eastAsia="en-AU"/>
              </w:rPr>
              <w:t>Not planning now</w:t>
            </w:r>
          </w:p>
        </w:tc>
        <w:tc>
          <w:tcPr>
            <w:tcW w:w="857" w:type="dxa"/>
            <w:shd w:val="clear" w:color="auto" w:fill="C5E0B3" w:themeFill="accent6" w:themeFillTint="66"/>
            <w:tcMar>
              <w:top w:w="15" w:type="dxa"/>
              <w:left w:w="15" w:type="dxa"/>
              <w:bottom w:w="15" w:type="dxa"/>
              <w:right w:w="15" w:type="dxa"/>
            </w:tcMar>
          </w:tcPr>
          <w:p w14:paraId="293F13BB" w14:textId="77777777" w:rsidR="006D3E4A" w:rsidRPr="0011250F" w:rsidRDefault="006D3E4A" w:rsidP="0070102D">
            <w:pPr>
              <w:spacing w:before="20" w:after="20"/>
              <w:jc w:val="center"/>
              <w:rPr>
                <w:rFonts w:cs="Arial"/>
                <w:b/>
                <w:color w:val="000000"/>
                <w:sz w:val="18"/>
                <w:lang w:eastAsia="en-AU"/>
              </w:rPr>
            </w:pPr>
            <w:r w:rsidRPr="0011250F">
              <w:rPr>
                <w:rFonts w:cs="Arial"/>
                <w:b/>
                <w:color w:val="000000"/>
                <w:sz w:val="18"/>
                <w:lang w:eastAsia="en-AU"/>
              </w:rPr>
              <w:t>Neutral</w:t>
            </w:r>
          </w:p>
        </w:tc>
        <w:tc>
          <w:tcPr>
            <w:tcW w:w="857" w:type="dxa"/>
            <w:shd w:val="clear" w:color="auto" w:fill="C5E0B3" w:themeFill="accent6" w:themeFillTint="66"/>
            <w:tcMar>
              <w:top w:w="15" w:type="dxa"/>
              <w:left w:w="15" w:type="dxa"/>
              <w:bottom w:w="15" w:type="dxa"/>
              <w:right w:w="15" w:type="dxa"/>
            </w:tcMar>
          </w:tcPr>
          <w:p w14:paraId="73E4C4E6" w14:textId="77777777" w:rsidR="006D3E4A" w:rsidRPr="0011250F" w:rsidRDefault="006D3E4A" w:rsidP="0070102D">
            <w:pPr>
              <w:spacing w:before="20" w:after="20"/>
              <w:jc w:val="center"/>
              <w:rPr>
                <w:rFonts w:cs="Arial"/>
                <w:b/>
                <w:color w:val="000000"/>
                <w:sz w:val="18"/>
                <w:lang w:eastAsia="en-AU"/>
              </w:rPr>
            </w:pPr>
            <w:r w:rsidRPr="0011250F">
              <w:rPr>
                <w:rFonts w:cs="Arial"/>
                <w:b/>
                <w:color w:val="000000"/>
                <w:sz w:val="18"/>
                <w:lang w:eastAsia="en-AU"/>
              </w:rPr>
              <w:t>Am planning to</w:t>
            </w:r>
          </w:p>
        </w:tc>
        <w:tc>
          <w:tcPr>
            <w:tcW w:w="857" w:type="dxa"/>
            <w:shd w:val="clear" w:color="auto" w:fill="C5E0B3" w:themeFill="accent6" w:themeFillTint="66"/>
            <w:tcMar>
              <w:top w:w="15" w:type="dxa"/>
              <w:left w:w="15" w:type="dxa"/>
              <w:bottom w:w="15" w:type="dxa"/>
              <w:right w:w="15" w:type="dxa"/>
            </w:tcMar>
          </w:tcPr>
          <w:p w14:paraId="2A628ED6" w14:textId="77777777" w:rsidR="006D3E4A" w:rsidRPr="0011250F" w:rsidRDefault="006D3E4A" w:rsidP="0070102D">
            <w:pPr>
              <w:spacing w:before="20" w:after="20"/>
              <w:jc w:val="center"/>
              <w:rPr>
                <w:rFonts w:cs="Arial"/>
                <w:b/>
                <w:color w:val="000000"/>
                <w:sz w:val="18"/>
                <w:lang w:eastAsia="en-AU"/>
              </w:rPr>
            </w:pPr>
            <w:r w:rsidRPr="0011250F">
              <w:rPr>
                <w:rFonts w:cs="Arial"/>
                <w:b/>
                <w:color w:val="000000"/>
                <w:sz w:val="18"/>
                <w:lang w:eastAsia="en-AU"/>
              </w:rPr>
              <w:t>Have taken steps to</w:t>
            </w:r>
          </w:p>
        </w:tc>
        <w:tc>
          <w:tcPr>
            <w:tcW w:w="857" w:type="dxa"/>
            <w:shd w:val="clear" w:color="auto" w:fill="C5E0B3" w:themeFill="accent6" w:themeFillTint="66"/>
            <w:tcMar>
              <w:top w:w="15" w:type="dxa"/>
              <w:left w:w="15" w:type="dxa"/>
              <w:bottom w:w="15" w:type="dxa"/>
              <w:right w:w="15" w:type="dxa"/>
            </w:tcMar>
          </w:tcPr>
          <w:p w14:paraId="220E7525" w14:textId="77777777" w:rsidR="006D3E4A" w:rsidRPr="0011250F" w:rsidRDefault="006D3E4A" w:rsidP="0070102D">
            <w:pPr>
              <w:spacing w:before="20" w:after="20"/>
              <w:jc w:val="center"/>
              <w:rPr>
                <w:rFonts w:cs="Arial"/>
                <w:b/>
                <w:color w:val="000000"/>
                <w:sz w:val="18"/>
                <w:lang w:eastAsia="en-AU"/>
              </w:rPr>
            </w:pPr>
            <w:r w:rsidRPr="0011250F">
              <w:rPr>
                <w:rFonts w:cs="Arial"/>
                <w:b/>
                <w:color w:val="000000"/>
                <w:sz w:val="18"/>
                <w:lang w:eastAsia="en-AU"/>
              </w:rPr>
              <w:t>Total</w:t>
            </w:r>
          </w:p>
        </w:tc>
        <w:tc>
          <w:tcPr>
            <w:tcW w:w="857" w:type="dxa"/>
            <w:shd w:val="clear" w:color="auto" w:fill="C5E0B3" w:themeFill="accent6" w:themeFillTint="66"/>
            <w:tcMar>
              <w:top w:w="15" w:type="dxa"/>
              <w:left w:w="15" w:type="dxa"/>
              <w:bottom w:w="15" w:type="dxa"/>
              <w:right w:w="15" w:type="dxa"/>
            </w:tcMar>
          </w:tcPr>
          <w:p w14:paraId="1FB0D845" w14:textId="77777777" w:rsidR="006D3E4A" w:rsidRPr="0011250F" w:rsidRDefault="006D3E4A" w:rsidP="0070102D">
            <w:pPr>
              <w:spacing w:before="20" w:after="20"/>
              <w:jc w:val="center"/>
              <w:rPr>
                <w:rFonts w:cs="Arial"/>
                <w:b/>
                <w:color w:val="000000"/>
                <w:sz w:val="18"/>
                <w:lang w:eastAsia="en-AU"/>
              </w:rPr>
            </w:pPr>
            <w:r w:rsidRPr="0011250F">
              <w:rPr>
                <w:rFonts w:cs="Arial"/>
                <w:b/>
                <w:color w:val="000000"/>
                <w:sz w:val="18"/>
                <w:lang w:eastAsia="en-AU"/>
              </w:rPr>
              <w:t>N</w:t>
            </w:r>
          </w:p>
        </w:tc>
      </w:tr>
      <w:tr w:rsidR="0070102D" w:rsidRPr="0011250F" w14:paraId="3E9C157D" w14:textId="77777777" w:rsidTr="0070102D">
        <w:tc>
          <w:tcPr>
            <w:tcW w:w="1422" w:type="dxa"/>
            <w:tcMar>
              <w:top w:w="15" w:type="dxa"/>
              <w:left w:w="15" w:type="dxa"/>
              <w:bottom w:w="15" w:type="dxa"/>
              <w:right w:w="15" w:type="dxa"/>
            </w:tcMar>
          </w:tcPr>
          <w:p w14:paraId="7C0529D9" w14:textId="77777777" w:rsidR="006D3E4A" w:rsidRPr="0011250F" w:rsidRDefault="006D3E4A" w:rsidP="00236AF0">
            <w:pPr>
              <w:pBdr>
                <w:top w:val="none" w:sz="0" w:space="0" w:color="000000"/>
                <w:left w:val="none" w:sz="0" w:space="0" w:color="000000"/>
                <w:bottom w:val="none" w:sz="0" w:space="0" w:color="000000"/>
                <w:right w:val="none" w:sz="0" w:space="0" w:color="000000"/>
                <w:between w:val="none" w:sz="0" w:space="0" w:color="000000"/>
              </w:pBdr>
              <w:spacing w:before="20" w:after="20"/>
              <w:rPr>
                <w:rFonts w:cs="Arial"/>
                <w:kern w:val="1"/>
                <w:sz w:val="18"/>
                <w:lang w:eastAsia="zh-CN"/>
              </w:rPr>
            </w:pPr>
            <w:r w:rsidRPr="0011250F">
              <w:rPr>
                <w:rFonts w:cs="Arial"/>
                <w:kern w:val="1"/>
                <w:sz w:val="18"/>
                <w:lang w:eastAsia="zh-CN"/>
              </w:rPr>
              <w:t>Fiji</w:t>
            </w:r>
          </w:p>
        </w:tc>
        <w:tc>
          <w:tcPr>
            <w:tcW w:w="856" w:type="dxa"/>
            <w:tcMar>
              <w:top w:w="15" w:type="dxa"/>
              <w:left w:w="15" w:type="dxa"/>
              <w:bottom w:w="15" w:type="dxa"/>
              <w:right w:w="15" w:type="dxa"/>
            </w:tcMar>
            <w:vAlign w:val="bottom"/>
          </w:tcPr>
          <w:p w14:paraId="6D236516"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2.1</w:t>
            </w:r>
          </w:p>
        </w:tc>
        <w:tc>
          <w:tcPr>
            <w:tcW w:w="857" w:type="dxa"/>
            <w:tcMar>
              <w:top w:w="15" w:type="dxa"/>
              <w:left w:w="15" w:type="dxa"/>
              <w:bottom w:w="15" w:type="dxa"/>
              <w:right w:w="15" w:type="dxa"/>
            </w:tcMar>
            <w:vAlign w:val="bottom"/>
          </w:tcPr>
          <w:p w14:paraId="01E9F58E"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4.3</w:t>
            </w:r>
          </w:p>
        </w:tc>
        <w:tc>
          <w:tcPr>
            <w:tcW w:w="857" w:type="dxa"/>
            <w:tcMar>
              <w:top w:w="15" w:type="dxa"/>
              <w:left w:w="15" w:type="dxa"/>
              <w:bottom w:w="15" w:type="dxa"/>
              <w:right w:w="15" w:type="dxa"/>
            </w:tcMar>
            <w:vAlign w:val="bottom"/>
          </w:tcPr>
          <w:p w14:paraId="077E061B"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2.1</w:t>
            </w:r>
          </w:p>
        </w:tc>
        <w:tc>
          <w:tcPr>
            <w:tcW w:w="857" w:type="dxa"/>
            <w:tcMar>
              <w:top w:w="15" w:type="dxa"/>
              <w:left w:w="15" w:type="dxa"/>
              <w:bottom w:w="15" w:type="dxa"/>
              <w:right w:w="15" w:type="dxa"/>
            </w:tcMar>
            <w:vAlign w:val="bottom"/>
          </w:tcPr>
          <w:p w14:paraId="08BCF229"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68.1</w:t>
            </w:r>
          </w:p>
        </w:tc>
        <w:tc>
          <w:tcPr>
            <w:tcW w:w="857" w:type="dxa"/>
            <w:tcMar>
              <w:top w:w="15" w:type="dxa"/>
              <w:left w:w="15" w:type="dxa"/>
              <w:bottom w:w="15" w:type="dxa"/>
              <w:right w:w="15" w:type="dxa"/>
            </w:tcMar>
            <w:vAlign w:val="bottom"/>
          </w:tcPr>
          <w:p w14:paraId="53A2C9C7"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23.4</w:t>
            </w:r>
          </w:p>
        </w:tc>
        <w:tc>
          <w:tcPr>
            <w:tcW w:w="857" w:type="dxa"/>
            <w:tcMar>
              <w:top w:w="15" w:type="dxa"/>
              <w:left w:w="15" w:type="dxa"/>
              <w:bottom w:w="15" w:type="dxa"/>
              <w:right w:w="15" w:type="dxa"/>
            </w:tcMar>
            <w:vAlign w:val="bottom"/>
          </w:tcPr>
          <w:p w14:paraId="2723BF66"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100</w:t>
            </w:r>
          </w:p>
        </w:tc>
        <w:tc>
          <w:tcPr>
            <w:tcW w:w="857" w:type="dxa"/>
            <w:tcMar>
              <w:top w:w="15" w:type="dxa"/>
              <w:left w:w="15" w:type="dxa"/>
              <w:bottom w:w="15" w:type="dxa"/>
              <w:right w:w="15" w:type="dxa"/>
            </w:tcMar>
            <w:vAlign w:val="center"/>
          </w:tcPr>
          <w:p w14:paraId="2172726A"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47</w:t>
            </w:r>
          </w:p>
        </w:tc>
      </w:tr>
      <w:tr w:rsidR="0070102D" w:rsidRPr="0011250F" w14:paraId="39C7DDE7" w14:textId="77777777" w:rsidTr="0070102D">
        <w:tc>
          <w:tcPr>
            <w:tcW w:w="1422" w:type="dxa"/>
            <w:tcMar>
              <w:top w:w="15" w:type="dxa"/>
              <w:left w:w="15" w:type="dxa"/>
              <w:bottom w:w="15" w:type="dxa"/>
              <w:right w:w="15" w:type="dxa"/>
            </w:tcMar>
          </w:tcPr>
          <w:p w14:paraId="04F1331B" w14:textId="77777777" w:rsidR="006D3E4A" w:rsidRPr="0011250F" w:rsidRDefault="006D3E4A" w:rsidP="00236AF0">
            <w:pPr>
              <w:pBdr>
                <w:top w:val="none" w:sz="0" w:space="0" w:color="000000"/>
                <w:left w:val="none" w:sz="0" w:space="0" w:color="000000"/>
                <w:bottom w:val="none" w:sz="0" w:space="0" w:color="000000"/>
                <w:right w:val="none" w:sz="0" w:space="0" w:color="000000"/>
                <w:between w:val="none" w:sz="0" w:space="0" w:color="000000"/>
              </w:pBdr>
              <w:spacing w:before="20" w:after="20"/>
              <w:rPr>
                <w:rFonts w:cs="Arial"/>
                <w:kern w:val="1"/>
                <w:sz w:val="18"/>
                <w:lang w:eastAsia="zh-CN"/>
              </w:rPr>
            </w:pPr>
            <w:r w:rsidRPr="0011250F">
              <w:rPr>
                <w:rFonts w:cs="Arial"/>
                <w:kern w:val="1"/>
                <w:sz w:val="18"/>
                <w:lang w:eastAsia="zh-CN"/>
              </w:rPr>
              <w:t>PNG</w:t>
            </w:r>
          </w:p>
        </w:tc>
        <w:tc>
          <w:tcPr>
            <w:tcW w:w="856" w:type="dxa"/>
            <w:tcMar>
              <w:top w:w="15" w:type="dxa"/>
              <w:left w:w="15" w:type="dxa"/>
              <w:bottom w:w="15" w:type="dxa"/>
              <w:right w:w="15" w:type="dxa"/>
            </w:tcMar>
            <w:vAlign w:val="bottom"/>
          </w:tcPr>
          <w:p w14:paraId="34424C5B"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3.8</w:t>
            </w:r>
          </w:p>
        </w:tc>
        <w:tc>
          <w:tcPr>
            <w:tcW w:w="857" w:type="dxa"/>
            <w:tcMar>
              <w:top w:w="15" w:type="dxa"/>
              <w:left w:w="15" w:type="dxa"/>
              <w:bottom w:w="15" w:type="dxa"/>
              <w:right w:w="15" w:type="dxa"/>
            </w:tcMar>
            <w:vAlign w:val="bottom"/>
          </w:tcPr>
          <w:p w14:paraId="6E7805B7"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3.8</w:t>
            </w:r>
          </w:p>
        </w:tc>
        <w:tc>
          <w:tcPr>
            <w:tcW w:w="857" w:type="dxa"/>
            <w:tcMar>
              <w:top w:w="15" w:type="dxa"/>
              <w:left w:w="15" w:type="dxa"/>
              <w:bottom w:w="15" w:type="dxa"/>
              <w:right w:w="15" w:type="dxa"/>
            </w:tcMar>
            <w:vAlign w:val="bottom"/>
          </w:tcPr>
          <w:p w14:paraId="0D802256"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11.3</w:t>
            </w:r>
          </w:p>
        </w:tc>
        <w:tc>
          <w:tcPr>
            <w:tcW w:w="857" w:type="dxa"/>
            <w:tcMar>
              <w:top w:w="15" w:type="dxa"/>
              <w:left w:w="15" w:type="dxa"/>
              <w:bottom w:w="15" w:type="dxa"/>
              <w:right w:w="15" w:type="dxa"/>
            </w:tcMar>
            <w:vAlign w:val="bottom"/>
          </w:tcPr>
          <w:p w14:paraId="07B2039B"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67.5</w:t>
            </w:r>
          </w:p>
        </w:tc>
        <w:tc>
          <w:tcPr>
            <w:tcW w:w="857" w:type="dxa"/>
            <w:tcMar>
              <w:top w:w="15" w:type="dxa"/>
              <w:left w:w="15" w:type="dxa"/>
              <w:bottom w:w="15" w:type="dxa"/>
              <w:right w:w="15" w:type="dxa"/>
            </w:tcMar>
            <w:vAlign w:val="bottom"/>
          </w:tcPr>
          <w:p w14:paraId="5340F3ED"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13.8</w:t>
            </w:r>
          </w:p>
        </w:tc>
        <w:tc>
          <w:tcPr>
            <w:tcW w:w="857" w:type="dxa"/>
            <w:tcMar>
              <w:top w:w="15" w:type="dxa"/>
              <w:left w:w="15" w:type="dxa"/>
              <w:bottom w:w="15" w:type="dxa"/>
              <w:right w:w="15" w:type="dxa"/>
            </w:tcMar>
            <w:vAlign w:val="bottom"/>
          </w:tcPr>
          <w:p w14:paraId="7DDAA1C9"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100</w:t>
            </w:r>
          </w:p>
        </w:tc>
        <w:tc>
          <w:tcPr>
            <w:tcW w:w="857" w:type="dxa"/>
            <w:tcMar>
              <w:top w:w="15" w:type="dxa"/>
              <w:left w:w="15" w:type="dxa"/>
              <w:bottom w:w="15" w:type="dxa"/>
              <w:right w:w="15" w:type="dxa"/>
            </w:tcMar>
            <w:vAlign w:val="center"/>
          </w:tcPr>
          <w:p w14:paraId="477DA24A"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80</w:t>
            </w:r>
          </w:p>
        </w:tc>
      </w:tr>
      <w:tr w:rsidR="0070102D" w:rsidRPr="0011250F" w14:paraId="5289A2B6" w14:textId="77777777" w:rsidTr="0070102D">
        <w:tc>
          <w:tcPr>
            <w:tcW w:w="1422" w:type="dxa"/>
            <w:tcMar>
              <w:top w:w="15" w:type="dxa"/>
              <w:left w:w="15" w:type="dxa"/>
              <w:bottom w:w="15" w:type="dxa"/>
              <w:right w:w="15" w:type="dxa"/>
            </w:tcMar>
          </w:tcPr>
          <w:p w14:paraId="4398CBC6" w14:textId="77777777" w:rsidR="006D3E4A" w:rsidRPr="0011250F" w:rsidRDefault="006D3E4A" w:rsidP="00236AF0">
            <w:pPr>
              <w:pBdr>
                <w:top w:val="none" w:sz="0" w:space="0" w:color="000000"/>
                <w:left w:val="none" w:sz="0" w:space="0" w:color="000000"/>
                <w:bottom w:val="none" w:sz="0" w:space="0" w:color="000000"/>
                <w:right w:val="none" w:sz="0" w:space="0" w:color="000000"/>
                <w:between w:val="none" w:sz="0" w:space="0" w:color="000000"/>
              </w:pBdr>
              <w:spacing w:before="20" w:after="20"/>
              <w:rPr>
                <w:rFonts w:cs="Arial"/>
                <w:kern w:val="1"/>
                <w:sz w:val="18"/>
                <w:lang w:eastAsia="zh-CN"/>
              </w:rPr>
            </w:pPr>
            <w:r w:rsidRPr="0011250F">
              <w:rPr>
                <w:rFonts w:cs="Arial"/>
                <w:kern w:val="1"/>
                <w:sz w:val="18"/>
                <w:lang w:eastAsia="zh-CN"/>
              </w:rPr>
              <w:t>Samoa</w:t>
            </w:r>
          </w:p>
        </w:tc>
        <w:tc>
          <w:tcPr>
            <w:tcW w:w="856" w:type="dxa"/>
            <w:tcMar>
              <w:top w:w="15" w:type="dxa"/>
              <w:left w:w="15" w:type="dxa"/>
              <w:bottom w:w="15" w:type="dxa"/>
              <w:right w:w="15" w:type="dxa"/>
            </w:tcMar>
            <w:vAlign w:val="bottom"/>
          </w:tcPr>
          <w:p w14:paraId="57CE3123"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0.0</w:t>
            </w:r>
          </w:p>
        </w:tc>
        <w:tc>
          <w:tcPr>
            <w:tcW w:w="857" w:type="dxa"/>
            <w:tcMar>
              <w:top w:w="15" w:type="dxa"/>
              <w:left w:w="15" w:type="dxa"/>
              <w:bottom w:w="15" w:type="dxa"/>
              <w:right w:w="15" w:type="dxa"/>
            </w:tcMar>
            <w:vAlign w:val="bottom"/>
          </w:tcPr>
          <w:p w14:paraId="1C3FED20"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22.2</w:t>
            </w:r>
          </w:p>
        </w:tc>
        <w:tc>
          <w:tcPr>
            <w:tcW w:w="857" w:type="dxa"/>
            <w:tcMar>
              <w:top w:w="15" w:type="dxa"/>
              <w:left w:w="15" w:type="dxa"/>
              <w:bottom w:w="15" w:type="dxa"/>
              <w:right w:w="15" w:type="dxa"/>
            </w:tcMar>
            <w:vAlign w:val="bottom"/>
          </w:tcPr>
          <w:p w14:paraId="5B789D32"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0.0</w:t>
            </w:r>
          </w:p>
        </w:tc>
        <w:tc>
          <w:tcPr>
            <w:tcW w:w="857" w:type="dxa"/>
            <w:tcMar>
              <w:top w:w="15" w:type="dxa"/>
              <w:left w:w="15" w:type="dxa"/>
              <w:bottom w:w="15" w:type="dxa"/>
              <w:right w:w="15" w:type="dxa"/>
            </w:tcMar>
            <w:vAlign w:val="bottom"/>
          </w:tcPr>
          <w:p w14:paraId="3D336653"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55.6</w:t>
            </w:r>
          </w:p>
        </w:tc>
        <w:tc>
          <w:tcPr>
            <w:tcW w:w="857" w:type="dxa"/>
            <w:tcMar>
              <w:top w:w="15" w:type="dxa"/>
              <w:left w:w="15" w:type="dxa"/>
              <w:bottom w:w="15" w:type="dxa"/>
              <w:right w:w="15" w:type="dxa"/>
            </w:tcMar>
            <w:vAlign w:val="bottom"/>
          </w:tcPr>
          <w:p w14:paraId="77E94BDA"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22.2</w:t>
            </w:r>
          </w:p>
        </w:tc>
        <w:tc>
          <w:tcPr>
            <w:tcW w:w="857" w:type="dxa"/>
            <w:tcMar>
              <w:top w:w="15" w:type="dxa"/>
              <w:left w:w="15" w:type="dxa"/>
              <w:bottom w:w="15" w:type="dxa"/>
              <w:right w:w="15" w:type="dxa"/>
            </w:tcMar>
            <w:vAlign w:val="bottom"/>
          </w:tcPr>
          <w:p w14:paraId="4C0FD1E5"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100</w:t>
            </w:r>
          </w:p>
        </w:tc>
        <w:tc>
          <w:tcPr>
            <w:tcW w:w="857" w:type="dxa"/>
            <w:tcMar>
              <w:top w:w="15" w:type="dxa"/>
              <w:left w:w="15" w:type="dxa"/>
              <w:bottom w:w="15" w:type="dxa"/>
              <w:right w:w="15" w:type="dxa"/>
            </w:tcMar>
            <w:vAlign w:val="center"/>
          </w:tcPr>
          <w:p w14:paraId="15F42705"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18</w:t>
            </w:r>
          </w:p>
        </w:tc>
      </w:tr>
      <w:tr w:rsidR="0070102D" w:rsidRPr="0011250F" w14:paraId="2D6E4759" w14:textId="77777777" w:rsidTr="0070102D">
        <w:tc>
          <w:tcPr>
            <w:tcW w:w="1422" w:type="dxa"/>
            <w:tcMar>
              <w:top w:w="15" w:type="dxa"/>
              <w:left w:w="15" w:type="dxa"/>
              <w:bottom w:w="15" w:type="dxa"/>
              <w:right w:w="15" w:type="dxa"/>
            </w:tcMar>
          </w:tcPr>
          <w:p w14:paraId="05340D4B" w14:textId="77777777" w:rsidR="006D3E4A" w:rsidRPr="0011250F" w:rsidRDefault="006D3E4A" w:rsidP="00236AF0">
            <w:pPr>
              <w:pBdr>
                <w:top w:val="none" w:sz="0" w:space="0" w:color="000000"/>
                <w:left w:val="none" w:sz="0" w:space="0" w:color="000000"/>
                <w:bottom w:val="none" w:sz="0" w:space="0" w:color="000000"/>
                <w:right w:val="none" w:sz="0" w:space="0" w:color="000000"/>
                <w:between w:val="none" w:sz="0" w:space="0" w:color="000000"/>
              </w:pBdr>
              <w:spacing w:before="20" w:after="20"/>
              <w:rPr>
                <w:rFonts w:cs="Arial"/>
                <w:kern w:val="1"/>
                <w:sz w:val="18"/>
                <w:lang w:eastAsia="zh-CN"/>
              </w:rPr>
            </w:pPr>
            <w:r w:rsidRPr="0011250F">
              <w:rPr>
                <w:rFonts w:cs="Arial"/>
                <w:kern w:val="1"/>
                <w:sz w:val="18"/>
                <w:lang w:eastAsia="zh-CN"/>
              </w:rPr>
              <w:t>Solomon Islands</w:t>
            </w:r>
          </w:p>
        </w:tc>
        <w:tc>
          <w:tcPr>
            <w:tcW w:w="856" w:type="dxa"/>
            <w:tcMar>
              <w:top w:w="15" w:type="dxa"/>
              <w:left w:w="15" w:type="dxa"/>
              <w:bottom w:w="15" w:type="dxa"/>
              <w:right w:w="15" w:type="dxa"/>
            </w:tcMar>
            <w:vAlign w:val="bottom"/>
          </w:tcPr>
          <w:p w14:paraId="38EE9C4F"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0.0</w:t>
            </w:r>
          </w:p>
        </w:tc>
        <w:tc>
          <w:tcPr>
            <w:tcW w:w="857" w:type="dxa"/>
            <w:tcMar>
              <w:top w:w="15" w:type="dxa"/>
              <w:left w:w="15" w:type="dxa"/>
              <w:bottom w:w="15" w:type="dxa"/>
              <w:right w:w="15" w:type="dxa"/>
            </w:tcMar>
            <w:vAlign w:val="bottom"/>
          </w:tcPr>
          <w:p w14:paraId="34EF6707"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0.0</w:t>
            </w:r>
          </w:p>
        </w:tc>
        <w:tc>
          <w:tcPr>
            <w:tcW w:w="857" w:type="dxa"/>
            <w:tcMar>
              <w:top w:w="15" w:type="dxa"/>
              <w:left w:w="15" w:type="dxa"/>
              <w:bottom w:w="15" w:type="dxa"/>
              <w:right w:w="15" w:type="dxa"/>
            </w:tcMar>
            <w:vAlign w:val="bottom"/>
          </w:tcPr>
          <w:p w14:paraId="5F5059B3"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0.0</w:t>
            </w:r>
          </w:p>
        </w:tc>
        <w:tc>
          <w:tcPr>
            <w:tcW w:w="857" w:type="dxa"/>
            <w:tcMar>
              <w:top w:w="15" w:type="dxa"/>
              <w:left w:w="15" w:type="dxa"/>
              <w:bottom w:w="15" w:type="dxa"/>
              <w:right w:w="15" w:type="dxa"/>
            </w:tcMar>
            <w:vAlign w:val="bottom"/>
          </w:tcPr>
          <w:p w14:paraId="288DFFEC"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57.1</w:t>
            </w:r>
          </w:p>
        </w:tc>
        <w:tc>
          <w:tcPr>
            <w:tcW w:w="857" w:type="dxa"/>
            <w:tcMar>
              <w:top w:w="15" w:type="dxa"/>
              <w:left w:w="15" w:type="dxa"/>
              <w:bottom w:w="15" w:type="dxa"/>
              <w:right w:w="15" w:type="dxa"/>
            </w:tcMar>
            <w:vAlign w:val="bottom"/>
          </w:tcPr>
          <w:p w14:paraId="6A9FB6AE"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42.9</w:t>
            </w:r>
          </w:p>
        </w:tc>
        <w:tc>
          <w:tcPr>
            <w:tcW w:w="857" w:type="dxa"/>
            <w:tcMar>
              <w:top w:w="15" w:type="dxa"/>
              <w:left w:w="15" w:type="dxa"/>
              <w:bottom w:w="15" w:type="dxa"/>
              <w:right w:w="15" w:type="dxa"/>
            </w:tcMar>
            <w:vAlign w:val="bottom"/>
          </w:tcPr>
          <w:p w14:paraId="0C302906"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100</w:t>
            </w:r>
          </w:p>
        </w:tc>
        <w:tc>
          <w:tcPr>
            <w:tcW w:w="857" w:type="dxa"/>
            <w:tcMar>
              <w:top w:w="15" w:type="dxa"/>
              <w:left w:w="15" w:type="dxa"/>
              <w:bottom w:w="15" w:type="dxa"/>
              <w:right w:w="15" w:type="dxa"/>
            </w:tcMar>
            <w:vAlign w:val="center"/>
          </w:tcPr>
          <w:p w14:paraId="2EA28FAA"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7</w:t>
            </w:r>
          </w:p>
        </w:tc>
      </w:tr>
      <w:tr w:rsidR="0070102D" w:rsidRPr="0011250F" w14:paraId="44DF624B" w14:textId="77777777" w:rsidTr="0070102D">
        <w:tc>
          <w:tcPr>
            <w:tcW w:w="1422" w:type="dxa"/>
            <w:tcMar>
              <w:top w:w="15" w:type="dxa"/>
              <w:left w:w="15" w:type="dxa"/>
              <w:bottom w:w="15" w:type="dxa"/>
              <w:right w:w="15" w:type="dxa"/>
            </w:tcMar>
          </w:tcPr>
          <w:p w14:paraId="7AB3EBF5" w14:textId="77777777" w:rsidR="006D3E4A" w:rsidRPr="0011250F" w:rsidRDefault="006D3E4A" w:rsidP="00236AF0">
            <w:pPr>
              <w:pBdr>
                <w:top w:val="none" w:sz="0" w:space="0" w:color="000000"/>
                <w:left w:val="none" w:sz="0" w:space="0" w:color="000000"/>
                <w:bottom w:val="none" w:sz="0" w:space="0" w:color="000000"/>
                <w:right w:val="none" w:sz="0" w:space="0" w:color="000000"/>
                <w:between w:val="none" w:sz="0" w:space="0" w:color="000000"/>
              </w:pBdr>
              <w:spacing w:before="20" w:after="20"/>
              <w:rPr>
                <w:rFonts w:cs="Arial"/>
                <w:kern w:val="1"/>
                <w:sz w:val="18"/>
                <w:lang w:eastAsia="zh-CN"/>
              </w:rPr>
            </w:pPr>
            <w:r w:rsidRPr="0011250F">
              <w:rPr>
                <w:rFonts w:cs="Arial"/>
                <w:kern w:val="1"/>
                <w:sz w:val="18"/>
                <w:lang w:eastAsia="zh-CN"/>
              </w:rPr>
              <w:t>Vanuatu</w:t>
            </w:r>
          </w:p>
        </w:tc>
        <w:tc>
          <w:tcPr>
            <w:tcW w:w="856" w:type="dxa"/>
            <w:tcMar>
              <w:top w:w="15" w:type="dxa"/>
              <w:left w:w="15" w:type="dxa"/>
              <w:bottom w:w="15" w:type="dxa"/>
              <w:right w:w="15" w:type="dxa"/>
            </w:tcMar>
            <w:vAlign w:val="bottom"/>
          </w:tcPr>
          <w:p w14:paraId="637012E8"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15.2</w:t>
            </w:r>
          </w:p>
        </w:tc>
        <w:tc>
          <w:tcPr>
            <w:tcW w:w="857" w:type="dxa"/>
            <w:tcMar>
              <w:top w:w="15" w:type="dxa"/>
              <w:left w:w="15" w:type="dxa"/>
              <w:bottom w:w="15" w:type="dxa"/>
              <w:right w:w="15" w:type="dxa"/>
            </w:tcMar>
            <w:vAlign w:val="bottom"/>
          </w:tcPr>
          <w:p w14:paraId="5D9246B1"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9.1</w:t>
            </w:r>
          </w:p>
        </w:tc>
        <w:tc>
          <w:tcPr>
            <w:tcW w:w="857" w:type="dxa"/>
            <w:tcMar>
              <w:top w:w="15" w:type="dxa"/>
              <w:left w:w="15" w:type="dxa"/>
              <w:bottom w:w="15" w:type="dxa"/>
              <w:right w:w="15" w:type="dxa"/>
            </w:tcMar>
            <w:vAlign w:val="bottom"/>
          </w:tcPr>
          <w:p w14:paraId="4FAECA2B"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6.1</w:t>
            </w:r>
          </w:p>
        </w:tc>
        <w:tc>
          <w:tcPr>
            <w:tcW w:w="857" w:type="dxa"/>
            <w:tcMar>
              <w:top w:w="15" w:type="dxa"/>
              <w:left w:w="15" w:type="dxa"/>
              <w:bottom w:w="15" w:type="dxa"/>
              <w:right w:w="15" w:type="dxa"/>
            </w:tcMar>
            <w:vAlign w:val="bottom"/>
          </w:tcPr>
          <w:p w14:paraId="7F8EB39A"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57.6</w:t>
            </w:r>
          </w:p>
        </w:tc>
        <w:tc>
          <w:tcPr>
            <w:tcW w:w="857" w:type="dxa"/>
            <w:tcMar>
              <w:top w:w="15" w:type="dxa"/>
              <w:left w:w="15" w:type="dxa"/>
              <w:bottom w:w="15" w:type="dxa"/>
              <w:right w:w="15" w:type="dxa"/>
            </w:tcMar>
            <w:vAlign w:val="bottom"/>
          </w:tcPr>
          <w:p w14:paraId="208D0EF0"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12.1</w:t>
            </w:r>
          </w:p>
        </w:tc>
        <w:tc>
          <w:tcPr>
            <w:tcW w:w="857" w:type="dxa"/>
            <w:tcMar>
              <w:top w:w="15" w:type="dxa"/>
              <w:left w:w="15" w:type="dxa"/>
              <w:bottom w:w="15" w:type="dxa"/>
              <w:right w:w="15" w:type="dxa"/>
            </w:tcMar>
            <w:vAlign w:val="bottom"/>
          </w:tcPr>
          <w:p w14:paraId="5E82C78E"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100</w:t>
            </w:r>
          </w:p>
        </w:tc>
        <w:tc>
          <w:tcPr>
            <w:tcW w:w="857" w:type="dxa"/>
            <w:tcMar>
              <w:top w:w="15" w:type="dxa"/>
              <w:left w:w="15" w:type="dxa"/>
              <w:bottom w:w="15" w:type="dxa"/>
              <w:right w:w="15" w:type="dxa"/>
            </w:tcMar>
            <w:vAlign w:val="center"/>
          </w:tcPr>
          <w:p w14:paraId="5A2E7F88" w14:textId="77777777" w:rsidR="006D3E4A" w:rsidRPr="0011250F" w:rsidRDefault="006D3E4A" w:rsidP="0070102D">
            <w:pPr>
              <w:spacing w:before="20" w:after="20"/>
              <w:jc w:val="center"/>
              <w:rPr>
                <w:rFonts w:cs="Arial"/>
                <w:color w:val="000000"/>
                <w:sz w:val="18"/>
                <w:lang w:eastAsia="en-AU"/>
              </w:rPr>
            </w:pPr>
            <w:r w:rsidRPr="0011250F">
              <w:rPr>
                <w:rFonts w:cs="Arial"/>
                <w:color w:val="000000"/>
                <w:sz w:val="18"/>
                <w:lang w:eastAsia="en-AU"/>
              </w:rPr>
              <w:t>33</w:t>
            </w:r>
          </w:p>
        </w:tc>
      </w:tr>
      <w:tr w:rsidR="0070102D" w:rsidRPr="0070102D" w14:paraId="30BD6414" w14:textId="77777777" w:rsidTr="0070102D">
        <w:tc>
          <w:tcPr>
            <w:tcW w:w="1422" w:type="dxa"/>
            <w:shd w:val="clear" w:color="auto" w:fill="E2EFD9" w:themeFill="accent6" w:themeFillTint="33"/>
            <w:tcMar>
              <w:top w:w="15" w:type="dxa"/>
              <w:left w:w="15" w:type="dxa"/>
              <w:bottom w:w="15" w:type="dxa"/>
              <w:right w:w="15" w:type="dxa"/>
            </w:tcMar>
          </w:tcPr>
          <w:p w14:paraId="48CAA193" w14:textId="77777777" w:rsidR="006D3E4A" w:rsidRPr="0070102D" w:rsidRDefault="006D3E4A" w:rsidP="00236AF0">
            <w:pPr>
              <w:pBdr>
                <w:top w:val="none" w:sz="0" w:space="0" w:color="000000"/>
                <w:left w:val="none" w:sz="0" w:space="0" w:color="000000"/>
                <w:bottom w:val="none" w:sz="0" w:space="0" w:color="000000"/>
                <w:right w:val="none" w:sz="0" w:space="0" w:color="000000"/>
                <w:between w:val="none" w:sz="0" w:space="0" w:color="000000"/>
              </w:pBdr>
              <w:spacing w:before="20" w:after="20"/>
              <w:rPr>
                <w:rFonts w:cs="Arial"/>
                <w:b/>
                <w:kern w:val="1"/>
                <w:sz w:val="18"/>
                <w:lang w:eastAsia="zh-CN"/>
              </w:rPr>
            </w:pPr>
            <w:r w:rsidRPr="0070102D">
              <w:rPr>
                <w:rFonts w:cs="Arial"/>
                <w:b/>
                <w:kern w:val="1"/>
                <w:sz w:val="18"/>
                <w:lang w:eastAsia="zh-CN"/>
              </w:rPr>
              <w:t>Total</w:t>
            </w:r>
          </w:p>
        </w:tc>
        <w:tc>
          <w:tcPr>
            <w:tcW w:w="856" w:type="dxa"/>
            <w:shd w:val="clear" w:color="auto" w:fill="E2EFD9" w:themeFill="accent6" w:themeFillTint="33"/>
            <w:tcMar>
              <w:top w:w="15" w:type="dxa"/>
              <w:left w:w="15" w:type="dxa"/>
              <w:bottom w:w="15" w:type="dxa"/>
              <w:right w:w="15" w:type="dxa"/>
            </w:tcMar>
            <w:vAlign w:val="bottom"/>
          </w:tcPr>
          <w:p w14:paraId="20A56570" w14:textId="77777777" w:rsidR="006D3E4A" w:rsidRPr="0070102D" w:rsidRDefault="006D3E4A" w:rsidP="0070102D">
            <w:pPr>
              <w:spacing w:before="20" w:after="20"/>
              <w:jc w:val="center"/>
              <w:rPr>
                <w:rFonts w:cs="Arial"/>
                <w:b/>
                <w:color w:val="000000"/>
                <w:sz w:val="18"/>
                <w:lang w:eastAsia="en-AU"/>
              </w:rPr>
            </w:pPr>
            <w:r w:rsidRPr="0070102D">
              <w:rPr>
                <w:rFonts w:cs="Arial"/>
                <w:b/>
                <w:color w:val="000000"/>
                <w:sz w:val="18"/>
                <w:lang w:eastAsia="en-AU"/>
              </w:rPr>
              <w:t>4.5</w:t>
            </w:r>
          </w:p>
        </w:tc>
        <w:tc>
          <w:tcPr>
            <w:tcW w:w="857" w:type="dxa"/>
            <w:shd w:val="clear" w:color="auto" w:fill="E2EFD9" w:themeFill="accent6" w:themeFillTint="33"/>
            <w:tcMar>
              <w:top w:w="15" w:type="dxa"/>
              <w:left w:w="15" w:type="dxa"/>
              <w:bottom w:w="15" w:type="dxa"/>
              <w:right w:w="15" w:type="dxa"/>
            </w:tcMar>
            <w:vAlign w:val="bottom"/>
          </w:tcPr>
          <w:p w14:paraId="043135C9" w14:textId="77777777" w:rsidR="006D3E4A" w:rsidRPr="0070102D" w:rsidRDefault="006D3E4A" w:rsidP="0070102D">
            <w:pPr>
              <w:spacing w:before="20" w:after="20"/>
              <w:jc w:val="center"/>
              <w:rPr>
                <w:rFonts w:cs="Arial"/>
                <w:b/>
                <w:color w:val="000000"/>
                <w:sz w:val="18"/>
                <w:lang w:eastAsia="en-AU"/>
              </w:rPr>
            </w:pPr>
            <w:r w:rsidRPr="0070102D">
              <w:rPr>
                <w:rFonts w:cs="Arial"/>
                <w:b/>
                <w:color w:val="000000"/>
                <w:sz w:val="18"/>
                <w:lang w:eastAsia="en-AU"/>
              </w:rPr>
              <w:t>6.6</w:t>
            </w:r>
          </w:p>
        </w:tc>
        <w:tc>
          <w:tcPr>
            <w:tcW w:w="857" w:type="dxa"/>
            <w:shd w:val="clear" w:color="auto" w:fill="E2EFD9" w:themeFill="accent6" w:themeFillTint="33"/>
            <w:tcMar>
              <w:top w:w="15" w:type="dxa"/>
              <w:left w:w="15" w:type="dxa"/>
              <w:bottom w:w="15" w:type="dxa"/>
              <w:right w:w="15" w:type="dxa"/>
            </w:tcMar>
            <w:vAlign w:val="bottom"/>
          </w:tcPr>
          <w:p w14:paraId="6EE9070E" w14:textId="77777777" w:rsidR="006D3E4A" w:rsidRPr="0070102D" w:rsidRDefault="006D3E4A" w:rsidP="0070102D">
            <w:pPr>
              <w:spacing w:before="20" w:after="20"/>
              <w:jc w:val="center"/>
              <w:rPr>
                <w:rFonts w:cs="Arial"/>
                <w:b/>
                <w:color w:val="000000"/>
                <w:sz w:val="18"/>
                <w:lang w:eastAsia="en-AU"/>
              </w:rPr>
            </w:pPr>
            <w:r w:rsidRPr="0070102D">
              <w:rPr>
                <w:rFonts w:cs="Arial"/>
                <w:b/>
                <w:color w:val="000000"/>
                <w:sz w:val="18"/>
                <w:lang w:eastAsia="en-AU"/>
              </w:rPr>
              <w:t>7.1</w:t>
            </w:r>
          </w:p>
        </w:tc>
        <w:tc>
          <w:tcPr>
            <w:tcW w:w="857" w:type="dxa"/>
            <w:shd w:val="clear" w:color="auto" w:fill="E2EFD9" w:themeFill="accent6" w:themeFillTint="33"/>
            <w:tcMar>
              <w:top w:w="15" w:type="dxa"/>
              <w:left w:w="15" w:type="dxa"/>
              <w:bottom w:w="15" w:type="dxa"/>
              <w:right w:w="15" w:type="dxa"/>
            </w:tcMar>
            <w:vAlign w:val="bottom"/>
          </w:tcPr>
          <w:p w14:paraId="7CC09646" w14:textId="77777777" w:rsidR="006D3E4A" w:rsidRPr="0070102D" w:rsidRDefault="006D3E4A" w:rsidP="0070102D">
            <w:pPr>
              <w:spacing w:before="20" w:after="20"/>
              <w:jc w:val="center"/>
              <w:rPr>
                <w:rFonts w:cs="Arial"/>
                <w:b/>
                <w:color w:val="000000"/>
                <w:sz w:val="18"/>
                <w:lang w:eastAsia="en-AU"/>
              </w:rPr>
            </w:pPr>
            <w:r w:rsidRPr="0070102D">
              <w:rPr>
                <w:rFonts w:cs="Arial"/>
                <w:b/>
                <w:color w:val="000000"/>
                <w:sz w:val="18"/>
                <w:lang w:eastAsia="en-AU"/>
              </w:rPr>
              <w:t>63.6</w:t>
            </w:r>
          </w:p>
        </w:tc>
        <w:tc>
          <w:tcPr>
            <w:tcW w:w="857" w:type="dxa"/>
            <w:shd w:val="clear" w:color="auto" w:fill="E2EFD9" w:themeFill="accent6" w:themeFillTint="33"/>
            <w:tcMar>
              <w:top w:w="15" w:type="dxa"/>
              <w:left w:w="15" w:type="dxa"/>
              <w:bottom w:w="15" w:type="dxa"/>
              <w:right w:w="15" w:type="dxa"/>
            </w:tcMar>
            <w:vAlign w:val="bottom"/>
          </w:tcPr>
          <w:p w14:paraId="0351F4BE" w14:textId="77777777" w:rsidR="006D3E4A" w:rsidRPr="0070102D" w:rsidRDefault="006D3E4A" w:rsidP="0070102D">
            <w:pPr>
              <w:spacing w:before="20" w:after="20"/>
              <w:jc w:val="center"/>
              <w:rPr>
                <w:rFonts w:cs="Arial"/>
                <w:b/>
                <w:color w:val="000000"/>
                <w:sz w:val="18"/>
                <w:lang w:eastAsia="en-AU"/>
              </w:rPr>
            </w:pPr>
            <w:r w:rsidRPr="0070102D">
              <w:rPr>
                <w:rFonts w:cs="Arial"/>
                <w:b/>
                <w:color w:val="000000"/>
                <w:sz w:val="18"/>
                <w:lang w:eastAsia="en-AU"/>
              </w:rPr>
              <w:t>18.2</w:t>
            </w:r>
          </w:p>
        </w:tc>
        <w:tc>
          <w:tcPr>
            <w:tcW w:w="857" w:type="dxa"/>
            <w:shd w:val="clear" w:color="auto" w:fill="E2EFD9" w:themeFill="accent6" w:themeFillTint="33"/>
            <w:tcMar>
              <w:top w:w="15" w:type="dxa"/>
              <w:left w:w="15" w:type="dxa"/>
              <w:bottom w:w="15" w:type="dxa"/>
              <w:right w:w="15" w:type="dxa"/>
            </w:tcMar>
            <w:vAlign w:val="bottom"/>
          </w:tcPr>
          <w:p w14:paraId="7A26D37E" w14:textId="77777777" w:rsidR="006D3E4A" w:rsidRPr="0070102D" w:rsidRDefault="006D3E4A" w:rsidP="0070102D">
            <w:pPr>
              <w:spacing w:before="20" w:after="20"/>
              <w:jc w:val="center"/>
              <w:rPr>
                <w:rFonts w:cs="Arial"/>
                <w:b/>
                <w:color w:val="000000"/>
                <w:sz w:val="18"/>
                <w:lang w:eastAsia="en-AU"/>
              </w:rPr>
            </w:pPr>
            <w:r w:rsidRPr="0070102D">
              <w:rPr>
                <w:rFonts w:cs="Arial"/>
                <w:b/>
                <w:color w:val="000000"/>
                <w:sz w:val="18"/>
                <w:lang w:eastAsia="en-AU"/>
              </w:rPr>
              <w:t>100</w:t>
            </w:r>
          </w:p>
        </w:tc>
        <w:tc>
          <w:tcPr>
            <w:tcW w:w="857" w:type="dxa"/>
            <w:shd w:val="clear" w:color="auto" w:fill="E2EFD9" w:themeFill="accent6" w:themeFillTint="33"/>
            <w:tcMar>
              <w:top w:w="15" w:type="dxa"/>
              <w:left w:w="15" w:type="dxa"/>
              <w:bottom w:w="15" w:type="dxa"/>
              <w:right w:w="15" w:type="dxa"/>
            </w:tcMar>
            <w:vAlign w:val="center"/>
          </w:tcPr>
          <w:p w14:paraId="3E8C8B00" w14:textId="77777777" w:rsidR="006D3E4A" w:rsidRPr="0070102D" w:rsidRDefault="006D3E4A" w:rsidP="0070102D">
            <w:pPr>
              <w:spacing w:before="20" w:after="20"/>
              <w:jc w:val="center"/>
              <w:rPr>
                <w:rFonts w:cs="Arial"/>
                <w:b/>
                <w:color w:val="000000"/>
                <w:sz w:val="18"/>
                <w:lang w:eastAsia="en-AU"/>
              </w:rPr>
            </w:pPr>
            <w:r w:rsidRPr="0070102D">
              <w:rPr>
                <w:rFonts w:cs="Arial"/>
                <w:b/>
                <w:color w:val="000000"/>
                <w:sz w:val="18"/>
                <w:lang w:eastAsia="en-AU"/>
              </w:rPr>
              <w:t>198</w:t>
            </w:r>
          </w:p>
        </w:tc>
      </w:tr>
    </w:tbl>
    <w:p w14:paraId="6CB52E60" w14:textId="77777777" w:rsidR="006D3E4A" w:rsidRPr="00FB3195" w:rsidRDefault="006D3E4A" w:rsidP="006D3E4A">
      <w:pPr>
        <w:pBdr>
          <w:top w:val="none" w:sz="0" w:space="0" w:color="000000"/>
          <w:left w:val="none" w:sz="0" w:space="0" w:color="000000"/>
          <w:bottom w:val="none" w:sz="0" w:space="0" w:color="000000"/>
          <w:right w:val="none" w:sz="0" w:space="0" w:color="000000"/>
          <w:between w:val="none" w:sz="0" w:space="0" w:color="000000"/>
        </w:pBdr>
        <w:spacing w:before="20" w:after="20"/>
        <w:rPr>
          <w:rFonts w:cs="Arial"/>
          <w:kern w:val="1"/>
          <w:sz w:val="20"/>
          <w:lang w:eastAsia="zh-CN"/>
        </w:rPr>
      </w:pPr>
    </w:p>
    <w:p w14:paraId="7DC11447" w14:textId="77777777" w:rsidR="003D355F" w:rsidRDefault="006D3E4A" w:rsidP="000668BA">
      <w:pPr>
        <w:pStyle w:val="Heading2"/>
        <w:numPr>
          <w:ilvl w:val="1"/>
          <w:numId w:val="68"/>
        </w:numPr>
      </w:pPr>
      <w:bookmarkStart w:id="456" w:name="_Toc274145089"/>
      <w:bookmarkStart w:id="457" w:name="_Toc274900473"/>
      <w:bookmarkStart w:id="458" w:name="_Toc274909852"/>
      <w:bookmarkStart w:id="459" w:name="_Toc278447868"/>
      <w:bookmarkStart w:id="460" w:name="_Toc278453341"/>
      <w:r w:rsidRPr="00FB3195">
        <w:t>Satisfaction with information provided by APTC</w:t>
      </w:r>
      <w:bookmarkEnd w:id="456"/>
      <w:bookmarkEnd w:id="457"/>
      <w:bookmarkEnd w:id="458"/>
      <w:bookmarkEnd w:id="459"/>
      <w:bookmarkEnd w:id="460"/>
    </w:p>
    <w:p w14:paraId="7333EE49" w14:textId="55D6AF15" w:rsidR="006D3E4A" w:rsidRPr="00FB3195" w:rsidRDefault="00C2289E" w:rsidP="00C2289E">
      <w:pPr>
        <w:rPr>
          <w:lang w:eastAsia="zh-CN"/>
        </w:rPr>
      </w:pPr>
      <w:r w:rsidRPr="001B0F05">
        <w:rPr>
          <w:lang w:eastAsia="zh-CN"/>
        </w:rPr>
        <w:t>Students were asked, using a five</w:t>
      </w:r>
      <w:r>
        <w:rPr>
          <w:lang w:eastAsia="zh-CN"/>
        </w:rPr>
        <w:t>-</w:t>
      </w:r>
      <w:r w:rsidRPr="001B0F05">
        <w:rPr>
          <w:lang w:eastAsia="zh-CN"/>
        </w:rPr>
        <w:t>point scale, whether they were satisfied with the information APTC had given them about where to find jobs with the skills they were getting at APTC. Near to three-in-fo</w:t>
      </w:r>
      <w:r w:rsidR="00A43A41">
        <w:rPr>
          <w:lang w:eastAsia="zh-CN"/>
        </w:rPr>
        <w:t>ur students (73 per cent) were satisfied or very satisfied,</w:t>
      </w:r>
      <w:r w:rsidRPr="001B0F05">
        <w:rPr>
          <w:lang w:eastAsia="zh-CN"/>
        </w:rPr>
        <w:t xml:space="preserve"> with two-in-five (43 per cent) saying they were</w:t>
      </w:r>
      <w:r>
        <w:rPr>
          <w:lang w:eastAsia="zh-CN"/>
        </w:rPr>
        <w:t xml:space="preserve"> </w:t>
      </w:r>
      <w:r w:rsidR="00A43A41">
        <w:rPr>
          <w:lang w:eastAsia="zh-CN"/>
        </w:rPr>
        <w:t>very satisfied.</w:t>
      </w:r>
      <w:r w:rsidRPr="001B0F05">
        <w:rPr>
          <w:lang w:eastAsia="zh-CN"/>
        </w:rPr>
        <w:t xml:space="preserve"> Female studen</w:t>
      </w:r>
      <w:r w:rsidR="00A43A41">
        <w:rPr>
          <w:lang w:eastAsia="zh-CN"/>
        </w:rPr>
        <w:t>ts were much more likely to be very satisfied</w:t>
      </w:r>
      <w:r w:rsidRPr="001B0F05">
        <w:rPr>
          <w:lang w:eastAsia="zh-CN"/>
        </w:rPr>
        <w:t xml:space="preserve"> than male students (54 per cent compared with 36 per cent). </w:t>
      </w:r>
      <w:r w:rsidR="006D3E4A" w:rsidRPr="00FB3195">
        <w:rPr>
          <w:lang w:eastAsia="zh-CN"/>
        </w:rPr>
        <w:t xml:space="preserve"> </w:t>
      </w:r>
    </w:p>
    <w:p w14:paraId="2A496886" w14:textId="77777777" w:rsidR="003D355F" w:rsidRDefault="006D3E4A" w:rsidP="000668BA">
      <w:pPr>
        <w:pStyle w:val="Heading2"/>
        <w:numPr>
          <w:ilvl w:val="1"/>
          <w:numId w:val="68"/>
        </w:numPr>
      </w:pPr>
      <w:bookmarkStart w:id="461" w:name="_Toc274145090"/>
      <w:bookmarkStart w:id="462" w:name="_Toc274900474"/>
      <w:bookmarkStart w:id="463" w:name="_Toc274909853"/>
      <w:bookmarkStart w:id="464" w:name="_Toc278447869"/>
      <w:bookmarkStart w:id="465" w:name="_Toc278453342"/>
      <w:r w:rsidRPr="00FB3195">
        <w:t>Suggestions to improve APTC</w:t>
      </w:r>
      <w:bookmarkEnd w:id="461"/>
      <w:bookmarkEnd w:id="462"/>
      <w:bookmarkEnd w:id="463"/>
      <w:bookmarkEnd w:id="464"/>
      <w:bookmarkEnd w:id="465"/>
    </w:p>
    <w:p w14:paraId="5D3B95D9" w14:textId="77777777" w:rsidR="006D3E4A" w:rsidRPr="00FB3195" w:rsidRDefault="006D3E4A" w:rsidP="006D3E4A">
      <w:pPr>
        <w:spacing w:before="120"/>
        <w:rPr>
          <w:lang w:eastAsia="zh-CN"/>
        </w:rPr>
      </w:pPr>
      <w:r w:rsidRPr="00FB3195">
        <w:rPr>
          <w:lang w:eastAsia="zh-CN"/>
        </w:rPr>
        <w:t xml:space="preserve">Students were asked to suggest changes to improve APTC. Two-thirds of the students wrote down their suggested changes. Two-in-five responses related specifically to the operations of APTC. Another one-in-ten related to a request for APTC to offer higher qualifications or more training. However, one-in-three responses (32 per cent) referred to help to find work, and one-in-five responses (20 per cent) specifically requested help to find work overseas. </w:t>
      </w:r>
    </w:p>
    <w:p w14:paraId="51F09660" w14:textId="77777777" w:rsidR="006D3E4A" w:rsidRPr="00FB3195" w:rsidRDefault="006D3E4A" w:rsidP="006D3E4A">
      <w:pPr>
        <w:spacing w:before="120"/>
        <w:rPr>
          <w:lang w:eastAsia="zh-CN"/>
        </w:rPr>
      </w:pPr>
      <w:r w:rsidRPr="00FB3195">
        <w:rPr>
          <w:lang w:eastAsia="zh-CN"/>
        </w:rPr>
        <w:t xml:space="preserve">The students from Fiji, Solomon Islands and PNG are the most likely to request help with finding work. Half of the suggestions from Fiji and Solomon Islands on how to improve APTC referred to help </w:t>
      </w:r>
      <w:r w:rsidR="00B86A74">
        <w:rPr>
          <w:lang w:eastAsia="zh-CN"/>
        </w:rPr>
        <w:t>in</w:t>
      </w:r>
      <w:r w:rsidR="00B86A74" w:rsidRPr="00FB3195">
        <w:rPr>
          <w:lang w:eastAsia="zh-CN"/>
        </w:rPr>
        <w:t xml:space="preserve"> </w:t>
      </w:r>
      <w:r w:rsidRPr="00FB3195">
        <w:rPr>
          <w:lang w:eastAsia="zh-CN"/>
        </w:rPr>
        <w:t>find</w:t>
      </w:r>
      <w:r w:rsidR="00B86A74">
        <w:rPr>
          <w:lang w:eastAsia="zh-CN"/>
        </w:rPr>
        <w:t>ing</w:t>
      </w:r>
      <w:r w:rsidRPr="00FB3195">
        <w:rPr>
          <w:lang w:eastAsia="zh-CN"/>
        </w:rPr>
        <w:t xml:space="preserve"> work. Over one-in-three suggestions from PNG students (36 per cent) were related to help </w:t>
      </w:r>
      <w:r w:rsidR="001C74AD">
        <w:rPr>
          <w:lang w:eastAsia="zh-CN"/>
        </w:rPr>
        <w:t>in</w:t>
      </w:r>
      <w:r w:rsidR="001C74AD" w:rsidRPr="00FB3195">
        <w:rPr>
          <w:lang w:eastAsia="zh-CN"/>
        </w:rPr>
        <w:t xml:space="preserve"> </w:t>
      </w:r>
      <w:r w:rsidRPr="00FB3195">
        <w:rPr>
          <w:lang w:eastAsia="zh-CN"/>
        </w:rPr>
        <w:t>find</w:t>
      </w:r>
      <w:r w:rsidR="001C74AD">
        <w:rPr>
          <w:lang w:eastAsia="zh-CN"/>
        </w:rPr>
        <w:t>ing</w:t>
      </w:r>
      <w:r w:rsidRPr="00FB3195">
        <w:rPr>
          <w:lang w:eastAsia="zh-CN"/>
        </w:rPr>
        <w:t xml:space="preserve"> work. </w:t>
      </w:r>
    </w:p>
    <w:p w14:paraId="15C5B3F9" w14:textId="77777777" w:rsidR="006D3E4A" w:rsidRPr="00FB3195" w:rsidRDefault="006D3E4A" w:rsidP="006D3E4A">
      <w:pPr>
        <w:spacing w:before="120"/>
        <w:rPr>
          <w:lang w:eastAsia="zh-CN"/>
        </w:rPr>
      </w:pPr>
      <w:r w:rsidRPr="00FB3195">
        <w:rPr>
          <w:lang w:eastAsia="zh-CN"/>
        </w:rPr>
        <w:t>In relation to the requested help to find work overseas, students from Solomon Islands, Fiji and PNG were notably above the average response. Near to two-in-five Solomon Island student responses requested help to find work overseas, followed by three-in-ten responses for students from Fiji and one-in-four students from PNG. These responses are confirmed by the stated intentions of students by their country of origin.</w:t>
      </w:r>
    </w:p>
    <w:p w14:paraId="5C961BCA" w14:textId="77777777" w:rsidR="003D355F" w:rsidRDefault="004D2282" w:rsidP="002028A6">
      <w:pPr>
        <w:pStyle w:val="Heading1"/>
        <w:rPr>
          <w:lang w:eastAsia="zh-CN"/>
        </w:rPr>
      </w:pPr>
      <w:bookmarkStart w:id="466" w:name="_Toc278447870"/>
      <w:bookmarkStart w:id="467" w:name="_Toc278453343"/>
      <w:r>
        <w:rPr>
          <w:lang w:eastAsia="zh-CN"/>
        </w:rPr>
        <w:t>2</w:t>
      </w:r>
      <w:r>
        <w:rPr>
          <w:lang w:eastAsia="zh-CN"/>
        </w:rPr>
        <w:tab/>
      </w:r>
      <w:r w:rsidR="001C74AD">
        <w:rPr>
          <w:lang w:eastAsia="zh-CN"/>
        </w:rPr>
        <w:t>Responses from APTC graduates</w:t>
      </w:r>
      <w:bookmarkEnd w:id="466"/>
      <w:bookmarkEnd w:id="467"/>
      <w:r w:rsidR="001C74AD">
        <w:rPr>
          <w:lang w:eastAsia="zh-CN"/>
        </w:rPr>
        <w:t xml:space="preserve"> </w:t>
      </w:r>
    </w:p>
    <w:p w14:paraId="05B50767" w14:textId="77777777" w:rsidR="006D3E4A" w:rsidRPr="00FB3195" w:rsidRDefault="006D3E4A" w:rsidP="006D3E4A">
      <w:pPr>
        <w:spacing w:before="120"/>
        <w:rPr>
          <w:lang w:eastAsia="zh-CN"/>
        </w:rPr>
      </w:pPr>
      <w:r w:rsidRPr="00FB3195">
        <w:rPr>
          <w:lang w:eastAsia="zh-CN"/>
        </w:rPr>
        <w:t>Some 174 graduates responded to an invitation to meet the review team and complete questionnaires. Of APTC graduates surveyed, 57 per cent are men and 43 per cent are women</w:t>
      </w:r>
      <w:r w:rsidR="00801CD9">
        <w:rPr>
          <w:lang w:eastAsia="zh-CN"/>
        </w:rPr>
        <w:t>,</w:t>
      </w:r>
      <w:r w:rsidRPr="00FB3195">
        <w:rPr>
          <w:lang w:eastAsia="zh-CN"/>
        </w:rPr>
        <w:t xml:space="preserve"> which is close to the graduate population for Stage I. However, it should be noted that the sample is a self-selected one – graduates who were available during or at the end of a working day and who had made some effort to meet the review team. The graduates surveyed are somewhat older than the Stage II graduate population and differ in relation to the field of study profile of Stage II graduates. For example, 13 per cent of the graduates surveyed had a qualification in children’s services compared with 3 per cent of all Stage II graduates. </w:t>
      </w:r>
    </w:p>
    <w:p w14:paraId="5C1DA6C2" w14:textId="77777777" w:rsidR="00525FA2" w:rsidRDefault="00525FA2">
      <w:pPr>
        <w:spacing w:after="0"/>
        <w:rPr>
          <w:rFonts w:cs="Arial"/>
          <w:b/>
          <w:bCs/>
          <w:color w:val="76923C"/>
          <w:szCs w:val="28"/>
        </w:rPr>
      </w:pPr>
      <w:bookmarkStart w:id="468" w:name="_Toc274145092"/>
      <w:bookmarkStart w:id="469" w:name="_Toc274900476"/>
      <w:bookmarkStart w:id="470" w:name="_Toc274909855"/>
      <w:bookmarkStart w:id="471" w:name="_Toc278447871"/>
      <w:bookmarkStart w:id="472" w:name="_Toc278453344"/>
      <w:r>
        <w:br w:type="page"/>
      </w:r>
    </w:p>
    <w:p w14:paraId="0CE9A6EE" w14:textId="19909E82" w:rsidR="003D355F" w:rsidRDefault="004D2282" w:rsidP="002028A6">
      <w:pPr>
        <w:pStyle w:val="Heading2"/>
      </w:pPr>
      <w:r>
        <w:t>2.1</w:t>
      </w:r>
      <w:r>
        <w:tab/>
      </w:r>
      <w:r w:rsidR="006D3E4A" w:rsidRPr="00FB3195">
        <w:t>Employment status of graduates</w:t>
      </w:r>
      <w:bookmarkEnd w:id="468"/>
      <w:bookmarkEnd w:id="469"/>
      <w:bookmarkEnd w:id="470"/>
      <w:bookmarkEnd w:id="471"/>
      <w:bookmarkEnd w:id="472"/>
    </w:p>
    <w:p w14:paraId="7AB5A7E3" w14:textId="77777777" w:rsidR="006D3E4A" w:rsidRPr="00FB3195" w:rsidRDefault="006D3E4A" w:rsidP="006D3E4A">
      <w:pPr>
        <w:spacing w:before="120"/>
        <w:rPr>
          <w:lang w:eastAsia="zh-CN"/>
        </w:rPr>
      </w:pPr>
      <w:r w:rsidRPr="00FB3195">
        <w:rPr>
          <w:lang w:eastAsia="zh-CN"/>
        </w:rPr>
        <w:t xml:space="preserve">One-in-six of the graduates who met with the review team and responded to the questionnaire (15 per cent) are not working. However, it needs to be noted that near to half (45 per cent) are still with the same employer. </w:t>
      </w:r>
      <w:r w:rsidR="001A137A">
        <w:rPr>
          <w:lang w:eastAsia="zh-CN"/>
        </w:rPr>
        <w:t>E</w:t>
      </w:r>
      <w:r w:rsidRPr="00FB3195">
        <w:rPr>
          <w:lang w:eastAsia="zh-CN"/>
        </w:rPr>
        <w:t xml:space="preserve">mployment status of the graduate </w:t>
      </w:r>
      <w:r w:rsidR="001A137A">
        <w:rPr>
          <w:lang w:eastAsia="zh-CN"/>
        </w:rPr>
        <w:t xml:space="preserve">before APTC </w:t>
      </w:r>
      <w:r w:rsidRPr="00FB3195">
        <w:rPr>
          <w:lang w:eastAsia="zh-CN"/>
        </w:rPr>
        <w:t>has a big impact on whether they are now working. Of those employed before starting at APTC, 88 per cent are now in work and 12 per cent are not working. However, for those not working before APTC, only two-in-five (40 per</w:t>
      </w:r>
      <w:r w:rsidR="00423E3A">
        <w:rPr>
          <w:lang w:eastAsia="zh-CN"/>
        </w:rPr>
        <w:t xml:space="preserve"> </w:t>
      </w:r>
      <w:r w:rsidRPr="00FB3195">
        <w:rPr>
          <w:lang w:eastAsia="zh-CN"/>
        </w:rPr>
        <w:t xml:space="preserve">cent) are now working and three-in-five (60 per cent) are not now working. </w:t>
      </w:r>
    </w:p>
    <w:p w14:paraId="25F6AED8" w14:textId="77777777" w:rsidR="006D3E4A" w:rsidRPr="00FB3195" w:rsidRDefault="006D3E4A" w:rsidP="006D3E4A">
      <w:pPr>
        <w:spacing w:before="120"/>
        <w:rPr>
          <w:lang w:eastAsia="zh-CN"/>
        </w:rPr>
      </w:pPr>
      <w:r w:rsidRPr="00FB3195">
        <w:rPr>
          <w:lang w:eastAsia="zh-CN"/>
        </w:rPr>
        <w:t xml:space="preserve">As many as 94 per cent were employed before APTC but only half (48 per cent) are still with the same employer after graduation. Some graduates had to leave their jobs to start their APTC training. Of those employed before APTC, three-in-five (62 per cent) continued in work while a student and two-in-five </w:t>
      </w:r>
      <w:r w:rsidR="0039701B">
        <w:rPr>
          <w:lang w:eastAsia="zh-CN"/>
        </w:rPr>
        <w:t>did not</w:t>
      </w:r>
      <w:r w:rsidRPr="00FB3195">
        <w:rPr>
          <w:lang w:eastAsia="zh-CN"/>
        </w:rPr>
        <w:t xml:space="preserve">. </w:t>
      </w:r>
    </w:p>
    <w:p w14:paraId="039E6638" w14:textId="77777777" w:rsidR="006D3E4A" w:rsidRPr="00FB3195" w:rsidRDefault="006D3E4A" w:rsidP="006D3E4A">
      <w:pPr>
        <w:spacing w:before="120"/>
        <w:rPr>
          <w:lang w:eastAsia="zh-CN"/>
        </w:rPr>
      </w:pPr>
      <w:r w:rsidRPr="00FB3195">
        <w:rPr>
          <w:lang w:eastAsia="zh-CN"/>
        </w:rPr>
        <w:t xml:space="preserve">Overall, just over one-in-four graduates not with the same employer are not now employed. However, the proportion of graduates not in work varied greatly by qualification (see Table </w:t>
      </w:r>
      <w:r w:rsidR="0039701B">
        <w:rPr>
          <w:lang w:eastAsia="zh-CN"/>
        </w:rPr>
        <w:t>5</w:t>
      </w:r>
      <w:r w:rsidRPr="00FB3195">
        <w:rPr>
          <w:lang w:eastAsia="zh-CN"/>
        </w:rPr>
        <w:t>.2). The qualifications with the highest proportion of graduates not still with the same employer out of work are: Youth Work, (57 per cent), Children's Services (50 per cent), Hospitality Operation (50 per cent), Home and Community Care/Aged Care (50 per cent), Mechanical Trade (Fitting &amp; Machining) (40 per cent), Fabrication Trade (40 per cent), Tourism (33 per cent), Community Services Work (33</w:t>
      </w:r>
      <w:r w:rsidR="00F91703">
        <w:rPr>
          <w:lang w:eastAsia="zh-CN"/>
        </w:rPr>
        <w:t> </w:t>
      </w:r>
      <w:r w:rsidRPr="00FB3195">
        <w:rPr>
          <w:lang w:eastAsia="zh-CN"/>
        </w:rPr>
        <w:t>per</w:t>
      </w:r>
      <w:r w:rsidR="00F91703">
        <w:rPr>
          <w:lang w:eastAsia="zh-CN"/>
        </w:rPr>
        <w:t xml:space="preserve"> </w:t>
      </w:r>
      <w:r w:rsidRPr="00FB3195">
        <w:rPr>
          <w:lang w:eastAsia="zh-CN"/>
        </w:rPr>
        <w:t xml:space="preserve">cent), Hospitality Supervision (29 per cent) and Carpentry (10 per cent). </w:t>
      </w:r>
    </w:p>
    <w:p w14:paraId="6EC42C56" w14:textId="59A98F3C" w:rsidR="006D3E4A" w:rsidRPr="00F91703" w:rsidRDefault="006D3E4A" w:rsidP="00F91703">
      <w:pPr>
        <w:pStyle w:val="Tableheading"/>
        <w:rPr>
          <w:lang w:eastAsia="zh-CN"/>
        </w:rPr>
      </w:pPr>
      <w:bookmarkStart w:id="473" w:name="_Toc274146471"/>
      <w:bookmarkStart w:id="474" w:name="_Toc274915930"/>
      <w:bookmarkStart w:id="475" w:name="_Toc278446910"/>
      <w:r>
        <w:rPr>
          <w:lang w:eastAsia="zh-CN"/>
        </w:rPr>
        <w:t>Table 5</w:t>
      </w:r>
      <w:r w:rsidRPr="00FB3195">
        <w:rPr>
          <w:lang w:eastAsia="zh-CN"/>
        </w:rPr>
        <w:t xml:space="preserve">.2: Proportion of APTC graduates not with the same </w:t>
      </w:r>
      <w:r w:rsidR="0070102D">
        <w:rPr>
          <w:lang w:eastAsia="zh-CN"/>
        </w:rPr>
        <w:br/>
      </w:r>
      <w:r w:rsidRPr="00FB3195">
        <w:rPr>
          <w:lang w:eastAsia="zh-CN"/>
        </w:rPr>
        <w:t>employer prior to APTC who are not working now</w:t>
      </w:r>
      <w:r w:rsidR="00E60745">
        <w:rPr>
          <w:lang w:eastAsia="zh-CN"/>
        </w:rPr>
        <w:t xml:space="preserve"> (%)</w:t>
      </w:r>
      <w:bookmarkEnd w:id="473"/>
      <w:bookmarkEnd w:id="474"/>
      <w:bookmarkEnd w:id="475"/>
    </w:p>
    <w:tbl>
      <w:tblPr>
        <w:tblW w:w="0" w:type="auto"/>
        <w:tblInd w:w="108" w:type="dxa"/>
        <w:tblCellMar>
          <w:left w:w="10" w:type="dxa"/>
          <w:right w:w="10" w:type="dxa"/>
        </w:tblCellMar>
        <w:tblLook w:val="04A0" w:firstRow="1" w:lastRow="0" w:firstColumn="1" w:lastColumn="0" w:noHBand="0" w:noVBand="1"/>
      </w:tblPr>
      <w:tblGrid>
        <w:gridCol w:w="3182"/>
        <w:gridCol w:w="974"/>
        <w:gridCol w:w="747"/>
      </w:tblGrid>
      <w:tr w:rsidR="005545B5" w14:paraId="7BE12801" w14:textId="77777777" w:rsidTr="0070102D">
        <w:trPr>
          <w:trHeight w:val="688"/>
        </w:trPr>
        <w:tc>
          <w:tcPr>
            <w:tcW w:w="0" w:type="auto"/>
            <w:shd w:val="clear" w:color="000000" w:fill="C5E0B3" w:themeFill="accent6" w:themeFillTint="66"/>
            <w:tcMar>
              <w:top w:w="0" w:type="dxa"/>
              <w:left w:w="20" w:type="dxa"/>
              <w:bottom w:w="0" w:type="dxa"/>
              <w:right w:w="20" w:type="dxa"/>
            </w:tcMar>
            <w:vAlign w:val="center"/>
          </w:tcPr>
          <w:p w14:paraId="76E5CFB5" w14:textId="77777777" w:rsidR="006D3E4A" w:rsidRPr="006270FD" w:rsidRDefault="006D3E4A" w:rsidP="00236AF0">
            <w:pPr>
              <w:suppressAutoHyphens/>
              <w:spacing w:after="0"/>
              <w:jc w:val="center"/>
              <w:rPr>
                <w:b/>
                <w:sz w:val="18"/>
                <w:lang w:eastAsia="zh-CN"/>
              </w:rPr>
            </w:pPr>
            <w:r w:rsidRPr="006270FD">
              <w:rPr>
                <w:b/>
                <w:sz w:val="18"/>
                <w:lang w:eastAsia="zh-CN"/>
              </w:rPr>
              <w:t>Qualification</w:t>
            </w:r>
          </w:p>
        </w:tc>
        <w:tc>
          <w:tcPr>
            <w:tcW w:w="974" w:type="dxa"/>
            <w:shd w:val="clear" w:color="000000" w:fill="C5E0B3" w:themeFill="accent6" w:themeFillTint="66"/>
            <w:tcMar>
              <w:top w:w="0" w:type="dxa"/>
              <w:left w:w="20" w:type="dxa"/>
              <w:bottom w:w="0" w:type="dxa"/>
              <w:right w:w="20" w:type="dxa"/>
            </w:tcMar>
            <w:vAlign w:val="bottom"/>
          </w:tcPr>
          <w:p w14:paraId="695E4551" w14:textId="77777777" w:rsidR="006D3E4A" w:rsidRPr="006270FD" w:rsidRDefault="006D3E4A" w:rsidP="0070102D">
            <w:pPr>
              <w:suppressAutoHyphens/>
              <w:spacing w:after="0"/>
              <w:jc w:val="center"/>
              <w:rPr>
                <w:b/>
                <w:sz w:val="18"/>
                <w:lang w:eastAsia="zh-CN"/>
              </w:rPr>
            </w:pPr>
            <w:r w:rsidRPr="006270FD">
              <w:rPr>
                <w:b/>
                <w:sz w:val="18"/>
                <w:lang w:eastAsia="zh-CN"/>
              </w:rPr>
              <w:t>Not employed - %</w:t>
            </w:r>
          </w:p>
        </w:tc>
        <w:tc>
          <w:tcPr>
            <w:tcW w:w="747" w:type="dxa"/>
            <w:shd w:val="clear" w:color="000000" w:fill="C5E0B3" w:themeFill="accent6" w:themeFillTint="66"/>
            <w:tcMar>
              <w:top w:w="0" w:type="dxa"/>
              <w:left w:w="20" w:type="dxa"/>
              <w:bottom w:w="0" w:type="dxa"/>
              <w:right w:w="20" w:type="dxa"/>
            </w:tcMar>
            <w:vAlign w:val="center"/>
          </w:tcPr>
          <w:p w14:paraId="60962A49" w14:textId="77777777" w:rsidR="006D3E4A" w:rsidRPr="006270FD" w:rsidRDefault="006D3E4A" w:rsidP="0070102D">
            <w:pPr>
              <w:suppressAutoHyphens/>
              <w:spacing w:after="0"/>
              <w:jc w:val="center"/>
              <w:rPr>
                <w:b/>
                <w:sz w:val="18"/>
                <w:lang w:eastAsia="zh-CN"/>
              </w:rPr>
            </w:pPr>
            <w:r w:rsidRPr="006270FD">
              <w:rPr>
                <w:b/>
                <w:sz w:val="18"/>
                <w:lang w:eastAsia="zh-CN"/>
              </w:rPr>
              <w:t>N</w:t>
            </w:r>
          </w:p>
        </w:tc>
      </w:tr>
      <w:tr w:rsidR="005545B5" w14:paraId="24A542DC" w14:textId="77777777" w:rsidTr="0070102D">
        <w:tc>
          <w:tcPr>
            <w:tcW w:w="0" w:type="auto"/>
            <w:tcMar>
              <w:top w:w="0" w:type="dxa"/>
              <w:left w:w="20" w:type="dxa"/>
              <w:bottom w:w="0" w:type="dxa"/>
              <w:right w:w="20" w:type="dxa"/>
            </w:tcMar>
          </w:tcPr>
          <w:p w14:paraId="07C8A760"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Youth Work</w:t>
            </w:r>
          </w:p>
        </w:tc>
        <w:tc>
          <w:tcPr>
            <w:tcW w:w="974" w:type="dxa"/>
            <w:tcMar>
              <w:top w:w="0" w:type="dxa"/>
              <w:left w:w="20" w:type="dxa"/>
              <w:bottom w:w="0" w:type="dxa"/>
              <w:right w:w="20" w:type="dxa"/>
            </w:tcMar>
            <w:vAlign w:val="bottom"/>
          </w:tcPr>
          <w:p w14:paraId="37C9CED7"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57</w:t>
            </w:r>
          </w:p>
        </w:tc>
        <w:tc>
          <w:tcPr>
            <w:tcW w:w="747" w:type="dxa"/>
            <w:tcMar>
              <w:top w:w="0" w:type="dxa"/>
              <w:left w:w="20" w:type="dxa"/>
              <w:bottom w:w="0" w:type="dxa"/>
              <w:right w:w="20" w:type="dxa"/>
            </w:tcMar>
            <w:vAlign w:val="center"/>
          </w:tcPr>
          <w:p w14:paraId="5410D416"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7</w:t>
            </w:r>
          </w:p>
        </w:tc>
      </w:tr>
      <w:tr w:rsidR="005545B5" w14:paraId="41FC05B5" w14:textId="77777777" w:rsidTr="0070102D">
        <w:tc>
          <w:tcPr>
            <w:tcW w:w="0" w:type="auto"/>
            <w:tcMar>
              <w:top w:w="0" w:type="dxa"/>
              <w:left w:w="20" w:type="dxa"/>
              <w:bottom w:w="0" w:type="dxa"/>
              <w:right w:w="20" w:type="dxa"/>
            </w:tcMar>
          </w:tcPr>
          <w:p w14:paraId="7302B6DA"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Children's Services</w:t>
            </w:r>
          </w:p>
        </w:tc>
        <w:tc>
          <w:tcPr>
            <w:tcW w:w="974" w:type="dxa"/>
            <w:tcMar>
              <w:top w:w="0" w:type="dxa"/>
              <w:left w:w="20" w:type="dxa"/>
              <w:bottom w:w="0" w:type="dxa"/>
              <w:right w:w="20" w:type="dxa"/>
            </w:tcMar>
            <w:vAlign w:val="bottom"/>
          </w:tcPr>
          <w:p w14:paraId="4A2DCD98"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50</w:t>
            </w:r>
          </w:p>
        </w:tc>
        <w:tc>
          <w:tcPr>
            <w:tcW w:w="747" w:type="dxa"/>
            <w:tcMar>
              <w:top w:w="0" w:type="dxa"/>
              <w:left w:w="20" w:type="dxa"/>
              <w:bottom w:w="0" w:type="dxa"/>
              <w:right w:w="20" w:type="dxa"/>
            </w:tcMar>
            <w:vAlign w:val="center"/>
          </w:tcPr>
          <w:p w14:paraId="5A35188F"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12</w:t>
            </w:r>
          </w:p>
        </w:tc>
      </w:tr>
      <w:tr w:rsidR="005545B5" w14:paraId="3CDCDEC4" w14:textId="77777777" w:rsidTr="0070102D">
        <w:tc>
          <w:tcPr>
            <w:tcW w:w="0" w:type="auto"/>
            <w:tcMar>
              <w:top w:w="0" w:type="dxa"/>
              <w:left w:w="20" w:type="dxa"/>
              <w:bottom w:w="0" w:type="dxa"/>
              <w:right w:w="20" w:type="dxa"/>
            </w:tcMar>
          </w:tcPr>
          <w:p w14:paraId="7C73CFD6"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Hospitality Operations</w:t>
            </w:r>
          </w:p>
        </w:tc>
        <w:tc>
          <w:tcPr>
            <w:tcW w:w="974" w:type="dxa"/>
            <w:tcMar>
              <w:top w:w="0" w:type="dxa"/>
              <w:left w:w="20" w:type="dxa"/>
              <w:bottom w:w="0" w:type="dxa"/>
              <w:right w:w="20" w:type="dxa"/>
            </w:tcMar>
            <w:vAlign w:val="bottom"/>
          </w:tcPr>
          <w:p w14:paraId="01F931D8"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50</w:t>
            </w:r>
          </w:p>
        </w:tc>
        <w:tc>
          <w:tcPr>
            <w:tcW w:w="747" w:type="dxa"/>
            <w:tcMar>
              <w:top w:w="0" w:type="dxa"/>
              <w:left w:w="20" w:type="dxa"/>
              <w:bottom w:w="0" w:type="dxa"/>
              <w:right w:w="20" w:type="dxa"/>
            </w:tcMar>
            <w:vAlign w:val="center"/>
          </w:tcPr>
          <w:p w14:paraId="4FF9CA90"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4</w:t>
            </w:r>
          </w:p>
        </w:tc>
      </w:tr>
      <w:tr w:rsidR="005545B5" w14:paraId="69C23920" w14:textId="77777777" w:rsidTr="0070102D">
        <w:tc>
          <w:tcPr>
            <w:tcW w:w="0" w:type="auto"/>
            <w:tcMar>
              <w:top w:w="0" w:type="dxa"/>
              <w:left w:w="20" w:type="dxa"/>
              <w:bottom w:w="0" w:type="dxa"/>
              <w:right w:w="20" w:type="dxa"/>
            </w:tcMar>
          </w:tcPr>
          <w:p w14:paraId="005AD7A1"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Home and Community Care/Aged Care</w:t>
            </w:r>
          </w:p>
        </w:tc>
        <w:tc>
          <w:tcPr>
            <w:tcW w:w="974" w:type="dxa"/>
            <w:tcMar>
              <w:top w:w="0" w:type="dxa"/>
              <w:left w:w="20" w:type="dxa"/>
              <w:bottom w:w="0" w:type="dxa"/>
              <w:right w:w="20" w:type="dxa"/>
            </w:tcMar>
            <w:vAlign w:val="bottom"/>
          </w:tcPr>
          <w:p w14:paraId="380EE779"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50</w:t>
            </w:r>
          </w:p>
        </w:tc>
        <w:tc>
          <w:tcPr>
            <w:tcW w:w="747" w:type="dxa"/>
            <w:tcMar>
              <w:top w:w="0" w:type="dxa"/>
              <w:left w:w="20" w:type="dxa"/>
              <w:bottom w:w="0" w:type="dxa"/>
              <w:right w:w="20" w:type="dxa"/>
            </w:tcMar>
            <w:vAlign w:val="center"/>
          </w:tcPr>
          <w:p w14:paraId="2ED2D856"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2</w:t>
            </w:r>
          </w:p>
        </w:tc>
      </w:tr>
      <w:tr w:rsidR="005545B5" w14:paraId="264A85C5" w14:textId="77777777" w:rsidTr="0070102D">
        <w:tc>
          <w:tcPr>
            <w:tcW w:w="0" w:type="auto"/>
            <w:tcMar>
              <w:top w:w="0" w:type="dxa"/>
              <w:left w:w="20" w:type="dxa"/>
              <w:bottom w:w="0" w:type="dxa"/>
              <w:right w:w="20" w:type="dxa"/>
            </w:tcMar>
          </w:tcPr>
          <w:p w14:paraId="5B167151"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Mechanical Trade (Fitting &amp; Machining)</w:t>
            </w:r>
          </w:p>
        </w:tc>
        <w:tc>
          <w:tcPr>
            <w:tcW w:w="974" w:type="dxa"/>
            <w:tcMar>
              <w:top w:w="0" w:type="dxa"/>
              <w:left w:w="20" w:type="dxa"/>
              <w:bottom w:w="0" w:type="dxa"/>
              <w:right w:w="20" w:type="dxa"/>
            </w:tcMar>
            <w:vAlign w:val="bottom"/>
          </w:tcPr>
          <w:p w14:paraId="07061176"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40</w:t>
            </w:r>
          </w:p>
        </w:tc>
        <w:tc>
          <w:tcPr>
            <w:tcW w:w="747" w:type="dxa"/>
            <w:tcMar>
              <w:top w:w="0" w:type="dxa"/>
              <w:left w:w="20" w:type="dxa"/>
              <w:bottom w:w="0" w:type="dxa"/>
              <w:right w:w="20" w:type="dxa"/>
            </w:tcMar>
            <w:vAlign w:val="center"/>
          </w:tcPr>
          <w:p w14:paraId="0ED897F7"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10</w:t>
            </w:r>
          </w:p>
        </w:tc>
      </w:tr>
      <w:tr w:rsidR="005545B5" w14:paraId="70DD57B6" w14:textId="77777777" w:rsidTr="0070102D">
        <w:tc>
          <w:tcPr>
            <w:tcW w:w="0" w:type="auto"/>
            <w:tcMar>
              <w:top w:w="0" w:type="dxa"/>
              <w:left w:w="20" w:type="dxa"/>
              <w:bottom w:w="0" w:type="dxa"/>
              <w:right w:w="20" w:type="dxa"/>
            </w:tcMar>
          </w:tcPr>
          <w:p w14:paraId="13FAA266"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Fabrication Trade</w:t>
            </w:r>
          </w:p>
        </w:tc>
        <w:tc>
          <w:tcPr>
            <w:tcW w:w="974" w:type="dxa"/>
            <w:tcMar>
              <w:top w:w="0" w:type="dxa"/>
              <w:left w:w="20" w:type="dxa"/>
              <w:bottom w:w="0" w:type="dxa"/>
              <w:right w:w="20" w:type="dxa"/>
            </w:tcMar>
            <w:vAlign w:val="bottom"/>
          </w:tcPr>
          <w:p w14:paraId="1134CFA4"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40</w:t>
            </w:r>
          </w:p>
        </w:tc>
        <w:tc>
          <w:tcPr>
            <w:tcW w:w="747" w:type="dxa"/>
            <w:tcMar>
              <w:top w:w="0" w:type="dxa"/>
              <w:left w:w="20" w:type="dxa"/>
              <w:bottom w:w="0" w:type="dxa"/>
              <w:right w:w="20" w:type="dxa"/>
            </w:tcMar>
            <w:vAlign w:val="center"/>
          </w:tcPr>
          <w:p w14:paraId="320E7CFA"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5</w:t>
            </w:r>
          </w:p>
        </w:tc>
      </w:tr>
      <w:tr w:rsidR="005545B5" w14:paraId="61804D30" w14:textId="77777777" w:rsidTr="0070102D">
        <w:tc>
          <w:tcPr>
            <w:tcW w:w="0" w:type="auto"/>
            <w:tcMar>
              <w:top w:w="0" w:type="dxa"/>
              <w:left w:w="20" w:type="dxa"/>
              <w:bottom w:w="0" w:type="dxa"/>
              <w:right w:w="20" w:type="dxa"/>
            </w:tcMar>
          </w:tcPr>
          <w:p w14:paraId="767AD999"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Tourism</w:t>
            </w:r>
          </w:p>
        </w:tc>
        <w:tc>
          <w:tcPr>
            <w:tcW w:w="974" w:type="dxa"/>
            <w:tcMar>
              <w:top w:w="0" w:type="dxa"/>
              <w:left w:w="20" w:type="dxa"/>
              <w:bottom w:w="0" w:type="dxa"/>
              <w:right w:w="20" w:type="dxa"/>
            </w:tcMar>
            <w:vAlign w:val="bottom"/>
          </w:tcPr>
          <w:p w14:paraId="61FAC5C8"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33</w:t>
            </w:r>
          </w:p>
        </w:tc>
        <w:tc>
          <w:tcPr>
            <w:tcW w:w="747" w:type="dxa"/>
            <w:tcMar>
              <w:top w:w="0" w:type="dxa"/>
              <w:left w:w="20" w:type="dxa"/>
              <w:bottom w:w="0" w:type="dxa"/>
              <w:right w:w="20" w:type="dxa"/>
            </w:tcMar>
            <w:vAlign w:val="center"/>
          </w:tcPr>
          <w:p w14:paraId="6C826597"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9</w:t>
            </w:r>
          </w:p>
        </w:tc>
      </w:tr>
      <w:tr w:rsidR="005545B5" w14:paraId="643D475D" w14:textId="77777777" w:rsidTr="0070102D">
        <w:tc>
          <w:tcPr>
            <w:tcW w:w="0" w:type="auto"/>
            <w:tcMar>
              <w:top w:w="0" w:type="dxa"/>
              <w:left w:w="20" w:type="dxa"/>
              <w:bottom w:w="0" w:type="dxa"/>
              <w:right w:w="20" w:type="dxa"/>
            </w:tcMar>
          </w:tcPr>
          <w:p w14:paraId="121E03AE"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Community Services Work</w:t>
            </w:r>
          </w:p>
        </w:tc>
        <w:tc>
          <w:tcPr>
            <w:tcW w:w="974" w:type="dxa"/>
            <w:tcMar>
              <w:top w:w="0" w:type="dxa"/>
              <w:left w:w="20" w:type="dxa"/>
              <w:bottom w:w="0" w:type="dxa"/>
              <w:right w:w="20" w:type="dxa"/>
            </w:tcMar>
            <w:vAlign w:val="bottom"/>
          </w:tcPr>
          <w:p w14:paraId="247FEA80"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33</w:t>
            </w:r>
          </w:p>
        </w:tc>
        <w:tc>
          <w:tcPr>
            <w:tcW w:w="747" w:type="dxa"/>
            <w:tcMar>
              <w:top w:w="0" w:type="dxa"/>
              <w:left w:w="20" w:type="dxa"/>
              <w:bottom w:w="0" w:type="dxa"/>
              <w:right w:w="20" w:type="dxa"/>
            </w:tcMar>
            <w:vAlign w:val="center"/>
          </w:tcPr>
          <w:p w14:paraId="5A54047E"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3</w:t>
            </w:r>
          </w:p>
        </w:tc>
      </w:tr>
      <w:tr w:rsidR="005545B5" w14:paraId="43BB08D8" w14:textId="77777777" w:rsidTr="0070102D">
        <w:tc>
          <w:tcPr>
            <w:tcW w:w="0" w:type="auto"/>
            <w:tcMar>
              <w:top w:w="0" w:type="dxa"/>
              <w:left w:w="20" w:type="dxa"/>
              <w:bottom w:w="0" w:type="dxa"/>
              <w:right w:w="20" w:type="dxa"/>
            </w:tcMar>
          </w:tcPr>
          <w:p w14:paraId="1DE7A2B7"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Hospitality Supervision</w:t>
            </w:r>
          </w:p>
        </w:tc>
        <w:tc>
          <w:tcPr>
            <w:tcW w:w="974" w:type="dxa"/>
            <w:tcMar>
              <w:top w:w="0" w:type="dxa"/>
              <w:left w:w="20" w:type="dxa"/>
              <w:bottom w:w="0" w:type="dxa"/>
              <w:right w:w="20" w:type="dxa"/>
            </w:tcMar>
            <w:vAlign w:val="bottom"/>
          </w:tcPr>
          <w:p w14:paraId="5A59F77B"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29</w:t>
            </w:r>
          </w:p>
        </w:tc>
        <w:tc>
          <w:tcPr>
            <w:tcW w:w="747" w:type="dxa"/>
            <w:tcMar>
              <w:top w:w="0" w:type="dxa"/>
              <w:left w:w="20" w:type="dxa"/>
              <w:bottom w:w="0" w:type="dxa"/>
              <w:right w:w="20" w:type="dxa"/>
            </w:tcMar>
            <w:vAlign w:val="center"/>
          </w:tcPr>
          <w:p w14:paraId="487821F1"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7</w:t>
            </w:r>
          </w:p>
        </w:tc>
      </w:tr>
      <w:tr w:rsidR="005545B5" w14:paraId="54557BE4" w14:textId="77777777" w:rsidTr="0070102D">
        <w:tc>
          <w:tcPr>
            <w:tcW w:w="0" w:type="auto"/>
            <w:tcMar>
              <w:top w:w="0" w:type="dxa"/>
              <w:left w:w="20" w:type="dxa"/>
              <w:bottom w:w="0" w:type="dxa"/>
              <w:right w:w="20" w:type="dxa"/>
            </w:tcMar>
          </w:tcPr>
          <w:p w14:paraId="794F2EB1"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Carpentry</w:t>
            </w:r>
          </w:p>
        </w:tc>
        <w:tc>
          <w:tcPr>
            <w:tcW w:w="974" w:type="dxa"/>
            <w:tcMar>
              <w:top w:w="0" w:type="dxa"/>
              <w:left w:w="20" w:type="dxa"/>
              <w:bottom w:w="0" w:type="dxa"/>
              <w:right w:w="20" w:type="dxa"/>
            </w:tcMar>
            <w:vAlign w:val="bottom"/>
          </w:tcPr>
          <w:p w14:paraId="6DBF2F8A"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10</w:t>
            </w:r>
          </w:p>
        </w:tc>
        <w:tc>
          <w:tcPr>
            <w:tcW w:w="747" w:type="dxa"/>
            <w:tcMar>
              <w:top w:w="0" w:type="dxa"/>
              <w:left w:w="20" w:type="dxa"/>
              <w:bottom w:w="0" w:type="dxa"/>
              <w:right w:w="20" w:type="dxa"/>
            </w:tcMar>
            <w:vAlign w:val="center"/>
          </w:tcPr>
          <w:p w14:paraId="5A8FA90F" w14:textId="77777777" w:rsidR="006D3E4A" w:rsidRPr="006270FD" w:rsidRDefault="006D3E4A" w:rsidP="0070102D">
            <w:pPr>
              <w:spacing w:before="20" w:after="20"/>
              <w:jc w:val="center"/>
              <w:rPr>
                <w:rFonts w:cs="Arial"/>
                <w:color w:val="000000"/>
                <w:sz w:val="18"/>
                <w:lang w:eastAsia="en-AU"/>
              </w:rPr>
            </w:pPr>
            <w:r w:rsidRPr="006270FD">
              <w:rPr>
                <w:rFonts w:cs="Arial"/>
                <w:color w:val="000000"/>
                <w:sz w:val="18"/>
                <w:lang w:eastAsia="en-AU"/>
              </w:rPr>
              <w:t>10</w:t>
            </w:r>
          </w:p>
        </w:tc>
      </w:tr>
      <w:tr w:rsidR="005545B5" w:rsidRPr="0070102D" w14:paraId="6A18232C" w14:textId="77777777" w:rsidTr="0070102D">
        <w:tc>
          <w:tcPr>
            <w:tcW w:w="0" w:type="auto"/>
            <w:shd w:val="clear" w:color="auto" w:fill="E2EFD9" w:themeFill="accent6" w:themeFillTint="33"/>
            <w:tcMar>
              <w:top w:w="0" w:type="dxa"/>
              <w:left w:w="20" w:type="dxa"/>
              <w:bottom w:w="0" w:type="dxa"/>
              <w:right w:w="20" w:type="dxa"/>
            </w:tcMar>
            <w:vAlign w:val="bottom"/>
          </w:tcPr>
          <w:p w14:paraId="6E7EB2B1" w14:textId="77777777" w:rsidR="006D3E4A" w:rsidRPr="0070102D" w:rsidRDefault="00D059A3" w:rsidP="00236AF0">
            <w:pPr>
              <w:spacing w:before="20" w:after="20"/>
              <w:rPr>
                <w:rFonts w:cs="Arial"/>
                <w:b/>
                <w:color w:val="000000"/>
                <w:sz w:val="18"/>
                <w:lang w:eastAsia="en-AU"/>
              </w:rPr>
            </w:pPr>
            <w:r w:rsidRPr="0070102D">
              <w:rPr>
                <w:rFonts w:cs="Arial"/>
                <w:b/>
                <w:color w:val="000000"/>
                <w:sz w:val="18"/>
                <w:lang w:eastAsia="en-AU"/>
              </w:rPr>
              <w:t>Average/total</w:t>
            </w:r>
          </w:p>
        </w:tc>
        <w:tc>
          <w:tcPr>
            <w:tcW w:w="974" w:type="dxa"/>
            <w:shd w:val="clear" w:color="auto" w:fill="E2EFD9" w:themeFill="accent6" w:themeFillTint="33"/>
            <w:tcMar>
              <w:top w:w="0" w:type="dxa"/>
              <w:left w:w="20" w:type="dxa"/>
              <w:bottom w:w="0" w:type="dxa"/>
              <w:right w:w="20" w:type="dxa"/>
            </w:tcMar>
            <w:vAlign w:val="bottom"/>
          </w:tcPr>
          <w:p w14:paraId="0D9A1A7A" w14:textId="77777777" w:rsidR="006D3E4A" w:rsidRPr="0070102D" w:rsidRDefault="006D3E4A" w:rsidP="0070102D">
            <w:pPr>
              <w:spacing w:before="20" w:after="20"/>
              <w:jc w:val="center"/>
              <w:rPr>
                <w:rFonts w:cs="Arial"/>
                <w:b/>
                <w:color w:val="000000"/>
                <w:sz w:val="18"/>
                <w:lang w:eastAsia="en-AU"/>
              </w:rPr>
            </w:pPr>
            <w:r w:rsidRPr="0070102D">
              <w:rPr>
                <w:rFonts w:cs="Arial"/>
                <w:b/>
                <w:color w:val="000000"/>
                <w:sz w:val="18"/>
                <w:lang w:eastAsia="en-AU"/>
              </w:rPr>
              <w:t>27</w:t>
            </w:r>
          </w:p>
        </w:tc>
        <w:tc>
          <w:tcPr>
            <w:tcW w:w="747" w:type="dxa"/>
            <w:shd w:val="clear" w:color="auto" w:fill="E2EFD9" w:themeFill="accent6" w:themeFillTint="33"/>
            <w:tcMar>
              <w:top w:w="0" w:type="dxa"/>
              <w:left w:w="20" w:type="dxa"/>
              <w:bottom w:w="0" w:type="dxa"/>
              <w:right w:w="20" w:type="dxa"/>
            </w:tcMar>
            <w:vAlign w:val="center"/>
          </w:tcPr>
          <w:p w14:paraId="6BF67CA1" w14:textId="77777777" w:rsidR="006D3E4A" w:rsidRPr="0070102D" w:rsidRDefault="006D3E4A" w:rsidP="0070102D">
            <w:pPr>
              <w:spacing w:before="20" w:after="20"/>
              <w:jc w:val="center"/>
              <w:rPr>
                <w:rFonts w:cs="Arial"/>
                <w:b/>
                <w:color w:val="000000"/>
                <w:sz w:val="18"/>
                <w:lang w:eastAsia="en-AU"/>
              </w:rPr>
            </w:pPr>
            <w:r w:rsidRPr="0070102D">
              <w:rPr>
                <w:rFonts w:cs="Arial"/>
                <w:b/>
                <w:color w:val="000000"/>
                <w:sz w:val="18"/>
                <w:lang w:eastAsia="en-AU"/>
              </w:rPr>
              <w:t>96</w:t>
            </w:r>
          </w:p>
        </w:tc>
      </w:tr>
    </w:tbl>
    <w:p w14:paraId="3B0A4466" w14:textId="58E8C983" w:rsidR="006D3E4A" w:rsidRPr="00FB3195" w:rsidRDefault="0070102D" w:rsidP="006D3E4A">
      <w:pPr>
        <w:spacing w:before="120"/>
        <w:rPr>
          <w:lang w:eastAsia="zh-CN"/>
        </w:rPr>
      </w:pPr>
      <w:r>
        <w:rPr>
          <w:lang w:eastAsia="zh-CN"/>
        </w:rPr>
        <w:br/>
      </w:r>
      <w:r w:rsidR="006D3E4A" w:rsidRPr="00FB3195">
        <w:rPr>
          <w:lang w:eastAsia="zh-CN"/>
        </w:rPr>
        <w:t xml:space="preserve">PNG and Fiji have the highest proportion of total graduates not working now (19 and 18 per cent respectively). If those graduates still working with the same employer are excluded, the proportion of graduates not working increases to 38 per cent in Fiji and 33 per cent in PNG. The proportion not in work in Solomon Islands is 10 per cent and </w:t>
      </w:r>
      <w:r w:rsidR="004833EB" w:rsidRPr="00FB3195">
        <w:rPr>
          <w:lang w:eastAsia="zh-CN"/>
        </w:rPr>
        <w:t>8</w:t>
      </w:r>
      <w:r w:rsidR="004833EB">
        <w:rPr>
          <w:lang w:eastAsia="zh-CN"/>
        </w:rPr>
        <w:t> </w:t>
      </w:r>
      <w:r w:rsidR="006D3E4A" w:rsidRPr="00FB3195">
        <w:rPr>
          <w:lang w:eastAsia="zh-CN"/>
        </w:rPr>
        <w:t xml:space="preserve">per cent in Samoa. All graduates who responded from Vanuatu are now working. </w:t>
      </w:r>
    </w:p>
    <w:p w14:paraId="13EEC8BC" w14:textId="77777777" w:rsidR="003D355F" w:rsidRDefault="001968BE" w:rsidP="002028A6">
      <w:pPr>
        <w:pStyle w:val="Heading2"/>
      </w:pPr>
      <w:bookmarkStart w:id="476" w:name="_Toc274145093"/>
      <w:bookmarkStart w:id="477" w:name="_Toc274900477"/>
      <w:bookmarkStart w:id="478" w:name="_Toc274909856"/>
      <w:bookmarkStart w:id="479" w:name="_Toc278447872"/>
      <w:bookmarkStart w:id="480" w:name="_Toc278453345"/>
      <w:r>
        <w:t>2.2</w:t>
      </w:r>
      <w:r>
        <w:tab/>
      </w:r>
      <w:r w:rsidR="006D3E4A" w:rsidRPr="00FB3195">
        <w:t>Skills match</w:t>
      </w:r>
      <w:bookmarkEnd w:id="476"/>
      <w:bookmarkEnd w:id="477"/>
      <w:bookmarkEnd w:id="478"/>
      <w:bookmarkEnd w:id="479"/>
      <w:bookmarkEnd w:id="480"/>
    </w:p>
    <w:p w14:paraId="4A97994E" w14:textId="77777777" w:rsidR="006D3E4A" w:rsidRPr="00FB3195" w:rsidRDefault="006D3E4A" w:rsidP="006D3E4A">
      <w:pPr>
        <w:spacing w:before="120"/>
        <w:rPr>
          <w:lang w:eastAsia="zh-CN"/>
        </w:rPr>
      </w:pPr>
      <w:r w:rsidRPr="00FB3195">
        <w:rPr>
          <w:lang w:eastAsia="zh-CN"/>
        </w:rPr>
        <w:t xml:space="preserve">All graduates with the same employer say they are working in the same field as their qualification. </w:t>
      </w:r>
      <w:r w:rsidR="004833EB">
        <w:rPr>
          <w:lang w:eastAsia="zh-CN"/>
        </w:rPr>
        <w:t>F</w:t>
      </w:r>
      <w:r w:rsidRPr="00FB3195">
        <w:rPr>
          <w:lang w:eastAsia="zh-CN"/>
        </w:rPr>
        <w:t>or graduates not with the same employer, over four-in-five (</w:t>
      </w:r>
      <w:r w:rsidR="004833EB" w:rsidRPr="00FB3195">
        <w:rPr>
          <w:lang w:eastAsia="zh-CN"/>
        </w:rPr>
        <w:t>83</w:t>
      </w:r>
      <w:r w:rsidR="004833EB">
        <w:rPr>
          <w:lang w:eastAsia="zh-CN"/>
        </w:rPr>
        <w:t> </w:t>
      </w:r>
      <w:r w:rsidRPr="00FB3195">
        <w:rPr>
          <w:lang w:eastAsia="zh-CN"/>
        </w:rPr>
        <w:t xml:space="preserve">per cent) are working in the same field as their qualification. </w:t>
      </w:r>
    </w:p>
    <w:p w14:paraId="466CE1DA" w14:textId="77777777" w:rsidR="00525FA2" w:rsidRDefault="00525FA2">
      <w:pPr>
        <w:spacing w:after="0"/>
        <w:rPr>
          <w:rFonts w:cs="Arial"/>
          <w:b/>
          <w:bCs/>
          <w:color w:val="76923C"/>
          <w:szCs w:val="28"/>
        </w:rPr>
      </w:pPr>
      <w:bookmarkStart w:id="481" w:name="_Toc274145094"/>
      <w:bookmarkStart w:id="482" w:name="_Toc274900478"/>
      <w:bookmarkStart w:id="483" w:name="_Toc274909857"/>
      <w:bookmarkStart w:id="484" w:name="_Toc278447873"/>
      <w:bookmarkStart w:id="485" w:name="_Toc278453346"/>
      <w:r>
        <w:br w:type="page"/>
      </w:r>
    </w:p>
    <w:p w14:paraId="34E12A57" w14:textId="78934FE4" w:rsidR="003D355F" w:rsidRDefault="001968BE" w:rsidP="002028A6">
      <w:pPr>
        <w:pStyle w:val="Heading2"/>
      </w:pPr>
      <w:r>
        <w:t>2.3</w:t>
      </w:r>
      <w:r>
        <w:tab/>
      </w:r>
      <w:r w:rsidR="006D3E4A" w:rsidRPr="00FB3195">
        <w:t>Source of funds to study at APTC and adequacy of allowance</w:t>
      </w:r>
      <w:bookmarkEnd w:id="481"/>
      <w:bookmarkEnd w:id="482"/>
      <w:bookmarkEnd w:id="483"/>
      <w:bookmarkEnd w:id="484"/>
      <w:bookmarkEnd w:id="485"/>
    </w:p>
    <w:p w14:paraId="3D221FC0" w14:textId="77777777" w:rsidR="006D3E4A" w:rsidRPr="00FB3195" w:rsidRDefault="006D3E4A" w:rsidP="006D3E4A">
      <w:pPr>
        <w:spacing w:before="120"/>
        <w:rPr>
          <w:lang w:eastAsia="zh-CN"/>
        </w:rPr>
      </w:pPr>
      <w:r w:rsidRPr="00FB3195">
        <w:rPr>
          <w:lang w:eastAsia="zh-CN"/>
        </w:rPr>
        <w:t xml:space="preserve">Only 5 per cent of APTC graduates who met the review team were solely sponsored by an employer. A small number of graduates were supported by their employer in addition to their APTC scholarship. Close to six-out-of-ten APTC graduates said their allowance was enough to live on always or most of the time, with a third saying it was enough to live on some of the time and 7 per cent saying none of the time. One-in-ten male graduates said that their allowance was not enough to live on. However, in open-ended responses to a question about your greatest difficulty at APTC, only five responses referred to the allowance as their greatest difficulty. </w:t>
      </w:r>
    </w:p>
    <w:p w14:paraId="6128E1EA" w14:textId="77777777" w:rsidR="003D355F" w:rsidRDefault="001968BE" w:rsidP="002028A6">
      <w:pPr>
        <w:pStyle w:val="Heading2"/>
      </w:pPr>
      <w:bookmarkStart w:id="486" w:name="_Toc274145095"/>
      <w:bookmarkStart w:id="487" w:name="_Toc274900479"/>
      <w:bookmarkStart w:id="488" w:name="_Toc274909858"/>
      <w:bookmarkStart w:id="489" w:name="_Toc278447874"/>
      <w:bookmarkStart w:id="490" w:name="_Toc278453347"/>
      <w:r>
        <w:t>2.4</w:t>
      </w:r>
      <w:r>
        <w:tab/>
      </w:r>
      <w:r w:rsidR="006D3E4A" w:rsidRPr="00FB3195">
        <w:t>How satisfied are graduates with APTC?</w:t>
      </w:r>
      <w:bookmarkEnd w:id="486"/>
      <w:bookmarkEnd w:id="487"/>
      <w:bookmarkEnd w:id="488"/>
      <w:bookmarkEnd w:id="489"/>
      <w:bookmarkEnd w:id="490"/>
    </w:p>
    <w:p w14:paraId="786FADB0" w14:textId="77777777" w:rsidR="006D3E4A" w:rsidRPr="00FB3195" w:rsidRDefault="006D3E4A" w:rsidP="006D3E4A">
      <w:pPr>
        <w:spacing w:before="120"/>
        <w:rPr>
          <w:lang w:eastAsia="zh-CN"/>
        </w:rPr>
      </w:pPr>
      <w:r w:rsidRPr="00FB3195">
        <w:rPr>
          <w:lang w:eastAsia="zh-CN"/>
        </w:rPr>
        <w:t xml:space="preserve">Nearly all APTC graduates surveyed by the review team say they are satisfied with what they learnt at APTC. Two-thirds of the graduates say they are very satisfied. Only 2 per cent of graduates are not satisfied and 4 per cent are neutral. There is only a small difference in levels of satisfaction between graduates in work and not now in work, with the latter slightly less likely to be very satisfied (60 </w:t>
      </w:r>
      <w:r w:rsidR="00193EE4">
        <w:rPr>
          <w:lang w:eastAsia="zh-CN"/>
        </w:rPr>
        <w:t xml:space="preserve">per cent </w:t>
      </w:r>
      <w:r w:rsidRPr="00FB3195">
        <w:rPr>
          <w:lang w:eastAsia="zh-CN"/>
        </w:rPr>
        <w:t xml:space="preserve">compared with 67 per cent). </w:t>
      </w:r>
    </w:p>
    <w:p w14:paraId="6F67376A" w14:textId="77777777" w:rsidR="006D3E4A" w:rsidRPr="00FB3195" w:rsidRDefault="006D3E4A" w:rsidP="006D3E4A">
      <w:pPr>
        <w:spacing w:before="120"/>
        <w:rPr>
          <w:lang w:eastAsia="zh-CN"/>
        </w:rPr>
      </w:pPr>
      <w:r w:rsidRPr="00FB3195">
        <w:rPr>
          <w:lang w:eastAsia="zh-CN"/>
        </w:rPr>
        <w:t xml:space="preserve">In response to a question about the aspect they liked best about the training at APTC, 123 respondents gave a response. Five categories of responses were identified. Near to half of the responses related to training content, one-in-four related to the trainers, one-in-ten mentioned training delivered to Australian standards and one-in-ten mentioned the equipment or tools they were able to use. Only two per cent of the responses mentioned work placements as the aspect they liked best about their training at APTC. </w:t>
      </w:r>
    </w:p>
    <w:p w14:paraId="65C5CEB9" w14:textId="5A214422" w:rsidR="006D3E4A" w:rsidRPr="00FB3195" w:rsidRDefault="006D3E4A" w:rsidP="006D3E4A">
      <w:pPr>
        <w:spacing w:before="120"/>
        <w:rPr>
          <w:lang w:eastAsia="zh-CN"/>
        </w:rPr>
      </w:pPr>
      <w:r w:rsidRPr="00FB3195">
        <w:rPr>
          <w:lang w:eastAsia="zh-CN"/>
        </w:rPr>
        <w:t>Graduates were asked to say if anything disappointed them about their time at APTC. Only 53 responses from 174 respondents were received. Of these responses, about half (47 per cent) were related to the time to learn being too short. In response to comments about what graduates liked least about APTC training, a pattern was harder to identify. The most common response was also that the time for the training was too short. In response to a ‘What was your greatest difficulty at APTC?’, 71 responses were received. Of these</w:t>
      </w:r>
      <w:r w:rsidR="00B236B5">
        <w:rPr>
          <w:lang w:eastAsia="zh-CN"/>
        </w:rPr>
        <w:t>,</w:t>
      </w:r>
      <w:r w:rsidRPr="00FB3195">
        <w:rPr>
          <w:lang w:eastAsia="zh-CN"/>
        </w:rPr>
        <w:t xml:space="preserve"> the two most important set of difficulties related to time available for the course and study problems, with each accounting for 31 per cent of responses. Being away from home and coping with different cultures, accessing and learning how to use computers</w:t>
      </w:r>
      <w:r w:rsidR="00525FA2">
        <w:rPr>
          <w:lang w:eastAsia="zh-CN"/>
        </w:rPr>
        <w:t>,</w:t>
      </w:r>
      <w:r w:rsidRPr="00FB3195">
        <w:rPr>
          <w:lang w:eastAsia="zh-CN"/>
        </w:rPr>
        <w:t xml:space="preserve"> and coping with the level of English required were other difficulties mentioned. </w:t>
      </w:r>
    </w:p>
    <w:p w14:paraId="70987ABA" w14:textId="77777777" w:rsidR="006D3E4A" w:rsidRPr="00FB3195" w:rsidRDefault="006D3E4A" w:rsidP="006D3E4A">
      <w:pPr>
        <w:spacing w:before="120"/>
        <w:rPr>
          <w:lang w:eastAsia="zh-CN"/>
        </w:rPr>
      </w:pPr>
      <w:r w:rsidRPr="00FB3195">
        <w:rPr>
          <w:lang w:eastAsia="zh-CN"/>
        </w:rPr>
        <w:t>Nine-out-of-ten APTC graduates rated their work experience as satisfactory</w:t>
      </w:r>
      <w:r w:rsidR="000A3A38">
        <w:rPr>
          <w:lang w:eastAsia="zh-CN"/>
        </w:rPr>
        <w:t>,</w:t>
      </w:r>
      <w:r w:rsidRPr="00FB3195">
        <w:rPr>
          <w:lang w:eastAsia="zh-CN"/>
        </w:rPr>
        <w:t xml:space="preserve"> with over half (54 per cent) rating it as very satisfactory. The same proportion of APTC graduates also rated as satisfactory the personal support they needed on their work experience, with 56 per cent rating it as very satisfactory. In response to the question ‘Did the APTC provide the help you wanted to help you learn’, 72 per cent of APTC graduates rated this help as very satisfactory, with a further 22 per cent rating it as satisfactory. </w:t>
      </w:r>
    </w:p>
    <w:p w14:paraId="24A92483" w14:textId="77777777" w:rsidR="006D3E4A" w:rsidRPr="00FB3195" w:rsidRDefault="006D3E4A" w:rsidP="006D3E4A">
      <w:pPr>
        <w:spacing w:before="120"/>
        <w:rPr>
          <w:lang w:eastAsia="zh-CN"/>
        </w:rPr>
      </w:pPr>
      <w:r w:rsidRPr="00FB3195">
        <w:rPr>
          <w:lang w:eastAsia="zh-CN"/>
        </w:rPr>
        <w:t xml:space="preserve">In response to the question ‘Did APTC tell you about what options you had for further study’, 57 per cent of APTC graduates said yes, 34 per cent said no and 9 per cent did not answer. </w:t>
      </w:r>
    </w:p>
    <w:p w14:paraId="07EA81A5" w14:textId="77777777" w:rsidR="003D355F" w:rsidRDefault="00EC4BD7" w:rsidP="002028A6">
      <w:pPr>
        <w:pStyle w:val="Heading2"/>
      </w:pPr>
      <w:bookmarkStart w:id="491" w:name="_Toc274145096"/>
      <w:bookmarkStart w:id="492" w:name="_Toc274900480"/>
      <w:bookmarkStart w:id="493" w:name="_Toc274909859"/>
      <w:bookmarkStart w:id="494" w:name="_Toc278447875"/>
      <w:bookmarkStart w:id="495" w:name="_Toc278453348"/>
      <w:r>
        <w:t>2.5</w:t>
      </w:r>
      <w:r>
        <w:tab/>
      </w:r>
      <w:r w:rsidR="006D3E4A" w:rsidRPr="00FB3195">
        <w:t>Suggestions for improvement</w:t>
      </w:r>
      <w:bookmarkEnd w:id="491"/>
      <w:bookmarkEnd w:id="492"/>
      <w:bookmarkEnd w:id="493"/>
      <w:bookmarkEnd w:id="494"/>
      <w:bookmarkEnd w:id="495"/>
    </w:p>
    <w:p w14:paraId="4A7C586E" w14:textId="6FABCF99" w:rsidR="006D3E4A" w:rsidRPr="00FB3195" w:rsidRDefault="006D3E4A" w:rsidP="006D3E4A">
      <w:pPr>
        <w:spacing w:before="120"/>
        <w:rPr>
          <w:lang w:eastAsia="zh-CN"/>
        </w:rPr>
      </w:pPr>
      <w:r w:rsidRPr="00FB3195">
        <w:rPr>
          <w:lang w:eastAsia="zh-CN"/>
        </w:rPr>
        <w:t>Respondents were invited to suggest changes to improve APTC. The suggestions offered were open-ended and were coded into four categories. Four-out-of-five APTC graduates gave a response. Half of the responses related directly to suggestions for improvement to APTC itself and one-in-four related to requests for the opportunity to obtain higher qualifications or more training. However, over one</w:t>
      </w:r>
      <w:r w:rsidR="002D6E43">
        <w:rPr>
          <w:lang w:eastAsia="zh-CN"/>
        </w:rPr>
        <w:t>-</w:t>
      </w:r>
      <w:r w:rsidRPr="00FB3195">
        <w:rPr>
          <w:lang w:eastAsia="zh-CN"/>
        </w:rPr>
        <w:t>third of the responses (37 per cent) related to requests for help to find work and one-in-five comments (21</w:t>
      </w:r>
      <w:r w:rsidR="001F569F">
        <w:rPr>
          <w:lang w:eastAsia="zh-CN"/>
        </w:rPr>
        <w:t> </w:t>
      </w:r>
      <w:r w:rsidRPr="00FB3195">
        <w:rPr>
          <w:lang w:eastAsia="zh-CN"/>
        </w:rPr>
        <w:t>per</w:t>
      </w:r>
      <w:r w:rsidR="001F569F">
        <w:rPr>
          <w:lang w:eastAsia="zh-CN"/>
        </w:rPr>
        <w:t> </w:t>
      </w:r>
      <w:r w:rsidRPr="00FB3195">
        <w:rPr>
          <w:lang w:eastAsia="zh-CN"/>
        </w:rPr>
        <w:t xml:space="preserve">cent) related specifically to a request for help to find work overseas, usually in Australia. </w:t>
      </w:r>
    </w:p>
    <w:p w14:paraId="1F59445C" w14:textId="77777777" w:rsidR="003D355F" w:rsidRDefault="00EC4BD7" w:rsidP="002028A6">
      <w:pPr>
        <w:pStyle w:val="Heading2"/>
      </w:pPr>
      <w:bookmarkStart w:id="496" w:name="_Toc274145097"/>
      <w:bookmarkStart w:id="497" w:name="_Toc274900481"/>
      <w:bookmarkStart w:id="498" w:name="_Toc274909860"/>
      <w:bookmarkStart w:id="499" w:name="_Toc278447876"/>
      <w:bookmarkStart w:id="500" w:name="_Toc278453349"/>
      <w:r>
        <w:t>2.6</w:t>
      </w:r>
      <w:r>
        <w:tab/>
      </w:r>
      <w:r w:rsidR="006D3E4A" w:rsidRPr="00FB3195">
        <w:t>Wage and other benefits from APTC qualification</w:t>
      </w:r>
      <w:bookmarkEnd w:id="496"/>
      <w:bookmarkEnd w:id="497"/>
      <w:bookmarkEnd w:id="498"/>
      <w:bookmarkEnd w:id="499"/>
      <w:bookmarkEnd w:id="500"/>
    </w:p>
    <w:p w14:paraId="3EA05371" w14:textId="77777777" w:rsidR="006D3E4A" w:rsidRPr="00FB3195" w:rsidRDefault="006D3E4A" w:rsidP="006D3E4A">
      <w:pPr>
        <w:spacing w:before="120"/>
        <w:rPr>
          <w:lang w:eastAsia="zh-CN"/>
        </w:rPr>
      </w:pPr>
      <w:r w:rsidRPr="00FB3195">
        <w:rPr>
          <w:lang w:eastAsia="zh-CN"/>
        </w:rPr>
        <w:t xml:space="preserve">Three-in-four graduates in work (73 per cent) said their wage had increased since graduating. The proportion was higher for male graduates (78 per cent) compared with female graduates (66 per cent). Two-thirds of APTC graduates in work also mentioned receiving other benefits as well.  </w:t>
      </w:r>
    </w:p>
    <w:p w14:paraId="27ADDD9C" w14:textId="77777777" w:rsidR="003D355F" w:rsidRDefault="00EC4BD7" w:rsidP="002028A6">
      <w:pPr>
        <w:pStyle w:val="Heading2"/>
      </w:pPr>
      <w:bookmarkStart w:id="501" w:name="_Toc274145098"/>
      <w:bookmarkStart w:id="502" w:name="_Toc274900482"/>
      <w:bookmarkStart w:id="503" w:name="_Toc274909861"/>
      <w:bookmarkStart w:id="504" w:name="_Toc278447877"/>
      <w:bookmarkStart w:id="505" w:name="_Toc278453350"/>
      <w:r>
        <w:t>2.7</w:t>
      </w:r>
      <w:r>
        <w:tab/>
      </w:r>
      <w:r w:rsidR="006D3E4A" w:rsidRPr="00FB3195">
        <w:t>APTC contact after graduation</w:t>
      </w:r>
      <w:bookmarkEnd w:id="501"/>
      <w:bookmarkEnd w:id="502"/>
      <w:bookmarkEnd w:id="503"/>
      <w:bookmarkEnd w:id="504"/>
      <w:bookmarkEnd w:id="505"/>
    </w:p>
    <w:p w14:paraId="541B6F0E" w14:textId="77777777" w:rsidR="006D3E4A" w:rsidRPr="00FB3195" w:rsidRDefault="006D3E4A" w:rsidP="006D3E4A">
      <w:pPr>
        <w:spacing w:before="120"/>
        <w:rPr>
          <w:lang w:eastAsia="zh-CN"/>
        </w:rPr>
      </w:pPr>
      <w:r w:rsidRPr="00FB3195">
        <w:rPr>
          <w:lang w:eastAsia="zh-CN"/>
        </w:rPr>
        <w:t xml:space="preserve">Six-out-of-ten graduates said that the APTC had contacted them since graduating to find out what </w:t>
      </w:r>
      <w:r w:rsidR="00B16B35">
        <w:rPr>
          <w:lang w:eastAsia="zh-CN"/>
        </w:rPr>
        <w:t>they we</w:t>
      </w:r>
      <w:r w:rsidRPr="00FB3195">
        <w:rPr>
          <w:lang w:eastAsia="zh-CN"/>
        </w:rPr>
        <w:t xml:space="preserve">re doing, a third said they had not been contacted and 8 per cent did not respond to the question. Women graduates were </w:t>
      </w:r>
      <w:r w:rsidR="00B16B35">
        <w:rPr>
          <w:lang w:eastAsia="zh-CN"/>
        </w:rPr>
        <w:t xml:space="preserve">more </w:t>
      </w:r>
      <w:r w:rsidRPr="00FB3195">
        <w:rPr>
          <w:lang w:eastAsia="zh-CN"/>
        </w:rPr>
        <w:t xml:space="preserve">likely to be have been contacted (64 per cent compared with 55 per cent for men). </w:t>
      </w:r>
    </w:p>
    <w:p w14:paraId="3B804D91" w14:textId="77777777" w:rsidR="003D355F" w:rsidRDefault="004B3C98" w:rsidP="002028A6">
      <w:pPr>
        <w:pStyle w:val="Heading2"/>
      </w:pPr>
      <w:bookmarkStart w:id="506" w:name="_Toc274145099"/>
      <w:bookmarkStart w:id="507" w:name="_Toc274900483"/>
      <w:bookmarkStart w:id="508" w:name="_Toc274909862"/>
      <w:bookmarkStart w:id="509" w:name="_Toc278447878"/>
      <w:bookmarkStart w:id="510" w:name="_Toc278453351"/>
      <w:r>
        <w:t>2.8</w:t>
      </w:r>
      <w:r>
        <w:tab/>
      </w:r>
      <w:r w:rsidR="006D3E4A" w:rsidRPr="00FB3195">
        <w:t>Intention to migrate</w:t>
      </w:r>
      <w:bookmarkEnd w:id="506"/>
      <w:bookmarkEnd w:id="507"/>
      <w:bookmarkEnd w:id="508"/>
      <w:bookmarkEnd w:id="509"/>
      <w:bookmarkEnd w:id="510"/>
    </w:p>
    <w:p w14:paraId="442C9994" w14:textId="405CA887" w:rsidR="006D3E4A" w:rsidRPr="00FB3195" w:rsidRDefault="006D3E4A" w:rsidP="006D3E4A">
      <w:pPr>
        <w:spacing w:before="120"/>
        <w:rPr>
          <w:lang w:eastAsia="zh-CN"/>
        </w:rPr>
      </w:pPr>
      <w:r w:rsidRPr="00FB3195">
        <w:rPr>
          <w:lang w:eastAsia="zh-CN"/>
        </w:rPr>
        <w:t xml:space="preserve">Table </w:t>
      </w:r>
      <w:r w:rsidR="00BD7916">
        <w:rPr>
          <w:lang w:eastAsia="zh-CN"/>
        </w:rPr>
        <w:t>5</w:t>
      </w:r>
      <w:r w:rsidRPr="00FB3195">
        <w:rPr>
          <w:lang w:eastAsia="zh-CN"/>
        </w:rPr>
        <w:t xml:space="preserve">.3 below reports the intention of APTC graduates to migrate to other countries for work. Over half of APTC graduates surveyed (54 per cent) are planning to migrate for work to other Pacific countries in the region and another 22 per cent have taken steps to migrate. In relation to Australia, half of the APTC graduates surveyed </w:t>
      </w:r>
      <w:r w:rsidR="002D6E43">
        <w:rPr>
          <w:lang w:eastAsia="zh-CN"/>
        </w:rPr>
        <w:br/>
      </w:r>
      <w:r w:rsidRPr="00FB3195">
        <w:rPr>
          <w:lang w:eastAsia="zh-CN"/>
        </w:rPr>
        <w:t xml:space="preserve">(49 per cent) are planning to migrate for work and </w:t>
      </w:r>
      <w:r w:rsidR="003F7084">
        <w:rPr>
          <w:lang w:eastAsia="zh-CN"/>
        </w:rPr>
        <w:t xml:space="preserve">another </w:t>
      </w:r>
      <w:r w:rsidRPr="00FB3195">
        <w:rPr>
          <w:lang w:eastAsia="zh-CN"/>
        </w:rPr>
        <w:t xml:space="preserve">three-in-ten (29 per cent) have taken steps to migrate. Similar but lower proportions apply to the intentions of APTC graduates to migrate to New Zealand for work. It is worth noting the absence of major differences between women and men graduates in their intention to migrate. </w:t>
      </w:r>
      <w:r w:rsidR="002D6E43">
        <w:rPr>
          <w:lang w:eastAsia="zh-CN"/>
        </w:rPr>
        <w:br/>
      </w:r>
      <w:r w:rsidRPr="00FB3195">
        <w:rPr>
          <w:lang w:eastAsia="zh-CN"/>
        </w:rPr>
        <w:t xml:space="preserve">The </w:t>
      </w:r>
      <w:r w:rsidR="005744AA">
        <w:rPr>
          <w:lang w:eastAsia="zh-CN"/>
        </w:rPr>
        <w:t xml:space="preserve">age group from </w:t>
      </w:r>
      <w:r w:rsidRPr="00FB3195">
        <w:rPr>
          <w:lang w:eastAsia="zh-CN"/>
        </w:rPr>
        <w:t>20</w:t>
      </w:r>
      <w:r w:rsidR="005744AA">
        <w:rPr>
          <w:lang w:eastAsia="zh-CN"/>
        </w:rPr>
        <w:t xml:space="preserve"> to</w:t>
      </w:r>
      <w:r w:rsidR="002D6E43">
        <w:rPr>
          <w:lang w:eastAsia="zh-CN"/>
        </w:rPr>
        <w:t xml:space="preserve"> </w:t>
      </w:r>
      <w:r w:rsidR="00434E07">
        <w:rPr>
          <w:lang w:eastAsia="zh-CN"/>
        </w:rPr>
        <w:t>39 years</w:t>
      </w:r>
      <w:r w:rsidRPr="00FB3195">
        <w:rPr>
          <w:lang w:eastAsia="zh-CN"/>
        </w:rPr>
        <w:t xml:space="preserve"> </w:t>
      </w:r>
      <w:r w:rsidR="00FB6AF0">
        <w:rPr>
          <w:lang w:eastAsia="zh-CN"/>
        </w:rPr>
        <w:t xml:space="preserve">is </w:t>
      </w:r>
      <w:r w:rsidRPr="00FB3195">
        <w:rPr>
          <w:lang w:eastAsia="zh-CN"/>
        </w:rPr>
        <w:t>most likely to say they plan to migrate or have taken steps to, with the 20</w:t>
      </w:r>
      <w:r w:rsidR="00BA13F5">
        <w:rPr>
          <w:lang w:eastAsia="zh-CN"/>
        </w:rPr>
        <w:t>–</w:t>
      </w:r>
      <w:r w:rsidRPr="00FB3195">
        <w:rPr>
          <w:lang w:eastAsia="zh-CN"/>
        </w:rPr>
        <w:t xml:space="preserve">24 year-old age group most wanting to migrate. </w:t>
      </w:r>
    </w:p>
    <w:p w14:paraId="7E0C9DCD" w14:textId="77777777" w:rsidR="006D3E4A" w:rsidRPr="00FB3195" w:rsidRDefault="006D3E4A" w:rsidP="006D3E4A">
      <w:pPr>
        <w:spacing w:before="120"/>
        <w:rPr>
          <w:lang w:eastAsia="zh-CN"/>
        </w:rPr>
      </w:pPr>
      <w:r w:rsidRPr="00FB3195">
        <w:rPr>
          <w:lang w:eastAsia="zh-CN"/>
        </w:rPr>
        <w:t xml:space="preserve">Half (48 per cent) of those planning to migrate for work to Australia or New Zealand said they planned to stay there for over five years, one-in-four for four to five years, and one-in-five for one to three years. In response to the question: </w:t>
      </w:r>
      <w:r w:rsidR="001E06A3">
        <w:rPr>
          <w:lang w:eastAsia="zh-CN"/>
        </w:rPr>
        <w:t>‘</w:t>
      </w:r>
      <w:r w:rsidRPr="00FB3195">
        <w:rPr>
          <w:lang w:eastAsia="zh-CN"/>
        </w:rPr>
        <w:t>Did APTC help you to find out how to migrate for work</w:t>
      </w:r>
      <w:r w:rsidR="001E06A3">
        <w:rPr>
          <w:lang w:eastAsia="zh-CN"/>
        </w:rPr>
        <w:t>’</w:t>
      </w:r>
      <w:r w:rsidRPr="00FB3195">
        <w:rPr>
          <w:lang w:eastAsia="zh-CN"/>
        </w:rPr>
        <w:t xml:space="preserve">, only one-in-ten APTC graduates (9 per cent) said they had received information from APTC. </w:t>
      </w:r>
    </w:p>
    <w:p w14:paraId="450EB5E9" w14:textId="77777777" w:rsidR="006D3E4A" w:rsidRPr="00FB3195" w:rsidRDefault="006D3E4A" w:rsidP="006D3E4A">
      <w:pPr>
        <w:spacing w:before="120"/>
        <w:rPr>
          <w:lang w:eastAsia="zh-CN"/>
        </w:rPr>
      </w:pPr>
      <w:r w:rsidRPr="00FB3195">
        <w:rPr>
          <w:lang w:eastAsia="zh-CN"/>
        </w:rPr>
        <w:t xml:space="preserve">APTC graduates from Fiji are most likely to have taken the steps to migrate. In the case of migration to Australia, half (50 per cent) of APTC graduates from Fiji had taken steps to migrate and more than a third (36 per cent) were planning to. APTC graduates from Fiji have a lower level of interest in migrating to New Zealand, with only one-in-five having taken steps to and two-in-five planning to do so. APTC graduates from Fiji who want to migrate for work are much more likely (77 per cent) to say they plan to work abroad for over five years compared with graduates from other countries.  </w:t>
      </w:r>
    </w:p>
    <w:p w14:paraId="60658FF9" w14:textId="29F284C1" w:rsidR="006D3E4A" w:rsidRPr="006270FD" w:rsidRDefault="006D3E4A" w:rsidP="006D3E4A">
      <w:pPr>
        <w:rPr>
          <w:lang w:eastAsia="zh-CN"/>
        </w:rPr>
      </w:pPr>
      <w:r w:rsidRPr="00FB3195">
        <w:rPr>
          <w:lang w:eastAsia="zh-CN"/>
        </w:rPr>
        <w:t xml:space="preserve">For Solomon Islands, two-in-five APTC graduates (40 per cent) had taken steps to migrate to Australia and three-in-five (60 per cent) planned to. The interest in New Zealand is a little less, with one-in-five taking steps to migrate there and two-in-three planning to. More than half (53 per cent) of Solomon Islands graduates who want to migrate for work </w:t>
      </w:r>
      <w:r w:rsidR="002D6E43">
        <w:rPr>
          <w:lang w:eastAsia="zh-CN"/>
        </w:rPr>
        <w:t>would like</w:t>
      </w:r>
      <w:r w:rsidRPr="00FB3195">
        <w:rPr>
          <w:lang w:eastAsia="zh-CN"/>
        </w:rPr>
        <w:t xml:space="preserve"> to do so for more than five years.  </w:t>
      </w:r>
    </w:p>
    <w:p w14:paraId="2D048642" w14:textId="77777777" w:rsidR="00FA0A95" w:rsidRDefault="00FA0A95">
      <w:pPr>
        <w:spacing w:after="0"/>
        <w:rPr>
          <w:rFonts w:cs="Arial"/>
          <w:b/>
          <w:color w:val="76923C"/>
          <w:szCs w:val="22"/>
          <w:lang w:eastAsia="zh-CN"/>
        </w:rPr>
      </w:pPr>
      <w:bookmarkStart w:id="511" w:name="_Toc274146472"/>
      <w:bookmarkStart w:id="512" w:name="_Toc274915931"/>
      <w:bookmarkStart w:id="513" w:name="_Toc278446911"/>
      <w:r>
        <w:rPr>
          <w:lang w:eastAsia="zh-CN"/>
        </w:rPr>
        <w:br w:type="page"/>
      </w:r>
    </w:p>
    <w:p w14:paraId="3351259D" w14:textId="184F15D0" w:rsidR="006D3E4A" w:rsidRPr="00FB3195" w:rsidRDefault="006D3E4A" w:rsidP="006270FD">
      <w:pPr>
        <w:pStyle w:val="Tableheading"/>
        <w:rPr>
          <w:lang w:eastAsia="zh-CN"/>
        </w:rPr>
      </w:pPr>
      <w:r>
        <w:rPr>
          <w:lang w:eastAsia="zh-CN"/>
        </w:rPr>
        <w:t>Table 5</w:t>
      </w:r>
      <w:r w:rsidRPr="00FB3195">
        <w:rPr>
          <w:lang w:eastAsia="zh-CN"/>
        </w:rPr>
        <w:t xml:space="preserve">.3: Plans of APTC graduates to migrate to other Pacific countries </w:t>
      </w:r>
      <w:r w:rsidR="00605F05">
        <w:rPr>
          <w:lang w:eastAsia="zh-CN"/>
        </w:rPr>
        <w:br/>
      </w:r>
      <w:r w:rsidRPr="00FB3195">
        <w:rPr>
          <w:lang w:eastAsia="zh-CN"/>
        </w:rPr>
        <w:t>in the region, Australia or New Zealand, females, males and total</w:t>
      </w:r>
      <w:r w:rsidR="009C62CF">
        <w:rPr>
          <w:lang w:eastAsia="zh-CN"/>
        </w:rPr>
        <w:t xml:space="preserve"> (%)</w:t>
      </w:r>
      <w:bookmarkEnd w:id="511"/>
      <w:bookmarkEnd w:id="512"/>
      <w:bookmarkEnd w:id="513"/>
    </w:p>
    <w:tbl>
      <w:tblPr>
        <w:tblW w:w="0" w:type="auto"/>
        <w:tblInd w:w="108" w:type="dxa"/>
        <w:tblCellMar>
          <w:left w:w="10" w:type="dxa"/>
          <w:right w:w="10" w:type="dxa"/>
        </w:tblCellMar>
        <w:tblLook w:val="04A0" w:firstRow="1" w:lastRow="0" w:firstColumn="1" w:lastColumn="0" w:noHBand="0" w:noVBand="1"/>
      </w:tblPr>
      <w:tblGrid>
        <w:gridCol w:w="3740"/>
        <w:gridCol w:w="1134"/>
        <w:gridCol w:w="992"/>
        <w:gridCol w:w="850"/>
      </w:tblGrid>
      <w:tr w:rsidR="0070102D" w:rsidRPr="006270FD" w14:paraId="0AF6E6FC" w14:textId="77777777" w:rsidTr="0070102D">
        <w:tc>
          <w:tcPr>
            <w:tcW w:w="3740" w:type="dxa"/>
            <w:shd w:val="clear" w:color="000000" w:fill="C5E0B3" w:themeFill="accent6" w:themeFillTint="66"/>
            <w:tcMar>
              <w:top w:w="0" w:type="dxa"/>
              <w:left w:w="20" w:type="dxa"/>
              <w:bottom w:w="0" w:type="dxa"/>
              <w:right w:w="20" w:type="dxa"/>
            </w:tcMar>
            <w:vAlign w:val="bottom"/>
          </w:tcPr>
          <w:p w14:paraId="4B1CCFED" w14:textId="77777777" w:rsidR="006D3E4A" w:rsidRPr="006270FD" w:rsidRDefault="006D3E4A" w:rsidP="00236AF0">
            <w:pPr>
              <w:spacing w:after="0"/>
              <w:rPr>
                <w:b/>
                <w:sz w:val="18"/>
                <w:lang w:eastAsia="zh-CN"/>
              </w:rPr>
            </w:pPr>
            <w:r w:rsidRPr="006270FD">
              <w:rPr>
                <w:b/>
                <w:bCs/>
                <w:sz w:val="18"/>
                <w:lang w:eastAsia="zh-CN"/>
              </w:rPr>
              <w:t>Plans to migrate for work to other Pacific countries in the region?</w:t>
            </w:r>
          </w:p>
        </w:tc>
        <w:tc>
          <w:tcPr>
            <w:tcW w:w="1134" w:type="dxa"/>
            <w:shd w:val="clear" w:color="000000" w:fill="C5E0B3" w:themeFill="accent6" w:themeFillTint="66"/>
            <w:tcMar>
              <w:top w:w="0" w:type="dxa"/>
              <w:left w:w="20" w:type="dxa"/>
              <w:bottom w:w="0" w:type="dxa"/>
              <w:right w:w="20" w:type="dxa"/>
            </w:tcMar>
            <w:vAlign w:val="center"/>
          </w:tcPr>
          <w:p w14:paraId="2B619369" w14:textId="77777777" w:rsidR="006D3E4A" w:rsidRPr="006270FD" w:rsidRDefault="006D3E4A" w:rsidP="00323020">
            <w:pPr>
              <w:suppressAutoHyphens/>
              <w:spacing w:after="0"/>
              <w:jc w:val="right"/>
              <w:rPr>
                <w:b/>
                <w:sz w:val="18"/>
                <w:lang w:eastAsia="zh-CN"/>
              </w:rPr>
            </w:pPr>
            <w:r w:rsidRPr="006270FD">
              <w:rPr>
                <w:b/>
                <w:sz w:val="18"/>
                <w:lang w:eastAsia="zh-CN"/>
              </w:rPr>
              <w:t>Female</w:t>
            </w:r>
          </w:p>
        </w:tc>
        <w:tc>
          <w:tcPr>
            <w:tcW w:w="992" w:type="dxa"/>
            <w:shd w:val="clear" w:color="000000" w:fill="C5E0B3" w:themeFill="accent6" w:themeFillTint="66"/>
            <w:tcMar>
              <w:top w:w="0" w:type="dxa"/>
              <w:left w:w="20" w:type="dxa"/>
              <w:bottom w:w="0" w:type="dxa"/>
              <w:right w:w="20" w:type="dxa"/>
            </w:tcMar>
            <w:vAlign w:val="center"/>
          </w:tcPr>
          <w:p w14:paraId="5960F497" w14:textId="77777777" w:rsidR="006D3E4A" w:rsidRPr="006270FD" w:rsidRDefault="006D3E4A" w:rsidP="00323020">
            <w:pPr>
              <w:suppressAutoHyphens/>
              <w:spacing w:after="0"/>
              <w:jc w:val="right"/>
              <w:rPr>
                <w:b/>
                <w:sz w:val="18"/>
                <w:lang w:eastAsia="zh-CN"/>
              </w:rPr>
            </w:pPr>
            <w:r w:rsidRPr="006270FD">
              <w:rPr>
                <w:b/>
                <w:sz w:val="18"/>
                <w:lang w:eastAsia="zh-CN"/>
              </w:rPr>
              <w:t>Male</w:t>
            </w:r>
          </w:p>
        </w:tc>
        <w:tc>
          <w:tcPr>
            <w:tcW w:w="850" w:type="dxa"/>
            <w:shd w:val="clear" w:color="000000" w:fill="C5E0B3" w:themeFill="accent6" w:themeFillTint="66"/>
            <w:tcMar>
              <w:top w:w="0" w:type="dxa"/>
              <w:left w:w="20" w:type="dxa"/>
              <w:bottom w:w="0" w:type="dxa"/>
              <w:right w:w="20" w:type="dxa"/>
            </w:tcMar>
            <w:vAlign w:val="center"/>
          </w:tcPr>
          <w:p w14:paraId="77942FB3" w14:textId="77777777" w:rsidR="006D3E4A" w:rsidRPr="006270FD" w:rsidRDefault="006D3E4A" w:rsidP="00323020">
            <w:pPr>
              <w:suppressAutoHyphens/>
              <w:spacing w:after="0"/>
              <w:jc w:val="right"/>
              <w:rPr>
                <w:b/>
                <w:sz w:val="18"/>
                <w:lang w:eastAsia="zh-CN"/>
              </w:rPr>
            </w:pPr>
            <w:r w:rsidRPr="006270FD">
              <w:rPr>
                <w:b/>
                <w:sz w:val="18"/>
                <w:lang w:eastAsia="zh-CN"/>
              </w:rPr>
              <w:t>Total</w:t>
            </w:r>
          </w:p>
        </w:tc>
      </w:tr>
      <w:tr w:rsidR="0070102D" w:rsidRPr="006270FD" w14:paraId="26BEC1EF" w14:textId="77777777" w:rsidTr="0070102D">
        <w:tc>
          <w:tcPr>
            <w:tcW w:w="3740" w:type="dxa"/>
            <w:tcMar>
              <w:top w:w="0" w:type="dxa"/>
              <w:left w:w="20" w:type="dxa"/>
              <w:bottom w:w="0" w:type="dxa"/>
              <w:right w:w="20" w:type="dxa"/>
            </w:tcMar>
          </w:tcPr>
          <w:p w14:paraId="3D07F5E3"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No plans at all</w:t>
            </w:r>
          </w:p>
        </w:tc>
        <w:tc>
          <w:tcPr>
            <w:tcW w:w="1134" w:type="dxa"/>
            <w:tcMar>
              <w:top w:w="0" w:type="dxa"/>
              <w:left w:w="20" w:type="dxa"/>
              <w:bottom w:w="0" w:type="dxa"/>
              <w:right w:w="20" w:type="dxa"/>
            </w:tcMar>
            <w:vAlign w:val="bottom"/>
          </w:tcPr>
          <w:p w14:paraId="7570E2F9"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4</w:t>
            </w:r>
          </w:p>
        </w:tc>
        <w:tc>
          <w:tcPr>
            <w:tcW w:w="992" w:type="dxa"/>
            <w:tcMar>
              <w:top w:w="0" w:type="dxa"/>
              <w:left w:w="20" w:type="dxa"/>
              <w:bottom w:w="0" w:type="dxa"/>
              <w:right w:w="20" w:type="dxa"/>
            </w:tcMar>
            <w:vAlign w:val="bottom"/>
          </w:tcPr>
          <w:p w14:paraId="06C05EAD"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13</w:t>
            </w:r>
          </w:p>
        </w:tc>
        <w:tc>
          <w:tcPr>
            <w:tcW w:w="850" w:type="dxa"/>
            <w:tcMar>
              <w:top w:w="0" w:type="dxa"/>
              <w:left w:w="20" w:type="dxa"/>
              <w:bottom w:w="0" w:type="dxa"/>
              <w:right w:w="20" w:type="dxa"/>
            </w:tcMar>
            <w:vAlign w:val="bottom"/>
          </w:tcPr>
          <w:p w14:paraId="1CFCBBD6"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9</w:t>
            </w:r>
          </w:p>
        </w:tc>
      </w:tr>
      <w:tr w:rsidR="0070102D" w:rsidRPr="006270FD" w14:paraId="3F6EA099" w14:textId="77777777" w:rsidTr="0070102D">
        <w:tc>
          <w:tcPr>
            <w:tcW w:w="3740" w:type="dxa"/>
            <w:tcMar>
              <w:top w:w="0" w:type="dxa"/>
              <w:left w:w="20" w:type="dxa"/>
              <w:bottom w:w="0" w:type="dxa"/>
              <w:right w:w="20" w:type="dxa"/>
            </w:tcMar>
          </w:tcPr>
          <w:p w14:paraId="7F22A258"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Not planning to now</w:t>
            </w:r>
          </w:p>
        </w:tc>
        <w:tc>
          <w:tcPr>
            <w:tcW w:w="1134" w:type="dxa"/>
            <w:tcMar>
              <w:top w:w="0" w:type="dxa"/>
              <w:left w:w="20" w:type="dxa"/>
              <w:bottom w:w="0" w:type="dxa"/>
              <w:right w:w="20" w:type="dxa"/>
            </w:tcMar>
            <w:vAlign w:val="bottom"/>
          </w:tcPr>
          <w:p w14:paraId="6EBB16D5"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9</w:t>
            </w:r>
          </w:p>
        </w:tc>
        <w:tc>
          <w:tcPr>
            <w:tcW w:w="992" w:type="dxa"/>
            <w:tcMar>
              <w:top w:w="0" w:type="dxa"/>
              <w:left w:w="20" w:type="dxa"/>
              <w:bottom w:w="0" w:type="dxa"/>
              <w:right w:w="20" w:type="dxa"/>
            </w:tcMar>
            <w:vAlign w:val="bottom"/>
          </w:tcPr>
          <w:p w14:paraId="1A67D5CE"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6</w:t>
            </w:r>
          </w:p>
        </w:tc>
        <w:tc>
          <w:tcPr>
            <w:tcW w:w="850" w:type="dxa"/>
            <w:tcMar>
              <w:top w:w="0" w:type="dxa"/>
              <w:left w:w="20" w:type="dxa"/>
              <w:bottom w:w="0" w:type="dxa"/>
              <w:right w:w="20" w:type="dxa"/>
            </w:tcMar>
            <w:vAlign w:val="bottom"/>
          </w:tcPr>
          <w:p w14:paraId="1C81ED05"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8</w:t>
            </w:r>
          </w:p>
        </w:tc>
      </w:tr>
      <w:tr w:rsidR="0070102D" w:rsidRPr="006270FD" w14:paraId="4FF5BE15" w14:textId="77777777" w:rsidTr="0070102D">
        <w:tc>
          <w:tcPr>
            <w:tcW w:w="3740" w:type="dxa"/>
            <w:tcMar>
              <w:top w:w="0" w:type="dxa"/>
              <w:left w:w="20" w:type="dxa"/>
              <w:bottom w:w="0" w:type="dxa"/>
              <w:right w:w="20" w:type="dxa"/>
            </w:tcMar>
          </w:tcPr>
          <w:p w14:paraId="1213E7E0"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Neutral</w:t>
            </w:r>
          </w:p>
        </w:tc>
        <w:tc>
          <w:tcPr>
            <w:tcW w:w="1134" w:type="dxa"/>
            <w:tcMar>
              <w:top w:w="0" w:type="dxa"/>
              <w:left w:w="20" w:type="dxa"/>
              <w:bottom w:w="0" w:type="dxa"/>
              <w:right w:w="20" w:type="dxa"/>
            </w:tcMar>
            <w:vAlign w:val="bottom"/>
          </w:tcPr>
          <w:p w14:paraId="20B32B22"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11</w:t>
            </w:r>
          </w:p>
        </w:tc>
        <w:tc>
          <w:tcPr>
            <w:tcW w:w="992" w:type="dxa"/>
            <w:tcMar>
              <w:top w:w="0" w:type="dxa"/>
              <w:left w:w="20" w:type="dxa"/>
              <w:bottom w:w="0" w:type="dxa"/>
              <w:right w:w="20" w:type="dxa"/>
            </w:tcMar>
            <w:vAlign w:val="bottom"/>
          </w:tcPr>
          <w:p w14:paraId="148A7805"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6</w:t>
            </w:r>
          </w:p>
        </w:tc>
        <w:tc>
          <w:tcPr>
            <w:tcW w:w="850" w:type="dxa"/>
            <w:tcMar>
              <w:top w:w="0" w:type="dxa"/>
              <w:left w:w="20" w:type="dxa"/>
              <w:bottom w:w="0" w:type="dxa"/>
              <w:right w:w="20" w:type="dxa"/>
            </w:tcMar>
            <w:vAlign w:val="bottom"/>
          </w:tcPr>
          <w:p w14:paraId="1F2B01EE"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8</w:t>
            </w:r>
          </w:p>
        </w:tc>
      </w:tr>
      <w:tr w:rsidR="0070102D" w:rsidRPr="006270FD" w14:paraId="39093F43" w14:textId="77777777" w:rsidTr="0070102D">
        <w:tc>
          <w:tcPr>
            <w:tcW w:w="3740" w:type="dxa"/>
            <w:tcMar>
              <w:top w:w="0" w:type="dxa"/>
              <w:left w:w="20" w:type="dxa"/>
              <w:bottom w:w="0" w:type="dxa"/>
              <w:right w:w="20" w:type="dxa"/>
            </w:tcMar>
          </w:tcPr>
          <w:p w14:paraId="218A156E"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I am planning to</w:t>
            </w:r>
          </w:p>
        </w:tc>
        <w:tc>
          <w:tcPr>
            <w:tcW w:w="1134" w:type="dxa"/>
            <w:tcMar>
              <w:top w:w="0" w:type="dxa"/>
              <w:left w:w="20" w:type="dxa"/>
              <w:bottom w:w="0" w:type="dxa"/>
              <w:right w:w="20" w:type="dxa"/>
            </w:tcMar>
            <w:vAlign w:val="bottom"/>
          </w:tcPr>
          <w:p w14:paraId="4964E2B8"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54</w:t>
            </w:r>
          </w:p>
        </w:tc>
        <w:tc>
          <w:tcPr>
            <w:tcW w:w="992" w:type="dxa"/>
            <w:tcMar>
              <w:top w:w="0" w:type="dxa"/>
              <w:left w:w="20" w:type="dxa"/>
              <w:bottom w:w="0" w:type="dxa"/>
              <w:right w:w="20" w:type="dxa"/>
            </w:tcMar>
            <w:vAlign w:val="bottom"/>
          </w:tcPr>
          <w:p w14:paraId="3E5A8ACE"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52</w:t>
            </w:r>
          </w:p>
        </w:tc>
        <w:tc>
          <w:tcPr>
            <w:tcW w:w="850" w:type="dxa"/>
            <w:tcMar>
              <w:top w:w="0" w:type="dxa"/>
              <w:left w:w="20" w:type="dxa"/>
              <w:bottom w:w="0" w:type="dxa"/>
              <w:right w:w="20" w:type="dxa"/>
            </w:tcMar>
            <w:vAlign w:val="bottom"/>
          </w:tcPr>
          <w:p w14:paraId="328BD222"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53</w:t>
            </w:r>
          </w:p>
        </w:tc>
      </w:tr>
      <w:tr w:rsidR="0070102D" w:rsidRPr="006270FD" w14:paraId="65CE4167" w14:textId="77777777" w:rsidTr="0070102D">
        <w:tc>
          <w:tcPr>
            <w:tcW w:w="3740" w:type="dxa"/>
            <w:tcMar>
              <w:top w:w="0" w:type="dxa"/>
              <w:left w:w="20" w:type="dxa"/>
              <w:bottom w:w="0" w:type="dxa"/>
              <w:right w:w="20" w:type="dxa"/>
            </w:tcMar>
          </w:tcPr>
          <w:p w14:paraId="32CCD02C"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Have taken steps to migrate</w:t>
            </w:r>
          </w:p>
        </w:tc>
        <w:tc>
          <w:tcPr>
            <w:tcW w:w="1134" w:type="dxa"/>
            <w:tcMar>
              <w:top w:w="0" w:type="dxa"/>
              <w:left w:w="20" w:type="dxa"/>
              <w:bottom w:w="0" w:type="dxa"/>
              <w:right w:w="20" w:type="dxa"/>
            </w:tcMar>
            <w:vAlign w:val="bottom"/>
          </w:tcPr>
          <w:p w14:paraId="765AF1DC"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22</w:t>
            </w:r>
          </w:p>
        </w:tc>
        <w:tc>
          <w:tcPr>
            <w:tcW w:w="992" w:type="dxa"/>
            <w:tcMar>
              <w:top w:w="0" w:type="dxa"/>
              <w:left w:w="20" w:type="dxa"/>
              <w:bottom w:w="0" w:type="dxa"/>
              <w:right w:w="20" w:type="dxa"/>
            </w:tcMar>
            <w:vAlign w:val="bottom"/>
          </w:tcPr>
          <w:p w14:paraId="19FD88E0"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23</w:t>
            </w:r>
          </w:p>
        </w:tc>
        <w:tc>
          <w:tcPr>
            <w:tcW w:w="850" w:type="dxa"/>
            <w:tcMar>
              <w:top w:w="0" w:type="dxa"/>
              <w:left w:w="20" w:type="dxa"/>
              <w:bottom w:w="0" w:type="dxa"/>
              <w:right w:w="20" w:type="dxa"/>
            </w:tcMar>
            <w:vAlign w:val="bottom"/>
          </w:tcPr>
          <w:p w14:paraId="2E78A7E8"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22</w:t>
            </w:r>
          </w:p>
        </w:tc>
      </w:tr>
      <w:tr w:rsidR="0070102D" w:rsidRPr="006270FD" w14:paraId="0BF57F58" w14:textId="77777777" w:rsidTr="0070102D">
        <w:tc>
          <w:tcPr>
            <w:tcW w:w="3740" w:type="dxa"/>
            <w:tcBorders>
              <w:bottom w:val="single" w:sz="4" w:space="0" w:color="A8D08D" w:themeColor="accent6" w:themeTint="99"/>
            </w:tcBorders>
            <w:tcMar>
              <w:top w:w="0" w:type="dxa"/>
              <w:left w:w="20" w:type="dxa"/>
              <w:bottom w:w="0" w:type="dxa"/>
              <w:right w:w="20" w:type="dxa"/>
            </w:tcMar>
          </w:tcPr>
          <w:p w14:paraId="34AFE941"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Total</w:t>
            </w:r>
          </w:p>
        </w:tc>
        <w:tc>
          <w:tcPr>
            <w:tcW w:w="1134" w:type="dxa"/>
            <w:tcBorders>
              <w:bottom w:val="single" w:sz="4" w:space="0" w:color="A8D08D" w:themeColor="accent6" w:themeTint="99"/>
            </w:tcBorders>
            <w:tcMar>
              <w:top w:w="0" w:type="dxa"/>
              <w:left w:w="20" w:type="dxa"/>
              <w:bottom w:w="0" w:type="dxa"/>
              <w:right w:w="20" w:type="dxa"/>
            </w:tcMar>
            <w:vAlign w:val="bottom"/>
          </w:tcPr>
          <w:p w14:paraId="5B943E79"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100</w:t>
            </w:r>
          </w:p>
        </w:tc>
        <w:tc>
          <w:tcPr>
            <w:tcW w:w="992" w:type="dxa"/>
            <w:tcBorders>
              <w:bottom w:val="single" w:sz="4" w:space="0" w:color="A8D08D" w:themeColor="accent6" w:themeTint="99"/>
            </w:tcBorders>
            <w:tcMar>
              <w:top w:w="0" w:type="dxa"/>
              <w:left w:w="20" w:type="dxa"/>
              <w:bottom w:w="0" w:type="dxa"/>
              <w:right w:w="20" w:type="dxa"/>
            </w:tcMar>
            <w:vAlign w:val="bottom"/>
          </w:tcPr>
          <w:p w14:paraId="612D9C52"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100</w:t>
            </w:r>
          </w:p>
        </w:tc>
        <w:tc>
          <w:tcPr>
            <w:tcW w:w="850" w:type="dxa"/>
            <w:tcBorders>
              <w:bottom w:val="single" w:sz="4" w:space="0" w:color="A8D08D" w:themeColor="accent6" w:themeTint="99"/>
            </w:tcBorders>
            <w:tcMar>
              <w:top w:w="0" w:type="dxa"/>
              <w:left w:w="20" w:type="dxa"/>
              <w:bottom w:w="0" w:type="dxa"/>
              <w:right w:w="20" w:type="dxa"/>
            </w:tcMar>
            <w:vAlign w:val="bottom"/>
          </w:tcPr>
          <w:p w14:paraId="2DD2D300"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100</w:t>
            </w:r>
          </w:p>
        </w:tc>
      </w:tr>
      <w:tr w:rsidR="0070102D" w:rsidRPr="0070102D" w14:paraId="3B66E5EB" w14:textId="77777777" w:rsidTr="0070102D">
        <w:tc>
          <w:tcPr>
            <w:tcW w:w="3740" w:type="dxa"/>
            <w:tcBorders>
              <w:top w:val="single" w:sz="4" w:space="0" w:color="A8D08D" w:themeColor="accent6" w:themeTint="99"/>
            </w:tcBorders>
            <w:tcMar>
              <w:top w:w="0" w:type="dxa"/>
              <w:left w:w="20" w:type="dxa"/>
              <w:bottom w:w="0" w:type="dxa"/>
              <w:right w:w="20" w:type="dxa"/>
            </w:tcMar>
            <w:vAlign w:val="bottom"/>
          </w:tcPr>
          <w:p w14:paraId="64230C5D" w14:textId="77777777" w:rsidR="006D3E4A" w:rsidRPr="0070102D" w:rsidRDefault="006D3E4A" w:rsidP="00236AF0">
            <w:pPr>
              <w:spacing w:before="20" w:after="20"/>
              <w:rPr>
                <w:rFonts w:cs="Arial"/>
                <w:b/>
                <w:color w:val="000000"/>
                <w:sz w:val="18"/>
                <w:lang w:eastAsia="en-AU"/>
              </w:rPr>
            </w:pPr>
            <w:r w:rsidRPr="0070102D">
              <w:rPr>
                <w:rFonts w:cs="Arial"/>
                <w:b/>
                <w:color w:val="000000"/>
                <w:sz w:val="18"/>
                <w:lang w:eastAsia="en-AU"/>
              </w:rPr>
              <w:t>N</w:t>
            </w:r>
          </w:p>
        </w:tc>
        <w:tc>
          <w:tcPr>
            <w:tcW w:w="1134" w:type="dxa"/>
            <w:tcBorders>
              <w:top w:val="single" w:sz="4" w:space="0" w:color="A8D08D" w:themeColor="accent6" w:themeTint="99"/>
            </w:tcBorders>
            <w:tcMar>
              <w:top w:w="0" w:type="dxa"/>
              <w:left w:w="20" w:type="dxa"/>
              <w:bottom w:w="0" w:type="dxa"/>
              <w:right w:w="20" w:type="dxa"/>
            </w:tcMar>
            <w:vAlign w:val="center"/>
          </w:tcPr>
          <w:p w14:paraId="2F9E2ADF" w14:textId="77777777" w:rsidR="006D3E4A" w:rsidRPr="0070102D" w:rsidRDefault="006D3E4A" w:rsidP="00236AF0">
            <w:pPr>
              <w:spacing w:before="20" w:after="20"/>
              <w:jc w:val="right"/>
              <w:rPr>
                <w:rFonts w:cs="Arial"/>
                <w:b/>
                <w:color w:val="000000"/>
                <w:sz w:val="18"/>
                <w:lang w:eastAsia="en-AU"/>
              </w:rPr>
            </w:pPr>
            <w:r w:rsidRPr="0070102D">
              <w:rPr>
                <w:rFonts w:cs="Arial"/>
                <w:b/>
                <w:color w:val="000000"/>
                <w:sz w:val="18"/>
                <w:lang w:eastAsia="en-AU"/>
              </w:rPr>
              <w:t>74</w:t>
            </w:r>
          </w:p>
        </w:tc>
        <w:tc>
          <w:tcPr>
            <w:tcW w:w="992" w:type="dxa"/>
            <w:tcBorders>
              <w:top w:val="single" w:sz="4" w:space="0" w:color="A8D08D" w:themeColor="accent6" w:themeTint="99"/>
            </w:tcBorders>
            <w:tcMar>
              <w:top w:w="0" w:type="dxa"/>
              <w:left w:w="20" w:type="dxa"/>
              <w:bottom w:w="0" w:type="dxa"/>
              <w:right w:w="20" w:type="dxa"/>
            </w:tcMar>
            <w:vAlign w:val="center"/>
          </w:tcPr>
          <w:p w14:paraId="61DF73BE" w14:textId="77777777" w:rsidR="006D3E4A" w:rsidRPr="0070102D" w:rsidRDefault="006D3E4A" w:rsidP="00236AF0">
            <w:pPr>
              <w:spacing w:before="20" w:after="20"/>
              <w:jc w:val="right"/>
              <w:rPr>
                <w:rFonts w:cs="Arial"/>
                <w:b/>
                <w:color w:val="000000"/>
                <w:sz w:val="18"/>
                <w:lang w:eastAsia="en-AU"/>
              </w:rPr>
            </w:pPr>
            <w:r w:rsidRPr="0070102D">
              <w:rPr>
                <w:rFonts w:cs="Arial"/>
                <w:b/>
                <w:color w:val="000000"/>
                <w:sz w:val="18"/>
                <w:lang w:eastAsia="en-AU"/>
              </w:rPr>
              <w:t>96</w:t>
            </w:r>
          </w:p>
        </w:tc>
        <w:tc>
          <w:tcPr>
            <w:tcW w:w="850" w:type="dxa"/>
            <w:tcBorders>
              <w:top w:val="single" w:sz="4" w:space="0" w:color="A8D08D" w:themeColor="accent6" w:themeTint="99"/>
            </w:tcBorders>
            <w:tcMar>
              <w:top w:w="0" w:type="dxa"/>
              <w:left w:w="20" w:type="dxa"/>
              <w:bottom w:w="0" w:type="dxa"/>
              <w:right w:w="20" w:type="dxa"/>
            </w:tcMar>
            <w:vAlign w:val="center"/>
          </w:tcPr>
          <w:p w14:paraId="54682BD8" w14:textId="77777777" w:rsidR="006D3E4A" w:rsidRPr="0070102D" w:rsidRDefault="006D3E4A" w:rsidP="00236AF0">
            <w:pPr>
              <w:spacing w:before="20" w:after="20"/>
              <w:jc w:val="right"/>
              <w:rPr>
                <w:rFonts w:cs="Arial"/>
                <w:b/>
                <w:color w:val="000000"/>
                <w:sz w:val="18"/>
                <w:lang w:eastAsia="en-AU"/>
              </w:rPr>
            </w:pPr>
            <w:r w:rsidRPr="0070102D">
              <w:rPr>
                <w:rFonts w:cs="Arial"/>
                <w:b/>
                <w:color w:val="000000"/>
                <w:sz w:val="18"/>
                <w:lang w:eastAsia="en-AU"/>
              </w:rPr>
              <w:t>170</w:t>
            </w:r>
          </w:p>
        </w:tc>
      </w:tr>
      <w:tr w:rsidR="0070102D" w:rsidRPr="006270FD" w14:paraId="6E4643E5" w14:textId="77777777" w:rsidTr="0070102D">
        <w:tc>
          <w:tcPr>
            <w:tcW w:w="3740" w:type="dxa"/>
            <w:shd w:val="clear" w:color="000000" w:fill="C5E0B3" w:themeFill="accent6" w:themeFillTint="66"/>
            <w:tcMar>
              <w:top w:w="0" w:type="dxa"/>
              <w:left w:w="20" w:type="dxa"/>
              <w:bottom w:w="0" w:type="dxa"/>
              <w:right w:w="20" w:type="dxa"/>
            </w:tcMar>
            <w:vAlign w:val="bottom"/>
          </w:tcPr>
          <w:p w14:paraId="758F4A26" w14:textId="77777777" w:rsidR="006D3E4A" w:rsidRPr="006270FD" w:rsidRDefault="006D3E4A" w:rsidP="00236AF0">
            <w:pPr>
              <w:spacing w:before="20" w:after="20"/>
              <w:rPr>
                <w:rFonts w:cs="Arial"/>
                <w:b/>
                <w:color w:val="000000"/>
                <w:sz w:val="18"/>
                <w:lang w:eastAsia="en-AU"/>
              </w:rPr>
            </w:pPr>
            <w:r w:rsidRPr="006270FD">
              <w:rPr>
                <w:rFonts w:cs="Arial"/>
                <w:b/>
                <w:bCs/>
                <w:color w:val="000000"/>
                <w:sz w:val="18"/>
                <w:lang w:eastAsia="en-AU"/>
              </w:rPr>
              <w:t>Plans to migrate for work to Australia?</w:t>
            </w:r>
          </w:p>
        </w:tc>
        <w:tc>
          <w:tcPr>
            <w:tcW w:w="1134" w:type="dxa"/>
            <w:shd w:val="clear" w:color="000000" w:fill="C5E0B3" w:themeFill="accent6" w:themeFillTint="66"/>
            <w:tcMar>
              <w:top w:w="0" w:type="dxa"/>
              <w:left w:w="20" w:type="dxa"/>
              <w:bottom w:w="0" w:type="dxa"/>
              <w:right w:w="20" w:type="dxa"/>
            </w:tcMar>
            <w:vAlign w:val="center"/>
          </w:tcPr>
          <w:p w14:paraId="151C9595" w14:textId="77777777" w:rsidR="006D3E4A" w:rsidRPr="006270FD" w:rsidRDefault="006D3E4A" w:rsidP="00323020">
            <w:pPr>
              <w:spacing w:before="20" w:after="20"/>
              <w:jc w:val="right"/>
              <w:rPr>
                <w:rFonts w:cs="Arial"/>
                <w:b/>
                <w:color w:val="000000"/>
                <w:sz w:val="18"/>
                <w:lang w:eastAsia="en-AU"/>
              </w:rPr>
            </w:pPr>
            <w:r w:rsidRPr="006270FD">
              <w:rPr>
                <w:rFonts w:cs="Arial"/>
                <w:b/>
                <w:color w:val="000000"/>
                <w:sz w:val="18"/>
                <w:lang w:eastAsia="en-AU"/>
              </w:rPr>
              <w:t>Female</w:t>
            </w:r>
          </w:p>
        </w:tc>
        <w:tc>
          <w:tcPr>
            <w:tcW w:w="992" w:type="dxa"/>
            <w:shd w:val="clear" w:color="000000" w:fill="C5E0B3" w:themeFill="accent6" w:themeFillTint="66"/>
            <w:tcMar>
              <w:top w:w="0" w:type="dxa"/>
              <w:left w:w="20" w:type="dxa"/>
              <w:bottom w:w="0" w:type="dxa"/>
              <w:right w:w="20" w:type="dxa"/>
            </w:tcMar>
            <w:vAlign w:val="center"/>
          </w:tcPr>
          <w:p w14:paraId="04A33FB0" w14:textId="77777777" w:rsidR="006D3E4A" w:rsidRPr="006270FD" w:rsidRDefault="006D3E4A" w:rsidP="00323020">
            <w:pPr>
              <w:spacing w:before="20" w:after="20"/>
              <w:jc w:val="right"/>
              <w:rPr>
                <w:rFonts w:cs="Arial"/>
                <w:b/>
                <w:color w:val="000000"/>
                <w:sz w:val="18"/>
                <w:lang w:eastAsia="en-AU"/>
              </w:rPr>
            </w:pPr>
            <w:r w:rsidRPr="006270FD">
              <w:rPr>
                <w:rFonts w:cs="Arial"/>
                <w:b/>
                <w:color w:val="000000"/>
                <w:sz w:val="18"/>
                <w:lang w:eastAsia="en-AU"/>
              </w:rPr>
              <w:t>Male</w:t>
            </w:r>
          </w:p>
        </w:tc>
        <w:tc>
          <w:tcPr>
            <w:tcW w:w="850" w:type="dxa"/>
            <w:shd w:val="clear" w:color="000000" w:fill="C5E0B3" w:themeFill="accent6" w:themeFillTint="66"/>
            <w:tcMar>
              <w:top w:w="0" w:type="dxa"/>
              <w:left w:w="20" w:type="dxa"/>
              <w:bottom w:w="0" w:type="dxa"/>
              <w:right w:w="20" w:type="dxa"/>
            </w:tcMar>
            <w:vAlign w:val="center"/>
          </w:tcPr>
          <w:p w14:paraId="05CEEC27" w14:textId="77777777" w:rsidR="006D3E4A" w:rsidRPr="006270FD" w:rsidRDefault="006D3E4A" w:rsidP="00323020">
            <w:pPr>
              <w:spacing w:before="20" w:after="20"/>
              <w:jc w:val="right"/>
              <w:rPr>
                <w:rFonts w:cs="Arial"/>
                <w:b/>
                <w:color w:val="000000"/>
                <w:sz w:val="18"/>
                <w:lang w:eastAsia="en-AU"/>
              </w:rPr>
            </w:pPr>
            <w:r w:rsidRPr="006270FD">
              <w:rPr>
                <w:rFonts w:cs="Arial"/>
                <w:b/>
                <w:color w:val="000000"/>
                <w:sz w:val="18"/>
                <w:lang w:eastAsia="en-AU"/>
              </w:rPr>
              <w:t>Total</w:t>
            </w:r>
          </w:p>
        </w:tc>
      </w:tr>
      <w:tr w:rsidR="0070102D" w:rsidRPr="006270FD" w14:paraId="043C232F" w14:textId="77777777" w:rsidTr="0070102D">
        <w:tc>
          <w:tcPr>
            <w:tcW w:w="3740" w:type="dxa"/>
            <w:tcMar>
              <w:top w:w="0" w:type="dxa"/>
              <w:left w:w="20" w:type="dxa"/>
              <w:bottom w:w="0" w:type="dxa"/>
              <w:right w:w="20" w:type="dxa"/>
            </w:tcMar>
          </w:tcPr>
          <w:p w14:paraId="18A79D15"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No plans at all</w:t>
            </w:r>
          </w:p>
        </w:tc>
        <w:tc>
          <w:tcPr>
            <w:tcW w:w="1134" w:type="dxa"/>
            <w:tcMar>
              <w:top w:w="0" w:type="dxa"/>
              <w:left w:w="20" w:type="dxa"/>
              <w:bottom w:w="0" w:type="dxa"/>
              <w:right w:w="20" w:type="dxa"/>
            </w:tcMar>
            <w:vAlign w:val="bottom"/>
          </w:tcPr>
          <w:p w14:paraId="7141EFE4"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4</w:t>
            </w:r>
          </w:p>
        </w:tc>
        <w:tc>
          <w:tcPr>
            <w:tcW w:w="992" w:type="dxa"/>
            <w:tcMar>
              <w:top w:w="0" w:type="dxa"/>
              <w:left w:w="20" w:type="dxa"/>
              <w:bottom w:w="0" w:type="dxa"/>
              <w:right w:w="20" w:type="dxa"/>
            </w:tcMar>
            <w:vAlign w:val="bottom"/>
          </w:tcPr>
          <w:p w14:paraId="099CDFB0"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7</w:t>
            </w:r>
          </w:p>
        </w:tc>
        <w:tc>
          <w:tcPr>
            <w:tcW w:w="850" w:type="dxa"/>
            <w:tcMar>
              <w:top w:w="0" w:type="dxa"/>
              <w:left w:w="20" w:type="dxa"/>
              <w:bottom w:w="0" w:type="dxa"/>
              <w:right w:w="20" w:type="dxa"/>
            </w:tcMar>
            <w:vAlign w:val="bottom"/>
          </w:tcPr>
          <w:p w14:paraId="623E1F1A"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6</w:t>
            </w:r>
          </w:p>
        </w:tc>
      </w:tr>
      <w:tr w:rsidR="0070102D" w:rsidRPr="006270FD" w14:paraId="18926A84" w14:textId="77777777" w:rsidTr="0070102D">
        <w:tc>
          <w:tcPr>
            <w:tcW w:w="3740" w:type="dxa"/>
            <w:tcMar>
              <w:top w:w="0" w:type="dxa"/>
              <w:left w:w="20" w:type="dxa"/>
              <w:bottom w:w="0" w:type="dxa"/>
              <w:right w:w="20" w:type="dxa"/>
            </w:tcMar>
          </w:tcPr>
          <w:p w14:paraId="121E636C"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Not planning to now</w:t>
            </w:r>
          </w:p>
        </w:tc>
        <w:tc>
          <w:tcPr>
            <w:tcW w:w="1134" w:type="dxa"/>
            <w:tcMar>
              <w:top w:w="0" w:type="dxa"/>
              <w:left w:w="20" w:type="dxa"/>
              <w:bottom w:w="0" w:type="dxa"/>
              <w:right w:w="20" w:type="dxa"/>
            </w:tcMar>
            <w:vAlign w:val="bottom"/>
          </w:tcPr>
          <w:p w14:paraId="32D8D331"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w:t>
            </w:r>
          </w:p>
        </w:tc>
        <w:tc>
          <w:tcPr>
            <w:tcW w:w="992" w:type="dxa"/>
            <w:tcMar>
              <w:top w:w="0" w:type="dxa"/>
              <w:left w:w="20" w:type="dxa"/>
              <w:bottom w:w="0" w:type="dxa"/>
              <w:right w:w="20" w:type="dxa"/>
            </w:tcMar>
            <w:vAlign w:val="bottom"/>
          </w:tcPr>
          <w:p w14:paraId="432AD80A"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4</w:t>
            </w:r>
          </w:p>
        </w:tc>
        <w:tc>
          <w:tcPr>
            <w:tcW w:w="850" w:type="dxa"/>
            <w:tcMar>
              <w:top w:w="0" w:type="dxa"/>
              <w:left w:w="20" w:type="dxa"/>
              <w:bottom w:w="0" w:type="dxa"/>
              <w:right w:w="20" w:type="dxa"/>
            </w:tcMar>
            <w:vAlign w:val="bottom"/>
          </w:tcPr>
          <w:p w14:paraId="5DAEDE48"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3</w:t>
            </w:r>
          </w:p>
        </w:tc>
      </w:tr>
      <w:tr w:rsidR="0070102D" w:rsidRPr="006270FD" w14:paraId="52D12779" w14:textId="77777777" w:rsidTr="0070102D">
        <w:tc>
          <w:tcPr>
            <w:tcW w:w="3740" w:type="dxa"/>
            <w:tcMar>
              <w:top w:w="0" w:type="dxa"/>
              <w:left w:w="20" w:type="dxa"/>
              <w:bottom w:w="0" w:type="dxa"/>
              <w:right w:w="20" w:type="dxa"/>
            </w:tcMar>
          </w:tcPr>
          <w:p w14:paraId="440D152E"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Neutral</w:t>
            </w:r>
          </w:p>
        </w:tc>
        <w:tc>
          <w:tcPr>
            <w:tcW w:w="1134" w:type="dxa"/>
            <w:tcMar>
              <w:top w:w="0" w:type="dxa"/>
              <w:left w:w="20" w:type="dxa"/>
              <w:bottom w:w="0" w:type="dxa"/>
              <w:right w:w="20" w:type="dxa"/>
            </w:tcMar>
            <w:vAlign w:val="bottom"/>
          </w:tcPr>
          <w:p w14:paraId="44F26DA3"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16</w:t>
            </w:r>
          </w:p>
        </w:tc>
        <w:tc>
          <w:tcPr>
            <w:tcW w:w="992" w:type="dxa"/>
            <w:tcMar>
              <w:top w:w="0" w:type="dxa"/>
              <w:left w:w="20" w:type="dxa"/>
              <w:bottom w:w="0" w:type="dxa"/>
              <w:right w:w="20" w:type="dxa"/>
            </w:tcMar>
            <w:vAlign w:val="bottom"/>
          </w:tcPr>
          <w:p w14:paraId="2364DD95"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13</w:t>
            </w:r>
          </w:p>
        </w:tc>
        <w:tc>
          <w:tcPr>
            <w:tcW w:w="850" w:type="dxa"/>
            <w:tcMar>
              <w:top w:w="0" w:type="dxa"/>
              <w:left w:w="20" w:type="dxa"/>
              <w:bottom w:w="0" w:type="dxa"/>
              <w:right w:w="20" w:type="dxa"/>
            </w:tcMar>
            <w:vAlign w:val="bottom"/>
          </w:tcPr>
          <w:p w14:paraId="6F956F06"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14</w:t>
            </w:r>
          </w:p>
        </w:tc>
      </w:tr>
      <w:tr w:rsidR="0070102D" w:rsidRPr="006270FD" w14:paraId="7A559617" w14:textId="77777777" w:rsidTr="0070102D">
        <w:tc>
          <w:tcPr>
            <w:tcW w:w="3740" w:type="dxa"/>
            <w:tcMar>
              <w:top w:w="0" w:type="dxa"/>
              <w:left w:w="20" w:type="dxa"/>
              <w:bottom w:w="0" w:type="dxa"/>
              <w:right w:w="20" w:type="dxa"/>
            </w:tcMar>
          </w:tcPr>
          <w:p w14:paraId="3CE4352F"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I am planning to</w:t>
            </w:r>
          </w:p>
        </w:tc>
        <w:tc>
          <w:tcPr>
            <w:tcW w:w="1134" w:type="dxa"/>
            <w:tcMar>
              <w:top w:w="0" w:type="dxa"/>
              <w:left w:w="20" w:type="dxa"/>
              <w:bottom w:w="0" w:type="dxa"/>
              <w:right w:w="20" w:type="dxa"/>
            </w:tcMar>
            <w:vAlign w:val="bottom"/>
          </w:tcPr>
          <w:p w14:paraId="19D918F4"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49</w:t>
            </w:r>
          </w:p>
        </w:tc>
        <w:tc>
          <w:tcPr>
            <w:tcW w:w="992" w:type="dxa"/>
            <w:tcMar>
              <w:top w:w="0" w:type="dxa"/>
              <w:left w:w="20" w:type="dxa"/>
              <w:bottom w:w="0" w:type="dxa"/>
              <w:right w:w="20" w:type="dxa"/>
            </w:tcMar>
            <w:vAlign w:val="bottom"/>
          </w:tcPr>
          <w:p w14:paraId="389F0A0E"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48</w:t>
            </w:r>
          </w:p>
        </w:tc>
        <w:tc>
          <w:tcPr>
            <w:tcW w:w="850" w:type="dxa"/>
            <w:tcMar>
              <w:top w:w="0" w:type="dxa"/>
              <w:left w:w="20" w:type="dxa"/>
              <w:bottom w:w="0" w:type="dxa"/>
              <w:right w:w="20" w:type="dxa"/>
            </w:tcMar>
            <w:vAlign w:val="bottom"/>
          </w:tcPr>
          <w:p w14:paraId="48518484"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49</w:t>
            </w:r>
          </w:p>
        </w:tc>
      </w:tr>
      <w:tr w:rsidR="0070102D" w:rsidRPr="006270FD" w14:paraId="7BC461F7" w14:textId="77777777" w:rsidTr="0070102D">
        <w:tc>
          <w:tcPr>
            <w:tcW w:w="3740" w:type="dxa"/>
            <w:tcMar>
              <w:top w:w="0" w:type="dxa"/>
              <w:left w:w="20" w:type="dxa"/>
              <w:bottom w:w="0" w:type="dxa"/>
              <w:right w:w="20" w:type="dxa"/>
            </w:tcMar>
          </w:tcPr>
          <w:p w14:paraId="406BDDE7"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Have taken steps to migrate</w:t>
            </w:r>
          </w:p>
        </w:tc>
        <w:tc>
          <w:tcPr>
            <w:tcW w:w="1134" w:type="dxa"/>
            <w:tcMar>
              <w:top w:w="0" w:type="dxa"/>
              <w:left w:w="20" w:type="dxa"/>
              <w:bottom w:w="0" w:type="dxa"/>
              <w:right w:w="20" w:type="dxa"/>
            </w:tcMar>
            <w:vAlign w:val="bottom"/>
          </w:tcPr>
          <w:p w14:paraId="052CAFFA"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29</w:t>
            </w:r>
          </w:p>
        </w:tc>
        <w:tc>
          <w:tcPr>
            <w:tcW w:w="992" w:type="dxa"/>
            <w:tcMar>
              <w:top w:w="0" w:type="dxa"/>
              <w:left w:w="20" w:type="dxa"/>
              <w:bottom w:w="0" w:type="dxa"/>
              <w:right w:w="20" w:type="dxa"/>
            </w:tcMar>
            <w:vAlign w:val="bottom"/>
          </w:tcPr>
          <w:p w14:paraId="1E67C11F"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28</w:t>
            </w:r>
          </w:p>
        </w:tc>
        <w:tc>
          <w:tcPr>
            <w:tcW w:w="850" w:type="dxa"/>
            <w:tcMar>
              <w:top w:w="0" w:type="dxa"/>
              <w:left w:w="20" w:type="dxa"/>
              <w:bottom w:w="0" w:type="dxa"/>
              <w:right w:w="20" w:type="dxa"/>
            </w:tcMar>
            <w:vAlign w:val="bottom"/>
          </w:tcPr>
          <w:p w14:paraId="0D6877B0"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29</w:t>
            </w:r>
          </w:p>
        </w:tc>
      </w:tr>
      <w:tr w:rsidR="0070102D" w:rsidRPr="006270FD" w14:paraId="254EABAA" w14:textId="77777777" w:rsidTr="0070102D">
        <w:tc>
          <w:tcPr>
            <w:tcW w:w="3740" w:type="dxa"/>
            <w:tcBorders>
              <w:bottom w:val="single" w:sz="4" w:space="0" w:color="A8D08D" w:themeColor="accent6" w:themeTint="99"/>
            </w:tcBorders>
            <w:tcMar>
              <w:top w:w="0" w:type="dxa"/>
              <w:left w:w="20" w:type="dxa"/>
              <w:bottom w:w="0" w:type="dxa"/>
              <w:right w:w="20" w:type="dxa"/>
            </w:tcMar>
          </w:tcPr>
          <w:p w14:paraId="37EF486D" w14:textId="77777777" w:rsidR="006D3E4A" w:rsidRPr="006270FD" w:rsidRDefault="004D5CB3" w:rsidP="00236AF0">
            <w:pPr>
              <w:spacing w:before="20" w:after="20"/>
              <w:rPr>
                <w:rFonts w:cs="Arial"/>
                <w:color w:val="000000"/>
                <w:sz w:val="18"/>
                <w:lang w:eastAsia="en-AU"/>
              </w:rPr>
            </w:pPr>
            <w:r>
              <w:rPr>
                <w:rFonts w:cs="Arial"/>
                <w:color w:val="000000"/>
                <w:sz w:val="18"/>
                <w:lang w:eastAsia="en-AU"/>
              </w:rPr>
              <w:t>Total</w:t>
            </w:r>
          </w:p>
        </w:tc>
        <w:tc>
          <w:tcPr>
            <w:tcW w:w="1134" w:type="dxa"/>
            <w:tcBorders>
              <w:bottom w:val="single" w:sz="4" w:space="0" w:color="A8D08D" w:themeColor="accent6" w:themeTint="99"/>
            </w:tcBorders>
            <w:tcMar>
              <w:top w:w="0" w:type="dxa"/>
              <w:left w:w="20" w:type="dxa"/>
              <w:bottom w:w="0" w:type="dxa"/>
              <w:right w:w="20" w:type="dxa"/>
            </w:tcMar>
            <w:vAlign w:val="bottom"/>
          </w:tcPr>
          <w:p w14:paraId="71BA55A3"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100</w:t>
            </w:r>
          </w:p>
        </w:tc>
        <w:tc>
          <w:tcPr>
            <w:tcW w:w="992" w:type="dxa"/>
            <w:tcBorders>
              <w:bottom w:val="single" w:sz="4" w:space="0" w:color="A8D08D" w:themeColor="accent6" w:themeTint="99"/>
            </w:tcBorders>
            <w:tcMar>
              <w:top w:w="0" w:type="dxa"/>
              <w:left w:w="20" w:type="dxa"/>
              <w:bottom w:w="0" w:type="dxa"/>
              <w:right w:w="20" w:type="dxa"/>
            </w:tcMar>
            <w:vAlign w:val="bottom"/>
          </w:tcPr>
          <w:p w14:paraId="14743877"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100</w:t>
            </w:r>
          </w:p>
        </w:tc>
        <w:tc>
          <w:tcPr>
            <w:tcW w:w="850" w:type="dxa"/>
            <w:tcBorders>
              <w:bottom w:val="single" w:sz="4" w:space="0" w:color="A8D08D" w:themeColor="accent6" w:themeTint="99"/>
            </w:tcBorders>
            <w:tcMar>
              <w:top w:w="0" w:type="dxa"/>
              <w:left w:w="20" w:type="dxa"/>
              <w:bottom w:w="0" w:type="dxa"/>
              <w:right w:w="20" w:type="dxa"/>
            </w:tcMar>
            <w:vAlign w:val="bottom"/>
          </w:tcPr>
          <w:p w14:paraId="49A6F696"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100</w:t>
            </w:r>
          </w:p>
        </w:tc>
      </w:tr>
      <w:tr w:rsidR="0070102D" w:rsidRPr="0070102D" w14:paraId="51663706" w14:textId="77777777" w:rsidTr="0070102D">
        <w:tc>
          <w:tcPr>
            <w:tcW w:w="3740" w:type="dxa"/>
            <w:tcBorders>
              <w:top w:val="single" w:sz="4" w:space="0" w:color="A8D08D" w:themeColor="accent6" w:themeTint="99"/>
            </w:tcBorders>
            <w:tcMar>
              <w:top w:w="0" w:type="dxa"/>
              <w:left w:w="20" w:type="dxa"/>
              <w:bottom w:w="0" w:type="dxa"/>
              <w:right w:w="20" w:type="dxa"/>
            </w:tcMar>
            <w:vAlign w:val="bottom"/>
          </w:tcPr>
          <w:p w14:paraId="561C640F" w14:textId="77777777" w:rsidR="006D3E4A" w:rsidRPr="0070102D" w:rsidRDefault="006D3E4A" w:rsidP="00236AF0">
            <w:pPr>
              <w:spacing w:before="20" w:after="20"/>
              <w:rPr>
                <w:rFonts w:cs="Arial"/>
                <w:b/>
                <w:color w:val="000000"/>
                <w:sz w:val="18"/>
                <w:lang w:eastAsia="en-AU"/>
              </w:rPr>
            </w:pPr>
            <w:r w:rsidRPr="0070102D">
              <w:rPr>
                <w:rFonts w:cs="Arial"/>
                <w:b/>
                <w:color w:val="000000"/>
                <w:sz w:val="18"/>
                <w:lang w:eastAsia="en-AU"/>
              </w:rPr>
              <w:t>N</w:t>
            </w:r>
          </w:p>
        </w:tc>
        <w:tc>
          <w:tcPr>
            <w:tcW w:w="1134" w:type="dxa"/>
            <w:tcBorders>
              <w:top w:val="single" w:sz="4" w:space="0" w:color="A8D08D" w:themeColor="accent6" w:themeTint="99"/>
            </w:tcBorders>
            <w:tcMar>
              <w:top w:w="0" w:type="dxa"/>
              <w:left w:w="20" w:type="dxa"/>
              <w:bottom w:w="0" w:type="dxa"/>
              <w:right w:w="20" w:type="dxa"/>
            </w:tcMar>
            <w:vAlign w:val="bottom"/>
          </w:tcPr>
          <w:p w14:paraId="1A378259" w14:textId="77777777" w:rsidR="006D3E4A" w:rsidRPr="0070102D" w:rsidRDefault="006D3E4A" w:rsidP="00236AF0">
            <w:pPr>
              <w:spacing w:before="20" w:after="20"/>
              <w:jc w:val="right"/>
              <w:rPr>
                <w:rFonts w:cs="Arial"/>
                <w:b/>
                <w:color w:val="000000"/>
                <w:sz w:val="18"/>
                <w:lang w:eastAsia="en-AU"/>
              </w:rPr>
            </w:pPr>
            <w:r w:rsidRPr="0070102D">
              <w:rPr>
                <w:rFonts w:cs="Arial"/>
                <w:b/>
                <w:color w:val="000000"/>
                <w:sz w:val="18"/>
                <w:lang w:eastAsia="en-AU"/>
              </w:rPr>
              <w:t>75</w:t>
            </w:r>
          </w:p>
        </w:tc>
        <w:tc>
          <w:tcPr>
            <w:tcW w:w="992" w:type="dxa"/>
            <w:tcBorders>
              <w:top w:val="single" w:sz="4" w:space="0" w:color="A8D08D" w:themeColor="accent6" w:themeTint="99"/>
            </w:tcBorders>
            <w:tcMar>
              <w:top w:w="0" w:type="dxa"/>
              <w:left w:w="20" w:type="dxa"/>
              <w:bottom w:w="0" w:type="dxa"/>
              <w:right w:w="20" w:type="dxa"/>
            </w:tcMar>
            <w:vAlign w:val="bottom"/>
          </w:tcPr>
          <w:p w14:paraId="5E903D36" w14:textId="77777777" w:rsidR="006D3E4A" w:rsidRPr="0070102D" w:rsidRDefault="006D3E4A" w:rsidP="00236AF0">
            <w:pPr>
              <w:spacing w:before="20" w:after="20"/>
              <w:jc w:val="right"/>
              <w:rPr>
                <w:rFonts w:cs="Arial"/>
                <w:b/>
                <w:color w:val="000000"/>
                <w:sz w:val="18"/>
                <w:lang w:eastAsia="en-AU"/>
              </w:rPr>
            </w:pPr>
            <w:r w:rsidRPr="0070102D">
              <w:rPr>
                <w:rFonts w:cs="Arial"/>
                <w:b/>
                <w:color w:val="000000"/>
                <w:sz w:val="18"/>
                <w:lang w:eastAsia="en-AU"/>
              </w:rPr>
              <w:t>96</w:t>
            </w:r>
          </w:p>
        </w:tc>
        <w:tc>
          <w:tcPr>
            <w:tcW w:w="850" w:type="dxa"/>
            <w:tcBorders>
              <w:top w:val="single" w:sz="4" w:space="0" w:color="A8D08D" w:themeColor="accent6" w:themeTint="99"/>
            </w:tcBorders>
            <w:tcMar>
              <w:top w:w="0" w:type="dxa"/>
              <w:left w:w="20" w:type="dxa"/>
              <w:bottom w:w="0" w:type="dxa"/>
              <w:right w:w="20" w:type="dxa"/>
            </w:tcMar>
            <w:vAlign w:val="bottom"/>
          </w:tcPr>
          <w:p w14:paraId="5E893940" w14:textId="77777777" w:rsidR="006D3E4A" w:rsidRPr="0070102D" w:rsidRDefault="006D3E4A" w:rsidP="00236AF0">
            <w:pPr>
              <w:spacing w:before="20" w:after="20"/>
              <w:jc w:val="right"/>
              <w:rPr>
                <w:rFonts w:cs="Arial"/>
                <w:b/>
                <w:color w:val="000000"/>
                <w:sz w:val="18"/>
                <w:lang w:eastAsia="en-AU"/>
              </w:rPr>
            </w:pPr>
            <w:r w:rsidRPr="0070102D">
              <w:rPr>
                <w:rFonts w:cs="Arial"/>
                <w:b/>
                <w:color w:val="000000"/>
                <w:sz w:val="18"/>
                <w:lang w:eastAsia="en-AU"/>
              </w:rPr>
              <w:t>171</w:t>
            </w:r>
          </w:p>
        </w:tc>
      </w:tr>
      <w:tr w:rsidR="0070102D" w14:paraId="65BE224E" w14:textId="77777777" w:rsidTr="0070102D">
        <w:tc>
          <w:tcPr>
            <w:tcW w:w="3740" w:type="dxa"/>
            <w:tcMar>
              <w:top w:w="0" w:type="dxa"/>
              <w:left w:w="20" w:type="dxa"/>
              <w:bottom w:w="0" w:type="dxa"/>
              <w:right w:w="20" w:type="dxa"/>
            </w:tcMar>
            <w:vAlign w:val="bottom"/>
          </w:tcPr>
          <w:p w14:paraId="53F47394" w14:textId="77777777" w:rsidR="00ED540D" w:rsidRPr="006270FD" w:rsidRDefault="00ED540D" w:rsidP="00236AF0">
            <w:pPr>
              <w:spacing w:before="20" w:after="20"/>
              <w:rPr>
                <w:rFonts w:cs="Arial"/>
                <w:color w:val="000000"/>
                <w:sz w:val="18"/>
                <w:lang w:eastAsia="en-AU"/>
              </w:rPr>
            </w:pPr>
          </w:p>
        </w:tc>
        <w:tc>
          <w:tcPr>
            <w:tcW w:w="1134" w:type="dxa"/>
            <w:tcMar>
              <w:top w:w="0" w:type="dxa"/>
              <w:left w:w="20" w:type="dxa"/>
              <w:bottom w:w="0" w:type="dxa"/>
              <w:right w:w="20" w:type="dxa"/>
            </w:tcMar>
            <w:vAlign w:val="bottom"/>
          </w:tcPr>
          <w:p w14:paraId="6402D0B3" w14:textId="77777777" w:rsidR="00ED540D" w:rsidRPr="006270FD" w:rsidRDefault="00ED540D" w:rsidP="00236AF0">
            <w:pPr>
              <w:spacing w:before="20" w:after="20"/>
              <w:jc w:val="right"/>
              <w:rPr>
                <w:rFonts w:cs="Arial"/>
                <w:color w:val="000000"/>
                <w:sz w:val="18"/>
                <w:lang w:eastAsia="en-AU"/>
              </w:rPr>
            </w:pPr>
          </w:p>
        </w:tc>
        <w:tc>
          <w:tcPr>
            <w:tcW w:w="992" w:type="dxa"/>
            <w:tcMar>
              <w:top w:w="0" w:type="dxa"/>
              <w:left w:w="20" w:type="dxa"/>
              <w:bottom w:w="0" w:type="dxa"/>
              <w:right w:w="20" w:type="dxa"/>
            </w:tcMar>
            <w:vAlign w:val="bottom"/>
          </w:tcPr>
          <w:p w14:paraId="5B0D5E5C" w14:textId="77777777" w:rsidR="00ED540D" w:rsidRPr="006270FD" w:rsidRDefault="00ED540D" w:rsidP="00236AF0">
            <w:pPr>
              <w:spacing w:before="20" w:after="20"/>
              <w:jc w:val="right"/>
              <w:rPr>
                <w:rFonts w:cs="Arial"/>
                <w:color w:val="000000"/>
                <w:sz w:val="18"/>
                <w:lang w:eastAsia="en-AU"/>
              </w:rPr>
            </w:pPr>
          </w:p>
        </w:tc>
        <w:tc>
          <w:tcPr>
            <w:tcW w:w="850" w:type="dxa"/>
            <w:tcMar>
              <w:top w:w="0" w:type="dxa"/>
              <w:left w:w="20" w:type="dxa"/>
              <w:bottom w:w="0" w:type="dxa"/>
              <w:right w:w="20" w:type="dxa"/>
            </w:tcMar>
            <w:vAlign w:val="bottom"/>
          </w:tcPr>
          <w:p w14:paraId="2AE9C883" w14:textId="77777777" w:rsidR="00ED540D" w:rsidRPr="006270FD" w:rsidRDefault="00ED540D" w:rsidP="00236AF0">
            <w:pPr>
              <w:spacing w:before="20" w:after="20"/>
              <w:jc w:val="right"/>
              <w:rPr>
                <w:rFonts w:cs="Arial"/>
                <w:color w:val="000000"/>
                <w:sz w:val="18"/>
                <w:lang w:eastAsia="en-AU"/>
              </w:rPr>
            </w:pPr>
          </w:p>
        </w:tc>
      </w:tr>
      <w:tr w:rsidR="0070102D" w14:paraId="61CF2D27" w14:textId="77777777" w:rsidTr="0070102D">
        <w:tc>
          <w:tcPr>
            <w:tcW w:w="3740" w:type="dxa"/>
            <w:shd w:val="clear" w:color="000000" w:fill="C5E0B3" w:themeFill="accent6" w:themeFillTint="66"/>
            <w:tcMar>
              <w:top w:w="0" w:type="dxa"/>
              <w:left w:w="20" w:type="dxa"/>
              <w:bottom w:w="0" w:type="dxa"/>
              <w:right w:w="20" w:type="dxa"/>
            </w:tcMar>
            <w:vAlign w:val="bottom"/>
          </w:tcPr>
          <w:p w14:paraId="5959B4CC" w14:textId="77777777" w:rsidR="006D3E4A" w:rsidRPr="006270FD" w:rsidRDefault="006D3E4A" w:rsidP="00236AF0">
            <w:pPr>
              <w:spacing w:before="20" w:after="20"/>
              <w:rPr>
                <w:rFonts w:cs="Arial"/>
                <w:b/>
                <w:bCs/>
                <w:color w:val="000000"/>
                <w:sz w:val="18"/>
                <w:lang w:eastAsia="en-AU"/>
              </w:rPr>
            </w:pPr>
            <w:r w:rsidRPr="006270FD">
              <w:rPr>
                <w:rFonts w:cs="Arial"/>
                <w:b/>
                <w:bCs/>
                <w:color w:val="000000"/>
                <w:sz w:val="18"/>
                <w:lang w:eastAsia="en-AU"/>
              </w:rPr>
              <w:t>Plans to migrate for work to N</w:t>
            </w:r>
            <w:r w:rsidR="004D5CB3">
              <w:rPr>
                <w:rFonts w:cs="Arial"/>
                <w:b/>
                <w:bCs/>
                <w:color w:val="000000"/>
                <w:sz w:val="18"/>
                <w:lang w:eastAsia="en-AU"/>
              </w:rPr>
              <w:t>ew Zealand</w:t>
            </w:r>
            <w:r w:rsidRPr="006270FD">
              <w:rPr>
                <w:rFonts w:cs="Arial"/>
                <w:b/>
                <w:bCs/>
                <w:color w:val="000000"/>
                <w:sz w:val="18"/>
                <w:lang w:eastAsia="en-AU"/>
              </w:rPr>
              <w:t>?</w:t>
            </w:r>
          </w:p>
        </w:tc>
        <w:tc>
          <w:tcPr>
            <w:tcW w:w="1134" w:type="dxa"/>
            <w:shd w:val="clear" w:color="000000" w:fill="C5E0B3" w:themeFill="accent6" w:themeFillTint="66"/>
            <w:tcMar>
              <w:top w:w="0" w:type="dxa"/>
              <w:left w:w="20" w:type="dxa"/>
              <w:bottom w:w="0" w:type="dxa"/>
              <w:right w:w="20" w:type="dxa"/>
            </w:tcMar>
            <w:vAlign w:val="center"/>
          </w:tcPr>
          <w:p w14:paraId="6179EB38" w14:textId="77777777" w:rsidR="006D3E4A" w:rsidRPr="006270FD" w:rsidRDefault="006D3E4A" w:rsidP="00323020">
            <w:pPr>
              <w:spacing w:before="20" w:after="20"/>
              <w:jc w:val="right"/>
              <w:rPr>
                <w:rFonts w:cs="Arial"/>
                <w:b/>
                <w:bCs/>
                <w:color w:val="000000"/>
                <w:sz w:val="18"/>
                <w:lang w:eastAsia="en-AU"/>
              </w:rPr>
            </w:pPr>
            <w:r w:rsidRPr="006270FD">
              <w:rPr>
                <w:rFonts w:cs="Arial"/>
                <w:b/>
                <w:bCs/>
                <w:color w:val="000000"/>
                <w:sz w:val="18"/>
                <w:lang w:eastAsia="en-AU"/>
              </w:rPr>
              <w:t>Female</w:t>
            </w:r>
          </w:p>
        </w:tc>
        <w:tc>
          <w:tcPr>
            <w:tcW w:w="992" w:type="dxa"/>
            <w:shd w:val="clear" w:color="000000" w:fill="C5E0B3" w:themeFill="accent6" w:themeFillTint="66"/>
            <w:tcMar>
              <w:top w:w="0" w:type="dxa"/>
              <w:left w:w="20" w:type="dxa"/>
              <w:bottom w:w="0" w:type="dxa"/>
              <w:right w:w="20" w:type="dxa"/>
            </w:tcMar>
            <w:vAlign w:val="center"/>
          </w:tcPr>
          <w:p w14:paraId="1D41BFE1" w14:textId="77777777" w:rsidR="006D3E4A" w:rsidRPr="006270FD" w:rsidRDefault="006D3E4A" w:rsidP="00323020">
            <w:pPr>
              <w:spacing w:before="20" w:after="20"/>
              <w:jc w:val="right"/>
              <w:rPr>
                <w:rFonts w:cs="Arial"/>
                <w:b/>
                <w:bCs/>
                <w:color w:val="000000"/>
                <w:sz w:val="18"/>
                <w:lang w:eastAsia="en-AU"/>
              </w:rPr>
            </w:pPr>
            <w:r w:rsidRPr="006270FD">
              <w:rPr>
                <w:rFonts w:cs="Arial"/>
                <w:b/>
                <w:bCs/>
                <w:color w:val="000000"/>
                <w:sz w:val="18"/>
                <w:lang w:eastAsia="en-AU"/>
              </w:rPr>
              <w:t>Male</w:t>
            </w:r>
          </w:p>
        </w:tc>
        <w:tc>
          <w:tcPr>
            <w:tcW w:w="850" w:type="dxa"/>
            <w:shd w:val="clear" w:color="000000" w:fill="C5E0B3" w:themeFill="accent6" w:themeFillTint="66"/>
            <w:tcMar>
              <w:top w:w="0" w:type="dxa"/>
              <w:left w:w="20" w:type="dxa"/>
              <w:bottom w:w="0" w:type="dxa"/>
              <w:right w:w="20" w:type="dxa"/>
            </w:tcMar>
            <w:vAlign w:val="center"/>
          </w:tcPr>
          <w:p w14:paraId="7E6AC9DD" w14:textId="77777777" w:rsidR="006D3E4A" w:rsidRPr="006270FD" w:rsidRDefault="006D3E4A" w:rsidP="00323020">
            <w:pPr>
              <w:spacing w:before="20" w:after="20"/>
              <w:jc w:val="right"/>
              <w:rPr>
                <w:rFonts w:cs="Arial"/>
                <w:b/>
                <w:bCs/>
                <w:color w:val="000000"/>
                <w:sz w:val="18"/>
                <w:lang w:eastAsia="en-AU"/>
              </w:rPr>
            </w:pPr>
            <w:r w:rsidRPr="006270FD">
              <w:rPr>
                <w:rFonts w:cs="Arial"/>
                <w:b/>
                <w:bCs/>
                <w:color w:val="000000"/>
                <w:sz w:val="18"/>
                <w:lang w:eastAsia="en-AU"/>
              </w:rPr>
              <w:t>Total</w:t>
            </w:r>
          </w:p>
        </w:tc>
      </w:tr>
      <w:tr w:rsidR="0070102D" w14:paraId="5FAD52A8" w14:textId="77777777" w:rsidTr="0070102D">
        <w:tc>
          <w:tcPr>
            <w:tcW w:w="3740" w:type="dxa"/>
            <w:tcMar>
              <w:top w:w="0" w:type="dxa"/>
              <w:left w:w="20" w:type="dxa"/>
              <w:bottom w:w="0" w:type="dxa"/>
              <w:right w:w="20" w:type="dxa"/>
            </w:tcMar>
          </w:tcPr>
          <w:p w14:paraId="64041366"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No plans at all</w:t>
            </w:r>
          </w:p>
        </w:tc>
        <w:tc>
          <w:tcPr>
            <w:tcW w:w="1134" w:type="dxa"/>
            <w:tcMar>
              <w:top w:w="0" w:type="dxa"/>
              <w:left w:w="20" w:type="dxa"/>
              <w:bottom w:w="0" w:type="dxa"/>
              <w:right w:w="20" w:type="dxa"/>
            </w:tcMar>
            <w:vAlign w:val="bottom"/>
          </w:tcPr>
          <w:p w14:paraId="0B690EEB"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14</w:t>
            </w:r>
          </w:p>
        </w:tc>
        <w:tc>
          <w:tcPr>
            <w:tcW w:w="992" w:type="dxa"/>
            <w:tcMar>
              <w:top w:w="0" w:type="dxa"/>
              <w:left w:w="20" w:type="dxa"/>
              <w:bottom w:w="0" w:type="dxa"/>
              <w:right w:w="20" w:type="dxa"/>
            </w:tcMar>
            <w:vAlign w:val="bottom"/>
          </w:tcPr>
          <w:p w14:paraId="586DFF32"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14</w:t>
            </w:r>
          </w:p>
        </w:tc>
        <w:tc>
          <w:tcPr>
            <w:tcW w:w="850" w:type="dxa"/>
            <w:tcMar>
              <w:top w:w="0" w:type="dxa"/>
              <w:left w:w="20" w:type="dxa"/>
              <w:bottom w:w="0" w:type="dxa"/>
              <w:right w:w="20" w:type="dxa"/>
            </w:tcMar>
            <w:vAlign w:val="bottom"/>
          </w:tcPr>
          <w:p w14:paraId="0EE4195A"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14</w:t>
            </w:r>
          </w:p>
        </w:tc>
      </w:tr>
      <w:tr w:rsidR="0070102D" w14:paraId="476059F9" w14:textId="77777777" w:rsidTr="0070102D">
        <w:tc>
          <w:tcPr>
            <w:tcW w:w="3740" w:type="dxa"/>
            <w:tcMar>
              <w:top w:w="0" w:type="dxa"/>
              <w:left w:w="20" w:type="dxa"/>
              <w:bottom w:w="0" w:type="dxa"/>
              <w:right w:w="20" w:type="dxa"/>
            </w:tcMar>
          </w:tcPr>
          <w:p w14:paraId="1748E361"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Not planning to now</w:t>
            </w:r>
          </w:p>
        </w:tc>
        <w:tc>
          <w:tcPr>
            <w:tcW w:w="1134" w:type="dxa"/>
            <w:tcMar>
              <w:top w:w="0" w:type="dxa"/>
              <w:left w:w="20" w:type="dxa"/>
              <w:bottom w:w="0" w:type="dxa"/>
              <w:right w:w="20" w:type="dxa"/>
            </w:tcMar>
            <w:vAlign w:val="bottom"/>
          </w:tcPr>
          <w:p w14:paraId="6247CCBD"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7</w:t>
            </w:r>
          </w:p>
        </w:tc>
        <w:tc>
          <w:tcPr>
            <w:tcW w:w="992" w:type="dxa"/>
            <w:tcMar>
              <w:top w:w="0" w:type="dxa"/>
              <w:left w:w="20" w:type="dxa"/>
              <w:bottom w:w="0" w:type="dxa"/>
              <w:right w:w="20" w:type="dxa"/>
            </w:tcMar>
            <w:vAlign w:val="bottom"/>
          </w:tcPr>
          <w:p w14:paraId="778659F4"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5</w:t>
            </w:r>
          </w:p>
        </w:tc>
        <w:tc>
          <w:tcPr>
            <w:tcW w:w="850" w:type="dxa"/>
            <w:tcMar>
              <w:top w:w="0" w:type="dxa"/>
              <w:left w:w="20" w:type="dxa"/>
              <w:bottom w:w="0" w:type="dxa"/>
              <w:right w:w="20" w:type="dxa"/>
            </w:tcMar>
            <w:vAlign w:val="bottom"/>
          </w:tcPr>
          <w:p w14:paraId="7835EA09"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6</w:t>
            </w:r>
          </w:p>
        </w:tc>
      </w:tr>
      <w:tr w:rsidR="0070102D" w14:paraId="789F3444" w14:textId="77777777" w:rsidTr="0070102D">
        <w:tc>
          <w:tcPr>
            <w:tcW w:w="3740" w:type="dxa"/>
            <w:tcMar>
              <w:top w:w="0" w:type="dxa"/>
              <w:left w:w="20" w:type="dxa"/>
              <w:bottom w:w="0" w:type="dxa"/>
              <w:right w:w="20" w:type="dxa"/>
            </w:tcMar>
          </w:tcPr>
          <w:p w14:paraId="5668854A"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Neutral</w:t>
            </w:r>
          </w:p>
        </w:tc>
        <w:tc>
          <w:tcPr>
            <w:tcW w:w="1134" w:type="dxa"/>
            <w:tcMar>
              <w:top w:w="0" w:type="dxa"/>
              <w:left w:w="20" w:type="dxa"/>
              <w:bottom w:w="0" w:type="dxa"/>
              <w:right w:w="20" w:type="dxa"/>
            </w:tcMar>
            <w:vAlign w:val="bottom"/>
          </w:tcPr>
          <w:p w14:paraId="02CE4DF0"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25</w:t>
            </w:r>
          </w:p>
        </w:tc>
        <w:tc>
          <w:tcPr>
            <w:tcW w:w="992" w:type="dxa"/>
            <w:tcMar>
              <w:top w:w="0" w:type="dxa"/>
              <w:left w:w="20" w:type="dxa"/>
              <w:bottom w:w="0" w:type="dxa"/>
              <w:right w:w="20" w:type="dxa"/>
            </w:tcMar>
            <w:vAlign w:val="bottom"/>
          </w:tcPr>
          <w:p w14:paraId="3F90B2CD"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20</w:t>
            </w:r>
          </w:p>
        </w:tc>
        <w:tc>
          <w:tcPr>
            <w:tcW w:w="850" w:type="dxa"/>
            <w:tcMar>
              <w:top w:w="0" w:type="dxa"/>
              <w:left w:w="20" w:type="dxa"/>
              <w:bottom w:w="0" w:type="dxa"/>
              <w:right w:w="20" w:type="dxa"/>
            </w:tcMar>
            <w:vAlign w:val="bottom"/>
          </w:tcPr>
          <w:p w14:paraId="2D28284F"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22</w:t>
            </w:r>
          </w:p>
        </w:tc>
      </w:tr>
      <w:tr w:rsidR="0070102D" w14:paraId="529C0F5F" w14:textId="77777777" w:rsidTr="0070102D">
        <w:tc>
          <w:tcPr>
            <w:tcW w:w="3740" w:type="dxa"/>
            <w:tcMar>
              <w:top w:w="0" w:type="dxa"/>
              <w:left w:w="20" w:type="dxa"/>
              <w:bottom w:w="0" w:type="dxa"/>
              <w:right w:w="20" w:type="dxa"/>
            </w:tcMar>
          </w:tcPr>
          <w:p w14:paraId="0EA4FF2E"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I am planning to</w:t>
            </w:r>
          </w:p>
        </w:tc>
        <w:tc>
          <w:tcPr>
            <w:tcW w:w="1134" w:type="dxa"/>
            <w:tcMar>
              <w:top w:w="0" w:type="dxa"/>
              <w:left w:w="20" w:type="dxa"/>
              <w:bottom w:w="0" w:type="dxa"/>
              <w:right w:w="20" w:type="dxa"/>
            </w:tcMar>
            <w:vAlign w:val="bottom"/>
          </w:tcPr>
          <w:p w14:paraId="6ADE3F88"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39</w:t>
            </w:r>
          </w:p>
        </w:tc>
        <w:tc>
          <w:tcPr>
            <w:tcW w:w="992" w:type="dxa"/>
            <w:tcMar>
              <w:top w:w="0" w:type="dxa"/>
              <w:left w:w="20" w:type="dxa"/>
              <w:bottom w:w="0" w:type="dxa"/>
              <w:right w:w="20" w:type="dxa"/>
            </w:tcMar>
            <w:vAlign w:val="bottom"/>
          </w:tcPr>
          <w:p w14:paraId="6B382A9B"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44</w:t>
            </w:r>
          </w:p>
        </w:tc>
        <w:tc>
          <w:tcPr>
            <w:tcW w:w="850" w:type="dxa"/>
            <w:tcMar>
              <w:top w:w="0" w:type="dxa"/>
              <w:left w:w="20" w:type="dxa"/>
              <w:bottom w:w="0" w:type="dxa"/>
              <w:right w:w="20" w:type="dxa"/>
            </w:tcMar>
            <w:vAlign w:val="bottom"/>
          </w:tcPr>
          <w:p w14:paraId="64C77338"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42</w:t>
            </w:r>
          </w:p>
        </w:tc>
      </w:tr>
      <w:tr w:rsidR="0070102D" w14:paraId="56E0D0CB" w14:textId="77777777" w:rsidTr="0070102D">
        <w:tc>
          <w:tcPr>
            <w:tcW w:w="3740" w:type="dxa"/>
            <w:tcMar>
              <w:top w:w="0" w:type="dxa"/>
              <w:left w:w="20" w:type="dxa"/>
              <w:bottom w:w="0" w:type="dxa"/>
              <w:right w:w="20" w:type="dxa"/>
            </w:tcMar>
          </w:tcPr>
          <w:p w14:paraId="48069C28"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Have taken steps to migrate</w:t>
            </w:r>
          </w:p>
        </w:tc>
        <w:tc>
          <w:tcPr>
            <w:tcW w:w="1134" w:type="dxa"/>
            <w:tcMar>
              <w:top w:w="0" w:type="dxa"/>
              <w:left w:w="20" w:type="dxa"/>
              <w:bottom w:w="0" w:type="dxa"/>
              <w:right w:w="20" w:type="dxa"/>
            </w:tcMar>
            <w:vAlign w:val="bottom"/>
          </w:tcPr>
          <w:p w14:paraId="40A192E8"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15</w:t>
            </w:r>
          </w:p>
        </w:tc>
        <w:tc>
          <w:tcPr>
            <w:tcW w:w="992" w:type="dxa"/>
            <w:tcMar>
              <w:top w:w="0" w:type="dxa"/>
              <w:left w:w="20" w:type="dxa"/>
              <w:bottom w:w="0" w:type="dxa"/>
              <w:right w:w="20" w:type="dxa"/>
            </w:tcMar>
            <w:vAlign w:val="bottom"/>
          </w:tcPr>
          <w:p w14:paraId="118DA919"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17</w:t>
            </w:r>
          </w:p>
        </w:tc>
        <w:tc>
          <w:tcPr>
            <w:tcW w:w="850" w:type="dxa"/>
            <w:tcMar>
              <w:top w:w="0" w:type="dxa"/>
              <w:left w:w="20" w:type="dxa"/>
              <w:bottom w:w="0" w:type="dxa"/>
              <w:right w:w="20" w:type="dxa"/>
            </w:tcMar>
            <w:vAlign w:val="bottom"/>
          </w:tcPr>
          <w:p w14:paraId="029CDD42"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16</w:t>
            </w:r>
          </w:p>
        </w:tc>
      </w:tr>
      <w:tr w:rsidR="0070102D" w14:paraId="4C407F46" w14:textId="77777777" w:rsidTr="0070102D">
        <w:tc>
          <w:tcPr>
            <w:tcW w:w="3740" w:type="dxa"/>
            <w:tcMar>
              <w:top w:w="0" w:type="dxa"/>
              <w:left w:w="20" w:type="dxa"/>
              <w:bottom w:w="0" w:type="dxa"/>
              <w:right w:w="20" w:type="dxa"/>
            </w:tcMar>
            <w:vAlign w:val="bottom"/>
          </w:tcPr>
          <w:p w14:paraId="09B6CED9" w14:textId="77777777" w:rsidR="006D3E4A" w:rsidRPr="006270FD" w:rsidRDefault="00090F10" w:rsidP="00236AF0">
            <w:pPr>
              <w:spacing w:before="20" w:after="20"/>
              <w:rPr>
                <w:rFonts w:cs="Arial"/>
                <w:color w:val="000000"/>
                <w:sz w:val="18"/>
                <w:lang w:eastAsia="en-AU"/>
              </w:rPr>
            </w:pPr>
            <w:r>
              <w:rPr>
                <w:rFonts w:cs="Arial"/>
                <w:color w:val="000000"/>
                <w:sz w:val="18"/>
                <w:lang w:eastAsia="en-AU"/>
              </w:rPr>
              <w:t>Total</w:t>
            </w:r>
          </w:p>
        </w:tc>
        <w:tc>
          <w:tcPr>
            <w:tcW w:w="1134" w:type="dxa"/>
            <w:tcMar>
              <w:top w:w="0" w:type="dxa"/>
              <w:left w:w="20" w:type="dxa"/>
              <w:bottom w:w="0" w:type="dxa"/>
              <w:right w:w="20" w:type="dxa"/>
            </w:tcMar>
            <w:vAlign w:val="bottom"/>
          </w:tcPr>
          <w:p w14:paraId="452A0FCE"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100</w:t>
            </w:r>
          </w:p>
        </w:tc>
        <w:tc>
          <w:tcPr>
            <w:tcW w:w="992" w:type="dxa"/>
            <w:tcMar>
              <w:top w:w="0" w:type="dxa"/>
              <w:left w:w="20" w:type="dxa"/>
              <w:bottom w:w="0" w:type="dxa"/>
              <w:right w:w="20" w:type="dxa"/>
            </w:tcMar>
            <w:vAlign w:val="bottom"/>
          </w:tcPr>
          <w:p w14:paraId="79AD3BC8"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100</w:t>
            </w:r>
          </w:p>
        </w:tc>
        <w:tc>
          <w:tcPr>
            <w:tcW w:w="850" w:type="dxa"/>
            <w:tcMar>
              <w:top w:w="0" w:type="dxa"/>
              <w:left w:w="20" w:type="dxa"/>
              <w:bottom w:w="0" w:type="dxa"/>
              <w:right w:w="20" w:type="dxa"/>
            </w:tcMar>
            <w:vAlign w:val="bottom"/>
          </w:tcPr>
          <w:p w14:paraId="05DB61B8" w14:textId="77777777" w:rsidR="006D3E4A" w:rsidRPr="006270FD" w:rsidRDefault="006D3E4A" w:rsidP="00236AF0">
            <w:pPr>
              <w:spacing w:before="20" w:after="20"/>
              <w:jc w:val="right"/>
              <w:rPr>
                <w:rFonts w:cs="Arial"/>
                <w:color w:val="000000"/>
                <w:sz w:val="18"/>
                <w:lang w:eastAsia="en-AU"/>
              </w:rPr>
            </w:pPr>
            <w:r w:rsidRPr="006270FD">
              <w:rPr>
                <w:rFonts w:cs="Arial"/>
                <w:color w:val="000000"/>
                <w:sz w:val="18"/>
                <w:lang w:eastAsia="en-AU"/>
              </w:rPr>
              <w:t>100</w:t>
            </w:r>
          </w:p>
        </w:tc>
      </w:tr>
      <w:tr w:rsidR="0070102D" w:rsidRPr="0070102D" w14:paraId="23AFA2F9" w14:textId="77777777" w:rsidTr="0070102D">
        <w:tc>
          <w:tcPr>
            <w:tcW w:w="3740" w:type="dxa"/>
            <w:tcBorders>
              <w:bottom w:val="single" w:sz="4" w:space="0" w:color="A8D08D" w:themeColor="accent6" w:themeTint="99"/>
            </w:tcBorders>
            <w:tcMar>
              <w:top w:w="0" w:type="dxa"/>
              <w:left w:w="20" w:type="dxa"/>
              <w:bottom w:w="0" w:type="dxa"/>
              <w:right w:w="20" w:type="dxa"/>
            </w:tcMar>
          </w:tcPr>
          <w:p w14:paraId="615F7971" w14:textId="77777777" w:rsidR="006D3E4A" w:rsidRPr="0070102D" w:rsidRDefault="006D3E4A" w:rsidP="00236AF0">
            <w:pPr>
              <w:spacing w:before="20" w:after="20"/>
              <w:rPr>
                <w:rFonts w:cs="Arial"/>
                <w:b/>
                <w:color w:val="000000"/>
                <w:sz w:val="18"/>
                <w:lang w:eastAsia="en-AU"/>
              </w:rPr>
            </w:pPr>
            <w:r w:rsidRPr="0070102D">
              <w:rPr>
                <w:rFonts w:cs="Arial"/>
                <w:b/>
                <w:color w:val="000000"/>
                <w:sz w:val="18"/>
                <w:lang w:eastAsia="en-AU"/>
              </w:rPr>
              <w:t>N</w:t>
            </w:r>
          </w:p>
        </w:tc>
        <w:tc>
          <w:tcPr>
            <w:tcW w:w="1134" w:type="dxa"/>
            <w:tcBorders>
              <w:bottom w:val="single" w:sz="4" w:space="0" w:color="A8D08D" w:themeColor="accent6" w:themeTint="99"/>
            </w:tcBorders>
            <w:tcMar>
              <w:top w:w="0" w:type="dxa"/>
              <w:left w:w="20" w:type="dxa"/>
              <w:bottom w:w="0" w:type="dxa"/>
              <w:right w:w="20" w:type="dxa"/>
            </w:tcMar>
            <w:vAlign w:val="bottom"/>
          </w:tcPr>
          <w:p w14:paraId="26C2DC2A" w14:textId="77777777" w:rsidR="006D3E4A" w:rsidRPr="0070102D" w:rsidRDefault="006D3E4A" w:rsidP="00236AF0">
            <w:pPr>
              <w:spacing w:before="20" w:after="20"/>
              <w:jc w:val="right"/>
              <w:rPr>
                <w:rFonts w:cs="Arial"/>
                <w:b/>
                <w:color w:val="000000"/>
                <w:sz w:val="18"/>
                <w:lang w:eastAsia="en-AU"/>
              </w:rPr>
            </w:pPr>
            <w:r w:rsidRPr="0070102D">
              <w:rPr>
                <w:rFonts w:cs="Arial"/>
                <w:b/>
                <w:color w:val="000000"/>
                <w:sz w:val="18"/>
                <w:lang w:eastAsia="en-AU"/>
              </w:rPr>
              <w:t>72</w:t>
            </w:r>
          </w:p>
        </w:tc>
        <w:tc>
          <w:tcPr>
            <w:tcW w:w="992" w:type="dxa"/>
            <w:tcBorders>
              <w:bottom w:val="single" w:sz="4" w:space="0" w:color="A8D08D" w:themeColor="accent6" w:themeTint="99"/>
            </w:tcBorders>
            <w:tcMar>
              <w:top w:w="0" w:type="dxa"/>
              <w:left w:w="20" w:type="dxa"/>
              <w:bottom w:w="0" w:type="dxa"/>
              <w:right w:w="20" w:type="dxa"/>
            </w:tcMar>
            <w:vAlign w:val="bottom"/>
          </w:tcPr>
          <w:p w14:paraId="1C84F141" w14:textId="77777777" w:rsidR="006D3E4A" w:rsidRPr="0070102D" w:rsidRDefault="006D3E4A" w:rsidP="00236AF0">
            <w:pPr>
              <w:spacing w:before="20" w:after="20"/>
              <w:jc w:val="right"/>
              <w:rPr>
                <w:rFonts w:cs="Arial"/>
                <w:b/>
                <w:color w:val="000000"/>
                <w:sz w:val="18"/>
                <w:lang w:eastAsia="en-AU"/>
              </w:rPr>
            </w:pPr>
            <w:r w:rsidRPr="0070102D">
              <w:rPr>
                <w:rFonts w:cs="Arial"/>
                <w:b/>
                <w:color w:val="000000"/>
                <w:sz w:val="18"/>
                <w:lang w:eastAsia="en-AU"/>
              </w:rPr>
              <w:t>95</w:t>
            </w:r>
          </w:p>
        </w:tc>
        <w:tc>
          <w:tcPr>
            <w:tcW w:w="850" w:type="dxa"/>
            <w:tcBorders>
              <w:bottom w:val="single" w:sz="4" w:space="0" w:color="A8D08D" w:themeColor="accent6" w:themeTint="99"/>
            </w:tcBorders>
            <w:tcMar>
              <w:top w:w="0" w:type="dxa"/>
              <w:left w:w="20" w:type="dxa"/>
              <w:bottom w:w="0" w:type="dxa"/>
              <w:right w:w="20" w:type="dxa"/>
            </w:tcMar>
            <w:vAlign w:val="bottom"/>
          </w:tcPr>
          <w:p w14:paraId="332814B8" w14:textId="77777777" w:rsidR="006D3E4A" w:rsidRPr="0070102D" w:rsidRDefault="006D3E4A" w:rsidP="00236AF0">
            <w:pPr>
              <w:spacing w:before="20" w:after="20"/>
              <w:jc w:val="right"/>
              <w:rPr>
                <w:rFonts w:cs="Arial"/>
                <w:b/>
                <w:color w:val="000000"/>
                <w:sz w:val="18"/>
                <w:lang w:eastAsia="en-AU"/>
              </w:rPr>
            </w:pPr>
            <w:r w:rsidRPr="0070102D">
              <w:rPr>
                <w:rFonts w:cs="Arial"/>
                <w:b/>
                <w:color w:val="000000"/>
                <w:sz w:val="18"/>
                <w:lang w:eastAsia="en-AU"/>
              </w:rPr>
              <w:t>167</w:t>
            </w:r>
          </w:p>
        </w:tc>
      </w:tr>
      <w:tr w:rsidR="0070102D" w:rsidRPr="006270FD" w14:paraId="319E1702" w14:textId="77777777" w:rsidTr="0070102D">
        <w:tc>
          <w:tcPr>
            <w:tcW w:w="3740" w:type="dxa"/>
            <w:tcBorders>
              <w:top w:val="single" w:sz="4" w:space="0" w:color="A8D08D" w:themeColor="accent6" w:themeTint="99"/>
            </w:tcBorders>
            <w:tcMar>
              <w:top w:w="0" w:type="dxa"/>
              <w:left w:w="20" w:type="dxa"/>
              <w:bottom w:w="0" w:type="dxa"/>
              <w:right w:w="20" w:type="dxa"/>
            </w:tcMar>
            <w:vAlign w:val="bottom"/>
          </w:tcPr>
          <w:p w14:paraId="240BF2EA" w14:textId="77777777" w:rsidR="006D3E4A" w:rsidRPr="006270FD" w:rsidRDefault="006D3E4A" w:rsidP="00236AF0">
            <w:pPr>
              <w:spacing w:before="20" w:after="20"/>
              <w:rPr>
                <w:rFonts w:cs="Arial"/>
                <w:color w:val="000000"/>
                <w:sz w:val="18"/>
                <w:lang w:eastAsia="en-AU"/>
              </w:rPr>
            </w:pPr>
          </w:p>
        </w:tc>
        <w:tc>
          <w:tcPr>
            <w:tcW w:w="1134" w:type="dxa"/>
            <w:tcBorders>
              <w:top w:val="single" w:sz="4" w:space="0" w:color="A8D08D" w:themeColor="accent6" w:themeTint="99"/>
            </w:tcBorders>
            <w:tcMar>
              <w:top w:w="0" w:type="dxa"/>
              <w:left w:w="20" w:type="dxa"/>
              <w:bottom w:w="0" w:type="dxa"/>
              <w:right w:w="20" w:type="dxa"/>
            </w:tcMar>
            <w:vAlign w:val="bottom"/>
          </w:tcPr>
          <w:p w14:paraId="7972C748" w14:textId="77777777" w:rsidR="006D3E4A" w:rsidRPr="006270FD" w:rsidRDefault="006D3E4A" w:rsidP="00236AF0">
            <w:pPr>
              <w:spacing w:before="20" w:after="20"/>
              <w:rPr>
                <w:rFonts w:cs="Arial"/>
                <w:color w:val="000000"/>
                <w:sz w:val="18"/>
                <w:lang w:eastAsia="en-AU"/>
              </w:rPr>
            </w:pPr>
          </w:p>
        </w:tc>
        <w:tc>
          <w:tcPr>
            <w:tcW w:w="992" w:type="dxa"/>
            <w:tcBorders>
              <w:top w:val="single" w:sz="4" w:space="0" w:color="A8D08D" w:themeColor="accent6" w:themeTint="99"/>
            </w:tcBorders>
            <w:tcMar>
              <w:top w:w="0" w:type="dxa"/>
              <w:left w:w="20" w:type="dxa"/>
              <w:bottom w:w="0" w:type="dxa"/>
              <w:right w:w="20" w:type="dxa"/>
            </w:tcMar>
            <w:vAlign w:val="bottom"/>
          </w:tcPr>
          <w:p w14:paraId="435411E9" w14:textId="77777777" w:rsidR="006D3E4A" w:rsidRPr="006270FD" w:rsidRDefault="006D3E4A" w:rsidP="00236AF0">
            <w:pPr>
              <w:spacing w:before="20" w:after="20"/>
              <w:rPr>
                <w:rFonts w:cs="Arial"/>
                <w:color w:val="000000"/>
                <w:sz w:val="18"/>
                <w:lang w:eastAsia="en-AU"/>
              </w:rPr>
            </w:pPr>
          </w:p>
        </w:tc>
        <w:tc>
          <w:tcPr>
            <w:tcW w:w="850" w:type="dxa"/>
            <w:tcBorders>
              <w:top w:val="single" w:sz="4" w:space="0" w:color="A8D08D" w:themeColor="accent6" w:themeTint="99"/>
            </w:tcBorders>
            <w:tcMar>
              <w:top w:w="0" w:type="dxa"/>
              <w:left w:w="20" w:type="dxa"/>
              <w:bottom w:w="0" w:type="dxa"/>
              <w:right w:w="20" w:type="dxa"/>
            </w:tcMar>
            <w:vAlign w:val="bottom"/>
          </w:tcPr>
          <w:p w14:paraId="0B40021F" w14:textId="77777777" w:rsidR="006D3E4A" w:rsidRPr="006270FD" w:rsidRDefault="006D3E4A" w:rsidP="00236AF0">
            <w:pPr>
              <w:spacing w:before="20" w:after="20"/>
              <w:rPr>
                <w:rFonts w:cs="Arial"/>
                <w:color w:val="000000"/>
                <w:sz w:val="18"/>
                <w:lang w:eastAsia="en-AU"/>
              </w:rPr>
            </w:pPr>
          </w:p>
        </w:tc>
      </w:tr>
    </w:tbl>
    <w:p w14:paraId="3E1C9FE7" w14:textId="77777777" w:rsidR="00605F05" w:rsidRDefault="00605F05" w:rsidP="006D3E4A">
      <w:pPr>
        <w:spacing w:before="120"/>
        <w:rPr>
          <w:lang w:eastAsia="zh-CN"/>
        </w:rPr>
      </w:pPr>
    </w:p>
    <w:p w14:paraId="18E586F7" w14:textId="7B2ECBA6" w:rsidR="006D3E4A" w:rsidRPr="00FB3195" w:rsidRDefault="006D3E4A" w:rsidP="006D3E4A">
      <w:pPr>
        <w:spacing w:before="120"/>
        <w:rPr>
          <w:lang w:eastAsia="zh-CN"/>
        </w:rPr>
      </w:pPr>
      <w:r w:rsidRPr="00FB3195">
        <w:rPr>
          <w:lang w:eastAsia="zh-CN"/>
        </w:rPr>
        <w:t>In the case of PNG, one-in-four APTC graduates (25 per cent) had taken steps to migrate and more than half planned to. There is also strong interest among APTC graduates from PNG in migrating to New Zealand, with one-in-five taking steps and near to half (45 per cent) planning to. Near to half of APTC graduates from PNG (</w:t>
      </w:r>
      <w:r w:rsidR="00090F10" w:rsidRPr="00FB3195">
        <w:rPr>
          <w:lang w:eastAsia="zh-CN"/>
        </w:rPr>
        <w:t>45</w:t>
      </w:r>
      <w:r w:rsidR="00090F10">
        <w:rPr>
          <w:lang w:eastAsia="zh-CN"/>
        </w:rPr>
        <w:t> </w:t>
      </w:r>
      <w:r w:rsidRPr="00FB3195">
        <w:rPr>
          <w:lang w:eastAsia="zh-CN"/>
        </w:rPr>
        <w:t xml:space="preserve">per cent) who want to migrate for work </w:t>
      </w:r>
      <w:r w:rsidR="00FA0A95">
        <w:rPr>
          <w:lang w:eastAsia="zh-CN"/>
        </w:rPr>
        <w:t>would like</w:t>
      </w:r>
      <w:r w:rsidRPr="00FB3195">
        <w:rPr>
          <w:lang w:eastAsia="zh-CN"/>
        </w:rPr>
        <w:t xml:space="preserve"> to work overseas for more than five</w:t>
      </w:r>
      <w:r w:rsidR="00E97C9E">
        <w:rPr>
          <w:lang w:eastAsia="zh-CN"/>
        </w:rPr>
        <w:t> </w:t>
      </w:r>
      <w:r w:rsidRPr="00FB3195">
        <w:rPr>
          <w:lang w:eastAsia="zh-CN"/>
        </w:rPr>
        <w:t xml:space="preserve">years. </w:t>
      </w:r>
    </w:p>
    <w:p w14:paraId="38776009" w14:textId="4CEAB090" w:rsidR="006D3E4A" w:rsidRPr="00FB3195" w:rsidRDefault="006D3E4A" w:rsidP="006D3E4A">
      <w:pPr>
        <w:spacing w:before="120"/>
        <w:rPr>
          <w:lang w:eastAsia="zh-CN"/>
        </w:rPr>
      </w:pPr>
      <w:r w:rsidRPr="00FB3195">
        <w:rPr>
          <w:lang w:eastAsia="zh-CN"/>
        </w:rPr>
        <w:t xml:space="preserve">For APTC graduates in Samoa, the propensity to migrate for work to Australia is lower: one-in-five had taken steps to migrate and only one-in-six (14 per cent) were planning to. </w:t>
      </w:r>
      <w:r w:rsidR="00A9057C" w:rsidRPr="00FB3195">
        <w:rPr>
          <w:lang w:eastAsia="zh-CN"/>
        </w:rPr>
        <w:t>Th</w:t>
      </w:r>
      <w:r w:rsidR="00A9057C">
        <w:rPr>
          <w:lang w:eastAsia="zh-CN"/>
        </w:rPr>
        <w:t>is</w:t>
      </w:r>
      <w:r w:rsidR="00A9057C" w:rsidRPr="00FB3195">
        <w:rPr>
          <w:lang w:eastAsia="zh-CN"/>
        </w:rPr>
        <w:t xml:space="preserve"> </w:t>
      </w:r>
      <w:r w:rsidRPr="00FB3195">
        <w:rPr>
          <w:lang w:eastAsia="zh-CN"/>
        </w:rPr>
        <w:t xml:space="preserve">same lower propensity to migrate also applies to New Zealand. Over half of the APTC graduates from Samoa (55 per cent) who want to migrate for work </w:t>
      </w:r>
      <w:r w:rsidR="00FA0A95">
        <w:rPr>
          <w:lang w:eastAsia="zh-CN"/>
        </w:rPr>
        <w:t>would like</w:t>
      </w:r>
      <w:r w:rsidRPr="00FB3195">
        <w:rPr>
          <w:lang w:eastAsia="zh-CN"/>
        </w:rPr>
        <w:t xml:space="preserve"> to do so for more than five years. </w:t>
      </w:r>
    </w:p>
    <w:p w14:paraId="56AC1CD9" w14:textId="77777777" w:rsidR="006D3E4A" w:rsidRPr="00FB3195" w:rsidRDefault="006D3E4A" w:rsidP="006D3E4A">
      <w:pPr>
        <w:spacing w:before="120"/>
        <w:rPr>
          <w:lang w:eastAsia="zh-CN"/>
        </w:rPr>
      </w:pPr>
      <w:r w:rsidRPr="00FB3195">
        <w:rPr>
          <w:lang w:eastAsia="zh-CN"/>
        </w:rPr>
        <w:t xml:space="preserve">For APTC graduates from Vanuatu, none had taken steps to migrate to Australia but near to half (44 per cent) were planning to. Only one-in-four APTC graduates from Vanuatu who want to migrate for work want to stay overseas for more than five years. </w:t>
      </w:r>
    </w:p>
    <w:p w14:paraId="23DB9A09" w14:textId="77777777" w:rsidR="003D355F" w:rsidRDefault="004B3C98" w:rsidP="002028A6">
      <w:pPr>
        <w:pStyle w:val="Heading2"/>
      </w:pPr>
      <w:bookmarkStart w:id="514" w:name="_Toc274145100"/>
      <w:bookmarkStart w:id="515" w:name="_Toc274900484"/>
      <w:bookmarkStart w:id="516" w:name="_Toc274909863"/>
      <w:bookmarkStart w:id="517" w:name="_Toc278447879"/>
      <w:bookmarkStart w:id="518" w:name="_Toc278453352"/>
      <w:r>
        <w:t>2.9</w:t>
      </w:r>
      <w:r>
        <w:tab/>
      </w:r>
      <w:r w:rsidR="006D3E4A" w:rsidRPr="00FB3195">
        <w:t>Steps taken to migrate</w:t>
      </w:r>
      <w:bookmarkEnd w:id="514"/>
      <w:bookmarkEnd w:id="515"/>
      <w:bookmarkEnd w:id="516"/>
      <w:bookmarkEnd w:id="517"/>
      <w:bookmarkEnd w:id="518"/>
    </w:p>
    <w:p w14:paraId="3AB0FFA5" w14:textId="77777777" w:rsidR="006D3E4A" w:rsidRPr="00FB3195" w:rsidRDefault="006D3E4A" w:rsidP="006D3E4A">
      <w:pPr>
        <w:spacing w:before="120"/>
        <w:rPr>
          <w:lang w:eastAsia="zh-CN"/>
        </w:rPr>
      </w:pPr>
      <w:r w:rsidRPr="00FB3195">
        <w:rPr>
          <w:lang w:eastAsia="zh-CN"/>
        </w:rPr>
        <w:t>It was decided to add some additional questions after the first two campus countries were visited. These questions sought information on the actual steps taken to migrate to Australia and New Zealand and what problems the graduates had encountered. Most responses related to Australia</w:t>
      </w:r>
      <w:r w:rsidR="00DA591E">
        <w:rPr>
          <w:lang w:eastAsia="zh-CN"/>
        </w:rPr>
        <w:t>,</w:t>
      </w:r>
      <w:r w:rsidRPr="00FB3195">
        <w:rPr>
          <w:lang w:eastAsia="zh-CN"/>
        </w:rPr>
        <w:t xml:space="preserve"> with a much smaller number of APTC graduates giving details of the steps they had taken to migrate to New Zealand. </w:t>
      </w:r>
    </w:p>
    <w:p w14:paraId="6AB2C97E" w14:textId="77777777" w:rsidR="0070102D" w:rsidRDefault="0070102D">
      <w:pPr>
        <w:spacing w:after="0"/>
        <w:rPr>
          <w:lang w:eastAsia="zh-CN"/>
        </w:rPr>
      </w:pPr>
      <w:r>
        <w:rPr>
          <w:lang w:eastAsia="zh-CN"/>
        </w:rPr>
        <w:br w:type="page"/>
      </w:r>
    </w:p>
    <w:p w14:paraId="334C3582" w14:textId="2A3595EC" w:rsidR="006D3E4A" w:rsidRPr="00FB3195" w:rsidRDefault="006D3E4A" w:rsidP="006D3E4A">
      <w:pPr>
        <w:spacing w:before="120"/>
        <w:rPr>
          <w:lang w:eastAsia="zh-CN"/>
        </w:rPr>
      </w:pPr>
      <w:r w:rsidRPr="00FB3195">
        <w:rPr>
          <w:lang w:eastAsia="zh-CN"/>
        </w:rPr>
        <w:t xml:space="preserve">The most common step taken (46 per cent of graduates) is to look at the website of Australian Immigration. Less than one-in-five (17 per cent) said they had got information from APTC on how to migrate. One-in-five graduates (22 per cent) had started to apply to migrate online, one-in-six (16 per cent) had asked for help from an immigration agent in Australia and only 7 per cent of graduates had completed the process successfully. Three-in-ten graduates had taken other steps. Just over half of those who said what action they had taken said they were first looking for a job in Australia. </w:t>
      </w:r>
    </w:p>
    <w:p w14:paraId="0DAD8A88" w14:textId="0054430E" w:rsidR="006D3E4A" w:rsidRPr="00FB3195" w:rsidRDefault="006D3E4A" w:rsidP="006D3E4A">
      <w:pPr>
        <w:spacing w:before="120"/>
        <w:rPr>
          <w:lang w:eastAsia="zh-CN"/>
        </w:rPr>
      </w:pPr>
      <w:r w:rsidRPr="00FB3195">
        <w:rPr>
          <w:lang w:eastAsia="zh-CN"/>
        </w:rPr>
        <w:t xml:space="preserve">Some 68 APTC graduates outlined the problems they had encountered. The greatest barrier encountered (34 per cent of the problems mentioned) in applying to migrate was the lack of information or a suitable guide to turn to for help. The next two barriers were the cost or lack of finance to apply for a visa and the difficulty of applying for a visa (16 per cent respectively). The lack of a job offer was the next most important barrier identified (13 per cent), followed by lack of </w:t>
      </w:r>
      <w:r w:rsidR="00DA591E">
        <w:rPr>
          <w:lang w:eastAsia="zh-CN"/>
        </w:rPr>
        <w:t>i</w:t>
      </w:r>
      <w:r w:rsidR="00DA591E" w:rsidRPr="00FB3195">
        <w:rPr>
          <w:lang w:eastAsia="zh-CN"/>
        </w:rPr>
        <w:t xml:space="preserve">nternet </w:t>
      </w:r>
      <w:r w:rsidRPr="00FB3195">
        <w:rPr>
          <w:lang w:eastAsia="zh-CN"/>
        </w:rPr>
        <w:t>access (8 per cent). Other issues mentioned were: qualification not recognised for entry to Australia or New</w:t>
      </w:r>
      <w:r w:rsidR="007A2AE4">
        <w:rPr>
          <w:lang w:eastAsia="zh-CN"/>
        </w:rPr>
        <w:t> </w:t>
      </w:r>
      <w:r w:rsidRPr="00FB3195">
        <w:rPr>
          <w:lang w:eastAsia="zh-CN"/>
        </w:rPr>
        <w:t xml:space="preserve">Zealand (5 per cent), lack of accommodation or contacts (6 per cent) and personal reasons (3 per cent). </w:t>
      </w:r>
    </w:p>
    <w:p w14:paraId="55A82FC3" w14:textId="77777777" w:rsidR="006D3E4A" w:rsidRDefault="006D3E4A" w:rsidP="006D3E4A">
      <w:pPr>
        <w:spacing w:before="120"/>
        <w:rPr>
          <w:lang w:eastAsia="zh-CN"/>
        </w:rPr>
      </w:pPr>
      <w:r w:rsidRPr="00FB3195">
        <w:rPr>
          <w:lang w:eastAsia="zh-CN"/>
        </w:rPr>
        <w:t xml:space="preserve">Graduates were asked what steps they could take to overcome the problems they had encountered. The most prominent step they identified was to seek information from the APTC (28 per cent of all proposed steps). A further 6 per cent of the responses suggested that APTC could help them find a job overseas. Other sources of information referred to were the Internet, and government officials from Australia or New Zealand. Some graduates suggested that the APTC alumni association could play a valuable role in providing information and guidance on how to apply to migrate. However, few graduates were aware of the importance of getting a job offer first, the need to have the required qualification level or appropriate work experience as basic requirements for approval to enter Australia or New Zealand as a skilled migrant.  </w:t>
      </w:r>
    </w:p>
    <w:p w14:paraId="23F1F3E3" w14:textId="77777777" w:rsidR="00721BD5" w:rsidRPr="00721BD5" w:rsidRDefault="00721BD5" w:rsidP="006D3E4A">
      <w:pPr>
        <w:spacing w:before="120"/>
        <w:rPr>
          <w:sz w:val="2"/>
          <w:lang w:eastAsia="zh-CN"/>
        </w:rPr>
      </w:pPr>
    </w:p>
    <w:p w14:paraId="303D3A10" w14:textId="77777777" w:rsidR="003D355F" w:rsidRDefault="006361CD" w:rsidP="002028A6">
      <w:pPr>
        <w:pStyle w:val="Heading1"/>
        <w:rPr>
          <w:lang w:eastAsia="zh-CN"/>
        </w:rPr>
      </w:pPr>
      <w:bookmarkStart w:id="519" w:name="_Toc278447880"/>
      <w:bookmarkStart w:id="520" w:name="_Toc278453353"/>
      <w:r>
        <w:rPr>
          <w:lang w:eastAsia="zh-CN"/>
        </w:rPr>
        <w:t>3</w:t>
      </w:r>
      <w:r>
        <w:rPr>
          <w:lang w:eastAsia="zh-CN"/>
        </w:rPr>
        <w:tab/>
      </w:r>
      <w:r w:rsidR="00734705">
        <w:rPr>
          <w:lang w:eastAsia="zh-CN"/>
        </w:rPr>
        <w:t>Responses from employers</w:t>
      </w:r>
      <w:bookmarkEnd w:id="519"/>
      <w:bookmarkEnd w:id="520"/>
      <w:r w:rsidR="00734705">
        <w:rPr>
          <w:lang w:eastAsia="zh-CN"/>
        </w:rPr>
        <w:t xml:space="preserve"> </w:t>
      </w:r>
    </w:p>
    <w:p w14:paraId="37E932B5" w14:textId="77777777" w:rsidR="006D3E4A" w:rsidRPr="00FB3195" w:rsidRDefault="006D3E4A" w:rsidP="006D3E4A">
      <w:pPr>
        <w:spacing w:before="120"/>
        <w:rPr>
          <w:lang w:eastAsia="zh-CN"/>
        </w:rPr>
      </w:pPr>
      <w:r w:rsidRPr="00FB3195">
        <w:rPr>
          <w:lang w:eastAsia="zh-CN"/>
        </w:rPr>
        <w:t xml:space="preserve">The response by employers to the invitation to meet the review team was low. Employers completed only 38 questionnaires with widely varying responses by country, although a number of other employers, especially in PNG, took part in the discussions.  A request for employers to provide detailed wages information may have contributed to a low response rates, especially in PNG, Solomon Islands and Vanuatu. Samoan employers contributed 18 questionnaires although three are from employer associations. Vanuatu </w:t>
      </w:r>
      <w:r w:rsidR="00B15351">
        <w:rPr>
          <w:lang w:eastAsia="zh-CN"/>
        </w:rPr>
        <w:t>had</w:t>
      </w:r>
      <w:r w:rsidR="00B15351" w:rsidRPr="00FB3195">
        <w:rPr>
          <w:lang w:eastAsia="zh-CN"/>
        </w:rPr>
        <w:t xml:space="preserve"> </w:t>
      </w:r>
      <w:r w:rsidRPr="00FB3195">
        <w:rPr>
          <w:lang w:eastAsia="zh-CN"/>
        </w:rPr>
        <w:t>9</w:t>
      </w:r>
      <w:r w:rsidR="00B15351">
        <w:rPr>
          <w:lang w:eastAsia="zh-CN"/>
        </w:rPr>
        <w:t xml:space="preserve"> responses</w:t>
      </w:r>
      <w:r w:rsidRPr="00FB3195">
        <w:rPr>
          <w:lang w:eastAsia="zh-CN"/>
        </w:rPr>
        <w:t xml:space="preserve">, Fiji </w:t>
      </w:r>
      <w:r w:rsidR="00B15351">
        <w:rPr>
          <w:lang w:eastAsia="zh-CN"/>
        </w:rPr>
        <w:t xml:space="preserve">had </w:t>
      </w:r>
      <w:r w:rsidRPr="00FB3195">
        <w:rPr>
          <w:lang w:eastAsia="zh-CN"/>
        </w:rPr>
        <w:t xml:space="preserve">7 and PNG only 4. No questionnaires were received from employers in Solomon Islands. </w:t>
      </w:r>
    </w:p>
    <w:p w14:paraId="084B1AC1" w14:textId="77777777" w:rsidR="006D3E4A" w:rsidRPr="00FB3195" w:rsidRDefault="006D3E4A" w:rsidP="006D3E4A">
      <w:pPr>
        <w:spacing w:before="120"/>
        <w:rPr>
          <w:lang w:eastAsia="zh-CN"/>
        </w:rPr>
      </w:pPr>
      <w:r w:rsidRPr="00FB3195">
        <w:rPr>
          <w:lang w:eastAsia="zh-CN"/>
        </w:rPr>
        <w:t xml:space="preserve">APTC provided a list of the employers with whom they have a relationship. This list, which is entitled ‘Industry Relationships </w:t>
      </w:r>
      <w:r w:rsidR="00434B20">
        <w:rPr>
          <w:lang w:eastAsia="zh-CN"/>
        </w:rPr>
        <w:t>–</w:t>
      </w:r>
      <w:r w:rsidRPr="00FB3195">
        <w:rPr>
          <w:lang w:eastAsia="zh-CN"/>
        </w:rPr>
        <w:t xml:space="preserve"> Informal (employer/work placement/ industry support)’, includes employers in four of the five campus countries (Fiji is missing). The number of employers by country is presented in the table below and provides the basis for estimating country response rates. </w:t>
      </w:r>
    </w:p>
    <w:p w14:paraId="444E1F27" w14:textId="77777777" w:rsidR="006D3E4A" w:rsidRPr="006270FD" w:rsidRDefault="006D3E4A" w:rsidP="006D3E4A">
      <w:pPr>
        <w:spacing w:before="120"/>
        <w:rPr>
          <w:lang w:eastAsia="zh-CN"/>
        </w:rPr>
      </w:pPr>
      <w:r w:rsidRPr="00FB3195">
        <w:rPr>
          <w:lang w:eastAsia="zh-CN"/>
        </w:rPr>
        <w:t xml:space="preserve">Three-in-five employers (58 per cent) did not identify themselves and in many cases did not provide other information as well. The unidentified employers were on average small employers (median 14 employees). The employers who identified themselves were often very large employers (range 400 to 2000 employees). These small numbers of employers and wide range for employment size from 2 to 2000 make it difficult to draw any clear conclusions from the following results. </w:t>
      </w:r>
    </w:p>
    <w:p w14:paraId="1671CBDC" w14:textId="77777777" w:rsidR="00077A42" w:rsidRDefault="00077A42">
      <w:pPr>
        <w:spacing w:after="0"/>
        <w:rPr>
          <w:rFonts w:cs="Arial"/>
          <w:b/>
          <w:color w:val="76923C"/>
          <w:szCs w:val="22"/>
          <w:lang w:eastAsia="zh-CN"/>
        </w:rPr>
      </w:pPr>
      <w:bookmarkStart w:id="521" w:name="_Toc274146473"/>
      <w:bookmarkStart w:id="522" w:name="_Toc274915932"/>
      <w:bookmarkStart w:id="523" w:name="_Toc278446912"/>
      <w:r>
        <w:rPr>
          <w:lang w:eastAsia="zh-CN"/>
        </w:rPr>
        <w:br w:type="page"/>
      </w:r>
    </w:p>
    <w:p w14:paraId="040DE820" w14:textId="478452E2" w:rsidR="006D3E4A" w:rsidRPr="00FB3195" w:rsidRDefault="006D3E4A" w:rsidP="006270FD">
      <w:pPr>
        <w:pStyle w:val="Tableheading"/>
        <w:rPr>
          <w:lang w:eastAsia="zh-CN"/>
        </w:rPr>
      </w:pPr>
      <w:r>
        <w:rPr>
          <w:lang w:eastAsia="zh-CN"/>
        </w:rPr>
        <w:t>Table 5</w:t>
      </w:r>
      <w:r w:rsidRPr="00FB3195">
        <w:rPr>
          <w:lang w:eastAsia="zh-CN"/>
        </w:rPr>
        <w:t xml:space="preserve">.4: Estimated response rate of employers to the </w:t>
      </w:r>
      <w:r w:rsidR="00E01D18">
        <w:rPr>
          <w:lang w:eastAsia="zh-CN"/>
        </w:rPr>
        <w:br/>
      </w:r>
      <w:r w:rsidRPr="00FB3195">
        <w:rPr>
          <w:lang w:eastAsia="zh-CN"/>
        </w:rPr>
        <w:t>review team’s survey, June</w:t>
      </w:r>
      <w:r w:rsidR="006270FD">
        <w:rPr>
          <w:lang w:eastAsia="zh-CN"/>
        </w:rPr>
        <w:t>–</w:t>
      </w:r>
      <w:r w:rsidRPr="00FB3195">
        <w:rPr>
          <w:lang w:eastAsia="zh-CN"/>
        </w:rPr>
        <w:t>August 2014</w:t>
      </w:r>
      <w:bookmarkEnd w:id="521"/>
      <w:bookmarkEnd w:id="522"/>
      <w:bookmarkEnd w:id="523"/>
      <w:r w:rsidRPr="00FB3195">
        <w:rPr>
          <w:lang w:eastAsia="zh-CN"/>
        </w:rPr>
        <w:t xml:space="preserve"> </w:t>
      </w:r>
    </w:p>
    <w:tbl>
      <w:tblPr>
        <w:tblW w:w="0" w:type="auto"/>
        <w:tblInd w:w="108" w:type="dxa"/>
        <w:tblCellMar>
          <w:left w:w="10" w:type="dxa"/>
          <w:right w:w="10" w:type="dxa"/>
        </w:tblCellMar>
        <w:tblLook w:val="0000" w:firstRow="0" w:lastRow="0" w:firstColumn="0" w:lastColumn="0" w:noHBand="0" w:noVBand="0"/>
      </w:tblPr>
      <w:tblGrid>
        <w:gridCol w:w="1371"/>
        <w:gridCol w:w="1110"/>
        <w:gridCol w:w="1110"/>
        <w:gridCol w:w="1110"/>
      </w:tblGrid>
      <w:tr w:rsidR="005545B5" w14:paraId="42DC4BF3" w14:textId="77777777" w:rsidTr="00E01D18">
        <w:tc>
          <w:tcPr>
            <w:tcW w:w="0" w:type="auto"/>
            <w:shd w:val="clear" w:color="auto" w:fill="C5E0B3" w:themeFill="accent6" w:themeFillTint="66"/>
            <w:tcMar>
              <w:top w:w="0" w:type="dxa"/>
              <w:left w:w="20" w:type="dxa"/>
              <w:bottom w:w="0" w:type="dxa"/>
              <w:right w:w="20" w:type="dxa"/>
            </w:tcMar>
          </w:tcPr>
          <w:p w14:paraId="248EB5A5" w14:textId="77777777" w:rsidR="006D3E4A" w:rsidRPr="006270FD" w:rsidRDefault="006D3E4A" w:rsidP="006270FD">
            <w:pPr>
              <w:suppressAutoHyphens/>
              <w:spacing w:after="0"/>
              <w:rPr>
                <w:b/>
                <w:sz w:val="18"/>
                <w:szCs w:val="20"/>
                <w:lang w:eastAsia="zh-CN"/>
              </w:rPr>
            </w:pPr>
            <w:r w:rsidRPr="006270FD">
              <w:rPr>
                <w:b/>
                <w:sz w:val="18"/>
                <w:szCs w:val="20"/>
                <w:lang w:eastAsia="zh-CN"/>
              </w:rPr>
              <w:t>Country</w:t>
            </w:r>
          </w:p>
        </w:tc>
        <w:tc>
          <w:tcPr>
            <w:tcW w:w="1110" w:type="dxa"/>
            <w:shd w:val="clear" w:color="auto" w:fill="C5E0B3" w:themeFill="accent6" w:themeFillTint="66"/>
            <w:tcMar>
              <w:top w:w="0" w:type="dxa"/>
              <w:left w:w="20" w:type="dxa"/>
              <w:bottom w:w="0" w:type="dxa"/>
              <w:right w:w="20" w:type="dxa"/>
            </w:tcMar>
          </w:tcPr>
          <w:p w14:paraId="11DB4041" w14:textId="77777777" w:rsidR="003D355F" w:rsidRDefault="006D3E4A" w:rsidP="00E01D18">
            <w:pPr>
              <w:suppressAutoHyphens/>
              <w:spacing w:after="0"/>
              <w:jc w:val="center"/>
              <w:rPr>
                <w:b/>
                <w:sz w:val="18"/>
                <w:szCs w:val="20"/>
                <w:lang w:eastAsia="zh-CN"/>
              </w:rPr>
            </w:pPr>
            <w:r w:rsidRPr="006270FD">
              <w:rPr>
                <w:b/>
                <w:sz w:val="18"/>
                <w:szCs w:val="20"/>
                <w:lang w:eastAsia="zh-CN"/>
              </w:rPr>
              <w:t>No</w:t>
            </w:r>
            <w:r w:rsidR="00434B20">
              <w:rPr>
                <w:b/>
                <w:sz w:val="18"/>
                <w:szCs w:val="20"/>
                <w:lang w:eastAsia="zh-CN"/>
              </w:rPr>
              <w:t>.</w:t>
            </w:r>
            <w:r w:rsidRPr="006270FD">
              <w:rPr>
                <w:b/>
                <w:sz w:val="18"/>
                <w:szCs w:val="20"/>
                <w:lang w:eastAsia="zh-CN"/>
              </w:rPr>
              <w:t xml:space="preserve"> of responses</w:t>
            </w:r>
          </w:p>
        </w:tc>
        <w:tc>
          <w:tcPr>
            <w:tcW w:w="1110" w:type="dxa"/>
            <w:shd w:val="clear" w:color="auto" w:fill="C5E0B3" w:themeFill="accent6" w:themeFillTint="66"/>
            <w:tcMar>
              <w:top w:w="0" w:type="dxa"/>
              <w:left w:w="20" w:type="dxa"/>
              <w:bottom w:w="0" w:type="dxa"/>
              <w:right w:w="20" w:type="dxa"/>
            </w:tcMar>
          </w:tcPr>
          <w:p w14:paraId="233CB1C4" w14:textId="77777777" w:rsidR="003D355F" w:rsidRDefault="006D3E4A" w:rsidP="00E01D18">
            <w:pPr>
              <w:suppressAutoHyphens/>
              <w:spacing w:after="0"/>
              <w:jc w:val="center"/>
              <w:rPr>
                <w:b/>
                <w:sz w:val="18"/>
                <w:szCs w:val="20"/>
                <w:lang w:eastAsia="zh-CN"/>
              </w:rPr>
            </w:pPr>
            <w:r w:rsidRPr="006270FD">
              <w:rPr>
                <w:b/>
                <w:sz w:val="18"/>
                <w:szCs w:val="20"/>
                <w:lang w:eastAsia="zh-CN"/>
              </w:rPr>
              <w:t>No</w:t>
            </w:r>
            <w:r w:rsidR="00434B20">
              <w:rPr>
                <w:b/>
                <w:sz w:val="18"/>
                <w:szCs w:val="20"/>
                <w:lang w:eastAsia="zh-CN"/>
              </w:rPr>
              <w:t>.</w:t>
            </w:r>
            <w:r w:rsidRPr="006270FD">
              <w:rPr>
                <w:b/>
                <w:sz w:val="18"/>
                <w:szCs w:val="20"/>
                <w:lang w:eastAsia="zh-CN"/>
              </w:rPr>
              <w:t xml:space="preserve"> of employers on APTC list</w:t>
            </w:r>
          </w:p>
        </w:tc>
        <w:tc>
          <w:tcPr>
            <w:tcW w:w="1110" w:type="dxa"/>
            <w:shd w:val="clear" w:color="auto" w:fill="C5E0B3" w:themeFill="accent6" w:themeFillTint="66"/>
            <w:tcMar>
              <w:top w:w="0" w:type="dxa"/>
              <w:left w:w="20" w:type="dxa"/>
              <w:bottom w:w="0" w:type="dxa"/>
              <w:right w:w="20" w:type="dxa"/>
            </w:tcMar>
          </w:tcPr>
          <w:p w14:paraId="6A7C6FDC" w14:textId="77777777" w:rsidR="003D355F" w:rsidRDefault="006D3E4A" w:rsidP="00E01D18">
            <w:pPr>
              <w:suppressAutoHyphens/>
              <w:spacing w:after="0"/>
              <w:jc w:val="center"/>
              <w:rPr>
                <w:rFonts w:eastAsiaTheme="minorEastAsia" w:cstheme="minorBidi"/>
                <w:b/>
                <w:sz w:val="18"/>
                <w:szCs w:val="20"/>
                <w:lang w:val="en-US" w:eastAsia="zh-CN"/>
              </w:rPr>
            </w:pPr>
            <w:r w:rsidRPr="006270FD">
              <w:rPr>
                <w:b/>
                <w:sz w:val="18"/>
                <w:szCs w:val="20"/>
                <w:lang w:eastAsia="zh-CN"/>
              </w:rPr>
              <w:t>Response rate</w:t>
            </w:r>
          </w:p>
        </w:tc>
      </w:tr>
      <w:tr w:rsidR="005545B5" w14:paraId="569DE199" w14:textId="77777777" w:rsidTr="00E01D18">
        <w:tc>
          <w:tcPr>
            <w:tcW w:w="0" w:type="auto"/>
            <w:tcMar>
              <w:top w:w="0" w:type="dxa"/>
              <w:left w:w="20" w:type="dxa"/>
              <w:bottom w:w="0" w:type="dxa"/>
              <w:right w:w="20" w:type="dxa"/>
            </w:tcMar>
            <w:vAlign w:val="bottom"/>
          </w:tcPr>
          <w:p w14:paraId="185A7AE1"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Fiji</w:t>
            </w:r>
          </w:p>
        </w:tc>
        <w:tc>
          <w:tcPr>
            <w:tcW w:w="1110" w:type="dxa"/>
            <w:tcMar>
              <w:top w:w="0" w:type="dxa"/>
              <w:left w:w="20" w:type="dxa"/>
              <w:bottom w:w="0" w:type="dxa"/>
              <w:right w:w="20" w:type="dxa"/>
            </w:tcMar>
            <w:vAlign w:val="bottom"/>
          </w:tcPr>
          <w:p w14:paraId="6228B5CB"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7</w:t>
            </w:r>
          </w:p>
        </w:tc>
        <w:tc>
          <w:tcPr>
            <w:tcW w:w="1110" w:type="dxa"/>
            <w:tcMar>
              <w:top w:w="0" w:type="dxa"/>
              <w:left w:w="20" w:type="dxa"/>
              <w:bottom w:w="0" w:type="dxa"/>
              <w:right w:w="20" w:type="dxa"/>
            </w:tcMar>
            <w:vAlign w:val="bottom"/>
          </w:tcPr>
          <w:p w14:paraId="4ED32574"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n/a</w:t>
            </w:r>
          </w:p>
        </w:tc>
        <w:tc>
          <w:tcPr>
            <w:tcW w:w="1110" w:type="dxa"/>
            <w:tcMar>
              <w:top w:w="0" w:type="dxa"/>
              <w:left w:w="20" w:type="dxa"/>
              <w:bottom w:w="0" w:type="dxa"/>
              <w:right w:w="20" w:type="dxa"/>
            </w:tcMar>
            <w:vAlign w:val="bottom"/>
          </w:tcPr>
          <w:p w14:paraId="1550C4E2" w14:textId="77777777" w:rsidR="006D3E4A" w:rsidRPr="006270FD" w:rsidRDefault="006D3E4A" w:rsidP="00E01D18">
            <w:pPr>
              <w:spacing w:before="20" w:after="20"/>
              <w:jc w:val="center"/>
              <w:rPr>
                <w:rFonts w:cs="Arial"/>
                <w:color w:val="000000"/>
                <w:sz w:val="18"/>
                <w:lang w:eastAsia="en-AU"/>
              </w:rPr>
            </w:pPr>
          </w:p>
        </w:tc>
      </w:tr>
      <w:tr w:rsidR="005545B5" w14:paraId="11F4C654" w14:textId="77777777" w:rsidTr="00E01D18">
        <w:tc>
          <w:tcPr>
            <w:tcW w:w="0" w:type="auto"/>
            <w:tcMar>
              <w:top w:w="0" w:type="dxa"/>
              <w:left w:w="20" w:type="dxa"/>
              <w:bottom w:w="0" w:type="dxa"/>
              <w:right w:w="20" w:type="dxa"/>
            </w:tcMar>
            <w:vAlign w:val="bottom"/>
          </w:tcPr>
          <w:p w14:paraId="01E4A013"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PNG</w:t>
            </w:r>
          </w:p>
        </w:tc>
        <w:tc>
          <w:tcPr>
            <w:tcW w:w="1110" w:type="dxa"/>
            <w:tcMar>
              <w:top w:w="0" w:type="dxa"/>
              <w:left w:w="20" w:type="dxa"/>
              <w:bottom w:w="0" w:type="dxa"/>
              <w:right w:w="20" w:type="dxa"/>
            </w:tcMar>
            <w:vAlign w:val="bottom"/>
          </w:tcPr>
          <w:p w14:paraId="3ADDA530"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4</w:t>
            </w:r>
          </w:p>
        </w:tc>
        <w:tc>
          <w:tcPr>
            <w:tcW w:w="1110" w:type="dxa"/>
            <w:tcMar>
              <w:top w:w="0" w:type="dxa"/>
              <w:left w:w="20" w:type="dxa"/>
              <w:bottom w:w="0" w:type="dxa"/>
              <w:right w:w="20" w:type="dxa"/>
            </w:tcMar>
            <w:vAlign w:val="bottom"/>
          </w:tcPr>
          <w:p w14:paraId="6416E353"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32</w:t>
            </w:r>
          </w:p>
        </w:tc>
        <w:tc>
          <w:tcPr>
            <w:tcW w:w="1110" w:type="dxa"/>
            <w:tcMar>
              <w:top w:w="0" w:type="dxa"/>
              <w:left w:w="20" w:type="dxa"/>
              <w:bottom w:w="0" w:type="dxa"/>
              <w:right w:w="20" w:type="dxa"/>
            </w:tcMar>
            <w:vAlign w:val="bottom"/>
          </w:tcPr>
          <w:p w14:paraId="5D1BE388"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12.5</w:t>
            </w:r>
          </w:p>
        </w:tc>
      </w:tr>
      <w:tr w:rsidR="005545B5" w14:paraId="0EF1B226" w14:textId="77777777" w:rsidTr="00E01D18">
        <w:tc>
          <w:tcPr>
            <w:tcW w:w="0" w:type="auto"/>
            <w:tcMar>
              <w:top w:w="0" w:type="dxa"/>
              <w:left w:w="20" w:type="dxa"/>
              <w:bottom w:w="0" w:type="dxa"/>
              <w:right w:w="20" w:type="dxa"/>
            </w:tcMar>
            <w:vAlign w:val="bottom"/>
          </w:tcPr>
          <w:p w14:paraId="766949E5"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Samoa</w:t>
            </w:r>
          </w:p>
        </w:tc>
        <w:tc>
          <w:tcPr>
            <w:tcW w:w="1110" w:type="dxa"/>
            <w:tcMar>
              <w:top w:w="0" w:type="dxa"/>
              <w:left w:w="20" w:type="dxa"/>
              <w:bottom w:w="0" w:type="dxa"/>
              <w:right w:w="20" w:type="dxa"/>
            </w:tcMar>
            <w:vAlign w:val="bottom"/>
          </w:tcPr>
          <w:p w14:paraId="4044DE09"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15</w:t>
            </w:r>
          </w:p>
        </w:tc>
        <w:tc>
          <w:tcPr>
            <w:tcW w:w="1110" w:type="dxa"/>
            <w:tcMar>
              <w:top w:w="0" w:type="dxa"/>
              <w:left w:w="20" w:type="dxa"/>
              <w:bottom w:w="0" w:type="dxa"/>
              <w:right w:w="20" w:type="dxa"/>
            </w:tcMar>
            <w:vAlign w:val="bottom"/>
          </w:tcPr>
          <w:p w14:paraId="2D06E540"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110</w:t>
            </w:r>
          </w:p>
        </w:tc>
        <w:tc>
          <w:tcPr>
            <w:tcW w:w="1110" w:type="dxa"/>
            <w:tcMar>
              <w:top w:w="0" w:type="dxa"/>
              <w:left w:w="20" w:type="dxa"/>
              <w:bottom w:w="0" w:type="dxa"/>
              <w:right w:w="20" w:type="dxa"/>
            </w:tcMar>
            <w:vAlign w:val="bottom"/>
          </w:tcPr>
          <w:p w14:paraId="7C9583E4"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13.6</w:t>
            </w:r>
          </w:p>
        </w:tc>
      </w:tr>
      <w:tr w:rsidR="005545B5" w14:paraId="390BE59E" w14:textId="77777777" w:rsidTr="00E01D18">
        <w:tc>
          <w:tcPr>
            <w:tcW w:w="0" w:type="auto"/>
            <w:tcMar>
              <w:top w:w="0" w:type="dxa"/>
              <w:left w:w="20" w:type="dxa"/>
              <w:bottom w:w="0" w:type="dxa"/>
              <w:right w:w="20" w:type="dxa"/>
            </w:tcMar>
            <w:vAlign w:val="bottom"/>
          </w:tcPr>
          <w:p w14:paraId="694C1A11"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Vanuatu</w:t>
            </w:r>
          </w:p>
        </w:tc>
        <w:tc>
          <w:tcPr>
            <w:tcW w:w="1110" w:type="dxa"/>
            <w:tcMar>
              <w:top w:w="0" w:type="dxa"/>
              <w:left w:w="20" w:type="dxa"/>
              <w:bottom w:w="0" w:type="dxa"/>
              <w:right w:w="20" w:type="dxa"/>
            </w:tcMar>
            <w:vAlign w:val="bottom"/>
          </w:tcPr>
          <w:p w14:paraId="2790FC35"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9</w:t>
            </w:r>
          </w:p>
        </w:tc>
        <w:tc>
          <w:tcPr>
            <w:tcW w:w="1110" w:type="dxa"/>
            <w:tcMar>
              <w:top w:w="0" w:type="dxa"/>
              <w:left w:w="20" w:type="dxa"/>
              <w:bottom w:w="0" w:type="dxa"/>
              <w:right w:w="20" w:type="dxa"/>
            </w:tcMar>
            <w:vAlign w:val="bottom"/>
          </w:tcPr>
          <w:p w14:paraId="002844AA"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49</w:t>
            </w:r>
          </w:p>
        </w:tc>
        <w:tc>
          <w:tcPr>
            <w:tcW w:w="1110" w:type="dxa"/>
            <w:tcMar>
              <w:top w:w="0" w:type="dxa"/>
              <w:left w:w="20" w:type="dxa"/>
              <w:bottom w:w="0" w:type="dxa"/>
              <w:right w:w="20" w:type="dxa"/>
            </w:tcMar>
            <w:vAlign w:val="bottom"/>
          </w:tcPr>
          <w:p w14:paraId="23DEE535"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18.4</w:t>
            </w:r>
          </w:p>
        </w:tc>
      </w:tr>
      <w:tr w:rsidR="005545B5" w14:paraId="0BB11624" w14:textId="77777777" w:rsidTr="00E01D18">
        <w:tc>
          <w:tcPr>
            <w:tcW w:w="0" w:type="auto"/>
            <w:tcBorders>
              <w:bottom w:val="single" w:sz="4" w:space="0" w:color="A8D08D" w:themeColor="accent6" w:themeTint="99"/>
            </w:tcBorders>
            <w:tcMar>
              <w:top w:w="0" w:type="dxa"/>
              <w:left w:w="20" w:type="dxa"/>
              <w:bottom w:w="0" w:type="dxa"/>
              <w:right w:w="20" w:type="dxa"/>
            </w:tcMar>
            <w:vAlign w:val="bottom"/>
          </w:tcPr>
          <w:p w14:paraId="1874AB94" w14:textId="77777777" w:rsidR="006D3E4A" w:rsidRPr="006270FD" w:rsidRDefault="006D3E4A" w:rsidP="00236AF0">
            <w:pPr>
              <w:spacing w:before="20" w:after="20"/>
              <w:rPr>
                <w:rFonts w:cs="Arial"/>
                <w:color w:val="000000"/>
                <w:sz w:val="18"/>
                <w:lang w:eastAsia="en-AU"/>
              </w:rPr>
            </w:pPr>
            <w:r w:rsidRPr="006270FD">
              <w:rPr>
                <w:rFonts w:cs="Arial"/>
                <w:color w:val="000000"/>
                <w:sz w:val="18"/>
                <w:lang w:eastAsia="en-AU"/>
              </w:rPr>
              <w:t xml:space="preserve">Solomon Islands </w:t>
            </w:r>
          </w:p>
        </w:tc>
        <w:tc>
          <w:tcPr>
            <w:tcW w:w="1110" w:type="dxa"/>
            <w:tcBorders>
              <w:bottom w:val="single" w:sz="4" w:space="0" w:color="A8D08D" w:themeColor="accent6" w:themeTint="99"/>
            </w:tcBorders>
            <w:tcMar>
              <w:top w:w="0" w:type="dxa"/>
              <w:left w:w="20" w:type="dxa"/>
              <w:bottom w:w="0" w:type="dxa"/>
              <w:right w:w="20" w:type="dxa"/>
            </w:tcMar>
            <w:vAlign w:val="bottom"/>
          </w:tcPr>
          <w:p w14:paraId="4EE703B0"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0</w:t>
            </w:r>
          </w:p>
        </w:tc>
        <w:tc>
          <w:tcPr>
            <w:tcW w:w="1110" w:type="dxa"/>
            <w:tcBorders>
              <w:bottom w:val="single" w:sz="4" w:space="0" w:color="A8D08D" w:themeColor="accent6" w:themeTint="99"/>
            </w:tcBorders>
            <w:tcMar>
              <w:top w:w="0" w:type="dxa"/>
              <w:left w:w="20" w:type="dxa"/>
              <w:bottom w:w="0" w:type="dxa"/>
              <w:right w:w="20" w:type="dxa"/>
            </w:tcMar>
            <w:vAlign w:val="bottom"/>
          </w:tcPr>
          <w:p w14:paraId="0F855640"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74</w:t>
            </w:r>
          </w:p>
        </w:tc>
        <w:tc>
          <w:tcPr>
            <w:tcW w:w="1110" w:type="dxa"/>
            <w:tcBorders>
              <w:bottom w:val="single" w:sz="4" w:space="0" w:color="A8D08D" w:themeColor="accent6" w:themeTint="99"/>
            </w:tcBorders>
            <w:tcMar>
              <w:top w:w="0" w:type="dxa"/>
              <w:left w:w="20" w:type="dxa"/>
              <w:bottom w:w="0" w:type="dxa"/>
              <w:right w:w="20" w:type="dxa"/>
            </w:tcMar>
            <w:vAlign w:val="bottom"/>
          </w:tcPr>
          <w:p w14:paraId="094A8A87" w14:textId="77777777" w:rsidR="006D3E4A" w:rsidRPr="006270FD" w:rsidRDefault="006D3E4A" w:rsidP="00E01D18">
            <w:pPr>
              <w:spacing w:before="20" w:after="20"/>
              <w:jc w:val="center"/>
              <w:rPr>
                <w:rFonts w:cs="Arial"/>
                <w:color w:val="000000"/>
                <w:sz w:val="18"/>
                <w:lang w:eastAsia="en-AU"/>
              </w:rPr>
            </w:pPr>
            <w:r w:rsidRPr="006270FD">
              <w:rPr>
                <w:rFonts w:cs="Arial"/>
                <w:color w:val="000000"/>
                <w:sz w:val="18"/>
                <w:lang w:eastAsia="en-AU"/>
              </w:rPr>
              <w:t>0.0</w:t>
            </w:r>
          </w:p>
        </w:tc>
      </w:tr>
    </w:tbl>
    <w:p w14:paraId="23AB264A" w14:textId="77777777" w:rsidR="003D355F" w:rsidRDefault="003D355F"/>
    <w:p w14:paraId="77E8BC19" w14:textId="77777777" w:rsidR="003D355F" w:rsidRDefault="007C0F90" w:rsidP="002028A6">
      <w:pPr>
        <w:pStyle w:val="Heading2"/>
      </w:pPr>
      <w:bookmarkStart w:id="524" w:name="_Toc274145102"/>
      <w:bookmarkStart w:id="525" w:name="_Toc274900486"/>
      <w:bookmarkStart w:id="526" w:name="_Toc274909865"/>
      <w:bookmarkStart w:id="527" w:name="_Toc278447881"/>
      <w:bookmarkStart w:id="528" w:name="_Toc278453354"/>
      <w:r>
        <w:t>3.1</w:t>
      </w:r>
      <w:r>
        <w:tab/>
      </w:r>
      <w:r w:rsidR="006D3E4A" w:rsidRPr="00FB3195">
        <w:t>Nature of engagement with APTC</w:t>
      </w:r>
      <w:bookmarkEnd w:id="524"/>
      <w:bookmarkEnd w:id="525"/>
      <w:bookmarkEnd w:id="526"/>
      <w:bookmarkEnd w:id="527"/>
      <w:bookmarkEnd w:id="528"/>
    </w:p>
    <w:p w14:paraId="3684F568" w14:textId="77777777" w:rsidR="006D3E4A" w:rsidRPr="00FB3195" w:rsidRDefault="006D3E4A" w:rsidP="006D3E4A">
      <w:pPr>
        <w:spacing w:before="120"/>
        <w:rPr>
          <w:lang w:eastAsia="zh-CN"/>
        </w:rPr>
      </w:pPr>
      <w:r w:rsidRPr="00FB3195">
        <w:rPr>
          <w:lang w:eastAsia="zh-CN"/>
        </w:rPr>
        <w:t xml:space="preserve">The most common form of employer engagement with APTC is to provide work placements (74 per cent), followed by hiring graduates (55 per cent), sponsoring students (40 per cent), </w:t>
      </w:r>
      <w:r w:rsidR="0003547D" w:rsidRPr="00FB3195">
        <w:rPr>
          <w:lang w:eastAsia="zh-CN"/>
        </w:rPr>
        <w:t>fee</w:t>
      </w:r>
      <w:r w:rsidR="0003547D">
        <w:rPr>
          <w:lang w:eastAsia="zh-CN"/>
        </w:rPr>
        <w:t>-</w:t>
      </w:r>
      <w:r w:rsidR="0003547D" w:rsidRPr="00FB3195">
        <w:rPr>
          <w:lang w:eastAsia="zh-CN"/>
        </w:rPr>
        <w:t>for</w:t>
      </w:r>
      <w:r w:rsidR="0003547D">
        <w:rPr>
          <w:lang w:eastAsia="zh-CN"/>
        </w:rPr>
        <w:t>-</w:t>
      </w:r>
      <w:r w:rsidRPr="00FB3195">
        <w:rPr>
          <w:lang w:eastAsia="zh-CN"/>
        </w:rPr>
        <w:t xml:space="preserve">service activities (32 per cent) and taking part in an advisory role (24 per cent). Four employers mentioned other forms of engagement. </w:t>
      </w:r>
    </w:p>
    <w:p w14:paraId="477BEC87" w14:textId="5A93A09B" w:rsidR="00605F05" w:rsidRPr="009D6B97" w:rsidRDefault="006D3E4A" w:rsidP="009D6B97">
      <w:pPr>
        <w:spacing w:before="120"/>
        <w:rPr>
          <w:lang w:eastAsia="zh-CN"/>
        </w:rPr>
      </w:pPr>
      <w:r w:rsidRPr="00FB3195">
        <w:rPr>
          <w:lang w:eastAsia="zh-CN"/>
        </w:rPr>
        <w:t xml:space="preserve">In relation to the advisory role, the 11 employers provided an average of 2.5 days in that role in the year to the survey. The number of days was higher in Samoa (average of 4). The average number of students sponsored was 3.2 per employer (range 1 to 14), with the highest number of sponsored students for employers in Fiji. Employers provided an average of 4.6 work placements (range 1 to 15), varying from 6.7 work placements in Fiji to 4 in Vanuatu. The average number of APTC graduates hired was 3.2 per employer (1 to 16). However, only between 17 and 22 employers responded to these questions. Six employers indicated the amount they paid for fee-for-service activities. </w:t>
      </w:r>
    </w:p>
    <w:p w14:paraId="1E08F4BF" w14:textId="77777777" w:rsidR="00324298" w:rsidRPr="00324298" w:rsidRDefault="00324298" w:rsidP="006D3E4A">
      <w:pPr>
        <w:spacing w:before="120"/>
        <w:rPr>
          <w:sz w:val="2"/>
          <w:lang w:eastAsia="zh-CN"/>
        </w:rPr>
      </w:pPr>
    </w:p>
    <w:p w14:paraId="6DC865FC" w14:textId="77777777" w:rsidR="003D355F" w:rsidRDefault="007C0F90" w:rsidP="002028A6">
      <w:pPr>
        <w:pStyle w:val="Heading2"/>
      </w:pPr>
      <w:bookmarkStart w:id="529" w:name="_Toc274145103"/>
      <w:bookmarkStart w:id="530" w:name="_Toc274900487"/>
      <w:bookmarkStart w:id="531" w:name="_Toc274909866"/>
      <w:bookmarkStart w:id="532" w:name="_Toc278447882"/>
      <w:bookmarkStart w:id="533" w:name="_Toc278453355"/>
      <w:r>
        <w:t>3.2</w:t>
      </w:r>
      <w:r>
        <w:tab/>
      </w:r>
      <w:r w:rsidR="006D3E4A" w:rsidRPr="00FB3195">
        <w:t>Employer views of APTC responsiveness to their needs</w:t>
      </w:r>
      <w:bookmarkEnd w:id="529"/>
      <w:bookmarkEnd w:id="530"/>
      <w:bookmarkEnd w:id="531"/>
      <w:bookmarkEnd w:id="532"/>
      <w:bookmarkEnd w:id="533"/>
    </w:p>
    <w:p w14:paraId="63FA3423" w14:textId="77777777" w:rsidR="009F4EA5" w:rsidRDefault="006D3E4A" w:rsidP="006D3E4A">
      <w:pPr>
        <w:spacing w:before="120"/>
        <w:rPr>
          <w:lang w:eastAsia="zh-CN"/>
        </w:rPr>
      </w:pPr>
      <w:r w:rsidRPr="00FB3195">
        <w:rPr>
          <w:lang w:eastAsia="zh-CN"/>
        </w:rPr>
        <w:t xml:space="preserve">Employers rated four statements about how well APTC responded to the needs of their business. Four-in-five employers agree that APTC graduates have the right kinds of skills needed in their business, with one-in-three strongly agreeing with the statement. On the issue of whether APTC students on work placements </w:t>
      </w:r>
      <w:r w:rsidR="0003547D">
        <w:rPr>
          <w:lang w:eastAsia="zh-CN"/>
        </w:rPr>
        <w:t>‘</w:t>
      </w:r>
      <w:r w:rsidRPr="00FB3195">
        <w:rPr>
          <w:lang w:eastAsia="zh-CN"/>
        </w:rPr>
        <w:t>have the right kinds of skills our business needs</w:t>
      </w:r>
      <w:r w:rsidR="0003547D">
        <w:rPr>
          <w:lang w:eastAsia="zh-CN"/>
        </w:rPr>
        <w:t>’</w:t>
      </w:r>
      <w:r w:rsidRPr="00FB3195">
        <w:rPr>
          <w:lang w:eastAsia="zh-CN"/>
        </w:rPr>
        <w:t xml:space="preserve">, three-in-four employers agreed. Employers also agreed that ‘APTC has made an effort to find out what kinds of skills our business needs’, with two-in-five strongly agreeing with this statement. </w:t>
      </w:r>
    </w:p>
    <w:p w14:paraId="3BFD6AB6" w14:textId="10AF1116" w:rsidR="006D3E4A" w:rsidRPr="00FB3195" w:rsidRDefault="006D3E4A" w:rsidP="006D3E4A">
      <w:pPr>
        <w:spacing w:before="120"/>
        <w:rPr>
          <w:lang w:eastAsia="zh-CN"/>
        </w:rPr>
      </w:pPr>
      <w:r w:rsidRPr="00FB3195">
        <w:rPr>
          <w:lang w:eastAsia="zh-CN"/>
        </w:rPr>
        <w:t xml:space="preserve">A smaller number of employers had experience with APTC’s fee-for-service activity. </w:t>
      </w:r>
      <w:r w:rsidR="0003547D">
        <w:rPr>
          <w:lang w:eastAsia="zh-CN"/>
        </w:rPr>
        <w:t>Of t</w:t>
      </w:r>
      <w:r w:rsidR="0003547D" w:rsidRPr="00FB3195">
        <w:rPr>
          <w:lang w:eastAsia="zh-CN"/>
        </w:rPr>
        <w:t xml:space="preserve">hose </w:t>
      </w:r>
      <w:r w:rsidRPr="00FB3195">
        <w:rPr>
          <w:lang w:eastAsia="zh-CN"/>
        </w:rPr>
        <w:t xml:space="preserve">employers who had paid for this training, near to three-in-four agreed that APTC was good at identifying </w:t>
      </w:r>
      <w:r w:rsidR="0003547D">
        <w:rPr>
          <w:lang w:eastAsia="zh-CN"/>
        </w:rPr>
        <w:t>‘</w:t>
      </w:r>
      <w:r w:rsidRPr="00FB3195">
        <w:rPr>
          <w:lang w:eastAsia="zh-CN"/>
        </w:rPr>
        <w:t>the right kinds of skills we needed in our business</w:t>
      </w:r>
      <w:r w:rsidR="0003547D">
        <w:rPr>
          <w:lang w:eastAsia="zh-CN"/>
        </w:rPr>
        <w:t>’</w:t>
      </w:r>
      <w:r w:rsidRPr="00FB3195">
        <w:rPr>
          <w:lang w:eastAsia="zh-CN"/>
        </w:rPr>
        <w:t xml:space="preserve">, with two-in-four strongly agreeing with the statement. </w:t>
      </w:r>
    </w:p>
    <w:p w14:paraId="4D28A7BC" w14:textId="77777777" w:rsidR="009D6B97" w:rsidRDefault="009D6B97">
      <w:pPr>
        <w:spacing w:after="0"/>
        <w:rPr>
          <w:rFonts w:cs="Arial"/>
          <w:b/>
          <w:color w:val="76923C"/>
          <w:szCs w:val="22"/>
          <w:lang w:eastAsia="zh-CN"/>
        </w:rPr>
      </w:pPr>
      <w:bookmarkStart w:id="534" w:name="_Toc274146474"/>
      <w:bookmarkStart w:id="535" w:name="_Toc274915933"/>
      <w:bookmarkStart w:id="536" w:name="_Toc278446913"/>
      <w:r>
        <w:rPr>
          <w:lang w:eastAsia="zh-CN"/>
        </w:rPr>
        <w:br w:type="page"/>
      </w:r>
    </w:p>
    <w:p w14:paraId="03F38CD5" w14:textId="6C8533FF" w:rsidR="006D3E4A" w:rsidRPr="00FB3195" w:rsidRDefault="006D3E4A" w:rsidP="004351EB">
      <w:pPr>
        <w:pStyle w:val="Tableheading"/>
        <w:rPr>
          <w:lang w:eastAsia="zh-CN"/>
        </w:rPr>
      </w:pPr>
      <w:r>
        <w:rPr>
          <w:lang w:eastAsia="zh-CN"/>
        </w:rPr>
        <w:t>Table 5</w:t>
      </w:r>
      <w:r w:rsidRPr="00FB3195">
        <w:rPr>
          <w:lang w:eastAsia="zh-CN"/>
        </w:rPr>
        <w:t>.5: Ratings by employers of statements about APTC responsiveness, June</w:t>
      </w:r>
      <w:r w:rsidR="009B715D">
        <w:rPr>
          <w:lang w:eastAsia="zh-CN"/>
        </w:rPr>
        <w:t>–</w:t>
      </w:r>
      <w:r w:rsidRPr="00FB3195">
        <w:rPr>
          <w:lang w:eastAsia="zh-CN"/>
        </w:rPr>
        <w:t>August 2014</w:t>
      </w:r>
      <w:r w:rsidR="004351EB">
        <w:rPr>
          <w:lang w:eastAsia="zh-CN"/>
        </w:rPr>
        <w:t xml:space="preserve"> (%)</w:t>
      </w:r>
      <w:bookmarkEnd w:id="534"/>
      <w:bookmarkEnd w:id="535"/>
      <w:bookmarkEnd w:id="536"/>
    </w:p>
    <w:tbl>
      <w:tblPr>
        <w:tblW w:w="0" w:type="auto"/>
        <w:tblInd w:w="108" w:type="dxa"/>
        <w:tblLayout w:type="fixed"/>
        <w:tblCellMar>
          <w:left w:w="10" w:type="dxa"/>
          <w:right w:w="10" w:type="dxa"/>
        </w:tblCellMar>
        <w:tblLook w:val="0000" w:firstRow="0" w:lastRow="0" w:firstColumn="0" w:lastColumn="0" w:noHBand="0" w:noVBand="0"/>
      </w:tblPr>
      <w:tblGrid>
        <w:gridCol w:w="3620"/>
        <w:gridCol w:w="783"/>
        <w:gridCol w:w="528"/>
        <w:gridCol w:w="685"/>
        <w:gridCol w:w="567"/>
        <w:gridCol w:w="851"/>
        <w:gridCol w:w="471"/>
        <w:gridCol w:w="433"/>
      </w:tblGrid>
      <w:tr w:rsidR="006D3E4A" w:rsidRPr="009F4EA5" w14:paraId="55AA0C1B" w14:textId="77777777" w:rsidTr="009D6B97">
        <w:tc>
          <w:tcPr>
            <w:tcW w:w="3620" w:type="dxa"/>
            <w:shd w:val="clear" w:color="auto" w:fill="C5E0B3" w:themeFill="accent6" w:themeFillTint="66"/>
            <w:tcMar>
              <w:top w:w="0" w:type="dxa"/>
              <w:left w:w="20" w:type="dxa"/>
              <w:bottom w:w="0" w:type="dxa"/>
              <w:right w:w="20" w:type="dxa"/>
            </w:tcMar>
          </w:tcPr>
          <w:p w14:paraId="316E6A26" w14:textId="77777777" w:rsidR="006D3E4A" w:rsidRPr="004351EB" w:rsidRDefault="006D3E4A" w:rsidP="004351EB">
            <w:pPr>
              <w:suppressAutoHyphens/>
              <w:spacing w:after="0"/>
              <w:rPr>
                <w:b/>
                <w:sz w:val="18"/>
                <w:szCs w:val="20"/>
                <w:lang w:eastAsia="zh-CN"/>
              </w:rPr>
            </w:pPr>
            <w:r w:rsidRPr="004351EB">
              <w:rPr>
                <w:b/>
                <w:sz w:val="18"/>
                <w:szCs w:val="20"/>
                <w:lang w:eastAsia="zh-CN"/>
              </w:rPr>
              <w:t xml:space="preserve">APTC </w:t>
            </w:r>
            <w:r w:rsidR="004351EB">
              <w:rPr>
                <w:b/>
                <w:sz w:val="18"/>
                <w:szCs w:val="20"/>
                <w:lang w:eastAsia="zh-CN"/>
              </w:rPr>
              <w:t>r</w:t>
            </w:r>
            <w:r w:rsidRPr="004351EB">
              <w:rPr>
                <w:b/>
                <w:sz w:val="18"/>
                <w:szCs w:val="20"/>
                <w:lang w:eastAsia="zh-CN"/>
              </w:rPr>
              <w:t>esponsiveness to employer needs</w:t>
            </w:r>
          </w:p>
        </w:tc>
        <w:tc>
          <w:tcPr>
            <w:tcW w:w="783" w:type="dxa"/>
            <w:shd w:val="clear" w:color="auto" w:fill="C5E0B3" w:themeFill="accent6" w:themeFillTint="66"/>
            <w:tcMar>
              <w:top w:w="0" w:type="dxa"/>
              <w:left w:w="20" w:type="dxa"/>
              <w:bottom w:w="0" w:type="dxa"/>
              <w:right w:w="20" w:type="dxa"/>
            </w:tcMar>
          </w:tcPr>
          <w:p w14:paraId="73EAF211" w14:textId="77777777" w:rsidR="003D355F" w:rsidRPr="009F4EA5" w:rsidRDefault="006D3E4A" w:rsidP="009D6B97">
            <w:pPr>
              <w:suppressAutoHyphens/>
              <w:spacing w:after="0"/>
              <w:jc w:val="center"/>
              <w:rPr>
                <w:b/>
                <w:sz w:val="16"/>
                <w:szCs w:val="16"/>
                <w:lang w:eastAsia="zh-CN"/>
              </w:rPr>
            </w:pPr>
            <w:r w:rsidRPr="009F4EA5">
              <w:rPr>
                <w:b/>
                <w:sz w:val="16"/>
                <w:szCs w:val="16"/>
                <w:lang w:eastAsia="zh-CN"/>
              </w:rPr>
              <w:t>Strongly disagree</w:t>
            </w:r>
          </w:p>
        </w:tc>
        <w:tc>
          <w:tcPr>
            <w:tcW w:w="528" w:type="dxa"/>
            <w:shd w:val="clear" w:color="auto" w:fill="C5E0B3" w:themeFill="accent6" w:themeFillTint="66"/>
            <w:tcMar>
              <w:top w:w="0" w:type="dxa"/>
              <w:left w:w="20" w:type="dxa"/>
              <w:bottom w:w="0" w:type="dxa"/>
              <w:right w:w="20" w:type="dxa"/>
            </w:tcMar>
          </w:tcPr>
          <w:p w14:paraId="17557435" w14:textId="272F41D3" w:rsidR="003D355F" w:rsidRPr="009F4EA5" w:rsidRDefault="006D3E4A" w:rsidP="009D6B97">
            <w:pPr>
              <w:suppressAutoHyphens/>
              <w:spacing w:after="0"/>
              <w:jc w:val="center"/>
              <w:rPr>
                <w:b/>
                <w:sz w:val="16"/>
                <w:szCs w:val="16"/>
                <w:lang w:eastAsia="zh-CN"/>
              </w:rPr>
            </w:pPr>
            <w:r w:rsidRPr="009F4EA5">
              <w:rPr>
                <w:b/>
                <w:sz w:val="16"/>
                <w:szCs w:val="16"/>
                <w:lang w:eastAsia="zh-CN"/>
              </w:rPr>
              <w:t>Dis</w:t>
            </w:r>
            <w:r w:rsidR="009F4EA5" w:rsidRPr="009F4EA5">
              <w:rPr>
                <w:b/>
                <w:sz w:val="16"/>
                <w:szCs w:val="16"/>
                <w:lang w:eastAsia="zh-CN"/>
              </w:rPr>
              <w:t>-</w:t>
            </w:r>
          </w:p>
          <w:p w14:paraId="4457DCCF" w14:textId="77777777" w:rsidR="003D355F" w:rsidRPr="009F4EA5" w:rsidRDefault="006D3E4A" w:rsidP="009D6B97">
            <w:pPr>
              <w:suppressAutoHyphens/>
              <w:spacing w:after="0"/>
              <w:jc w:val="center"/>
              <w:rPr>
                <w:b/>
                <w:sz w:val="16"/>
                <w:szCs w:val="16"/>
                <w:lang w:eastAsia="zh-CN"/>
              </w:rPr>
            </w:pPr>
            <w:r w:rsidRPr="009F4EA5">
              <w:rPr>
                <w:b/>
                <w:sz w:val="16"/>
                <w:szCs w:val="16"/>
                <w:lang w:eastAsia="zh-CN"/>
              </w:rPr>
              <w:t>agree</w:t>
            </w:r>
          </w:p>
        </w:tc>
        <w:tc>
          <w:tcPr>
            <w:tcW w:w="685" w:type="dxa"/>
            <w:shd w:val="clear" w:color="auto" w:fill="C5E0B3" w:themeFill="accent6" w:themeFillTint="66"/>
            <w:tcMar>
              <w:top w:w="0" w:type="dxa"/>
              <w:left w:w="20" w:type="dxa"/>
              <w:bottom w:w="0" w:type="dxa"/>
              <w:right w:w="20" w:type="dxa"/>
            </w:tcMar>
          </w:tcPr>
          <w:p w14:paraId="79BEDCF1" w14:textId="2BB7B8EE" w:rsidR="003D355F" w:rsidRPr="009F4EA5" w:rsidRDefault="006D3E4A" w:rsidP="009D6B97">
            <w:pPr>
              <w:suppressAutoHyphens/>
              <w:spacing w:after="0"/>
              <w:jc w:val="center"/>
              <w:rPr>
                <w:b/>
                <w:sz w:val="16"/>
                <w:szCs w:val="16"/>
                <w:lang w:eastAsia="zh-CN"/>
              </w:rPr>
            </w:pPr>
            <w:r w:rsidRPr="009F4EA5">
              <w:rPr>
                <w:b/>
                <w:sz w:val="16"/>
                <w:szCs w:val="16"/>
                <w:lang w:eastAsia="zh-CN"/>
              </w:rPr>
              <w:t>Neutral</w:t>
            </w:r>
          </w:p>
        </w:tc>
        <w:tc>
          <w:tcPr>
            <w:tcW w:w="567" w:type="dxa"/>
            <w:shd w:val="clear" w:color="auto" w:fill="C5E0B3" w:themeFill="accent6" w:themeFillTint="66"/>
            <w:tcMar>
              <w:top w:w="0" w:type="dxa"/>
              <w:left w:w="20" w:type="dxa"/>
              <w:bottom w:w="0" w:type="dxa"/>
              <w:right w:w="20" w:type="dxa"/>
            </w:tcMar>
          </w:tcPr>
          <w:p w14:paraId="2A2F1166" w14:textId="423E4FF0" w:rsidR="003D355F" w:rsidRPr="009F4EA5" w:rsidRDefault="006D3E4A" w:rsidP="009D6B97">
            <w:pPr>
              <w:suppressAutoHyphens/>
              <w:spacing w:after="0"/>
              <w:jc w:val="center"/>
              <w:rPr>
                <w:b/>
                <w:sz w:val="16"/>
                <w:szCs w:val="16"/>
                <w:lang w:eastAsia="zh-CN"/>
              </w:rPr>
            </w:pPr>
            <w:r w:rsidRPr="009F4EA5">
              <w:rPr>
                <w:b/>
                <w:sz w:val="16"/>
                <w:szCs w:val="16"/>
                <w:lang w:eastAsia="zh-CN"/>
              </w:rPr>
              <w:t>Agree</w:t>
            </w:r>
          </w:p>
        </w:tc>
        <w:tc>
          <w:tcPr>
            <w:tcW w:w="851" w:type="dxa"/>
            <w:tcBorders>
              <w:right w:val="single" w:sz="4" w:space="0" w:color="A8D08D" w:themeColor="accent6" w:themeTint="99"/>
            </w:tcBorders>
            <w:shd w:val="clear" w:color="auto" w:fill="C5E0B3" w:themeFill="accent6" w:themeFillTint="66"/>
            <w:tcMar>
              <w:top w:w="0" w:type="dxa"/>
              <w:left w:w="20" w:type="dxa"/>
              <w:bottom w:w="0" w:type="dxa"/>
              <w:right w:w="20" w:type="dxa"/>
            </w:tcMar>
          </w:tcPr>
          <w:p w14:paraId="6ABB35AB" w14:textId="77777777" w:rsidR="003D355F" w:rsidRPr="009F4EA5" w:rsidRDefault="006D3E4A" w:rsidP="009D6B97">
            <w:pPr>
              <w:suppressAutoHyphens/>
              <w:spacing w:after="0"/>
              <w:jc w:val="center"/>
              <w:rPr>
                <w:b/>
                <w:sz w:val="16"/>
                <w:szCs w:val="16"/>
                <w:lang w:eastAsia="zh-CN"/>
              </w:rPr>
            </w:pPr>
            <w:r w:rsidRPr="009F4EA5">
              <w:rPr>
                <w:b/>
                <w:sz w:val="16"/>
                <w:szCs w:val="16"/>
                <w:lang w:eastAsia="zh-CN"/>
              </w:rPr>
              <w:t>Strongly agree</w:t>
            </w:r>
          </w:p>
        </w:tc>
        <w:tc>
          <w:tcPr>
            <w:tcW w:w="471" w:type="dxa"/>
            <w:tcBorders>
              <w:left w:val="single" w:sz="4" w:space="0" w:color="A8D08D" w:themeColor="accent6" w:themeTint="99"/>
            </w:tcBorders>
            <w:shd w:val="clear" w:color="auto" w:fill="C5E0B3" w:themeFill="accent6" w:themeFillTint="66"/>
            <w:tcMar>
              <w:top w:w="0" w:type="dxa"/>
              <w:left w:w="20" w:type="dxa"/>
              <w:bottom w:w="0" w:type="dxa"/>
              <w:right w:w="20" w:type="dxa"/>
            </w:tcMar>
          </w:tcPr>
          <w:p w14:paraId="2B06C321" w14:textId="77777777" w:rsidR="003D355F" w:rsidRPr="009F4EA5" w:rsidRDefault="006D3E4A" w:rsidP="009D6B97">
            <w:pPr>
              <w:suppressAutoHyphens/>
              <w:spacing w:after="0"/>
              <w:jc w:val="center"/>
              <w:rPr>
                <w:b/>
                <w:sz w:val="16"/>
                <w:szCs w:val="16"/>
                <w:lang w:eastAsia="zh-CN"/>
              </w:rPr>
            </w:pPr>
            <w:r w:rsidRPr="009F4EA5">
              <w:rPr>
                <w:b/>
                <w:sz w:val="16"/>
                <w:szCs w:val="16"/>
                <w:lang w:eastAsia="zh-CN"/>
              </w:rPr>
              <w:t>Total</w:t>
            </w:r>
          </w:p>
        </w:tc>
        <w:tc>
          <w:tcPr>
            <w:tcW w:w="433" w:type="dxa"/>
            <w:shd w:val="clear" w:color="auto" w:fill="C5E0B3" w:themeFill="accent6" w:themeFillTint="66"/>
            <w:tcMar>
              <w:top w:w="0" w:type="dxa"/>
              <w:left w:w="20" w:type="dxa"/>
              <w:bottom w:w="0" w:type="dxa"/>
              <w:right w:w="20" w:type="dxa"/>
            </w:tcMar>
          </w:tcPr>
          <w:p w14:paraId="3D7892F1" w14:textId="77777777" w:rsidR="003D355F" w:rsidRPr="009F4EA5" w:rsidRDefault="006D3E4A" w:rsidP="009D6B97">
            <w:pPr>
              <w:suppressAutoHyphens/>
              <w:spacing w:after="0"/>
              <w:jc w:val="center"/>
              <w:rPr>
                <w:b/>
                <w:sz w:val="16"/>
                <w:szCs w:val="16"/>
                <w:lang w:eastAsia="zh-CN"/>
              </w:rPr>
            </w:pPr>
            <w:r w:rsidRPr="009F4EA5">
              <w:rPr>
                <w:b/>
                <w:sz w:val="16"/>
                <w:szCs w:val="16"/>
                <w:lang w:eastAsia="zh-CN"/>
              </w:rPr>
              <w:t>N</w:t>
            </w:r>
          </w:p>
        </w:tc>
      </w:tr>
      <w:tr w:rsidR="006D3E4A" w:rsidRPr="004351EB" w14:paraId="51A38996" w14:textId="77777777" w:rsidTr="009D6B97">
        <w:tc>
          <w:tcPr>
            <w:tcW w:w="3620" w:type="dxa"/>
            <w:tcMar>
              <w:top w:w="0" w:type="dxa"/>
              <w:left w:w="20" w:type="dxa"/>
              <w:bottom w:w="0" w:type="dxa"/>
              <w:right w:w="20" w:type="dxa"/>
            </w:tcMar>
            <w:vAlign w:val="center"/>
          </w:tcPr>
          <w:p w14:paraId="779F3881" w14:textId="77777777" w:rsidR="006D3E4A" w:rsidRPr="004351EB" w:rsidRDefault="006D3E4A" w:rsidP="00236AF0">
            <w:pPr>
              <w:widowControl w:val="0"/>
              <w:spacing w:before="20" w:after="20"/>
              <w:rPr>
                <w:rFonts w:eastAsia="Arial" w:cs="Arial"/>
                <w:kern w:val="1"/>
                <w:sz w:val="18"/>
                <w:szCs w:val="20"/>
                <w:lang w:val="en-GB" w:eastAsia="zh-CN"/>
              </w:rPr>
            </w:pPr>
            <w:r w:rsidRPr="004351EB">
              <w:rPr>
                <w:rFonts w:eastAsia="Arial" w:cs="Arial"/>
                <w:kern w:val="1"/>
                <w:sz w:val="18"/>
                <w:szCs w:val="20"/>
                <w:lang w:val="en-GB" w:eastAsia="zh-CN"/>
              </w:rPr>
              <w:t>APTC graduates have the right kinds of skills our business needs</w:t>
            </w:r>
          </w:p>
        </w:tc>
        <w:tc>
          <w:tcPr>
            <w:tcW w:w="783" w:type="dxa"/>
            <w:tcMar>
              <w:top w:w="0" w:type="dxa"/>
              <w:left w:w="20" w:type="dxa"/>
              <w:bottom w:w="0" w:type="dxa"/>
              <w:right w:w="20" w:type="dxa"/>
            </w:tcMar>
            <w:vAlign w:val="center"/>
          </w:tcPr>
          <w:p w14:paraId="32479EC1"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6</w:t>
            </w:r>
          </w:p>
        </w:tc>
        <w:tc>
          <w:tcPr>
            <w:tcW w:w="528" w:type="dxa"/>
            <w:tcMar>
              <w:top w:w="0" w:type="dxa"/>
              <w:left w:w="20" w:type="dxa"/>
              <w:bottom w:w="0" w:type="dxa"/>
              <w:right w:w="20" w:type="dxa"/>
            </w:tcMar>
            <w:vAlign w:val="bottom"/>
          </w:tcPr>
          <w:p w14:paraId="00A22F8E" w14:textId="77777777" w:rsidR="006D3E4A" w:rsidRPr="004351EB" w:rsidRDefault="006D3E4A" w:rsidP="009D6B97">
            <w:pPr>
              <w:spacing w:before="20" w:after="20"/>
              <w:jc w:val="center"/>
              <w:rPr>
                <w:rFonts w:cs="Arial"/>
                <w:color w:val="000000"/>
                <w:sz w:val="18"/>
                <w:lang w:eastAsia="en-AU"/>
              </w:rPr>
            </w:pPr>
          </w:p>
        </w:tc>
        <w:tc>
          <w:tcPr>
            <w:tcW w:w="685" w:type="dxa"/>
            <w:tcMar>
              <w:top w:w="0" w:type="dxa"/>
              <w:left w:w="20" w:type="dxa"/>
              <w:bottom w:w="0" w:type="dxa"/>
              <w:right w:w="20" w:type="dxa"/>
            </w:tcMar>
            <w:vAlign w:val="center"/>
          </w:tcPr>
          <w:p w14:paraId="6906FB1A"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12</w:t>
            </w:r>
          </w:p>
        </w:tc>
        <w:tc>
          <w:tcPr>
            <w:tcW w:w="567" w:type="dxa"/>
            <w:tcMar>
              <w:top w:w="0" w:type="dxa"/>
              <w:left w:w="20" w:type="dxa"/>
              <w:bottom w:w="0" w:type="dxa"/>
              <w:right w:w="20" w:type="dxa"/>
            </w:tcMar>
            <w:vAlign w:val="center"/>
          </w:tcPr>
          <w:p w14:paraId="4BDC0E34"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50</w:t>
            </w:r>
          </w:p>
        </w:tc>
        <w:tc>
          <w:tcPr>
            <w:tcW w:w="851" w:type="dxa"/>
            <w:tcBorders>
              <w:right w:val="single" w:sz="4" w:space="0" w:color="A8D08D" w:themeColor="accent6" w:themeTint="99"/>
            </w:tcBorders>
            <w:tcMar>
              <w:top w:w="0" w:type="dxa"/>
              <w:left w:w="20" w:type="dxa"/>
              <w:bottom w:w="0" w:type="dxa"/>
              <w:right w:w="20" w:type="dxa"/>
            </w:tcMar>
            <w:vAlign w:val="center"/>
          </w:tcPr>
          <w:p w14:paraId="5419CC90"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32</w:t>
            </w:r>
          </w:p>
        </w:tc>
        <w:tc>
          <w:tcPr>
            <w:tcW w:w="471" w:type="dxa"/>
            <w:tcBorders>
              <w:left w:val="single" w:sz="4" w:space="0" w:color="A8D08D" w:themeColor="accent6" w:themeTint="99"/>
            </w:tcBorders>
            <w:tcMar>
              <w:top w:w="0" w:type="dxa"/>
              <w:left w:w="20" w:type="dxa"/>
              <w:bottom w:w="0" w:type="dxa"/>
              <w:right w:w="20" w:type="dxa"/>
            </w:tcMar>
            <w:vAlign w:val="center"/>
          </w:tcPr>
          <w:p w14:paraId="7CC98AD3"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100</w:t>
            </w:r>
          </w:p>
        </w:tc>
        <w:tc>
          <w:tcPr>
            <w:tcW w:w="433" w:type="dxa"/>
            <w:tcMar>
              <w:top w:w="0" w:type="dxa"/>
              <w:left w:w="20" w:type="dxa"/>
              <w:bottom w:w="0" w:type="dxa"/>
              <w:right w:w="20" w:type="dxa"/>
            </w:tcMar>
            <w:vAlign w:val="center"/>
          </w:tcPr>
          <w:p w14:paraId="5ADFAAAD"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34</w:t>
            </w:r>
          </w:p>
        </w:tc>
      </w:tr>
      <w:tr w:rsidR="006D3E4A" w:rsidRPr="004351EB" w14:paraId="65FE2851" w14:textId="77777777" w:rsidTr="00CB1418">
        <w:tc>
          <w:tcPr>
            <w:tcW w:w="3620" w:type="dxa"/>
            <w:shd w:val="clear" w:color="auto" w:fill="E2EFD9" w:themeFill="accent6" w:themeFillTint="33"/>
            <w:tcMar>
              <w:top w:w="0" w:type="dxa"/>
              <w:left w:w="20" w:type="dxa"/>
              <w:bottom w:w="0" w:type="dxa"/>
              <w:right w:w="20" w:type="dxa"/>
            </w:tcMar>
            <w:vAlign w:val="center"/>
          </w:tcPr>
          <w:p w14:paraId="09E21810" w14:textId="77777777" w:rsidR="006D3E4A" w:rsidRPr="004351EB" w:rsidRDefault="006D3E4A" w:rsidP="00236AF0">
            <w:pPr>
              <w:widowControl w:val="0"/>
              <w:spacing w:before="20" w:after="20"/>
              <w:rPr>
                <w:rFonts w:eastAsia="Arial" w:cs="Arial"/>
                <w:kern w:val="1"/>
                <w:sz w:val="18"/>
                <w:szCs w:val="20"/>
                <w:lang w:val="en-GB" w:eastAsia="zh-CN"/>
              </w:rPr>
            </w:pPr>
            <w:r w:rsidRPr="004351EB">
              <w:rPr>
                <w:rFonts w:eastAsia="Arial" w:cs="Arial"/>
                <w:kern w:val="1"/>
                <w:sz w:val="18"/>
                <w:szCs w:val="20"/>
                <w:lang w:val="en-GB" w:eastAsia="zh-CN"/>
              </w:rPr>
              <w:t>APTC students on work placements have the right kinds of skills our business needs</w:t>
            </w:r>
          </w:p>
        </w:tc>
        <w:tc>
          <w:tcPr>
            <w:tcW w:w="783" w:type="dxa"/>
            <w:shd w:val="clear" w:color="auto" w:fill="E2EFD9" w:themeFill="accent6" w:themeFillTint="33"/>
            <w:tcMar>
              <w:top w:w="0" w:type="dxa"/>
              <w:left w:w="20" w:type="dxa"/>
              <w:bottom w:w="0" w:type="dxa"/>
              <w:right w:w="20" w:type="dxa"/>
            </w:tcMar>
            <w:vAlign w:val="center"/>
          </w:tcPr>
          <w:p w14:paraId="41C1C5C0"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w:t>
            </w:r>
          </w:p>
        </w:tc>
        <w:tc>
          <w:tcPr>
            <w:tcW w:w="528" w:type="dxa"/>
            <w:shd w:val="clear" w:color="auto" w:fill="E2EFD9" w:themeFill="accent6" w:themeFillTint="33"/>
            <w:tcMar>
              <w:top w:w="0" w:type="dxa"/>
              <w:left w:w="20" w:type="dxa"/>
              <w:bottom w:w="0" w:type="dxa"/>
              <w:right w:w="20" w:type="dxa"/>
            </w:tcMar>
            <w:vAlign w:val="center"/>
          </w:tcPr>
          <w:p w14:paraId="41CC2979"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w:t>
            </w:r>
          </w:p>
        </w:tc>
        <w:tc>
          <w:tcPr>
            <w:tcW w:w="685" w:type="dxa"/>
            <w:shd w:val="clear" w:color="auto" w:fill="E2EFD9" w:themeFill="accent6" w:themeFillTint="33"/>
            <w:tcMar>
              <w:top w:w="0" w:type="dxa"/>
              <w:left w:w="20" w:type="dxa"/>
              <w:bottom w:w="0" w:type="dxa"/>
              <w:right w:w="20" w:type="dxa"/>
            </w:tcMar>
            <w:vAlign w:val="center"/>
          </w:tcPr>
          <w:p w14:paraId="505FCED0"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18</w:t>
            </w:r>
          </w:p>
        </w:tc>
        <w:tc>
          <w:tcPr>
            <w:tcW w:w="567" w:type="dxa"/>
            <w:shd w:val="clear" w:color="auto" w:fill="E2EFD9" w:themeFill="accent6" w:themeFillTint="33"/>
            <w:tcMar>
              <w:top w:w="0" w:type="dxa"/>
              <w:left w:w="20" w:type="dxa"/>
              <w:bottom w:w="0" w:type="dxa"/>
              <w:right w:w="20" w:type="dxa"/>
            </w:tcMar>
            <w:vAlign w:val="center"/>
          </w:tcPr>
          <w:p w14:paraId="068DE2D3"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43</w:t>
            </w:r>
          </w:p>
        </w:tc>
        <w:tc>
          <w:tcPr>
            <w:tcW w:w="851" w:type="dxa"/>
            <w:tcBorders>
              <w:right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0C43634A"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33</w:t>
            </w:r>
          </w:p>
        </w:tc>
        <w:tc>
          <w:tcPr>
            <w:tcW w:w="471" w:type="dxa"/>
            <w:tcBorders>
              <w:left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1044CEEC"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100</w:t>
            </w:r>
          </w:p>
        </w:tc>
        <w:tc>
          <w:tcPr>
            <w:tcW w:w="433" w:type="dxa"/>
            <w:shd w:val="clear" w:color="auto" w:fill="E2EFD9" w:themeFill="accent6" w:themeFillTint="33"/>
            <w:tcMar>
              <w:top w:w="0" w:type="dxa"/>
              <w:left w:w="20" w:type="dxa"/>
              <w:bottom w:w="0" w:type="dxa"/>
              <w:right w:w="20" w:type="dxa"/>
            </w:tcMar>
            <w:vAlign w:val="center"/>
          </w:tcPr>
          <w:p w14:paraId="3AC300B0"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33</w:t>
            </w:r>
          </w:p>
        </w:tc>
      </w:tr>
      <w:tr w:rsidR="006D3E4A" w:rsidRPr="004351EB" w14:paraId="6A4E9812" w14:textId="77777777" w:rsidTr="009D6B97">
        <w:tc>
          <w:tcPr>
            <w:tcW w:w="3620" w:type="dxa"/>
            <w:tcMar>
              <w:top w:w="0" w:type="dxa"/>
              <w:left w:w="20" w:type="dxa"/>
              <w:bottom w:w="0" w:type="dxa"/>
              <w:right w:w="20" w:type="dxa"/>
            </w:tcMar>
            <w:vAlign w:val="center"/>
          </w:tcPr>
          <w:p w14:paraId="625D9719" w14:textId="77777777" w:rsidR="006D3E4A" w:rsidRPr="004351EB" w:rsidRDefault="006D3E4A" w:rsidP="00236AF0">
            <w:pPr>
              <w:widowControl w:val="0"/>
              <w:spacing w:before="20" w:after="20"/>
              <w:rPr>
                <w:rFonts w:eastAsia="Arial" w:cs="Arial"/>
                <w:kern w:val="1"/>
                <w:sz w:val="18"/>
                <w:szCs w:val="20"/>
                <w:lang w:val="en-GB" w:eastAsia="zh-CN"/>
              </w:rPr>
            </w:pPr>
            <w:r w:rsidRPr="004351EB">
              <w:rPr>
                <w:rFonts w:eastAsia="Arial" w:cs="Arial"/>
                <w:kern w:val="1"/>
                <w:sz w:val="18"/>
                <w:szCs w:val="20"/>
                <w:lang w:val="en-GB" w:eastAsia="zh-CN"/>
              </w:rPr>
              <w:t>APTC has made an effort to find out what kinds of skills our business needs</w:t>
            </w:r>
          </w:p>
        </w:tc>
        <w:tc>
          <w:tcPr>
            <w:tcW w:w="783" w:type="dxa"/>
            <w:tcMar>
              <w:top w:w="0" w:type="dxa"/>
              <w:left w:w="20" w:type="dxa"/>
              <w:bottom w:w="0" w:type="dxa"/>
              <w:right w:w="20" w:type="dxa"/>
            </w:tcMar>
            <w:vAlign w:val="center"/>
          </w:tcPr>
          <w:p w14:paraId="3B7A7499"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8</w:t>
            </w:r>
          </w:p>
        </w:tc>
        <w:tc>
          <w:tcPr>
            <w:tcW w:w="528" w:type="dxa"/>
            <w:tcMar>
              <w:top w:w="0" w:type="dxa"/>
              <w:left w:w="20" w:type="dxa"/>
              <w:bottom w:w="0" w:type="dxa"/>
              <w:right w:w="20" w:type="dxa"/>
            </w:tcMar>
            <w:vAlign w:val="center"/>
          </w:tcPr>
          <w:p w14:paraId="63D7D53E"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w:t>
            </w:r>
          </w:p>
        </w:tc>
        <w:tc>
          <w:tcPr>
            <w:tcW w:w="685" w:type="dxa"/>
            <w:tcMar>
              <w:top w:w="0" w:type="dxa"/>
              <w:left w:w="20" w:type="dxa"/>
              <w:bottom w:w="0" w:type="dxa"/>
              <w:right w:w="20" w:type="dxa"/>
            </w:tcMar>
            <w:vAlign w:val="center"/>
          </w:tcPr>
          <w:p w14:paraId="6A1C862F"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8</w:t>
            </w:r>
          </w:p>
        </w:tc>
        <w:tc>
          <w:tcPr>
            <w:tcW w:w="567" w:type="dxa"/>
            <w:tcMar>
              <w:top w:w="0" w:type="dxa"/>
              <w:left w:w="20" w:type="dxa"/>
              <w:bottom w:w="0" w:type="dxa"/>
              <w:right w:w="20" w:type="dxa"/>
            </w:tcMar>
            <w:vAlign w:val="center"/>
          </w:tcPr>
          <w:p w14:paraId="6354B108"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39</w:t>
            </w:r>
          </w:p>
        </w:tc>
        <w:tc>
          <w:tcPr>
            <w:tcW w:w="851" w:type="dxa"/>
            <w:tcBorders>
              <w:right w:val="single" w:sz="4" w:space="0" w:color="A8D08D" w:themeColor="accent6" w:themeTint="99"/>
            </w:tcBorders>
            <w:tcMar>
              <w:top w:w="0" w:type="dxa"/>
              <w:left w:w="20" w:type="dxa"/>
              <w:bottom w:w="0" w:type="dxa"/>
              <w:right w:w="20" w:type="dxa"/>
            </w:tcMar>
            <w:vAlign w:val="center"/>
          </w:tcPr>
          <w:p w14:paraId="431878B1"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42</w:t>
            </w:r>
          </w:p>
        </w:tc>
        <w:tc>
          <w:tcPr>
            <w:tcW w:w="471" w:type="dxa"/>
            <w:tcBorders>
              <w:left w:val="single" w:sz="4" w:space="0" w:color="A8D08D" w:themeColor="accent6" w:themeTint="99"/>
            </w:tcBorders>
            <w:tcMar>
              <w:top w:w="0" w:type="dxa"/>
              <w:left w:w="20" w:type="dxa"/>
              <w:bottom w:w="0" w:type="dxa"/>
              <w:right w:w="20" w:type="dxa"/>
            </w:tcMar>
            <w:vAlign w:val="center"/>
          </w:tcPr>
          <w:p w14:paraId="1CDAF0A6"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100</w:t>
            </w:r>
          </w:p>
        </w:tc>
        <w:tc>
          <w:tcPr>
            <w:tcW w:w="433" w:type="dxa"/>
            <w:tcMar>
              <w:top w:w="0" w:type="dxa"/>
              <w:left w:w="20" w:type="dxa"/>
              <w:bottom w:w="0" w:type="dxa"/>
              <w:right w:w="20" w:type="dxa"/>
            </w:tcMar>
            <w:vAlign w:val="center"/>
          </w:tcPr>
          <w:p w14:paraId="164EDBAF"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36</w:t>
            </w:r>
          </w:p>
        </w:tc>
      </w:tr>
      <w:tr w:rsidR="006D3E4A" w:rsidRPr="004351EB" w14:paraId="568A1891" w14:textId="77777777" w:rsidTr="00CB1418">
        <w:tc>
          <w:tcPr>
            <w:tcW w:w="3620" w:type="dxa"/>
            <w:tcBorders>
              <w:bottom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642CE006" w14:textId="77777777" w:rsidR="006D3E4A" w:rsidRPr="004351EB" w:rsidRDefault="006D3E4A" w:rsidP="009B715D">
            <w:pPr>
              <w:widowControl w:val="0"/>
              <w:spacing w:before="20" w:after="20"/>
              <w:rPr>
                <w:rFonts w:eastAsia="Arial" w:cs="Arial"/>
                <w:kern w:val="1"/>
                <w:sz w:val="18"/>
                <w:szCs w:val="20"/>
                <w:lang w:val="en-GB" w:eastAsia="zh-CN"/>
              </w:rPr>
            </w:pPr>
            <w:r w:rsidRPr="004351EB">
              <w:rPr>
                <w:rFonts w:eastAsia="Arial" w:cs="Arial"/>
                <w:kern w:val="1"/>
                <w:sz w:val="18"/>
                <w:szCs w:val="20"/>
                <w:lang w:val="en-GB" w:eastAsia="zh-CN"/>
              </w:rPr>
              <w:t xml:space="preserve">In </w:t>
            </w:r>
            <w:r w:rsidR="009B715D" w:rsidRPr="004351EB">
              <w:rPr>
                <w:rFonts w:eastAsia="Arial" w:cs="Arial"/>
                <w:kern w:val="1"/>
                <w:sz w:val="18"/>
                <w:szCs w:val="20"/>
                <w:lang w:val="en-GB" w:eastAsia="zh-CN"/>
              </w:rPr>
              <w:t>fee</w:t>
            </w:r>
            <w:r w:rsidR="009B715D">
              <w:rPr>
                <w:rFonts w:eastAsia="Arial" w:cs="Arial"/>
                <w:kern w:val="1"/>
                <w:sz w:val="18"/>
                <w:szCs w:val="20"/>
                <w:lang w:val="en-GB" w:eastAsia="zh-CN"/>
              </w:rPr>
              <w:t>-</w:t>
            </w:r>
            <w:r w:rsidR="009B715D" w:rsidRPr="004351EB">
              <w:rPr>
                <w:rFonts w:eastAsia="Arial" w:cs="Arial"/>
                <w:kern w:val="1"/>
                <w:sz w:val="18"/>
                <w:szCs w:val="20"/>
                <w:lang w:val="en-GB" w:eastAsia="zh-CN"/>
              </w:rPr>
              <w:t>for</w:t>
            </w:r>
            <w:r w:rsidR="009B715D">
              <w:rPr>
                <w:rFonts w:eastAsia="Arial" w:cs="Arial"/>
                <w:kern w:val="1"/>
                <w:sz w:val="18"/>
                <w:szCs w:val="20"/>
                <w:lang w:val="en-GB" w:eastAsia="zh-CN"/>
              </w:rPr>
              <w:t>-</w:t>
            </w:r>
            <w:r w:rsidRPr="004351EB">
              <w:rPr>
                <w:rFonts w:eastAsia="Arial" w:cs="Arial"/>
                <w:kern w:val="1"/>
                <w:sz w:val="18"/>
                <w:szCs w:val="20"/>
                <w:lang w:val="en-GB" w:eastAsia="zh-CN"/>
              </w:rPr>
              <w:t>service training, APTC was good at identifying the right kinds of skills we needed in our business</w:t>
            </w:r>
          </w:p>
        </w:tc>
        <w:tc>
          <w:tcPr>
            <w:tcW w:w="783" w:type="dxa"/>
            <w:tcBorders>
              <w:bottom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289B3F31"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9</w:t>
            </w:r>
          </w:p>
        </w:tc>
        <w:tc>
          <w:tcPr>
            <w:tcW w:w="528" w:type="dxa"/>
            <w:tcBorders>
              <w:bottom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66D3FBB0"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9</w:t>
            </w:r>
          </w:p>
        </w:tc>
        <w:tc>
          <w:tcPr>
            <w:tcW w:w="685" w:type="dxa"/>
            <w:tcBorders>
              <w:bottom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6D6B7450"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9</w:t>
            </w:r>
          </w:p>
        </w:tc>
        <w:tc>
          <w:tcPr>
            <w:tcW w:w="567" w:type="dxa"/>
            <w:tcBorders>
              <w:bottom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4E5A180C"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34</w:t>
            </w:r>
          </w:p>
        </w:tc>
        <w:tc>
          <w:tcPr>
            <w:tcW w:w="851" w:type="dxa"/>
            <w:tcBorders>
              <w:bottom w:val="single" w:sz="4" w:space="0" w:color="A8D08D" w:themeColor="accent6" w:themeTint="99"/>
              <w:right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71596F48"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39</w:t>
            </w:r>
          </w:p>
        </w:tc>
        <w:tc>
          <w:tcPr>
            <w:tcW w:w="471" w:type="dxa"/>
            <w:tcBorders>
              <w:left w:val="single" w:sz="4" w:space="0" w:color="A8D08D" w:themeColor="accent6" w:themeTint="99"/>
              <w:bottom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0F0EFEB7"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100</w:t>
            </w:r>
          </w:p>
        </w:tc>
        <w:tc>
          <w:tcPr>
            <w:tcW w:w="433" w:type="dxa"/>
            <w:tcBorders>
              <w:bottom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4D4E7923"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23</w:t>
            </w:r>
          </w:p>
        </w:tc>
      </w:tr>
    </w:tbl>
    <w:p w14:paraId="0ADD5F40" w14:textId="68C87FA5" w:rsidR="006D3E4A" w:rsidRPr="00FB3195" w:rsidRDefault="009D6B97" w:rsidP="006D3E4A">
      <w:pPr>
        <w:spacing w:before="120"/>
        <w:rPr>
          <w:lang w:eastAsia="zh-CN"/>
        </w:rPr>
      </w:pPr>
      <w:r>
        <w:rPr>
          <w:lang w:eastAsia="zh-CN"/>
        </w:rPr>
        <w:br/>
      </w:r>
      <w:r w:rsidR="006D3E4A" w:rsidRPr="00FB3195">
        <w:rPr>
          <w:lang w:eastAsia="zh-CN"/>
        </w:rPr>
        <w:t>The ratings differed by country. In general, employers in Fiji and Samoa were much more likely to strongly agree</w:t>
      </w:r>
      <w:r w:rsidR="00F12938">
        <w:rPr>
          <w:lang w:eastAsia="zh-CN"/>
        </w:rPr>
        <w:t xml:space="preserve"> with </w:t>
      </w:r>
      <w:r w:rsidR="00F12938" w:rsidRPr="00FB3195">
        <w:rPr>
          <w:lang w:eastAsia="zh-CN"/>
        </w:rPr>
        <w:t>the first three statements</w:t>
      </w:r>
      <w:r w:rsidR="006D3E4A" w:rsidRPr="00FB3195">
        <w:rPr>
          <w:lang w:eastAsia="zh-CN"/>
        </w:rPr>
        <w:t>. However, the number of responses by country are small so reporting them, apart from indicating a clear trend, may give an inaccurate picture of the responsiveness of each country campus.</w:t>
      </w:r>
    </w:p>
    <w:p w14:paraId="699BD54B" w14:textId="77777777" w:rsidR="006D3E4A" w:rsidRPr="00FB3195" w:rsidRDefault="006D3E4A" w:rsidP="006D3E4A">
      <w:pPr>
        <w:spacing w:before="120"/>
        <w:rPr>
          <w:lang w:eastAsia="zh-CN"/>
        </w:rPr>
      </w:pPr>
      <w:r w:rsidRPr="00FB3195">
        <w:rPr>
          <w:lang w:eastAsia="zh-CN"/>
        </w:rPr>
        <w:t xml:space="preserve">Employers were asked to rate another set of statements related to APTC management of work placements. Four-in-five employers agreed that APTC had managed well the placement of students in their business and that they had sought feedback on how each student performed. Employer agreement with the statement about the assessment process used by APTC was only slightly lower at three-in-four employers (74 per cent). One-in-three employers or more gave the highest rating for each statement. Again, there were differences by country with Fiji and Samoa employers much more likely to give the highest ratings. </w:t>
      </w:r>
    </w:p>
    <w:p w14:paraId="1A527D2F" w14:textId="77777777" w:rsidR="006D3E4A" w:rsidRPr="00FB3195" w:rsidRDefault="006D3E4A" w:rsidP="004351EB">
      <w:pPr>
        <w:pStyle w:val="Tableheading"/>
        <w:rPr>
          <w:lang w:eastAsia="zh-CN"/>
        </w:rPr>
      </w:pPr>
      <w:bookmarkStart w:id="537" w:name="_Toc274146475"/>
      <w:bookmarkStart w:id="538" w:name="_Toc274915934"/>
      <w:bookmarkStart w:id="539" w:name="_Toc278446914"/>
      <w:r>
        <w:rPr>
          <w:lang w:eastAsia="zh-CN"/>
        </w:rPr>
        <w:t>Table 5</w:t>
      </w:r>
      <w:r w:rsidRPr="00FB3195">
        <w:rPr>
          <w:lang w:eastAsia="zh-CN"/>
        </w:rPr>
        <w:t>.6: Ratings by employers of statements about APTC’s management of work placements, June</w:t>
      </w:r>
      <w:r w:rsidR="00250E05">
        <w:rPr>
          <w:lang w:eastAsia="zh-CN"/>
        </w:rPr>
        <w:t>–</w:t>
      </w:r>
      <w:r w:rsidRPr="00FB3195">
        <w:rPr>
          <w:lang w:eastAsia="zh-CN"/>
        </w:rPr>
        <w:t>August 2014</w:t>
      </w:r>
      <w:r w:rsidR="004351EB">
        <w:rPr>
          <w:lang w:eastAsia="zh-CN"/>
        </w:rPr>
        <w:t xml:space="preserve"> (%)</w:t>
      </w:r>
      <w:bookmarkEnd w:id="537"/>
      <w:bookmarkEnd w:id="538"/>
      <w:bookmarkEnd w:id="539"/>
    </w:p>
    <w:tbl>
      <w:tblPr>
        <w:tblW w:w="0" w:type="auto"/>
        <w:tblInd w:w="108" w:type="dxa"/>
        <w:tblCellMar>
          <w:left w:w="10" w:type="dxa"/>
          <w:right w:w="10" w:type="dxa"/>
        </w:tblCellMar>
        <w:tblLook w:val="0000" w:firstRow="0" w:lastRow="0" w:firstColumn="0" w:lastColumn="0" w:noHBand="0" w:noVBand="0"/>
      </w:tblPr>
      <w:tblGrid>
        <w:gridCol w:w="3740"/>
        <w:gridCol w:w="781"/>
        <w:gridCol w:w="636"/>
        <w:gridCol w:w="709"/>
        <w:gridCol w:w="494"/>
        <w:gridCol w:w="771"/>
        <w:gridCol w:w="423"/>
        <w:gridCol w:w="475"/>
      </w:tblGrid>
      <w:tr w:rsidR="009D6B97" w14:paraId="6129F239" w14:textId="77777777" w:rsidTr="009D6B97">
        <w:tc>
          <w:tcPr>
            <w:tcW w:w="3740" w:type="dxa"/>
            <w:shd w:val="clear" w:color="auto" w:fill="C5E0B3" w:themeFill="accent6" w:themeFillTint="66"/>
            <w:tcMar>
              <w:top w:w="0" w:type="dxa"/>
              <w:left w:w="20" w:type="dxa"/>
              <w:bottom w:w="0" w:type="dxa"/>
              <w:right w:w="20" w:type="dxa"/>
            </w:tcMar>
          </w:tcPr>
          <w:p w14:paraId="69992CDE" w14:textId="77777777" w:rsidR="006D3E4A" w:rsidRPr="004351EB" w:rsidRDefault="006D3E4A" w:rsidP="004351EB">
            <w:pPr>
              <w:suppressAutoHyphens/>
              <w:spacing w:after="0"/>
              <w:rPr>
                <w:b/>
                <w:sz w:val="18"/>
                <w:szCs w:val="20"/>
                <w:lang w:eastAsia="zh-CN"/>
              </w:rPr>
            </w:pPr>
            <w:r w:rsidRPr="004351EB">
              <w:rPr>
                <w:b/>
                <w:sz w:val="18"/>
                <w:szCs w:val="20"/>
                <w:lang w:eastAsia="zh-CN"/>
              </w:rPr>
              <w:t>APTC management of work placements</w:t>
            </w:r>
          </w:p>
        </w:tc>
        <w:tc>
          <w:tcPr>
            <w:tcW w:w="781" w:type="dxa"/>
            <w:shd w:val="clear" w:color="auto" w:fill="C5E0B3" w:themeFill="accent6" w:themeFillTint="66"/>
            <w:tcMar>
              <w:top w:w="0" w:type="dxa"/>
              <w:left w:w="20" w:type="dxa"/>
              <w:bottom w:w="0" w:type="dxa"/>
              <w:right w:w="20" w:type="dxa"/>
            </w:tcMar>
          </w:tcPr>
          <w:p w14:paraId="345B34B7" w14:textId="77777777" w:rsidR="003D355F" w:rsidRPr="009F4EA5" w:rsidRDefault="006D3E4A" w:rsidP="009D6B97">
            <w:pPr>
              <w:suppressAutoHyphens/>
              <w:spacing w:after="0"/>
              <w:jc w:val="center"/>
              <w:rPr>
                <w:b/>
                <w:sz w:val="16"/>
                <w:szCs w:val="16"/>
                <w:lang w:eastAsia="zh-CN"/>
              </w:rPr>
            </w:pPr>
            <w:r w:rsidRPr="009F4EA5">
              <w:rPr>
                <w:b/>
                <w:sz w:val="16"/>
                <w:szCs w:val="16"/>
                <w:lang w:eastAsia="zh-CN"/>
              </w:rPr>
              <w:t>Strongly disagree</w:t>
            </w:r>
          </w:p>
        </w:tc>
        <w:tc>
          <w:tcPr>
            <w:tcW w:w="636" w:type="dxa"/>
            <w:shd w:val="clear" w:color="auto" w:fill="C5E0B3" w:themeFill="accent6" w:themeFillTint="66"/>
            <w:tcMar>
              <w:top w:w="0" w:type="dxa"/>
              <w:left w:w="20" w:type="dxa"/>
              <w:bottom w:w="0" w:type="dxa"/>
              <w:right w:w="20" w:type="dxa"/>
            </w:tcMar>
          </w:tcPr>
          <w:p w14:paraId="2A0211D2" w14:textId="5AFD0468" w:rsidR="003D355F" w:rsidRPr="009F4EA5" w:rsidRDefault="006D3E4A" w:rsidP="009D6B97">
            <w:pPr>
              <w:suppressAutoHyphens/>
              <w:spacing w:after="0"/>
              <w:jc w:val="center"/>
              <w:rPr>
                <w:b/>
                <w:sz w:val="16"/>
                <w:szCs w:val="16"/>
                <w:lang w:eastAsia="zh-CN"/>
              </w:rPr>
            </w:pPr>
            <w:r w:rsidRPr="009F4EA5">
              <w:rPr>
                <w:b/>
                <w:sz w:val="16"/>
                <w:szCs w:val="16"/>
                <w:lang w:eastAsia="zh-CN"/>
              </w:rPr>
              <w:t>Dis</w:t>
            </w:r>
            <w:r w:rsidR="009F4EA5" w:rsidRPr="009F4EA5">
              <w:rPr>
                <w:b/>
                <w:sz w:val="16"/>
                <w:szCs w:val="16"/>
                <w:lang w:eastAsia="zh-CN"/>
              </w:rPr>
              <w:t>-</w:t>
            </w:r>
          </w:p>
          <w:p w14:paraId="2C7267C1" w14:textId="77777777" w:rsidR="003D355F" w:rsidRPr="009F4EA5" w:rsidRDefault="006D3E4A" w:rsidP="009D6B97">
            <w:pPr>
              <w:suppressAutoHyphens/>
              <w:spacing w:after="0"/>
              <w:jc w:val="center"/>
              <w:rPr>
                <w:b/>
                <w:sz w:val="16"/>
                <w:szCs w:val="16"/>
                <w:lang w:eastAsia="zh-CN"/>
              </w:rPr>
            </w:pPr>
            <w:r w:rsidRPr="009F4EA5">
              <w:rPr>
                <w:b/>
                <w:sz w:val="16"/>
                <w:szCs w:val="16"/>
                <w:lang w:eastAsia="zh-CN"/>
              </w:rPr>
              <w:t>agree</w:t>
            </w:r>
          </w:p>
        </w:tc>
        <w:tc>
          <w:tcPr>
            <w:tcW w:w="709" w:type="dxa"/>
            <w:shd w:val="clear" w:color="auto" w:fill="C5E0B3" w:themeFill="accent6" w:themeFillTint="66"/>
            <w:tcMar>
              <w:top w:w="0" w:type="dxa"/>
              <w:left w:w="20" w:type="dxa"/>
              <w:bottom w:w="0" w:type="dxa"/>
              <w:right w:w="20" w:type="dxa"/>
            </w:tcMar>
          </w:tcPr>
          <w:p w14:paraId="3C030F03" w14:textId="4A0FA409" w:rsidR="003D355F" w:rsidRPr="009F4EA5" w:rsidRDefault="006D3E4A" w:rsidP="009D6B97">
            <w:pPr>
              <w:suppressAutoHyphens/>
              <w:spacing w:after="0"/>
              <w:jc w:val="center"/>
              <w:rPr>
                <w:b/>
                <w:sz w:val="16"/>
                <w:szCs w:val="16"/>
                <w:lang w:eastAsia="zh-CN"/>
              </w:rPr>
            </w:pPr>
            <w:r w:rsidRPr="009F4EA5">
              <w:rPr>
                <w:b/>
                <w:sz w:val="16"/>
                <w:szCs w:val="16"/>
                <w:lang w:eastAsia="zh-CN"/>
              </w:rPr>
              <w:t>Neutral</w:t>
            </w:r>
          </w:p>
        </w:tc>
        <w:tc>
          <w:tcPr>
            <w:tcW w:w="0" w:type="auto"/>
            <w:shd w:val="clear" w:color="auto" w:fill="C5E0B3" w:themeFill="accent6" w:themeFillTint="66"/>
            <w:tcMar>
              <w:top w:w="0" w:type="dxa"/>
              <w:left w:w="20" w:type="dxa"/>
              <w:bottom w:w="0" w:type="dxa"/>
              <w:right w:w="20" w:type="dxa"/>
            </w:tcMar>
          </w:tcPr>
          <w:p w14:paraId="5C63ACE5" w14:textId="5514B6C6" w:rsidR="003D355F" w:rsidRPr="009F4EA5" w:rsidRDefault="006D3E4A" w:rsidP="009D6B97">
            <w:pPr>
              <w:suppressAutoHyphens/>
              <w:spacing w:after="0"/>
              <w:jc w:val="center"/>
              <w:rPr>
                <w:b/>
                <w:sz w:val="16"/>
                <w:szCs w:val="16"/>
                <w:lang w:eastAsia="zh-CN"/>
              </w:rPr>
            </w:pPr>
            <w:r w:rsidRPr="009F4EA5">
              <w:rPr>
                <w:b/>
                <w:sz w:val="16"/>
                <w:szCs w:val="16"/>
                <w:lang w:eastAsia="zh-CN"/>
              </w:rPr>
              <w:t>Agree</w:t>
            </w:r>
          </w:p>
        </w:tc>
        <w:tc>
          <w:tcPr>
            <w:tcW w:w="771" w:type="dxa"/>
            <w:tcBorders>
              <w:right w:val="single" w:sz="4" w:space="0" w:color="A8D08D" w:themeColor="accent6" w:themeTint="99"/>
            </w:tcBorders>
            <w:shd w:val="clear" w:color="auto" w:fill="C5E0B3" w:themeFill="accent6" w:themeFillTint="66"/>
            <w:tcMar>
              <w:top w:w="0" w:type="dxa"/>
              <w:left w:w="20" w:type="dxa"/>
              <w:bottom w:w="0" w:type="dxa"/>
              <w:right w:w="20" w:type="dxa"/>
            </w:tcMar>
          </w:tcPr>
          <w:p w14:paraId="76ECBFFB" w14:textId="77777777" w:rsidR="003D355F" w:rsidRPr="009F4EA5" w:rsidRDefault="006D3E4A" w:rsidP="009D6B97">
            <w:pPr>
              <w:suppressAutoHyphens/>
              <w:spacing w:after="0"/>
              <w:jc w:val="center"/>
              <w:rPr>
                <w:b/>
                <w:sz w:val="16"/>
                <w:szCs w:val="16"/>
                <w:lang w:eastAsia="zh-CN"/>
              </w:rPr>
            </w:pPr>
            <w:r w:rsidRPr="009F4EA5">
              <w:rPr>
                <w:b/>
                <w:sz w:val="16"/>
                <w:szCs w:val="16"/>
                <w:lang w:eastAsia="zh-CN"/>
              </w:rPr>
              <w:t>Strongly agree</w:t>
            </w:r>
          </w:p>
        </w:tc>
        <w:tc>
          <w:tcPr>
            <w:tcW w:w="0" w:type="auto"/>
            <w:tcBorders>
              <w:left w:val="single" w:sz="4" w:space="0" w:color="A8D08D" w:themeColor="accent6" w:themeTint="99"/>
            </w:tcBorders>
            <w:shd w:val="clear" w:color="auto" w:fill="C5E0B3" w:themeFill="accent6" w:themeFillTint="66"/>
            <w:tcMar>
              <w:top w:w="0" w:type="dxa"/>
              <w:left w:w="20" w:type="dxa"/>
              <w:bottom w:w="0" w:type="dxa"/>
              <w:right w:w="20" w:type="dxa"/>
            </w:tcMar>
          </w:tcPr>
          <w:p w14:paraId="738DE482" w14:textId="77777777" w:rsidR="003D355F" w:rsidRPr="009F4EA5" w:rsidRDefault="006D3E4A" w:rsidP="009D6B97">
            <w:pPr>
              <w:suppressAutoHyphens/>
              <w:spacing w:after="0"/>
              <w:jc w:val="center"/>
              <w:rPr>
                <w:b/>
                <w:sz w:val="16"/>
                <w:szCs w:val="16"/>
                <w:lang w:eastAsia="zh-CN"/>
              </w:rPr>
            </w:pPr>
            <w:r w:rsidRPr="009F4EA5">
              <w:rPr>
                <w:b/>
                <w:sz w:val="16"/>
                <w:szCs w:val="16"/>
                <w:lang w:eastAsia="zh-CN"/>
              </w:rPr>
              <w:t>Total</w:t>
            </w:r>
          </w:p>
        </w:tc>
        <w:tc>
          <w:tcPr>
            <w:tcW w:w="475" w:type="dxa"/>
            <w:shd w:val="clear" w:color="auto" w:fill="C5E0B3" w:themeFill="accent6" w:themeFillTint="66"/>
            <w:tcMar>
              <w:top w:w="0" w:type="dxa"/>
              <w:left w:w="20" w:type="dxa"/>
              <w:bottom w:w="0" w:type="dxa"/>
              <w:right w:w="20" w:type="dxa"/>
            </w:tcMar>
          </w:tcPr>
          <w:p w14:paraId="258457D3" w14:textId="77777777" w:rsidR="003D355F" w:rsidRPr="009F4EA5" w:rsidRDefault="006D3E4A" w:rsidP="009D6B97">
            <w:pPr>
              <w:suppressAutoHyphens/>
              <w:spacing w:after="0"/>
              <w:jc w:val="center"/>
              <w:rPr>
                <w:b/>
                <w:sz w:val="16"/>
                <w:szCs w:val="16"/>
                <w:lang w:eastAsia="zh-CN"/>
              </w:rPr>
            </w:pPr>
            <w:r w:rsidRPr="009F4EA5">
              <w:rPr>
                <w:b/>
                <w:sz w:val="16"/>
                <w:szCs w:val="16"/>
                <w:lang w:eastAsia="zh-CN"/>
              </w:rPr>
              <w:t>N</w:t>
            </w:r>
          </w:p>
        </w:tc>
      </w:tr>
      <w:tr w:rsidR="009D6B97" w14:paraId="6CF0061D" w14:textId="77777777" w:rsidTr="009D6B97">
        <w:tc>
          <w:tcPr>
            <w:tcW w:w="3740" w:type="dxa"/>
            <w:tcMar>
              <w:top w:w="0" w:type="dxa"/>
              <w:left w:w="20" w:type="dxa"/>
              <w:bottom w:w="0" w:type="dxa"/>
              <w:right w:w="20" w:type="dxa"/>
            </w:tcMar>
            <w:vAlign w:val="center"/>
          </w:tcPr>
          <w:p w14:paraId="213E53DE" w14:textId="77777777" w:rsidR="006D3E4A" w:rsidRPr="004351EB" w:rsidRDefault="006D3E4A" w:rsidP="00236AF0">
            <w:pPr>
              <w:spacing w:before="20" w:after="20"/>
              <w:rPr>
                <w:rFonts w:cs="Arial"/>
                <w:color w:val="000000"/>
                <w:sz w:val="18"/>
                <w:lang w:eastAsia="en-AU"/>
              </w:rPr>
            </w:pPr>
            <w:r w:rsidRPr="004351EB">
              <w:rPr>
                <w:rFonts w:cs="Arial"/>
                <w:color w:val="000000"/>
                <w:sz w:val="18"/>
                <w:lang w:eastAsia="en-AU"/>
              </w:rPr>
              <w:t>APTC managed well the placement of their students in our business</w:t>
            </w:r>
          </w:p>
        </w:tc>
        <w:tc>
          <w:tcPr>
            <w:tcW w:w="781" w:type="dxa"/>
            <w:tcMar>
              <w:top w:w="0" w:type="dxa"/>
              <w:left w:w="20" w:type="dxa"/>
              <w:bottom w:w="0" w:type="dxa"/>
              <w:right w:w="20" w:type="dxa"/>
            </w:tcMar>
            <w:vAlign w:val="center"/>
          </w:tcPr>
          <w:p w14:paraId="6F243959"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7</w:t>
            </w:r>
          </w:p>
        </w:tc>
        <w:tc>
          <w:tcPr>
            <w:tcW w:w="636" w:type="dxa"/>
            <w:tcMar>
              <w:top w:w="0" w:type="dxa"/>
              <w:left w:w="20" w:type="dxa"/>
              <w:bottom w:w="0" w:type="dxa"/>
              <w:right w:w="20" w:type="dxa"/>
            </w:tcMar>
            <w:vAlign w:val="center"/>
          </w:tcPr>
          <w:p w14:paraId="5BB8F308"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w:t>
            </w:r>
          </w:p>
        </w:tc>
        <w:tc>
          <w:tcPr>
            <w:tcW w:w="709" w:type="dxa"/>
            <w:tcMar>
              <w:top w:w="0" w:type="dxa"/>
              <w:left w:w="20" w:type="dxa"/>
              <w:bottom w:w="0" w:type="dxa"/>
              <w:right w:w="20" w:type="dxa"/>
            </w:tcMar>
            <w:vAlign w:val="center"/>
          </w:tcPr>
          <w:p w14:paraId="615062BB"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10</w:t>
            </w:r>
          </w:p>
        </w:tc>
        <w:tc>
          <w:tcPr>
            <w:tcW w:w="0" w:type="auto"/>
            <w:tcMar>
              <w:top w:w="0" w:type="dxa"/>
              <w:left w:w="20" w:type="dxa"/>
              <w:bottom w:w="0" w:type="dxa"/>
              <w:right w:w="20" w:type="dxa"/>
            </w:tcMar>
            <w:vAlign w:val="center"/>
          </w:tcPr>
          <w:p w14:paraId="63E87E31"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48</w:t>
            </w:r>
          </w:p>
        </w:tc>
        <w:tc>
          <w:tcPr>
            <w:tcW w:w="771" w:type="dxa"/>
            <w:tcBorders>
              <w:right w:val="single" w:sz="4" w:space="0" w:color="A8D08D" w:themeColor="accent6" w:themeTint="99"/>
            </w:tcBorders>
            <w:tcMar>
              <w:top w:w="0" w:type="dxa"/>
              <w:left w:w="20" w:type="dxa"/>
              <w:bottom w:w="0" w:type="dxa"/>
              <w:right w:w="20" w:type="dxa"/>
            </w:tcMar>
            <w:vAlign w:val="center"/>
          </w:tcPr>
          <w:p w14:paraId="693E0AF8"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32</w:t>
            </w:r>
          </w:p>
        </w:tc>
        <w:tc>
          <w:tcPr>
            <w:tcW w:w="0" w:type="auto"/>
            <w:tcBorders>
              <w:left w:val="single" w:sz="4" w:space="0" w:color="A8D08D" w:themeColor="accent6" w:themeTint="99"/>
            </w:tcBorders>
            <w:tcMar>
              <w:top w:w="0" w:type="dxa"/>
              <w:left w:w="20" w:type="dxa"/>
              <w:bottom w:w="0" w:type="dxa"/>
              <w:right w:w="20" w:type="dxa"/>
            </w:tcMar>
            <w:vAlign w:val="center"/>
          </w:tcPr>
          <w:p w14:paraId="0C37BEE3"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100</w:t>
            </w:r>
          </w:p>
        </w:tc>
        <w:tc>
          <w:tcPr>
            <w:tcW w:w="475" w:type="dxa"/>
            <w:tcMar>
              <w:top w:w="0" w:type="dxa"/>
              <w:left w:w="20" w:type="dxa"/>
              <w:bottom w:w="0" w:type="dxa"/>
              <w:right w:w="20" w:type="dxa"/>
            </w:tcMar>
            <w:vAlign w:val="center"/>
          </w:tcPr>
          <w:p w14:paraId="51A2C86E"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31</w:t>
            </w:r>
          </w:p>
        </w:tc>
      </w:tr>
      <w:tr w:rsidR="009D6B97" w14:paraId="0A31B95D" w14:textId="77777777" w:rsidTr="00CB1418">
        <w:tc>
          <w:tcPr>
            <w:tcW w:w="3740" w:type="dxa"/>
            <w:shd w:val="clear" w:color="auto" w:fill="E2EFD9" w:themeFill="accent6" w:themeFillTint="33"/>
            <w:tcMar>
              <w:top w:w="0" w:type="dxa"/>
              <w:left w:w="20" w:type="dxa"/>
              <w:bottom w:w="0" w:type="dxa"/>
              <w:right w:w="20" w:type="dxa"/>
            </w:tcMar>
            <w:vAlign w:val="center"/>
          </w:tcPr>
          <w:p w14:paraId="4F2784CA" w14:textId="77777777" w:rsidR="006D3E4A" w:rsidRPr="004351EB" w:rsidRDefault="006D3E4A" w:rsidP="00236AF0">
            <w:pPr>
              <w:spacing w:before="20" w:after="20"/>
              <w:rPr>
                <w:rFonts w:cs="Arial"/>
                <w:color w:val="000000"/>
                <w:sz w:val="18"/>
                <w:lang w:eastAsia="en-AU"/>
              </w:rPr>
            </w:pPr>
            <w:r w:rsidRPr="004351EB">
              <w:rPr>
                <w:rFonts w:cs="Arial"/>
                <w:color w:val="000000"/>
                <w:sz w:val="18"/>
                <w:lang w:eastAsia="en-AU"/>
              </w:rPr>
              <w:t>APTC sought feedback from your business on how well each student performed</w:t>
            </w:r>
          </w:p>
        </w:tc>
        <w:tc>
          <w:tcPr>
            <w:tcW w:w="781" w:type="dxa"/>
            <w:shd w:val="clear" w:color="auto" w:fill="E2EFD9" w:themeFill="accent6" w:themeFillTint="33"/>
            <w:tcMar>
              <w:top w:w="0" w:type="dxa"/>
              <w:left w:w="20" w:type="dxa"/>
              <w:bottom w:w="0" w:type="dxa"/>
              <w:right w:w="20" w:type="dxa"/>
            </w:tcMar>
            <w:vAlign w:val="center"/>
          </w:tcPr>
          <w:p w14:paraId="3A1E15C5"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13</w:t>
            </w:r>
          </w:p>
        </w:tc>
        <w:tc>
          <w:tcPr>
            <w:tcW w:w="636" w:type="dxa"/>
            <w:shd w:val="clear" w:color="auto" w:fill="E2EFD9" w:themeFill="accent6" w:themeFillTint="33"/>
            <w:tcMar>
              <w:top w:w="0" w:type="dxa"/>
              <w:left w:w="20" w:type="dxa"/>
              <w:bottom w:w="0" w:type="dxa"/>
              <w:right w:w="20" w:type="dxa"/>
            </w:tcMar>
            <w:vAlign w:val="bottom"/>
          </w:tcPr>
          <w:p w14:paraId="2F35FEFC" w14:textId="77777777" w:rsidR="006D3E4A" w:rsidRPr="004351EB" w:rsidRDefault="006D3E4A" w:rsidP="009D6B97">
            <w:pPr>
              <w:spacing w:before="20" w:after="20"/>
              <w:jc w:val="center"/>
              <w:rPr>
                <w:rFonts w:cs="Arial"/>
                <w:color w:val="000000"/>
                <w:sz w:val="18"/>
                <w:lang w:eastAsia="en-AU"/>
              </w:rPr>
            </w:pPr>
          </w:p>
        </w:tc>
        <w:tc>
          <w:tcPr>
            <w:tcW w:w="709" w:type="dxa"/>
            <w:shd w:val="clear" w:color="auto" w:fill="E2EFD9" w:themeFill="accent6" w:themeFillTint="33"/>
            <w:tcMar>
              <w:top w:w="0" w:type="dxa"/>
              <w:left w:w="20" w:type="dxa"/>
              <w:bottom w:w="0" w:type="dxa"/>
              <w:right w:w="20" w:type="dxa"/>
            </w:tcMar>
            <w:vAlign w:val="center"/>
          </w:tcPr>
          <w:p w14:paraId="4583C9E9"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6</w:t>
            </w:r>
          </w:p>
        </w:tc>
        <w:tc>
          <w:tcPr>
            <w:tcW w:w="0" w:type="auto"/>
            <w:shd w:val="clear" w:color="auto" w:fill="E2EFD9" w:themeFill="accent6" w:themeFillTint="33"/>
            <w:tcMar>
              <w:top w:w="0" w:type="dxa"/>
              <w:left w:w="20" w:type="dxa"/>
              <w:bottom w:w="0" w:type="dxa"/>
              <w:right w:w="20" w:type="dxa"/>
            </w:tcMar>
            <w:vAlign w:val="center"/>
          </w:tcPr>
          <w:p w14:paraId="6BE5CA9B"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44</w:t>
            </w:r>
          </w:p>
        </w:tc>
        <w:tc>
          <w:tcPr>
            <w:tcW w:w="771" w:type="dxa"/>
            <w:tcBorders>
              <w:right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699A89C7"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37</w:t>
            </w:r>
          </w:p>
        </w:tc>
        <w:tc>
          <w:tcPr>
            <w:tcW w:w="0" w:type="auto"/>
            <w:tcBorders>
              <w:left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68A47FAA"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100</w:t>
            </w:r>
          </w:p>
        </w:tc>
        <w:tc>
          <w:tcPr>
            <w:tcW w:w="475" w:type="dxa"/>
            <w:shd w:val="clear" w:color="auto" w:fill="E2EFD9" w:themeFill="accent6" w:themeFillTint="33"/>
            <w:tcMar>
              <w:top w:w="0" w:type="dxa"/>
              <w:left w:w="20" w:type="dxa"/>
              <w:bottom w:w="0" w:type="dxa"/>
              <w:right w:w="20" w:type="dxa"/>
            </w:tcMar>
            <w:vAlign w:val="center"/>
          </w:tcPr>
          <w:p w14:paraId="09C29DF0"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32</w:t>
            </w:r>
          </w:p>
        </w:tc>
      </w:tr>
      <w:tr w:rsidR="009D6B97" w14:paraId="221EB2D1" w14:textId="77777777" w:rsidTr="009D6B97">
        <w:tc>
          <w:tcPr>
            <w:tcW w:w="3740" w:type="dxa"/>
            <w:tcBorders>
              <w:bottom w:val="single" w:sz="4" w:space="0" w:color="A8D08D" w:themeColor="accent6" w:themeTint="99"/>
            </w:tcBorders>
            <w:tcMar>
              <w:top w:w="0" w:type="dxa"/>
              <w:left w:w="20" w:type="dxa"/>
              <w:bottom w:w="0" w:type="dxa"/>
              <w:right w:w="20" w:type="dxa"/>
            </w:tcMar>
            <w:vAlign w:val="center"/>
          </w:tcPr>
          <w:p w14:paraId="30A0C89A" w14:textId="77777777" w:rsidR="006D3E4A" w:rsidRPr="004351EB" w:rsidRDefault="006D3E4A" w:rsidP="00236AF0">
            <w:pPr>
              <w:spacing w:before="20" w:after="20"/>
              <w:rPr>
                <w:rFonts w:cs="Arial"/>
                <w:color w:val="000000"/>
                <w:sz w:val="18"/>
                <w:lang w:eastAsia="en-AU"/>
              </w:rPr>
            </w:pPr>
            <w:r w:rsidRPr="004351EB">
              <w:rPr>
                <w:rFonts w:cs="Arial"/>
                <w:color w:val="000000"/>
                <w:sz w:val="18"/>
                <w:lang w:eastAsia="en-AU"/>
              </w:rPr>
              <w:t>The assessment process APTC required to assess the competencies of each student on work placement was good</w:t>
            </w:r>
          </w:p>
        </w:tc>
        <w:tc>
          <w:tcPr>
            <w:tcW w:w="781" w:type="dxa"/>
            <w:tcBorders>
              <w:bottom w:val="single" w:sz="4" w:space="0" w:color="A8D08D" w:themeColor="accent6" w:themeTint="99"/>
            </w:tcBorders>
            <w:tcMar>
              <w:top w:w="0" w:type="dxa"/>
              <w:left w:w="20" w:type="dxa"/>
              <w:bottom w:w="0" w:type="dxa"/>
              <w:right w:w="20" w:type="dxa"/>
            </w:tcMar>
            <w:vAlign w:val="center"/>
          </w:tcPr>
          <w:p w14:paraId="233C8F0B"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7</w:t>
            </w:r>
          </w:p>
        </w:tc>
        <w:tc>
          <w:tcPr>
            <w:tcW w:w="636" w:type="dxa"/>
            <w:tcBorders>
              <w:bottom w:val="single" w:sz="4" w:space="0" w:color="A8D08D" w:themeColor="accent6" w:themeTint="99"/>
            </w:tcBorders>
            <w:tcMar>
              <w:top w:w="0" w:type="dxa"/>
              <w:left w:w="20" w:type="dxa"/>
              <w:bottom w:w="0" w:type="dxa"/>
              <w:right w:w="20" w:type="dxa"/>
            </w:tcMar>
            <w:vAlign w:val="center"/>
          </w:tcPr>
          <w:p w14:paraId="65485D54"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w:t>
            </w:r>
          </w:p>
        </w:tc>
        <w:tc>
          <w:tcPr>
            <w:tcW w:w="709" w:type="dxa"/>
            <w:tcBorders>
              <w:bottom w:val="single" w:sz="4" w:space="0" w:color="A8D08D" w:themeColor="accent6" w:themeTint="99"/>
            </w:tcBorders>
            <w:tcMar>
              <w:top w:w="0" w:type="dxa"/>
              <w:left w:w="20" w:type="dxa"/>
              <w:bottom w:w="0" w:type="dxa"/>
              <w:right w:w="20" w:type="dxa"/>
            </w:tcMar>
            <w:vAlign w:val="center"/>
          </w:tcPr>
          <w:p w14:paraId="24315288"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16</w:t>
            </w:r>
          </w:p>
        </w:tc>
        <w:tc>
          <w:tcPr>
            <w:tcW w:w="0" w:type="auto"/>
            <w:tcBorders>
              <w:bottom w:val="single" w:sz="4" w:space="0" w:color="A8D08D" w:themeColor="accent6" w:themeTint="99"/>
            </w:tcBorders>
            <w:tcMar>
              <w:top w:w="0" w:type="dxa"/>
              <w:left w:w="20" w:type="dxa"/>
              <w:bottom w:w="0" w:type="dxa"/>
              <w:right w:w="20" w:type="dxa"/>
            </w:tcMar>
            <w:vAlign w:val="center"/>
          </w:tcPr>
          <w:p w14:paraId="1337FE48"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37</w:t>
            </w:r>
          </w:p>
        </w:tc>
        <w:tc>
          <w:tcPr>
            <w:tcW w:w="771" w:type="dxa"/>
            <w:tcBorders>
              <w:bottom w:val="single" w:sz="4" w:space="0" w:color="A8D08D" w:themeColor="accent6" w:themeTint="99"/>
              <w:right w:val="single" w:sz="4" w:space="0" w:color="A8D08D" w:themeColor="accent6" w:themeTint="99"/>
            </w:tcBorders>
            <w:tcMar>
              <w:top w:w="0" w:type="dxa"/>
              <w:left w:w="20" w:type="dxa"/>
              <w:bottom w:w="0" w:type="dxa"/>
              <w:right w:w="20" w:type="dxa"/>
            </w:tcMar>
            <w:vAlign w:val="center"/>
          </w:tcPr>
          <w:p w14:paraId="6622BF95"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37</w:t>
            </w:r>
          </w:p>
        </w:tc>
        <w:tc>
          <w:tcPr>
            <w:tcW w:w="0" w:type="auto"/>
            <w:tcBorders>
              <w:left w:val="single" w:sz="4" w:space="0" w:color="A8D08D" w:themeColor="accent6" w:themeTint="99"/>
              <w:bottom w:val="single" w:sz="4" w:space="0" w:color="A8D08D" w:themeColor="accent6" w:themeTint="99"/>
            </w:tcBorders>
            <w:tcMar>
              <w:top w:w="0" w:type="dxa"/>
              <w:left w:w="20" w:type="dxa"/>
              <w:bottom w:w="0" w:type="dxa"/>
              <w:right w:w="20" w:type="dxa"/>
            </w:tcMar>
            <w:vAlign w:val="center"/>
          </w:tcPr>
          <w:p w14:paraId="5E1CB681"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100</w:t>
            </w:r>
          </w:p>
        </w:tc>
        <w:tc>
          <w:tcPr>
            <w:tcW w:w="475" w:type="dxa"/>
            <w:tcBorders>
              <w:bottom w:val="single" w:sz="4" w:space="0" w:color="A8D08D" w:themeColor="accent6" w:themeTint="99"/>
            </w:tcBorders>
            <w:tcMar>
              <w:top w:w="0" w:type="dxa"/>
              <w:left w:w="20" w:type="dxa"/>
              <w:bottom w:w="0" w:type="dxa"/>
              <w:right w:w="20" w:type="dxa"/>
            </w:tcMar>
            <w:vAlign w:val="center"/>
          </w:tcPr>
          <w:p w14:paraId="0E926AFA" w14:textId="77777777" w:rsidR="006D3E4A" w:rsidRPr="004351EB" w:rsidRDefault="006D3E4A" w:rsidP="009D6B97">
            <w:pPr>
              <w:spacing w:before="20" w:after="20"/>
              <w:jc w:val="center"/>
              <w:rPr>
                <w:rFonts w:cs="Arial"/>
                <w:color w:val="000000"/>
                <w:sz w:val="18"/>
                <w:lang w:eastAsia="en-AU"/>
              </w:rPr>
            </w:pPr>
            <w:r w:rsidRPr="004351EB">
              <w:rPr>
                <w:rFonts w:cs="Arial"/>
                <w:color w:val="000000"/>
                <w:sz w:val="18"/>
                <w:lang w:eastAsia="en-AU"/>
              </w:rPr>
              <w:t>30</w:t>
            </w:r>
          </w:p>
        </w:tc>
      </w:tr>
    </w:tbl>
    <w:p w14:paraId="47BFED09" w14:textId="16B4AB0A" w:rsidR="003D355F" w:rsidRDefault="009D6B97" w:rsidP="002028A6">
      <w:pPr>
        <w:pStyle w:val="Heading2"/>
      </w:pPr>
      <w:bookmarkStart w:id="540" w:name="_Toc274145104"/>
      <w:bookmarkStart w:id="541" w:name="_Toc274900488"/>
      <w:bookmarkStart w:id="542" w:name="_Toc274909867"/>
      <w:bookmarkStart w:id="543" w:name="_Toc278447883"/>
      <w:bookmarkStart w:id="544" w:name="_Toc278453356"/>
      <w:r>
        <w:br/>
      </w:r>
      <w:r w:rsidR="00A103F0">
        <w:t>3.3</w:t>
      </w:r>
      <w:r w:rsidR="00A103F0">
        <w:tab/>
      </w:r>
      <w:r w:rsidR="006D3E4A" w:rsidRPr="00FB3195">
        <w:t>Employers’ experience of skill shortages and their response</w:t>
      </w:r>
      <w:bookmarkEnd w:id="540"/>
      <w:bookmarkEnd w:id="541"/>
      <w:bookmarkEnd w:id="542"/>
      <w:bookmarkEnd w:id="543"/>
      <w:bookmarkEnd w:id="544"/>
    </w:p>
    <w:p w14:paraId="28F53ABA" w14:textId="77777777" w:rsidR="006D3E4A" w:rsidRPr="00FB3195" w:rsidRDefault="006D3E4A" w:rsidP="006D3E4A">
      <w:pPr>
        <w:spacing w:before="120"/>
        <w:rPr>
          <w:lang w:eastAsia="zh-CN"/>
        </w:rPr>
      </w:pPr>
      <w:r w:rsidRPr="00FB3195">
        <w:rPr>
          <w:lang w:eastAsia="zh-CN"/>
        </w:rPr>
        <w:t xml:space="preserve">Three-in-five employers experience skill shortages, with little difference by country. Large employers are much more likely to experience skill shortages. The average employment size of an enterprise stating that they experienced skill shortages was </w:t>
      </w:r>
      <w:r w:rsidR="008638BB" w:rsidRPr="00FB3195">
        <w:rPr>
          <w:lang w:eastAsia="zh-CN"/>
        </w:rPr>
        <w:t>162</w:t>
      </w:r>
      <w:r w:rsidR="008638BB">
        <w:rPr>
          <w:lang w:eastAsia="zh-CN"/>
        </w:rPr>
        <w:t> </w:t>
      </w:r>
      <w:r w:rsidRPr="00FB3195">
        <w:rPr>
          <w:lang w:eastAsia="zh-CN"/>
        </w:rPr>
        <w:t xml:space="preserve">employees compared with an average employment size of 17 employees for employers who said they did not experience skill shortages. </w:t>
      </w:r>
    </w:p>
    <w:p w14:paraId="62DABDD8" w14:textId="77777777" w:rsidR="006D3E4A" w:rsidRPr="00FB3195" w:rsidRDefault="006D3E4A" w:rsidP="006D3E4A">
      <w:pPr>
        <w:spacing w:before="120"/>
        <w:rPr>
          <w:lang w:eastAsia="zh-CN"/>
        </w:rPr>
      </w:pPr>
      <w:r w:rsidRPr="00FB3195">
        <w:rPr>
          <w:lang w:eastAsia="zh-CN"/>
        </w:rPr>
        <w:t xml:space="preserve">Of the 21 responses on skill shortages, eight related to APTC current qualifications offered, nine responses related to skills usually covered by higher level qualifications and four related to short courses such as report writing, computer skills and customer service. </w:t>
      </w:r>
    </w:p>
    <w:p w14:paraId="1C27C1D4" w14:textId="77777777" w:rsidR="00941AAE" w:rsidRDefault="00941AAE">
      <w:pPr>
        <w:spacing w:after="0"/>
        <w:rPr>
          <w:lang w:eastAsia="zh-CN"/>
        </w:rPr>
      </w:pPr>
      <w:r>
        <w:rPr>
          <w:lang w:eastAsia="zh-CN"/>
        </w:rPr>
        <w:br w:type="page"/>
      </w:r>
    </w:p>
    <w:p w14:paraId="7CB20439" w14:textId="16A6E83A" w:rsidR="006D3E4A" w:rsidRPr="00FB3195" w:rsidRDefault="006D3E4A" w:rsidP="006D3E4A">
      <w:pPr>
        <w:spacing w:before="120"/>
        <w:rPr>
          <w:lang w:eastAsia="zh-CN"/>
        </w:rPr>
      </w:pPr>
      <w:r w:rsidRPr="00FB3195">
        <w:rPr>
          <w:lang w:eastAsia="zh-CN"/>
        </w:rPr>
        <w:t xml:space="preserve">Three-in-ten employers had a plan or strategy to overcome skill shortages. The largest employers were more likely to have a plan or strategy in place. Two-thirds of enterprises with 500 to 1000 employees had a plan or strategy in place. Near to half of the enterprises said they thought there was scope for APTC to provide training to meet their skill shortages. Enterprises with 51 to 500 employees were most likely to say there was scope for APTC to help them meet their skill shortages. </w:t>
      </w:r>
    </w:p>
    <w:p w14:paraId="5458E91B" w14:textId="77777777" w:rsidR="003D355F" w:rsidRDefault="005108CD" w:rsidP="002028A6">
      <w:pPr>
        <w:pStyle w:val="Heading2"/>
      </w:pPr>
      <w:bookmarkStart w:id="545" w:name="_Toc274145105"/>
      <w:bookmarkStart w:id="546" w:name="_Toc274900489"/>
      <w:bookmarkStart w:id="547" w:name="_Toc274909868"/>
      <w:bookmarkStart w:id="548" w:name="_Toc278447884"/>
      <w:bookmarkStart w:id="549" w:name="_Toc278453357"/>
      <w:r>
        <w:t>3.4</w:t>
      </w:r>
      <w:r>
        <w:tab/>
      </w:r>
      <w:r w:rsidR="006D3E4A" w:rsidRPr="00FB3195">
        <w:t>Benefits to business of employing APTC graduates</w:t>
      </w:r>
      <w:bookmarkEnd w:id="545"/>
      <w:bookmarkEnd w:id="546"/>
      <w:bookmarkEnd w:id="547"/>
      <w:bookmarkEnd w:id="548"/>
      <w:bookmarkEnd w:id="549"/>
      <w:r w:rsidR="006D3E4A" w:rsidRPr="00FB3195">
        <w:t xml:space="preserve"> </w:t>
      </w:r>
    </w:p>
    <w:p w14:paraId="71F387F3" w14:textId="77777777" w:rsidR="006D3E4A" w:rsidRPr="00FB3195" w:rsidRDefault="006D3E4A" w:rsidP="006D3E4A">
      <w:pPr>
        <w:spacing w:before="120"/>
        <w:rPr>
          <w:lang w:eastAsia="zh-CN"/>
        </w:rPr>
      </w:pPr>
      <w:r w:rsidRPr="00FB3195">
        <w:rPr>
          <w:lang w:eastAsia="zh-CN"/>
        </w:rPr>
        <w:t xml:space="preserve">Four-out-of-five employers agree that the APTC graduates they employ perform well on the job in terms of technical competencies compared </w:t>
      </w:r>
      <w:r w:rsidR="004901AB">
        <w:rPr>
          <w:lang w:eastAsia="zh-CN"/>
        </w:rPr>
        <w:t xml:space="preserve">with </w:t>
      </w:r>
      <w:r w:rsidRPr="00FB3195">
        <w:rPr>
          <w:lang w:eastAsia="zh-CN"/>
        </w:rPr>
        <w:t xml:space="preserve">other workers at the same level, with two-in-five agreeing strongly. A smaller number of employers were asked to rate a statement on the work habits of their APTC graduates. Four-in-five agreed that their APTC graduates had good work habits but only one-in-five agreed strongly. </w:t>
      </w:r>
    </w:p>
    <w:p w14:paraId="26B358A2" w14:textId="77777777" w:rsidR="006D3E4A" w:rsidRPr="00FB3195" w:rsidRDefault="006D3E4A" w:rsidP="006D3E4A">
      <w:pPr>
        <w:spacing w:before="120"/>
        <w:rPr>
          <w:lang w:eastAsia="zh-CN"/>
        </w:rPr>
      </w:pPr>
      <w:r w:rsidRPr="00FB3195">
        <w:rPr>
          <w:lang w:eastAsia="zh-CN"/>
        </w:rPr>
        <w:t xml:space="preserve">There is high employer agreement with the statement that </w:t>
      </w:r>
      <w:r w:rsidR="004901AB">
        <w:rPr>
          <w:lang w:eastAsia="zh-CN"/>
        </w:rPr>
        <w:t>‘</w:t>
      </w:r>
      <w:r w:rsidRPr="00FB3195">
        <w:rPr>
          <w:lang w:eastAsia="zh-CN"/>
        </w:rPr>
        <w:t>APTC graduates have helped to train their co-workers to work better</w:t>
      </w:r>
      <w:r w:rsidR="004901AB">
        <w:rPr>
          <w:lang w:eastAsia="zh-CN"/>
        </w:rPr>
        <w:t>’</w:t>
      </w:r>
      <w:r w:rsidRPr="00FB3195">
        <w:rPr>
          <w:lang w:eastAsia="zh-CN"/>
        </w:rPr>
        <w:t>, although this was only asked of some employers</w:t>
      </w:r>
      <w:r w:rsidR="005744AA">
        <w:rPr>
          <w:lang w:eastAsia="zh-CN"/>
        </w:rPr>
        <w:t xml:space="preserve"> </w:t>
      </w:r>
      <w:r w:rsidR="005744AA" w:rsidRPr="005744AA">
        <w:rPr>
          <w:lang w:eastAsia="zh-CN"/>
        </w:rPr>
        <w:t>due to a revised questionnaire</w:t>
      </w:r>
      <w:r w:rsidRPr="00FB3195">
        <w:rPr>
          <w:lang w:eastAsia="zh-CN"/>
        </w:rPr>
        <w:t xml:space="preserve">. Most employers agreed that their APTC graduates added more value to their business compared with other workers at the same level, with two-in-five agreeing strongly. </w:t>
      </w:r>
    </w:p>
    <w:p w14:paraId="495C134C" w14:textId="77777777" w:rsidR="006D3E4A" w:rsidRPr="00FB3195" w:rsidRDefault="006D3E4A" w:rsidP="006D3E4A">
      <w:pPr>
        <w:spacing w:before="120"/>
        <w:rPr>
          <w:lang w:eastAsia="zh-CN"/>
        </w:rPr>
      </w:pPr>
      <w:r w:rsidRPr="00FB3195">
        <w:rPr>
          <w:lang w:eastAsia="zh-CN"/>
        </w:rPr>
        <w:t xml:space="preserve">Finally, of the smaller number of employers who were asked, near to four-in-five employers agreed that the work performance of APTC graduates has enabled their business to expand. </w:t>
      </w:r>
    </w:p>
    <w:p w14:paraId="6C5D1948" w14:textId="00AED89E" w:rsidR="006D3E4A" w:rsidRPr="00FB3195" w:rsidRDefault="006D3E4A" w:rsidP="008E42D2">
      <w:pPr>
        <w:pStyle w:val="Tableheading"/>
        <w:spacing w:before="200"/>
        <w:rPr>
          <w:lang w:eastAsia="zh-CN"/>
        </w:rPr>
      </w:pPr>
      <w:bookmarkStart w:id="550" w:name="_Toc274146476"/>
      <w:bookmarkStart w:id="551" w:name="_Toc274915935"/>
      <w:bookmarkStart w:id="552" w:name="_Toc278446915"/>
      <w:r>
        <w:rPr>
          <w:lang w:eastAsia="zh-CN"/>
        </w:rPr>
        <w:t>Table 5</w:t>
      </w:r>
      <w:r w:rsidRPr="00FB3195">
        <w:rPr>
          <w:lang w:eastAsia="zh-CN"/>
        </w:rPr>
        <w:t>.7: Ratings by employers of statements about the performance of APTC graduates in their business, June</w:t>
      </w:r>
      <w:r w:rsidR="008D1423">
        <w:rPr>
          <w:lang w:eastAsia="zh-CN"/>
        </w:rPr>
        <w:t>–</w:t>
      </w:r>
      <w:r w:rsidRPr="00FB3195">
        <w:rPr>
          <w:lang w:eastAsia="zh-CN"/>
        </w:rPr>
        <w:t>August 2014</w:t>
      </w:r>
      <w:bookmarkEnd w:id="550"/>
      <w:r w:rsidR="00E65E4D">
        <w:rPr>
          <w:lang w:eastAsia="zh-CN"/>
        </w:rPr>
        <w:t xml:space="preserve"> (%)</w:t>
      </w:r>
      <w:bookmarkEnd w:id="551"/>
      <w:bookmarkEnd w:id="552"/>
    </w:p>
    <w:tbl>
      <w:tblPr>
        <w:tblW w:w="8843" w:type="dxa"/>
        <w:tblInd w:w="108" w:type="dxa"/>
        <w:tblLayout w:type="fixed"/>
        <w:tblCellMar>
          <w:left w:w="10" w:type="dxa"/>
          <w:right w:w="10" w:type="dxa"/>
        </w:tblCellMar>
        <w:tblLook w:val="0000" w:firstRow="0" w:lastRow="0" w:firstColumn="0" w:lastColumn="0" w:noHBand="0" w:noVBand="0"/>
      </w:tblPr>
      <w:tblGrid>
        <w:gridCol w:w="4085"/>
        <w:gridCol w:w="789"/>
        <w:gridCol w:w="567"/>
        <w:gridCol w:w="708"/>
        <w:gridCol w:w="658"/>
        <w:gridCol w:w="902"/>
        <w:gridCol w:w="567"/>
        <w:gridCol w:w="567"/>
      </w:tblGrid>
      <w:tr w:rsidR="00EE2DC3" w14:paraId="5C7ECF17" w14:textId="77777777" w:rsidTr="00EE2DC3">
        <w:tc>
          <w:tcPr>
            <w:tcW w:w="4085" w:type="dxa"/>
            <w:shd w:val="clear" w:color="auto" w:fill="C5E0B3" w:themeFill="accent6" w:themeFillTint="66"/>
            <w:tcMar>
              <w:top w:w="0" w:type="dxa"/>
              <w:left w:w="20" w:type="dxa"/>
              <w:bottom w:w="0" w:type="dxa"/>
              <w:right w:w="20" w:type="dxa"/>
            </w:tcMar>
          </w:tcPr>
          <w:p w14:paraId="4A9FD4B8" w14:textId="77777777" w:rsidR="006D3E4A" w:rsidRPr="004351EB" w:rsidRDefault="006D3E4A" w:rsidP="004351EB">
            <w:pPr>
              <w:suppressAutoHyphens/>
              <w:spacing w:before="40" w:after="40"/>
              <w:rPr>
                <w:b/>
                <w:sz w:val="18"/>
                <w:szCs w:val="20"/>
                <w:lang w:eastAsia="zh-CN"/>
              </w:rPr>
            </w:pPr>
            <w:r w:rsidRPr="004351EB">
              <w:rPr>
                <w:b/>
                <w:sz w:val="18"/>
                <w:szCs w:val="20"/>
                <w:lang w:eastAsia="zh-CN"/>
              </w:rPr>
              <w:t>Performance of APTC graduates</w:t>
            </w:r>
          </w:p>
        </w:tc>
        <w:tc>
          <w:tcPr>
            <w:tcW w:w="789" w:type="dxa"/>
            <w:shd w:val="clear" w:color="auto" w:fill="C5E0B3" w:themeFill="accent6" w:themeFillTint="66"/>
            <w:tcMar>
              <w:top w:w="0" w:type="dxa"/>
              <w:left w:w="20" w:type="dxa"/>
              <w:bottom w:w="0" w:type="dxa"/>
              <w:right w:w="20" w:type="dxa"/>
            </w:tcMar>
          </w:tcPr>
          <w:p w14:paraId="70B07088" w14:textId="77777777" w:rsidR="003D355F" w:rsidRPr="005D3968" w:rsidRDefault="006D3E4A" w:rsidP="00EE2DC3">
            <w:pPr>
              <w:suppressAutoHyphens/>
              <w:spacing w:before="40" w:after="40"/>
              <w:jc w:val="center"/>
              <w:rPr>
                <w:b/>
                <w:sz w:val="16"/>
                <w:szCs w:val="16"/>
                <w:lang w:eastAsia="zh-CN"/>
              </w:rPr>
            </w:pPr>
            <w:r w:rsidRPr="005D3968">
              <w:rPr>
                <w:b/>
                <w:sz w:val="16"/>
                <w:szCs w:val="16"/>
                <w:lang w:eastAsia="zh-CN"/>
              </w:rPr>
              <w:t>Strongly disagree</w:t>
            </w:r>
          </w:p>
        </w:tc>
        <w:tc>
          <w:tcPr>
            <w:tcW w:w="567" w:type="dxa"/>
            <w:shd w:val="clear" w:color="auto" w:fill="C5E0B3" w:themeFill="accent6" w:themeFillTint="66"/>
            <w:tcMar>
              <w:top w:w="0" w:type="dxa"/>
              <w:left w:w="20" w:type="dxa"/>
              <w:bottom w:w="0" w:type="dxa"/>
              <w:right w:w="20" w:type="dxa"/>
            </w:tcMar>
          </w:tcPr>
          <w:p w14:paraId="3492657F" w14:textId="560EBDFB" w:rsidR="003D355F" w:rsidRPr="005D3968" w:rsidRDefault="006D3E4A" w:rsidP="00EE2DC3">
            <w:pPr>
              <w:suppressAutoHyphens/>
              <w:spacing w:before="40" w:after="40"/>
              <w:jc w:val="center"/>
              <w:rPr>
                <w:b/>
                <w:sz w:val="16"/>
                <w:szCs w:val="16"/>
                <w:lang w:eastAsia="zh-CN"/>
              </w:rPr>
            </w:pPr>
            <w:r w:rsidRPr="005D3968">
              <w:rPr>
                <w:b/>
                <w:sz w:val="16"/>
                <w:szCs w:val="16"/>
                <w:lang w:eastAsia="zh-CN"/>
              </w:rPr>
              <w:t>Dis</w:t>
            </w:r>
            <w:r w:rsidR="00EE2DC3" w:rsidRPr="005D3968">
              <w:rPr>
                <w:b/>
                <w:sz w:val="16"/>
                <w:szCs w:val="16"/>
                <w:lang w:eastAsia="zh-CN"/>
              </w:rPr>
              <w:t>-</w:t>
            </w:r>
            <w:r w:rsidRPr="005D3968">
              <w:rPr>
                <w:b/>
                <w:sz w:val="16"/>
                <w:szCs w:val="16"/>
                <w:lang w:eastAsia="zh-CN"/>
              </w:rPr>
              <w:t>agree</w:t>
            </w:r>
          </w:p>
        </w:tc>
        <w:tc>
          <w:tcPr>
            <w:tcW w:w="708" w:type="dxa"/>
            <w:shd w:val="clear" w:color="auto" w:fill="C5E0B3" w:themeFill="accent6" w:themeFillTint="66"/>
            <w:tcMar>
              <w:top w:w="0" w:type="dxa"/>
              <w:left w:w="20" w:type="dxa"/>
              <w:bottom w:w="0" w:type="dxa"/>
              <w:right w:w="20" w:type="dxa"/>
            </w:tcMar>
          </w:tcPr>
          <w:p w14:paraId="6F4C869C" w14:textId="5CBCE577" w:rsidR="003D355F" w:rsidRPr="005D3968" w:rsidRDefault="006D3E4A" w:rsidP="00EE2DC3">
            <w:pPr>
              <w:suppressAutoHyphens/>
              <w:spacing w:before="40" w:after="40"/>
              <w:jc w:val="center"/>
              <w:rPr>
                <w:b/>
                <w:sz w:val="16"/>
                <w:szCs w:val="16"/>
                <w:lang w:eastAsia="zh-CN"/>
              </w:rPr>
            </w:pPr>
            <w:r w:rsidRPr="005D3968">
              <w:rPr>
                <w:b/>
                <w:sz w:val="16"/>
                <w:szCs w:val="16"/>
                <w:lang w:eastAsia="zh-CN"/>
              </w:rPr>
              <w:t>Neutral</w:t>
            </w:r>
          </w:p>
        </w:tc>
        <w:tc>
          <w:tcPr>
            <w:tcW w:w="658" w:type="dxa"/>
            <w:shd w:val="clear" w:color="auto" w:fill="C5E0B3" w:themeFill="accent6" w:themeFillTint="66"/>
            <w:tcMar>
              <w:top w:w="0" w:type="dxa"/>
              <w:left w:w="20" w:type="dxa"/>
              <w:bottom w:w="0" w:type="dxa"/>
              <w:right w:w="20" w:type="dxa"/>
            </w:tcMar>
          </w:tcPr>
          <w:p w14:paraId="65D507D4" w14:textId="55BBED1B" w:rsidR="003D355F" w:rsidRPr="005D3968" w:rsidRDefault="006D3E4A" w:rsidP="00EE2DC3">
            <w:pPr>
              <w:suppressAutoHyphens/>
              <w:spacing w:before="40" w:after="40"/>
              <w:jc w:val="center"/>
              <w:rPr>
                <w:b/>
                <w:sz w:val="16"/>
                <w:szCs w:val="16"/>
                <w:lang w:eastAsia="zh-CN"/>
              </w:rPr>
            </w:pPr>
            <w:r w:rsidRPr="005D3968">
              <w:rPr>
                <w:b/>
                <w:sz w:val="16"/>
                <w:szCs w:val="16"/>
                <w:lang w:eastAsia="zh-CN"/>
              </w:rPr>
              <w:t>Agree</w:t>
            </w:r>
          </w:p>
        </w:tc>
        <w:tc>
          <w:tcPr>
            <w:tcW w:w="902" w:type="dxa"/>
            <w:tcBorders>
              <w:right w:val="single" w:sz="4" w:space="0" w:color="A8D08D" w:themeColor="accent6" w:themeTint="99"/>
            </w:tcBorders>
            <w:shd w:val="clear" w:color="auto" w:fill="C5E0B3" w:themeFill="accent6" w:themeFillTint="66"/>
            <w:tcMar>
              <w:top w:w="0" w:type="dxa"/>
              <w:left w:w="20" w:type="dxa"/>
              <w:bottom w:w="0" w:type="dxa"/>
              <w:right w:w="20" w:type="dxa"/>
            </w:tcMar>
          </w:tcPr>
          <w:p w14:paraId="389A4547" w14:textId="77777777" w:rsidR="003D355F" w:rsidRPr="005D3968" w:rsidRDefault="006D3E4A" w:rsidP="00EE2DC3">
            <w:pPr>
              <w:suppressAutoHyphens/>
              <w:spacing w:before="40" w:after="40"/>
              <w:jc w:val="center"/>
              <w:rPr>
                <w:b/>
                <w:sz w:val="16"/>
                <w:szCs w:val="16"/>
                <w:lang w:eastAsia="zh-CN"/>
              </w:rPr>
            </w:pPr>
            <w:r w:rsidRPr="005D3968">
              <w:rPr>
                <w:b/>
                <w:sz w:val="16"/>
                <w:szCs w:val="16"/>
                <w:lang w:eastAsia="zh-CN"/>
              </w:rPr>
              <w:t>Strongly agree</w:t>
            </w:r>
          </w:p>
        </w:tc>
        <w:tc>
          <w:tcPr>
            <w:tcW w:w="567" w:type="dxa"/>
            <w:tcBorders>
              <w:left w:val="single" w:sz="4" w:space="0" w:color="A8D08D" w:themeColor="accent6" w:themeTint="99"/>
            </w:tcBorders>
            <w:shd w:val="clear" w:color="auto" w:fill="C5E0B3" w:themeFill="accent6" w:themeFillTint="66"/>
            <w:tcMar>
              <w:top w:w="0" w:type="dxa"/>
              <w:left w:w="20" w:type="dxa"/>
              <w:bottom w:w="0" w:type="dxa"/>
              <w:right w:w="20" w:type="dxa"/>
            </w:tcMar>
          </w:tcPr>
          <w:p w14:paraId="116098E6" w14:textId="77777777" w:rsidR="003D355F" w:rsidRPr="005D3968" w:rsidRDefault="006D3E4A" w:rsidP="00EE2DC3">
            <w:pPr>
              <w:suppressAutoHyphens/>
              <w:spacing w:before="40" w:after="40"/>
              <w:jc w:val="center"/>
              <w:rPr>
                <w:b/>
                <w:sz w:val="16"/>
                <w:szCs w:val="16"/>
                <w:lang w:eastAsia="zh-CN"/>
              </w:rPr>
            </w:pPr>
            <w:r w:rsidRPr="005D3968">
              <w:rPr>
                <w:b/>
                <w:sz w:val="16"/>
                <w:szCs w:val="16"/>
                <w:lang w:eastAsia="zh-CN"/>
              </w:rPr>
              <w:t>Total</w:t>
            </w:r>
          </w:p>
        </w:tc>
        <w:tc>
          <w:tcPr>
            <w:tcW w:w="567" w:type="dxa"/>
            <w:shd w:val="clear" w:color="auto" w:fill="C5E0B3" w:themeFill="accent6" w:themeFillTint="66"/>
            <w:tcMar>
              <w:top w:w="0" w:type="dxa"/>
              <w:left w:w="20" w:type="dxa"/>
              <w:bottom w:w="0" w:type="dxa"/>
              <w:right w:w="20" w:type="dxa"/>
            </w:tcMar>
          </w:tcPr>
          <w:p w14:paraId="41D67CCE" w14:textId="77777777" w:rsidR="003D355F" w:rsidRPr="005D3968" w:rsidRDefault="006D3E4A" w:rsidP="00EE2DC3">
            <w:pPr>
              <w:suppressAutoHyphens/>
              <w:spacing w:before="40" w:after="40"/>
              <w:jc w:val="center"/>
              <w:rPr>
                <w:b/>
                <w:sz w:val="16"/>
                <w:szCs w:val="16"/>
                <w:lang w:eastAsia="zh-CN"/>
              </w:rPr>
            </w:pPr>
            <w:r w:rsidRPr="005D3968">
              <w:rPr>
                <w:b/>
                <w:sz w:val="16"/>
                <w:szCs w:val="16"/>
                <w:lang w:eastAsia="zh-CN"/>
              </w:rPr>
              <w:t>N</w:t>
            </w:r>
          </w:p>
        </w:tc>
      </w:tr>
      <w:tr w:rsidR="00EE2DC3" w14:paraId="110B5758" w14:textId="77777777" w:rsidTr="00EE2DC3">
        <w:tc>
          <w:tcPr>
            <w:tcW w:w="4085" w:type="dxa"/>
            <w:tcMar>
              <w:top w:w="0" w:type="dxa"/>
              <w:left w:w="20" w:type="dxa"/>
              <w:bottom w:w="0" w:type="dxa"/>
              <w:right w:w="20" w:type="dxa"/>
            </w:tcMar>
            <w:vAlign w:val="center"/>
          </w:tcPr>
          <w:p w14:paraId="07DB808C" w14:textId="77777777" w:rsidR="006D3E4A" w:rsidRPr="004351EB" w:rsidRDefault="006D3E4A" w:rsidP="00236AF0">
            <w:pPr>
              <w:spacing w:before="20" w:after="20"/>
              <w:rPr>
                <w:rFonts w:cs="Arial"/>
                <w:color w:val="000000"/>
                <w:sz w:val="18"/>
                <w:lang w:eastAsia="en-AU"/>
              </w:rPr>
            </w:pPr>
            <w:r w:rsidRPr="004351EB">
              <w:rPr>
                <w:rFonts w:cs="Arial"/>
                <w:color w:val="000000"/>
                <w:sz w:val="18"/>
                <w:lang w:eastAsia="en-AU"/>
              </w:rPr>
              <w:t xml:space="preserve">APTC graduates in our business perform well on the job in terms of technical competencies compared </w:t>
            </w:r>
            <w:r w:rsidR="00673AB0">
              <w:rPr>
                <w:rFonts w:cs="Arial"/>
                <w:color w:val="000000"/>
                <w:sz w:val="18"/>
                <w:lang w:eastAsia="en-AU"/>
              </w:rPr>
              <w:t xml:space="preserve">with </w:t>
            </w:r>
            <w:r w:rsidRPr="004351EB">
              <w:rPr>
                <w:rFonts w:cs="Arial"/>
                <w:color w:val="000000"/>
                <w:sz w:val="18"/>
                <w:lang w:eastAsia="en-AU"/>
              </w:rPr>
              <w:t xml:space="preserve">other workers at the same level </w:t>
            </w:r>
          </w:p>
        </w:tc>
        <w:tc>
          <w:tcPr>
            <w:tcW w:w="789" w:type="dxa"/>
            <w:tcMar>
              <w:top w:w="0" w:type="dxa"/>
              <w:left w:w="20" w:type="dxa"/>
              <w:bottom w:w="0" w:type="dxa"/>
              <w:right w:w="20" w:type="dxa"/>
            </w:tcMar>
            <w:vAlign w:val="center"/>
          </w:tcPr>
          <w:p w14:paraId="0ADF3083"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3</w:t>
            </w:r>
          </w:p>
        </w:tc>
        <w:tc>
          <w:tcPr>
            <w:tcW w:w="567" w:type="dxa"/>
            <w:tcMar>
              <w:top w:w="0" w:type="dxa"/>
              <w:left w:w="20" w:type="dxa"/>
              <w:bottom w:w="0" w:type="dxa"/>
              <w:right w:w="20" w:type="dxa"/>
            </w:tcMar>
            <w:vAlign w:val="center"/>
          </w:tcPr>
          <w:p w14:paraId="2F54C72A"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3</w:t>
            </w:r>
          </w:p>
        </w:tc>
        <w:tc>
          <w:tcPr>
            <w:tcW w:w="708" w:type="dxa"/>
            <w:tcMar>
              <w:top w:w="0" w:type="dxa"/>
              <w:left w:w="20" w:type="dxa"/>
              <w:bottom w:w="0" w:type="dxa"/>
              <w:right w:w="20" w:type="dxa"/>
            </w:tcMar>
            <w:vAlign w:val="center"/>
          </w:tcPr>
          <w:p w14:paraId="62696B3A"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12</w:t>
            </w:r>
          </w:p>
        </w:tc>
        <w:tc>
          <w:tcPr>
            <w:tcW w:w="658" w:type="dxa"/>
            <w:tcMar>
              <w:top w:w="0" w:type="dxa"/>
              <w:left w:w="20" w:type="dxa"/>
              <w:bottom w:w="0" w:type="dxa"/>
              <w:right w:w="20" w:type="dxa"/>
            </w:tcMar>
            <w:vAlign w:val="center"/>
          </w:tcPr>
          <w:p w14:paraId="0143692A"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41</w:t>
            </w:r>
          </w:p>
        </w:tc>
        <w:tc>
          <w:tcPr>
            <w:tcW w:w="902" w:type="dxa"/>
            <w:tcBorders>
              <w:right w:val="single" w:sz="4" w:space="0" w:color="A8D08D" w:themeColor="accent6" w:themeTint="99"/>
            </w:tcBorders>
            <w:tcMar>
              <w:top w:w="0" w:type="dxa"/>
              <w:left w:w="20" w:type="dxa"/>
              <w:bottom w:w="0" w:type="dxa"/>
              <w:right w:w="20" w:type="dxa"/>
            </w:tcMar>
            <w:vAlign w:val="center"/>
          </w:tcPr>
          <w:p w14:paraId="1226229D"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41</w:t>
            </w:r>
          </w:p>
        </w:tc>
        <w:tc>
          <w:tcPr>
            <w:tcW w:w="567" w:type="dxa"/>
            <w:tcBorders>
              <w:left w:val="single" w:sz="4" w:space="0" w:color="A8D08D" w:themeColor="accent6" w:themeTint="99"/>
            </w:tcBorders>
            <w:tcMar>
              <w:top w:w="0" w:type="dxa"/>
              <w:left w:w="20" w:type="dxa"/>
              <w:bottom w:w="0" w:type="dxa"/>
              <w:right w:w="20" w:type="dxa"/>
            </w:tcMar>
            <w:vAlign w:val="center"/>
          </w:tcPr>
          <w:p w14:paraId="5C0A96E9"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100</w:t>
            </w:r>
          </w:p>
        </w:tc>
        <w:tc>
          <w:tcPr>
            <w:tcW w:w="567" w:type="dxa"/>
            <w:tcMar>
              <w:top w:w="0" w:type="dxa"/>
              <w:left w:w="20" w:type="dxa"/>
              <w:bottom w:w="0" w:type="dxa"/>
              <w:right w:w="20" w:type="dxa"/>
            </w:tcMar>
            <w:vAlign w:val="center"/>
          </w:tcPr>
          <w:p w14:paraId="1D4C3EA1"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32</w:t>
            </w:r>
          </w:p>
        </w:tc>
      </w:tr>
      <w:tr w:rsidR="00EE2DC3" w14:paraId="6B73B8DB" w14:textId="77777777" w:rsidTr="005D3968">
        <w:tc>
          <w:tcPr>
            <w:tcW w:w="4085" w:type="dxa"/>
            <w:shd w:val="clear" w:color="auto" w:fill="E2EFD9" w:themeFill="accent6" w:themeFillTint="33"/>
            <w:tcMar>
              <w:top w:w="0" w:type="dxa"/>
              <w:left w:w="20" w:type="dxa"/>
              <w:bottom w:w="0" w:type="dxa"/>
              <w:right w:w="20" w:type="dxa"/>
            </w:tcMar>
            <w:vAlign w:val="center"/>
          </w:tcPr>
          <w:p w14:paraId="7B228EED" w14:textId="77777777" w:rsidR="006D3E4A" w:rsidRPr="004351EB" w:rsidRDefault="006D3E4A" w:rsidP="00236AF0">
            <w:pPr>
              <w:spacing w:before="20" w:after="20"/>
              <w:rPr>
                <w:rFonts w:cs="Arial"/>
                <w:color w:val="000000"/>
                <w:sz w:val="18"/>
                <w:lang w:eastAsia="en-AU"/>
              </w:rPr>
            </w:pPr>
            <w:r w:rsidRPr="004351EB">
              <w:rPr>
                <w:rFonts w:cs="Arial"/>
                <w:color w:val="000000"/>
                <w:sz w:val="18"/>
                <w:lang w:eastAsia="en-AU"/>
              </w:rPr>
              <w:t xml:space="preserve">APTC graduates in our business perform well in terms of work habits such as being punctual, reliable, good at following instructions and taking initiatives </w:t>
            </w:r>
          </w:p>
        </w:tc>
        <w:tc>
          <w:tcPr>
            <w:tcW w:w="789" w:type="dxa"/>
            <w:shd w:val="clear" w:color="auto" w:fill="E2EFD9" w:themeFill="accent6" w:themeFillTint="33"/>
            <w:tcMar>
              <w:top w:w="0" w:type="dxa"/>
              <w:left w:w="20" w:type="dxa"/>
              <w:bottom w:w="0" w:type="dxa"/>
              <w:right w:w="20" w:type="dxa"/>
            </w:tcMar>
            <w:vAlign w:val="center"/>
          </w:tcPr>
          <w:p w14:paraId="77D210A2" w14:textId="77777777" w:rsidR="006D3E4A" w:rsidRPr="004351EB" w:rsidRDefault="006D3E4A" w:rsidP="00EE2DC3">
            <w:pPr>
              <w:spacing w:before="20" w:after="20"/>
              <w:jc w:val="center"/>
              <w:rPr>
                <w:rFonts w:cs="Arial"/>
                <w:color w:val="000000"/>
                <w:sz w:val="18"/>
                <w:lang w:eastAsia="en-AU"/>
              </w:rPr>
            </w:pPr>
          </w:p>
        </w:tc>
        <w:tc>
          <w:tcPr>
            <w:tcW w:w="567" w:type="dxa"/>
            <w:shd w:val="clear" w:color="auto" w:fill="E2EFD9" w:themeFill="accent6" w:themeFillTint="33"/>
            <w:tcMar>
              <w:top w:w="0" w:type="dxa"/>
              <w:left w:w="20" w:type="dxa"/>
              <w:bottom w:w="0" w:type="dxa"/>
              <w:right w:w="20" w:type="dxa"/>
            </w:tcMar>
            <w:vAlign w:val="center"/>
          </w:tcPr>
          <w:p w14:paraId="50D4FE7A"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12</w:t>
            </w:r>
          </w:p>
        </w:tc>
        <w:tc>
          <w:tcPr>
            <w:tcW w:w="708" w:type="dxa"/>
            <w:shd w:val="clear" w:color="auto" w:fill="E2EFD9" w:themeFill="accent6" w:themeFillTint="33"/>
            <w:tcMar>
              <w:top w:w="0" w:type="dxa"/>
              <w:left w:w="20" w:type="dxa"/>
              <w:bottom w:w="0" w:type="dxa"/>
              <w:right w:w="20" w:type="dxa"/>
            </w:tcMar>
            <w:vAlign w:val="center"/>
          </w:tcPr>
          <w:p w14:paraId="16337041"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6</w:t>
            </w:r>
          </w:p>
        </w:tc>
        <w:tc>
          <w:tcPr>
            <w:tcW w:w="658" w:type="dxa"/>
            <w:shd w:val="clear" w:color="auto" w:fill="E2EFD9" w:themeFill="accent6" w:themeFillTint="33"/>
            <w:tcMar>
              <w:top w:w="0" w:type="dxa"/>
              <w:left w:w="20" w:type="dxa"/>
              <w:bottom w:w="0" w:type="dxa"/>
              <w:right w:w="20" w:type="dxa"/>
            </w:tcMar>
            <w:vAlign w:val="center"/>
          </w:tcPr>
          <w:p w14:paraId="4E663099"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63</w:t>
            </w:r>
          </w:p>
        </w:tc>
        <w:tc>
          <w:tcPr>
            <w:tcW w:w="902" w:type="dxa"/>
            <w:tcBorders>
              <w:right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41634642"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19</w:t>
            </w:r>
          </w:p>
        </w:tc>
        <w:tc>
          <w:tcPr>
            <w:tcW w:w="567" w:type="dxa"/>
            <w:tcBorders>
              <w:left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188B224D"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100</w:t>
            </w:r>
          </w:p>
        </w:tc>
        <w:tc>
          <w:tcPr>
            <w:tcW w:w="567" w:type="dxa"/>
            <w:shd w:val="clear" w:color="auto" w:fill="E2EFD9" w:themeFill="accent6" w:themeFillTint="33"/>
            <w:tcMar>
              <w:top w:w="0" w:type="dxa"/>
              <w:left w:w="20" w:type="dxa"/>
              <w:bottom w:w="0" w:type="dxa"/>
              <w:right w:w="20" w:type="dxa"/>
            </w:tcMar>
            <w:vAlign w:val="center"/>
          </w:tcPr>
          <w:p w14:paraId="2CAFB306"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16</w:t>
            </w:r>
          </w:p>
        </w:tc>
      </w:tr>
      <w:tr w:rsidR="00EE2DC3" w14:paraId="11D89B15" w14:textId="77777777" w:rsidTr="00EE2DC3">
        <w:tc>
          <w:tcPr>
            <w:tcW w:w="4085" w:type="dxa"/>
            <w:tcMar>
              <w:top w:w="0" w:type="dxa"/>
              <w:left w:w="20" w:type="dxa"/>
              <w:bottom w:w="0" w:type="dxa"/>
              <w:right w:w="20" w:type="dxa"/>
            </w:tcMar>
            <w:vAlign w:val="center"/>
          </w:tcPr>
          <w:p w14:paraId="518794EE" w14:textId="4E81984F" w:rsidR="006D3E4A" w:rsidRPr="004351EB" w:rsidRDefault="006D3E4A" w:rsidP="00236AF0">
            <w:pPr>
              <w:spacing w:before="20" w:after="20"/>
              <w:rPr>
                <w:rFonts w:cs="Arial"/>
                <w:color w:val="000000"/>
                <w:sz w:val="18"/>
                <w:lang w:eastAsia="en-AU"/>
              </w:rPr>
            </w:pPr>
            <w:r w:rsidRPr="004351EB">
              <w:rPr>
                <w:rFonts w:cs="Arial"/>
                <w:color w:val="000000"/>
                <w:sz w:val="18"/>
                <w:lang w:eastAsia="en-AU"/>
              </w:rPr>
              <w:t xml:space="preserve">APTC graduates have helped to train their </w:t>
            </w:r>
            <w:r w:rsidR="00EE2DC3">
              <w:rPr>
                <w:rFonts w:cs="Arial"/>
                <w:color w:val="000000"/>
                <w:sz w:val="18"/>
                <w:lang w:eastAsia="en-AU"/>
              </w:rPr>
              <w:br/>
            </w:r>
            <w:r w:rsidRPr="004351EB">
              <w:rPr>
                <w:rFonts w:cs="Arial"/>
                <w:color w:val="000000"/>
                <w:sz w:val="18"/>
                <w:lang w:eastAsia="en-AU"/>
              </w:rPr>
              <w:t xml:space="preserve">co-workers to work better </w:t>
            </w:r>
          </w:p>
        </w:tc>
        <w:tc>
          <w:tcPr>
            <w:tcW w:w="789" w:type="dxa"/>
            <w:tcMar>
              <w:top w:w="0" w:type="dxa"/>
              <w:left w:w="20" w:type="dxa"/>
              <w:bottom w:w="0" w:type="dxa"/>
              <w:right w:w="20" w:type="dxa"/>
            </w:tcMar>
            <w:vAlign w:val="center"/>
          </w:tcPr>
          <w:p w14:paraId="5969538A" w14:textId="77777777" w:rsidR="006D3E4A" w:rsidRPr="004351EB" w:rsidRDefault="006D3E4A" w:rsidP="00EE2DC3">
            <w:pPr>
              <w:spacing w:before="20" w:after="20"/>
              <w:jc w:val="center"/>
              <w:rPr>
                <w:rFonts w:cs="Arial"/>
                <w:color w:val="000000"/>
                <w:sz w:val="18"/>
                <w:lang w:eastAsia="en-AU"/>
              </w:rPr>
            </w:pPr>
          </w:p>
        </w:tc>
        <w:tc>
          <w:tcPr>
            <w:tcW w:w="567" w:type="dxa"/>
            <w:tcMar>
              <w:top w:w="0" w:type="dxa"/>
              <w:left w:w="20" w:type="dxa"/>
              <w:bottom w:w="0" w:type="dxa"/>
              <w:right w:w="20" w:type="dxa"/>
            </w:tcMar>
            <w:vAlign w:val="center"/>
          </w:tcPr>
          <w:p w14:paraId="38B6B03F"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7</w:t>
            </w:r>
          </w:p>
        </w:tc>
        <w:tc>
          <w:tcPr>
            <w:tcW w:w="708" w:type="dxa"/>
            <w:tcMar>
              <w:top w:w="0" w:type="dxa"/>
              <w:left w:w="20" w:type="dxa"/>
              <w:bottom w:w="0" w:type="dxa"/>
              <w:right w:w="20" w:type="dxa"/>
            </w:tcMar>
            <w:vAlign w:val="center"/>
          </w:tcPr>
          <w:p w14:paraId="539435EE"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7</w:t>
            </w:r>
          </w:p>
        </w:tc>
        <w:tc>
          <w:tcPr>
            <w:tcW w:w="658" w:type="dxa"/>
            <w:tcMar>
              <w:top w:w="0" w:type="dxa"/>
              <w:left w:w="20" w:type="dxa"/>
              <w:bottom w:w="0" w:type="dxa"/>
              <w:right w:w="20" w:type="dxa"/>
            </w:tcMar>
            <w:vAlign w:val="center"/>
          </w:tcPr>
          <w:p w14:paraId="77E5CB84"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40</w:t>
            </w:r>
          </w:p>
        </w:tc>
        <w:tc>
          <w:tcPr>
            <w:tcW w:w="902" w:type="dxa"/>
            <w:tcBorders>
              <w:right w:val="single" w:sz="4" w:space="0" w:color="A8D08D" w:themeColor="accent6" w:themeTint="99"/>
            </w:tcBorders>
            <w:tcMar>
              <w:top w:w="0" w:type="dxa"/>
              <w:left w:w="20" w:type="dxa"/>
              <w:bottom w:w="0" w:type="dxa"/>
              <w:right w:w="20" w:type="dxa"/>
            </w:tcMar>
            <w:vAlign w:val="center"/>
          </w:tcPr>
          <w:p w14:paraId="45BD81E9"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46</w:t>
            </w:r>
          </w:p>
        </w:tc>
        <w:tc>
          <w:tcPr>
            <w:tcW w:w="567" w:type="dxa"/>
            <w:tcBorders>
              <w:left w:val="single" w:sz="4" w:space="0" w:color="A8D08D" w:themeColor="accent6" w:themeTint="99"/>
            </w:tcBorders>
            <w:tcMar>
              <w:top w:w="0" w:type="dxa"/>
              <w:left w:w="20" w:type="dxa"/>
              <w:bottom w:w="0" w:type="dxa"/>
              <w:right w:w="20" w:type="dxa"/>
            </w:tcMar>
            <w:vAlign w:val="center"/>
          </w:tcPr>
          <w:p w14:paraId="122DA455"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100</w:t>
            </w:r>
          </w:p>
        </w:tc>
        <w:tc>
          <w:tcPr>
            <w:tcW w:w="567" w:type="dxa"/>
            <w:tcMar>
              <w:top w:w="0" w:type="dxa"/>
              <w:left w:w="20" w:type="dxa"/>
              <w:bottom w:w="0" w:type="dxa"/>
              <w:right w:w="20" w:type="dxa"/>
            </w:tcMar>
            <w:vAlign w:val="center"/>
          </w:tcPr>
          <w:p w14:paraId="7C061ECD"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15</w:t>
            </w:r>
          </w:p>
        </w:tc>
      </w:tr>
      <w:tr w:rsidR="00EE2DC3" w14:paraId="78E1128F" w14:textId="77777777" w:rsidTr="005D3968">
        <w:tc>
          <w:tcPr>
            <w:tcW w:w="4085" w:type="dxa"/>
            <w:shd w:val="clear" w:color="auto" w:fill="E2EFD9" w:themeFill="accent6" w:themeFillTint="33"/>
            <w:tcMar>
              <w:top w:w="0" w:type="dxa"/>
              <w:left w:w="20" w:type="dxa"/>
              <w:bottom w:w="0" w:type="dxa"/>
              <w:right w:w="20" w:type="dxa"/>
            </w:tcMar>
            <w:vAlign w:val="center"/>
          </w:tcPr>
          <w:p w14:paraId="3DC22ACD" w14:textId="77777777" w:rsidR="006D3E4A" w:rsidRPr="004351EB" w:rsidRDefault="006D3E4A" w:rsidP="00236AF0">
            <w:pPr>
              <w:spacing w:before="20" w:after="20"/>
              <w:rPr>
                <w:rFonts w:cs="Arial"/>
                <w:color w:val="000000"/>
                <w:sz w:val="18"/>
                <w:lang w:eastAsia="en-AU"/>
              </w:rPr>
            </w:pPr>
            <w:r w:rsidRPr="004351EB">
              <w:rPr>
                <w:rFonts w:cs="Arial"/>
                <w:color w:val="000000"/>
                <w:sz w:val="18"/>
                <w:lang w:eastAsia="en-AU"/>
              </w:rPr>
              <w:t xml:space="preserve">APTC graduates in our business add more value to our business compared with other workers at the same level </w:t>
            </w:r>
          </w:p>
        </w:tc>
        <w:tc>
          <w:tcPr>
            <w:tcW w:w="789" w:type="dxa"/>
            <w:shd w:val="clear" w:color="auto" w:fill="E2EFD9" w:themeFill="accent6" w:themeFillTint="33"/>
            <w:tcMar>
              <w:top w:w="0" w:type="dxa"/>
              <w:left w:w="20" w:type="dxa"/>
              <w:bottom w:w="0" w:type="dxa"/>
              <w:right w:w="20" w:type="dxa"/>
            </w:tcMar>
            <w:vAlign w:val="center"/>
          </w:tcPr>
          <w:p w14:paraId="5CF0E0D3" w14:textId="77777777" w:rsidR="006D3E4A" w:rsidRPr="004351EB" w:rsidRDefault="006D3E4A" w:rsidP="00EE2DC3">
            <w:pPr>
              <w:spacing w:before="20" w:after="20"/>
              <w:jc w:val="center"/>
              <w:rPr>
                <w:rFonts w:cs="Arial"/>
                <w:color w:val="000000"/>
                <w:sz w:val="18"/>
                <w:lang w:eastAsia="en-AU"/>
              </w:rPr>
            </w:pPr>
          </w:p>
        </w:tc>
        <w:tc>
          <w:tcPr>
            <w:tcW w:w="567" w:type="dxa"/>
            <w:shd w:val="clear" w:color="auto" w:fill="E2EFD9" w:themeFill="accent6" w:themeFillTint="33"/>
            <w:tcMar>
              <w:top w:w="0" w:type="dxa"/>
              <w:left w:w="20" w:type="dxa"/>
              <w:bottom w:w="0" w:type="dxa"/>
              <w:right w:w="20" w:type="dxa"/>
            </w:tcMar>
            <w:vAlign w:val="center"/>
          </w:tcPr>
          <w:p w14:paraId="1FEDDD24"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3</w:t>
            </w:r>
          </w:p>
        </w:tc>
        <w:tc>
          <w:tcPr>
            <w:tcW w:w="708" w:type="dxa"/>
            <w:shd w:val="clear" w:color="auto" w:fill="E2EFD9" w:themeFill="accent6" w:themeFillTint="33"/>
            <w:tcMar>
              <w:top w:w="0" w:type="dxa"/>
              <w:left w:w="20" w:type="dxa"/>
              <w:bottom w:w="0" w:type="dxa"/>
              <w:right w:w="20" w:type="dxa"/>
            </w:tcMar>
            <w:vAlign w:val="center"/>
          </w:tcPr>
          <w:p w14:paraId="0349636E"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19</w:t>
            </w:r>
          </w:p>
        </w:tc>
        <w:tc>
          <w:tcPr>
            <w:tcW w:w="658" w:type="dxa"/>
            <w:shd w:val="clear" w:color="auto" w:fill="E2EFD9" w:themeFill="accent6" w:themeFillTint="33"/>
            <w:tcMar>
              <w:top w:w="0" w:type="dxa"/>
              <w:left w:w="20" w:type="dxa"/>
              <w:bottom w:w="0" w:type="dxa"/>
              <w:right w:w="20" w:type="dxa"/>
            </w:tcMar>
            <w:vAlign w:val="center"/>
          </w:tcPr>
          <w:p w14:paraId="31783307"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36</w:t>
            </w:r>
          </w:p>
        </w:tc>
        <w:tc>
          <w:tcPr>
            <w:tcW w:w="902" w:type="dxa"/>
            <w:tcBorders>
              <w:right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6B4A52A2"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42</w:t>
            </w:r>
          </w:p>
        </w:tc>
        <w:tc>
          <w:tcPr>
            <w:tcW w:w="567" w:type="dxa"/>
            <w:tcBorders>
              <w:left w:val="single" w:sz="4" w:space="0" w:color="A8D08D" w:themeColor="accent6" w:themeTint="99"/>
            </w:tcBorders>
            <w:shd w:val="clear" w:color="auto" w:fill="E2EFD9" w:themeFill="accent6" w:themeFillTint="33"/>
            <w:tcMar>
              <w:top w:w="0" w:type="dxa"/>
              <w:left w:w="20" w:type="dxa"/>
              <w:bottom w:w="0" w:type="dxa"/>
              <w:right w:w="20" w:type="dxa"/>
            </w:tcMar>
            <w:vAlign w:val="center"/>
          </w:tcPr>
          <w:p w14:paraId="1D50FF73"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100</w:t>
            </w:r>
          </w:p>
        </w:tc>
        <w:tc>
          <w:tcPr>
            <w:tcW w:w="567" w:type="dxa"/>
            <w:shd w:val="clear" w:color="auto" w:fill="E2EFD9" w:themeFill="accent6" w:themeFillTint="33"/>
            <w:tcMar>
              <w:top w:w="0" w:type="dxa"/>
              <w:left w:w="20" w:type="dxa"/>
              <w:bottom w:w="0" w:type="dxa"/>
              <w:right w:w="20" w:type="dxa"/>
            </w:tcMar>
            <w:vAlign w:val="center"/>
          </w:tcPr>
          <w:p w14:paraId="47649626"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31</w:t>
            </w:r>
          </w:p>
        </w:tc>
      </w:tr>
      <w:tr w:rsidR="00EE2DC3" w14:paraId="25E17BE5" w14:textId="77777777" w:rsidTr="00EE2DC3">
        <w:tc>
          <w:tcPr>
            <w:tcW w:w="4085" w:type="dxa"/>
            <w:tcBorders>
              <w:bottom w:val="single" w:sz="4" w:space="0" w:color="A8D08D" w:themeColor="accent6" w:themeTint="99"/>
            </w:tcBorders>
            <w:tcMar>
              <w:top w:w="0" w:type="dxa"/>
              <w:left w:w="20" w:type="dxa"/>
              <w:bottom w:w="0" w:type="dxa"/>
              <w:right w:w="20" w:type="dxa"/>
            </w:tcMar>
            <w:vAlign w:val="center"/>
          </w:tcPr>
          <w:p w14:paraId="6D91E139" w14:textId="77777777" w:rsidR="006D3E4A" w:rsidRPr="004351EB" w:rsidRDefault="006D3E4A" w:rsidP="00236AF0">
            <w:pPr>
              <w:spacing w:before="20" w:after="20"/>
              <w:rPr>
                <w:rFonts w:cs="Arial"/>
                <w:color w:val="000000"/>
                <w:sz w:val="18"/>
                <w:lang w:eastAsia="en-AU"/>
              </w:rPr>
            </w:pPr>
            <w:r w:rsidRPr="004351EB">
              <w:rPr>
                <w:rFonts w:cs="Arial"/>
                <w:color w:val="000000"/>
                <w:sz w:val="18"/>
                <w:lang w:eastAsia="en-AU"/>
              </w:rPr>
              <w:t xml:space="preserve">The work performance of APTC graduates has enabled me to expand my business </w:t>
            </w:r>
          </w:p>
        </w:tc>
        <w:tc>
          <w:tcPr>
            <w:tcW w:w="789" w:type="dxa"/>
            <w:tcBorders>
              <w:bottom w:val="single" w:sz="4" w:space="0" w:color="A8D08D" w:themeColor="accent6" w:themeTint="99"/>
            </w:tcBorders>
            <w:tcMar>
              <w:top w:w="0" w:type="dxa"/>
              <w:left w:w="20" w:type="dxa"/>
              <w:bottom w:w="0" w:type="dxa"/>
              <w:right w:w="20" w:type="dxa"/>
            </w:tcMar>
            <w:vAlign w:val="center"/>
          </w:tcPr>
          <w:p w14:paraId="107A297E" w14:textId="77777777" w:rsidR="006D3E4A" w:rsidRPr="004351EB" w:rsidRDefault="006D3E4A" w:rsidP="00EE2DC3">
            <w:pPr>
              <w:spacing w:before="20" w:after="20"/>
              <w:jc w:val="center"/>
              <w:rPr>
                <w:rFonts w:cs="Arial"/>
                <w:color w:val="000000"/>
                <w:sz w:val="18"/>
                <w:lang w:eastAsia="en-AU"/>
              </w:rPr>
            </w:pPr>
          </w:p>
        </w:tc>
        <w:tc>
          <w:tcPr>
            <w:tcW w:w="567" w:type="dxa"/>
            <w:tcBorders>
              <w:bottom w:val="single" w:sz="4" w:space="0" w:color="A8D08D" w:themeColor="accent6" w:themeTint="99"/>
            </w:tcBorders>
            <w:tcMar>
              <w:top w:w="0" w:type="dxa"/>
              <w:left w:w="20" w:type="dxa"/>
              <w:bottom w:w="0" w:type="dxa"/>
              <w:right w:w="20" w:type="dxa"/>
            </w:tcMar>
            <w:vAlign w:val="center"/>
          </w:tcPr>
          <w:p w14:paraId="39967BE6"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8</w:t>
            </w:r>
          </w:p>
        </w:tc>
        <w:tc>
          <w:tcPr>
            <w:tcW w:w="708" w:type="dxa"/>
            <w:tcBorders>
              <w:bottom w:val="single" w:sz="4" w:space="0" w:color="A8D08D" w:themeColor="accent6" w:themeTint="99"/>
            </w:tcBorders>
            <w:tcMar>
              <w:top w:w="0" w:type="dxa"/>
              <w:left w:w="20" w:type="dxa"/>
              <w:bottom w:w="0" w:type="dxa"/>
              <w:right w:w="20" w:type="dxa"/>
            </w:tcMar>
            <w:vAlign w:val="center"/>
          </w:tcPr>
          <w:p w14:paraId="5D1BF813"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15</w:t>
            </w:r>
          </w:p>
        </w:tc>
        <w:tc>
          <w:tcPr>
            <w:tcW w:w="658" w:type="dxa"/>
            <w:tcBorders>
              <w:bottom w:val="single" w:sz="4" w:space="0" w:color="A8D08D" w:themeColor="accent6" w:themeTint="99"/>
            </w:tcBorders>
            <w:tcMar>
              <w:top w:w="0" w:type="dxa"/>
              <w:left w:w="20" w:type="dxa"/>
              <w:bottom w:w="0" w:type="dxa"/>
              <w:right w:w="20" w:type="dxa"/>
            </w:tcMar>
            <w:vAlign w:val="center"/>
          </w:tcPr>
          <w:p w14:paraId="1508E2B9"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38</w:t>
            </w:r>
          </w:p>
        </w:tc>
        <w:tc>
          <w:tcPr>
            <w:tcW w:w="902" w:type="dxa"/>
            <w:tcBorders>
              <w:bottom w:val="single" w:sz="4" w:space="0" w:color="A8D08D" w:themeColor="accent6" w:themeTint="99"/>
              <w:right w:val="single" w:sz="4" w:space="0" w:color="A8D08D" w:themeColor="accent6" w:themeTint="99"/>
            </w:tcBorders>
            <w:tcMar>
              <w:top w:w="0" w:type="dxa"/>
              <w:left w:w="20" w:type="dxa"/>
              <w:bottom w:w="0" w:type="dxa"/>
              <w:right w:w="20" w:type="dxa"/>
            </w:tcMar>
            <w:vAlign w:val="center"/>
          </w:tcPr>
          <w:p w14:paraId="10EE8350"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38</w:t>
            </w:r>
          </w:p>
        </w:tc>
        <w:tc>
          <w:tcPr>
            <w:tcW w:w="567" w:type="dxa"/>
            <w:tcBorders>
              <w:left w:val="single" w:sz="4" w:space="0" w:color="A8D08D" w:themeColor="accent6" w:themeTint="99"/>
              <w:bottom w:val="single" w:sz="4" w:space="0" w:color="A8D08D" w:themeColor="accent6" w:themeTint="99"/>
            </w:tcBorders>
            <w:tcMar>
              <w:top w:w="0" w:type="dxa"/>
              <w:left w:w="20" w:type="dxa"/>
              <w:bottom w:w="0" w:type="dxa"/>
              <w:right w:w="20" w:type="dxa"/>
            </w:tcMar>
            <w:vAlign w:val="center"/>
          </w:tcPr>
          <w:p w14:paraId="29305F11"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100</w:t>
            </w:r>
          </w:p>
        </w:tc>
        <w:tc>
          <w:tcPr>
            <w:tcW w:w="567" w:type="dxa"/>
            <w:tcBorders>
              <w:bottom w:val="single" w:sz="4" w:space="0" w:color="A8D08D" w:themeColor="accent6" w:themeTint="99"/>
            </w:tcBorders>
            <w:tcMar>
              <w:top w:w="0" w:type="dxa"/>
              <w:left w:w="20" w:type="dxa"/>
              <w:bottom w:w="0" w:type="dxa"/>
              <w:right w:w="20" w:type="dxa"/>
            </w:tcMar>
            <w:vAlign w:val="center"/>
          </w:tcPr>
          <w:p w14:paraId="3FBBE232" w14:textId="77777777" w:rsidR="006D3E4A" w:rsidRPr="004351EB" w:rsidRDefault="006D3E4A" w:rsidP="00EE2DC3">
            <w:pPr>
              <w:spacing w:before="20" w:after="20"/>
              <w:jc w:val="center"/>
              <w:rPr>
                <w:rFonts w:cs="Arial"/>
                <w:color w:val="000000"/>
                <w:sz w:val="18"/>
                <w:lang w:eastAsia="en-AU"/>
              </w:rPr>
            </w:pPr>
            <w:r w:rsidRPr="004351EB">
              <w:rPr>
                <w:rFonts w:cs="Arial"/>
                <w:color w:val="000000"/>
                <w:sz w:val="18"/>
                <w:lang w:eastAsia="en-AU"/>
              </w:rPr>
              <w:t>13</w:t>
            </w:r>
          </w:p>
        </w:tc>
      </w:tr>
    </w:tbl>
    <w:p w14:paraId="565AD0F7" w14:textId="77777777" w:rsidR="006D3E4A" w:rsidRPr="00FB3195" w:rsidRDefault="006D3E4A" w:rsidP="006D3E4A">
      <w:pPr>
        <w:spacing w:after="0"/>
        <w:rPr>
          <w:lang w:eastAsia="zh-CN"/>
        </w:rPr>
      </w:pPr>
    </w:p>
    <w:p w14:paraId="750F6639" w14:textId="77777777" w:rsidR="003D355F" w:rsidRDefault="003A2667" w:rsidP="002028A6">
      <w:pPr>
        <w:pStyle w:val="Heading2"/>
      </w:pPr>
      <w:bookmarkStart w:id="553" w:name="_Toc274145106"/>
      <w:bookmarkStart w:id="554" w:name="_Toc274900490"/>
      <w:bookmarkStart w:id="555" w:name="_Toc274909869"/>
      <w:bookmarkStart w:id="556" w:name="_Toc278447885"/>
      <w:bookmarkStart w:id="557" w:name="_Toc278453358"/>
      <w:r>
        <w:t>3.5</w:t>
      </w:r>
      <w:r>
        <w:tab/>
      </w:r>
      <w:r w:rsidR="006D3E4A" w:rsidRPr="00FB3195">
        <w:t>What APTC graduates do well or not do well</w:t>
      </w:r>
      <w:bookmarkEnd w:id="553"/>
      <w:bookmarkEnd w:id="554"/>
      <w:bookmarkEnd w:id="555"/>
      <w:bookmarkEnd w:id="556"/>
      <w:bookmarkEnd w:id="557"/>
    </w:p>
    <w:p w14:paraId="6AD19862" w14:textId="77777777" w:rsidR="006D3E4A" w:rsidRPr="00FB3195" w:rsidRDefault="006D3E4A" w:rsidP="006D3E4A">
      <w:pPr>
        <w:spacing w:before="120"/>
        <w:rPr>
          <w:lang w:eastAsia="zh-CN"/>
        </w:rPr>
      </w:pPr>
      <w:r w:rsidRPr="00FB3195">
        <w:rPr>
          <w:lang w:eastAsia="zh-CN"/>
        </w:rPr>
        <w:t xml:space="preserve">Three-in-four employers offered their open-ended comments on what their APTC graduates do well. Nearly half of employers (46 per cent) identified the technical skills of APTC graduates as the distinctive aspect of what they do particularly well. One-in-three employers identified in particular the soft skills APTC graduates now have such as ‘confidence, ‘listening, following, taking instruction’, and ‘professionalism in attendance, participation, sharing information and encouraging others towards excellence’. One-in-ten employers identified both the technical and soft skills of their APTC graduates as the features of what they do particularly well. </w:t>
      </w:r>
    </w:p>
    <w:p w14:paraId="09EFDBBF" w14:textId="77777777" w:rsidR="00941AAE" w:rsidRDefault="00941AAE">
      <w:pPr>
        <w:spacing w:after="0"/>
        <w:rPr>
          <w:lang w:eastAsia="zh-CN"/>
        </w:rPr>
      </w:pPr>
      <w:r>
        <w:rPr>
          <w:lang w:eastAsia="zh-CN"/>
        </w:rPr>
        <w:br w:type="page"/>
      </w:r>
    </w:p>
    <w:p w14:paraId="05CFD53A" w14:textId="3C43A3CE" w:rsidR="006D3E4A" w:rsidRPr="00FB3195" w:rsidRDefault="006D3E4A" w:rsidP="006D3E4A">
      <w:pPr>
        <w:spacing w:before="120"/>
        <w:rPr>
          <w:lang w:eastAsia="zh-CN"/>
        </w:rPr>
      </w:pPr>
      <w:r w:rsidRPr="00FB3195">
        <w:rPr>
          <w:lang w:eastAsia="zh-CN"/>
        </w:rPr>
        <w:t xml:space="preserve">Fewer employers offered a comment on </w:t>
      </w:r>
      <w:r w:rsidR="00FB5570">
        <w:rPr>
          <w:lang w:eastAsia="zh-CN"/>
        </w:rPr>
        <w:t xml:space="preserve">what </w:t>
      </w:r>
      <w:r w:rsidRPr="00FB3195">
        <w:rPr>
          <w:lang w:eastAsia="zh-CN"/>
        </w:rPr>
        <w:t xml:space="preserve">their APTC graduates are not good at doing. The most common comment related to attitudes to work such as ‘sometimes too cocky’, ‘expected higher pay prior to demonstrating ability’, failure to spread the knowledge they have learnt, and ‘unlearning old habits and perceptions’. A smaller number of comments related to technical skills such as ‘not fully utilising their skills’, basic finance, budgeting and report writing, and ‘engineering’. </w:t>
      </w:r>
    </w:p>
    <w:p w14:paraId="1133BBA9" w14:textId="77777777" w:rsidR="003D355F" w:rsidRDefault="0096121A" w:rsidP="002028A6">
      <w:pPr>
        <w:pStyle w:val="Heading2"/>
      </w:pPr>
      <w:bookmarkStart w:id="558" w:name="_Toc274145107"/>
      <w:bookmarkStart w:id="559" w:name="_Toc274900491"/>
      <w:bookmarkStart w:id="560" w:name="_Toc274909870"/>
      <w:bookmarkStart w:id="561" w:name="_Toc278447886"/>
      <w:bookmarkStart w:id="562" w:name="_Toc278453359"/>
      <w:r>
        <w:t>3.6</w:t>
      </w:r>
      <w:r>
        <w:tab/>
      </w:r>
      <w:r w:rsidR="006D3E4A" w:rsidRPr="00FB3195">
        <w:t>Pay benefits for APTC graduates</w:t>
      </w:r>
      <w:bookmarkEnd w:id="558"/>
      <w:bookmarkEnd w:id="559"/>
      <w:bookmarkEnd w:id="560"/>
      <w:bookmarkEnd w:id="561"/>
      <w:bookmarkEnd w:id="562"/>
      <w:r w:rsidR="006D3E4A" w:rsidRPr="00FB3195">
        <w:t xml:space="preserve"> </w:t>
      </w:r>
    </w:p>
    <w:p w14:paraId="08B2EE9B" w14:textId="77777777" w:rsidR="006D3E4A" w:rsidRPr="00FB3195" w:rsidRDefault="006D3E4A" w:rsidP="006D3E4A">
      <w:pPr>
        <w:spacing w:before="120"/>
        <w:rPr>
          <w:lang w:eastAsia="zh-CN"/>
        </w:rPr>
      </w:pPr>
      <w:r w:rsidRPr="00FB3195">
        <w:rPr>
          <w:lang w:eastAsia="zh-CN"/>
        </w:rPr>
        <w:t>Only 17 employers provided information about whether they pay APTC graduates more than other graduates in the same occupations and levels. Three-in-ten employers (</w:t>
      </w:r>
      <w:r w:rsidR="00ED1217" w:rsidRPr="00FB3195">
        <w:rPr>
          <w:lang w:eastAsia="zh-CN"/>
        </w:rPr>
        <w:t>29</w:t>
      </w:r>
      <w:r w:rsidR="00ED1217">
        <w:rPr>
          <w:lang w:eastAsia="zh-CN"/>
        </w:rPr>
        <w:t> </w:t>
      </w:r>
      <w:r w:rsidRPr="00FB3195">
        <w:rPr>
          <w:lang w:eastAsia="zh-CN"/>
        </w:rPr>
        <w:t>per cent) said there was no difference in pay for their APTC graduates, one-in-three (35 per cent) said there was a small difference in pay and one-in-three said there was a large difference in pay.</w:t>
      </w:r>
    </w:p>
    <w:p w14:paraId="53786A3A" w14:textId="77777777" w:rsidR="003D355F" w:rsidRDefault="0096121A" w:rsidP="002028A6">
      <w:pPr>
        <w:pStyle w:val="Heading2"/>
      </w:pPr>
      <w:bookmarkStart w:id="563" w:name="_Toc274145108"/>
      <w:bookmarkStart w:id="564" w:name="_Toc274900492"/>
      <w:bookmarkStart w:id="565" w:name="_Toc274909871"/>
      <w:bookmarkStart w:id="566" w:name="_Toc278447887"/>
      <w:bookmarkStart w:id="567" w:name="_Toc278453360"/>
      <w:r>
        <w:t>3.7</w:t>
      </w:r>
      <w:r>
        <w:tab/>
      </w:r>
      <w:r w:rsidR="006D3E4A" w:rsidRPr="00FB3195">
        <w:t>Suggestions for change</w:t>
      </w:r>
      <w:bookmarkEnd w:id="563"/>
      <w:bookmarkEnd w:id="564"/>
      <w:bookmarkEnd w:id="565"/>
      <w:bookmarkEnd w:id="566"/>
      <w:bookmarkEnd w:id="567"/>
    </w:p>
    <w:p w14:paraId="4D901C92" w14:textId="034E7E01" w:rsidR="006D3E4A" w:rsidRPr="00FB3195" w:rsidRDefault="006D3E4A" w:rsidP="006D3E4A">
      <w:pPr>
        <w:spacing w:before="120"/>
        <w:rPr>
          <w:lang w:eastAsia="zh-CN"/>
        </w:rPr>
      </w:pPr>
      <w:r w:rsidRPr="00FB3195">
        <w:rPr>
          <w:lang w:eastAsia="zh-CN"/>
        </w:rPr>
        <w:t>Employ</w:t>
      </w:r>
      <w:r w:rsidR="007E4DB7">
        <w:rPr>
          <w:lang w:eastAsia="zh-CN"/>
        </w:rPr>
        <w:t>er</w:t>
      </w:r>
      <w:r w:rsidRPr="00FB3195">
        <w:rPr>
          <w:lang w:eastAsia="zh-CN"/>
        </w:rPr>
        <w:t xml:space="preserve">s were asked to say </w:t>
      </w:r>
      <w:r w:rsidR="003A3057" w:rsidRPr="003A3057">
        <w:rPr>
          <w:lang w:eastAsia="zh-CN"/>
        </w:rPr>
        <w:t xml:space="preserve">in conclusion </w:t>
      </w:r>
      <w:r w:rsidRPr="00FB3195">
        <w:rPr>
          <w:lang w:eastAsia="zh-CN"/>
        </w:rPr>
        <w:t xml:space="preserve">how they think APTC should change to meet the needs of enterprises in the future. Nearly all employers offered a comment and most of these related to changes they would like to see. Two-in-five comments related to operational matters such as more days in work experience, the structure of the teaching day, more flexible blocks of training, night classes, more part-time courses, a more transparent scholarship selection process, need for statement of attainment for specific skill sets, and a year plan of future activities. </w:t>
      </w:r>
    </w:p>
    <w:p w14:paraId="2CA4DD4A" w14:textId="4FC33969" w:rsidR="006D3E4A" w:rsidRDefault="006D3E4A" w:rsidP="006D3E4A">
      <w:pPr>
        <w:spacing w:before="120"/>
        <w:rPr>
          <w:lang w:eastAsia="zh-CN"/>
        </w:rPr>
      </w:pPr>
      <w:r w:rsidRPr="00FB3195">
        <w:rPr>
          <w:lang w:eastAsia="zh-CN"/>
        </w:rPr>
        <w:t>Two-in-five comments referred to a request for APTC to provide</w:t>
      </w:r>
      <w:r w:rsidR="005744AA">
        <w:rPr>
          <w:lang w:eastAsia="zh-CN"/>
        </w:rPr>
        <w:t xml:space="preserve"> related or </w:t>
      </w:r>
      <w:r w:rsidRPr="00FB3195">
        <w:rPr>
          <w:lang w:eastAsia="zh-CN"/>
        </w:rPr>
        <w:t>higher qualifications in the same fields of study. Refresher courses were also requested as were programs focusing on specialised skill needs. Three comments related to the future direction of APTC. One comment referred to the value of expanding APTC but warned that a 80 per cent nationalisation target with Australian standards would be the ‘start of the end of it’. Two employers suggested providing more opportunities for school leavers and ‘training students younger before they pick up bad habits from technical centres’.</w:t>
      </w:r>
    </w:p>
    <w:p w14:paraId="0948A665" w14:textId="77777777" w:rsidR="00605F05" w:rsidRPr="008E7579" w:rsidRDefault="00605F05" w:rsidP="006D3E4A">
      <w:pPr>
        <w:spacing w:before="120"/>
        <w:rPr>
          <w:sz w:val="2"/>
          <w:lang w:eastAsia="zh-CN"/>
        </w:rPr>
      </w:pPr>
    </w:p>
    <w:p w14:paraId="4BCA27F7" w14:textId="6C61D706" w:rsidR="003D355F" w:rsidRDefault="00203674" w:rsidP="002028A6">
      <w:pPr>
        <w:pStyle w:val="Heading1"/>
      </w:pPr>
      <w:bookmarkStart w:id="568" w:name="_Toc278447888"/>
      <w:bookmarkStart w:id="569" w:name="_Toc278453361"/>
      <w:r>
        <w:t>4</w:t>
      </w:r>
      <w:r>
        <w:tab/>
      </w:r>
      <w:r w:rsidR="002876A0" w:rsidRPr="00A675A0">
        <w:t>Trainers and tutors</w:t>
      </w:r>
      <w:bookmarkEnd w:id="568"/>
      <w:bookmarkEnd w:id="569"/>
      <w:r w:rsidR="002876A0" w:rsidRPr="00A675A0" w:rsidDel="002876A0">
        <w:t xml:space="preserve"> </w:t>
      </w:r>
    </w:p>
    <w:p w14:paraId="256BFE88" w14:textId="77777777" w:rsidR="002876A0" w:rsidRDefault="002876A0" w:rsidP="002028A6">
      <w:pPr>
        <w:pStyle w:val="Heading2"/>
      </w:pPr>
      <w:bookmarkStart w:id="570" w:name="_Toc274909873"/>
      <w:bookmarkStart w:id="571" w:name="_Toc278447889"/>
      <w:bookmarkStart w:id="572" w:name="_Toc278453362"/>
      <w:r>
        <w:t>4.1</w:t>
      </w:r>
      <w:r>
        <w:tab/>
      </w:r>
      <w:r w:rsidRPr="002876A0">
        <w:t>Introduction</w:t>
      </w:r>
      <w:bookmarkEnd w:id="570"/>
      <w:bookmarkEnd w:id="571"/>
      <w:bookmarkEnd w:id="572"/>
    </w:p>
    <w:p w14:paraId="7B5F1244" w14:textId="460CB31C" w:rsidR="006D3E4A" w:rsidRPr="00A675A0" w:rsidRDefault="006D3E4A" w:rsidP="006D3E4A">
      <w:pPr>
        <w:rPr>
          <w:rFonts w:cs="Arial"/>
        </w:rPr>
      </w:pPr>
      <w:r w:rsidRPr="00A675A0">
        <w:rPr>
          <w:rFonts w:cs="Arial"/>
        </w:rPr>
        <w:t>During the field visits, questionnaires were conducted with the available trainers, tutors and administrative staff in the five countries visited</w:t>
      </w:r>
      <w:r w:rsidR="002876A0">
        <w:rPr>
          <w:rFonts w:cs="Arial"/>
        </w:rPr>
        <w:t xml:space="preserve">, including 29 trainers, 28 tutors and 45 administrative staff. </w:t>
      </w:r>
      <w:r w:rsidRPr="00A675A0">
        <w:rPr>
          <w:rFonts w:cs="Arial"/>
        </w:rPr>
        <w:t>The same questionnaire was used for trainers and tutors, using a mixture of closed and open-ended questions. Closed questions on biographical information were followed by the following open-ended questions:</w:t>
      </w:r>
    </w:p>
    <w:p w14:paraId="094CB3CA" w14:textId="7544A29C" w:rsidR="006D3E4A" w:rsidRPr="00A675A0" w:rsidRDefault="006D3E4A" w:rsidP="000668BA">
      <w:pPr>
        <w:numPr>
          <w:ilvl w:val="0"/>
          <w:numId w:val="51"/>
        </w:numPr>
        <w:contextualSpacing/>
        <w:rPr>
          <w:rFonts w:cs="Arial"/>
        </w:rPr>
      </w:pPr>
      <w:r w:rsidRPr="00A675A0">
        <w:rPr>
          <w:rFonts w:cs="Arial"/>
        </w:rPr>
        <w:t xml:space="preserve">How do you keep </w:t>
      </w:r>
      <w:r w:rsidR="007E4DB7">
        <w:rPr>
          <w:rFonts w:cs="Arial"/>
        </w:rPr>
        <w:t>up</w:t>
      </w:r>
      <w:r w:rsidRPr="00A675A0">
        <w:rPr>
          <w:rFonts w:cs="Arial"/>
        </w:rPr>
        <w:t>-to-date with the skills and knowledge of the areas in which you teach?</w:t>
      </w:r>
    </w:p>
    <w:p w14:paraId="5E9A143D" w14:textId="77777777" w:rsidR="006D3E4A" w:rsidRPr="00A675A0" w:rsidRDefault="006D3E4A" w:rsidP="000668BA">
      <w:pPr>
        <w:numPr>
          <w:ilvl w:val="0"/>
          <w:numId w:val="51"/>
        </w:numPr>
        <w:contextualSpacing/>
        <w:rPr>
          <w:rFonts w:cs="Arial"/>
        </w:rPr>
      </w:pPr>
      <w:r w:rsidRPr="00A675A0">
        <w:rPr>
          <w:rFonts w:cs="Arial"/>
        </w:rPr>
        <w:t>What do you think have been APTC’s greatest achievements? (</w:t>
      </w:r>
      <w:r w:rsidR="00EF61CA">
        <w:rPr>
          <w:rFonts w:cs="Arial"/>
        </w:rPr>
        <w:t>N</w:t>
      </w:r>
      <w:r w:rsidR="00EF61CA" w:rsidRPr="00A675A0">
        <w:rPr>
          <w:rFonts w:cs="Arial"/>
        </w:rPr>
        <w:t xml:space="preserve">ame </w:t>
      </w:r>
      <w:r w:rsidRPr="00A675A0">
        <w:rPr>
          <w:rFonts w:cs="Arial"/>
        </w:rPr>
        <w:t>up to 3)</w:t>
      </w:r>
    </w:p>
    <w:p w14:paraId="5807496A" w14:textId="77777777" w:rsidR="006D3E4A" w:rsidRPr="00A675A0" w:rsidRDefault="006D3E4A" w:rsidP="000668BA">
      <w:pPr>
        <w:numPr>
          <w:ilvl w:val="0"/>
          <w:numId w:val="51"/>
        </w:numPr>
        <w:contextualSpacing/>
        <w:rPr>
          <w:rFonts w:cs="Arial"/>
        </w:rPr>
      </w:pPr>
      <w:r w:rsidRPr="00A675A0">
        <w:rPr>
          <w:rFonts w:cs="Arial"/>
        </w:rPr>
        <w:t>What are the main challenges you face as a trainer/tutor? (Name up to 3)</w:t>
      </w:r>
    </w:p>
    <w:p w14:paraId="2A985EDF" w14:textId="77777777" w:rsidR="006D3E4A" w:rsidRPr="00A675A0" w:rsidRDefault="006D3E4A" w:rsidP="000668BA">
      <w:pPr>
        <w:numPr>
          <w:ilvl w:val="0"/>
          <w:numId w:val="51"/>
        </w:numPr>
        <w:contextualSpacing/>
        <w:rPr>
          <w:rFonts w:cs="Arial"/>
        </w:rPr>
      </w:pPr>
      <w:r w:rsidRPr="00A675A0">
        <w:rPr>
          <w:rFonts w:cs="Arial"/>
        </w:rPr>
        <w:t>Do you have the opportunity to discuss these challenges with your direct supervisor?</w:t>
      </w:r>
    </w:p>
    <w:p w14:paraId="327C520D" w14:textId="77777777" w:rsidR="006D3E4A" w:rsidRPr="00A675A0" w:rsidRDefault="006D3E4A" w:rsidP="000668BA">
      <w:pPr>
        <w:numPr>
          <w:ilvl w:val="0"/>
          <w:numId w:val="51"/>
        </w:numPr>
        <w:contextualSpacing/>
        <w:rPr>
          <w:rFonts w:cs="Arial"/>
        </w:rPr>
      </w:pPr>
      <w:r w:rsidRPr="00A675A0">
        <w:rPr>
          <w:rFonts w:cs="Arial"/>
        </w:rPr>
        <w:t>How responsive is your supervisor to the issues you raise?</w:t>
      </w:r>
    </w:p>
    <w:p w14:paraId="666489AC" w14:textId="77777777" w:rsidR="006D3E4A" w:rsidRPr="00A675A0" w:rsidRDefault="006D3E4A" w:rsidP="000668BA">
      <w:pPr>
        <w:numPr>
          <w:ilvl w:val="0"/>
          <w:numId w:val="51"/>
        </w:numPr>
        <w:contextualSpacing/>
        <w:rPr>
          <w:rFonts w:cs="Arial"/>
        </w:rPr>
      </w:pPr>
      <w:r w:rsidRPr="00A675A0">
        <w:rPr>
          <w:rFonts w:cs="Arial"/>
        </w:rPr>
        <w:t>What do you think are the major challenges faced by students? (Name up to 3.)</w:t>
      </w:r>
    </w:p>
    <w:p w14:paraId="3A027A3B" w14:textId="77777777" w:rsidR="006D3E4A" w:rsidRPr="00A675A0" w:rsidRDefault="006D3E4A" w:rsidP="000668BA">
      <w:pPr>
        <w:numPr>
          <w:ilvl w:val="0"/>
          <w:numId w:val="51"/>
        </w:numPr>
        <w:contextualSpacing/>
        <w:rPr>
          <w:rFonts w:cs="Arial"/>
        </w:rPr>
      </w:pPr>
      <w:r w:rsidRPr="00A675A0">
        <w:rPr>
          <w:rFonts w:cs="Arial"/>
        </w:rPr>
        <w:t>Do you have any suggestions as to how these challenges might be addressed?</w:t>
      </w:r>
    </w:p>
    <w:p w14:paraId="0C17EEBF" w14:textId="77777777" w:rsidR="003D355F" w:rsidRDefault="006D3E4A" w:rsidP="000668BA">
      <w:pPr>
        <w:numPr>
          <w:ilvl w:val="0"/>
          <w:numId w:val="51"/>
        </w:numPr>
        <w:contextualSpacing/>
        <w:rPr>
          <w:rFonts w:cs="Arial"/>
        </w:rPr>
      </w:pPr>
      <w:r w:rsidRPr="00A675A0">
        <w:rPr>
          <w:rFonts w:cs="Arial"/>
        </w:rPr>
        <w:t>Have you participated in a quality audit in your area of teaching?</w:t>
      </w:r>
      <w:r w:rsidR="00C324C8">
        <w:rPr>
          <w:rFonts w:cs="Arial"/>
        </w:rPr>
        <w:t xml:space="preserve"> </w:t>
      </w:r>
      <w:r w:rsidRPr="00C324C8">
        <w:rPr>
          <w:rFonts w:cs="Arial"/>
        </w:rPr>
        <w:t>If so, how many times and with what results?</w:t>
      </w:r>
    </w:p>
    <w:p w14:paraId="0D2EC98A" w14:textId="11C9B5E6" w:rsidR="006D3E4A" w:rsidRPr="00A675A0" w:rsidRDefault="006D3E4A" w:rsidP="000668BA">
      <w:pPr>
        <w:numPr>
          <w:ilvl w:val="0"/>
          <w:numId w:val="51"/>
        </w:numPr>
        <w:contextualSpacing/>
        <w:rPr>
          <w:rFonts w:cs="Arial"/>
        </w:rPr>
      </w:pPr>
      <w:r w:rsidRPr="00A675A0">
        <w:rPr>
          <w:rFonts w:cs="Arial"/>
        </w:rPr>
        <w:t>Do you have regular contacts with employers of your students? If so what form do these take?</w:t>
      </w:r>
    </w:p>
    <w:p w14:paraId="56F676CB" w14:textId="77777777" w:rsidR="006D3E4A" w:rsidRPr="00A675A0" w:rsidRDefault="006D3E4A" w:rsidP="000668BA">
      <w:pPr>
        <w:numPr>
          <w:ilvl w:val="0"/>
          <w:numId w:val="51"/>
        </w:numPr>
        <w:contextualSpacing/>
        <w:rPr>
          <w:rFonts w:cs="Arial"/>
        </w:rPr>
      </w:pPr>
      <w:r w:rsidRPr="00A675A0">
        <w:rPr>
          <w:rFonts w:cs="Arial"/>
        </w:rPr>
        <w:t>Do your students undertake work placement? If so what arrangements are in place to support students and monitor workplace training?</w:t>
      </w:r>
    </w:p>
    <w:p w14:paraId="48382469" w14:textId="77777777" w:rsidR="006D3E4A" w:rsidRPr="00A675A0" w:rsidRDefault="006D3E4A" w:rsidP="000668BA">
      <w:pPr>
        <w:numPr>
          <w:ilvl w:val="0"/>
          <w:numId w:val="51"/>
        </w:numPr>
        <w:contextualSpacing/>
        <w:rPr>
          <w:rFonts w:cs="Arial"/>
        </w:rPr>
      </w:pPr>
      <w:r w:rsidRPr="00A675A0">
        <w:rPr>
          <w:rFonts w:cs="Arial"/>
        </w:rPr>
        <w:t xml:space="preserve">What arrangements are in place for competency-based assessment for the Australian qualifications?   </w:t>
      </w:r>
    </w:p>
    <w:p w14:paraId="2CD9A1BE" w14:textId="77777777" w:rsidR="006D3E4A" w:rsidRPr="00A675A0" w:rsidRDefault="006D3E4A" w:rsidP="000668BA">
      <w:pPr>
        <w:numPr>
          <w:ilvl w:val="0"/>
          <w:numId w:val="51"/>
        </w:numPr>
        <w:contextualSpacing/>
        <w:rPr>
          <w:rFonts w:cs="Arial"/>
        </w:rPr>
      </w:pPr>
      <w:r w:rsidRPr="00A675A0">
        <w:rPr>
          <w:rFonts w:cs="Arial"/>
        </w:rPr>
        <w:t>How well do you think the assessment process is carried out?</w:t>
      </w:r>
    </w:p>
    <w:p w14:paraId="341EC872" w14:textId="77777777" w:rsidR="006D3E4A" w:rsidRPr="00A675A0" w:rsidRDefault="006D3E4A" w:rsidP="000668BA">
      <w:pPr>
        <w:numPr>
          <w:ilvl w:val="0"/>
          <w:numId w:val="51"/>
        </w:numPr>
        <w:contextualSpacing/>
        <w:rPr>
          <w:rFonts w:cs="Arial"/>
        </w:rPr>
      </w:pPr>
      <w:r w:rsidRPr="00A675A0">
        <w:rPr>
          <w:rFonts w:cs="Arial"/>
        </w:rPr>
        <w:t>What could be done to improve teaching in APTC?</w:t>
      </w:r>
    </w:p>
    <w:p w14:paraId="1BFC8FC3" w14:textId="77777777" w:rsidR="006D3E4A" w:rsidRPr="00A675A0" w:rsidRDefault="006D3E4A" w:rsidP="000668BA">
      <w:pPr>
        <w:numPr>
          <w:ilvl w:val="0"/>
          <w:numId w:val="51"/>
        </w:numPr>
        <w:contextualSpacing/>
        <w:rPr>
          <w:rFonts w:cs="Arial"/>
        </w:rPr>
      </w:pPr>
      <w:r w:rsidRPr="00A675A0">
        <w:rPr>
          <w:rFonts w:cs="Arial"/>
        </w:rPr>
        <w:t>What could be done to improve post-training outcomes for graduates?</w:t>
      </w:r>
    </w:p>
    <w:p w14:paraId="4323F738" w14:textId="77777777" w:rsidR="006D3E4A" w:rsidRPr="00A675A0" w:rsidRDefault="006D3E4A" w:rsidP="000668BA">
      <w:pPr>
        <w:numPr>
          <w:ilvl w:val="0"/>
          <w:numId w:val="51"/>
        </w:numPr>
        <w:contextualSpacing/>
        <w:rPr>
          <w:rFonts w:cs="Arial"/>
        </w:rPr>
      </w:pPr>
      <w:r w:rsidRPr="00A675A0">
        <w:rPr>
          <w:rFonts w:cs="Arial"/>
        </w:rPr>
        <w:t>What role should APTC have in the future in the region?</w:t>
      </w:r>
    </w:p>
    <w:p w14:paraId="55CFEED7" w14:textId="77777777" w:rsidR="006D3E4A" w:rsidRPr="00A675A0" w:rsidRDefault="006D3E4A" w:rsidP="000668BA">
      <w:pPr>
        <w:numPr>
          <w:ilvl w:val="0"/>
          <w:numId w:val="51"/>
        </w:numPr>
        <w:contextualSpacing/>
        <w:rPr>
          <w:rFonts w:cs="Arial"/>
        </w:rPr>
      </w:pPr>
      <w:r w:rsidRPr="00A675A0">
        <w:rPr>
          <w:rFonts w:cs="Arial"/>
        </w:rPr>
        <w:t>Do you have any other comments about the APTC or your role?</w:t>
      </w:r>
    </w:p>
    <w:p w14:paraId="250AA398" w14:textId="77777777" w:rsidR="00790A6A" w:rsidRDefault="00790A6A" w:rsidP="006D3E4A">
      <w:pPr>
        <w:rPr>
          <w:rFonts w:cs="Arial"/>
        </w:rPr>
      </w:pPr>
    </w:p>
    <w:p w14:paraId="2432D0DE" w14:textId="77777777" w:rsidR="004351EB" w:rsidRDefault="006D3E4A" w:rsidP="006D3E4A">
      <w:pPr>
        <w:rPr>
          <w:rFonts w:cs="Arial"/>
        </w:rPr>
      </w:pPr>
      <w:r w:rsidRPr="00A675A0">
        <w:rPr>
          <w:rFonts w:cs="Arial"/>
        </w:rPr>
        <w:t>The analysis of the most telling items on the questionnaires follows with comparisons between trainers and tutors.</w:t>
      </w:r>
    </w:p>
    <w:p w14:paraId="6F0C8E25" w14:textId="14AD5504" w:rsidR="003D355F" w:rsidRDefault="008E42D2" w:rsidP="002028A6">
      <w:pPr>
        <w:pStyle w:val="Heading2"/>
      </w:pPr>
      <w:bookmarkStart w:id="573" w:name="_Toc274145111"/>
      <w:bookmarkStart w:id="574" w:name="_Toc274909874"/>
      <w:bookmarkStart w:id="575" w:name="_Toc278447890"/>
      <w:bookmarkStart w:id="576" w:name="_Toc278453363"/>
      <w:r>
        <w:t>4.2</w:t>
      </w:r>
      <w:r>
        <w:tab/>
      </w:r>
      <w:r w:rsidR="006D3E4A" w:rsidRPr="00A675A0">
        <w:t xml:space="preserve">Trainers and </w:t>
      </w:r>
      <w:r w:rsidR="004351EB">
        <w:t>t</w:t>
      </w:r>
      <w:r w:rsidR="006D3E4A" w:rsidRPr="00A675A0">
        <w:t xml:space="preserve">utors: Information </w:t>
      </w:r>
      <w:r w:rsidR="004351EB">
        <w:t>c</w:t>
      </w:r>
      <w:r w:rsidR="006D3E4A" w:rsidRPr="00A675A0">
        <w:t>ompared</w:t>
      </w:r>
      <w:bookmarkEnd w:id="573"/>
      <w:bookmarkEnd w:id="574"/>
      <w:bookmarkEnd w:id="575"/>
      <w:bookmarkEnd w:id="57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1094"/>
        <w:gridCol w:w="382"/>
        <w:gridCol w:w="2619"/>
        <w:gridCol w:w="1165"/>
      </w:tblGrid>
      <w:tr w:rsidR="006D3E4A" w:rsidRPr="004351EB" w14:paraId="105942E3" w14:textId="77777777" w:rsidTr="00C149EE">
        <w:tc>
          <w:tcPr>
            <w:tcW w:w="3772" w:type="dxa"/>
            <w:gridSpan w:val="2"/>
            <w:shd w:val="clear" w:color="auto" w:fill="C5E0B3" w:themeFill="accent6" w:themeFillTint="66"/>
          </w:tcPr>
          <w:p w14:paraId="4FB6186D" w14:textId="77777777" w:rsidR="006D3E4A" w:rsidRPr="004351EB" w:rsidRDefault="006D3E4A" w:rsidP="004351EB">
            <w:pPr>
              <w:spacing w:before="20" w:after="20"/>
              <w:jc w:val="center"/>
              <w:rPr>
                <w:rFonts w:cs="Arial"/>
                <w:b/>
                <w:sz w:val="18"/>
              </w:rPr>
            </w:pPr>
            <w:r w:rsidRPr="004351EB">
              <w:rPr>
                <w:rFonts w:cs="Arial"/>
                <w:b/>
                <w:sz w:val="18"/>
              </w:rPr>
              <w:t>TRAINER RESPONSES: N = 29</w:t>
            </w:r>
          </w:p>
        </w:tc>
        <w:tc>
          <w:tcPr>
            <w:tcW w:w="382" w:type="dxa"/>
            <w:shd w:val="clear" w:color="auto" w:fill="auto"/>
          </w:tcPr>
          <w:p w14:paraId="17D3F886" w14:textId="77777777" w:rsidR="006D3E4A" w:rsidRPr="004351EB" w:rsidRDefault="006D3E4A" w:rsidP="004351EB">
            <w:pPr>
              <w:spacing w:before="20" w:after="20"/>
              <w:jc w:val="center"/>
              <w:rPr>
                <w:rFonts w:cs="Arial"/>
                <w:b/>
                <w:sz w:val="18"/>
              </w:rPr>
            </w:pPr>
          </w:p>
        </w:tc>
        <w:tc>
          <w:tcPr>
            <w:tcW w:w="3784" w:type="dxa"/>
            <w:gridSpan w:val="2"/>
            <w:shd w:val="clear" w:color="auto" w:fill="C5E0B3" w:themeFill="accent6" w:themeFillTint="66"/>
          </w:tcPr>
          <w:p w14:paraId="39F1E7E0" w14:textId="77777777" w:rsidR="006D3E4A" w:rsidRPr="004351EB" w:rsidRDefault="006D3E4A" w:rsidP="004351EB">
            <w:pPr>
              <w:spacing w:before="20" w:after="20"/>
              <w:jc w:val="center"/>
              <w:rPr>
                <w:rFonts w:cs="Arial"/>
                <w:b/>
                <w:sz w:val="18"/>
              </w:rPr>
            </w:pPr>
            <w:r w:rsidRPr="004351EB">
              <w:rPr>
                <w:rFonts w:cs="Arial"/>
                <w:b/>
                <w:sz w:val="18"/>
              </w:rPr>
              <w:t>TUTOR RESPONSES: N = 28</w:t>
            </w:r>
          </w:p>
        </w:tc>
      </w:tr>
      <w:tr w:rsidR="006D3E4A" w:rsidRPr="004351EB" w14:paraId="473AC566" w14:textId="77777777" w:rsidTr="00C149EE">
        <w:tc>
          <w:tcPr>
            <w:tcW w:w="3772" w:type="dxa"/>
            <w:gridSpan w:val="2"/>
            <w:shd w:val="clear" w:color="auto" w:fill="E2EFD9" w:themeFill="accent6" w:themeFillTint="33"/>
          </w:tcPr>
          <w:p w14:paraId="4B67AF05" w14:textId="77777777" w:rsidR="006D3E4A" w:rsidRPr="004351EB" w:rsidRDefault="006D3E4A" w:rsidP="004351EB">
            <w:pPr>
              <w:spacing w:before="20" w:after="20"/>
              <w:jc w:val="center"/>
              <w:rPr>
                <w:rFonts w:cs="Arial"/>
                <w:b/>
                <w:sz w:val="18"/>
              </w:rPr>
            </w:pPr>
            <w:r w:rsidRPr="004351EB">
              <w:rPr>
                <w:rFonts w:cs="Arial"/>
                <w:b/>
                <w:sz w:val="18"/>
              </w:rPr>
              <w:t>Trainers: Years at APTC</w:t>
            </w:r>
          </w:p>
        </w:tc>
        <w:tc>
          <w:tcPr>
            <w:tcW w:w="382" w:type="dxa"/>
            <w:shd w:val="clear" w:color="auto" w:fill="auto"/>
          </w:tcPr>
          <w:p w14:paraId="63B22144" w14:textId="77777777" w:rsidR="006D3E4A" w:rsidRPr="004351EB" w:rsidRDefault="006D3E4A" w:rsidP="004351EB">
            <w:pPr>
              <w:spacing w:before="20" w:after="20"/>
              <w:jc w:val="center"/>
              <w:rPr>
                <w:rFonts w:cs="Arial"/>
                <w:b/>
                <w:sz w:val="18"/>
              </w:rPr>
            </w:pPr>
          </w:p>
        </w:tc>
        <w:tc>
          <w:tcPr>
            <w:tcW w:w="3784" w:type="dxa"/>
            <w:gridSpan w:val="2"/>
            <w:shd w:val="clear" w:color="auto" w:fill="E2EFD9" w:themeFill="accent6" w:themeFillTint="33"/>
          </w:tcPr>
          <w:p w14:paraId="43B30E5C" w14:textId="77777777" w:rsidR="006D3E4A" w:rsidRPr="004351EB" w:rsidRDefault="006D3E4A" w:rsidP="004351EB">
            <w:pPr>
              <w:spacing w:before="20" w:after="20"/>
              <w:jc w:val="center"/>
              <w:rPr>
                <w:rFonts w:cs="Arial"/>
                <w:b/>
                <w:sz w:val="18"/>
              </w:rPr>
            </w:pPr>
            <w:r w:rsidRPr="004351EB">
              <w:rPr>
                <w:rFonts w:cs="Arial"/>
                <w:b/>
                <w:sz w:val="18"/>
              </w:rPr>
              <w:t>Tutors: Years at APTC</w:t>
            </w:r>
          </w:p>
        </w:tc>
      </w:tr>
      <w:tr w:rsidR="006D3E4A" w:rsidRPr="004351EB" w14:paraId="3A92FC98" w14:textId="77777777" w:rsidTr="00C149EE">
        <w:tc>
          <w:tcPr>
            <w:tcW w:w="2678" w:type="dxa"/>
          </w:tcPr>
          <w:p w14:paraId="34B3BC10" w14:textId="77777777" w:rsidR="006D3E4A" w:rsidRPr="004351EB" w:rsidRDefault="006D3E4A" w:rsidP="004351EB">
            <w:pPr>
              <w:spacing w:before="20" w:after="20"/>
              <w:rPr>
                <w:rFonts w:cs="Arial"/>
                <w:sz w:val="18"/>
              </w:rPr>
            </w:pPr>
            <w:r w:rsidRPr="004351EB">
              <w:rPr>
                <w:rFonts w:cs="Arial"/>
                <w:sz w:val="18"/>
              </w:rPr>
              <w:t>&lt;1</w:t>
            </w:r>
          </w:p>
        </w:tc>
        <w:tc>
          <w:tcPr>
            <w:tcW w:w="1094" w:type="dxa"/>
          </w:tcPr>
          <w:p w14:paraId="6E427BC4" w14:textId="77777777" w:rsidR="006D3E4A" w:rsidRPr="004351EB" w:rsidRDefault="006D3E4A" w:rsidP="004351EB">
            <w:pPr>
              <w:spacing w:before="20" w:after="20"/>
              <w:rPr>
                <w:rFonts w:cs="Arial"/>
                <w:sz w:val="18"/>
              </w:rPr>
            </w:pPr>
            <w:r w:rsidRPr="004351EB">
              <w:rPr>
                <w:rFonts w:cs="Arial"/>
                <w:sz w:val="18"/>
              </w:rPr>
              <w:t>9</w:t>
            </w:r>
          </w:p>
        </w:tc>
        <w:tc>
          <w:tcPr>
            <w:tcW w:w="382" w:type="dxa"/>
            <w:shd w:val="clear" w:color="auto" w:fill="auto"/>
          </w:tcPr>
          <w:p w14:paraId="0792F2C3" w14:textId="77777777" w:rsidR="006D3E4A" w:rsidRPr="004351EB" w:rsidRDefault="006D3E4A" w:rsidP="004351EB">
            <w:pPr>
              <w:spacing w:before="20" w:after="20"/>
              <w:rPr>
                <w:rFonts w:cs="Arial"/>
                <w:sz w:val="18"/>
              </w:rPr>
            </w:pPr>
          </w:p>
        </w:tc>
        <w:tc>
          <w:tcPr>
            <w:tcW w:w="2619" w:type="dxa"/>
          </w:tcPr>
          <w:p w14:paraId="2B77CD53" w14:textId="77777777" w:rsidR="006D3E4A" w:rsidRPr="004351EB" w:rsidRDefault="006D3E4A" w:rsidP="004351EB">
            <w:pPr>
              <w:spacing w:before="20" w:after="20"/>
              <w:rPr>
                <w:rFonts w:cs="Arial"/>
                <w:sz w:val="18"/>
              </w:rPr>
            </w:pPr>
            <w:r w:rsidRPr="004351EB">
              <w:rPr>
                <w:rFonts w:cs="Arial"/>
                <w:sz w:val="18"/>
              </w:rPr>
              <w:t>&lt;1</w:t>
            </w:r>
          </w:p>
        </w:tc>
        <w:tc>
          <w:tcPr>
            <w:tcW w:w="1165" w:type="dxa"/>
          </w:tcPr>
          <w:p w14:paraId="2E0CC29E" w14:textId="77777777" w:rsidR="006D3E4A" w:rsidRPr="004351EB" w:rsidRDefault="006D3E4A" w:rsidP="004351EB">
            <w:pPr>
              <w:spacing w:before="20" w:after="20"/>
              <w:rPr>
                <w:rFonts w:cs="Arial"/>
                <w:sz w:val="18"/>
              </w:rPr>
            </w:pPr>
            <w:r w:rsidRPr="004351EB">
              <w:rPr>
                <w:rFonts w:cs="Arial"/>
                <w:sz w:val="18"/>
              </w:rPr>
              <w:t>4</w:t>
            </w:r>
          </w:p>
        </w:tc>
      </w:tr>
      <w:tr w:rsidR="006D3E4A" w:rsidRPr="004351EB" w14:paraId="46DA2DA0" w14:textId="77777777" w:rsidTr="00C149EE">
        <w:tc>
          <w:tcPr>
            <w:tcW w:w="2678" w:type="dxa"/>
          </w:tcPr>
          <w:p w14:paraId="33F11ADA" w14:textId="7473765F" w:rsidR="006D3E4A" w:rsidRPr="004351EB" w:rsidRDefault="006D3E4A" w:rsidP="004351EB">
            <w:pPr>
              <w:spacing w:before="20" w:after="20"/>
              <w:rPr>
                <w:rFonts w:cs="Arial"/>
                <w:sz w:val="18"/>
              </w:rPr>
            </w:pPr>
            <w:r w:rsidRPr="004351EB">
              <w:rPr>
                <w:rFonts w:cs="Arial"/>
                <w:sz w:val="18"/>
              </w:rPr>
              <w:t>1</w:t>
            </w:r>
            <w:r w:rsidR="007C5A97">
              <w:rPr>
                <w:rFonts w:cs="Arial"/>
                <w:sz w:val="18"/>
              </w:rPr>
              <w:t>–</w:t>
            </w:r>
            <w:r w:rsidRPr="004351EB">
              <w:rPr>
                <w:rFonts w:cs="Arial"/>
                <w:sz w:val="18"/>
              </w:rPr>
              <w:t>2</w:t>
            </w:r>
          </w:p>
        </w:tc>
        <w:tc>
          <w:tcPr>
            <w:tcW w:w="1094" w:type="dxa"/>
          </w:tcPr>
          <w:p w14:paraId="439FE98C" w14:textId="77777777" w:rsidR="006D3E4A" w:rsidRPr="004351EB" w:rsidRDefault="006D3E4A" w:rsidP="004351EB">
            <w:pPr>
              <w:spacing w:before="20" w:after="20"/>
              <w:rPr>
                <w:rFonts w:cs="Arial"/>
                <w:sz w:val="18"/>
              </w:rPr>
            </w:pPr>
            <w:r w:rsidRPr="004351EB">
              <w:rPr>
                <w:rFonts w:cs="Arial"/>
                <w:sz w:val="18"/>
              </w:rPr>
              <w:t>10</w:t>
            </w:r>
          </w:p>
        </w:tc>
        <w:tc>
          <w:tcPr>
            <w:tcW w:w="382" w:type="dxa"/>
            <w:shd w:val="clear" w:color="auto" w:fill="auto"/>
          </w:tcPr>
          <w:p w14:paraId="68CF7D38" w14:textId="77777777" w:rsidR="006D3E4A" w:rsidRPr="004351EB" w:rsidRDefault="006D3E4A" w:rsidP="004351EB">
            <w:pPr>
              <w:spacing w:before="20" w:after="20"/>
              <w:rPr>
                <w:rFonts w:cs="Arial"/>
                <w:sz w:val="18"/>
              </w:rPr>
            </w:pPr>
          </w:p>
        </w:tc>
        <w:tc>
          <w:tcPr>
            <w:tcW w:w="2619" w:type="dxa"/>
          </w:tcPr>
          <w:p w14:paraId="7B03B39E" w14:textId="03F60AD3" w:rsidR="006D3E4A" w:rsidRPr="004351EB" w:rsidRDefault="006D3E4A" w:rsidP="004351EB">
            <w:pPr>
              <w:spacing w:before="20" w:after="20"/>
              <w:rPr>
                <w:rFonts w:cs="Arial"/>
                <w:sz w:val="18"/>
              </w:rPr>
            </w:pPr>
            <w:r w:rsidRPr="004351EB">
              <w:rPr>
                <w:rFonts w:cs="Arial"/>
                <w:sz w:val="18"/>
              </w:rPr>
              <w:t>1</w:t>
            </w:r>
            <w:r w:rsidR="007C5A97">
              <w:rPr>
                <w:rFonts w:cs="Arial"/>
                <w:sz w:val="18"/>
              </w:rPr>
              <w:t>–</w:t>
            </w:r>
            <w:r w:rsidRPr="004351EB">
              <w:rPr>
                <w:rFonts w:cs="Arial"/>
                <w:sz w:val="18"/>
              </w:rPr>
              <w:t>2</w:t>
            </w:r>
          </w:p>
        </w:tc>
        <w:tc>
          <w:tcPr>
            <w:tcW w:w="1165" w:type="dxa"/>
          </w:tcPr>
          <w:p w14:paraId="580EB247" w14:textId="77777777" w:rsidR="006D3E4A" w:rsidRPr="004351EB" w:rsidRDefault="006D3E4A" w:rsidP="004351EB">
            <w:pPr>
              <w:spacing w:before="20" w:after="20"/>
              <w:rPr>
                <w:rFonts w:cs="Arial"/>
                <w:sz w:val="18"/>
              </w:rPr>
            </w:pPr>
            <w:r w:rsidRPr="004351EB">
              <w:rPr>
                <w:rFonts w:cs="Arial"/>
                <w:sz w:val="18"/>
              </w:rPr>
              <w:t>21</w:t>
            </w:r>
          </w:p>
        </w:tc>
      </w:tr>
      <w:tr w:rsidR="006D3E4A" w:rsidRPr="004351EB" w14:paraId="7CFD734A" w14:textId="77777777" w:rsidTr="00C149EE">
        <w:tc>
          <w:tcPr>
            <w:tcW w:w="2678" w:type="dxa"/>
          </w:tcPr>
          <w:p w14:paraId="3B15392E" w14:textId="77777777" w:rsidR="006D3E4A" w:rsidRPr="004351EB" w:rsidRDefault="006D3E4A" w:rsidP="004351EB">
            <w:pPr>
              <w:spacing w:before="20" w:after="20"/>
              <w:rPr>
                <w:rFonts w:cs="Arial"/>
                <w:sz w:val="18"/>
              </w:rPr>
            </w:pPr>
            <w:r w:rsidRPr="004351EB">
              <w:rPr>
                <w:rFonts w:cs="Arial"/>
                <w:sz w:val="18"/>
              </w:rPr>
              <w:t>&gt;4</w:t>
            </w:r>
          </w:p>
        </w:tc>
        <w:tc>
          <w:tcPr>
            <w:tcW w:w="1094" w:type="dxa"/>
          </w:tcPr>
          <w:p w14:paraId="383F5C53" w14:textId="77777777" w:rsidR="006D3E4A" w:rsidRPr="004351EB" w:rsidRDefault="006D3E4A" w:rsidP="004351EB">
            <w:pPr>
              <w:spacing w:before="20" w:after="20"/>
              <w:rPr>
                <w:rFonts w:cs="Arial"/>
                <w:sz w:val="18"/>
              </w:rPr>
            </w:pPr>
            <w:r w:rsidRPr="004351EB">
              <w:rPr>
                <w:rFonts w:cs="Arial"/>
                <w:sz w:val="18"/>
              </w:rPr>
              <w:t>9</w:t>
            </w:r>
          </w:p>
        </w:tc>
        <w:tc>
          <w:tcPr>
            <w:tcW w:w="382" w:type="dxa"/>
            <w:shd w:val="clear" w:color="auto" w:fill="auto"/>
          </w:tcPr>
          <w:p w14:paraId="71C5A1FC" w14:textId="77777777" w:rsidR="006D3E4A" w:rsidRPr="004351EB" w:rsidRDefault="006D3E4A" w:rsidP="004351EB">
            <w:pPr>
              <w:spacing w:before="20" w:after="20"/>
              <w:rPr>
                <w:rFonts w:cs="Arial"/>
                <w:sz w:val="18"/>
              </w:rPr>
            </w:pPr>
          </w:p>
        </w:tc>
        <w:tc>
          <w:tcPr>
            <w:tcW w:w="2619" w:type="dxa"/>
          </w:tcPr>
          <w:p w14:paraId="45E4257A" w14:textId="77777777" w:rsidR="006D3E4A" w:rsidRPr="004351EB" w:rsidRDefault="006D3E4A" w:rsidP="004351EB">
            <w:pPr>
              <w:spacing w:before="20" w:after="20"/>
              <w:rPr>
                <w:rFonts w:cs="Arial"/>
                <w:sz w:val="18"/>
              </w:rPr>
            </w:pPr>
            <w:r w:rsidRPr="004351EB">
              <w:rPr>
                <w:rFonts w:cs="Arial"/>
                <w:sz w:val="18"/>
              </w:rPr>
              <w:t>&gt;2</w:t>
            </w:r>
          </w:p>
        </w:tc>
        <w:tc>
          <w:tcPr>
            <w:tcW w:w="1165" w:type="dxa"/>
          </w:tcPr>
          <w:p w14:paraId="5C7E8692" w14:textId="77777777" w:rsidR="006D3E4A" w:rsidRPr="004351EB" w:rsidRDefault="006D3E4A" w:rsidP="004351EB">
            <w:pPr>
              <w:spacing w:before="20" w:after="20"/>
              <w:rPr>
                <w:rFonts w:cs="Arial"/>
                <w:sz w:val="18"/>
              </w:rPr>
            </w:pPr>
            <w:r w:rsidRPr="004351EB">
              <w:rPr>
                <w:rFonts w:cs="Arial"/>
                <w:sz w:val="18"/>
              </w:rPr>
              <w:t>3</w:t>
            </w:r>
          </w:p>
        </w:tc>
      </w:tr>
      <w:tr w:rsidR="006D3E4A" w:rsidRPr="004351EB" w14:paraId="6993430E" w14:textId="77777777" w:rsidTr="00C149EE">
        <w:tc>
          <w:tcPr>
            <w:tcW w:w="2678" w:type="dxa"/>
          </w:tcPr>
          <w:p w14:paraId="223CDF70" w14:textId="77777777" w:rsidR="006D3E4A" w:rsidRPr="004351EB" w:rsidRDefault="006D3E4A" w:rsidP="004351EB">
            <w:pPr>
              <w:spacing w:before="20" w:after="20"/>
              <w:rPr>
                <w:rFonts w:cs="Arial"/>
                <w:sz w:val="18"/>
              </w:rPr>
            </w:pPr>
            <w:r w:rsidRPr="004351EB">
              <w:rPr>
                <w:rFonts w:cs="Arial"/>
                <w:sz w:val="18"/>
              </w:rPr>
              <w:t>No response</w:t>
            </w:r>
          </w:p>
        </w:tc>
        <w:tc>
          <w:tcPr>
            <w:tcW w:w="1094" w:type="dxa"/>
          </w:tcPr>
          <w:p w14:paraId="1454816A" w14:textId="77777777" w:rsidR="006D3E4A" w:rsidRPr="004351EB" w:rsidRDefault="006D3E4A" w:rsidP="004351EB">
            <w:pPr>
              <w:spacing w:before="20" w:after="20"/>
              <w:rPr>
                <w:rFonts w:cs="Arial"/>
                <w:sz w:val="18"/>
              </w:rPr>
            </w:pPr>
            <w:r w:rsidRPr="004351EB">
              <w:rPr>
                <w:rFonts w:cs="Arial"/>
                <w:sz w:val="18"/>
              </w:rPr>
              <w:t>1</w:t>
            </w:r>
          </w:p>
        </w:tc>
        <w:tc>
          <w:tcPr>
            <w:tcW w:w="382" w:type="dxa"/>
            <w:shd w:val="clear" w:color="auto" w:fill="auto"/>
          </w:tcPr>
          <w:p w14:paraId="08F57C0E" w14:textId="77777777" w:rsidR="006D3E4A" w:rsidRPr="004351EB" w:rsidRDefault="006D3E4A" w:rsidP="004351EB">
            <w:pPr>
              <w:spacing w:before="20" w:after="20"/>
              <w:rPr>
                <w:rFonts w:cs="Arial"/>
                <w:sz w:val="18"/>
              </w:rPr>
            </w:pPr>
          </w:p>
        </w:tc>
        <w:tc>
          <w:tcPr>
            <w:tcW w:w="2619" w:type="dxa"/>
          </w:tcPr>
          <w:p w14:paraId="4CA4CF92" w14:textId="77777777" w:rsidR="006D3E4A" w:rsidRPr="004351EB" w:rsidRDefault="006D3E4A" w:rsidP="004351EB">
            <w:pPr>
              <w:spacing w:before="20" w:after="20"/>
              <w:rPr>
                <w:rFonts w:cs="Arial"/>
                <w:sz w:val="18"/>
              </w:rPr>
            </w:pPr>
          </w:p>
        </w:tc>
        <w:tc>
          <w:tcPr>
            <w:tcW w:w="1165" w:type="dxa"/>
          </w:tcPr>
          <w:p w14:paraId="69BBED80" w14:textId="77777777" w:rsidR="006D3E4A" w:rsidRPr="004351EB" w:rsidRDefault="006D3E4A" w:rsidP="004351EB">
            <w:pPr>
              <w:spacing w:before="20" w:after="20"/>
              <w:rPr>
                <w:rFonts w:cs="Arial"/>
                <w:sz w:val="18"/>
              </w:rPr>
            </w:pPr>
          </w:p>
        </w:tc>
      </w:tr>
      <w:tr w:rsidR="006D3E4A" w:rsidRPr="004351EB" w14:paraId="06F4BF40" w14:textId="77777777" w:rsidTr="00C149EE">
        <w:tc>
          <w:tcPr>
            <w:tcW w:w="2678" w:type="dxa"/>
          </w:tcPr>
          <w:p w14:paraId="51805E14" w14:textId="77777777" w:rsidR="006D3E4A" w:rsidRPr="004351EB" w:rsidRDefault="006D3E4A" w:rsidP="004351EB">
            <w:pPr>
              <w:spacing w:before="20" w:after="20"/>
              <w:rPr>
                <w:rFonts w:cs="Arial"/>
                <w:sz w:val="18"/>
                <w:szCs w:val="16"/>
              </w:rPr>
            </w:pPr>
          </w:p>
        </w:tc>
        <w:tc>
          <w:tcPr>
            <w:tcW w:w="1094" w:type="dxa"/>
          </w:tcPr>
          <w:p w14:paraId="44A617FB" w14:textId="77777777" w:rsidR="006D3E4A" w:rsidRPr="004351EB" w:rsidRDefault="006D3E4A" w:rsidP="004351EB">
            <w:pPr>
              <w:spacing w:before="20" w:after="20"/>
              <w:rPr>
                <w:rFonts w:cs="Arial"/>
                <w:sz w:val="18"/>
                <w:szCs w:val="16"/>
              </w:rPr>
            </w:pPr>
          </w:p>
        </w:tc>
        <w:tc>
          <w:tcPr>
            <w:tcW w:w="382" w:type="dxa"/>
            <w:shd w:val="clear" w:color="auto" w:fill="auto"/>
          </w:tcPr>
          <w:p w14:paraId="32F2D58C" w14:textId="77777777" w:rsidR="006D3E4A" w:rsidRPr="004351EB" w:rsidRDefault="006D3E4A" w:rsidP="004351EB">
            <w:pPr>
              <w:spacing w:before="20" w:after="20"/>
              <w:rPr>
                <w:rFonts w:cs="Arial"/>
                <w:sz w:val="18"/>
                <w:szCs w:val="16"/>
              </w:rPr>
            </w:pPr>
          </w:p>
        </w:tc>
        <w:tc>
          <w:tcPr>
            <w:tcW w:w="2619" w:type="dxa"/>
          </w:tcPr>
          <w:p w14:paraId="28F71BC6" w14:textId="77777777" w:rsidR="006D3E4A" w:rsidRPr="004351EB" w:rsidRDefault="006D3E4A" w:rsidP="004351EB">
            <w:pPr>
              <w:spacing w:before="20" w:after="20"/>
              <w:rPr>
                <w:rFonts w:cs="Arial"/>
                <w:sz w:val="18"/>
                <w:szCs w:val="16"/>
              </w:rPr>
            </w:pPr>
          </w:p>
        </w:tc>
        <w:tc>
          <w:tcPr>
            <w:tcW w:w="1165" w:type="dxa"/>
          </w:tcPr>
          <w:p w14:paraId="2AF15273" w14:textId="77777777" w:rsidR="006D3E4A" w:rsidRPr="004351EB" w:rsidRDefault="006D3E4A" w:rsidP="004351EB">
            <w:pPr>
              <w:spacing w:before="20" w:after="20"/>
              <w:rPr>
                <w:rFonts w:cs="Arial"/>
                <w:sz w:val="18"/>
                <w:szCs w:val="16"/>
              </w:rPr>
            </w:pPr>
          </w:p>
        </w:tc>
      </w:tr>
      <w:tr w:rsidR="006D3E4A" w:rsidRPr="004351EB" w14:paraId="378EE13B" w14:textId="77777777" w:rsidTr="00C149EE">
        <w:tc>
          <w:tcPr>
            <w:tcW w:w="3772" w:type="dxa"/>
            <w:gridSpan w:val="2"/>
            <w:shd w:val="clear" w:color="auto" w:fill="E2EFD9" w:themeFill="accent6" w:themeFillTint="33"/>
          </w:tcPr>
          <w:p w14:paraId="7659B9F0" w14:textId="77777777" w:rsidR="006D3E4A" w:rsidRPr="004351EB" w:rsidRDefault="006D3E4A" w:rsidP="00790A6A">
            <w:pPr>
              <w:spacing w:before="20" w:after="20"/>
              <w:jc w:val="center"/>
              <w:rPr>
                <w:rFonts w:cs="Arial"/>
                <w:b/>
                <w:sz w:val="18"/>
              </w:rPr>
            </w:pPr>
            <w:r w:rsidRPr="004351EB">
              <w:rPr>
                <w:rFonts w:cs="Arial"/>
                <w:b/>
                <w:sz w:val="18"/>
              </w:rPr>
              <w:t xml:space="preserve">Trainers by </w:t>
            </w:r>
            <w:r w:rsidR="00790A6A">
              <w:rPr>
                <w:rFonts w:cs="Arial"/>
                <w:b/>
                <w:sz w:val="18"/>
              </w:rPr>
              <w:t>g</w:t>
            </w:r>
            <w:r w:rsidR="00790A6A" w:rsidRPr="004351EB">
              <w:rPr>
                <w:rFonts w:cs="Arial"/>
                <w:b/>
                <w:sz w:val="18"/>
              </w:rPr>
              <w:t>ender</w:t>
            </w:r>
          </w:p>
        </w:tc>
        <w:tc>
          <w:tcPr>
            <w:tcW w:w="382" w:type="dxa"/>
            <w:shd w:val="clear" w:color="auto" w:fill="auto"/>
          </w:tcPr>
          <w:p w14:paraId="6B3F1529" w14:textId="77777777" w:rsidR="006D3E4A" w:rsidRPr="004351EB" w:rsidRDefault="006D3E4A" w:rsidP="004351EB">
            <w:pPr>
              <w:spacing w:before="20" w:after="20"/>
              <w:jc w:val="center"/>
              <w:rPr>
                <w:rFonts w:cs="Arial"/>
                <w:b/>
                <w:sz w:val="18"/>
              </w:rPr>
            </w:pPr>
          </w:p>
        </w:tc>
        <w:tc>
          <w:tcPr>
            <w:tcW w:w="3784" w:type="dxa"/>
            <w:gridSpan w:val="2"/>
            <w:shd w:val="clear" w:color="auto" w:fill="E2EFD9" w:themeFill="accent6" w:themeFillTint="33"/>
          </w:tcPr>
          <w:p w14:paraId="6E1BB22A" w14:textId="77777777" w:rsidR="006D3E4A" w:rsidRPr="004351EB" w:rsidRDefault="006D3E4A" w:rsidP="00790A6A">
            <w:pPr>
              <w:spacing w:before="20" w:after="20"/>
              <w:jc w:val="center"/>
              <w:rPr>
                <w:rFonts w:cs="Arial"/>
                <w:b/>
                <w:sz w:val="18"/>
              </w:rPr>
            </w:pPr>
            <w:r w:rsidRPr="004351EB">
              <w:rPr>
                <w:rFonts w:cs="Arial"/>
                <w:b/>
                <w:sz w:val="18"/>
              </w:rPr>
              <w:t xml:space="preserve">Tutors by </w:t>
            </w:r>
            <w:r w:rsidR="00790A6A">
              <w:rPr>
                <w:rFonts w:cs="Arial"/>
                <w:b/>
                <w:sz w:val="18"/>
              </w:rPr>
              <w:t>g</w:t>
            </w:r>
            <w:r w:rsidR="00790A6A" w:rsidRPr="004351EB">
              <w:rPr>
                <w:rFonts w:cs="Arial"/>
                <w:b/>
                <w:sz w:val="18"/>
              </w:rPr>
              <w:t>ender</w:t>
            </w:r>
          </w:p>
        </w:tc>
      </w:tr>
      <w:tr w:rsidR="006D3E4A" w:rsidRPr="004351EB" w14:paraId="470A79F9" w14:textId="77777777" w:rsidTr="00C149EE">
        <w:tc>
          <w:tcPr>
            <w:tcW w:w="2678" w:type="dxa"/>
          </w:tcPr>
          <w:p w14:paraId="7F636487" w14:textId="77777777" w:rsidR="006D3E4A" w:rsidRPr="004351EB" w:rsidRDefault="006D3E4A" w:rsidP="004351EB">
            <w:pPr>
              <w:spacing w:before="20" w:after="20"/>
              <w:rPr>
                <w:rFonts w:cs="Arial"/>
                <w:sz w:val="18"/>
              </w:rPr>
            </w:pPr>
            <w:r w:rsidRPr="004351EB">
              <w:rPr>
                <w:rFonts w:cs="Arial"/>
                <w:sz w:val="18"/>
              </w:rPr>
              <w:t>Male</w:t>
            </w:r>
          </w:p>
        </w:tc>
        <w:tc>
          <w:tcPr>
            <w:tcW w:w="1094" w:type="dxa"/>
          </w:tcPr>
          <w:p w14:paraId="231495EA" w14:textId="77777777" w:rsidR="006D3E4A" w:rsidRPr="004351EB" w:rsidRDefault="006D3E4A" w:rsidP="004351EB">
            <w:pPr>
              <w:spacing w:before="20" w:after="20"/>
              <w:rPr>
                <w:rFonts w:cs="Arial"/>
                <w:sz w:val="18"/>
              </w:rPr>
            </w:pPr>
            <w:r w:rsidRPr="004351EB">
              <w:rPr>
                <w:rFonts w:cs="Arial"/>
                <w:sz w:val="18"/>
              </w:rPr>
              <w:t>19</w:t>
            </w:r>
          </w:p>
        </w:tc>
        <w:tc>
          <w:tcPr>
            <w:tcW w:w="382" w:type="dxa"/>
            <w:shd w:val="clear" w:color="auto" w:fill="auto"/>
          </w:tcPr>
          <w:p w14:paraId="67C80A0C" w14:textId="77777777" w:rsidR="006D3E4A" w:rsidRPr="004351EB" w:rsidRDefault="006D3E4A" w:rsidP="004351EB">
            <w:pPr>
              <w:spacing w:before="20" w:after="20"/>
              <w:rPr>
                <w:rFonts w:cs="Arial"/>
                <w:sz w:val="18"/>
              </w:rPr>
            </w:pPr>
          </w:p>
        </w:tc>
        <w:tc>
          <w:tcPr>
            <w:tcW w:w="2619" w:type="dxa"/>
          </w:tcPr>
          <w:p w14:paraId="0036589D" w14:textId="77777777" w:rsidR="006D3E4A" w:rsidRPr="004351EB" w:rsidRDefault="006D3E4A" w:rsidP="004351EB">
            <w:pPr>
              <w:spacing w:before="20" w:after="20"/>
              <w:rPr>
                <w:rFonts w:cs="Arial"/>
                <w:sz w:val="18"/>
              </w:rPr>
            </w:pPr>
            <w:r w:rsidRPr="004351EB">
              <w:rPr>
                <w:rFonts w:cs="Arial"/>
                <w:sz w:val="18"/>
              </w:rPr>
              <w:t>Male</w:t>
            </w:r>
          </w:p>
        </w:tc>
        <w:tc>
          <w:tcPr>
            <w:tcW w:w="1165" w:type="dxa"/>
          </w:tcPr>
          <w:p w14:paraId="3FF221E1" w14:textId="77777777" w:rsidR="006D3E4A" w:rsidRPr="004351EB" w:rsidRDefault="006D3E4A" w:rsidP="004351EB">
            <w:pPr>
              <w:spacing w:before="20" w:after="20"/>
              <w:rPr>
                <w:rFonts w:cs="Arial"/>
                <w:sz w:val="18"/>
              </w:rPr>
            </w:pPr>
            <w:r w:rsidRPr="004351EB">
              <w:rPr>
                <w:rFonts w:cs="Arial"/>
                <w:sz w:val="18"/>
              </w:rPr>
              <w:t>13</w:t>
            </w:r>
          </w:p>
        </w:tc>
      </w:tr>
      <w:tr w:rsidR="006D3E4A" w:rsidRPr="004351EB" w14:paraId="4E9798AA" w14:textId="77777777" w:rsidTr="00C149EE">
        <w:tc>
          <w:tcPr>
            <w:tcW w:w="2678" w:type="dxa"/>
          </w:tcPr>
          <w:p w14:paraId="77F62763" w14:textId="77777777" w:rsidR="006D3E4A" w:rsidRPr="004351EB" w:rsidRDefault="006D3E4A" w:rsidP="004351EB">
            <w:pPr>
              <w:spacing w:before="20" w:after="20"/>
              <w:rPr>
                <w:rFonts w:cs="Arial"/>
                <w:sz w:val="18"/>
              </w:rPr>
            </w:pPr>
            <w:r w:rsidRPr="004351EB">
              <w:rPr>
                <w:rFonts w:cs="Arial"/>
                <w:sz w:val="18"/>
              </w:rPr>
              <w:t>Female</w:t>
            </w:r>
          </w:p>
        </w:tc>
        <w:tc>
          <w:tcPr>
            <w:tcW w:w="1094" w:type="dxa"/>
          </w:tcPr>
          <w:p w14:paraId="3951EA51" w14:textId="77777777" w:rsidR="006D3E4A" w:rsidRPr="004351EB" w:rsidRDefault="006D3E4A" w:rsidP="004351EB">
            <w:pPr>
              <w:spacing w:before="20" w:after="20"/>
              <w:rPr>
                <w:rFonts w:cs="Arial"/>
                <w:sz w:val="18"/>
              </w:rPr>
            </w:pPr>
            <w:r w:rsidRPr="004351EB">
              <w:rPr>
                <w:rFonts w:cs="Arial"/>
                <w:sz w:val="18"/>
              </w:rPr>
              <w:t>9</w:t>
            </w:r>
          </w:p>
        </w:tc>
        <w:tc>
          <w:tcPr>
            <w:tcW w:w="382" w:type="dxa"/>
            <w:shd w:val="clear" w:color="auto" w:fill="auto"/>
          </w:tcPr>
          <w:p w14:paraId="1696E7E4" w14:textId="77777777" w:rsidR="006D3E4A" w:rsidRPr="004351EB" w:rsidRDefault="006D3E4A" w:rsidP="004351EB">
            <w:pPr>
              <w:spacing w:before="20" w:after="20"/>
              <w:rPr>
                <w:rFonts w:cs="Arial"/>
                <w:sz w:val="18"/>
              </w:rPr>
            </w:pPr>
          </w:p>
        </w:tc>
        <w:tc>
          <w:tcPr>
            <w:tcW w:w="2619" w:type="dxa"/>
          </w:tcPr>
          <w:p w14:paraId="364ACDBA" w14:textId="77777777" w:rsidR="006D3E4A" w:rsidRPr="004351EB" w:rsidRDefault="006D3E4A" w:rsidP="004351EB">
            <w:pPr>
              <w:spacing w:before="20" w:after="20"/>
              <w:rPr>
                <w:rFonts w:cs="Arial"/>
                <w:sz w:val="18"/>
              </w:rPr>
            </w:pPr>
            <w:r w:rsidRPr="004351EB">
              <w:rPr>
                <w:rFonts w:cs="Arial"/>
                <w:sz w:val="18"/>
              </w:rPr>
              <w:t>Female</w:t>
            </w:r>
          </w:p>
        </w:tc>
        <w:tc>
          <w:tcPr>
            <w:tcW w:w="1165" w:type="dxa"/>
          </w:tcPr>
          <w:p w14:paraId="6EC31F60" w14:textId="77777777" w:rsidR="006D3E4A" w:rsidRPr="004351EB" w:rsidRDefault="006D3E4A" w:rsidP="004351EB">
            <w:pPr>
              <w:spacing w:before="20" w:after="20"/>
              <w:rPr>
                <w:rFonts w:cs="Arial"/>
                <w:sz w:val="18"/>
              </w:rPr>
            </w:pPr>
            <w:r w:rsidRPr="004351EB">
              <w:rPr>
                <w:rFonts w:cs="Arial"/>
                <w:sz w:val="18"/>
              </w:rPr>
              <w:t>15</w:t>
            </w:r>
          </w:p>
        </w:tc>
      </w:tr>
      <w:tr w:rsidR="006D3E4A" w:rsidRPr="004351EB" w14:paraId="3874248D" w14:textId="77777777" w:rsidTr="00C149EE">
        <w:tc>
          <w:tcPr>
            <w:tcW w:w="2678" w:type="dxa"/>
          </w:tcPr>
          <w:p w14:paraId="28C89617" w14:textId="77777777" w:rsidR="006D3E4A" w:rsidRPr="004351EB" w:rsidRDefault="006D3E4A" w:rsidP="004351EB">
            <w:pPr>
              <w:spacing w:before="20" w:after="20"/>
              <w:rPr>
                <w:rFonts w:cs="Arial"/>
                <w:sz w:val="18"/>
              </w:rPr>
            </w:pPr>
            <w:r w:rsidRPr="004351EB">
              <w:rPr>
                <w:rFonts w:cs="Arial"/>
                <w:sz w:val="18"/>
              </w:rPr>
              <w:t xml:space="preserve">Blank </w:t>
            </w:r>
          </w:p>
        </w:tc>
        <w:tc>
          <w:tcPr>
            <w:tcW w:w="1094" w:type="dxa"/>
          </w:tcPr>
          <w:p w14:paraId="3232AC26" w14:textId="77777777" w:rsidR="006D3E4A" w:rsidRPr="004351EB" w:rsidRDefault="006D3E4A" w:rsidP="004351EB">
            <w:pPr>
              <w:spacing w:before="20" w:after="20"/>
              <w:rPr>
                <w:rFonts w:cs="Arial"/>
                <w:sz w:val="18"/>
              </w:rPr>
            </w:pPr>
            <w:r w:rsidRPr="004351EB">
              <w:rPr>
                <w:rFonts w:cs="Arial"/>
                <w:sz w:val="18"/>
              </w:rPr>
              <w:t>1</w:t>
            </w:r>
          </w:p>
        </w:tc>
        <w:tc>
          <w:tcPr>
            <w:tcW w:w="382" w:type="dxa"/>
            <w:shd w:val="clear" w:color="auto" w:fill="auto"/>
          </w:tcPr>
          <w:p w14:paraId="5D0305B2" w14:textId="77777777" w:rsidR="006D3E4A" w:rsidRPr="004351EB" w:rsidRDefault="006D3E4A" w:rsidP="004351EB">
            <w:pPr>
              <w:spacing w:before="20" w:after="20"/>
              <w:rPr>
                <w:rFonts w:cs="Arial"/>
                <w:sz w:val="18"/>
              </w:rPr>
            </w:pPr>
          </w:p>
        </w:tc>
        <w:tc>
          <w:tcPr>
            <w:tcW w:w="2619" w:type="dxa"/>
          </w:tcPr>
          <w:p w14:paraId="57FE59F9" w14:textId="77777777" w:rsidR="006D3E4A" w:rsidRPr="004351EB" w:rsidRDefault="006D3E4A" w:rsidP="004351EB">
            <w:pPr>
              <w:spacing w:before="20" w:after="20"/>
              <w:rPr>
                <w:rFonts w:cs="Arial"/>
                <w:sz w:val="18"/>
              </w:rPr>
            </w:pPr>
          </w:p>
        </w:tc>
        <w:tc>
          <w:tcPr>
            <w:tcW w:w="1165" w:type="dxa"/>
          </w:tcPr>
          <w:p w14:paraId="53CE9D44" w14:textId="77777777" w:rsidR="006D3E4A" w:rsidRPr="004351EB" w:rsidRDefault="006D3E4A" w:rsidP="004351EB">
            <w:pPr>
              <w:spacing w:before="20" w:after="20"/>
              <w:rPr>
                <w:rFonts w:cs="Arial"/>
                <w:sz w:val="18"/>
              </w:rPr>
            </w:pPr>
          </w:p>
        </w:tc>
      </w:tr>
      <w:tr w:rsidR="006D3E4A" w:rsidRPr="004351EB" w14:paraId="7BEDADC5" w14:textId="77777777" w:rsidTr="00C149EE">
        <w:tc>
          <w:tcPr>
            <w:tcW w:w="2678" w:type="dxa"/>
          </w:tcPr>
          <w:p w14:paraId="5AAB0FCF" w14:textId="77777777" w:rsidR="006D3E4A" w:rsidRPr="004351EB" w:rsidRDefault="006D3E4A" w:rsidP="004351EB">
            <w:pPr>
              <w:spacing w:before="20" w:after="20"/>
              <w:rPr>
                <w:rFonts w:cs="Arial"/>
                <w:sz w:val="18"/>
                <w:szCs w:val="16"/>
              </w:rPr>
            </w:pPr>
          </w:p>
        </w:tc>
        <w:tc>
          <w:tcPr>
            <w:tcW w:w="1094" w:type="dxa"/>
          </w:tcPr>
          <w:p w14:paraId="6F8A6930" w14:textId="77777777" w:rsidR="006D3E4A" w:rsidRPr="004351EB" w:rsidRDefault="006D3E4A" w:rsidP="004351EB">
            <w:pPr>
              <w:spacing w:before="20" w:after="20"/>
              <w:rPr>
                <w:rFonts w:cs="Arial"/>
                <w:sz w:val="18"/>
                <w:szCs w:val="16"/>
              </w:rPr>
            </w:pPr>
          </w:p>
        </w:tc>
        <w:tc>
          <w:tcPr>
            <w:tcW w:w="382" w:type="dxa"/>
            <w:shd w:val="clear" w:color="auto" w:fill="auto"/>
          </w:tcPr>
          <w:p w14:paraId="2BF25358" w14:textId="77777777" w:rsidR="006D3E4A" w:rsidRPr="004351EB" w:rsidRDefault="006D3E4A" w:rsidP="004351EB">
            <w:pPr>
              <w:spacing w:before="20" w:after="20"/>
              <w:rPr>
                <w:rFonts w:cs="Arial"/>
                <w:sz w:val="18"/>
                <w:szCs w:val="16"/>
              </w:rPr>
            </w:pPr>
          </w:p>
        </w:tc>
        <w:tc>
          <w:tcPr>
            <w:tcW w:w="2619" w:type="dxa"/>
          </w:tcPr>
          <w:p w14:paraId="0A742905" w14:textId="77777777" w:rsidR="006D3E4A" w:rsidRPr="004351EB" w:rsidRDefault="006D3E4A" w:rsidP="004351EB">
            <w:pPr>
              <w:spacing w:before="20" w:after="20"/>
              <w:rPr>
                <w:rFonts w:cs="Arial"/>
                <w:sz w:val="18"/>
                <w:szCs w:val="16"/>
              </w:rPr>
            </w:pPr>
          </w:p>
        </w:tc>
        <w:tc>
          <w:tcPr>
            <w:tcW w:w="1165" w:type="dxa"/>
          </w:tcPr>
          <w:p w14:paraId="25565453" w14:textId="77777777" w:rsidR="006D3E4A" w:rsidRPr="004351EB" w:rsidRDefault="006D3E4A" w:rsidP="004351EB">
            <w:pPr>
              <w:spacing w:before="20" w:after="20"/>
              <w:rPr>
                <w:rFonts w:cs="Arial"/>
                <w:sz w:val="18"/>
                <w:szCs w:val="16"/>
              </w:rPr>
            </w:pPr>
          </w:p>
        </w:tc>
      </w:tr>
      <w:tr w:rsidR="006D3E4A" w:rsidRPr="004351EB" w14:paraId="67F0EC65" w14:textId="77777777" w:rsidTr="00C149EE">
        <w:tc>
          <w:tcPr>
            <w:tcW w:w="3772" w:type="dxa"/>
            <w:gridSpan w:val="2"/>
            <w:shd w:val="clear" w:color="auto" w:fill="E2EFD9" w:themeFill="accent6" w:themeFillTint="33"/>
          </w:tcPr>
          <w:p w14:paraId="6830528E" w14:textId="77777777" w:rsidR="006D3E4A" w:rsidRPr="004351EB" w:rsidRDefault="006D3E4A" w:rsidP="00790A6A">
            <w:pPr>
              <w:spacing w:before="20" w:after="20"/>
              <w:jc w:val="center"/>
              <w:rPr>
                <w:rFonts w:cs="Arial"/>
                <w:b/>
                <w:sz w:val="18"/>
              </w:rPr>
            </w:pPr>
            <w:r w:rsidRPr="004351EB">
              <w:rPr>
                <w:rFonts w:cs="Arial"/>
                <w:b/>
                <w:sz w:val="18"/>
              </w:rPr>
              <w:t xml:space="preserve">Trainers by </w:t>
            </w:r>
            <w:r w:rsidR="00790A6A">
              <w:rPr>
                <w:rFonts w:cs="Arial"/>
                <w:b/>
                <w:sz w:val="18"/>
              </w:rPr>
              <w:t>n</w:t>
            </w:r>
            <w:r w:rsidR="00790A6A" w:rsidRPr="004351EB">
              <w:rPr>
                <w:rFonts w:cs="Arial"/>
                <w:b/>
                <w:sz w:val="18"/>
              </w:rPr>
              <w:t>ationality</w:t>
            </w:r>
          </w:p>
        </w:tc>
        <w:tc>
          <w:tcPr>
            <w:tcW w:w="382" w:type="dxa"/>
            <w:shd w:val="clear" w:color="auto" w:fill="auto"/>
          </w:tcPr>
          <w:p w14:paraId="20DBF252" w14:textId="77777777" w:rsidR="006D3E4A" w:rsidRPr="004351EB" w:rsidRDefault="006D3E4A" w:rsidP="004351EB">
            <w:pPr>
              <w:spacing w:before="20" w:after="20"/>
              <w:jc w:val="center"/>
              <w:rPr>
                <w:rFonts w:cs="Arial"/>
                <w:b/>
                <w:sz w:val="18"/>
              </w:rPr>
            </w:pPr>
          </w:p>
        </w:tc>
        <w:tc>
          <w:tcPr>
            <w:tcW w:w="3784" w:type="dxa"/>
            <w:gridSpan w:val="2"/>
            <w:shd w:val="clear" w:color="auto" w:fill="E2EFD9" w:themeFill="accent6" w:themeFillTint="33"/>
          </w:tcPr>
          <w:p w14:paraId="30EBFA5F" w14:textId="77777777" w:rsidR="006D3E4A" w:rsidRPr="004351EB" w:rsidRDefault="006D3E4A" w:rsidP="00790A6A">
            <w:pPr>
              <w:spacing w:before="20" w:after="20"/>
              <w:jc w:val="center"/>
              <w:rPr>
                <w:rFonts w:cs="Arial"/>
                <w:b/>
                <w:sz w:val="18"/>
              </w:rPr>
            </w:pPr>
            <w:r w:rsidRPr="004351EB">
              <w:rPr>
                <w:rFonts w:cs="Arial"/>
                <w:b/>
                <w:sz w:val="18"/>
              </w:rPr>
              <w:t xml:space="preserve">Tutors by </w:t>
            </w:r>
            <w:r w:rsidR="00790A6A">
              <w:rPr>
                <w:rFonts w:cs="Arial"/>
                <w:b/>
                <w:sz w:val="18"/>
              </w:rPr>
              <w:t>n</w:t>
            </w:r>
            <w:r w:rsidR="00790A6A" w:rsidRPr="004351EB">
              <w:rPr>
                <w:rFonts w:cs="Arial"/>
                <w:b/>
                <w:sz w:val="18"/>
              </w:rPr>
              <w:t>ationality</w:t>
            </w:r>
          </w:p>
        </w:tc>
      </w:tr>
      <w:tr w:rsidR="006D3E4A" w:rsidRPr="004351EB" w14:paraId="74484151" w14:textId="77777777" w:rsidTr="00C149EE">
        <w:tc>
          <w:tcPr>
            <w:tcW w:w="2678" w:type="dxa"/>
          </w:tcPr>
          <w:p w14:paraId="20A9CF63" w14:textId="77777777" w:rsidR="006D3E4A" w:rsidRPr="004351EB" w:rsidRDefault="006D3E4A" w:rsidP="004351EB">
            <w:pPr>
              <w:spacing w:before="20" w:after="20"/>
              <w:rPr>
                <w:rFonts w:cs="Arial"/>
                <w:sz w:val="18"/>
              </w:rPr>
            </w:pPr>
            <w:r w:rsidRPr="004351EB">
              <w:rPr>
                <w:rFonts w:cs="Arial"/>
                <w:sz w:val="18"/>
              </w:rPr>
              <w:t>Australian/Anglo-Saxon</w:t>
            </w:r>
          </w:p>
        </w:tc>
        <w:tc>
          <w:tcPr>
            <w:tcW w:w="1094" w:type="dxa"/>
          </w:tcPr>
          <w:p w14:paraId="2D85C3A3" w14:textId="77777777" w:rsidR="006D3E4A" w:rsidRPr="004351EB" w:rsidRDefault="006D3E4A" w:rsidP="004351EB">
            <w:pPr>
              <w:spacing w:before="20" w:after="20"/>
              <w:rPr>
                <w:rFonts w:cs="Arial"/>
                <w:sz w:val="18"/>
              </w:rPr>
            </w:pPr>
            <w:r w:rsidRPr="004351EB">
              <w:rPr>
                <w:rFonts w:cs="Arial"/>
                <w:sz w:val="18"/>
              </w:rPr>
              <w:t>25</w:t>
            </w:r>
          </w:p>
        </w:tc>
        <w:tc>
          <w:tcPr>
            <w:tcW w:w="382" w:type="dxa"/>
            <w:shd w:val="clear" w:color="auto" w:fill="auto"/>
          </w:tcPr>
          <w:p w14:paraId="7FAF004E" w14:textId="77777777" w:rsidR="006D3E4A" w:rsidRPr="004351EB" w:rsidRDefault="006D3E4A" w:rsidP="004351EB">
            <w:pPr>
              <w:spacing w:before="20" w:after="20"/>
              <w:rPr>
                <w:rFonts w:cs="Arial"/>
                <w:sz w:val="18"/>
              </w:rPr>
            </w:pPr>
          </w:p>
        </w:tc>
        <w:tc>
          <w:tcPr>
            <w:tcW w:w="2619" w:type="dxa"/>
          </w:tcPr>
          <w:p w14:paraId="77ABA419" w14:textId="77777777" w:rsidR="006D3E4A" w:rsidRPr="004351EB" w:rsidRDefault="006D3E4A" w:rsidP="004351EB">
            <w:pPr>
              <w:spacing w:before="20" w:after="20"/>
              <w:rPr>
                <w:rFonts w:cs="Arial"/>
                <w:sz w:val="18"/>
              </w:rPr>
            </w:pPr>
            <w:r w:rsidRPr="004351EB">
              <w:rPr>
                <w:rFonts w:cs="Arial"/>
                <w:sz w:val="18"/>
              </w:rPr>
              <w:t>Fijian/Indo-Fijian</w:t>
            </w:r>
          </w:p>
        </w:tc>
        <w:tc>
          <w:tcPr>
            <w:tcW w:w="1165" w:type="dxa"/>
          </w:tcPr>
          <w:p w14:paraId="0EC3455A" w14:textId="77777777" w:rsidR="006D3E4A" w:rsidRPr="004351EB" w:rsidRDefault="006D3E4A" w:rsidP="004351EB">
            <w:pPr>
              <w:spacing w:before="20" w:after="20"/>
              <w:rPr>
                <w:rFonts w:cs="Arial"/>
                <w:sz w:val="18"/>
              </w:rPr>
            </w:pPr>
            <w:r w:rsidRPr="004351EB">
              <w:rPr>
                <w:rFonts w:cs="Arial"/>
                <w:sz w:val="18"/>
              </w:rPr>
              <w:t>5</w:t>
            </w:r>
          </w:p>
        </w:tc>
      </w:tr>
      <w:tr w:rsidR="006D3E4A" w:rsidRPr="004351EB" w14:paraId="1DDAA5DB" w14:textId="77777777" w:rsidTr="00C149EE">
        <w:tc>
          <w:tcPr>
            <w:tcW w:w="2678" w:type="dxa"/>
          </w:tcPr>
          <w:p w14:paraId="12FEC667" w14:textId="77777777" w:rsidR="006D3E4A" w:rsidRPr="004351EB" w:rsidRDefault="006D3E4A" w:rsidP="004351EB">
            <w:pPr>
              <w:spacing w:before="20" w:after="20"/>
              <w:rPr>
                <w:rFonts w:cs="Arial"/>
                <w:sz w:val="18"/>
              </w:rPr>
            </w:pPr>
            <w:r w:rsidRPr="004351EB">
              <w:rPr>
                <w:rFonts w:cs="Arial"/>
                <w:sz w:val="18"/>
              </w:rPr>
              <w:t>Ni-Vanuatu</w:t>
            </w:r>
          </w:p>
        </w:tc>
        <w:tc>
          <w:tcPr>
            <w:tcW w:w="1094" w:type="dxa"/>
          </w:tcPr>
          <w:p w14:paraId="530E0834" w14:textId="77777777" w:rsidR="006D3E4A" w:rsidRPr="004351EB" w:rsidRDefault="006D3E4A" w:rsidP="004351EB">
            <w:pPr>
              <w:spacing w:before="20" w:after="20"/>
              <w:rPr>
                <w:rFonts w:cs="Arial"/>
                <w:sz w:val="18"/>
              </w:rPr>
            </w:pPr>
            <w:r w:rsidRPr="004351EB">
              <w:rPr>
                <w:rFonts w:cs="Arial"/>
                <w:sz w:val="18"/>
              </w:rPr>
              <w:t>2</w:t>
            </w:r>
          </w:p>
        </w:tc>
        <w:tc>
          <w:tcPr>
            <w:tcW w:w="382" w:type="dxa"/>
            <w:shd w:val="clear" w:color="auto" w:fill="auto"/>
          </w:tcPr>
          <w:p w14:paraId="5C5D81DD" w14:textId="77777777" w:rsidR="006D3E4A" w:rsidRPr="004351EB" w:rsidRDefault="006D3E4A" w:rsidP="004351EB">
            <w:pPr>
              <w:spacing w:before="20" w:after="20"/>
              <w:rPr>
                <w:rFonts w:cs="Arial"/>
                <w:sz w:val="18"/>
              </w:rPr>
            </w:pPr>
          </w:p>
        </w:tc>
        <w:tc>
          <w:tcPr>
            <w:tcW w:w="2619" w:type="dxa"/>
          </w:tcPr>
          <w:p w14:paraId="0A4BE65C" w14:textId="77777777" w:rsidR="006D3E4A" w:rsidRPr="004351EB" w:rsidRDefault="006D3E4A" w:rsidP="004351EB">
            <w:pPr>
              <w:spacing w:before="20" w:after="20"/>
              <w:rPr>
                <w:rFonts w:cs="Arial"/>
                <w:sz w:val="18"/>
              </w:rPr>
            </w:pPr>
            <w:r w:rsidRPr="004351EB">
              <w:rPr>
                <w:rFonts w:cs="Arial"/>
                <w:sz w:val="18"/>
              </w:rPr>
              <w:t>Ni-Vanuatu</w:t>
            </w:r>
          </w:p>
        </w:tc>
        <w:tc>
          <w:tcPr>
            <w:tcW w:w="1165" w:type="dxa"/>
          </w:tcPr>
          <w:p w14:paraId="1CD1208E" w14:textId="77777777" w:rsidR="006D3E4A" w:rsidRPr="004351EB" w:rsidRDefault="006D3E4A" w:rsidP="004351EB">
            <w:pPr>
              <w:spacing w:before="20" w:after="20"/>
              <w:rPr>
                <w:rFonts w:cs="Arial"/>
                <w:sz w:val="18"/>
              </w:rPr>
            </w:pPr>
            <w:r w:rsidRPr="004351EB">
              <w:rPr>
                <w:rFonts w:cs="Arial"/>
                <w:sz w:val="18"/>
              </w:rPr>
              <w:t>4</w:t>
            </w:r>
          </w:p>
        </w:tc>
      </w:tr>
      <w:tr w:rsidR="006D3E4A" w:rsidRPr="004351EB" w14:paraId="3F25430D" w14:textId="77777777" w:rsidTr="00C149EE">
        <w:tc>
          <w:tcPr>
            <w:tcW w:w="2678" w:type="dxa"/>
          </w:tcPr>
          <w:p w14:paraId="681973DC" w14:textId="77777777" w:rsidR="006D3E4A" w:rsidRPr="004351EB" w:rsidRDefault="006D3E4A" w:rsidP="004351EB">
            <w:pPr>
              <w:spacing w:before="20" w:after="20"/>
              <w:rPr>
                <w:rFonts w:cs="Arial"/>
                <w:sz w:val="18"/>
              </w:rPr>
            </w:pPr>
            <w:r w:rsidRPr="004351EB">
              <w:rPr>
                <w:rFonts w:cs="Arial"/>
                <w:sz w:val="18"/>
              </w:rPr>
              <w:t>Fijian</w:t>
            </w:r>
          </w:p>
        </w:tc>
        <w:tc>
          <w:tcPr>
            <w:tcW w:w="1094" w:type="dxa"/>
          </w:tcPr>
          <w:p w14:paraId="337EACB1" w14:textId="77777777" w:rsidR="006D3E4A" w:rsidRPr="004351EB" w:rsidRDefault="006D3E4A" w:rsidP="004351EB">
            <w:pPr>
              <w:spacing w:before="20" w:after="20"/>
              <w:rPr>
                <w:rFonts w:cs="Arial"/>
                <w:sz w:val="18"/>
              </w:rPr>
            </w:pPr>
            <w:r w:rsidRPr="004351EB">
              <w:rPr>
                <w:rFonts w:cs="Arial"/>
                <w:sz w:val="18"/>
              </w:rPr>
              <w:t>1</w:t>
            </w:r>
          </w:p>
        </w:tc>
        <w:tc>
          <w:tcPr>
            <w:tcW w:w="382" w:type="dxa"/>
            <w:shd w:val="clear" w:color="auto" w:fill="auto"/>
          </w:tcPr>
          <w:p w14:paraId="1DB3E01D" w14:textId="77777777" w:rsidR="006D3E4A" w:rsidRPr="004351EB" w:rsidRDefault="006D3E4A" w:rsidP="004351EB">
            <w:pPr>
              <w:spacing w:before="20" w:after="20"/>
              <w:rPr>
                <w:rFonts w:cs="Arial"/>
                <w:sz w:val="18"/>
              </w:rPr>
            </w:pPr>
          </w:p>
        </w:tc>
        <w:tc>
          <w:tcPr>
            <w:tcW w:w="2619" w:type="dxa"/>
          </w:tcPr>
          <w:p w14:paraId="18A97BE6" w14:textId="77777777" w:rsidR="006D3E4A" w:rsidRPr="004351EB" w:rsidRDefault="006D3E4A" w:rsidP="004351EB">
            <w:pPr>
              <w:spacing w:before="20" w:after="20"/>
              <w:rPr>
                <w:rFonts w:cs="Arial"/>
                <w:sz w:val="18"/>
              </w:rPr>
            </w:pPr>
            <w:r w:rsidRPr="004351EB">
              <w:rPr>
                <w:rFonts w:cs="Arial"/>
                <w:sz w:val="18"/>
              </w:rPr>
              <w:t>PNG</w:t>
            </w:r>
          </w:p>
        </w:tc>
        <w:tc>
          <w:tcPr>
            <w:tcW w:w="1165" w:type="dxa"/>
          </w:tcPr>
          <w:p w14:paraId="3902E558" w14:textId="77777777" w:rsidR="006D3E4A" w:rsidRPr="004351EB" w:rsidRDefault="006D3E4A" w:rsidP="004351EB">
            <w:pPr>
              <w:spacing w:before="20" w:after="20"/>
              <w:rPr>
                <w:rFonts w:cs="Arial"/>
                <w:sz w:val="18"/>
              </w:rPr>
            </w:pPr>
            <w:r w:rsidRPr="004351EB">
              <w:rPr>
                <w:rFonts w:cs="Arial"/>
                <w:sz w:val="18"/>
              </w:rPr>
              <w:t>10</w:t>
            </w:r>
          </w:p>
        </w:tc>
      </w:tr>
      <w:tr w:rsidR="006D3E4A" w:rsidRPr="004351EB" w14:paraId="7AB38773" w14:textId="77777777" w:rsidTr="00C149EE">
        <w:tc>
          <w:tcPr>
            <w:tcW w:w="2678" w:type="dxa"/>
          </w:tcPr>
          <w:p w14:paraId="138A1AA6" w14:textId="77777777" w:rsidR="006D3E4A" w:rsidRPr="004351EB" w:rsidRDefault="006D3E4A" w:rsidP="004351EB">
            <w:pPr>
              <w:spacing w:before="20" w:after="20"/>
              <w:rPr>
                <w:rFonts w:cs="Arial"/>
                <w:sz w:val="18"/>
              </w:rPr>
            </w:pPr>
            <w:r w:rsidRPr="004351EB">
              <w:rPr>
                <w:rFonts w:cs="Arial"/>
                <w:sz w:val="18"/>
              </w:rPr>
              <w:t>No response</w:t>
            </w:r>
          </w:p>
        </w:tc>
        <w:tc>
          <w:tcPr>
            <w:tcW w:w="1094" w:type="dxa"/>
          </w:tcPr>
          <w:p w14:paraId="342D0C60" w14:textId="77777777" w:rsidR="006D3E4A" w:rsidRPr="004351EB" w:rsidRDefault="006D3E4A" w:rsidP="004351EB">
            <w:pPr>
              <w:spacing w:before="20" w:after="20"/>
              <w:rPr>
                <w:rFonts w:cs="Arial"/>
                <w:sz w:val="18"/>
              </w:rPr>
            </w:pPr>
            <w:r w:rsidRPr="004351EB">
              <w:rPr>
                <w:rFonts w:cs="Arial"/>
                <w:sz w:val="18"/>
              </w:rPr>
              <w:t>1</w:t>
            </w:r>
          </w:p>
        </w:tc>
        <w:tc>
          <w:tcPr>
            <w:tcW w:w="382" w:type="dxa"/>
            <w:shd w:val="clear" w:color="auto" w:fill="auto"/>
          </w:tcPr>
          <w:p w14:paraId="3F408FF3" w14:textId="77777777" w:rsidR="006D3E4A" w:rsidRPr="004351EB" w:rsidRDefault="006D3E4A" w:rsidP="004351EB">
            <w:pPr>
              <w:spacing w:before="20" w:after="20"/>
              <w:rPr>
                <w:rFonts w:cs="Arial"/>
                <w:sz w:val="18"/>
              </w:rPr>
            </w:pPr>
          </w:p>
        </w:tc>
        <w:tc>
          <w:tcPr>
            <w:tcW w:w="2619" w:type="dxa"/>
          </w:tcPr>
          <w:p w14:paraId="2ADF2549" w14:textId="77777777" w:rsidR="006D3E4A" w:rsidRPr="004351EB" w:rsidRDefault="006D3E4A" w:rsidP="004351EB">
            <w:pPr>
              <w:spacing w:before="20" w:after="20"/>
              <w:rPr>
                <w:rFonts w:cs="Arial"/>
                <w:sz w:val="18"/>
              </w:rPr>
            </w:pPr>
            <w:r w:rsidRPr="004351EB">
              <w:rPr>
                <w:rFonts w:cs="Arial"/>
                <w:sz w:val="18"/>
              </w:rPr>
              <w:t>Samoan</w:t>
            </w:r>
          </w:p>
        </w:tc>
        <w:tc>
          <w:tcPr>
            <w:tcW w:w="1165" w:type="dxa"/>
          </w:tcPr>
          <w:p w14:paraId="4DA62A59" w14:textId="77777777" w:rsidR="006D3E4A" w:rsidRPr="004351EB" w:rsidRDefault="006D3E4A" w:rsidP="004351EB">
            <w:pPr>
              <w:spacing w:before="20" w:after="20"/>
              <w:rPr>
                <w:rFonts w:cs="Arial"/>
                <w:sz w:val="18"/>
              </w:rPr>
            </w:pPr>
            <w:r w:rsidRPr="004351EB">
              <w:rPr>
                <w:rFonts w:cs="Arial"/>
                <w:sz w:val="18"/>
              </w:rPr>
              <w:t>9</w:t>
            </w:r>
          </w:p>
        </w:tc>
      </w:tr>
      <w:tr w:rsidR="006D3E4A" w:rsidRPr="004351EB" w14:paraId="6D3FC925" w14:textId="77777777" w:rsidTr="00C149EE">
        <w:tc>
          <w:tcPr>
            <w:tcW w:w="2678" w:type="dxa"/>
          </w:tcPr>
          <w:p w14:paraId="54602EED" w14:textId="77777777" w:rsidR="006D3E4A" w:rsidRPr="004351EB" w:rsidRDefault="006D3E4A" w:rsidP="004351EB">
            <w:pPr>
              <w:spacing w:before="20" w:after="20"/>
              <w:rPr>
                <w:rFonts w:cs="Arial"/>
                <w:sz w:val="18"/>
                <w:szCs w:val="16"/>
              </w:rPr>
            </w:pPr>
          </w:p>
        </w:tc>
        <w:tc>
          <w:tcPr>
            <w:tcW w:w="1094" w:type="dxa"/>
          </w:tcPr>
          <w:p w14:paraId="08F52686" w14:textId="77777777" w:rsidR="006D3E4A" w:rsidRPr="004351EB" w:rsidRDefault="006D3E4A" w:rsidP="004351EB">
            <w:pPr>
              <w:spacing w:before="20" w:after="20"/>
              <w:rPr>
                <w:rFonts w:cs="Arial"/>
                <w:sz w:val="18"/>
                <w:szCs w:val="16"/>
              </w:rPr>
            </w:pPr>
          </w:p>
        </w:tc>
        <w:tc>
          <w:tcPr>
            <w:tcW w:w="382" w:type="dxa"/>
            <w:shd w:val="clear" w:color="auto" w:fill="auto"/>
          </w:tcPr>
          <w:p w14:paraId="3FD38FC9" w14:textId="77777777" w:rsidR="006D3E4A" w:rsidRPr="004351EB" w:rsidRDefault="006D3E4A" w:rsidP="004351EB">
            <w:pPr>
              <w:spacing w:before="20" w:after="20"/>
              <w:rPr>
                <w:rFonts w:cs="Arial"/>
                <w:sz w:val="18"/>
                <w:szCs w:val="16"/>
              </w:rPr>
            </w:pPr>
          </w:p>
        </w:tc>
        <w:tc>
          <w:tcPr>
            <w:tcW w:w="2619" w:type="dxa"/>
          </w:tcPr>
          <w:p w14:paraId="323FF932" w14:textId="77777777" w:rsidR="006D3E4A" w:rsidRPr="004351EB" w:rsidRDefault="006D3E4A" w:rsidP="004351EB">
            <w:pPr>
              <w:spacing w:before="20" w:after="20"/>
              <w:rPr>
                <w:rFonts w:cs="Arial"/>
                <w:sz w:val="18"/>
                <w:szCs w:val="16"/>
              </w:rPr>
            </w:pPr>
          </w:p>
        </w:tc>
        <w:tc>
          <w:tcPr>
            <w:tcW w:w="1165" w:type="dxa"/>
          </w:tcPr>
          <w:p w14:paraId="5B47D193" w14:textId="77777777" w:rsidR="006D3E4A" w:rsidRPr="004351EB" w:rsidRDefault="006D3E4A" w:rsidP="004351EB">
            <w:pPr>
              <w:spacing w:before="20" w:after="20"/>
              <w:rPr>
                <w:rFonts w:cs="Arial"/>
                <w:sz w:val="18"/>
                <w:szCs w:val="16"/>
              </w:rPr>
            </w:pPr>
          </w:p>
        </w:tc>
      </w:tr>
      <w:tr w:rsidR="006D3E4A" w:rsidRPr="004351EB" w14:paraId="4DFA4001" w14:textId="77777777" w:rsidTr="00C149EE">
        <w:tc>
          <w:tcPr>
            <w:tcW w:w="3772" w:type="dxa"/>
            <w:gridSpan w:val="2"/>
            <w:shd w:val="clear" w:color="auto" w:fill="E2EFD9" w:themeFill="accent6" w:themeFillTint="33"/>
          </w:tcPr>
          <w:p w14:paraId="43147AFD" w14:textId="77777777" w:rsidR="006D3E4A" w:rsidRPr="004351EB" w:rsidRDefault="006D3E4A" w:rsidP="00124AC3">
            <w:pPr>
              <w:spacing w:before="20" w:after="20"/>
              <w:jc w:val="center"/>
              <w:rPr>
                <w:rFonts w:cs="Arial"/>
                <w:b/>
                <w:sz w:val="18"/>
              </w:rPr>
            </w:pPr>
            <w:r w:rsidRPr="004351EB">
              <w:rPr>
                <w:rFonts w:cs="Arial"/>
                <w:b/>
                <w:sz w:val="18"/>
              </w:rPr>
              <w:t xml:space="preserve">Trainers’ </w:t>
            </w:r>
            <w:r w:rsidR="00124AC3">
              <w:rPr>
                <w:rFonts w:cs="Arial"/>
                <w:b/>
                <w:sz w:val="18"/>
              </w:rPr>
              <w:t>v</w:t>
            </w:r>
            <w:r w:rsidR="00124AC3" w:rsidRPr="004351EB">
              <w:rPr>
                <w:rFonts w:cs="Arial"/>
                <w:b/>
                <w:sz w:val="18"/>
              </w:rPr>
              <w:t xml:space="preserve">ocational </w:t>
            </w:r>
            <w:r w:rsidR="00124AC3">
              <w:rPr>
                <w:rFonts w:cs="Arial"/>
                <w:b/>
                <w:sz w:val="18"/>
              </w:rPr>
              <w:t>q</w:t>
            </w:r>
            <w:r w:rsidR="00124AC3" w:rsidRPr="004351EB">
              <w:rPr>
                <w:rFonts w:cs="Arial"/>
                <w:b/>
                <w:sz w:val="18"/>
              </w:rPr>
              <w:t>ualifications</w:t>
            </w:r>
          </w:p>
        </w:tc>
        <w:tc>
          <w:tcPr>
            <w:tcW w:w="382" w:type="dxa"/>
            <w:shd w:val="clear" w:color="auto" w:fill="auto"/>
          </w:tcPr>
          <w:p w14:paraId="03BF2124" w14:textId="77777777" w:rsidR="006D3E4A" w:rsidRPr="004351EB" w:rsidRDefault="006D3E4A" w:rsidP="004351EB">
            <w:pPr>
              <w:spacing w:before="20" w:after="20"/>
              <w:jc w:val="center"/>
              <w:rPr>
                <w:rFonts w:cs="Arial"/>
                <w:b/>
                <w:sz w:val="18"/>
              </w:rPr>
            </w:pPr>
          </w:p>
        </w:tc>
        <w:tc>
          <w:tcPr>
            <w:tcW w:w="3784" w:type="dxa"/>
            <w:gridSpan w:val="2"/>
            <w:shd w:val="clear" w:color="auto" w:fill="E2EFD9" w:themeFill="accent6" w:themeFillTint="33"/>
          </w:tcPr>
          <w:p w14:paraId="566724C3" w14:textId="77777777" w:rsidR="006D3E4A" w:rsidRPr="004351EB" w:rsidRDefault="006D3E4A" w:rsidP="00124AC3">
            <w:pPr>
              <w:spacing w:before="20" w:after="20"/>
              <w:jc w:val="center"/>
              <w:rPr>
                <w:rFonts w:cs="Arial"/>
                <w:b/>
                <w:sz w:val="18"/>
              </w:rPr>
            </w:pPr>
            <w:r w:rsidRPr="004351EB">
              <w:rPr>
                <w:rFonts w:cs="Arial"/>
                <w:b/>
                <w:sz w:val="18"/>
              </w:rPr>
              <w:t xml:space="preserve">Tutors’ </w:t>
            </w:r>
            <w:r w:rsidR="00124AC3">
              <w:rPr>
                <w:rFonts w:cs="Arial"/>
                <w:b/>
                <w:sz w:val="18"/>
              </w:rPr>
              <w:t>v</w:t>
            </w:r>
            <w:r w:rsidR="00124AC3" w:rsidRPr="004351EB">
              <w:rPr>
                <w:rFonts w:cs="Arial"/>
                <w:b/>
                <w:sz w:val="18"/>
              </w:rPr>
              <w:t xml:space="preserve">ocational </w:t>
            </w:r>
            <w:r w:rsidR="00124AC3">
              <w:rPr>
                <w:rFonts w:cs="Arial"/>
                <w:b/>
                <w:sz w:val="18"/>
              </w:rPr>
              <w:t>q</w:t>
            </w:r>
            <w:r w:rsidR="00124AC3" w:rsidRPr="004351EB">
              <w:rPr>
                <w:rFonts w:cs="Arial"/>
                <w:b/>
                <w:sz w:val="18"/>
              </w:rPr>
              <w:t>ualifications</w:t>
            </w:r>
          </w:p>
        </w:tc>
      </w:tr>
      <w:tr w:rsidR="006D3E4A" w:rsidRPr="004351EB" w14:paraId="4A79E372" w14:textId="77777777" w:rsidTr="00C149EE">
        <w:tc>
          <w:tcPr>
            <w:tcW w:w="2678" w:type="dxa"/>
          </w:tcPr>
          <w:p w14:paraId="1476472C" w14:textId="77777777" w:rsidR="006D3E4A" w:rsidRPr="004351EB" w:rsidRDefault="006D3E4A" w:rsidP="004351EB">
            <w:pPr>
              <w:spacing w:before="20" w:after="20"/>
              <w:rPr>
                <w:rFonts w:cs="Arial"/>
                <w:sz w:val="18"/>
              </w:rPr>
            </w:pPr>
            <w:r w:rsidRPr="004351EB">
              <w:rPr>
                <w:rFonts w:cs="Arial"/>
                <w:sz w:val="18"/>
              </w:rPr>
              <w:t>Certificate III or equivalent</w:t>
            </w:r>
          </w:p>
        </w:tc>
        <w:tc>
          <w:tcPr>
            <w:tcW w:w="1094" w:type="dxa"/>
          </w:tcPr>
          <w:p w14:paraId="1895308A" w14:textId="77777777" w:rsidR="006D3E4A" w:rsidRPr="004351EB" w:rsidRDefault="006D3E4A" w:rsidP="004351EB">
            <w:pPr>
              <w:spacing w:before="20" w:after="20"/>
              <w:rPr>
                <w:rFonts w:cs="Arial"/>
                <w:sz w:val="18"/>
              </w:rPr>
            </w:pPr>
            <w:r w:rsidRPr="004351EB">
              <w:rPr>
                <w:rFonts w:cs="Arial"/>
                <w:sz w:val="18"/>
              </w:rPr>
              <w:t>9</w:t>
            </w:r>
          </w:p>
        </w:tc>
        <w:tc>
          <w:tcPr>
            <w:tcW w:w="382" w:type="dxa"/>
            <w:shd w:val="clear" w:color="auto" w:fill="auto"/>
          </w:tcPr>
          <w:p w14:paraId="2E73D189" w14:textId="77777777" w:rsidR="006D3E4A" w:rsidRPr="004351EB" w:rsidRDefault="006D3E4A" w:rsidP="004351EB">
            <w:pPr>
              <w:spacing w:before="20" w:after="20"/>
              <w:rPr>
                <w:rFonts w:cs="Arial"/>
                <w:sz w:val="18"/>
              </w:rPr>
            </w:pPr>
          </w:p>
        </w:tc>
        <w:tc>
          <w:tcPr>
            <w:tcW w:w="2619" w:type="dxa"/>
          </w:tcPr>
          <w:p w14:paraId="2C3A3F79" w14:textId="77777777" w:rsidR="006D3E4A" w:rsidRPr="004351EB" w:rsidRDefault="006D3E4A" w:rsidP="004351EB">
            <w:pPr>
              <w:spacing w:before="20" w:after="20"/>
              <w:rPr>
                <w:rFonts w:cs="Arial"/>
                <w:sz w:val="18"/>
              </w:rPr>
            </w:pPr>
            <w:r w:rsidRPr="004351EB">
              <w:rPr>
                <w:rFonts w:cs="Arial"/>
                <w:sz w:val="18"/>
              </w:rPr>
              <w:t>Certificate III</w:t>
            </w:r>
          </w:p>
        </w:tc>
        <w:tc>
          <w:tcPr>
            <w:tcW w:w="1165" w:type="dxa"/>
          </w:tcPr>
          <w:p w14:paraId="51A1E277" w14:textId="77777777" w:rsidR="006D3E4A" w:rsidRPr="004351EB" w:rsidRDefault="006D3E4A" w:rsidP="004351EB">
            <w:pPr>
              <w:spacing w:before="20" w:after="20"/>
              <w:rPr>
                <w:rFonts w:cs="Arial"/>
                <w:sz w:val="18"/>
              </w:rPr>
            </w:pPr>
            <w:r w:rsidRPr="004351EB">
              <w:rPr>
                <w:rFonts w:cs="Arial"/>
                <w:sz w:val="18"/>
              </w:rPr>
              <w:t>15</w:t>
            </w:r>
          </w:p>
        </w:tc>
      </w:tr>
      <w:tr w:rsidR="006D3E4A" w:rsidRPr="004351EB" w14:paraId="6FF8815F" w14:textId="77777777" w:rsidTr="00C149EE">
        <w:tc>
          <w:tcPr>
            <w:tcW w:w="2678" w:type="dxa"/>
          </w:tcPr>
          <w:p w14:paraId="41175BB0" w14:textId="77777777" w:rsidR="006D3E4A" w:rsidRPr="004351EB" w:rsidRDefault="006D3E4A" w:rsidP="004351EB">
            <w:pPr>
              <w:spacing w:before="20" w:after="20"/>
              <w:rPr>
                <w:rFonts w:cs="Arial"/>
                <w:sz w:val="18"/>
              </w:rPr>
            </w:pPr>
            <w:r w:rsidRPr="004351EB">
              <w:rPr>
                <w:rFonts w:cs="Arial"/>
                <w:sz w:val="18"/>
              </w:rPr>
              <w:t>Certificate IV</w:t>
            </w:r>
          </w:p>
        </w:tc>
        <w:tc>
          <w:tcPr>
            <w:tcW w:w="1094" w:type="dxa"/>
          </w:tcPr>
          <w:p w14:paraId="38254F85" w14:textId="77777777" w:rsidR="006D3E4A" w:rsidRPr="004351EB" w:rsidRDefault="006D3E4A" w:rsidP="004351EB">
            <w:pPr>
              <w:spacing w:before="20" w:after="20"/>
              <w:rPr>
                <w:rFonts w:cs="Arial"/>
                <w:sz w:val="18"/>
              </w:rPr>
            </w:pPr>
            <w:r w:rsidRPr="004351EB">
              <w:rPr>
                <w:rFonts w:cs="Arial"/>
                <w:sz w:val="18"/>
              </w:rPr>
              <w:t>2</w:t>
            </w:r>
          </w:p>
        </w:tc>
        <w:tc>
          <w:tcPr>
            <w:tcW w:w="382" w:type="dxa"/>
            <w:shd w:val="clear" w:color="auto" w:fill="auto"/>
          </w:tcPr>
          <w:p w14:paraId="0A688054" w14:textId="77777777" w:rsidR="006D3E4A" w:rsidRPr="004351EB" w:rsidRDefault="006D3E4A" w:rsidP="004351EB">
            <w:pPr>
              <w:spacing w:before="20" w:after="20"/>
              <w:rPr>
                <w:rFonts w:cs="Arial"/>
                <w:sz w:val="18"/>
              </w:rPr>
            </w:pPr>
          </w:p>
        </w:tc>
        <w:tc>
          <w:tcPr>
            <w:tcW w:w="2619" w:type="dxa"/>
          </w:tcPr>
          <w:p w14:paraId="660FD647" w14:textId="77777777" w:rsidR="006D3E4A" w:rsidRPr="004351EB" w:rsidRDefault="006D3E4A" w:rsidP="004351EB">
            <w:pPr>
              <w:spacing w:before="20" w:after="20"/>
              <w:rPr>
                <w:rFonts w:cs="Arial"/>
                <w:sz w:val="18"/>
              </w:rPr>
            </w:pPr>
            <w:r w:rsidRPr="004351EB">
              <w:rPr>
                <w:rFonts w:cs="Arial"/>
                <w:sz w:val="18"/>
              </w:rPr>
              <w:t>Certificate IV</w:t>
            </w:r>
          </w:p>
        </w:tc>
        <w:tc>
          <w:tcPr>
            <w:tcW w:w="1165" w:type="dxa"/>
          </w:tcPr>
          <w:p w14:paraId="089C51BD" w14:textId="77777777" w:rsidR="006D3E4A" w:rsidRPr="004351EB" w:rsidRDefault="006D3E4A" w:rsidP="004351EB">
            <w:pPr>
              <w:spacing w:before="20" w:after="20"/>
              <w:rPr>
                <w:rFonts w:cs="Arial"/>
                <w:sz w:val="18"/>
              </w:rPr>
            </w:pPr>
            <w:r w:rsidRPr="004351EB">
              <w:rPr>
                <w:rFonts w:cs="Arial"/>
                <w:sz w:val="18"/>
              </w:rPr>
              <w:t>2</w:t>
            </w:r>
          </w:p>
        </w:tc>
      </w:tr>
      <w:tr w:rsidR="006D3E4A" w:rsidRPr="004351EB" w14:paraId="07385404" w14:textId="77777777" w:rsidTr="00C149EE">
        <w:tc>
          <w:tcPr>
            <w:tcW w:w="2678" w:type="dxa"/>
          </w:tcPr>
          <w:p w14:paraId="2B87FED1" w14:textId="77777777" w:rsidR="006D3E4A" w:rsidRPr="004351EB" w:rsidRDefault="006D3E4A" w:rsidP="004351EB">
            <w:pPr>
              <w:spacing w:before="20" w:after="20"/>
              <w:rPr>
                <w:rFonts w:cs="Arial"/>
                <w:sz w:val="18"/>
              </w:rPr>
            </w:pPr>
            <w:r w:rsidRPr="004351EB">
              <w:rPr>
                <w:rFonts w:cs="Arial"/>
                <w:sz w:val="18"/>
              </w:rPr>
              <w:t>Diploma</w:t>
            </w:r>
          </w:p>
        </w:tc>
        <w:tc>
          <w:tcPr>
            <w:tcW w:w="1094" w:type="dxa"/>
          </w:tcPr>
          <w:p w14:paraId="1B476195" w14:textId="77777777" w:rsidR="006D3E4A" w:rsidRPr="004351EB" w:rsidRDefault="006D3E4A" w:rsidP="004351EB">
            <w:pPr>
              <w:spacing w:before="20" w:after="20"/>
              <w:rPr>
                <w:rFonts w:cs="Arial"/>
                <w:sz w:val="18"/>
              </w:rPr>
            </w:pPr>
            <w:r w:rsidRPr="004351EB">
              <w:rPr>
                <w:rFonts w:cs="Arial"/>
                <w:sz w:val="18"/>
              </w:rPr>
              <w:t>5</w:t>
            </w:r>
          </w:p>
        </w:tc>
        <w:tc>
          <w:tcPr>
            <w:tcW w:w="382" w:type="dxa"/>
            <w:shd w:val="clear" w:color="auto" w:fill="auto"/>
          </w:tcPr>
          <w:p w14:paraId="1C7759D0" w14:textId="77777777" w:rsidR="006D3E4A" w:rsidRPr="004351EB" w:rsidRDefault="006D3E4A" w:rsidP="004351EB">
            <w:pPr>
              <w:spacing w:before="20" w:after="20"/>
              <w:rPr>
                <w:rFonts w:cs="Arial"/>
                <w:sz w:val="18"/>
              </w:rPr>
            </w:pPr>
          </w:p>
        </w:tc>
        <w:tc>
          <w:tcPr>
            <w:tcW w:w="2619" w:type="dxa"/>
          </w:tcPr>
          <w:p w14:paraId="29BD3B62" w14:textId="77777777" w:rsidR="006D3E4A" w:rsidRPr="004351EB" w:rsidRDefault="006D3E4A" w:rsidP="004351EB">
            <w:pPr>
              <w:spacing w:before="20" w:after="20"/>
              <w:rPr>
                <w:rFonts w:cs="Arial"/>
                <w:sz w:val="18"/>
              </w:rPr>
            </w:pPr>
            <w:r w:rsidRPr="004351EB">
              <w:rPr>
                <w:rFonts w:cs="Arial"/>
                <w:sz w:val="18"/>
              </w:rPr>
              <w:t>Diploma</w:t>
            </w:r>
          </w:p>
        </w:tc>
        <w:tc>
          <w:tcPr>
            <w:tcW w:w="1165" w:type="dxa"/>
          </w:tcPr>
          <w:p w14:paraId="5B9BE8A1" w14:textId="77777777" w:rsidR="006D3E4A" w:rsidRPr="004351EB" w:rsidRDefault="006D3E4A" w:rsidP="004351EB">
            <w:pPr>
              <w:spacing w:before="20" w:after="20"/>
              <w:rPr>
                <w:rFonts w:cs="Arial"/>
                <w:sz w:val="18"/>
              </w:rPr>
            </w:pPr>
            <w:r w:rsidRPr="004351EB">
              <w:rPr>
                <w:rFonts w:cs="Arial"/>
                <w:sz w:val="18"/>
              </w:rPr>
              <w:t>2</w:t>
            </w:r>
          </w:p>
        </w:tc>
      </w:tr>
      <w:tr w:rsidR="006D3E4A" w:rsidRPr="004351EB" w14:paraId="72FAE6E6" w14:textId="77777777" w:rsidTr="00C149EE">
        <w:tc>
          <w:tcPr>
            <w:tcW w:w="2678" w:type="dxa"/>
          </w:tcPr>
          <w:p w14:paraId="16FBC3AB" w14:textId="77777777" w:rsidR="006D3E4A" w:rsidRPr="004351EB" w:rsidRDefault="006D3E4A" w:rsidP="004351EB">
            <w:pPr>
              <w:spacing w:before="20" w:after="20"/>
              <w:rPr>
                <w:rFonts w:cs="Arial"/>
                <w:sz w:val="18"/>
              </w:rPr>
            </w:pPr>
            <w:r w:rsidRPr="004351EB">
              <w:rPr>
                <w:rFonts w:cs="Arial"/>
                <w:sz w:val="18"/>
              </w:rPr>
              <w:t>Advanced Diploma</w:t>
            </w:r>
          </w:p>
        </w:tc>
        <w:tc>
          <w:tcPr>
            <w:tcW w:w="1094" w:type="dxa"/>
          </w:tcPr>
          <w:p w14:paraId="538E4306" w14:textId="77777777" w:rsidR="006D3E4A" w:rsidRPr="004351EB" w:rsidRDefault="006D3E4A" w:rsidP="004351EB">
            <w:pPr>
              <w:spacing w:before="20" w:after="20"/>
              <w:rPr>
                <w:rFonts w:cs="Arial"/>
                <w:sz w:val="18"/>
              </w:rPr>
            </w:pPr>
            <w:r w:rsidRPr="004351EB">
              <w:rPr>
                <w:rFonts w:cs="Arial"/>
                <w:sz w:val="18"/>
              </w:rPr>
              <w:t>4</w:t>
            </w:r>
          </w:p>
        </w:tc>
        <w:tc>
          <w:tcPr>
            <w:tcW w:w="382" w:type="dxa"/>
            <w:shd w:val="clear" w:color="auto" w:fill="auto"/>
          </w:tcPr>
          <w:p w14:paraId="13AE1719" w14:textId="77777777" w:rsidR="006D3E4A" w:rsidRPr="004351EB" w:rsidRDefault="006D3E4A" w:rsidP="004351EB">
            <w:pPr>
              <w:spacing w:before="20" w:after="20"/>
              <w:rPr>
                <w:rFonts w:cs="Arial"/>
                <w:sz w:val="18"/>
              </w:rPr>
            </w:pPr>
          </w:p>
        </w:tc>
        <w:tc>
          <w:tcPr>
            <w:tcW w:w="2619" w:type="dxa"/>
          </w:tcPr>
          <w:p w14:paraId="18B8CC5D" w14:textId="77777777" w:rsidR="006D3E4A" w:rsidRPr="004351EB" w:rsidRDefault="006D3E4A" w:rsidP="004351EB">
            <w:pPr>
              <w:spacing w:before="20" w:after="20"/>
              <w:rPr>
                <w:rFonts w:cs="Arial"/>
                <w:sz w:val="18"/>
              </w:rPr>
            </w:pPr>
            <w:r w:rsidRPr="004351EB">
              <w:rPr>
                <w:rFonts w:cs="Arial"/>
                <w:sz w:val="18"/>
              </w:rPr>
              <w:t>Postgraduate</w:t>
            </w:r>
          </w:p>
        </w:tc>
        <w:tc>
          <w:tcPr>
            <w:tcW w:w="1165" w:type="dxa"/>
          </w:tcPr>
          <w:p w14:paraId="0484BAB2" w14:textId="77777777" w:rsidR="006D3E4A" w:rsidRPr="004351EB" w:rsidRDefault="006D3E4A" w:rsidP="004351EB">
            <w:pPr>
              <w:spacing w:before="20" w:after="20"/>
              <w:rPr>
                <w:rFonts w:cs="Arial"/>
                <w:sz w:val="18"/>
              </w:rPr>
            </w:pPr>
            <w:r w:rsidRPr="004351EB">
              <w:rPr>
                <w:rFonts w:cs="Arial"/>
                <w:sz w:val="18"/>
              </w:rPr>
              <w:t>1</w:t>
            </w:r>
          </w:p>
        </w:tc>
      </w:tr>
      <w:tr w:rsidR="006D3E4A" w:rsidRPr="004351EB" w14:paraId="29A03677" w14:textId="77777777" w:rsidTr="00C149EE">
        <w:tc>
          <w:tcPr>
            <w:tcW w:w="2678" w:type="dxa"/>
          </w:tcPr>
          <w:p w14:paraId="1E78F427" w14:textId="77777777" w:rsidR="006D3E4A" w:rsidRPr="004351EB" w:rsidRDefault="006D3E4A" w:rsidP="004351EB">
            <w:pPr>
              <w:spacing w:before="20" w:after="20"/>
              <w:rPr>
                <w:rFonts w:cs="Arial"/>
                <w:sz w:val="18"/>
              </w:rPr>
            </w:pPr>
            <w:r w:rsidRPr="004351EB">
              <w:rPr>
                <w:rFonts w:cs="Arial"/>
                <w:sz w:val="18"/>
              </w:rPr>
              <w:t>Bachelor</w:t>
            </w:r>
          </w:p>
        </w:tc>
        <w:tc>
          <w:tcPr>
            <w:tcW w:w="1094" w:type="dxa"/>
          </w:tcPr>
          <w:p w14:paraId="213B338B" w14:textId="77777777" w:rsidR="006D3E4A" w:rsidRPr="004351EB" w:rsidRDefault="006D3E4A" w:rsidP="004351EB">
            <w:pPr>
              <w:spacing w:before="20" w:after="20"/>
              <w:rPr>
                <w:rFonts w:cs="Arial"/>
                <w:sz w:val="18"/>
              </w:rPr>
            </w:pPr>
            <w:r w:rsidRPr="004351EB">
              <w:rPr>
                <w:rFonts w:cs="Arial"/>
                <w:sz w:val="18"/>
              </w:rPr>
              <w:t>1</w:t>
            </w:r>
          </w:p>
        </w:tc>
        <w:tc>
          <w:tcPr>
            <w:tcW w:w="382" w:type="dxa"/>
            <w:shd w:val="clear" w:color="auto" w:fill="auto"/>
          </w:tcPr>
          <w:p w14:paraId="773517E3" w14:textId="77777777" w:rsidR="006D3E4A" w:rsidRPr="004351EB" w:rsidRDefault="006D3E4A" w:rsidP="004351EB">
            <w:pPr>
              <w:spacing w:before="20" w:after="20"/>
              <w:rPr>
                <w:rFonts w:cs="Arial"/>
                <w:sz w:val="18"/>
              </w:rPr>
            </w:pPr>
          </w:p>
        </w:tc>
        <w:tc>
          <w:tcPr>
            <w:tcW w:w="2619" w:type="dxa"/>
          </w:tcPr>
          <w:p w14:paraId="4AE248BD" w14:textId="77777777" w:rsidR="006D3E4A" w:rsidRPr="004351EB" w:rsidRDefault="006D3E4A" w:rsidP="004351EB">
            <w:pPr>
              <w:spacing w:before="20" w:after="20"/>
              <w:rPr>
                <w:rFonts w:cs="Arial"/>
                <w:sz w:val="18"/>
              </w:rPr>
            </w:pPr>
            <w:r w:rsidRPr="004351EB">
              <w:rPr>
                <w:rFonts w:cs="Arial"/>
                <w:sz w:val="18"/>
              </w:rPr>
              <w:t>None/ no response</w:t>
            </w:r>
          </w:p>
        </w:tc>
        <w:tc>
          <w:tcPr>
            <w:tcW w:w="1165" w:type="dxa"/>
          </w:tcPr>
          <w:p w14:paraId="660D5C71" w14:textId="77777777" w:rsidR="006D3E4A" w:rsidRPr="004351EB" w:rsidRDefault="006D3E4A" w:rsidP="004351EB">
            <w:pPr>
              <w:spacing w:before="20" w:after="20"/>
              <w:rPr>
                <w:rFonts w:cs="Arial"/>
                <w:sz w:val="18"/>
              </w:rPr>
            </w:pPr>
            <w:r w:rsidRPr="004351EB">
              <w:rPr>
                <w:rFonts w:cs="Arial"/>
                <w:sz w:val="18"/>
              </w:rPr>
              <w:t>8</w:t>
            </w:r>
          </w:p>
        </w:tc>
      </w:tr>
      <w:tr w:rsidR="006D3E4A" w:rsidRPr="004351EB" w14:paraId="690A3230" w14:textId="77777777" w:rsidTr="00C149EE">
        <w:tc>
          <w:tcPr>
            <w:tcW w:w="2678" w:type="dxa"/>
          </w:tcPr>
          <w:p w14:paraId="02563DCA" w14:textId="77777777" w:rsidR="006D3E4A" w:rsidRPr="004351EB" w:rsidRDefault="006D3E4A" w:rsidP="004351EB">
            <w:pPr>
              <w:spacing w:before="20" w:after="20"/>
              <w:rPr>
                <w:rFonts w:cs="Arial"/>
                <w:sz w:val="18"/>
              </w:rPr>
            </w:pPr>
            <w:r w:rsidRPr="004351EB">
              <w:rPr>
                <w:rFonts w:cs="Arial"/>
                <w:sz w:val="18"/>
              </w:rPr>
              <w:t>None/ no response</w:t>
            </w:r>
          </w:p>
        </w:tc>
        <w:tc>
          <w:tcPr>
            <w:tcW w:w="1094" w:type="dxa"/>
          </w:tcPr>
          <w:p w14:paraId="418D1798" w14:textId="77777777" w:rsidR="006D3E4A" w:rsidRPr="004351EB" w:rsidRDefault="006D3E4A" w:rsidP="004351EB">
            <w:pPr>
              <w:spacing w:before="20" w:after="20"/>
              <w:rPr>
                <w:rFonts w:cs="Arial"/>
                <w:sz w:val="18"/>
              </w:rPr>
            </w:pPr>
            <w:r w:rsidRPr="004351EB">
              <w:rPr>
                <w:rFonts w:cs="Arial"/>
                <w:sz w:val="18"/>
              </w:rPr>
              <w:t>4</w:t>
            </w:r>
          </w:p>
        </w:tc>
        <w:tc>
          <w:tcPr>
            <w:tcW w:w="382" w:type="dxa"/>
            <w:shd w:val="clear" w:color="auto" w:fill="auto"/>
          </w:tcPr>
          <w:p w14:paraId="5CCEF850" w14:textId="77777777" w:rsidR="006D3E4A" w:rsidRPr="004351EB" w:rsidRDefault="006D3E4A" w:rsidP="004351EB">
            <w:pPr>
              <w:spacing w:before="20" w:after="20"/>
              <w:rPr>
                <w:rFonts w:cs="Arial"/>
                <w:sz w:val="18"/>
              </w:rPr>
            </w:pPr>
          </w:p>
        </w:tc>
        <w:tc>
          <w:tcPr>
            <w:tcW w:w="2619" w:type="dxa"/>
          </w:tcPr>
          <w:p w14:paraId="0B18FA98" w14:textId="77777777" w:rsidR="006D3E4A" w:rsidRPr="004351EB" w:rsidRDefault="006D3E4A" w:rsidP="004351EB">
            <w:pPr>
              <w:spacing w:before="20" w:after="20"/>
              <w:rPr>
                <w:rFonts w:cs="Arial"/>
                <w:sz w:val="18"/>
              </w:rPr>
            </w:pPr>
          </w:p>
        </w:tc>
        <w:tc>
          <w:tcPr>
            <w:tcW w:w="1165" w:type="dxa"/>
          </w:tcPr>
          <w:p w14:paraId="5852516A" w14:textId="77777777" w:rsidR="006D3E4A" w:rsidRPr="004351EB" w:rsidRDefault="006D3E4A" w:rsidP="004351EB">
            <w:pPr>
              <w:spacing w:before="20" w:after="20"/>
              <w:rPr>
                <w:rFonts w:cs="Arial"/>
                <w:sz w:val="18"/>
              </w:rPr>
            </w:pPr>
          </w:p>
        </w:tc>
      </w:tr>
      <w:tr w:rsidR="006D3E4A" w:rsidRPr="004351EB" w14:paraId="5236F42A" w14:textId="77777777" w:rsidTr="00C149EE">
        <w:tc>
          <w:tcPr>
            <w:tcW w:w="2678" w:type="dxa"/>
          </w:tcPr>
          <w:p w14:paraId="47343DBE" w14:textId="77777777" w:rsidR="006D3E4A" w:rsidRPr="004351EB" w:rsidRDefault="006D3E4A" w:rsidP="004351EB">
            <w:pPr>
              <w:spacing w:before="20" w:after="20"/>
              <w:rPr>
                <w:rFonts w:cs="Arial"/>
                <w:sz w:val="18"/>
                <w:szCs w:val="16"/>
              </w:rPr>
            </w:pPr>
          </w:p>
        </w:tc>
        <w:tc>
          <w:tcPr>
            <w:tcW w:w="1094" w:type="dxa"/>
          </w:tcPr>
          <w:p w14:paraId="3A3187DA" w14:textId="77777777" w:rsidR="006D3E4A" w:rsidRPr="004351EB" w:rsidRDefault="006D3E4A" w:rsidP="004351EB">
            <w:pPr>
              <w:spacing w:before="20" w:after="20"/>
              <w:rPr>
                <w:rFonts w:cs="Arial"/>
                <w:sz w:val="18"/>
                <w:szCs w:val="16"/>
              </w:rPr>
            </w:pPr>
          </w:p>
        </w:tc>
        <w:tc>
          <w:tcPr>
            <w:tcW w:w="382" w:type="dxa"/>
            <w:shd w:val="clear" w:color="auto" w:fill="auto"/>
          </w:tcPr>
          <w:p w14:paraId="19358A44" w14:textId="77777777" w:rsidR="006D3E4A" w:rsidRPr="004351EB" w:rsidRDefault="006D3E4A" w:rsidP="004351EB">
            <w:pPr>
              <w:spacing w:before="20" w:after="20"/>
              <w:rPr>
                <w:rFonts w:cs="Arial"/>
                <w:sz w:val="18"/>
                <w:szCs w:val="16"/>
              </w:rPr>
            </w:pPr>
          </w:p>
        </w:tc>
        <w:tc>
          <w:tcPr>
            <w:tcW w:w="2619" w:type="dxa"/>
          </w:tcPr>
          <w:p w14:paraId="360624E7" w14:textId="77777777" w:rsidR="006D3E4A" w:rsidRPr="004351EB" w:rsidRDefault="006D3E4A" w:rsidP="004351EB">
            <w:pPr>
              <w:spacing w:before="20" w:after="20"/>
              <w:rPr>
                <w:rFonts w:cs="Arial"/>
                <w:sz w:val="18"/>
                <w:szCs w:val="16"/>
              </w:rPr>
            </w:pPr>
          </w:p>
        </w:tc>
        <w:tc>
          <w:tcPr>
            <w:tcW w:w="1165" w:type="dxa"/>
          </w:tcPr>
          <w:p w14:paraId="24C26F5C" w14:textId="77777777" w:rsidR="006D3E4A" w:rsidRPr="004351EB" w:rsidRDefault="006D3E4A" w:rsidP="004351EB">
            <w:pPr>
              <w:spacing w:before="20" w:after="20"/>
              <w:rPr>
                <w:rFonts w:cs="Arial"/>
                <w:sz w:val="18"/>
                <w:szCs w:val="16"/>
              </w:rPr>
            </w:pPr>
          </w:p>
        </w:tc>
      </w:tr>
      <w:tr w:rsidR="006D3E4A" w:rsidRPr="004351EB" w14:paraId="5490C210" w14:textId="77777777" w:rsidTr="00C149EE">
        <w:tc>
          <w:tcPr>
            <w:tcW w:w="3772" w:type="dxa"/>
            <w:gridSpan w:val="2"/>
            <w:shd w:val="clear" w:color="auto" w:fill="E2EFD9" w:themeFill="accent6" w:themeFillTint="33"/>
          </w:tcPr>
          <w:p w14:paraId="2141BDA3" w14:textId="77777777" w:rsidR="006D3E4A" w:rsidRPr="004351EB" w:rsidRDefault="006D3E4A" w:rsidP="00095C26">
            <w:pPr>
              <w:spacing w:before="20" w:after="20"/>
              <w:jc w:val="center"/>
              <w:rPr>
                <w:rFonts w:cs="Arial"/>
                <w:b/>
                <w:sz w:val="18"/>
              </w:rPr>
            </w:pPr>
            <w:r w:rsidRPr="004351EB">
              <w:rPr>
                <w:rFonts w:cs="Arial"/>
                <w:b/>
                <w:sz w:val="18"/>
              </w:rPr>
              <w:t xml:space="preserve">Trainers’ </w:t>
            </w:r>
            <w:r w:rsidR="00095C26">
              <w:rPr>
                <w:rFonts w:cs="Arial"/>
                <w:b/>
                <w:sz w:val="18"/>
              </w:rPr>
              <w:t>t</w:t>
            </w:r>
            <w:r w:rsidR="00095C26" w:rsidRPr="004351EB">
              <w:rPr>
                <w:rFonts w:cs="Arial"/>
                <w:b/>
                <w:sz w:val="18"/>
              </w:rPr>
              <w:t xml:space="preserve">eaching </w:t>
            </w:r>
            <w:r w:rsidR="00095C26">
              <w:rPr>
                <w:rFonts w:cs="Arial"/>
                <w:b/>
                <w:sz w:val="18"/>
              </w:rPr>
              <w:t>q</w:t>
            </w:r>
            <w:r w:rsidR="00095C26" w:rsidRPr="004351EB">
              <w:rPr>
                <w:rFonts w:cs="Arial"/>
                <w:b/>
                <w:sz w:val="18"/>
              </w:rPr>
              <w:t>ualification</w:t>
            </w:r>
          </w:p>
        </w:tc>
        <w:tc>
          <w:tcPr>
            <w:tcW w:w="382" w:type="dxa"/>
            <w:shd w:val="clear" w:color="auto" w:fill="auto"/>
          </w:tcPr>
          <w:p w14:paraId="7214C98A" w14:textId="77777777" w:rsidR="006D3E4A" w:rsidRPr="004351EB" w:rsidRDefault="006D3E4A" w:rsidP="004351EB">
            <w:pPr>
              <w:spacing w:before="20" w:after="20"/>
              <w:jc w:val="center"/>
              <w:rPr>
                <w:rFonts w:cs="Arial"/>
                <w:b/>
                <w:sz w:val="18"/>
              </w:rPr>
            </w:pPr>
          </w:p>
        </w:tc>
        <w:tc>
          <w:tcPr>
            <w:tcW w:w="3784" w:type="dxa"/>
            <w:gridSpan w:val="2"/>
            <w:shd w:val="clear" w:color="auto" w:fill="E2EFD9" w:themeFill="accent6" w:themeFillTint="33"/>
          </w:tcPr>
          <w:p w14:paraId="22849D3C" w14:textId="77777777" w:rsidR="006D3E4A" w:rsidRPr="004351EB" w:rsidRDefault="006D3E4A" w:rsidP="00095C26">
            <w:pPr>
              <w:spacing w:before="20" w:after="20"/>
              <w:jc w:val="center"/>
              <w:rPr>
                <w:rFonts w:cs="Arial"/>
                <w:b/>
                <w:sz w:val="18"/>
              </w:rPr>
            </w:pPr>
            <w:r w:rsidRPr="004351EB">
              <w:rPr>
                <w:rFonts w:cs="Arial"/>
                <w:b/>
                <w:sz w:val="18"/>
              </w:rPr>
              <w:t xml:space="preserve">Tutors’ </w:t>
            </w:r>
            <w:r w:rsidR="00095C26">
              <w:rPr>
                <w:rFonts w:cs="Arial"/>
                <w:b/>
                <w:sz w:val="18"/>
              </w:rPr>
              <w:t>t</w:t>
            </w:r>
            <w:r w:rsidR="00095C26" w:rsidRPr="004351EB">
              <w:rPr>
                <w:rFonts w:cs="Arial"/>
                <w:b/>
                <w:sz w:val="18"/>
              </w:rPr>
              <w:t xml:space="preserve">eaching </w:t>
            </w:r>
            <w:r w:rsidR="00095C26">
              <w:rPr>
                <w:rFonts w:cs="Arial"/>
                <w:b/>
                <w:sz w:val="18"/>
              </w:rPr>
              <w:t>q</w:t>
            </w:r>
            <w:r w:rsidR="00095C26" w:rsidRPr="004351EB">
              <w:rPr>
                <w:rFonts w:cs="Arial"/>
                <w:b/>
                <w:sz w:val="18"/>
              </w:rPr>
              <w:t>ualification</w:t>
            </w:r>
          </w:p>
        </w:tc>
      </w:tr>
      <w:tr w:rsidR="006D3E4A" w:rsidRPr="004351EB" w14:paraId="141A2926" w14:textId="77777777" w:rsidTr="00C149EE">
        <w:tc>
          <w:tcPr>
            <w:tcW w:w="2678" w:type="dxa"/>
          </w:tcPr>
          <w:p w14:paraId="5071D3A7" w14:textId="77777777" w:rsidR="006D3E4A" w:rsidRPr="004351EB" w:rsidRDefault="006D3E4A" w:rsidP="004351EB">
            <w:pPr>
              <w:spacing w:before="20" w:after="20"/>
              <w:rPr>
                <w:rFonts w:cs="Arial"/>
                <w:sz w:val="18"/>
              </w:rPr>
            </w:pPr>
            <w:r w:rsidRPr="004351EB">
              <w:rPr>
                <w:rFonts w:cs="Arial"/>
                <w:sz w:val="18"/>
              </w:rPr>
              <w:t>Has Cert IV TAE</w:t>
            </w:r>
            <w:r w:rsidR="00D71510" w:rsidRPr="00D71510">
              <w:rPr>
                <w:rFonts w:cs="Arial"/>
                <w:sz w:val="18"/>
              </w:rPr>
              <w:t>40110</w:t>
            </w:r>
          </w:p>
        </w:tc>
        <w:tc>
          <w:tcPr>
            <w:tcW w:w="1094" w:type="dxa"/>
          </w:tcPr>
          <w:p w14:paraId="39D18077" w14:textId="77777777" w:rsidR="006D3E4A" w:rsidRPr="004351EB" w:rsidRDefault="006D3E4A" w:rsidP="004351EB">
            <w:pPr>
              <w:spacing w:before="20" w:after="20"/>
              <w:rPr>
                <w:rFonts w:cs="Arial"/>
                <w:sz w:val="18"/>
              </w:rPr>
            </w:pPr>
            <w:r w:rsidRPr="004351EB">
              <w:rPr>
                <w:rFonts w:cs="Arial"/>
                <w:sz w:val="18"/>
              </w:rPr>
              <w:t>28</w:t>
            </w:r>
          </w:p>
        </w:tc>
        <w:tc>
          <w:tcPr>
            <w:tcW w:w="382" w:type="dxa"/>
            <w:shd w:val="clear" w:color="auto" w:fill="auto"/>
          </w:tcPr>
          <w:p w14:paraId="353A240E" w14:textId="77777777" w:rsidR="006D3E4A" w:rsidRPr="004351EB" w:rsidRDefault="006D3E4A" w:rsidP="004351EB">
            <w:pPr>
              <w:spacing w:before="20" w:after="20"/>
              <w:rPr>
                <w:rFonts w:cs="Arial"/>
                <w:sz w:val="18"/>
              </w:rPr>
            </w:pPr>
          </w:p>
        </w:tc>
        <w:tc>
          <w:tcPr>
            <w:tcW w:w="2619" w:type="dxa"/>
          </w:tcPr>
          <w:p w14:paraId="12860A3A" w14:textId="77777777" w:rsidR="006D3E4A" w:rsidRPr="004351EB" w:rsidRDefault="006D3E4A" w:rsidP="004351EB">
            <w:pPr>
              <w:spacing w:before="20" w:after="20"/>
              <w:rPr>
                <w:rFonts w:cs="Arial"/>
                <w:sz w:val="18"/>
              </w:rPr>
            </w:pPr>
            <w:r w:rsidRPr="004351EB">
              <w:rPr>
                <w:rFonts w:cs="Arial"/>
                <w:sz w:val="18"/>
              </w:rPr>
              <w:t>Has Cert IV TAE</w:t>
            </w:r>
            <w:r w:rsidR="00D71510" w:rsidRPr="00D71510">
              <w:rPr>
                <w:rFonts w:cs="Arial"/>
                <w:sz w:val="18"/>
              </w:rPr>
              <w:t>40110</w:t>
            </w:r>
          </w:p>
        </w:tc>
        <w:tc>
          <w:tcPr>
            <w:tcW w:w="1165" w:type="dxa"/>
          </w:tcPr>
          <w:p w14:paraId="3B42FE14" w14:textId="77777777" w:rsidR="006D3E4A" w:rsidRPr="004351EB" w:rsidRDefault="006D3E4A" w:rsidP="004351EB">
            <w:pPr>
              <w:spacing w:before="20" w:after="20"/>
              <w:rPr>
                <w:rFonts w:cs="Arial"/>
                <w:sz w:val="18"/>
              </w:rPr>
            </w:pPr>
            <w:r w:rsidRPr="004351EB">
              <w:rPr>
                <w:rFonts w:cs="Arial"/>
                <w:sz w:val="18"/>
              </w:rPr>
              <w:t>22</w:t>
            </w:r>
          </w:p>
        </w:tc>
      </w:tr>
      <w:tr w:rsidR="006D3E4A" w:rsidRPr="004351EB" w14:paraId="75899694" w14:textId="77777777" w:rsidTr="00C149EE">
        <w:tc>
          <w:tcPr>
            <w:tcW w:w="2678" w:type="dxa"/>
          </w:tcPr>
          <w:p w14:paraId="4AA94F27" w14:textId="77777777" w:rsidR="006D3E4A" w:rsidRPr="004351EB" w:rsidRDefault="006D3E4A" w:rsidP="004351EB">
            <w:pPr>
              <w:spacing w:before="20" w:after="20"/>
              <w:rPr>
                <w:rFonts w:cs="Arial"/>
                <w:sz w:val="18"/>
              </w:rPr>
            </w:pPr>
            <w:r w:rsidRPr="004351EB">
              <w:rPr>
                <w:rFonts w:cs="Arial"/>
                <w:sz w:val="18"/>
              </w:rPr>
              <w:t>No TAE</w:t>
            </w:r>
            <w:r w:rsidR="00D71510" w:rsidRPr="00D71510">
              <w:rPr>
                <w:rFonts w:cs="Arial"/>
                <w:sz w:val="18"/>
              </w:rPr>
              <w:t>40110</w:t>
            </w:r>
          </w:p>
        </w:tc>
        <w:tc>
          <w:tcPr>
            <w:tcW w:w="1094" w:type="dxa"/>
          </w:tcPr>
          <w:p w14:paraId="5C4E556C" w14:textId="77777777" w:rsidR="006D3E4A" w:rsidRPr="004351EB" w:rsidRDefault="006D3E4A" w:rsidP="004351EB">
            <w:pPr>
              <w:spacing w:before="20" w:after="20"/>
              <w:rPr>
                <w:rFonts w:cs="Arial"/>
                <w:sz w:val="18"/>
              </w:rPr>
            </w:pPr>
            <w:r w:rsidRPr="004351EB">
              <w:rPr>
                <w:rFonts w:cs="Arial"/>
                <w:sz w:val="18"/>
              </w:rPr>
              <w:t>0</w:t>
            </w:r>
          </w:p>
        </w:tc>
        <w:tc>
          <w:tcPr>
            <w:tcW w:w="382" w:type="dxa"/>
            <w:shd w:val="clear" w:color="auto" w:fill="auto"/>
          </w:tcPr>
          <w:p w14:paraId="442FEA4C" w14:textId="77777777" w:rsidR="006D3E4A" w:rsidRPr="004351EB" w:rsidRDefault="006D3E4A" w:rsidP="004351EB">
            <w:pPr>
              <w:spacing w:before="20" w:after="20"/>
              <w:rPr>
                <w:rFonts w:cs="Arial"/>
                <w:sz w:val="18"/>
              </w:rPr>
            </w:pPr>
          </w:p>
        </w:tc>
        <w:tc>
          <w:tcPr>
            <w:tcW w:w="2619" w:type="dxa"/>
          </w:tcPr>
          <w:p w14:paraId="7D3C4C2F" w14:textId="77777777" w:rsidR="006D3E4A" w:rsidRPr="004351EB" w:rsidRDefault="006D3E4A" w:rsidP="004351EB">
            <w:pPr>
              <w:spacing w:before="20" w:after="20"/>
              <w:rPr>
                <w:rFonts w:cs="Arial"/>
                <w:sz w:val="18"/>
              </w:rPr>
            </w:pPr>
            <w:r w:rsidRPr="004351EB">
              <w:rPr>
                <w:rFonts w:cs="Arial"/>
                <w:sz w:val="18"/>
              </w:rPr>
              <w:t>No TAE</w:t>
            </w:r>
            <w:r w:rsidR="00D71510" w:rsidRPr="00D71510">
              <w:rPr>
                <w:rFonts w:cs="Arial"/>
                <w:sz w:val="18"/>
              </w:rPr>
              <w:t>40110</w:t>
            </w:r>
          </w:p>
        </w:tc>
        <w:tc>
          <w:tcPr>
            <w:tcW w:w="1165" w:type="dxa"/>
          </w:tcPr>
          <w:p w14:paraId="0D439A78" w14:textId="77777777" w:rsidR="006D3E4A" w:rsidRPr="004351EB" w:rsidRDefault="006D3E4A" w:rsidP="004351EB">
            <w:pPr>
              <w:spacing w:before="20" w:after="20"/>
              <w:rPr>
                <w:rFonts w:cs="Arial"/>
                <w:sz w:val="18"/>
              </w:rPr>
            </w:pPr>
            <w:r w:rsidRPr="004351EB">
              <w:rPr>
                <w:rFonts w:cs="Arial"/>
                <w:sz w:val="18"/>
              </w:rPr>
              <w:t>6</w:t>
            </w:r>
          </w:p>
        </w:tc>
      </w:tr>
      <w:tr w:rsidR="006D3E4A" w:rsidRPr="004351EB" w14:paraId="19F4AFC6" w14:textId="77777777" w:rsidTr="00C149EE">
        <w:tc>
          <w:tcPr>
            <w:tcW w:w="2678" w:type="dxa"/>
          </w:tcPr>
          <w:p w14:paraId="3A629351" w14:textId="77777777" w:rsidR="006D3E4A" w:rsidRPr="004351EB" w:rsidRDefault="006D3E4A" w:rsidP="004351EB">
            <w:pPr>
              <w:spacing w:before="20" w:after="20"/>
              <w:rPr>
                <w:rFonts w:cs="Arial"/>
                <w:sz w:val="18"/>
              </w:rPr>
            </w:pPr>
            <w:r w:rsidRPr="004351EB">
              <w:rPr>
                <w:rFonts w:cs="Arial"/>
                <w:sz w:val="18"/>
              </w:rPr>
              <w:t>Studying TAE</w:t>
            </w:r>
            <w:r w:rsidR="00D71510" w:rsidRPr="00D71510">
              <w:rPr>
                <w:rFonts w:cs="Arial"/>
                <w:sz w:val="18"/>
              </w:rPr>
              <w:t>40110</w:t>
            </w:r>
          </w:p>
        </w:tc>
        <w:tc>
          <w:tcPr>
            <w:tcW w:w="1094" w:type="dxa"/>
          </w:tcPr>
          <w:p w14:paraId="72BA6576" w14:textId="77777777" w:rsidR="006D3E4A" w:rsidRPr="004351EB" w:rsidRDefault="006D3E4A" w:rsidP="004351EB">
            <w:pPr>
              <w:spacing w:before="20" w:after="20"/>
              <w:rPr>
                <w:rFonts w:cs="Arial"/>
                <w:sz w:val="18"/>
              </w:rPr>
            </w:pPr>
            <w:r w:rsidRPr="004351EB">
              <w:rPr>
                <w:rFonts w:cs="Arial"/>
                <w:sz w:val="18"/>
              </w:rPr>
              <w:t>0</w:t>
            </w:r>
          </w:p>
        </w:tc>
        <w:tc>
          <w:tcPr>
            <w:tcW w:w="382" w:type="dxa"/>
            <w:shd w:val="clear" w:color="auto" w:fill="auto"/>
          </w:tcPr>
          <w:p w14:paraId="73D3544E" w14:textId="77777777" w:rsidR="006D3E4A" w:rsidRPr="004351EB" w:rsidRDefault="006D3E4A" w:rsidP="004351EB">
            <w:pPr>
              <w:spacing w:before="20" w:after="20"/>
              <w:rPr>
                <w:rFonts w:cs="Arial"/>
                <w:sz w:val="18"/>
              </w:rPr>
            </w:pPr>
          </w:p>
        </w:tc>
        <w:tc>
          <w:tcPr>
            <w:tcW w:w="2619" w:type="dxa"/>
          </w:tcPr>
          <w:p w14:paraId="0D5618AB" w14:textId="77777777" w:rsidR="006D3E4A" w:rsidRPr="004351EB" w:rsidRDefault="006D3E4A" w:rsidP="004351EB">
            <w:pPr>
              <w:spacing w:before="20" w:after="20"/>
              <w:rPr>
                <w:rFonts w:cs="Arial"/>
                <w:sz w:val="18"/>
              </w:rPr>
            </w:pPr>
            <w:r w:rsidRPr="004351EB">
              <w:rPr>
                <w:rFonts w:cs="Arial"/>
                <w:sz w:val="18"/>
              </w:rPr>
              <w:t>Studying TAE</w:t>
            </w:r>
            <w:r w:rsidR="00D71510" w:rsidRPr="00D71510">
              <w:rPr>
                <w:rFonts w:cs="Arial"/>
                <w:sz w:val="18"/>
              </w:rPr>
              <w:t>40110</w:t>
            </w:r>
          </w:p>
        </w:tc>
        <w:tc>
          <w:tcPr>
            <w:tcW w:w="1165" w:type="dxa"/>
          </w:tcPr>
          <w:p w14:paraId="3AFD13FD" w14:textId="77777777" w:rsidR="006D3E4A" w:rsidRPr="004351EB" w:rsidRDefault="006D3E4A" w:rsidP="004351EB">
            <w:pPr>
              <w:spacing w:before="20" w:after="20"/>
              <w:rPr>
                <w:rFonts w:cs="Arial"/>
                <w:sz w:val="18"/>
              </w:rPr>
            </w:pPr>
            <w:r w:rsidRPr="004351EB">
              <w:rPr>
                <w:rFonts w:cs="Arial"/>
                <w:sz w:val="18"/>
              </w:rPr>
              <w:t>5</w:t>
            </w:r>
          </w:p>
        </w:tc>
      </w:tr>
      <w:tr w:rsidR="006D3E4A" w:rsidRPr="004351EB" w14:paraId="6BA1FF58" w14:textId="77777777" w:rsidTr="00C149EE">
        <w:tc>
          <w:tcPr>
            <w:tcW w:w="2678" w:type="dxa"/>
          </w:tcPr>
          <w:p w14:paraId="5B07F0C1" w14:textId="77777777" w:rsidR="006D3E4A" w:rsidRPr="004351EB" w:rsidRDefault="006D3E4A" w:rsidP="004351EB">
            <w:pPr>
              <w:spacing w:before="20" w:after="20"/>
              <w:rPr>
                <w:rFonts w:cs="Arial"/>
                <w:sz w:val="18"/>
              </w:rPr>
            </w:pPr>
            <w:r w:rsidRPr="004351EB">
              <w:rPr>
                <w:rFonts w:cs="Arial"/>
                <w:sz w:val="18"/>
              </w:rPr>
              <w:t>No Response</w:t>
            </w:r>
          </w:p>
        </w:tc>
        <w:tc>
          <w:tcPr>
            <w:tcW w:w="1094" w:type="dxa"/>
          </w:tcPr>
          <w:p w14:paraId="5AAC144C" w14:textId="77777777" w:rsidR="006D3E4A" w:rsidRPr="004351EB" w:rsidRDefault="006D3E4A" w:rsidP="004351EB">
            <w:pPr>
              <w:spacing w:before="20" w:after="20"/>
              <w:rPr>
                <w:rFonts w:cs="Arial"/>
                <w:sz w:val="18"/>
              </w:rPr>
            </w:pPr>
            <w:r w:rsidRPr="004351EB">
              <w:rPr>
                <w:rFonts w:cs="Arial"/>
                <w:sz w:val="18"/>
              </w:rPr>
              <w:t>1</w:t>
            </w:r>
          </w:p>
        </w:tc>
        <w:tc>
          <w:tcPr>
            <w:tcW w:w="382" w:type="dxa"/>
            <w:shd w:val="clear" w:color="auto" w:fill="auto"/>
          </w:tcPr>
          <w:p w14:paraId="16938EF0" w14:textId="77777777" w:rsidR="006D3E4A" w:rsidRPr="004351EB" w:rsidRDefault="006D3E4A" w:rsidP="004351EB">
            <w:pPr>
              <w:spacing w:before="20" w:after="20"/>
              <w:rPr>
                <w:rFonts w:cs="Arial"/>
                <w:sz w:val="18"/>
              </w:rPr>
            </w:pPr>
          </w:p>
        </w:tc>
        <w:tc>
          <w:tcPr>
            <w:tcW w:w="2619" w:type="dxa"/>
          </w:tcPr>
          <w:p w14:paraId="35DF532C" w14:textId="77777777" w:rsidR="006D3E4A" w:rsidRPr="004351EB" w:rsidRDefault="006D3E4A" w:rsidP="004351EB">
            <w:pPr>
              <w:spacing w:before="20" w:after="20"/>
              <w:rPr>
                <w:rFonts w:cs="Arial"/>
                <w:sz w:val="18"/>
              </w:rPr>
            </w:pPr>
            <w:r w:rsidRPr="004351EB">
              <w:rPr>
                <w:rFonts w:cs="Arial"/>
                <w:sz w:val="18"/>
              </w:rPr>
              <w:t>No response</w:t>
            </w:r>
          </w:p>
        </w:tc>
        <w:tc>
          <w:tcPr>
            <w:tcW w:w="1165" w:type="dxa"/>
          </w:tcPr>
          <w:p w14:paraId="53868B7C" w14:textId="77777777" w:rsidR="006D3E4A" w:rsidRPr="004351EB" w:rsidRDefault="006D3E4A" w:rsidP="004351EB">
            <w:pPr>
              <w:spacing w:before="20" w:after="20"/>
              <w:rPr>
                <w:rFonts w:cs="Arial"/>
                <w:sz w:val="18"/>
              </w:rPr>
            </w:pPr>
            <w:r w:rsidRPr="004351EB">
              <w:rPr>
                <w:rFonts w:cs="Arial"/>
                <w:sz w:val="18"/>
              </w:rPr>
              <w:t>1</w:t>
            </w:r>
          </w:p>
        </w:tc>
      </w:tr>
      <w:tr w:rsidR="006D3E4A" w:rsidRPr="004351EB" w14:paraId="475E6EC5" w14:textId="77777777" w:rsidTr="00C149EE">
        <w:tc>
          <w:tcPr>
            <w:tcW w:w="2678" w:type="dxa"/>
          </w:tcPr>
          <w:p w14:paraId="40CDB101" w14:textId="77777777" w:rsidR="006D3E4A" w:rsidRPr="004351EB" w:rsidRDefault="006D3E4A" w:rsidP="004351EB">
            <w:pPr>
              <w:spacing w:before="20" w:after="20"/>
              <w:rPr>
                <w:rFonts w:cs="Arial"/>
                <w:sz w:val="18"/>
                <w:szCs w:val="16"/>
              </w:rPr>
            </w:pPr>
          </w:p>
        </w:tc>
        <w:tc>
          <w:tcPr>
            <w:tcW w:w="1094" w:type="dxa"/>
          </w:tcPr>
          <w:p w14:paraId="2E0C4BB5" w14:textId="77777777" w:rsidR="006D3E4A" w:rsidRPr="004351EB" w:rsidRDefault="006D3E4A" w:rsidP="004351EB">
            <w:pPr>
              <w:spacing w:before="20" w:after="20"/>
              <w:rPr>
                <w:rFonts w:cs="Arial"/>
                <w:sz w:val="18"/>
                <w:szCs w:val="16"/>
              </w:rPr>
            </w:pPr>
          </w:p>
        </w:tc>
        <w:tc>
          <w:tcPr>
            <w:tcW w:w="382" w:type="dxa"/>
            <w:shd w:val="clear" w:color="auto" w:fill="auto"/>
          </w:tcPr>
          <w:p w14:paraId="28C11827" w14:textId="77777777" w:rsidR="006D3E4A" w:rsidRPr="004351EB" w:rsidRDefault="006D3E4A" w:rsidP="004351EB">
            <w:pPr>
              <w:spacing w:before="20" w:after="20"/>
              <w:rPr>
                <w:rFonts w:cs="Arial"/>
                <w:sz w:val="18"/>
                <w:szCs w:val="16"/>
              </w:rPr>
            </w:pPr>
          </w:p>
        </w:tc>
        <w:tc>
          <w:tcPr>
            <w:tcW w:w="2619" w:type="dxa"/>
          </w:tcPr>
          <w:p w14:paraId="12C848E4" w14:textId="77777777" w:rsidR="006D3E4A" w:rsidRPr="004351EB" w:rsidRDefault="006D3E4A" w:rsidP="004351EB">
            <w:pPr>
              <w:spacing w:before="20" w:after="20"/>
              <w:rPr>
                <w:rFonts w:cs="Arial"/>
                <w:sz w:val="18"/>
                <w:szCs w:val="16"/>
              </w:rPr>
            </w:pPr>
          </w:p>
        </w:tc>
        <w:tc>
          <w:tcPr>
            <w:tcW w:w="1165" w:type="dxa"/>
          </w:tcPr>
          <w:p w14:paraId="28A11990" w14:textId="77777777" w:rsidR="006D3E4A" w:rsidRPr="004351EB" w:rsidRDefault="006D3E4A" w:rsidP="004351EB">
            <w:pPr>
              <w:spacing w:before="20" w:after="20"/>
              <w:rPr>
                <w:rFonts w:cs="Arial"/>
                <w:sz w:val="18"/>
                <w:szCs w:val="16"/>
              </w:rPr>
            </w:pPr>
          </w:p>
        </w:tc>
      </w:tr>
      <w:tr w:rsidR="006D3E4A" w:rsidRPr="004351EB" w14:paraId="00BD3E2D" w14:textId="77777777" w:rsidTr="00C149EE">
        <w:tc>
          <w:tcPr>
            <w:tcW w:w="3772" w:type="dxa"/>
            <w:gridSpan w:val="2"/>
            <w:shd w:val="clear" w:color="auto" w:fill="E2EFD9" w:themeFill="accent6" w:themeFillTint="33"/>
          </w:tcPr>
          <w:p w14:paraId="0CCC6405" w14:textId="77777777" w:rsidR="006D3E4A" w:rsidRPr="004351EB" w:rsidRDefault="006D3E4A" w:rsidP="006447FA">
            <w:pPr>
              <w:spacing w:before="20" w:after="20"/>
              <w:jc w:val="center"/>
              <w:rPr>
                <w:rFonts w:cs="Arial"/>
                <w:b/>
                <w:sz w:val="18"/>
              </w:rPr>
            </w:pPr>
            <w:r w:rsidRPr="004351EB">
              <w:rPr>
                <w:rFonts w:cs="Arial"/>
                <w:b/>
                <w:sz w:val="18"/>
              </w:rPr>
              <w:t xml:space="preserve">Trainers </w:t>
            </w:r>
            <w:r w:rsidR="006447FA">
              <w:rPr>
                <w:rFonts w:cs="Arial"/>
                <w:b/>
                <w:sz w:val="18"/>
              </w:rPr>
              <w:t>p</w:t>
            </w:r>
            <w:r w:rsidR="006447FA" w:rsidRPr="004351EB">
              <w:rPr>
                <w:rFonts w:cs="Arial"/>
                <w:b/>
                <w:sz w:val="18"/>
              </w:rPr>
              <w:t xml:space="preserve">articipating </w:t>
            </w:r>
            <w:r w:rsidRPr="004351EB">
              <w:rPr>
                <w:rFonts w:cs="Arial"/>
                <w:b/>
                <w:sz w:val="18"/>
              </w:rPr>
              <w:t xml:space="preserve">in a </w:t>
            </w:r>
            <w:r w:rsidR="006447FA">
              <w:rPr>
                <w:rFonts w:cs="Arial"/>
                <w:b/>
                <w:sz w:val="18"/>
              </w:rPr>
              <w:t>q</w:t>
            </w:r>
            <w:r w:rsidR="006447FA" w:rsidRPr="004351EB">
              <w:rPr>
                <w:rFonts w:cs="Arial"/>
                <w:b/>
                <w:sz w:val="18"/>
              </w:rPr>
              <w:t xml:space="preserve">uality </w:t>
            </w:r>
            <w:r w:rsidR="006447FA">
              <w:rPr>
                <w:rFonts w:cs="Arial"/>
                <w:b/>
                <w:sz w:val="18"/>
              </w:rPr>
              <w:t>a</w:t>
            </w:r>
            <w:r w:rsidR="006447FA" w:rsidRPr="004351EB">
              <w:rPr>
                <w:rFonts w:cs="Arial"/>
                <w:b/>
                <w:sz w:val="18"/>
              </w:rPr>
              <w:t>udit</w:t>
            </w:r>
          </w:p>
        </w:tc>
        <w:tc>
          <w:tcPr>
            <w:tcW w:w="382" w:type="dxa"/>
            <w:shd w:val="clear" w:color="auto" w:fill="auto"/>
          </w:tcPr>
          <w:p w14:paraId="1825CF3D" w14:textId="77777777" w:rsidR="006D3E4A" w:rsidRPr="004351EB" w:rsidRDefault="006D3E4A" w:rsidP="004351EB">
            <w:pPr>
              <w:spacing w:before="20" w:after="20"/>
              <w:jc w:val="center"/>
              <w:rPr>
                <w:rFonts w:cs="Arial"/>
                <w:b/>
                <w:sz w:val="18"/>
              </w:rPr>
            </w:pPr>
          </w:p>
        </w:tc>
        <w:tc>
          <w:tcPr>
            <w:tcW w:w="3784" w:type="dxa"/>
            <w:gridSpan w:val="2"/>
            <w:shd w:val="clear" w:color="auto" w:fill="E2EFD9" w:themeFill="accent6" w:themeFillTint="33"/>
          </w:tcPr>
          <w:p w14:paraId="7D8C0C35" w14:textId="77777777" w:rsidR="006D3E4A" w:rsidRPr="004351EB" w:rsidRDefault="006D3E4A" w:rsidP="006447FA">
            <w:pPr>
              <w:spacing w:before="20" w:after="20"/>
              <w:jc w:val="center"/>
              <w:rPr>
                <w:rFonts w:cs="Arial"/>
                <w:b/>
                <w:sz w:val="18"/>
              </w:rPr>
            </w:pPr>
            <w:r w:rsidRPr="004351EB">
              <w:rPr>
                <w:rFonts w:cs="Arial"/>
                <w:b/>
                <w:sz w:val="18"/>
              </w:rPr>
              <w:t xml:space="preserve">Tutors </w:t>
            </w:r>
            <w:r w:rsidR="006447FA">
              <w:rPr>
                <w:rFonts w:cs="Arial"/>
                <w:b/>
                <w:sz w:val="18"/>
              </w:rPr>
              <w:t>p</w:t>
            </w:r>
            <w:r w:rsidR="006447FA" w:rsidRPr="004351EB">
              <w:rPr>
                <w:rFonts w:cs="Arial"/>
                <w:b/>
                <w:sz w:val="18"/>
              </w:rPr>
              <w:t xml:space="preserve">articipating </w:t>
            </w:r>
            <w:r w:rsidRPr="004351EB">
              <w:rPr>
                <w:rFonts w:cs="Arial"/>
                <w:b/>
                <w:sz w:val="18"/>
              </w:rPr>
              <w:t xml:space="preserve">in a </w:t>
            </w:r>
            <w:r w:rsidR="006447FA">
              <w:rPr>
                <w:rFonts w:cs="Arial"/>
                <w:b/>
                <w:sz w:val="18"/>
              </w:rPr>
              <w:t>q</w:t>
            </w:r>
            <w:r w:rsidR="006447FA" w:rsidRPr="004351EB">
              <w:rPr>
                <w:rFonts w:cs="Arial"/>
                <w:b/>
                <w:sz w:val="18"/>
              </w:rPr>
              <w:t xml:space="preserve">uality </w:t>
            </w:r>
            <w:r w:rsidR="006447FA">
              <w:rPr>
                <w:rFonts w:cs="Arial"/>
                <w:b/>
                <w:sz w:val="18"/>
              </w:rPr>
              <w:t>a</w:t>
            </w:r>
            <w:r w:rsidR="006447FA" w:rsidRPr="004351EB">
              <w:rPr>
                <w:rFonts w:cs="Arial"/>
                <w:b/>
                <w:sz w:val="18"/>
              </w:rPr>
              <w:t>udit</w:t>
            </w:r>
          </w:p>
        </w:tc>
      </w:tr>
      <w:tr w:rsidR="006D3E4A" w:rsidRPr="004351EB" w14:paraId="36CD0B4C" w14:textId="77777777" w:rsidTr="00C149EE">
        <w:tc>
          <w:tcPr>
            <w:tcW w:w="2678" w:type="dxa"/>
          </w:tcPr>
          <w:p w14:paraId="7706EDA1" w14:textId="77777777" w:rsidR="006D3E4A" w:rsidRPr="004351EB" w:rsidRDefault="006D3E4A" w:rsidP="004351EB">
            <w:pPr>
              <w:spacing w:before="20" w:after="20"/>
              <w:rPr>
                <w:rFonts w:cs="Arial"/>
                <w:sz w:val="18"/>
              </w:rPr>
            </w:pPr>
            <w:r w:rsidRPr="004351EB">
              <w:rPr>
                <w:rFonts w:cs="Arial"/>
                <w:sz w:val="18"/>
              </w:rPr>
              <w:t>Yes</w:t>
            </w:r>
          </w:p>
        </w:tc>
        <w:tc>
          <w:tcPr>
            <w:tcW w:w="1094" w:type="dxa"/>
          </w:tcPr>
          <w:p w14:paraId="5FD73CE9" w14:textId="77777777" w:rsidR="006D3E4A" w:rsidRPr="004351EB" w:rsidRDefault="006D3E4A" w:rsidP="004351EB">
            <w:pPr>
              <w:spacing w:before="20" w:after="20"/>
              <w:rPr>
                <w:rFonts w:cs="Arial"/>
                <w:sz w:val="18"/>
              </w:rPr>
            </w:pPr>
            <w:r w:rsidRPr="004351EB">
              <w:rPr>
                <w:rFonts w:cs="Arial"/>
                <w:sz w:val="18"/>
              </w:rPr>
              <w:t>20</w:t>
            </w:r>
          </w:p>
        </w:tc>
        <w:tc>
          <w:tcPr>
            <w:tcW w:w="382" w:type="dxa"/>
            <w:shd w:val="clear" w:color="auto" w:fill="auto"/>
          </w:tcPr>
          <w:p w14:paraId="5F48B2F3" w14:textId="77777777" w:rsidR="006D3E4A" w:rsidRPr="004351EB" w:rsidRDefault="006D3E4A" w:rsidP="004351EB">
            <w:pPr>
              <w:spacing w:before="20" w:after="20"/>
              <w:rPr>
                <w:rFonts w:cs="Arial"/>
                <w:sz w:val="18"/>
              </w:rPr>
            </w:pPr>
          </w:p>
        </w:tc>
        <w:tc>
          <w:tcPr>
            <w:tcW w:w="2619" w:type="dxa"/>
          </w:tcPr>
          <w:p w14:paraId="0305FB3C" w14:textId="77777777" w:rsidR="006D3E4A" w:rsidRPr="004351EB" w:rsidRDefault="006D3E4A" w:rsidP="004351EB">
            <w:pPr>
              <w:spacing w:before="20" w:after="20"/>
              <w:rPr>
                <w:rFonts w:cs="Arial"/>
                <w:sz w:val="18"/>
              </w:rPr>
            </w:pPr>
            <w:r w:rsidRPr="004351EB">
              <w:rPr>
                <w:rFonts w:cs="Arial"/>
                <w:sz w:val="18"/>
              </w:rPr>
              <w:t>Yes</w:t>
            </w:r>
          </w:p>
        </w:tc>
        <w:tc>
          <w:tcPr>
            <w:tcW w:w="1165" w:type="dxa"/>
          </w:tcPr>
          <w:p w14:paraId="1783CFF1" w14:textId="77777777" w:rsidR="006D3E4A" w:rsidRPr="004351EB" w:rsidRDefault="006D3E4A" w:rsidP="004351EB">
            <w:pPr>
              <w:spacing w:before="20" w:after="20"/>
              <w:rPr>
                <w:rFonts w:cs="Arial"/>
                <w:sz w:val="18"/>
              </w:rPr>
            </w:pPr>
            <w:r w:rsidRPr="004351EB">
              <w:rPr>
                <w:rFonts w:cs="Arial"/>
                <w:sz w:val="18"/>
              </w:rPr>
              <w:t>14</w:t>
            </w:r>
          </w:p>
        </w:tc>
      </w:tr>
      <w:tr w:rsidR="006D3E4A" w:rsidRPr="004351EB" w14:paraId="3D8C7878" w14:textId="77777777" w:rsidTr="00C149EE">
        <w:tc>
          <w:tcPr>
            <w:tcW w:w="2678" w:type="dxa"/>
          </w:tcPr>
          <w:p w14:paraId="73373CAC" w14:textId="77777777" w:rsidR="006D3E4A" w:rsidRPr="004351EB" w:rsidRDefault="006D3E4A" w:rsidP="004351EB">
            <w:pPr>
              <w:spacing w:before="20" w:after="20"/>
              <w:rPr>
                <w:rFonts w:cs="Arial"/>
                <w:sz w:val="18"/>
              </w:rPr>
            </w:pPr>
            <w:r w:rsidRPr="004351EB">
              <w:rPr>
                <w:rFonts w:cs="Arial"/>
                <w:sz w:val="18"/>
              </w:rPr>
              <w:t>No</w:t>
            </w:r>
          </w:p>
        </w:tc>
        <w:tc>
          <w:tcPr>
            <w:tcW w:w="1094" w:type="dxa"/>
          </w:tcPr>
          <w:p w14:paraId="291F7910" w14:textId="77777777" w:rsidR="006D3E4A" w:rsidRPr="004351EB" w:rsidRDefault="006D3E4A" w:rsidP="004351EB">
            <w:pPr>
              <w:spacing w:before="20" w:after="20"/>
              <w:rPr>
                <w:rFonts w:cs="Arial"/>
                <w:sz w:val="18"/>
              </w:rPr>
            </w:pPr>
            <w:r w:rsidRPr="004351EB">
              <w:rPr>
                <w:rFonts w:cs="Arial"/>
                <w:sz w:val="18"/>
              </w:rPr>
              <w:t>6</w:t>
            </w:r>
          </w:p>
        </w:tc>
        <w:tc>
          <w:tcPr>
            <w:tcW w:w="382" w:type="dxa"/>
            <w:shd w:val="clear" w:color="auto" w:fill="auto"/>
          </w:tcPr>
          <w:p w14:paraId="377427EA" w14:textId="77777777" w:rsidR="006D3E4A" w:rsidRPr="004351EB" w:rsidRDefault="006D3E4A" w:rsidP="004351EB">
            <w:pPr>
              <w:spacing w:before="20" w:after="20"/>
              <w:rPr>
                <w:rFonts w:cs="Arial"/>
                <w:sz w:val="18"/>
              </w:rPr>
            </w:pPr>
          </w:p>
        </w:tc>
        <w:tc>
          <w:tcPr>
            <w:tcW w:w="2619" w:type="dxa"/>
          </w:tcPr>
          <w:p w14:paraId="7E2C1252" w14:textId="77777777" w:rsidR="006D3E4A" w:rsidRPr="004351EB" w:rsidRDefault="006D3E4A" w:rsidP="004351EB">
            <w:pPr>
              <w:spacing w:before="20" w:after="20"/>
              <w:rPr>
                <w:rFonts w:cs="Arial"/>
                <w:sz w:val="18"/>
              </w:rPr>
            </w:pPr>
            <w:r w:rsidRPr="004351EB">
              <w:rPr>
                <w:rFonts w:cs="Arial"/>
                <w:sz w:val="18"/>
              </w:rPr>
              <w:t>No</w:t>
            </w:r>
          </w:p>
        </w:tc>
        <w:tc>
          <w:tcPr>
            <w:tcW w:w="1165" w:type="dxa"/>
          </w:tcPr>
          <w:p w14:paraId="7BC7DD94" w14:textId="77777777" w:rsidR="006D3E4A" w:rsidRPr="004351EB" w:rsidRDefault="006D3E4A" w:rsidP="004351EB">
            <w:pPr>
              <w:spacing w:before="20" w:after="20"/>
              <w:rPr>
                <w:rFonts w:cs="Arial"/>
                <w:sz w:val="18"/>
              </w:rPr>
            </w:pPr>
            <w:r w:rsidRPr="004351EB">
              <w:rPr>
                <w:rFonts w:cs="Arial"/>
                <w:sz w:val="18"/>
              </w:rPr>
              <w:t>11</w:t>
            </w:r>
          </w:p>
        </w:tc>
      </w:tr>
      <w:tr w:rsidR="006D3E4A" w:rsidRPr="004351EB" w14:paraId="24116C76" w14:textId="77777777" w:rsidTr="00C149EE">
        <w:tc>
          <w:tcPr>
            <w:tcW w:w="2678" w:type="dxa"/>
          </w:tcPr>
          <w:p w14:paraId="50F65741" w14:textId="77777777" w:rsidR="006D3E4A" w:rsidRPr="004351EB" w:rsidRDefault="006D3E4A" w:rsidP="004351EB">
            <w:pPr>
              <w:spacing w:before="20" w:after="20"/>
              <w:rPr>
                <w:rFonts w:cs="Arial"/>
                <w:sz w:val="18"/>
              </w:rPr>
            </w:pPr>
            <w:r w:rsidRPr="004351EB">
              <w:rPr>
                <w:rFonts w:cs="Arial"/>
                <w:sz w:val="18"/>
              </w:rPr>
              <w:t>No response</w:t>
            </w:r>
          </w:p>
        </w:tc>
        <w:tc>
          <w:tcPr>
            <w:tcW w:w="1094" w:type="dxa"/>
          </w:tcPr>
          <w:p w14:paraId="157E3348" w14:textId="77777777" w:rsidR="006D3E4A" w:rsidRPr="004351EB" w:rsidRDefault="006D3E4A" w:rsidP="004351EB">
            <w:pPr>
              <w:spacing w:before="20" w:after="20"/>
              <w:rPr>
                <w:rFonts w:cs="Arial"/>
                <w:sz w:val="18"/>
              </w:rPr>
            </w:pPr>
            <w:r w:rsidRPr="004351EB">
              <w:rPr>
                <w:rFonts w:cs="Arial"/>
                <w:sz w:val="18"/>
              </w:rPr>
              <w:t>3</w:t>
            </w:r>
          </w:p>
        </w:tc>
        <w:tc>
          <w:tcPr>
            <w:tcW w:w="382" w:type="dxa"/>
            <w:shd w:val="clear" w:color="auto" w:fill="auto"/>
          </w:tcPr>
          <w:p w14:paraId="2581FC64" w14:textId="77777777" w:rsidR="006D3E4A" w:rsidRPr="004351EB" w:rsidRDefault="006D3E4A" w:rsidP="004351EB">
            <w:pPr>
              <w:spacing w:before="20" w:after="20"/>
              <w:rPr>
                <w:rFonts w:cs="Arial"/>
                <w:sz w:val="18"/>
              </w:rPr>
            </w:pPr>
          </w:p>
        </w:tc>
        <w:tc>
          <w:tcPr>
            <w:tcW w:w="2619" w:type="dxa"/>
          </w:tcPr>
          <w:p w14:paraId="06BC5AC1" w14:textId="77777777" w:rsidR="006D3E4A" w:rsidRPr="004351EB" w:rsidRDefault="006D3E4A" w:rsidP="004351EB">
            <w:pPr>
              <w:spacing w:before="20" w:after="20"/>
              <w:rPr>
                <w:rFonts w:cs="Arial"/>
                <w:sz w:val="18"/>
              </w:rPr>
            </w:pPr>
            <w:r w:rsidRPr="004351EB">
              <w:rPr>
                <w:rFonts w:cs="Arial"/>
                <w:sz w:val="18"/>
              </w:rPr>
              <w:t>No response</w:t>
            </w:r>
          </w:p>
        </w:tc>
        <w:tc>
          <w:tcPr>
            <w:tcW w:w="1165" w:type="dxa"/>
          </w:tcPr>
          <w:p w14:paraId="02F24A1A" w14:textId="77777777" w:rsidR="006D3E4A" w:rsidRPr="004351EB" w:rsidRDefault="006D3E4A" w:rsidP="004351EB">
            <w:pPr>
              <w:spacing w:before="20" w:after="20"/>
              <w:rPr>
                <w:rFonts w:cs="Arial"/>
                <w:sz w:val="18"/>
              </w:rPr>
            </w:pPr>
            <w:r w:rsidRPr="004351EB">
              <w:rPr>
                <w:rFonts w:cs="Arial"/>
                <w:sz w:val="18"/>
              </w:rPr>
              <w:t>3</w:t>
            </w:r>
          </w:p>
        </w:tc>
      </w:tr>
      <w:tr w:rsidR="006D3E4A" w:rsidRPr="004351EB" w14:paraId="7A4131C3" w14:textId="77777777" w:rsidTr="00C149EE">
        <w:tc>
          <w:tcPr>
            <w:tcW w:w="2678" w:type="dxa"/>
          </w:tcPr>
          <w:p w14:paraId="4B7ABA5E" w14:textId="77777777" w:rsidR="006D3E4A" w:rsidRPr="004351EB" w:rsidRDefault="006D3E4A" w:rsidP="004351EB">
            <w:pPr>
              <w:spacing w:before="20" w:after="20"/>
              <w:rPr>
                <w:rFonts w:cs="Arial"/>
                <w:sz w:val="18"/>
                <w:szCs w:val="16"/>
              </w:rPr>
            </w:pPr>
          </w:p>
        </w:tc>
        <w:tc>
          <w:tcPr>
            <w:tcW w:w="1094" w:type="dxa"/>
          </w:tcPr>
          <w:p w14:paraId="3E4C8E47" w14:textId="77777777" w:rsidR="006D3E4A" w:rsidRPr="004351EB" w:rsidRDefault="006D3E4A" w:rsidP="004351EB">
            <w:pPr>
              <w:spacing w:before="20" w:after="20"/>
              <w:rPr>
                <w:rFonts w:cs="Arial"/>
                <w:sz w:val="18"/>
                <w:szCs w:val="16"/>
              </w:rPr>
            </w:pPr>
          </w:p>
        </w:tc>
        <w:tc>
          <w:tcPr>
            <w:tcW w:w="382" w:type="dxa"/>
            <w:shd w:val="clear" w:color="auto" w:fill="auto"/>
          </w:tcPr>
          <w:p w14:paraId="19FB0360" w14:textId="77777777" w:rsidR="006D3E4A" w:rsidRPr="004351EB" w:rsidRDefault="006D3E4A" w:rsidP="004351EB">
            <w:pPr>
              <w:spacing w:before="20" w:after="20"/>
              <w:rPr>
                <w:rFonts w:cs="Arial"/>
                <w:sz w:val="18"/>
                <w:szCs w:val="16"/>
              </w:rPr>
            </w:pPr>
          </w:p>
        </w:tc>
        <w:tc>
          <w:tcPr>
            <w:tcW w:w="2619" w:type="dxa"/>
          </w:tcPr>
          <w:p w14:paraId="4DBD3B96" w14:textId="77777777" w:rsidR="006D3E4A" w:rsidRPr="004351EB" w:rsidRDefault="006D3E4A" w:rsidP="004351EB">
            <w:pPr>
              <w:spacing w:before="20" w:after="20"/>
              <w:rPr>
                <w:rFonts w:cs="Arial"/>
                <w:sz w:val="18"/>
                <w:szCs w:val="16"/>
              </w:rPr>
            </w:pPr>
          </w:p>
        </w:tc>
        <w:tc>
          <w:tcPr>
            <w:tcW w:w="1165" w:type="dxa"/>
          </w:tcPr>
          <w:p w14:paraId="6FA3CECB" w14:textId="77777777" w:rsidR="006D3E4A" w:rsidRPr="004351EB" w:rsidRDefault="006D3E4A" w:rsidP="004351EB">
            <w:pPr>
              <w:spacing w:before="20" w:after="20"/>
              <w:rPr>
                <w:rFonts w:cs="Arial"/>
                <w:sz w:val="18"/>
                <w:szCs w:val="16"/>
              </w:rPr>
            </w:pPr>
          </w:p>
        </w:tc>
      </w:tr>
    </w:tbl>
    <w:p w14:paraId="28247046" w14:textId="77777777" w:rsidR="00941AAE" w:rsidRDefault="00941AAE">
      <w:r>
        <w:br w:type="page"/>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1094"/>
        <w:gridCol w:w="382"/>
        <w:gridCol w:w="2619"/>
        <w:gridCol w:w="1165"/>
      </w:tblGrid>
      <w:tr w:rsidR="00941AAE" w:rsidRPr="004351EB" w14:paraId="55087FF6" w14:textId="77777777" w:rsidTr="00C149EE">
        <w:tc>
          <w:tcPr>
            <w:tcW w:w="2678" w:type="dxa"/>
          </w:tcPr>
          <w:p w14:paraId="144F570F" w14:textId="4221DCE7" w:rsidR="00941AAE" w:rsidRPr="004351EB" w:rsidRDefault="00941AAE" w:rsidP="004351EB">
            <w:pPr>
              <w:spacing w:before="20" w:after="20"/>
              <w:rPr>
                <w:rFonts w:cs="Arial"/>
                <w:sz w:val="18"/>
                <w:szCs w:val="16"/>
              </w:rPr>
            </w:pPr>
          </w:p>
        </w:tc>
        <w:tc>
          <w:tcPr>
            <w:tcW w:w="1094" w:type="dxa"/>
          </w:tcPr>
          <w:p w14:paraId="42CB8C0D" w14:textId="77777777" w:rsidR="00941AAE" w:rsidRPr="004351EB" w:rsidRDefault="00941AAE" w:rsidP="004351EB">
            <w:pPr>
              <w:spacing w:before="20" w:after="20"/>
              <w:rPr>
                <w:rFonts w:cs="Arial"/>
                <w:sz w:val="18"/>
                <w:szCs w:val="16"/>
              </w:rPr>
            </w:pPr>
          </w:p>
        </w:tc>
        <w:tc>
          <w:tcPr>
            <w:tcW w:w="382" w:type="dxa"/>
            <w:shd w:val="clear" w:color="auto" w:fill="auto"/>
          </w:tcPr>
          <w:p w14:paraId="15C8B201" w14:textId="77777777" w:rsidR="00941AAE" w:rsidRPr="004351EB" w:rsidRDefault="00941AAE" w:rsidP="004351EB">
            <w:pPr>
              <w:spacing w:before="20" w:after="20"/>
              <w:rPr>
                <w:rFonts w:cs="Arial"/>
                <w:sz w:val="18"/>
                <w:szCs w:val="16"/>
              </w:rPr>
            </w:pPr>
          </w:p>
        </w:tc>
        <w:tc>
          <w:tcPr>
            <w:tcW w:w="2619" w:type="dxa"/>
          </w:tcPr>
          <w:p w14:paraId="4F619DB0" w14:textId="77777777" w:rsidR="00941AAE" w:rsidRPr="004351EB" w:rsidRDefault="00941AAE" w:rsidP="004351EB">
            <w:pPr>
              <w:spacing w:before="20" w:after="20"/>
              <w:rPr>
                <w:rFonts w:cs="Arial"/>
                <w:sz w:val="18"/>
                <w:szCs w:val="16"/>
              </w:rPr>
            </w:pPr>
          </w:p>
        </w:tc>
        <w:tc>
          <w:tcPr>
            <w:tcW w:w="1165" w:type="dxa"/>
          </w:tcPr>
          <w:p w14:paraId="6EEB5428" w14:textId="77777777" w:rsidR="00941AAE" w:rsidRPr="004351EB" w:rsidRDefault="00941AAE" w:rsidP="004351EB">
            <w:pPr>
              <w:spacing w:before="20" w:after="20"/>
              <w:rPr>
                <w:rFonts w:cs="Arial"/>
                <w:sz w:val="18"/>
                <w:szCs w:val="16"/>
              </w:rPr>
            </w:pPr>
          </w:p>
        </w:tc>
      </w:tr>
      <w:tr w:rsidR="006D3E4A" w:rsidRPr="004351EB" w14:paraId="0AE0ED7A" w14:textId="77777777" w:rsidTr="00C149EE">
        <w:tc>
          <w:tcPr>
            <w:tcW w:w="3772" w:type="dxa"/>
            <w:gridSpan w:val="2"/>
            <w:shd w:val="clear" w:color="auto" w:fill="E2EFD9" w:themeFill="accent6" w:themeFillTint="33"/>
          </w:tcPr>
          <w:p w14:paraId="321EF4F6" w14:textId="77777777" w:rsidR="006D3E4A" w:rsidRPr="004351EB" w:rsidRDefault="006D3E4A" w:rsidP="003141D1">
            <w:pPr>
              <w:spacing w:before="20" w:after="20"/>
              <w:jc w:val="center"/>
              <w:rPr>
                <w:rFonts w:cs="Arial"/>
                <w:b/>
                <w:sz w:val="18"/>
              </w:rPr>
            </w:pPr>
            <w:r w:rsidRPr="004351EB">
              <w:rPr>
                <w:rFonts w:cs="Arial"/>
                <w:b/>
                <w:sz w:val="18"/>
              </w:rPr>
              <w:t xml:space="preserve">Trainers’ </w:t>
            </w:r>
            <w:r w:rsidR="003141D1">
              <w:rPr>
                <w:rFonts w:cs="Arial"/>
                <w:b/>
                <w:sz w:val="18"/>
              </w:rPr>
              <w:t>d</w:t>
            </w:r>
            <w:r w:rsidR="003141D1" w:rsidRPr="004351EB">
              <w:rPr>
                <w:rFonts w:cs="Arial"/>
                <w:b/>
                <w:sz w:val="18"/>
              </w:rPr>
              <w:t xml:space="preserve">iscussion </w:t>
            </w:r>
            <w:r w:rsidRPr="004351EB">
              <w:rPr>
                <w:rFonts w:cs="Arial"/>
                <w:b/>
                <w:sz w:val="18"/>
              </w:rPr>
              <w:t xml:space="preserve">of </w:t>
            </w:r>
            <w:r w:rsidR="003141D1">
              <w:rPr>
                <w:rFonts w:cs="Arial"/>
                <w:b/>
                <w:sz w:val="18"/>
              </w:rPr>
              <w:t>i</w:t>
            </w:r>
            <w:r w:rsidR="003141D1" w:rsidRPr="004351EB">
              <w:rPr>
                <w:rFonts w:cs="Arial"/>
                <w:b/>
                <w:sz w:val="18"/>
              </w:rPr>
              <w:t xml:space="preserve">ssues </w:t>
            </w:r>
            <w:r w:rsidRPr="004351EB">
              <w:rPr>
                <w:rFonts w:cs="Arial"/>
                <w:b/>
                <w:sz w:val="18"/>
              </w:rPr>
              <w:t xml:space="preserve">with </w:t>
            </w:r>
            <w:r w:rsidR="003141D1">
              <w:rPr>
                <w:rFonts w:cs="Arial"/>
                <w:b/>
                <w:sz w:val="18"/>
              </w:rPr>
              <w:t>s</w:t>
            </w:r>
            <w:r w:rsidR="003141D1" w:rsidRPr="004351EB">
              <w:rPr>
                <w:rFonts w:cs="Arial"/>
                <w:b/>
                <w:sz w:val="18"/>
              </w:rPr>
              <w:t>upervisor</w:t>
            </w:r>
          </w:p>
        </w:tc>
        <w:tc>
          <w:tcPr>
            <w:tcW w:w="382" w:type="dxa"/>
            <w:shd w:val="clear" w:color="auto" w:fill="auto"/>
          </w:tcPr>
          <w:p w14:paraId="68A8433A" w14:textId="77777777" w:rsidR="006D3E4A" w:rsidRPr="004351EB" w:rsidRDefault="006D3E4A" w:rsidP="004351EB">
            <w:pPr>
              <w:spacing w:before="20" w:after="20"/>
              <w:jc w:val="center"/>
              <w:rPr>
                <w:rFonts w:cs="Arial"/>
                <w:b/>
                <w:sz w:val="18"/>
              </w:rPr>
            </w:pPr>
          </w:p>
        </w:tc>
        <w:tc>
          <w:tcPr>
            <w:tcW w:w="3784" w:type="dxa"/>
            <w:gridSpan w:val="2"/>
            <w:shd w:val="clear" w:color="auto" w:fill="E2EFD9" w:themeFill="accent6" w:themeFillTint="33"/>
          </w:tcPr>
          <w:p w14:paraId="1A27FB50" w14:textId="77777777" w:rsidR="006D3E4A" w:rsidRPr="004351EB" w:rsidRDefault="006D3E4A" w:rsidP="003141D1">
            <w:pPr>
              <w:spacing w:before="20" w:after="20"/>
              <w:jc w:val="center"/>
              <w:rPr>
                <w:rFonts w:cs="Arial"/>
                <w:b/>
                <w:sz w:val="18"/>
              </w:rPr>
            </w:pPr>
            <w:r w:rsidRPr="004351EB">
              <w:rPr>
                <w:rFonts w:cs="Arial"/>
                <w:b/>
                <w:sz w:val="18"/>
              </w:rPr>
              <w:t xml:space="preserve">Tutors’ </w:t>
            </w:r>
            <w:r w:rsidR="003141D1">
              <w:rPr>
                <w:rFonts w:cs="Arial"/>
                <w:b/>
                <w:sz w:val="18"/>
              </w:rPr>
              <w:t>d</w:t>
            </w:r>
            <w:r w:rsidR="003141D1" w:rsidRPr="004351EB">
              <w:rPr>
                <w:rFonts w:cs="Arial"/>
                <w:b/>
                <w:sz w:val="18"/>
              </w:rPr>
              <w:t xml:space="preserve">iscussion </w:t>
            </w:r>
            <w:r w:rsidRPr="004351EB">
              <w:rPr>
                <w:rFonts w:cs="Arial"/>
                <w:b/>
                <w:sz w:val="18"/>
              </w:rPr>
              <w:t xml:space="preserve">of </w:t>
            </w:r>
            <w:r w:rsidR="003141D1">
              <w:rPr>
                <w:rFonts w:cs="Arial"/>
                <w:b/>
                <w:sz w:val="18"/>
              </w:rPr>
              <w:t>i</w:t>
            </w:r>
            <w:r w:rsidR="003141D1" w:rsidRPr="004351EB">
              <w:rPr>
                <w:rFonts w:cs="Arial"/>
                <w:b/>
                <w:sz w:val="18"/>
              </w:rPr>
              <w:t xml:space="preserve">ssues </w:t>
            </w:r>
            <w:r w:rsidRPr="004351EB">
              <w:rPr>
                <w:rFonts w:cs="Arial"/>
                <w:b/>
                <w:sz w:val="18"/>
              </w:rPr>
              <w:t xml:space="preserve">with </w:t>
            </w:r>
            <w:r w:rsidR="003141D1">
              <w:rPr>
                <w:rFonts w:cs="Arial"/>
                <w:b/>
                <w:sz w:val="18"/>
              </w:rPr>
              <w:t>s</w:t>
            </w:r>
            <w:r w:rsidR="003141D1" w:rsidRPr="004351EB">
              <w:rPr>
                <w:rFonts w:cs="Arial"/>
                <w:b/>
                <w:sz w:val="18"/>
              </w:rPr>
              <w:t>upervisor</w:t>
            </w:r>
          </w:p>
        </w:tc>
      </w:tr>
      <w:tr w:rsidR="006D3E4A" w:rsidRPr="004351EB" w14:paraId="6AC153B1" w14:textId="77777777" w:rsidTr="00C149EE">
        <w:tc>
          <w:tcPr>
            <w:tcW w:w="2678" w:type="dxa"/>
          </w:tcPr>
          <w:p w14:paraId="72032ABF" w14:textId="77777777" w:rsidR="006D3E4A" w:rsidRPr="004351EB" w:rsidRDefault="006D3E4A" w:rsidP="004351EB">
            <w:pPr>
              <w:spacing w:before="20" w:after="20"/>
              <w:rPr>
                <w:rFonts w:cs="Arial"/>
                <w:sz w:val="18"/>
              </w:rPr>
            </w:pPr>
            <w:r w:rsidRPr="004351EB">
              <w:rPr>
                <w:rFonts w:cs="Arial"/>
                <w:sz w:val="18"/>
              </w:rPr>
              <w:t>Issues discussed</w:t>
            </w:r>
          </w:p>
        </w:tc>
        <w:tc>
          <w:tcPr>
            <w:tcW w:w="1094" w:type="dxa"/>
          </w:tcPr>
          <w:p w14:paraId="7E8BE1E3" w14:textId="77777777" w:rsidR="006D3E4A" w:rsidRPr="004351EB" w:rsidRDefault="006D3E4A" w:rsidP="004351EB">
            <w:pPr>
              <w:spacing w:before="20" w:after="20"/>
              <w:rPr>
                <w:rFonts w:cs="Arial"/>
                <w:sz w:val="18"/>
              </w:rPr>
            </w:pPr>
            <w:r w:rsidRPr="004351EB">
              <w:rPr>
                <w:rFonts w:cs="Arial"/>
                <w:sz w:val="18"/>
              </w:rPr>
              <w:t>29</w:t>
            </w:r>
          </w:p>
        </w:tc>
        <w:tc>
          <w:tcPr>
            <w:tcW w:w="382" w:type="dxa"/>
            <w:shd w:val="clear" w:color="auto" w:fill="auto"/>
          </w:tcPr>
          <w:p w14:paraId="5765AF15" w14:textId="77777777" w:rsidR="006D3E4A" w:rsidRPr="004351EB" w:rsidRDefault="006D3E4A" w:rsidP="004351EB">
            <w:pPr>
              <w:spacing w:before="20" w:after="20"/>
              <w:rPr>
                <w:rFonts w:cs="Arial"/>
                <w:sz w:val="18"/>
              </w:rPr>
            </w:pPr>
          </w:p>
        </w:tc>
        <w:tc>
          <w:tcPr>
            <w:tcW w:w="2619" w:type="dxa"/>
          </w:tcPr>
          <w:p w14:paraId="72FAAEF0" w14:textId="77777777" w:rsidR="006D3E4A" w:rsidRPr="004351EB" w:rsidRDefault="006D3E4A" w:rsidP="004351EB">
            <w:pPr>
              <w:spacing w:before="20" w:after="20"/>
              <w:rPr>
                <w:rFonts w:cs="Arial"/>
                <w:sz w:val="18"/>
              </w:rPr>
            </w:pPr>
            <w:r w:rsidRPr="004351EB">
              <w:rPr>
                <w:rFonts w:cs="Arial"/>
                <w:sz w:val="18"/>
              </w:rPr>
              <w:t>Issue discussed</w:t>
            </w:r>
          </w:p>
        </w:tc>
        <w:tc>
          <w:tcPr>
            <w:tcW w:w="1165" w:type="dxa"/>
          </w:tcPr>
          <w:p w14:paraId="16162620" w14:textId="77777777" w:rsidR="006D3E4A" w:rsidRPr="004351EB" w:rsidRDefault="006D3E4A" w:rsidP="004351EB">
            <w:pPr>
              <w:spacing w:before="20" w:after="20"/>
              <w:rPr>
                <w:rFonts w:cs="Arial"/>
                <w:sz w:val="18"/>
              </w:rPr>
            </w:pPr>
            <w:r w:rsidRPr="004351EB">
              <w:rPr>
                <w:rFonts w:cs="Arial"/>
                <w:sz w:val="18"/>
              </w:rPr>
              <w:t>25</w:t>
            </w:r>
          </w:p>
        </w:tc>
      </w:tr>
      <w:tr w:rsidR="006D3E4A" w:rsidRPr="004351EB" w14:paraId="3CFCBD87" w14:textId="77777777" w:rsidTr="00C149EE">
        <w:tc>
          <w:tcPr>
            <w:tcW w:w="2678" w:type="dxa"/>
          </w:tcPr>
          <w:p w14:paraId="15B4A4BD" w14:textId="77777777" w:rsidR="006D3E4A" w:rsidRPr="004351EB" w:rsidRDefault="006D3E4A" w:rsidP="004351EB">
            <w:pPr>
              <w:spacing w:before="20" w:after="20"/>
              <w:rPr>
                <w:rFonts w:cs="Arial"/>
                <w:sz w:val="18"/>
              </w:rPr>
            </w:pPr>
            <w:r w:rsidRPr="004351EB">
              <w:rPr>
                <w:rFonts w:cs="Arial"/>
                <w:sz w:val="18"/>
              </w:rPr>
              <w:t>Not discussed</w:t>
            </w:r>
          </w:p>
        </w:tc>
        <w:tc>
          <w:tcPr>
            <w:tcW w:w="1094" w:type="dxa"/>
          </w:tcPr>
          <w:p w14:paraId="4E20AEAA" w14:textId="77777777" w:rsidR="006D3E4A" w:rsidRPr="004351EB" w:rsidRDefault="006D3E4A" w:rsidP="004351EB">
            <w:pPr>
              <w:spacing w:before="20" w:after="20"/>
              <w:rPr>
                <w:rFonts w:cs="Arial"/>
                <w:sz w:val="18"/>
              </w:rPr>
            </w:pPr>
            <w:r w:rsidRPr="004351EB">
              <w:rPr>
                <w:rFonts w:cs="Arial"/>
                <w:sz w:val="18"/>
              </w:rPr>
              <w:t>0</w:t>
            </w:r>
          </w:p>
        </w:tc>
        <w:tc>
          <w:tcPr>
            <w:tcW w:w="382" w:type="dxa"/>
            <w:shd w:val="clear" w:color="auto" w:fill="auto"/>
          </w:tcPr>
          <w:p w14:paraId="56D99EF3" w14:textId="77777777" w:rsidR="006D3E4A" w:rsidRPr="004351EB" w:rsidRDefault="006D3E4A" w:rsidP="004351EB">
            <w:pPr>
              <w:spacing w:before="20" w:after="20"/>
              <w:rPr>
                <w:rFonts w:cs="Arial"/>
                <w:sz w:val="18"/>
              </w:rPr>
            </w:pPr>
          </w:p>
        </w:tc>
        <w:tc>
          <w:tcPr>
            <w:tcW w:w="2619" w:type="dxa"/>
          </w:tcPr>
          <w:p w14:paraId="75B3BF65" w14:textId="77777777" w:rsidR="006D3E4A" w:rsidRPr="004351EB" w:rsidRDefault="006D3E4A" w:rsidP="004351EB">
            <w:pPr>
              <w:spacing w:before="20" w:after="20"/>
              <w:rPr>
                <w:rFonts w:cs="Arial"/>
                <w:sz w:val="18"/>
              </w:rPr>
            </w:pPr>
            <w:r w:rsidRPr="004351EB">
              <w:rPr>
                <w:rFonts w:cs="Arial"/>
                <w:sz w:val="18"/>
              </w:rPr>
              <w:t>Not discussed</w:t>
            </w:r>
          </w:p>
        </w:tc>
        <w:tc>
          <w:tcPr>
            <w:tcW w:w="1165" w:type="dxa"/>
          </w:tcPr>
          <w:p w14:paraId="0BC26DD8" w14:textId="77777777" w:rsidR="006D3E4A" w:rsidRPr="004351EB" w:rsidRDefault="006D3E4A" w:rsidP="004351EB">
            <w:pPr>
              <w:spacing w:before="20" w:after="20"/>
              <w:rPr>
                <w:rFonts w:cs="Arial"/>
                <w:sz w:val="18"/>
              </w:rPr>
            </w:pPr>
            <w:r w:rsidRPr="004351EB">
              <w:rPr>
                <w:rFonts w:cs="Arial"/>
                <w:sz w:val="18"/>
              </w:rPr>
              <w:t>3</w:t>
            </w:r>
          </w:p>
        </w:tc>
      </w:tr>
      <w:tr w:rsidR="006D3E4A" w:rsidRPr="004351EB" w14:paraId="4F38802F" w14:textId="77777777" w:rsidTr="00C149EE">
        <w:tc>
          <w:tcPr>
            <w:tcW w:w="2678" w:type="dxa"/>
          </w:tcPr>
          <w:p w14:paraId="46FFB783" w14:textId="77777777" w:rsidR="006D3E4A" w:rsidRPr="004351EB" w:rsidRDefault="006D3E4A" w:rsidP="006447FA">
            <w:pPr>
              <w:spacing w:before="20" w:after="20"/>
              <w:rPr>
                <w:rFonts w:cs="Arial"/>
                <w:sz w:val="18"/>
              </w:rPr>
            </w:pPr>
            <w:r w:rsidRPr="004351EB">
              <w:rPr>
                <w:rFonts w:cs="Arial"/>
                <w:sz w:val="18"/>
              </w:rPr>
              <w:t xml:space="preserve">Supervisor </w:t>
            </w:r>
            <w:r w:rsidR="006447FA">
              <w:rPr>
                <w:rFonts w:cs="Arial"/>
                <w:sz w:val="18"/>
              </w:rPr>
              <w:t>r</w:t>
            </w:r>
            <w:r w:rsidR="006447FA" w:rsidRPr="004351EB">
              <w:rPr>
                <w:rFonts w:cs="Arial"/>
                <w:sz w:val="18"/>
              </w:rPr>
              <w:t>esponsive</w:t>
            </w:r>
          </w:p>
        </w:tc>
        <w:tc>
          <w:tcPr>
            <w:tcW w:w="1094" w:type="dxa"/>
          </w:tcPr>
          <w:p w14:paraId="5B3003C4" w14:textId="77777777" w:rsidR="006D3E4A" w:rsidRPr="004351EB" w:rsidRDefault="006D3E4A" w:rsidP="004351EB">
            <w:pPr>
              <w:spacing w:before="20" w:after="20"/>
              <w:rPr>
                <w:rFonts w:cs="Arial"/>
                <w:sz w:val="18"/>
              </w:rPr>
            </w:pPr>
            <w:r w:rsidRPr="004351EB">
              <w:rPr>
                <w:rFonts w:cs="Arial"/>
                <w:sz w:val="18"/>
              </w:rPr>
              <w:t>16</w:t>
            </w:r>
          </w:p>
        </w:tc>
        <w:tc>
          <w:tcPr>
            <w:tcW w:w="382" w:type="dxa"/>
            <w:shd w:val="clear" w:color="auto" w:fill="auto"/>
          </w:tcPr>
          <w:p w14:paraId="5C0D549D" w14:textId="77777777" w:rsidR="006D3E4A" w:rsidRPr="004351EB" w:rsidRDefault="006D3E4A" w:rsidP="004351EB">
            <w:pPr>
              <w:spacing w:before="20" w:after="20"/>
              <w:rPr>
                <w:rFonts w:cs="Arial"/>
                <w:sz w:val="18"/>
              </w:rPr>
            </w:pPr>
          </w:p>
        </w:tc>
        <w:tc>
          <w:tcPr>
            <w:tcW w:w="2619" w:type="dxa"/>
          </w:tcPr>
          <w:p w14:paraId="0673DFC8" w14:textId="77777777" w:rsidR="006D3E4A" w:rsidRPr="004351EB" w:rsidRDefault="006D3E4A" w:rsidP="004351EB">
            <w:pPr>
              <w:spacing w:before="20" w:after="20"/>
              <w:rPr>
                <w:rFonts w:cs="Arial"/>
                <w:sz w:val="18"/>
              </w:rPr>
            </w:pPr>
            <w:r w:rsidRPr="004351EB">
              <w:rPr>
                <w:rFonts w:cs="Arial"/>
                <w:sz w:val="18"/>
              </w:rPr>
              <w:t>Supervisor responsive</w:t>
            </w:r>
          </w:p>
        </w:tc>
        <w:tc>
          <w:tcPr>
            <w:tcW w:w="1165" w:type="dxa"/>
          </w:tcPr>
          <w:p w14:paraId="265CBFD8" w14:textId="77777777" w:rsidR="006D3E4A" w:rsidRPr="004351EB" w:rsidRDefault="006D3E4A" w:rsidP="004351EB">
            <w:pPr>
              <w:spacing w:before="20" w:after="20"/>
              <w:rPr>
                <w:rFonts w:cs="Arial"/>
                <w:sz w:val="18"/>
              </w:rPr>
            </w:pPr>
            <w:r w:rsidRPr="004351EB">
              <w:rPr>
                <w:rFonts w:cs="Arial"/>
                <w:sz w:val="18"/>
              </w:rPr>
              <w:t>21</w:t>
            </w:r>
          </w:p>
        </w:tc>
      </w:tr>
      <w:tr w:rsidR="006D3E4A" w:rsidRPr="004351EB" w14:paraId="7F3DAB0B" w14:textId="77777777" w:rsidTr="00C149EE">
        <w:tc>
          <w:tcPr>
            <w:tcW w:w="2678" w:type="dxa"/>
          </w:tcPr>
          <w:p w14:paraId="459A6630" w14:textId="77777777" w:rsidR="006D3E4A" w:rsidRPr="004351EB" w:rsidRDefault="006D3E4A" w:rsidP="004351EB">
            <w:pPr>
              <w:spacing w:before="20" w:after="20"/>
              <w:rPr>
                <w:rFonts w:cs="Arial"/>
                <w:sz w:val="18"/>
              </w:rPr>
            </w:pPr>
            <w:r w:rsidRPr="004351EB">
              <w:rPr>
                <w:rFonts w:cs="Arial"/>
                <w:sz w:val="18"/>
              </w:rPr>
              <w:t>Not responsive</w:t>
            </w:r>
          </w:p>
        </w:tc>
        <w:tc>
          <w:tcPr>
            <w:tcW w:w="1094" w:type="dxa"/>
          </w:tcPr>
          <w:p w14:paraId="4F4F147B" w14:textId="77777777" w:rsidR="006D3E4A" w:rsidRPr="004351EB" w:rsidRDefault="006D3E4A" w:rsidP="004351EB">
            <w:pPr>
              <w:spacing w:before="20" w:after="20"/>
              <w:rPr>
                <w:rFonts w:cs="Arial"/>
                <w:sz w:val="18"/>
              </w:rPr>
            </w:pPr>
            <w:r w:rsidRPr="004351EB">
              <w:rPr>
                <w:rFonts w:cs="Arial"/>
                <w:sz w:val="18"/>
              </w:rPr>
              <w:t>4</w:t>
            </w:r>
          </w:p>
        </w:tc>
        <w:tc>
          <w:tcPr>
            <w:tcW w:w="382" w:type="dxa"/>
            <w:shd w:val="clear" w:color="auto" w:fill="auto"/>
          </w:tcPr>
          <w:p w14:paraId="27D192BE" w14:textId="77777777" w:rsidR="006D3E4A" w:rsidRPr="004351EB" w:rsidRDefault="006D3E4A" w:rsidP="004351EB">
            <w:pPr>
              <w:spacing w:before="20" w:after="20"/>
              <w:rPr>
                <w:rFonts w:cs="Arial"/>
                <w:sz w:val="18"/>
              </w:rPr>
            </w:pPr>
          </w:p>
        </w:tc>
        <w:tc>
          <w:tcPr>
            <w:tcW w:w="2619" w:type="dxa"/>
          </w:tcPr>
          <w:p w14:paraId="2DF7579E" w14:textId="77777777" w:rsidR="006D3E4A" w:rsidRPr="004351EB" w:rsidRDefault="006D3E4A" w:rsidP="004351EB">
            <w:pPr>
              <w:spacing w:before="20" w:after="20"/>
              <w:rPr>
                <w:rFonts w:cs="Arial"/>
                <w:sz w:val="18"/>
              </w:rPr>
            </w:pPr>
            <w:r w:rsidRPr="004351EB">
              <w:rPr>
                <w:rFonts w:cs="Arial"/>
                <w:sz w:val="18"/>
              </w:rPr>
              <w:t>Not responsive</w:t>
            </w:r>
          </w:p>
        </w:tc>
        <w:tc>
          <w:tcPr>
            <w:tcW w:w="1165" w:type="dxa"/>
          </w:tcPr>
          <w:p w14:paraId="04E92504" w14:textId="77777777" w:rsidR="006D3E4A" w:rsidRPr="004351EB" w:rsidRDefault="006D3E4A" w:rsidP="004351EB">
            <w:pPr>
              <w:spacing w:before="20" w:after="20"/>
              <w:rPr>
                <w:rFonts w:cs="Arial"/>
                <w:sz w:val="18"/>
              </w:rPr>
            </w:pPr>
          </w:p>
        </w:tc>
      </w:tr>
      <w:tr w:rsidR="006D3E4A" w:rsidRPr="004351EB" w14:paraId="7FF2E381" w14:textId="77777777" w:rsidTr="00C149EE">
        <w:tc>
          <w:tcPr>
            <w:tcW w:w="2678" w:type="dxa"/>
          </w:tcPr>
          <w:p w14:paraId="7BD7C5B8" w14:textId="77777777" w:rsidR="006D3E4A" w:rsidRPr="004351EB" w:rsidRDefault="006D3E4A" w:rsidP="004351EB">
            <w:pPr>
              <w:spacing w:before="20" w:after="20"/>
              <w:rPr>
                <w:rFonts w:cs="Arial"/>
                <w:sz w:val="18"/>
              </w:rPr>
            </w:pPr>
            <w:r w:rsidRPr="004351EB">
              <w:rPr>
                <w:rFonts w:cs="Arial"/>
                <w:sz w:val="18"/>
              </w:rPr>
              <w:t>Neutral</w:t>
            </w:r>
          </w:p>
        </w:tc>
        <w:tc>
          <w:tcPr>
            <w:tcW w:w="1094" w:type="dxa"/>
          </w:tcPr>
          <w:p w14:paraId="1FC92672" w14:textId="77777777" w:rsidR="006D3E4A" w:rsidRPr="004351EB" w:rsidRDefault="006D3E4A" w:rsidP="004351EB">
            <w:pPr>
              <w:spacing w:before="20" w:after="20"/>
              <w:rPr>
                <w:rFonts w:cs="Arial"/>
                <w:sz w:val="18"/>
              </w:rPr>
            </w:pPr>
            <w:r w:rsidRPr="004351EB">
              <w:rPr>
                <w:rFonts w:cs="Arial"/>
                <w:sz w:val="18"/>
              </w:rPr>
              <w:t>8</w:t>
            </w:r>
          </w:p>
        </w:tc>
        <w:tc>
          <w:tcPr>
            <w:tcW w:w="382" w:type="dxa"/>
            <w:shd w:val="clear" w:color="auto" w:fill="auto"/>
          </w:tcPr>
          <w:p w14:paraId="02D4ADF9" w14:textId="77777777" w:rsidR="006D3E4A" w:rsidRPr="004351EB" w:rsidRDefault="006D3E4A" w:rsidP="004351EB">
            <w:pPr>
              <w:spacing w:before="20" w:after="20"/>
              <w:rPr>
                <w:rFonts w:cs="Arial"/>
                <w:sz w:val="18"/>
              </w:rPr>
            </w:pPr>
          </w:p>
        </w:tc>
        <w:tc>
          <w:tcPr>
            <w:tcW w:w="2619" w:type="dxa"/>
          </w:tcPr>
          <w:p w14:paraId="3422D2AB" w14:textId="77777777" w:rsidR="006D3E4A" w:rsidRPr="004351EB" w:rsidRDefault="006D3E4A" w:rsidP="004351EB">
            <w:pPr>
              <w:spacing w:before="20" w:after="20"/>
              <w:rPr>
                <w:rFonts w:cs="Arial"/>
                <w:sz w:val="18"/>
              </w:rPr>
            </w:pPr>
            <w:r w:rsidRPr="004351EB">
              <w:rPr>
                <w:rFonts w:cs="Arial"/>
                <w:sz w:val="18"/>
              </w:rPr>
              <w:t>Neutral</w:t>
            </w:r>
          </w:p>
        </w:tc>
        <w:tc>
          <w:tcPr>
            <w:tcW w:w="1165" w:type="dxa"/>
          </w:tcPr>
          <w:p w14:paraId="36F8C038" w14:textId="77777777" w:rsidR="006D3E4A" w:rsidRPr="004351EB" w:rsidRDefault="006D3E4A" w:rsidP="004351EB">
            <w:pPr>
              <w:spacing w:before="20" w:after="20"/>
              <w:rPr>
                <w:rFonts w:cs="Arial"/>
                <w:sz w:val="18"/>
              </w:rPr>
            </w:pPr>
            <w:r w:rsidRPr="004351EB">
              <w:rPr>
                <w:rFonts w:cs="Arial"/>
                <w:sz w:val="18"/>
              </w:rPr>
              <w:t>1</w:t>
            </w:r>
          </w:p>
        </w:tc>
      </w:tr>
      <w:tr w:rsidR="006D3E4A" w:rsidRPr="004351EB" w14:paraId="7FE58295" w14:textId="77777777" w:rsidTr="00C149EE">
        <w:tc>
          <w:tcPr>
            <w:tcW w:w="2678" w:type="dxa"/>
          </w:tcPr>
          <w:p w14:paraId="240ED0CA" w14:textId="77777777" w:rsidR="006D3E4A" w:rsidRPr="004351EB" w:rsidRDefault="006D3E4A" w:rsidP="004351EB">
            <w:pPr>
              <w:spacing w:before="20" w:after="20"/>
              <w:rPr>
                <w:rFonts w:cs="Arial"/>
                <w:sz w:val="18"/>
              </w:rPr>
            </w:pPr>
            <w:r w:rsidRPr="004351EB">
              <w:rPr>
                <w:rFonts w:cs="Arial"/>
                <w:sz w:val="18"/>
              </w:rPr>
              <w:t>Not applicable</w:t>
            </w:r>
          </w:p>
        </w:tc>
        <w:tc>
          <w:tcPr>
            <w:tcW w:w="1094" w:type="dxa"/>
          </w:tcPr>
          <w:p w14:paraId="676C91D9" w14:textId="77777777" w:rsidR="006D3E4A" w:rsidRPr="004351EB" w:rsidRDefault="006D3E4A" w:rsidP="004351EB">
            <w:pPr>
              <w:spacing w:before="20" w:after="20"/>
              <w:rPr>
                <w:rFonts w:cs="Arial"/>
                <w:sz w:val="18"/>
              </w:rPr>
            </w:pPr>
            <w:r w:rsidRPr="004351EB">
              <w:rPr>
                <w:rFonts w:cs="Arial"/>
                <w:sz w:val="18"/>
              </w:rPr>
              <w:t>1</w:t>
            </w:r>
          </w:p>
        </w:tc>
        <w:tc>
          <w:tcPr>
            <w:tcW w:w="382" w:type="dxa"/>
            <w:shd w:val="clear" w:color="auto" w:fill="auto"/>
          </w:tcPr>
          <w:p w14:paraId="4B242213" w14:textId="77777777" w:rsidR="006D3E4A" w:rsidRPr="004351EB" w:rsidRDefault="006D3E4A" w:rsidP="004351EB">
            <w:pPr>
              <w:spacing w:before="20" w:after="20"/>
              <w:rPr>
                <w:rFonts w:cs="Arial"/>
                <w:sz w:val="18"/>
              </w:rPr>
            </w:pPr>
          </w:p>
        </w:tc>
        <w:tc>
          <w:tcPr>
            <w:tcW w:w="2619" w:type="dxa"/>
          </w:tcPr>
          <w:p w14:paraId="443C107D" w14:textId="77777777" w:rsidR="006D3E4A" w:rsidRPr="004351EB" w:rsidRDefault="006D3E4A" w:rsidP="004351EB">
            <w:pPr>
              <w:spacing w:before="20" w:after="20"/>
              <w:rPr>
                <w:rFonts w:cs="Arial"/>
                <w:sz w:val="18"/>
              </w:rPr>
            </w:pPr>
            <w:r w:rsidRPr="004351EB">
              <w:rPr>
                <w:rFonts w:cs="Arial"/>
                <w:sz w:val="18"/>
              </w:rPr>
              <w:t>Not applicable</w:t>
            </w:r>
          </w:p>
        </w:tc>
        <w:tc>
          <w:tcPr>
            <w:tcW w:w="1165" w:type="dxa"/>
          </w:tcPr>
          <w:p w14:paraId="4F51603A" w14:textId="77777777" w:rsidR="006D3E4A" w:rsidRPr="004351EB" w:rsidRDefault="006D3E4A" w:rsidP="004351EB">
            <w:pPr>
              <w:spacing w:before="20" w:after="20"/>
              <w:rPr>
                <w:rFonts w:cs="Arial"/>
                <w:sz w:val="18"/>
              </w:rPr>
            </w:pPr>
            <w:r w:rsidRPr="004351EB">
              <w:rPr>
                <w:rFonts w:cs="Arial"/>
                <w:sz w:val="18"/>
              </w:rPr>
              <w:t>6</w:t>
            </w:r>
          </w:p>
        </w:tc>
      </w:tr>
      <w:tr w:rsidR="006D3E4A" w:rsidRPr="004351EB" w14:paraId="4203A88C" w14:textId="77777777" w:rsidTr="00C149EE">
        <w:tc>
          <w:tcPr>
            <w:tcW w:w="2678" w:type="dxa"/>
          </w:tcPr>
          <w:p w14:paraId="22CF9574" w14:textId="77777777" w:rsidR="006D3E4A" w:rsidRPr="004351EB" w:rsidRDefault="006D3E4A" w:rsidP="004351EB">
            <w:pPr>
              <w:spacing w:before="20" w:after="20"/>
              <w:rPr>
                <w:rFonts w:cs="Arial"/>
                <w:sz w:val="18"/>
                <w:szCs w:val="16"/>
              </w:rPr>
            </w:pPr>
          </w:p>
        </w:tc>
        <w:tc>
          <w:tcPr>
            <w:tcW w:w="1094" w:type="dxa"/>
          </w:tcPr>
          <w:p w14:paraId="10A5386B" w14:textId="77777777" w:rsidR="006D3E4A" w:rsidRPr="004351EB" w:rsidRDefault="006D3E4A" w:rsidP="004351EB">
            <w:pPr>
              <w:spacing w:before="20" w:after="20"/>
              <w:rPr>
                <w:rFonts w:cs="Arial"/>
                <w:sz w:val="18"/>
                <w:szCs w:val="16"/>
              </w:rPr>
            </w:pPr>
          </w:p>
        </w:tc>
        <w:tc>
          <w:tcPr>
            <w:tcW w:w="382" w:type="dxa"/>
            <w:shd w:val="clear" w:color="auto" w:fill="auto"/>
          </w:tcPr>
          <w:p w14:paraId="2D7219F8" w14:textId="77777777" w:rsidR="006D3E4A" w:rsidRPr="004351EB" w:rsidRDefault="006D3E4A" w:rsidP="004351EB">
            <w:pPr>
              <w:spacing w:before="20" w:after="20"/>
              <w:rPr>
                <w:rFonts w:cs="Arial"/>
                <w:sz w:val="18"/>
                <w:szCs w:val="16"/>
              </w:rPr>
            </w:pPr>
          </w:p>
        </w:tc>
        <w:tc>
          <w:tcPr>
            <w:tcW w:w="2619" w:type="dxa"/>
          </w:tcPr>
          <w:p w14:paraId="0D5B024F" w14:textId="77777777" w:rsidR="006D3E4A" w:rsidRPr="004351EB" w:rsidRDefault="006D3E4A" w:rsidP="004351EB">
            <w:pPr>
              <w:spacing w:before="20" w:after="20"/>
              <w:rPr>
                <w:rFonts w:cs="Arial"/>
                <w:sz w:val="18"/>
                <w:szCs w:val="16"/>
              </w:rPr>
            </w:pPr>
          </w:p>
        </w:tc>
        <w:tc>
          <w:tcPr>
            <w:tcW w:w="1165" w:type="dxa"/>
          </w:tcPr>
          <w:p w14:paraId="7774418D" w14:textId="77777777" w:rsidR="006D3E4A" w:rsidRPr="004351EB" w:rsidRDefault="006D3E4A" w:rsidP="004351EB">
            <w:pPr>
              <w:spacing w:before="20" w:after="20"/>
              <w:rPr>
                <w:rFonts w:cs="Arial"/>
                <w:sz w:val="18"/>
                <w:szCs w:val="16"/>
              </w:rPr>
            </w:pPr>
          </w:p>
        </w:tc>
      </w:tr>
      <w:tr w:rsidR="006D3E4A" w:rsidRPr="004351EB" w14:paraId="36F74925" w14:textId="77777777" w:rsidTr="00C149EE">
        <w:tc>
          <w:tcPr>
            <w:tcW w:w="3772" w:type="dxa"/>
            <w:gridSpan w:val="2"/>
            <w:shd w:val="clear" w:color="auto" w:fill="E2EFD9" w:themeFill="accent6" w:themeFillTint="33"/>
          </w:tcPr>
          <w:p w14:paraId="2165D31C" w14:textId="77777777" w:rsidR="006D3E4A" w:rsidRPr="004351EB" w:rsidRDefault="006D3E4A" w:rsidP="003141D1">
            <w:pPr>
              <w:spacing w:before="20" w:after="20"/>
              <w:jc w:val="center"/>
              <w:rPr>
                <w:rFonts w:cs="Arial"/>
                <w:b/>
                <w:sz w:val="18"/>
              </w:rPr>
            </w:pPr>
            <w:r w:rsidRPr="004351EB">
              <w:rPr>
                <w:rFonts w:cs="Arial"/>
                <w:b/>
                <w:sz w:val="18"/>
              </w:rPr>
              <w:t xml:space="preserve">Trainer </w:t>
            </w:r>
            <w:r w:rsidR="003141D1">
              <w:rPr>
                <w:rFonts w:cs="Arial"/>
                <w:b/>
                <w:sz w:val="18"/>
              </w:rPr>
              <w:t>t</w:t>
            </w:r>
            <w:r w:rsidR="003141D1" w:rsidRPr="004351EB">
              <w:rPr>
                <w:rFonts w:cs="Arial"/>
                <w:b/>
                <w:sz w:val="18"/>
              </w:rPr>
              <w:t xml:space="preserve">eaching </w:t>
            </w:r>
            <w:r w:rsidR="003141D1">
              <w:rPr>
                <w:rFonts w:cs="Arial"/>
                <w:b/>
                <w:sz w:val="18"/>
              </w:rPr>
              <w:t>h</w:t>
            </w:r>
            <w:r w:rsidR="003141D1" w:rsidRPr="004351EB">
              <w:rPr>
                <w:rFonts w:cs="Arial"/>
                <w:b/>
                <w:sz w:val="18"/>
              </w:rPr>
              <w:t xml:space="preserve">ours </w:t>
            </w:r>
            <w:r w:rsidRPr="004351EB">
              <w:rPr>
                <w:rFonts w:cs="Arial"/>
                <w:b/>
                <w:sz w:val="18"/>
              </w:rPr>
              <w:t>per week</w:t>
            </w:r>
          </w:p>
        </w:tc>
        <w:tc>
          <w:tcPr>
            <w:tcW w:w="382" w:type="dxa"/>
            <w:shd w:val="clear" w:color="auto" w:fill="auto"/>
          </w:tcPr>
          <w:p w14:paraId="5A60A140" w14:textId="77777777" w:rsidR="006D3E4A" w:rsidRPr="004351EB" w:rsidRDefault="006D3E4A" w:rsidP="004351EB">
            <w:pPr>
              <w:spacing w:before="20" w:after="20"/>
              <w:jc w:val="center"/>
              <w:rPr>
                <w:rFonts w:cs="Arial"/>
                <w:b/>
                <w:sz w:val="18"/>
              </w:rPr>
            </w:pPr>
          </w:p>
        </w:tc>
        <w:tc>
          <w:tcPr>
            <w:tcW w:w="3784" w:type="dxa"/>
            <w:gridSpan w:val="2"/>
            <w:shd w:val="clear" w:color="auto" w:fill="E2EFD9" w:themeFill="accent6" w:themeFillTint="33"/>
          </w:tcPr>
          <w:p w14:paraId="48170A69" w14:textId="77777777" w:rsidR="00E4764C" w:rsidRDefault="006D3E4A">
            <w:pPr>
              <w:spacing w:before="20" w:after="20"/>
              <w:jc w:val="center"/>
              <w:rPr>
                <w:rFonts w:cs="Arial"/>
                <w:b/>
                <w:sz w:val="18"/>
              </w:rPr>
            </w:pPr>
            <w:r w:rsidRPr="004351EB">
              <w:rPr>
                <w:rFonts w:cs="Arial"/>
                <w:b/>
                <w:sz w:val="18"/>
              </w:rPr>
              <w:t xml:space="preserve">Tutor </w:t>
            </w:r>
            <w:r w:rsidR="003141D1">
              <w:rPr>
                <w:rFonts w:cs="Arial"/>
                <w:b/>
                <w:sz w:val="18"/>
              </w:rPr>
              <w:t>t</w:t>
            </w:r>
            <w:r w:rsidR="003141D1" w:rsidRPr="004351EB">
              <w:rPr>
                <w:rFonts w:cs="Arial"/>
                <w:b/>
                <w:sz w:val="18"/>
              </w:rPr>
              <w:t xml:space="preserve">eaching </w:t>
            </w:r>
            <w:r w:rsidR="003141D1">
              <w:rPr>
                <w:rFonts w:cs="Arial"/>
                <w:b/>
                <w:sz w:val="18"/>
              </w:rPr>
              <w:t>h</w:t>
            </w:r>
            <w:r w:rsidR="003141D1" w:rsidRPr="004351EB">
              <w:rPr>
                <w:rFonts w:cs="Arial"/>
                <w:b/>
                <w:sz w:val="18"/>
              </w:rPr>
              <w:t xml:space="preserve">ours </w:t>
            </w:r>
            <w:r w:rsidRPr="004351EB">
              <w:rPr>
                <w:rFonts w:cs="Arial"/>
                <w:b/>
                <w:sz w:val="18"/>
              </w:rPr>
              <w:t>per week</w:t>
            </w:r>
          </w:p>
        </w:tc>
      </w:tr>
      <w:tr w:rsidR="006D3E4A" w:rsidRPr="004351EB" w14:paraId="66F0233A" w14:textId="77777777" w:rsidTr="00C149EE">
        <w:tc>
          <w:tcPr>
            <w:tcW w:w="2678" w:type="dxa"/>
          </w:tcPr>
          <w:p w14:paraId="47BDD29A" w14:textId="77777777" w:rsidR="006D3E4A" w:rsidRPr="004351EB" w:rsidRDefault="006D3E4A" w:rsidP="004351EB">
            <w:pPr>
              <w:spacing w:before="20" w:after="20"/>
              <w:rPr>
                <w:rFonts w:cs="Arial"/>
                <w:sz w:val="18"/>
              </w:rPr>
            </w:pPr>
            <w:r w:rsidRPr="004351EB">
              <w:rPr>
                <w:rFonts w:cs="Arial"/>
                <w:sz w:val="18"/>
              </w:rPr>
              <w:t>15 or less</w:t>
            </w:r>
          </w:p>
        </w:tc>
        <w:tc>
          <w:tcPr>
            <w:tcW w:w="1094" w:type="dxa"/>
          </w:tcPr>
          <w:p w14:paraId="584546B2" w14:textId="77777777" w:rsidR="006D3E4A" w:rsidRPr="004351EB" w:rsidRDefault="006D3E4A" w:rsidP="004351EB">
            <w:pPr>
              <w:spacing w:before="20" w:after="20"/>
              <w:rPr>
                <w:rFonts w:cs="Arial"/>
                <w:sz w:val="18"/>
              </w:rPr>
            </w:pPr>
            <w:r w:rsidRPr="004351EB">
              <w:rPr>
                <w:rFonts w:cs="Arial"/>
                <w:sz w:val="18"/>
              </w:rPr>
              <w:t>1</w:t>
            </w:r>
          </w:p>
        </w:tc>
        <w:tc>
          <w:tcPr>
            <w:tcW w:w="382" w:type="dxa"/>
            <w:shd w:val="clear" w:color="auto" w:fill="auto"/>
          </w:tcPr>
          <w:p w14:paraId="74B5F1F4" w14:textId="77777777" w:rsidR="006D3E4A" w:rsidRPr="004351EB" w:rsidRDefault="006D3E4A" w:rsidP="004351EB">
            <w:pPr>
              <w:spacing w:before="20" w:after="20"/>
              <w:rPr>
                <w:rFonts w:cs="Arial"/>
                <w:sz w:val="18"/>
              </w:rPr>
            </w:pPr>
          </w:p>
        </w:tc>
        <w:tc>
          <w:tcPr>
            <w:tcW w:w="2619" w:type="dxa"/>
          </w:tcPr>
          <w:p w14:paraId="03100EF0" w14:textId="77777777" w:rsidR="006D3E4A" w:rsidRPr="004351EB" w:rsidRDefault="006D3E4A" w:rsidP="004351EB">
            <w:pPr>
              <w:spacing w:before="20" w:after="20"/>
              <w:rPr>
                <w:rFonts w:cs="Arial"/>
                <w:sz w:val="18"/>
              </w:rPr>
            </w:pPr>
            <w:r w:rsidRPr="004351EB">
              <w:rPr>
                <w:rFonts w:cs="Arial"/>
                <w:sz w:val="18"/>
              </w:rPr>
              <w:t>15 or less</w:t>
            </w:r>
          </w:p>
        </w:tc>
        <w:tc>
          <w:tcPr>
            <w:tcW w:w="1165" w:type="dxa"/>
          </w:tcPr>
          <w:p w14:paraId="1A19B2E1" w14:textId="77777777" w:rsidR="006D3E4A" w:rsidRPr="004351EB" w:rsidRDefault="006D3E4A" w:rsidP="004351EB">
            <w:pPr>
              <w:spacing w:before="20" w:after="20"/>
              <w:rPr>
                <w:rFonts w:cs="Arial"/>
                <w:sz w:val="18"/>
              </w:rPr>
            </w:pPr>
            <w:r w:rsidRPr="004351EB">
              <w:rPr>
                <w:rFonts w:cs="Arial"/>
                <w:sz w:val="18"/>
              </w:rPr>
              <w:t>15</w:t>
            </w:r>
          </w:p>
        </w:tc>
      </w:tr>
      <w:tr w:rsidR="006D3E4A" w:rsidRPr="004351EB" w14:paraId="5EDF63C7" w14:textId="77777777" w:rsidTr="00C149EE">
        <w:tc>
          <w:tcPr>
            <w:tcW w:w="2678" w:type="dxa"/>
          </w:tcPr>
          <w:p w14:paraId="25844F79" w14:textId="4757571B" w:rsidR="006D3E4A" w:rsidRPr="004351EB" w:rsidRDefault="006D3E4A" w:rsidP="004351EB">
            <w:pPr>
              <w:spacing w:before="20" w:after="20"/>
              <w:rPr>
                <w:rFonts w:cs="Arial"/>
                <w:sz w:val="18"/>
              </w:rPr>
            </w:pPr>
            <w:r w:rsidRPr="004351EB">
              <w:rPr>
                <w:rFonts w:cs="Arial"/>
                <w:sz w:val="18"/>
              </w:rPr>
              <w:t>16</w:t>
            </w:r>
            <w:r w:rsidR="007C5A97">
              <w:rPr>
                <w:rFonts w:cs="Arial"/>
                <w:sz w:val="18"/>
              </w:rPr>
              <w:t>–</w:t>
            </w:r>
            <w:r w:rsidRPr="004351EB">
              <w:rPr>
                <w:rFonts w:cs="Arial"/>
                <w:sz w:val="18"/>
              </w:rPr>
              <w:t>40</w:t>
            </w:r>
          </w:p>
        </w:tc>
        <w:tc>
          <w:tcPr>
            <w:tcW w:w="1094" w:type="dxa"/>
          </w:tcPr>
          <w:p w14:paraId="5FE9A1E8" w14:textId="77777777" w:rsidR="006D3E4A" w:rsidRPr="004351EB" w:rsidRDefault="006D3E4A" w:rsidP="004351EB">
            <w:pPr>
              <w:spacing w:before="20" w:after="20"/>
              <w:rPr>
                <w:rFonts w:cs="Arial"/>
                <w:sz w:val="18"/>
              </w:rPr>
            </w:pPr>
            <w:r w:rsidRPr="004351EB">
              <w:rPr>
                <w:rFonts w:cs="Arial"/>
                <w:sz w:val="18"/>
              </w:rPr>
              <w:t>26</w:t>
            </w:r>
          </w:p>
        </w:tc>
        <w:tc>
          <w:tcPr>
            <w:tcW w:w="382" w:type="dxa"/>
            <w:shd w:val="clear" w:color="auto" w:fill="auto"/>
          </w:tcPr>
          <w:p w14:paraId="20F53007" w14:textId="77777777" w:rsidR="006D3E4A" w:rsidRPr="004351EB" w:rsidRDefault="006D3E4A" w:rsidP="004351EB">
            <w:pPr>
              <w:spacing w:before="20" w:after="20"/>
              <w:rPr>
                <w:rFonts w:cs="Arial"/>
                <w:sz w:val="18"/>
              </w:rPr>
            </w:pPr>
          </w:p>
        </w:tc>
        <w:tc>
          <w:tcPr>
            <w:tcW w:w="2619" w:type="dxa"/>
          </w:tcPr>
          <w:p w14:paraId="794041D9" w14:textId="5B73E233" w:rsidR="006D3E4A" w:rsidRPr="004351EB" w:rsidRDefault="006D3E4A" w:rsidP="004351EB">
            <w:pPr>
              <w:spacing w:before="20" w:after="20"/>
              <w:rPr>
                <w:rFonts w:cs="Arial"/>
                <w:sz w:val="18"/>
              </w:rPr>
            </w:pPr>
            <w:r w:rsidRPr="004351EB">
              <w:rPr>
                <w:rFonts w:cs="Arial"/>
                <w:sz w:val="18"/>
              </w:rPr>
              <w:t>16</w:t>
            </w:r>
            <w:r w:rsidR="007C5A97">
              <w:rPr>
                <w:rFonts w:cs="Arial"/>
                <w:sz w:val="18"/>
              </w:rPr>
              <w:t>–</w:t>
            </w:r>
            <w:r w:rsidRPr="004351EB">
              <w:rPr>
                <w:rFonts w:cs="Arial"/>
                <w:sz w:val="18"/>
              </w:rPr>
              <w:t>40</w:t>
            </w:r>
          </w:p>
        </w:tc>
        <w:tc>
          <w:tcPr>
            <w:tcW w:w="1165" w:type="dxa"/>
          </w:tcPr>
          <w:p w14:paraId="312B22B6" w14:textId="77777777" w:rsidR="006D3E4A" w:rsidRPr="004351EB" w:rsidRDefault="006D3E4A" w:rsidP="004351EB">
            <w:pPr>
              <w:spacing w:before="20" w:after="20"/>
              <w:rPr>
                <w:rFonts w:cs="Arial"/>
                <w:sz w:val="18"/>
              </w:rPr>
            </w:pPr>
            <w:r w:rsidRPr="004351EB">
              <w:rPr>
                <w:rFonts w:cs="Arial"/>
                <w:sz w:val="18"/>
              </w:rPr>
              <w:t>12</w:t>
            </w:r>
          </w:p>
        </w:tc>
      </w:tr>
      <w:tr w:rsidR="006D3E4A" w:rsidRPr="004351EB" w14:paraId="4B0AB353" w14:textId="77777777" w:rsidTr="00C149EE">
        <w:tc>
          <w:tcPr>
            <w:tcW w:w="2678" w:type="dxa"/>
          </w:tcPr>
          <w:p w14:paraId="3B03A3F5" w14:textId="77777777" w:rsidR="006D3E4A" w:rsidRPr="004351EB" w:rsidRDefault="006D3E4A" w:rsidP="004351EB">
            <w:pPr>
              <w:spacing w:before="20" w:after="20"/>
              <w:rPr>
                <w:rFonts w:cs="Arial"/>
                <w:sz w:val="18"/>
              </w:rPr>
            </w:pPr>
            <w:r w:rsidRPr="004351EB">
              <w:rPr>
                <w:rFonts w:cs="Arial"/>
                <w:sz w:val="18"/>
              </w:rPr>
              <w:t>40+</w:t>
            </w:r>
          </w:p>
        </w:tc>
        <w:tc>
          <w:tcPr>
            <w:tcW w:w="1094" w:type="dxa"/>
          </w:tcPr>
          <w:p w14:paraId="15B5BF9B" w14:textId="77777777" w:rsidR="006D3E4A" w:rsidRPr="004351EB" w:rsidRDefault="006D3E4A" w:rsidP="004351EB">
            <w:pPr>
              <w:spacing w:before="20" w:after="20"/>
              <w:rPr>
                <w:rFonts w:cs="Arial"/>
                <w:sz w:val="18"/>
              </w:rPr>
            </w:pPr>
            <w:r w:rsidRPr="004351EB">
              <w:rPr>
                <w:rFonts w:cs="Arial"/>
                <w:sz w:val="18"/>
              </w:rPr>
              <w:t>6</w:t>
            </w:r>
          </w:p>
        </w:tc>
        <w:tc>
          <w:tcPr>
            <w:tcW w:w="382" w:type="dxa"/>
            <w:shd w:val="clear" w:color="auto" w:fill="auto"/>
          </w:tcPr>
          <w:p w14:paraId="7884495D" w14:textId="77777777" w:rsidR="006D3E4A" w:rsidRPr="004351EB" w:rsidRDefault="006D3E4A" w:rsidP="004351EB">
            <w:pPr>
              <w:spacing w:before="20" w:after="20"/>
              <w:rPr>
                <w:rFonts w:cs="Arial"/>
                <w:sz w:val="18"/>
              </w:rPr>
            </w:pPr>
          </w:p>
        </w:tc>
        <w:tc>
          <w:tcPr>
            <w:tcW w:w="2619" w:type="dxa"/>
          </w:tcPr>
          <w:p w14:paraId="05FF6D80" w14:textId="77777777" w:rsidR="006D3E4A" w:rsidRPr="004351EB" w:rsidRDefault="006D3E4A" w:rsidP="004351EB">
            <w:pPr>
              <w:spacing w:before="20" w:after="20"/>
              <w:rPr>
                <w:rFonts w:cs="Arial"/>
                <w:sz w:val="18"/>
              </w:rPr>
            </w:pPr>
            <w:r w:rsidRPr="004351EB">
              <w:rPr>
                <w:rFonts w:cs="Arial"/>
                <w:sz w:val="18"/>
              </w:rPr>
              <w:t>40+</w:t>
            </w:r>
          </w:p>
        </w:tc>
        <w:tc>
          <w:tcPr>
            <w:tcW w:w="1165" w:type="dxa"/>
          </w:tcPr>
          <w:p w14:paraId="33186C97" w14:textId="77777777" w:rsidR="006D3E4A" w:rsidRPr="004351EB" w:rsidRDefault="006D3E4A" w:rsidP="004351EB">
            <w:pPr>
              <w:spacing w:before="20" w:after="20"/>
              <w:rPr>
                <w:rFonts w:cs="Arial"/>
                <w:sz w:val="18"/>
              </w:rPr>
            </w:pPr>
            <w:r w:rsidRPr="004351EB">
              <w:rPr>
                <w:rFonts w:cs="Arial"/>
                <w:sz w:val="18"/>
              </w:rPr>
              <w:t>4</w:t>
            </w:r>
          </w:p>
        </w:tc>
      </w:tr>
      <w:tr w:rsidR="006D3E4A" w:rsidRPr="004351EB" w14:paraId="5423B8AD" w14:textId="77777777" w:rsidTr="00C149EE">
        <w:tc>
          <w:tcPr>
            <w:tcW w:w="2678" w:type="dxa"/>
          </w:tcPr>
          <w:p w14:paraId="748E4227" w14:textId="77777777" w:rsidR="006D3E4A" w:rsidRPr="004351EB" w:rsidRDefault="006D3E4A" w:rsidP="004351EB">
            <w:pPr>
              <w:spacing w:before="20" w:after="20"/>
              <w:rPr>
                <w:rFonts w:cs="Arial"/>
                <w:sz w:val="18"/>
              </w:rPr>
            </w:pPr>
            <w:r w:rsidRPr="004351EB">
              <w:rPr>
                <w:rFonts w:cs="Arial"/>
                <w:sz w:val="18"/>
              </w:rPr>
              <w:t>Varies</w:t>
            </w:r>
          </w:p>
        </w:tc>
        <w:tc>
          <w:tcPr>
            <w:tcW w:w="1094" w:type="dxa"/>
          </w:tcPr>
          <w:p w14:paraId="108CCB8E" w14:textId="77777777" w:rsidR="006D3E4A" w:rsidRPr="004351EB" w:rsidRDefault="006D3E4A" w:rsidP="004351EB">
            <w:pPr>
              <w:spacing w:before="20" w:after="20"/>
              <w:rPr>
                <w:rFonts w:cs="Arial"/>
                <w:sz w:val="18"/>
              </w:rPr>
            </w:pPr>
            <w:r w:rsidRPr="004351EB">
              <w:rPr>
                <w:rFonts w:cs="Arial"/>
                <w:sz w:val="18"/>
              </w:rPr>
              <w:t>1</w:t>
            </w:r>
          </w:p>
        </w:tc>
        <w:tc>
          <w:tcPr>
            <w:tcW w:w="382" w:type="dxa"/>
            <w:shd w:val="clear" w:color="auto" w:fill="auto"/>
          </w:tcPr>
          <w:p w14:paraId="0469C3F5" w14:textId="77777777" w:rsidR="006D3E4A" w:rsidRPr="004351EB" w:rsidRDefault="006D3E4A" w:rsidP="004351EB">
            <w:pPr>
              <w:spacing w:before="20" w:after="20"/>
              <w:rPr>
                <w:rFonts w:cs="Arial"/>
                <w:sz w:val="18"/>
              </w:rPr>
            </w:pPr>
          </w:p>
        </w:tc>
        <w:tc>
          <w:tcPr>
            <w:tcW w:w="2619" w:type="dxa"/>
          </w:tcPr>
          <w:p w14:paraId="688F3869" w14:textId="77777777" w:rsidR="006D3E4A" w:rsidRPr="004351EB" w:rsidRDefault="006D3E4A" w:rsidP="004351EB">
            <w:pPr>
              <w:spacing w:before="20" w:after="20"/>
              <w:rPr>
                <w:rFonts w:cs="Arial"/>
                <w:sz w:val="18"/>
              </w:rPr>
            </w:pPr>
            <w:r w:rsidRPr="004351EB">
              <w:rPr>
                <w:rFonts w:cs="Arial"/>
                <w:sz w:val="18"/>
              </w:rPr>
              <w:t>Varies</w:t>
            </w:r>
          </w:p>
        </w:tc>
        <w:tc>
          <w:tcPr>
            <w:tcW w:w="1165" w:type="dxa"/>
          </w:tcPr>
          <w:p w14:paraId="59740D01" w14:textId="77777777" w:rsidR="006D3E4A" w:rsidRPr="004351EB" w:rsidRDefault="006D3E4A" w:rsidP="004351EB">
            <w:pPr>
              <w:spacing w:before="20" w:after="20"/>
              <w:rPr>
                <w:rFonts w:cs="Arial"/>
                <w:sz w:val="18"/>
              </w:rPr>
            </w:pPr>
            <w:r w:rsidRPr="004351EB">
              <w:rPr>
                <w:rFonts w:cs="Arial"/>
                <w:sz w:val="18"/>
              </w:rPr>
              <w:t>1</w:t>
            </w:r>
          </w:p>
        </w:tc>
      </w:tr>
      <w:tr w:rsidR="006D3E4A" w:rsidRPr="004351EB" w14:paraId="291C278A" w14:textId="77777777" w:rsidTr="00C149EE">
        <w:tc>
          <w:tcPr>
            <w:tcW w:w="2678" w:type="dxa"/>
            <w:tcBorders>
              <w:bottom w:val="single" w:sz="4" w:space="0" w:color="A8D08D" w:themeColor="accent6" w:themeTint="99"/>
            </w:tcBorders>
          </w:tcPr>
          <w:p w14:paraId="7970B277" w14:textId="77777777" w:rsidR="006D3E4A" w:rsidRPr="004351EB" w:rsidRDefault="006D3E4A" w:rsidP="004351EB">
            <w:pPr>
              <w:spacing w:before="20" w:after="20"/>
              <w:rPr>
                <w:rFonts w:cs="Arial"/>
                <w:sz w:val="18"/>
              </w:rPr>
            </w:pPr>
            <w:r w:rsidRPr="004351EB">
              <w:rPr>
                <w:rFonts w:cs="Arial"/>
                <w:sz w:val="18"/>
              </w:rPr>
              <w:t>No response</w:t>
            </w:r>
          </w:p>
        </w:tc>
        <w:tc>
          <w:tcPr>
            <w:tcW w:w="1094" w:type="dxa"/>
            <w:tcBorders>
              <w:bottom w:val="single" w:sz="4" w:space="0" w:color="A8D08D" w:themeColor="accent6" w:themeTint="99"/>
            </w:tcBorders>
          </w:tcPr>
          <w:p w14:paraId="737B7577" w14:textId="77777777" w:rsidR="006D3E4A" w:rsidRPr="004351EB" w:rsidRDefault="006D3E4A" w:rsidP="004351EB">
            <w:pPr>
              <w:spacing w:before="20" w:after="20"/>
              <w:rPr>
                <w:rFonts w:cs="Arial"/>
                <w:sz w:val="18"/>
              </w:rPr>
            </w:pPr>
            <w:r w:rsidRPr="004351EB">
              <w:rPr>
                <w:rFonts w:cs="Arial"/>
                <w:sz w:val="18"/>
              </w:rPr>
              <w:t>1</w:t>
            </w:r>
          </w:p>
        </w:tc>
        <w:tc>
          <w:tcPr>
            <w:tcW w:w="382" w:type="dxa"/>
            <w:tcBorders>
              <w:bottom w:val="single" w:sz="4" w:space="0" w:color="A8D08D" w:themeColor="accent6" w:themeTint="99"/>
            </w:tcBorders>
            <w:shd w:val="clear" w:color="auto" w:fill="auto"/>
          </w:tcPr>
          <w:p w14:paraId="62564858" w14:textId="77777777" w:rsidR="006D3E4A" w:rsidRPr="004351EB" w:rsidRDefault="006D3E4A" w:rsidP="004351EB">
            <w:pPr>
              <w:spacing w:before="20" w:after="20"/>
              <w:rPr>
                <w:rFonts w:cs="Arial"/>
                <w:sz w:val="18"/>
              </w:rPr>
            </w:pPr>
          </w:p>
        </w:tc>
        <w:tc>
          <w:tcPr>
            <w:tcW w:w="2619" w:type="dxa"/>
            <w:tcBorders>
              <w:bottom w:val="single" w:sz="4" w:space="0" w:color="A8D08D" w:themeColor="accent6" w:themeTint="99"/>
            </w:tcBorders>
          </w:tcPr>
          <w:p w14:paraId="23224A63" w14:textId="77777777" w:rsidR="006D3E4A" w:rsidRPr="004351EB" w:rsidRDefault="006D3E4A" w:rsidP="004351EB">
            <w:pPr>
              <w:spacing w:before="20" w:after="20"/>
              <w:rPr>
                <w:rFonts w:cs="Arial"/>
                <w:sz w:val="18"/>
              </w:rPr>
            </w:pPr>
            <w:r w:rsidRPr="004351EB">
              <w:rPr>
                <w:rFonts w:cs="Arial"/>
                <w:sz w:val="18"/>
              </w:rPr>
              <w:t>No response</w:t>
            </w:r>
          </w:p>
        </w:tc>
        <w:tc>
          <w:tcPr>
            <w:tcW w:w="1165" w:type="dxa"/>
            <w:tcBorders>
              <w:bottom w:val="single" w:sz="4" w:space="0" w:color="A8D08D" w:themeColor="accent6" w:themeTint="99"/>
            </w:tcBorders>
          </w:tcPr>
          <w:p w14:paraId="758C7973" w14:textId="77777777" w:rsidR="006D3E4A" w:rsidRPr="004351EB" w:rsidRDefault="006D3E4A" w:rsidP="004351EB">
            <w:pPr>
              <w:spacing w:before="20" w:after="20"/>
              <w:rPr>
                <w:rFonts w:cs="Arial"/>
                <w:sz w:val="18"/>
              </w:rPr>
            </w:pPr>
            <w:r w:rsidRPr="004351EB">
              <w:rPr>
                <w:rFonts w:cs="Arial"/>
                <w:sz w:val="18"/>
              </w:rPr>
              <w:t>1</w:t>
            </w:r>
          </w:p>
        </w:tc>
      </w:tr>
    </w:tbl>
    <w:p w14:paraId="3825AF3A" w14:textId="722519AB" w:rsidR="003D355F" w:rsidRDefault="00C149EE" w:rsidP="002028A6">
      <w:pPr>
        <w:pStyle w:val="Heading2"/>
      </w:pPr>
      <w:bookmarkStart w:id="577" w:name="_Toc274145112"/>
      <w:bookmarkStart w:id="578" w:name="_Toc274909875"/>
      <w:bookmarkStart w:id="579" w:name="_Toc278447891"/>
      <w:bookmarkStart w:id="580" w:name="_Toc278453364"/>
      <w:r>
        <w:br/>
      </w:r>
      <w:r w:rsidR="002876A0">
        <w:t>4</w:t>
      </w:r>
      <w:r w:rsidR="002279DB">
        <w:t>.</w:t>
      </w:r>
      <w:r w:rsidR="00A820B3">
        <w:t>3</w:t>
      </w:r>
      <w:r w:rsidR="002279DB">
        <w:tab/>
      </w:r>
      <w:r w:rsidR="006D3E4A" w:rsidRPr="00A675A0">
        <w:t xml:space="preserve">Commentary on the </w:t>
      </w:r>
      <w:r w:rsidR="004351EB">
        <w:t>c</w:t>
      </w:r>
      <w:r w:rsidR="006D3E4A" w:rsidRPr="00A675A0">
        <w:t xml:space="preserve">omparison of </w:t>
      </w:r>
      <w:r w:rsidR="004351EB">
        <w:t>t</w:t>
      </w:r>
      <w:r w:rsidR="006D3E4A" w:rsidRPr="00A675A0">
        <w:t xml:space="preserve">rainer and </w:t>
      </w:r>
      <w:r w:rsidR="004351EB">
        <w:t>t</w:t>
      </w:r>
      <w:r w:rsidR="006D3E4A" w:rsidRPr="00A675A0">
        <w:t xml:space="preserve">utor </w:t>
      </w:r>
      <w:r w:rsidR="004351EB">
        <w:t>i</w:t>
      </w:r>
      <w:r w:rsidR="006D3E4A" w:rsidRPr="00A675A0">
        <w:t>nformation</w:t>
      </w:r>
      <w:bookmarkEnd w:id="577"/>
      <w:bookmarkEnd w:id="578"/>
      <w:bookmarkEnd w:id="579"/>
      <w:bookmarkEnd w:id="580"/>
    </w:p>
    <w:p w14:paraId="18C01299" w14:textId="77777777" w:rsidR="006D3E4A" w:rsidRPr="00A675A0" w:rsidRDefault="006D3E4A" w:rsidP="006D3E4A">
      <w:pPr>
        <w:rPr>
          <w:rFonts w:cs="Arial"/>
        </w:rPr>
      </w:pPr>
      <w:r w:rsidRPr="00A675A0">
        <w:rPr>
          <w:rFonts w:cs="Arial"/>
        </w:rPr>
        <w:t>It can be seen from the above results, and it was apparent during the consultations that:</w:t>
      </w:r>
    </w:p>
    <w:p w14:paraId="1B9638D9" w14:textId="77777777" w:rsidR="006D3E4A" w:rsidRPr="00A675A0" w:rsidRDefault="00654898" w:rsidP="000668BA">
      <w:pPr>
        <w:numPr>
          <w:ilvl w:val="0"/>
          <w:numId w:val="53"/>
        </w:numPr>
        <w:contextualSpacing/>
        <w:rPr>
          <w:rFonts w:cs="Arial"/>
        </w:rPr>
      </w:pPr>
      <w:r>
        <w:rPr>
          <w:rFonts w:cs="Arial"/>
        </w:rPr>
        <w:t>a</w:t>
      </w:r>
      <w:r w:rsidRPr="00A675A0">
        <w:rPr>
          <w:rFonts w:cs="Arial"/>
        </w:rPr>
        <w:t xml:space="preserve">lmost </w:t>
      </w:r>
      <w:r w:rsidR="006D3E4A" w:rsidRPr="00A675A0">
        <w:rPr>
          <w:rFonts w:cs="Arial"/>
        </w:rPr>
        <w:t xml:space="preserve">half of the trainers have been with APTC for more than </w:t>
      </w:r>
      <w:r>
        <w:rPr>
          <w:rFonts w:cs="Arial"/>
        </w:rPr>
        <w:t>four</w:t>
      </w:r>
      <w:r w:rsidRPr="00A675A0">
        <w:rPr>
          <w:rFonts w:cs="Arial"/>
        </w:rPr>
        <w:t xml:space="preserve"> </w:t>
      </w:r>
      <w:r w:rsidR="006D3E4A" w:rsidRPr="00A675A0">
        <w:rPr>
          <w:rFonts w:cs="Arial"/>
        </w:rPr>
        <w:t xml:space="preserve">years </w:t>
      </w:r>
      <w:r>
        <w:rPr>
          <w:rFonts w:cs="Arial"/>
        </w:rPr>
        <w:br/>
      </w:r>
      <w:r w:rsidR="006D3E4A" w:rsidRPr="00A675A0">
        <w:rPr>
          <w:rFonts w:cs="Arial"/>
        </w:rPr>
        <w:t xml:space="preserve">i.e. before </w:t>
      </w:r>
      <w:r w:rsidR="001F5811">
        <w:rPr>
          <w:rFonts w:cs="Arial"/>
        </w:rPr>
        <w:t>Stage II</w:t>
      </w:r>
    </w:p>
    <w:p w14:paraId="6D0F9853" w14:textId="77777777" w:rsidR="006D3E4A" w:rsidRPr="00A675A0" w:rsidRDefault="00654898" w:rsidP="000668BA">
      <w:pPr>
        <w:numPr>
          <w:ilvl w:val="0"/>
          <w:numId w:val="53"/>
        </w:numPr>
        <w:contextualSpacing/>
        <w:rPr>
          <w:rFonts w:cs="Arial"/>
        </w:rPr>
      </w:pPr>
      <w:r>
        <w:rPr>
          <w:rFonts w:cs="Arial"/>
        </w:rPr>
        <w:t>p</w:t>
      </w:r>
      <w:r w:rsidRPr="00A675A0">
        <w:rPr>
          <w:rFonts w:cs="Arial"/>
        </w:rPr>
        <w:t xml:space="preserve">roportionately </w:t>
      </w:r>
      <w:r w:rsidR="006D3E4A" w:rsidRPr="00A675A0">
        <w:rPr>
          <w:rFonts w:cs="Arial"/>
        </w:rPr>
        <w:t>more female tutors are employed at APTC than female trainers</w:t>
      </w:r>
    </w:p>
    <w:p w14:paraId="0A538A89" w14:textId="77777777" w:rsidR="006D3E4A" w:rsidRPr="00A675A0" w:rsidRDefault="00654898" w:rsidP="000668BA">
      <w:pPr>
        <w:numPr>
          <w:ilvl w:val="0"/>
          <w:numId w:val="53"/>
        </w:numPr>
        <w:contextualSpacing/>
        <w:rPr>
          <w:rFonts w:cs="Arial"/>
        </w:rPr>
      </w:pPr>
      <w:r>
        <w:rPr>
          <w:rFonts w:cs="Arial"/>
        </w:rPr>
        <w:t>n</w:t>
      </w:r>
      <w:r w:rsidR="006D3E4A" w:rsidRPr="00A675A0">
        <w:rPr>
          <w:rFonts w:cs="Arial"/>
        </w:rPr>
        <w:t>ational trainers are still small in number (although more have since been approved)</w:t>
      </w:r>
    </w:p>
    <w:p w14:paraId="41F67047" w14:textId="77777777" w:rsidR="006D3E4A" w:rsidRPr="00A675A0" w:rsidRDefault="007668A4" w:rsidP="000668BA">
      <w:pPr>
        <w:numPr>
          <w:ilvl w:val="0"/>
          <w:numId w:val="53"/>
        </w:numPr>
        <w:contextualSpacing/>
        <w:rPr>
          <w:rFonts w:cs="Arial"/>
        </w:rPr>
      </w:pPr>
      <w:r>
        <w:rPr>
          <w:rFonts w:cs="Arial"/>
        </w:rPr>
        <w:t>t</w:t>
      </w:r>
      <w:r w:rsidRPr="00A675A0">
        <w:rPr>
          <w:rFonts w:cs="Arial"/>
        </w:rPr>
        <w:t xml:space="preserve">utors’ </w:t>
      </w:r>
      <w:r w:rsidR="006D3E4A" w:rsidRPr="00A675A0">
        <w:rPr>
          <w:rFonts w:cs="Arial"/>
        </w:rPr>
        <w:t>vocational qualifications are low compared with those of trainers</w:t>
      </w:r>
    </w:p>
    <w:p w14:paraId="263E2AB6" w14:textId="77777777" w:rsidR="006D3E4A" w:rsidRPr="00A675A0" w:rsidRDefault="007668A4" w:rsidP="000668BA">
      <w:pPr>
        <w:numPr>
          <w:ilvl w:val="0"/>
          <w:numId w:val="53"/>
        </w:numPr>
        <w:contextualSpacing/>
        <w:rPr>
          <w:rFonts w:cs="Arial"/>
        </w:rPr>
      </w:pPr>
      <w:r>
        <w:rPr>
          <w:rFonts w:cs="Arial"/>
        </w:rPr>
        <w:t>s</w:t>
      </w:r>
      <w:r w:rsidRPr="00A675A0">
        <w:rPr>
          <w:rFonts w:cs="Arial"/>
        </w:rPr>
        <w:t xml:space="preserve">ignificant </w:t>
      </w:r>
      <w:r w:rsidR="006D3E4A" w:rsidRPr="00A675A0">
        <w:rPr>
          <w:rFonts w:cs="Arial"/>
        </w:rPr>
        <w:t xml:space="preserve">progress has been made with tutors undertaking or completing the Certificate IV in </w:t>
      </w:r>
      <w:r w:rsidR="00346C73">
        <w:rPr>
          <w:rFonts w:cs="Arial"/>
        </w:rPr>
        <w:t>Training and Assessment</w:t>
      </w:r>
    </w:p>
    <w:p w14:paraId="39F95691" w14:textId="77777777" w:rsidR="006D3E4A" w:rsidRPr="00A675A0" w:rsidRDefault="00FE173B" w:rsidP="000668BA">
      <w:pPr>
        <w:numPr>
          <w:ilvl w:val="0"/>
          <w:numId w:val="53"/>
        </w:numPr>
        <w:contextualSpacing/>
        <w:rPr>
          <w:rFonts w:cs="Arial"/>
        </w:rPr>
      </w:pPr>
      <w:r>
        <w:rPr>
          <w:rFonts w:cs="Arial"/>
        </w:rPr>
        <w:t>a</w:t>
      </w:r>
      <w:r w:rsidRPr="00A675A0">
        <w:rPr>
          <w:rFonts w:cs="Arial"/>
        </w:rPr>
        <w:t xml:space="preserve">lmost </w:t>
      </w:r>
      <w:r w:rsidR="006D3E4A" w:rsidRPr="00A675A0">
        <w:rPr>
          <w:rFonts w:cs="Arial"/>
        </w:rPr>
        <w:t>half the tutors have experienced a quality audit although most have not been with APTC for more than two years</w:t>
      </w:r>
    </w:p>
    <w:p w14:paraId="2D7AD956" w14:textId="77777777" w:rsidR="006D3E4A" w:rsidRPr="00A675A0" w:rsidRDefault="00FE173B" w:rsidP="000668BA">
      <w:pPr>
        <w:numPr>
          <w:ilvl w:val="0"/>
          <w:numId w:val="53"/>
        </w:numPr>
        <w:contextualSpacing/>
        <w:rPr>
          <w:rFonts w:cs="Arial"/>
        </w:rPr>
      </w:pPr>
      <w:r>
        <w:rPr>
          <w:rFonts w:cs="Arial"/>
        </w:rPr>
        <w:t>t</w:t>
      </w:r>
      <w:r w:rsidRPr="00A675A0">
        <w:rPr>
          <w:rFonts w:cs="Arial"/>
        </w:rPr>
        <w:t xml:space="preserve">he </w:t>
      </w:r>
      <w:r w:rsidR="006D3E4A" w:rsidRPr="00A675A0">
        <w:rPr>
          <w:rFonts w:cs="Arial"/>
        </w:rPr>
        <w:t>extent to which trainers and tutors raise issues of concern with supervisors varies</w:t>
      </w:r>
      <w:r w:rsidR="009F5FDF">
        <w:rPr>
          <w:rFonts w:cs="Arial"/>
        </w:rPr>
        <w:t>,</w:t>
      </w:r>
      <w:r w:rsidR="006D3E4A" w:rsidRPr="00A675A0">
        <w:rPr>
          <w:rFonts w:cs="Arial"/>
        </w:rPr>
        <w:t xml:space="preserve"> with tutors more likely to regard their supervisor as responsive than trainers. In turn, tutors’ supervisors are most likely to be trainers</w:t>
      </w:r>
    </w:p>
    <w:p w14:paraId="5CF077DB" w14:textId="77777777" w:rsidR="006D3E4A" w:rsidRPr="00A675A0" w:rsidRDefault="009F5FDF" w:rsidP="000668BA">
      <w:pPr>
        <w:numPr>
          <w:ilvl w:val="0"/>
          <w:numId w:val="53"/>
        </w:numPr>
        <w:contextualSpacing/>
        <w:rPr>
          <w:rFonts w:cs="Arial"/>
        </w:rPr>
      </w:pPr>
      <w:r>
        <w:rPr>
          <w:rFonts w:cs="Arial"/>
        </w:rPr>
        <w:t>s</w:t>
      </w:r>
      <w:r w:rsidRPr="00A675A0">
        <w:rPr>
          <w:rFonts w:cs="Arial"/>
        </w:rPr>
        <w:t xml:space="preserve">ome </w:t>
      </w:r>
      <w:r w:rsidR="006D3E4A" w:rsidRPr="00A675A0">
        <w:rPr>
          <w:rFonts w:cs="Arial"/>
        </w:rPr>
        <w:t>teachers appear to have an allocation of more than 40 hours a week – a cause for some dissatisfaction.</w:t>
      </w:r>
    </w:p>
    <w:p w14:paraId="1032EE91" w14:textId="77777777" w:rsidR="006D3E4A" w:rsidRPr="00A675A0" w:rsidRDefault="006D3E4A" w:rsidP="006D3E4A">
      <w:pPr>
        <w:rPr>
          <w:rFonts w:cs="Arial"/>
        </w:rPr>
      </w:pPr>
    </w:p>
    <w:p w14:paraId="5FBA2DEF" w14:textId="77777777" w:rsidR="00941AAE" w:rsidRDefault="00941AAE">
      <w:pPr>
        <w:spacing w:after="0"/>
        <w:rPr>
          <w:rFonts w:cs="Arial"/>
          <w:b/>
          <w:bCs/>
          <w:color w:val="76923C"/>
          <w:szCs w:val="28"/>
        </w:rPr>
      </w:pPr>
      <w:bookmarkStart w:id="581" w:name="_Toc274145113"/>
      <w:bookmarkStart w:id="582" w:name="_Toc274909876"/>
      <w:bookmarkStart w:id="583" w:name="_Toc278447892"/>
      <w:bookmarkStart w:id="584" w:name="_Toc278453365"/>
      <w:r>
        <w:br w:type="page"/>
      </w:r>
    </w:p>
    <w:p w14:paraId="0CF6FAA2" w14:textId="18F3E58E" w:rsidR="003D355F" w:rsidRDefault="00583A30" w:rsidP="002028A6">
      <w:pPr>
        <w:pStyle w:val="Heading2"/>
      </w:pPr>
      <w:r>
        <w:t>4.</w:t>
      </w:r>
      <w:r w:rsidR="00A820B3">
        <w:t>4</w:t>
      </w:r>
      <w:r>
        <w:tab/>
      </w:r>
      <w:r w:rsidR="006D3E4A" w:rsidRPr="00A675A0">
        <w:t xml:space="preserve">Trainers and </w:t>
      </w:r>
      <w:r w:rsidR="0014080F">
        <w:t>t</w:t>
      </w:r>
      <w:r w:rsidR="0014080F" w:rsidRPr="00A675A0">
        <w:t xml:space="preserve">utors’ </w:t>
      </w:r>
      <w:r w:rsidR="004351EB">
        <w:t>r</w:t>
      </w:r>
      <w:r w:rsidR="006D3E4A" w:rsidRPr="00A675A0">
        <w:t xml:space="preserve">esponses to </w:t>
      </w:r>
      <w:r w:rsidR="004351EB">
        <w:t>o</w:t>
      </w:r>
      <w:r w:rsidR="006D3E4A" w:rsidRPr="00A675A0">
        <w:t xml:space="preserve">pen-ended </w:t>
      </w:r>
      <w:r w:rsidR="004351EB">
        <w:t>q</w:t>
      </w:r>
      <w:r w:rsidR="006D3E4A" w:rsidRPr="00A675A0">
        <w:t>uestions (F= frequency)</w:t>
      </w:r>
      <w:bookmarkEnd w:id="581"/>
      <w:bookmarkEnd w:id="582"/>
      <w:bookmarkEnd w:id="583"/>
      <w:bookmarkEnd w:id="584"/>
    </w:p>
    <w:tbl>
      <w:tblPr>
        <w:tblStyle w:val="TableGrid1"/>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542"/>
        <w:gridCol w:w="3420"/>
        <w:gridCol w:w="542"/>
      </w:tblGrid>
      <w:tr w:rsidR="006D3E4A" w:rsidRPr="004351EB" w14:paraId="00BB91B3" w14:textId="77777777" w:rsidTr="00C149EE">
        <w:tc>
          <w:tcPr>
            <w:tcW w:w="9067" w:type="dxa"/>
            <w:gridSpan w:val="4"/>
            <w:shd w:val="clear" w:color="auto" w:fill="C5E0B3" w:themeFill="accent6" w:themeFillTint="66"/>
          </w:tcPr>
          <w:p w14:paraId="79F9D70A" w14:textId="77777777" w:rsidR="006D3E4A" w:rsidRPr="004351EB" w:rsidRDefault="006D3E4A" w:rsidP="00FD40BB">
            <w:pPr>
              <w:spacing w:before="40" w:after="40"/>
              <w:jc w:val="center"/>
              <w:rPr>
                <w:rFonts w:cs="Arial"/>
                <w:b/>
                <w:sz w:val="18"/>
              </w:rPr>
            </w:pPr>
            <w:r w:rsidRPr="004351EB">
              <w:rPr>
                <w:rFonts w:cs="Arial"/>
                <w:b/>
                <w:sz w:val="20"/>
              </w:rPr>
              <w:t>Trainers’ and tutors’ perceptions of the main challenges they face</w:t>
            </w:r>
          </w:p>
        </w:tc>
      </w:tr>
      <w:tr w:rsidR="006D3E4A" w:rsidRPr="004351EB" w14:paraId="522DB340" w14:textId="77777777" w:rsidTr="005659EF">
        <w:tc>
          <w:tcPr>
            <w:tcW w:w="3936" w:type="dxa"/>
            <w:shd w:val="clear" w:color="auto" w:fill="E2EFD9" w:themeFill="accent6" w:themeFillTint="33"/>
          </w:tcPr>
          <w:p w14:paraId="36D12545" w14:textId="77777777" w:rsidR="006D3E4A" w:rsidRPr="004351EB" w:rsidRDefault="006D3E4A" w:rsidP="00FD40BB">
            <w:pPr>
              <w:spacing w:before="40" w:after="40"/>
              <w:rPr>
                <w:rFonts w:cs="Arial"/>
                <w:b/>
                <w:sz w:val="18"/>
              </w:rPr>
            </w:pPr>
            <w:r w:rsidRPr="004351EB">
              <w:rPr>
                <w:rFonts w:cs="Arial"/>
                <w:b/>
                <w:sz w:val="18"/>
              </w:rPr>
              <w:t xml:space="preserve">Trainers </w:t>
            </w:r>
          </w:p>
        </w:tc>
        <w:tc>
          <w:tcPr>
            <w:tcW w:w="595" w:type="dxa"/>
            <w:tcBorders>
              <w:right w:val="single" w:sz="4" w:space="0" w:color="A8D08D" w:themeColor="accent6" w:themeTint="99"/>
            </w:tcBorders>
            <w:shd w:val="clear" w:color="auto" w:fill="E2EFD9" w:themeFill="accent6" w:themeFillTint="33"/>
          </w:tcPr>
          <w:p w14:paraId="108F861D" w14:textId="77777777" w:rsidR="006D3E4A" w:rsidRPr="004351EB" w:rsidRDefault="006D3E4A" w:rsidP="00FD40BB">
            <w:pPr>
              <w:spacing w:before="40" w:after="40"/>
              <w:jc w:val="center"/>
              <w:rPr>
                <w:rFonts w:cs="Arial"/>
                <w:b/>
                <w:sz w:val="18"/>
              </w:rPr>
            </w:pPr>
            <w:r w:rsidRPr="004351EB">
              <w:rPr>
                <w:rFonts w:cs="Arial"/>
                <w:b/>
                <w:sz w:val="18"/>
              </w:rPr>
              <w:t>F</w:t>
            </w:r>
          </w:p>
        </w:tc>
        <w:tc>
          <w:tcPr>
            <w:tcW w:w="3941" w:type="dxa"/>
            <w:tcBorders>
              <w:left w:val="single" w:sz="4" w:space="0" w:color="A8D08D" w:themeColor="accent6" w:themeTint="99"/>
            </w:tcBorders>
            <w:shd w:val="clear" w:color="auto" w:fill="E2EFD9" w:themeFill="accent6" w:themeFillTint="33"/>
          </w:tcPr>
          <w:p w14:paraId="6D18AE65" w14:textId="77777777" w:rsidR="006D3E4A" w:rsidRPr="004351EB" w:rsidRDefault="006D3E4A" w:rsidP="00FD40BB">
            <w:pPr>
              <w:spacing w:before="40" w:after="40"/>
              <w:rPr>
                <w:rFonts w:cs="Arial"/>
                <w:b/>
                <w:sz w:val="18"/>
              </w:rPr>
            </w:pPr>
            <w:r w:rsidRPr="004351EB">
              <w:rPr>
                <w:rFonts w:cs="Arial"/>
                <w:b/>
                <w:sz w:val="18"/>
              </w:rPr>
              <w:t xml:space="preserve">Tutors </w:t>
            </w:r>
          </w:p>
        </w:tc>
        <w:tc>
          <w:tcPr>
            <w:tcW w:w="595" w:type="dxa"/>
            <w:shd w:val="clear" w:color="auto" w:fill="E2EFD9" w:themeFill="accent6" w:themeFillTint="33"/>
          </w:tcPr>
          <w:p w14:paraId="66E74ACE" w14:textId="77777777" w:rsidR="006D3E4A" w:rsidRPr="004351EB" w:rsidRDefault="006D3E4A" w:rsidP="00FD40BB">
            <w:pPr>
              <w:spacing w:before="40" w:after="40"/>
              <w:jc w:val="center"/>
              <w:rPr>
                <w:rFonts w:cs="Arial"/>
                <w:b/>
                <w:sz w:val="18"/>
              </w:rPr>
            </w:pPr>
            <w:r w:rsidRPr="004351EB">
              <w:rPr>
                <w:rFonts w:cs="Arial"/>
                <w:b/>
                <w:sz w:val="18"/>
              </w:rPr>
              <w:t>F</w:t>
            </w:r>
          </w:p>
        </w:tc>
      </w:tr>
      <w:tr w:rsidR="006D3E4A" w:rsidRPr="004351EB" w14:paraId="40C6EC7A" w14:textId="77777777" w:rsidTr="005659EF">
        <w:tc>
          <w:tcPr>
            <w:tcW w:w="3936" w:type="dxa"/>
          </w:tcPr>
          <w:p w14:paraId="3E42861A" w14:textId="77777777" w:rsidR="006D3E4A" w:rsidRPr="004351EB" w:rsidRDefault="006D3E4A" w:rsidP="00FD40BB">
            <w:pPr>
              <w:spacing w:before="40" w:after="40"/>
              <w:rPr>
                <w:rFonts w:cs="Arial"/>
                <w:b/>
                <w:sz w:val="18"/>
              </w:rPr>
            </w:pPr>
            <w:r w:rsidRPr="004351EB">
              <w:rPr>
                <w:rFonts w:cs="Arial"/>
                <w:sz w:val="18"/>
              </w:rPr>
              <w:t>Dealing with language, literacy and numeracy (LLN) issues with students</w:t>
            </w:r>
          </w:p>
        </w:tc>
        <w:tc>
          <w:tcPr>
            <w:tcW w:w="595" w:type="dxa"/>
            <w:tcBorders>
              <w:right w:val="single" w:sz="4" w:space="0" w:color="A8D08D" w:themeColor="accent6" w:themeTint="99"/>
            </w:tcBorders>
          </w:tcPr>
          <w:p w14:paraId="191F63D9" w14:textId="77777777" w:rsidR="006D3E4A" w:rsidRPr="004351EB" w:rsidRDefault="006D3E4A" w:rsidP="00FD40BB">
            <w:pPr>
              <w:spacing w:before="40" w:after="40"/>
              <w:jc w:val="center"/>
              <w:rPr>
                <w:rFonts w:cs="Arial"/>
                <w:b/>
                <w:sz w:val="18"/>
              </w:rPr>
            </w:pPr>
            <w:r w:rsidRPr="004351EB">
              <w:rPr>
                <w:rFonts w:cs="Arial"/>
                <w:sz w:val="18"/>
              </w:rPr>
              <w:t>9</w:t>
            </w:r>
          </w:p>
        </w:tc>
        <w:tc>
          <w:tcPr>
            <w:tcW w:w="3941" w:type="dxa"/>
            <w:tcBorders>
              <w:left w:val="single" w:sz="4" w:space="0" w:color="A8D08D" w:themeColor="accent6" w:themeTint="99"/>
            </w:tcBorders>
          </w:tcPr>
          <w:p w14:paraId="64462B7C" w14:textId="77777777" w:rsidR="006D3E4A" w:rsidRPr="004351EB" w:rsidRDefault="006D3E4A" w:rsidP="00FD40BB">
            <w:pPr>
              <w:spacing w:before="40" w:after="40"/>
              <w:rPr>
                <w:rFonts w:cs="Arial"/>
                <w:sz w:val="18"/>
              </w:rPr>
            </w:pPr>
            <w:r w:rsidRPr="004351EB">
              <w:rPr>
                <w:rFonts w:cs="Arial"/>
                <w:sz w:val="18"/>
              </w:rPr>
              <w:t>Coping with cultural and linguistic diversity (CALD) of students</w:t>
            </w:r>
          </w:p>
        </w:tc>
        <w:tc>
          <w:tcPr>
            <w:tcW w:w="595" w:type="dxa"/>
          </w:tcPr>
          <w:p w14:paraId="72FF21F7" w14:textId="77777777" w:rsidR="006D3E4A" w:rsidRPr="004351EB" w:rsidRDefault="006D3E4A" w:rsidP="00FD40BB">
            <w:pPr>
              <w:spacing w:before="40" w:after="40"/>
              <w:jc w:val="center"/>
              <w:rPr>
                <w:rFonts w:cs="Arial"/>
                <w:sz w:val="18"/>
              </w:rPr>
            </w:pPr>
            <w:r w:rsidRPr="004351EB">
              <w:rPr>
                <w:rFonts w:cs="Arial"/>
                <w:sz w:val="18"/>
              </w:rPr>
              <w:t>9</w:t>
            </w:r>
          </w:p>
        </w:tc>
      </w:tr>
      <w:tr w:rsidR="006D3E4A" w:rsidRPr="004351EB" w14:paraId="23EDAB8C" w14:textId="77777777" w:rsidTr="007C5A97">
        <w:tc>
          <w:tcPr>
            <w:tcW w:w="3936" w:type="dxa"/>
            <w:shd w:val="clear" w:color="auto" w:fill="E2EFD9" w:themeFill="accent6" w:themeFillTint="33"/>
          </w:tcPr>
          <w:p w14:paraId="2A6AE5F4" w14:textId="77777777" w:rsidR="006D3E4A" w:rsidRPr="004351EB" w:rsidRDefault="006D3E4A" w:rsidP="00FD40BB">
            <w:pPr>
              <w:spacing w:before="40" w:after="40"/>
              <w:rPr>
                <w:rFonts w:cs="Arial"/>
                <w:b/>
                <w:sz w:val="18"/>
              </w:rPr>
            </w:pPr>
            <w:r w:rsidRPr="004351EB">
              <w:rPr>
                <w:rFonts w:cs="Arial"/>
                <w:sz w:val="18"/>
              </w:rPr>
              <w:t>Difficulties associated with cultural and linguistic diversity (CALD) among students</w:t>
            </w:r>
          </w:p>
        </w:tc>
        <w:tc>
          <w:tcPr>
            <w:tcW w:w="595" w:type="dxa"/>
            <w:tcBorders>
              <w:right w:val="single" w:sz="4" w:space="0" w:color="A8D08D" w:themeColor="accent6" w:themeTint="99"/>
            </w:tcBorders>
            <w:shd w:val="clear" w:color="auto" w:fill="E2EFD9" w:themeFill="accent6" w:themeFillTint="33"/>
          </w:tcPr>
          <w:p w14:paraId="62048F1D" w14:textId="77777777" w:rsidR="006D3E4A" w:rsidRPr="004351EB" w:rsidRDefault="006D3E4A" w:rsidP="00FD40BB">
            <w:pPr>
              <w:spacing w:before="40" w:after="40"/>
              <w:jc w:val="center"/>
              <w:rPr>
                <w:rFonts w:cs="Arial"/>
                <w:b/>
                <w:sz w:val="18"/>
              </w:rPr>
            </w:pPr>
            <w:r w:rsidRPr="004351EB">
              <w:rPr>
                <w:rFonts w:cs="Arial"/>
                <w:sz w:val="18"/>
              </w:rPr>
              <w:t>8</w:t>
            </w:r>
          </w:p>
        </w:tc>
        <w:tc>
          <w:tcPr>
            <w:tcW w:w="3941" w:type="dxa"/>
            <w:tcBorders>
              <w:left w:val="single" w:sz="4" w:space="0" w:color="A8D08D" w:themeColor="accent6" w:themeTint="99"/>
            </w:tcBorders>
            <w:shd w:val="clear" w:color="auto" w:fill="E2EFD9" w:themeFill="accent6" w:themeFillTint="33"/>
          </w:tcPr>
          <w:p w14:paraId="63F344B1" w14:textId="77777777" w:rsidR="006D3E4A" w:rsidRPr="004351EB" w:rsidRDefault="006D3E4A" w:rsidP="00FD40BB">
            <w:pPr>
              <w:spacing w:before="40" w:after="40"/>
              <w:rPr>
                <w:rFonts w:cs="Arial"/>
                <w:sz w:val="18"/>
              </w:rPr>
            </w:pPr>
            <w:r w:rsidRPr="004351EB">
              <w:rPr>
                <w:rFonts w:cs="Arial"/>
                <w:sz w:val="18"/>
              </w:rPr>
              <w:t>Lack of access to professional development, including in Australia</w:t>
            </w:r>
          </w:p>
        </w:tc>
        <w:tc>
          <w:tcPr>
            <w:tcW w:w="595" w:type="dxa"/>
            <w:shd w:val="clear" w:color="auto" w:fill="E2EFD9" w:themeFill="accent6" w:themeFillTint="33"/>
          </w:tcPr>
          <w:p w14:paraId="069F2F7E" w14:textId="77777777" w:rsidR="006D3E4A" w:rsidRPr="004351EB" w:rsidRDefault="006D3E4A" w:rsidP="00FD40BB">
            <w:pPr>
              <w:spacing w:before="40" w:after="40"/>
              <w:jc w:val="center"/>
              <w:rPr>
                <w:rFonts w:cs="Arial"/>
                <w:sz w:val="18"/>
              </w:rPr>
            </w:pPr>
            <w:r w:rsidRPr="004351EB">
              <w:rPr>
                <w:rFonts w:cs="Arial"/>
                <w:sz w:val="18"/>
              </w:rPr>
              <w:t>6</w:t>
            </w:r>
          </w:p>
        </w:tc>
      </w:tr>
      <w:tr w:rsidR="006D3E4A" w:rsidRPr="004351EB" w14:paraId="2349A208" w14:textId="77777777" w:rsidTr="005659EF">
        <w:tc>
          <w:tcPr>
            <w:tcW w:w="3936" w:type="dxa"/>
          </w:tcPr>
          <w:p w14:paraId="6FDAEB3B" w14:textId="77777777" w:rsidR="006D3E4A" w:rsidRPr="004351EB" w:rsidRDefault="006D3E4A" w:rsidP="00FD40BB">
            <w:pPr>
              <w:spacing w:before="40" w:after="40"/>
              <w:rPr>
                <w:rFonts w:cs="Arial"/>
                <w:b/>
                <w:sz w:val="18"/>
              </w:rPr>
            </w:pPr>
            <w:r w:rsidRPr="004351EB">
              <w:rPr>
                <w:rFonts w:cs="Arial"/>
                <w:sz w:val="18"/>
              </w:rPr>
              <w:t>Employment conditions for trainers, including high workload, lack of flexibility and living conditions</w:t>
            </w:r>
          </w:p>
        </w:tc>
        <w:tc>
          <w:tcPr>
            <w:tcW w:w="595" w:type="dxa"/>
            <w:tcBorders>
              <w:right w:val="single" w:sz="4" w:space="0" w:color="A8D08D" w:themeColor="accent6" w:themeTint="99"/>
            </w:tcBorders>
          </w:tcPr>
          <w:p w14:paraId="3C7F1A50" w14:textId="77777777" w:rsidR="006D3E4A" w:rsidRPr="00FD40BB" w:rsidRDefault="006D3E4A" w:rsidP="00FD40BB">
            <w:pPr>
              <w:spacing w:before="40" w:after="40"/>
              <w:jc w:val="center"/>
              <w:rPr>
                <w:rFonts w:cs="Arial"/>
                <w:sz w:val="18"/>
              </w:rPr>
            </w:pPr>
            <w:r w:rsidRPr="004351EB">
              <w:rPr>
                <w:rFonts w:cs="Arial"/>
                <w:sz w:val="18"/>
              </w:rPr>
              <w:t>8</w:t>
            </w:r>
          </w:p>
        </w:tc>
        <w:tc>
          <w:tcPr>
            <w:tcW w:w="3941" w:type="dxa"/>
            <w:tcBorders>
              <w:left w:val="single" w:sz="4" w:space="0" w:color="A8D08D" w:themeColor="accent6" w:themeTint="99"/>
            </w:tcBorders>
          </w:tcPr>
          <w:p w14:paraId="73214DD8" w14:textId="77777777" w:rsidR="006D3E4A" w:rsidRPr="004351EB" w:rsidRDefault="006D3E4A" w:rsidP="00FD40BB">
            <w:pPr>
              <w:spacing w:before="40" w:after="40"/>
              <w:rPr>
                <w:rFonts w:cs="Arial"/>
                <w:sz w:val="18"/>
              </w:rPr>
            </w:pPr>
            <w:r w:rsidRPr="004351EB">
              <w:rPr>
                <w:rFonts w:cs="Arial"/>
                <w:sz w:val="18"/>
              </w:rPr>
              <w:t>Lack of resources and space</w:t>
            </w:r>
          </w:p>
        </w:tc>
        <w:tc>
          <w:tcPr>
            <w:tcW w:w="595" w:type="dxa"/>
          </w:tcPr>
          <w:p w14:paraId="5FB44F0D" w14:textId="77777777" w:rsidR="006D3E4A" w:rsidRPr="004351EB" w:rsidRDefault="006D3E4A" w:rsidP="00FD40BB">
            <w:pPr>
              <w:spacing w:before="40" w:after="40"/>
              <w:jc w:val="center"/>
              <w:rPr>
                <w:rFonts w:cs="Arial"/>
                <w:sz w:val="18"/>
              </w:rPr>
            </w:pPr>
            <w:r w:rsidRPr="004351EB">
              <w:rPr>
                <w:rFonts w:cs="Arial"/>
                <w:sz w:val="18"/>
              </w:rPr>
              <w:t>6</w:t>
            </w:r>
          </w:p>
        </w:tc>
      </w:tr>
      <w:tr w:rsidR="006D3E4A" w:rsidRPr="004351EB" w14:paraId="5DB50647" w14:textId="77777777" w:rsidTr="007C5A97">
        <w:tc>
          <w:tcPr>
            <w:tcW w:w="3936" w:type="dxa"/>
            <w:shd w:val="clear" w:color="auto" w:fill="E2EFD9" w:themeFill="accent6" w:themeFillTint="33"/>
          </w:tcPr>
          <w:p w14:paraId="5AD9CD7E" w14:textId="77777777" w:rsidR="006D3E4A" w:rsidRPr="004351EB" w:rsidRDefault="006D3E4A" w:rsidP="00FD40BB">
            <w:pPr>
              <w:spacing w:before="40" w:after="40"/>
              <w:rPr>
                <w:rFonts w:cs="Arial"/>
                <w:sz w:val="18"/>
              </w:rPr>
            </w:pPr>
            <w:r w:rsidRPr="004351EB">
              <w:rPr>
                <w:rFonts w:cs="Arial"/>
                <w:sz w:val="18"/>
              </w:rPr>
              <w:t>Lack of resources and space</w:t>
            </w:r>
          </w:p>
        </w:tc>
        <w:tc>
          <w:tcPr>
            <w:tcW w:w="595" w:type="dxa"/>
            <w:tcBorders>
              <w:right w:val="single" w:sz="4" w:space="0" w:color="A8D08D" w:themeColor="accent6" w:themeTint="99"/>
            </w:tcBorders>
            <w:shd w:val="clear" w:color="auto" w:fill="E2EFD9" w:themeFill="accent6" w:themeFillTint="33"/>
          </w:tcPr>
          <w:p w14:paraId="70AD4AA4" w14:textId="77777777" w:rsidR="006D3E4A" w:rsidRPr="004351EB" w:rsidRDefault="006D3E4A" w:rsidP="00FD40BB">
            <w:pPr>
              <w:spacing w:before="40" w:after="40"/>
              <w:jc w:val="center"/>
              <w:rPr>
                <w:rFonts w:cs="Arial"/>
                <w:sz w:val="18"/>
              </w:rPr>
            </w:pPr>
            <w:r w:rsidRPr="004351EB">
              <w:rPr>
                <w:rFonts w:cs="Arial"/>
                <w:sz w:val="18"/>
              </w:rPr>
              <w:t>6</w:t>
            </w:r>
          </w:p>
        </w:tc>
        <w:tc>
          <w:tcPr>
            <w:tcW w:w="3941" w:type="dxa"/>
            <w:tcBorders>
              <w:left w:val="single" w:sz="4" w:space="0" w:color="A8D08D" w:themeColor="accent6" w:themeTint="99"/>
            </w:tcBorders>
            <w:shd w:val="clear" w:color="auto" w:fill="E2EFD9" w:themeFill="accent6" w:themeFillTint="33"/>
          </w:tcPr>
          <w:p w14:paraId="431556AF" w14:textId="77777777" w:rsidR="006D3E4A" w:rsidRPr="004351EB" w:rsidRDefault="006D3E4A" w:rsidP="00FD40BB">
            <w:pPr>
              <w:spacing w:before="40" w:after="40"/>
              <w:rPr>
                <w:rFonts w:cs="Arial"/>
                <w:sz w:val="18"/>
              </w:rPr>
            </w:pPr>
            <w:r w:rsidRPr="004351EB">
              <w:rPr>
                <w:rFonts w:cs="Arial"/>
                <w:sz w:val="18"/>
              </w:rPr>
              <w:t>Dealing with mature</w:t>
            </w:r>
            <w:r w:rsidR="0014080F">
              <w:rPr>
                <w:rFonts w:cs="Arial"/>
                <w:sz w:val="18"/>
              </w:rPr>
              <w:t>-</w:t>
            </w:r>
            <w:r w:rsidRPr="004351EB">
              <w:rPr>
                <w:rFonts w:cs="Arial"/>
                <w:sz w:val="18"/>
              </w:rPr>
              <w:t>aged students returning to education, including different learning styles</w:t>
            </w:r>
          </w:p>
        </w:tc>
        <w:tc>
          <w:tcPr>
            <w:tcW w:w="595" w:type="dxa"/>
            <w:shd w:val="clear" w:color="auto" w:fill="E2EFD9" w:themeFill="accent6" w:themeFillTint="33"/>
          </w:tcPr>
          <w:p w14:paraId="24AB6100" w14:textId="77777777" w:rsidR="006D3E4A" w:rsidRPr="004351EB" w:rsidRDefault="006D3E4A" w:rsidP="00FD40BB">
            <w:pPr>
              <w:spacing w:before="40" w:after="40"/>
              <w:jc w:val="center"/>
              <w:rPr>
                <w:rFonts w:cs="Arial"/>
                <w:sz w:val="18"/>
              </w:rPr>
            </w:pPr>
            <w:r w:rsidRPr="004351EB">
              <w:rPr>
                <w:rFonts w:cs="Arial"/>
                <w:sz w:val="18"/>
              </w:rPr>
              <w:t>5</w:t>
            </w:r>
          </w:p>
        </w:tc>
      </w:tr>
      <w:tr w:rsidR="006D3E4A" w:rsidRPr="004351EB" w14:paraId="37A23BBA" w14:textId="77777777" w:rsidTr="005659EF">
        <w:tc>
          <w:tcPr>
            <w:tcW w:w="3936" w:type="dxa"/>
          </w:tcPr>
          <w:p w14:paraId="04BEC45D" w14:textId="77777777" w:rsidR="006D3E4A" w:rsidRPr="004351EB" w:rsidRDefault="006D3E4A" w:rsidP="00FD40BB">
            <w:pPr>
              <w:spacing w:before="40" w:after="40"/>
              <w:rPr>
                <w:rFonts w:cs="Arial"/>
                <w:b/>
                <w:sz w:val="18"/>
              </w:rPr>
            </w:pPr>
            <w:r w:rsidRPr="004351EB">
              <w:rPr>
                <w:rFonts w:cs="Arial"/>
                <w:sz w:val="18"/>
              </w:rPr>
              <w:t>Timeframes for courses</w:t>
            </w:r>
          </w:p>
        </w:tc>
        <w:tc>
          <w:tcPr>
            <w:tcW w:w="595" w:type="dxa"/>
            <w:tcBorders>
              <w:right w:val="single" w:sz="4" w:space="0" w:color="A8D08D" w:themeColor="accent6" w:themeTint="99"/>
            </w:tcBorders>
          </w:tcPr>
          <w:p w14:paraId="257FCCD9" w14:textId="77777777" w:rsidR="006D3E4A" w:rsidRPr="004351EB" w:rsidRDefault="006D3E4A" w:rsidP="00FD40BB">
            <w:pPr>
              <w:spacing w:before="40" w:after="40"/>
              <w:jc w:val="center"/>
              <w:rPr>
                <w:rFonts w:cs="Arial"/>
                <w:b/>
                <w:sz w:val="18"/>
              </w:rPr>
            </w:pPr>
            <w:r w:rsidRPr="004351EB">
              <w:rPr>
                <w:rFonts w:cs="Arial"/>
                <w:sz w:val="18"/>
              </w:rPr>
              <w:t>5</w:t>
            </w:r>
          </w:p>
        </w:tc>
        <w:tc>
          <w:tcPr>
            <w:tcW w:w="3941" w:type="dxa"/>
            <w:tcBorders>
              <w:left w:val="single" w:sz="4" w:space="0" w:color="A8D08D" w:themeColor="accent6" w:themeTint="99"/>
            </w:tcBorders>
          </w:tcPr>
          <w:p w14:paraId="32E268FD" w14:textId="77777777" w:rsidR="006D3E4A" w:rsidRPr="004351EB" w:rsidRDefault="006D3E4A" w:rsidP="00FD40BB">
            <w:pPr>
              <w:spacing w:before="40" w:after="40"/>
              <w:rPr>
                <w:rFonts w:cs="Arial"/>
                <w:sz w:val="18"/>
              </w:rPr>
            </w:pPr>
            <w:r w:rsidRPr="004351EB">
              <w:rPr>
                <w:rFonts w:cs="Arial"/>
                <w:sz w:val="18"/>
              </w:rPr>
              <w:t>Language literacy and numeracy (LLN) issues</w:t>
            </w:r>
          </w:p>
        </w:tc>
        <w:tc>
          <w:tcPr>
            <w:tcW w:w="595" w:type="dxa"/>
          </w:tcPr>
          <w:p w14:paraId="32E288AE" w14:textId="77777777" w:rsidR="006D3E4A" w:rsidRPr="004351EB" w:rsidRDefault="006D3E4A" w:rsidP="00FD40BB">
            <w:pPr>
              <w:spacing w:before="40" w:after="40"/>
              <w:jc w:val="center"/>
              <w:rPr>
                <w:rFonts w:cs="Arial"/>
                <w:sz w:val="18"/>
              </w:rPr>
            </w:pPr>
            <w:r w:rsidRPr="004351EB">
              <w:rPr>
                <w:rFonts w:cs="Arial"/>
                <w:sz w:val="18"/>
              </w:rPr>
              <w:t>4</w:t>
            </w:r>
          </w:p>
        </w:tc>
      </w:tr>
      <w:tr w:rsidR="006D3E4A" w:rsidRPr="004351EB" w14:paraId="19F1A768" w14:textId="77777777" w:rsidTr="007C5A97">
        <w:tc>
          <w:tcPr>
            <w:tcW w:w="3936" w:type="dxa"/>
            <w:shd w:val="clear" w:color="auto" w:fill="E2EFD9" w:themeFill="accent6" w:themeFillTint="33"/>
          </w:tcPr>
          <w:p w14:paraId="65DA111B" w14:textId="77777777" w:rsidR="006D3E4A" w:rsidRPr="004351EB" w:rsidRDefault="006D3E4A" w:rsidP="00FD40BB">
            <w:pPr>
              <w:spacing w:before="40" w:after="40"/>
              <w:rPr>
                <w:rFonts w:cs="Arial"/>
                <w:b/>
                <w:sz w:val="18"/>
              </w:rPr>
            </w:pPr>
            <w:r w:rsidRPr="004351EB">
              <w:rPr>
                <w:rFonts w:cs="Arial"/>
                <w:sz w:val="18"/>
              </w:rPr>
              <w:t>Lack of pre-requisite knowledge and technology skills in students, including dealing with students failing</w:t>
            </w:r>
          </w:p>
        </w:tc>
        <w:tc>
          <w:tcPr>
            <w:tcW w:w="595" w:type="dxa"/>
            <w:tcBorders>
              <w:right w:val="single" w:sz="4" w:space="0" w:color="A8D08D" w:themeColor="accent6" w:themeTint="99"/>
            </w:tcBorders>
            <w:shd w:val="clear" w:color="auto" w:fill="E2EFD9" w:themeFill="accent6" w:themeFillTint="33"/>
          </w:tcPr>
          <w:p w14:paraId="79CF1E09" w14:textId="77777777" w:rsidR="006D3E4A" w:rsidRPr="004351EB" w:rsidRDefault="006D3E4A" w:rsidP="00FD40BB">
            <w:pPr>
              <w:spacing w:before="40" w:after="40"/>
              <w:jc w:val="center"/>
              <w:rPr>
                <w:rFonts w:cs="Arial"/>
                <w:b/>
                <w:sz w:val="18"/>
              </w:rPr>
            </w:pPr>
            <w:r w:rsidRPr="004351EB">
              <w:rPr>
                <w:rFonts w:cs="Arial"/>
                <w:sz w:val="18"/>
              </w:rPr>
              <w:t>5</w:t>
            </w:r>
          </w:p>
        </w:tc>
        <w:tc>
          <w:tcPr>
            <w:tcW w:w="3941" w:type="dxa"/>
            <w:tcBorders>
              <w:left w:val="single" w:sz="4" w:space="0" w:color="A8D08D" w:themeColor="accent6" w:themeTint="99"/>
            </w:tcBorders>
            <w:shd w:val="clear" w:color="auto" w:fill="E2EFD9" w:themeFill="accent6" w:themeFillTint="33"/>
          </w:tcPr>
          <w:p w14:paraId="19C02852" w14:textId="77777777" w:rsidR="006D3E4A" w:rsidRPr="004351EB" w:rsidRDefault="006D3E4A" w:rsidP="00FD40BB">
            <w:pPr>
              <w:spacing w:before="40" w:after="40"/>
              <w:rPr>
                <w:rFonts w:cs="Arial"/>
                <w:sz w:val="18"/>
              </w:rPr>
            </w:pPr>
            <w:r w:rsidRPr="004351EB">
              <w:rPr>
                <w:rFonts w:cs="Arial"/>
                <w:sz w:val="18"/>
              </w:rPr>
              <w:t xml:space="preserve">Lack of trainer support </w:t>
            </w:r>
          </w:p>
        </w:tc>
        <w:tc>
          <w:tcPr>
            <w:tcW w:w="595" w:type="dxa"/>
            <w:shd w:val="clear" w:color="auto" w:fill="E2EFD9" w:themeFill="accent6" w:themeFillTint="33"/>
          </w:tcPr>
          <w:p w14:paraId="7BD79EBD" w14:textId="77777777" w:rsidR="006D3E4A" w:rsidRPr="004351EB" w:rsidRDefault="006D3E4A" w:rsidP="00FD40BB">
            <w:pPr>
              <w:spacing w:before="40" w:after="40"/>
              <w:jc w:val="center"/>
              <w:rPr>
                <w:rFonts w:cs="Arial"/>
                <w:sz w:val="18"/>
              </w:rPr>
            </w:pPr>
            <w:r w:rsidRPr="004351EB">
              <w:rPr>
                <w:rFonts w:cs="Arial"/>
                <w:sz w:val="18"/>
              </w:rPr>
              <w:t>3</w:t>
            </w:r>
          </w:p>
        </w:tc>
      </w:tr>
      <w:tr w:rsidR="006D3E4A" w:rsidRPr="004351EB" w14:paraId="514B2F24" w14:textId="77777777" w:rsidTr="007C5A97">
        <w:tc>
          <w:tcPr>
            <w:tcW w:w="3936" w:type="dxa"/>
            <w:shd w:val="clear" w:color="auto" w:fill="auto"/>
          </w:tcPr>
          <w:p w14:paraId="66B0063D" w14:textId="77777777" w:rsidR="006D3E4A" w:rsidRPr="004351EB" w:rsidRDefault="006D3E4A" w:rsidP="00FD40BB">
            <w:pPr>
              <w:spacing w:before="40" w:after="40"/>
              <w:rPr>
                <w:rFonts w:cs="Arial"/>
                <w:b/>
                <w:sz w:val="18"/>
              </w:rPr>
            </w:pPr>
            <w:r w:rsidRPr="004351EB">
              <w:rPr>
                <w:rFonts w:cs="Arial"/>
                <w:sz w:val="18"/>
              </w:rPr>
              <w:t>Delivering an Australian qualification in the Pacific, including lack of Pacific-context materials</w:t>
            </w:r>
          </w:p>
        </w:tc>
        <w:tc>
          <w:tcPr>
            <w:tcW w:w="595" w:type="dxa"/>
            <w:tcBorders>
              <w:right w:val="single" w:sz="4" w:space="0" w:color="A8D08D" w:themeColor="accent6" w:themeTint="99"/>
            </w:tcBorders>
            <w:shd w:val="clear" w:color="auto" w:fill="auto"/>
          </w:tcPr>
          <w:p w14:paraId="09EC3A9D" w14:textId="77777777" w:rsidR="006D3E4A" w:rsidRPr="004351EB" w:rsidRDefault="006D3E4A" w:rsidP="00FD40BB">
            <w:pPr>
              <w:spacing w:before="40" w:after="40"/>
              <w:jc w:val="center"/>
              <w:rPr>
                <w:rFonts w:cs="Arial"/>
                <w:b/>
                <w:sz w:val="18"/>
              </w:rPr>
            </w:pPr>
            <w:r w:rsidRPr="004351EB">
              <w:rPr>
                <w:rFonts w:cs="Arial"/>
                <w:sz w:val="18"/>
              </w:rPr>
              <w:t>4</w:t>
            </w:r>
          </w:p>
        </w:tc>
        <w:tc>
          <w:tcPr>
            <w:tcW w:w="3941" w:type="dxa"/>
            <w:tcBorders>
              <w:left w:val="single" w:sz="4" w:space="0" w:color="A8D08D" w:themeColor="accent6" w:themeTint="99"/>
            </w:tcBorders>
            <w:shd w:val="clear" w:color="auto" w:fill="auto"/>
          </w:tcPr>
          <w:p w14:paraId="46915474" w14:textId="77777777" w:rsidR="006D3E4A" w:rsidRPr="004351EB" w:rsidRDefault="006D3E4A" w:rsidP="00FD40BB">
            <w:pPr>
              <w:spacing w:before="40" w:after="40"/>
              <w:rPr>
                <w:rFonts w:cs="Arial"/>
                <w:sz w:val="18"/>
              </w:rPr>
            </w:pPr>
            <w:r w:rsidRPr="004351EB">
              <w:rPr>
                <w:rFonts w:cs="Arial"/>
                <w:sz w:val="18"/>
              </w:rPr>
              <w:t>Planning a lesson</w:t>
            </w:r>
          </w:p>
        </w:tc>
        <w:tc>
          <w:tcPr>
            <w:tcW w:w="595" w:type="dxa"/>
            <w:shd w:val="clear" w:color="auto" w:fill="auto"/>
          </w:tcPr>
          <w:p w14:paraId="5061C18D" w14:textId="77777777" w:rsidR="006D3E4A" w:rsidRPr="004351EB" w:rsidRDefault="006D3E4A" w:rsidP="00FD40BB">
            <w:pPr>
              <w:spacing w:before="40" w:after="40"/>
              <w:jc w:val="center"/>
              <w:rPr>
                <w:rFonts w:cs="Arial"/>
                <w:sz w:val="18"/>
              </w:rPr>
            </w:pPr>
            <w:r w:rsidRPr="004351EB">
              <w:rPr>
                <w:rFonts w:cs="Arial"/>
                <w:sz w:val="18"/>
              </w:rPr>
              <w:t>3</w:t>
            </w:r>
          </w:p>
        </w:tc>
      </w:tr>
      <w:tr w:rsidR="006D3E4A" w:rsidRPr="004351EB" w14:paraId="4B757B00" w14:textId="77777777" w:rsidTr="007C5A97">
        <w:tc>
          <w:tcPr>
            <w:tcW w:w="3936" w:type="dxa"/>
            <w:shd w:val="clear" w:color="auto" w:fill="E2EFD9" w:themeFill="accent6" w:themeFillTint="33"/>
          </w:tcPr>
          <w:p w14:paraId="4C5C47A7" w14:textId="77777777" w:rsidR="006D3E4A" w:rsidRPr="004351EB" w:rsidRDefault="006D3E4A" w:rsidP="00FD40BB">
            <w:pPr>
              <w:spacing w:before="40" w:after="40"/>
              <w:rPr>
                <w:rFonts w:cs="Arial"/>
                <w:sz w:val="18"/>
              </w:rPr>
            </w:pPr>
            <w:r w:rsidRPr="004351EB">
              <w:rPr>
                <w:rFonts w:cs="Arial"/>
                <w:sz w:val="18"/>
              </w:rPr>
              <w:t>Lack of support and response from management including lack of administrative support</w:t>
            </w:r>
          </w:p>
        </w:tc>
        <w:tc>
          <w:tcPr>
            <w:tcW w:w="595" w:type="dxa"/>
            <w:tcBorders>
              <w:right w:val="single" w:sz="4" w:space="0" w:color="A8D08D" w:themeColor="accent6" w:themeTint="99"/>
            </w:tcBorders>
            <w:shd w:val="clear" w:color="auto" w:fill="E2EFD9" w:themeFill="accent6" w:themeFillTint="33"/>
          </w:tcPr>
          <w:p w14:paraId="0B35A7C4" w14:textId="77777777" w:rsidR="006D3E4A" w:rsidRPr="004351EB" w:rsidRDefault="006D3E4A" w:rsidP="00FD40BB">
            <w:pPr>
              <w:spacing w:before="40" w:after="40"/>
              <w:jc w:val="center"/>
              <w:rPr>
                <w:rFonts w:cs="Arial"/>
                <w:sz w:val="18"/>
              </w:rPr>
            </w:pPr>
            <w:r w:rsidRPr="004351EB">
              <w:rPr>
                <w:rFonts w:cs="Arial"/>
                <w:sz w:val="18"/>
              </w:rPr>
              <w:t>4</w:t>
            </w:r>
          </w:p>
        </w:tc>
        <w:tc>
          <w:tcPr>
            <w:tcW w:w="3941" w:type="dxa"/>
            <w:tcBorders>
              <w:left w:val="single" w:sz="4" w:space="0" w:color="A8D08D" w:themeColor="accent6" w:themeTint="99"/>
            </w:tcBorders>
            <w:shd w:val="clear" w:color="auto" w:fill="E2EFD9" w:themeFill="accent6" w:themeFillTint="33"/>
          </w:tcPr>
          <w:p w14:paraId="2471B25E" w14:textId="77777777" w:rsidR="006D3E4A" w:rsidRPr="004351EB" w:rsidRDefault="006D3E4A" w:rsidP="00FD40BB">
            <w:pPr>
              <w:spacing w:before="40" w:after="40"/>
              <w:rPr>
                <w:rFonts w:cs="Arial"/>
                <w:sz w:val="18"/>
              </w:rPr>
            </w:pPr>
            <w:r w:rsidRPr="004351EB">
              <w:rPr>
                <w:rFonts w:cs="Arial"/>
                <w:sz w:val="18"/>
              </w:rPr>
              <w:t>Meeting timeframes for course requirements</w:t>
            </w:r>
          </w:p>
        </w:tc>
        <w:tc>
          <w:tcPr>
            <w:tcW w:w="595" w:type="dxa"/>
            <w:shd w:val="clear" w:color="auto" w:fill="E2EFD9" w:themeFill="accent6" w:themeFillTint="33"/>
          </w:tcPr>
          <w:p w14:paraId="38D48169" w14:textId="77777777" w:rsidR="006D3E4A" w:rsidRPr="004351EB" w:rsidRDefault="006D3E4A" w:rsidP="00FD40BB">
            <w:pPr>
              <w:spacing w:before="40" w:after="40"/>
              <w:jc w:val="center"/>
              <w:rPr>
                <w:rFonts w:cs="Arial"/>
                <w:sz w:val="18"/>
              </w:rPr>
            </w:pPr>
            <w:r w:rsidRPr="004351EB">
              <w:rPr>
                <w:rFonts w:cs="Arial"/>
                <w:sz w:val="18"/>
              </w:rPr>
              <w:t>3</w:t>
            </w:r>
          </w:p>
        </w:tc>
      </w:tr>
      <w:tr w:rsidR="006D3E4A" w:rsidRPr="004351EB" w14:paraId="5F8E6F4A" w14:textId="77777777" w:rsidTr="007C5A97">
        <w:tc>
          <w:tcPr>
            <w:tcW w:w="3936" w:type="dxa"/>
            <w:shd w:val="clear" w:color="auto" w:fill="auto"/>
          </w:tcPr>
          <w:p w14:paraId="74FC9161" w14:textId="77777777" w:rsidR="006D3E4A" w:rsidRPr="004351EB" w:rsidRDefault="006D3E4A" w:rsidP="00FD40BB">
            <w:pPr>
              <w:spacing w:before="40" w:after="40"/>
              <w:rPr>
                <w:rFonts w:cs="Arial"/>
                <w:b/>
                <w:sz w:val="18"/>
              </w:rPr>
            </w:pPr>
            <w:r w:rsidRPr="004351EB">
              <w:rPr>
                <w:rFonts w:cs="Arial"/>
                <w:sz w:val="18"/>
              </w:rPr>
              <w:t>Homesickness among students</w:t>
            </w:r>
          </w:p>
        </w:tc>
        <w:tc>
          <w:tcPr>
            <w:tcW w:w="595" w:type="dxa"/>
            <w:tcBorders>
              <w:right w:val="single" w:sz="4" w:space="0" w:color="A8D08D" w:themeColor="accent6" w:themeTint="99"/>
            </w:tcBorders>
            <w:shd w:val="clear" w:color="auto" w:fill="auto"/>
          </w:tcPr>
          <w:p w14:paraId="18622309" w14:textId="77777777" w:rsidR="006D3E4A" w:rsidRPr="004351EB" w:rsidRDefault="006D3E4A" w:rsidP="00FD40BB">
            <w:pPr>
              <w:spacing w:before="40" w:after="40"/>
              <w:jc w:val="center"/>
              <w:rPr>
                <w:rFonts w:cs="Arial"/>
                <w:b/>
                <w:sz w:val="18"/>
              </w:rPr>
            </w:pPr>
            <w:r w:rsidRPr="004351EB">
              <w:rPr>
                <w:rFonts w:cs="Arial"/>
                <w:sz w:val="18"/>
              </w:rPr>
              <w:t>3</w:t>
            </w:r>
          </w:p>
        </w:tc>
        <w:tc>
          <w:tcPr>
            <w:tcW w:w="3941" w:type="dxa"/>
            <w:tcBorders>
              <w:left w:val="single" w:sz="4" w:space="0" w:color="A8D08D" w:themeColor="accent6" w:themeTint="99"/>
            </w:tcBorders>
            <w:shd w:val="clear" w:color="auto" w:fill="auto"/>
          </w:tcPr>
          <w:p w14:paraId="07E6E039" w14:textId="77777777" w:rsidR="006D3E4A" w:rsidRPr="004351EB" w:rsidRDefault="006D3E4A" w:rsidP="00FD40BB">
            <w:pPr>
              <w:spacing w:before="40" w:after="40"/>
              <w:rPr>
                <w:rFonts w:cs="Arial"/>
                <w:sz w:val="18"/>
              </w:rPr>
            </w:pPr>
            <w:r w:rsidRPr="004351EB">
              <w:rPr>
                <w:rFonts w:cs="Arial"/>
                <w:sz w:val="18"/>
              </w:rPr>
              <w:t>Adapting to the APTC system</w:t>
            </w:r>
          </w:p>
        </w:tc>
        <w:tc>
          <w:tcPr>
            <w:tcW w:w="595" w:type="dxa"/>
            <w:shd w:val="clear" w:color="auto" w:fill="auto"/>
          </w:tcPr>
          <w:p w14:paraId="3F3496EA" w14:textId="77777777" w:rsidR="006D3E4A" w:rsidRPr="004351EB" w:rsidRDefault="006D3E4A" w:rsidP="00FD40BB">
            <w:pPr>
              <w:spacing w:before="40" w:after="40"/>
              <w:jc w:val="center"/>
              <w:rPr>
                <w:rFonts w:cs="Arial"/>
                <w:sz w:val="18"/>
              </w:rPr>
            </w:pPr>
            <w:r w:rsidRPr="004351EB">
              <w:rPr>
                <w:rFonts w:cs="Arial"/>
                <w:sz w:val="18"/>
              </w:rPr>
              <w:t>2</w:t>
            </w:r>
          </w:p>
        </w:tc>
      </w:tr>
      <w:tr w:rsidR="006D3E4A" w:rsidRPr="004351EB" w14:paraId="06515CC0" w14:textId="77777777" w:rsidTr="007C5A97">
        <w:tc>
          <w:tcPr>
            <w:tcW w:w="3936" w:type="dxa"/>
            <w:shd w:val="clear" w:color="auto" w:fill="E2EFD9" w:themeFill="accent6" w:themeFillTint="33"/>
          </w:tcPr>
          <w:p w14:paraId="76505361" w14:textId="77777777" w:rsidR="006D3E4A" w:rsidRPr="004351EB" w:rsidRDefault="006D3E4A" w:rsidP="00FD40BB">
            <w:pPr>
              <w:spacing w:before="40" w:after="40"/>
              <w:rPr>
                <w:rFonts w:cs="Arial"/>
                <w:b/>
                <w:sz w:val="18"/>
              </w:rPr>
            </w:pPr>
            <w:r w:rsidRPr="004351EB">
              <w:rPr>
                <w:rFonts w:cs="Arial"/>
                <w:sz w:val="18"/>
              </w:rPr>
              <w:t>Lack of IT access and support</w:t>
            </w:r>
          </w:p>
        </w:tc>
        <w:tc>
          <w:tcPr>
            <w:tcW w:w="595" w:type="dxa"/>
            <w:tcBorders>
              <w:right w:val="single" w:sz="4" w:space="0" w:color="A8D08D" w:themeColor="accent6" w:themeTint="99"/>
            </w:tcBorders>
            <w:shd w:val="clear" w:color="auto" w:fill="E2EFD9" w:themeFill="accent6" w:themeFillTint="33"/>
          </w:tcPr>
          <w:p w14:paraId="029BA6DB" w14:textId="77777777" w:rsidR="006D3E4A" w:rsidRPr="004351EB" w:rsidRDefault="006D3E4A" w:rsidP="00FD40BB">
            <w:pPr>
              <w:spacing w:before="40" w:after="40"/>
              <w:jc w:val="center"/>
              <w:rPr>
                <w:rFonts w:cs="Arial"/>
                <w:b/>
                <w:sz w:val="18"/>
              </w:rPr>
            </w:pPr>
            <w:r w:rsidRPr="004351EB">
              <w:rPr>
                <w:rFonts w:cs="Arial"/>
                <w:sz w:val="18"/>
              </w:rPr>
              <w:t>3</w:t>
            </w:r>
          </w:p>
        </w:tc>
        <w:tc>
          <w:tcPr>
            <w:tcW w:w="3941" w:type="dxa"/>
            <w:tcBorders>
              <w:left w:val="single" w:sz="4" w:space="0" w:color="A8D08D" w:themeColor="accent6" w:themeTint="99"/>
            </w:tcBorders>
            <w:shd w:val="clear" w:color="auto" w:fill="E2EFD9" w:themeFill="accent6" w:themeFillTint="33"/>
          </w:tcPr>
          <w:p w14:paraId="285CC15A" w14:textId="77777777" w:rsidR="006D3E4A" w:rsidRPr="004351EB" w:rsidRDefault="006D3E4A" w:rsidP="00FD40BB">
            <w:pPr>
              <w:spacing w:before="40" w:after="40"/>
              <w:rPr>
                <w:rFonts w:cs="Arial"/>
                <w:sz w:val="18"/>
              </w:rPr>
            </w:pPr>
            <w:r w:rsidRPr="004351EB">
              <w:rPr>
                <w:rFonts w:cs="Arial"/>
                <w:sz w:val="18"/>
              </w:rPr>
              <w:t>Lack of Pacific context resources</w:t>
            </w:r>
          </w:p>
        </w:tc>
        <w:tc>
          <w:tcPr>
            <w:tcW w:w="595" w:type="dxa"/>
            <w:shd w:val="clear" w:color="auto" w:fill="E2EFD9" w:themeFill="accent6" w:themeFillTint="33"/>
          </w:tcPr>
          <w:p w14:paraId="09727078" w14:textId="77777777" w:rsidR="006D3E4A" w:rsidRPr="004351EB" w:rsidRDefault="006D3E4A" w:rsidP="00FD40BB">
            <w:pPr>
              <w:spacing w:before="40" w:after="40"/>
              <w:jc w:val="center"/>
              <w:rPr>
                <w:rFonts w:cs="Arial"/>
                <w:sz w:val="18"/>
              </w:rPr>
            </w:pPr>
            <w:r w:rsidRPr="004351EB">
              <w:rPr>
                <w:rFonts w:cs="Arial"/>
                <w:sz w:val="18"/>
              </w:rPr>
              <w:t>2</w:t>
            </w:r>
          </w:p>
        </w:tc>
      </w:tr>
      <w:tr w:rsidR="006D3E4A" w:rsidRPr="004351EB" w14:paraId="40E8EA5A" w14:textId="77777777" w:rsidTr="007C5A97">
        <w:tc>
          <w:tcPr>
            <w:tcW w:w="3936" w:type="dxa"/>
            <w:tcBorders>
              <w:bottom w:val="single" w:sz="4" w:space="0" w:color="A8D08D" w:themeColor="accent6" w:themeTint="99"/>
            </w:tcBorders>
            <w:shd w:val="clear" w:color="auto" w:fill="auto"/>
          </w:tcPr>
          <w:p w14:paraId="7A5FEB37" w14:textId="77777777" w:rsidR="006D3E4A" w:rsidRPr="004351EB" w:rsidRDefault="006D3E4A" w:rsidP="00FD40BB">
            <w:pPr>
              <w:spacing w:before="40" w:after="40"/>
              <w:rPr>
                <w:rFonts w:cs="Arial"/>
                <w:sz w:val="18"/>
              </w:rPr>
            </w:pPr>
            <w:r w:rsidRPr="004351EB">
              <w:rPr>
                <w:rFonts w:cs="Arial"/>
                <w:sz w:val="18"/>
              </w:rPr>
              <w:t>Catering to the different learning styles and levels of students’ abilities</w:t>
            </w:r>
          </w:p>
        </w:tc>
        <w:tc>
          <w:tcPr>
            <w:tcW w:w="595" w:type="dxa"/>
            <w:tcBorders>
              <w:bottom w:val="single" w:sz="4" w:space="0" w:color="A8D08D" w:themeColor="accent6" w:themeTint="99"/>
              <w:right w:val="single" w:sz="4" w:space="0" w:color="A8D08D" w:themeColor="accent6" w:themeTint="99"/>
            </w:tcBorders>
            <w:shd w:val="clear" w:color="auto" w:fill="auto"/>
          </w:tcPr>
          <w:p w14:paraId="4CCFA965" w14:textId="77777777" w:rsidR="006D3E4A" w:rsidRPr="004351EB" w:rsidRDefault="006D3E4A" w:rsidP="00FD40BB">
            <w:pPr>
              <w:spacing w:before="40" w:after="40"/>
              <w:jc w:val="center"/>
              <w:rPr>
                <w:rFonts w:cs="Arial"/>
                <w:sz w:val="18"/>
              </w:rPr>
            </w:pPr>
            <w:r w:rsidRPr="004351EB">
              <w:rPr>
                <w:rFonts w:cs="Arial"/>
                <w:sz w:val="18"/>
              </w:rPr>
              <w:t>3</w:t>
            </w:r>
          </w:p>
        </w:tc>
        <w:tc>
          <w:tcPr>
            <w:tcW w:w="3941" w:type="dxa"/>
            <w:tcBorders>
              <w:left w:val="single" w:sz="4" w:space="0" w:color="A8D08D" w:themeColor="accent6" w:themeTint="99"/>
              <w:bottom w:val="single" w:sz="4" w:space="0" w:color="A8D08D" w:themeColor="accent6" w:themeTint="99"/>
            </w:tcBorders>
            <w:shd w:val="clear" w:color="auto" w:fill="auto"/>
          </w:tcPr>
          <w:p w14:paraId="55A270D1" w14:textId="6346215B" w:rsidR="006D3E4A" w:rsidRPr="004351EB" w:rsidRDefault="006D3E4A" w:rsidP="00D71510">
            <w:pPr>
              <w:spacing w:before="40" w:after="40"/>
              <w:rPr>
                <w:rFonts w:cs="Arial"/>
                <w:sz w:val="18"/>
              </w:rPr>
            </w:pPr>
            <w:r w:rsidRPr="004351EB">
              <w:rPr>
                <w:rFonts w:cs="Arial"/>
                <w:sz w:val="18"/>
              </w:rPr>
              <w:t xml:space="preserve">Working </w:t>
            </w:r>
            <w:r w:rsidR="00D71510">
              <w:rPr>
                <w:rFonts w:cs="Arial"/>
                <w:sz w:val="18"/>
              </w:rPr>
              <w:t xml:space="preserve">while </w:t>
            </w:r>
            <w:r w:rsidRPr="004351EB">
              <w:rPr>
                <w:rFonts w:cs="Arial"/>
                <w:sz w:val="18"/>
              </w:rPr>
              <w:t>studying TAE</w:t>
            </w:r>
          </w:p>
        </w:tc>
        <w:tc>
          <w:tcPr>
            <w:tcW w:w="595" w:type="dxa"/>
            <w:tcBorders>
              <w:bottom w:val="single" w:sz="4" w:space="0" w:color="A8D08D" w:themeColor="accent6" w:themeTint="99"/>
            </w:tcBorders>
            <w:shd w:val="clear" w:color="auto" w:fill="auto"/>
          </w:tcPr>
          <w:p w14:paraId="53CED5B2" w14:textId="77777777" w:rsidR="006D3E4A" w:rsidRPr="004351EB" w:rsidRDefault="006D3E4A" w:rsidP="00FD40BB">
            <w:pPr>
              <w:spacing w:before="40" w:after="40"/>
              <w:jc w:val="center"/>
              <w:rPr>
                <w:rFonts w:cs="Arial"/>
                <w:sz w:val="18"/>
              </w:rPr>
            </w:pPr>
            <w:r w:rsidRPr="004351EB">
              <w:rPr>
                <w:rFonts w:cs="Arial"/>
                <w:sz w:val="18"/>
              </w:rPr>
              <w:t>2</w:t>
            </w:r>
          </w:p>
        </w:tc>
      </w:tr>
    </w:tbl>
    <w:p w14:paraId="42734C9F" w14:textId="77777777" w:rsidR="00FD40BB" w:rsidRDefault="00FD40BB" w:rsidP="006D3E4A">
      <w:pPr>
        <w:rPr>
          <w:rFonts w:cs="Arial"/>
        </w:rPr>
      </w:pPr>
    </w:p>
    <w:p w14:paraId="5C4F4601" w14:textId="04811041" w:rsidR="006D3E4A" w:rsidRPr="00A675A0" w:rsidRDefault="006D3E4A" w:rsidP="00FD40BB">
      <w:pPr>
        <w:spacing w:after="0"/>
        <w:rPr>
          <w:rFonts w:cs="Arial"/>
        </w:rPr>
      </w:pPr>
    </w:p>
    <w:tbl>
      <w:tblPr>
        <w:tblStyle w:val="TableGrid1"/>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658"/>
        <w:gridCol w:w="3497"/>
        <w:gridCol w:w="658"/>
      </w:tblGrid>
      <w:tr w:rsidR="006D3E4A" w:rsidRPr="00FD40BB" w14:paraId="181E2E0A" w14:textId="77777777" w:rsidTr="005659EF">
        <w:tc>
          <w:tcPr>
            <w:tcW w:w="9067" w:type="dxa"/>
            <w:gridSpan w:val="4"/>
            <w:shd w:val="clear" w:color="auto" w:fill="C5E0B3" w:themeFill="accent6" w:themeFillTint="66"/>
          </w:tcPr>
          <w:p w14:paraId="683D70D3" w14:textId="77777777" w:rsidR="006D3E4A" w:rsidRPr="00FD40BB" w:rsidRDefault="00302696" w:rsidP="00302696">
            <w:pPr>
              <w:spacing w:before="40" w:after="40"/>
              <w:jc w:val="center"/>
              <w:rPr>
                <w:rFonts w:cs="Arial"/>
                <w:b/>
                <w:sz w:val="20"/>
              </w:rPr>
            </w:pPr>
            <w:r>
              <w:rPr>
                <w:rFonts w:cs="Arial"/>
                <w:b/>
                <w:sz w:val="20"/>
              </w:rPr>
              <w:t xml:space="preserve">Challenges faced by students: </w:t>
            </w:r>
            <w:r w:rsidR="006D3E4A" w:rsidRPr="00FD40BB">
              <w:rPr>
                <w:rFonts w:cs="Arial"/>
                <w:b/>
                <w:sz w:val="20"/>
              </w:rPr>
              <w:t xml:space="preserve">Trainers’ and tutors’ perceptions </w:t>
            </w:r>
          </w:p>
        </w:tc>
      </w:tr>
      <w:tr w:rsidR="006D3E4A" w:rsidRPr="00FD40BB" w14:paraId="483750BB" w14:textId="77777777" w:rsidTr="005659EF">
        <w:tc>
          <w:tcPr>
            <w:tcW w:w="3823" w:type="dxa"/>
            <w:shd w:val="clear" w:color="auto" w:fill="E2EFD9" w:themeFill="accent6" w:themeFillTint="33"/>
          </w:tcPr>
          <w:p w14:paraId="58D8F1E0" w14:textId="77777777" w:rsidR="006D3E4A" w:rsidRPr="00FD40BB" w:rsidRDefault="006D3E4A" w:rsidP="00BF0A8D">
            <w:pPr>
              <w:spacing w:before="10" w:after="10"/>
              <w:rPr>
                <w:rFonts w:cs="Arial"/>
                <w:b/>
                <w:sz w:val="18"/>
              </w:rPr>
            </w:pPr>
            <w:r w:rsidRPr="00FD40BB">
              <w:rPr>
                <w:rFonts w:cs="Arial"/>
                <w:b/>
                <w:sz w:val="18"/>
              </w:rPr>
              <w:t>Trainers</w:t>
            </w:r>
          </w:p>
        </w:tc>
        <w:tc>
          <w:tcPr>
            <w:tcW w:w="708" w:type="dxa"/>
            <w:tcBorders>
              <w:right w:val="single" w:sz="4" w:space="0" w:color="A8D08D" w:themeColor="accent6" w:themeTint="99"/>
            </w:tcBorders>
            <w:shd w:val="clear" w:color="auto" w:fill="E2EFD9" w:themeFill="accent6" w:themeFillTint="33"/>
          </w:tcPr>
          <w:p w14:paraId="15C3F9B7" w14:textId="77777777" w:rsidR="006D3E4A" w:rsidRPr="00FD40BB" w:rsidRDefault="006D3E4A" w:rsidP="00BF0A8D">
            <w:pPr>
              <w:spacing w:before="10" w:after="10"/>
              <w:jc w:val="center"/>
              <w:rPr>
                <w:rFonts w:cs="Arial"/>
                <w:b/>
                <w:sz w:val="18"/>
              </w:rPr>
            </w:pPr>
            <w:r w:rsidRPr="00FD40BB">
              <w:rPr>
                <w:rFonts w:cs="Arial"/>
                <w:b/>
                <w:sz w:val="18"/>
              </w:rPr>
              <w:t>F</w:t>
            </w:r>
          </w:p>
        </w:tc>
        <w:tc>
          <w:tcPr>
            <w:tcW w:w="3828" w:type="dxa"/>
            <w:tcBorders>
              <w:left w:val="single" w:sz="4" w:space="0" w:color="A8D08D" w:themeColor="accent6" w:themeTint="99"/>
            </w:tcBorders>
            <w:shd w:val="clear" w:color="auto" w:fill="E2EFD9" w:themeFill="accent6" w:themeFillTint="33"/>
          </w:tcPr>
          <w:p w14:paraId="1A4FA512" w14:textId="77777777" w:rsidR="006D3E4A" w:rsidRPr="00FD40BB" w:rsidRDefault="006D3E4A" w:rsidP="00BF0A8D">
            <w:pPr>
              <w:spacing w:before="10" w:after="10"/>
              <w:rPr>
                <w:rFonts w:cs="Arial"/>
                <w:b/>
                <w:sz w:val="18"/>
              </w:rPr>
            </w:pPr>
            <w:r w:rsidRPr="00FD40BB">
              <w:rPr>
                <w:rFonts w:cs="Arial"/>
                <w:b/>
                <w:sz w:val="18"/>
              </w:rPr>
              <w:t>Tutors</w:t>
            </w:r>
          </w:p>
        </w:tc>
        <w:tc>
          <w:tcPr>
            <w:tcW w:w="708" w:type="dxa"/>
            <w:shd w:val="clear" w:color="auto" w:fill="E2EFD9" w:themeFill="accent6" w:themeFillTint="33"/>
          </w:tcPr>
          <w:p w14:paraId="7C7C50DE" w14:textId="77777777" w:rsidR="006D3E4A" w:rsidRPr="00FD40BB" w:rsidRDefault="006D3E4A" w:rsidP="00BF0A8D">
            <w:pPr>
              <w:spacing w:before="10" w:after="10"/>
              <w:jc w:val="center"/>
              <w:rPr>
                <w:rFonts w:cs="Arial"/>
                <w:b/>
                <w:sz w:val="18"/>
              </w:rPr>
            </w:pPr>
            <w:r w:rsidRPr="00FD40BB">
              <w:rPr>
                <w:rFonts w:cs="Arial"/>
                <w:b/>
                <w:sz w:val="18"/>
              </w:rPr>
              <w:t>F</w:t>
            </w:r>
          </w:p>
        </w:tc>
      </w:tr>
      <w:tr w:rsidR="006D3E4A" w:rsidRPr="00FD40BB" w14:paraId="53193AF8" w14:textId="77777777" w:rsidTr="005659EF">
        <w:tc>
          <w:tcPr>
            <w:tcW w:w="3823" w:type="dxa"/>
          </w:tcPr>
          <w:p w14:paraId="0D20E7FC" w14:textId="77777777" w:rsidR="006D3E4A" w:rsidRPr="00FD40BB" w:rsidRDefault="006D3E4A" w:rsidP="00BF0A8D">
            <w:pPr>
              <w:spacing w:before="20" w:after="20"/>
              <w:rPr>
                <w:rFonts w:cs="Arial"/>
                <w:b/>
                <w:sz w:val="18"/>
              </w:rPr>
            </w:pPr>
            <w:r w:rsidRPr="00FD40BB">
              <w:rPr>
                <w:rFonts w:cs="Arial"/>
                <w:sz w:val="18"/>
              </w:rPr>
              <w:t>Homesickness</w:t>
            </w:r>
          </w:p>
        </w:tc>
        <w:tc>
          <w:tcPr>
            <w:tcW w:w="708" w:type="dxa"/>
            <w:tcBorders>
              <w:right w:val="single" w:sz="4" w:space="0" w:color="A8D08D" w:themeColor="accent6" w:themeTint="99"/>
            </w:tcBorders>
          </w:tcPr>
          <w:p w14:paraId="42705E0D" w14:textId="77777777" w:rsidR="006D3E4A" w:rsidRPr="00FD40BB" w:rsidRDefault="006D3E4A" w:rsidP="00BF0A8D">
            <w:pPr>
              <w:spacing w:before="20" w:after="20"/>
              <w:jc w:val="center"/>
              <w:rPr>
                <w:rFonts w:cs="Arial"/>
                <w:b/>
                <w:sz w:val="18"/>
              </w:rPr>
            </w:pPr>
            <w:r w:rsidRPr="00FD40BB">
              <w:rPr>
                <w:rFonts w:cs="Arial"/>
                <w:sz w:val="18"/>
              </w:rPr>
              <w:t>11</w:t>
            </w:r>
          </w:p>
        </w:tc>
        <w:tc>
          <w:tcPr>
            <w:tcW w:w="3828" w:type="dxa"/>
            <w:tcBorders>
              <w:left w:val="single" w:sz="4" w:space="0" w:color="A8D08D" w:themeColor="accent6" w:themeTint="99"/>
            </w:tcBorders>
          </w:tcPr>
          <w:p w14:paraId="6BD4F8B4" w14:textId="77777777" w:rsidR="006D3E4A" w:rsidRPr="00FD40BB" w:rsidRDefault="006D3E4A" w:rsidP="00BF0A8D">
            <w:pPr>
              <w:spacing w:before="20" w:after="20"/>
              <w:rPr>
                <w:rFonts w:cs="Arial"/>
                <w:sz w:val="18"/>
              </w:rPr>
            </w:pPr>
            <w:r w:rsidRPr="00FD40BB">
              <w:rPr>
                <w:rFonts w:cs="Arial"/>
                <w:sz w:val="18"/>
              </w:rPr>
              <w:t>Difficulties with language, literacy and numeracy (LLN)</w:t>
            </w:r>
          </w:p>
        </w:tc>
        <w:tc>
          <w:tcPr>
            <w:tcW w:w="708" w:type="dxa"/>
          </w:tcPr>
          <w:p w14:paraId="64560561" w14:textId="77777777" w:rsidR="006D3E4A" w:rsidRPr="00FD40BB" w:rsidRDefault="006D3E4A" w:rsidP="00BF0A8D">
            <w:pPr>
              <w:spacing w:before="20" w:after="20"/>
              <w:jc w:val="center"/>
              <w:rPr>
                <w:rFonts w:cs="Arial"/>
                <w:sz w:val="18"/>
              </w:rPr>
            </w:pPr>
            <w:r w:rsidRPr="00FD40BB">
              <w:rPr>
                <w:rFonts w:cs="Arial"/>
                <w:sz w:val="18"/>
              </w:rPr>
              <w:t>21</w:t>
            </w:r>
          </w:p>
        </w:tc>
      </w:tr>
      <w:tr w:rsidR="006D3E4A" w:rsidRPr="00FD40BB" w14:paraId="4C47E6EA" w14:textId="77777777" w:rsidTr="007C5A97">
        <w:tc>
          <w:tcPr>
            <w:tcW w:w="3823" w:type="dxa"/>
            <w:shd w:val="clear" w:color="auto" w:fill="E2EFD9" w:themeFill="accent6" w:themeFillTint="33"/>
          </w:tcPr>
          <w:p w14:paraId="09F8290B" w14:textId="77777777" w:rsidR="006D3E4A" w:rsidRPr="00FD40BB" w:rsidRDefault="006D3E4A" w:rsidP="00BF0A8D">
            <w:pPr>
              <w:spacing w:before="20" w:after="20"/>
              <w:rPr>
                <w:rFonts w:cs="Arial"/>
                <w:b/>
                <w:sz w:val="18"/>
              </w:rPr>
            </w:pPr>
            <w:r w:rsidRPr="00FD40BB">
              <w:rPr>
                <w:rFonts w:cs="Arial"/>
                <w:sz w:val="18"/>
              </w:rPr>
              <w:t>Difficulties with language, literacy and numeracy (LLN)</w:t>
            </w:r>
          </w:p>
        </w:tc>
        <w:tc>
          <w:tcPr>
            <w:tcW w:w="708" w:type="dxa"/>
            <w:tcBorders>
              <w:right w:val="single" w:sz="4" w:space="0" w:color="A8D08D" w:themeColor="accent6" w:themeTint="99"/>
            </w:tcBorders>
            <w:shd w:val="clear" w:color="auto" w:fill="E2EFD9" w:themeFill="accent6" w:themeFillTint="33"/>
          </w:tcPr>
          <w:p w14:paraId="104B4285" w14:textId="77777777" w:rsidR="006D3E4A" w:rsidRPr="00FD40BB" w:rsidRDefault="006D3E4A" w:rsidP="00BF0A8D">
            <w:pPr>
              <w:spacing w:before="20" w:after="20"/>
              <w:jc w:val="center"/>
              <w:rPr>
                <w:rFonts w:cs="Arial"/>
                <w:b/>
                <w:sz w:val="18"/>
              </w:rPr>
            </w:pPr>
            <w:r w:rsidRPr="00FD40BB">
              <w:rPr>
                <w:rFonts w:cs="Arial"/>
                <w:sz w:val="18"/>
              </w:rPr>
              <w:t>8</w:t>
            </w:r>
          </w:p>
        </w:tc>
        <w:tc>
          <w:tcPr>
            <w:tcW w:w="3828" w:type="dxa"/>
            <w:tcBorders>
              <w:left w:val="single" w:sz="4" w:space="0" w:color="A8D08D" w:themeColor="accent6" w:themeTint="99"/>
            </w:tcBorders>
            <w:shd w:val="clear" w:color="auto" w:fill="E2EFD9" w:themeFill="accent6" w:themeFillTint="33"/>
          </w:tcPr>
          <w:p w14:paraId="3243B2A5" w14:textId="77777777" w:rsidR="006D3E4A" w:rsidRPr="00FD40BB" w:rsidRDefault="006D3E4A" w:rsidP="00BF0A8D">
            <w:pPr>
              <w:spacing w:before="20" w:after="20"/>
              <w:rPr>
                <w:rFonts w:cs="Arial"/>
                <w:sz w:val="18"/>
              </w:rPr>
            </w:pPr>
            <w:r w:rsidRPr="00FD40BB">
              <w:rPr>
                <w:rFonts w:cs="Arial"/>
                <w:sz w:val="18"/>
              </w:rPr>
              <w:t>Mature</w:t>
            </w:r>
            <w:r w:rsidR="00E57AC8">
              <w:rPr>
                <w:rFonts w:cs="Arial"/>
                <w:sz w:val="18"/>
              </w:rPr>
              <w:t>-</w:t>
            </w:r>
            <w:r w:rsidRPr="00FD40BB">
              <w:rPr>
                <w:rFonts w:cs="Arial"/>
                <w:sz w:val="18"/>
              </w:rPr>
              <w:t xml:space="preserve">aged students returning to education, including different learning styles  </w:t>
            </w:r>
          </w:p>
        </w:tc>
        <w:tc>
          <w:tcPr>
            <w:tcW w:w="708" w:type="dxa"/>
            <w:shd w:val="clear" w:color="auto" w:fill="E2EFD9" w:themeFill="accent6" w:themeFillTint="33"/>
          </w:tcPr>
          <w:p w14:paraId="6A2944F9" w14:textId="77777777" w:rsidR="006D3E4A" w:rsidRPr="00FD40BB" w:rsidRDefault="006D3E4A" w:rsidP="00BF0A8D">
            <w:pPr>
              <w:spacing w:before="20" w:after="20"/>
              <w:jc w:val="center"/>
              <w:rPr>
                <w:rFonts w:cs="Arial"/>
                <w:sz w:val="18"/>
              </w:rPr>
            </w:pPr>
            <w:r w:rsidRPr="00FD40BB">
              <w:rPr>
                <w:rFonts w:cs="Arial"/>
                <w:sz w:val="18"/>
              </w:rPr>
              <w:t>8</w:t>
            </w:r>
          </w:p>
        </w:tc>
      </w:tr>
      <w:tr w:rsidR="006D3E4A" w:rsidRPr="00FD40BB" w14:paraId="2CBC9F9B" w14:textId="77777777" w:rsidTr="005659EF">
        <w:tc>
          <w:tcPr>
            <w:tcW w:w="3823" w:type="dxa"/>
          </w:tcPr>
          <w:p w14:paraId="7D726C68" w14:textId="77777777" w:rsidR="006D3E4A" w:rsidRPr="00FD40BB" w:rsidRDefault="006D3E4A" w:rsidP="00BF0A8D">
            <w:pPr>
              <w:spacing w:before="20" w:after="20"/>
              <w:rPr>
                <w:rFonts w:cs="Arial"/>
                <w:b/>
                <w:sz w:val="18"/>
              </w:rPr>
            </w:pPr>
            <w:r w:rsidRPr="00FD40BB">
              <w:rPr>
                <w:rFonts w:cs="Arial"/>
                <w:sz w:val="18"/>
              </w:rPr>
              <w:t>Time management and study/life balance</w:t>
            </w:r>
          </w:p>
        </w:tc>
        <w:tc>
          <w:tcPr>
            <w:tcW w:w="708" w:type="dxa"/>
            <w:tcBorders>
              <w:right w:val="single" w:sz="4" w:space="0" w:color="A8D08D" w:themeColor="accent6" w:themeTint="99"/>
            </w:tcBorders>
          </w:tcPr>
          <w:p w14:paraId="29B5C3F9" w14:textId="77777777" w:rsidR="006D3E4A" w:rsidRPr="00FD40BB" w:rsidRDefault="006D3E4A" w:rsidP="00BF0A8D">
            <w:pPr>
              <w:spacing w:before="20" w:after="20"/>
              <w:jc w:val="center"/>
              <w:rPr>
                <w:rFonts w:cs="Arial"/>
                <w:b/>
                <w:sz w:val="18"/>
              </w:rPr>
            </w:pPr>
            <w:r w:rsidRPr="00FD40BB">
              <w:rPr>
                <w:rFonts w:cs="Arial"/>
                <w:sz w:val="18"/>
              </w:rPr>
              <w:t>8</w:t>
            </w:r>
          </w:p>
        </w:tc>
        <w:tc>
          <w:tcPr>
            <w:tcW w:w="3828" w:type="dxa"/>
            <w:tcBorders>
              <w:left w:val="single" w:sz="4" w:space="0" w:color="A8D08D" w:themeColor="accent6" w:themeTint="99"/>
            </w:tcBorders>
          </w:tcPr>
          <w:p w14:paraId="3D2BFA67" w14:textId="77777777" w:rsidR="006D3E4A" w:rsidRPr="00FD40BB" w:rsidRDefault="006D3E4A" w:rsidP="00BF0A8D">
            <w:pPr>
              <w:spacing w:before="20" w:after="20"/>
              <w:rPr>
                <w:rFonts w:cs="Arial"/>
                <w:sz w:val="18"/>
              </w:rPr>
            </w:pPr>
            <w:r w:rsidRPr="00FD40BB">
              <w:rPr>
                <w:rFonts w:cs="Arial"/>
                <w:sz w:val="18"/>
              </w:rPr>
              <w:t>Time management</w:t>
            </w:r>
          </w:p>
        </w:tc>
        <w:tc>
          <w:tcPr>
            <w:tcW w:w="708" w:type="dxa"/>
          </w:tcPr>
          <w:p w14:paraId="5B321E2E" w14:textId="77777777" w:rsidR="006D3E4A" w:rsidRPr="00FD40BB" w:rsidRDefault="006D3E4A" w:rsidP="00BF0A8D">
            <w:pPr>
              <w:spacing w:before="20" w:after="20"/>
              <w:jc w:val="center"/>
              <w:rPr>
                <w:rFonts w:cs="Arial"/>
                <w:sz w:val="18"/>
              </w:rPr>
            </w:pPr>
            <w:r w:rsidRPr="00FD40BB">
              <w:rPr>
                <w:rFonts w:cs="Arial"/>
                <w:sz w:val="18"/>
              </w:rPr>
              <w:t>7</w:t>
            </w:r>
          </w:p>
        </w:tc>
      </w:tr>
      <w:tr w:rsidR="006D3E4A" w:rsidRPr="00FD40BB" w14:paraId="4B5097CA" w14:textId="77777777" w:rsidTr="007C5A97">
        <w:tc>
          <w:tcPr>
            <w:tcW w:w="3823" w:type="dxa"/>
            <w:shd w:val="clear" w:color="auto" w:fill="E2EFD9" w:themeFill="accent6" w:themeFillTint="33"/>
          </w:tcPr>
          <w:p w14:paraId="5B43CF6E" w14:textId="77777777" w:rsidR="006D3E4A" w:rsidRPr="00FD40BB" w:rsidRDefault="006D3E4A" w:rsidP="00BF0A8D">
            <w:pPr>
              <w:spacing w:before="20" w:after="20"/>
              <w:rPr>
                <w:rFonts w:cs="Arial"/>
                <w:b/>
                <w:sz w:val="18"/>
              </w:rPr>
            </w:pPr>
            <w:r w:rsidRPr="00FD40BB">
              <w:rPr>
                <w:rFonts w:cs="Arial"/>
                <w:sz w:val="18"/>
              </w:rPr>
              <w:t>Lack of resources</w:t>
            </w:r>
          </w:p>
        </w:tc>
        <w:tc>
          <w:tcPr>
            <w:tcW w:w="708" w:type="dxa"/>
            <w:tcBorders>
              <w:right w:val="single" w:sz="4" w:space="0" w:color="A8D08D" w:themeColor="accent6" w:themeTint="99"/>
            </w:tcBorders>
            <w:shd w:val="clear" w:color="auto" w:fill="E2EFD9" w:themeFill="accent6" w:themeFillTint="33"/>
          </w:tcPr>
          <w:p w14:paraId="53798BCC" w14:textId="77777777" w:rsidR="006D3E4A" w:rsidRPr="00FD40BB" w:rsidRDefault="006D3E4A" w:rsidP="00BF0A8D">
            <w:pPr>
              <w:spacing w:before="20" w:after="20"/>
              <w:jc w:val="center"/>
              <w:rPr>
                <w:rFonts w:cs="Arial"/>
                <w:b/>
                <w:sz w:val="18"/>
              </w:rPr>
            </w:pPr>
            <w:r w:rsidRPr="00FD40BB">
              <w:rPr>
                <w:rFonts w:cs="Arial"/>
                <w:sz w:val="18"/>
              </w:rPr>
              <w:t>7</w:t>
            </w:r>
          </w:p>
        </w:tc>
        <w:tc>
          <w:tcPr>
            <w:tcW w:w="3828" w:type="dxa"/>
            <w:tcBorders>
              <w:left w:val="single" w:sz="4" w:space="0" w:color="A8D08D" w:themeColor="accent6" w:themeTint="99"/>
            </w:tcBorders>
            <w:shd w:val="clear" w:color="auto" w:fill="E2EFD9" w:themeFill="accent6" w:themeFillTint="33"/>
          </w:tcPr>
          <w:p w14:paraId="78F4ECF8" w14:textId="77777777" w:rsidR="006D3E4A" w:rsidRPr="00FD40BB" w:rsidRDefault="006D3E4A" w:rsidP="00BF0A8D">
            <w:pPr>
              <w:spacing w:before="20" w:after="20"/>
              <w:rPr>
                <w:rFonts w:cs="Arial"/>
                <w:sz w:val="18"/>
              </w:rPr>
            </w:pPr>
            <w:r w:rsidRPr="00FD40BB">
              <w:rPr>
                <w:rFonts w:cs="Arial"/>
                <w:sz w:val="18"/>
              </w:rPr>
              <w:t>Coping with cultural and linguistic diversity (CALD)</w:t>
            </w:r>
          </w:p>
        </w:tc>
        <w:tc>
          <w:tcPr>
            <w:tcW w:w="708" w:type="dxa"/>
            <w:shd w:val="clear" w:color="auto" w:fill="E2EFD9" w:themeFill="accent6" w:themeFillTint="33"/>
          </w:tcPr>
          <w:p w14:paraId="6733DA75" w14:textId="77777777" w:rsidR="006D3E4A" w:rsidRPr="00FD40BB" w:rsidRDefault="006D3E4A" w:rsidP="00BF0A8D">
            <w:pPr>
              <w:spacing w:before="20" w:after="20"/>
              <w:jc w:val="center"/>
              <w:rPr>
                <w:rFonts w:cs="Arial"/>
                <w:sz w:val="18"/>
              </w:rPr>
            </w:pPr>
            <w:r w:rsidRPr="00FD40BB">
              <w:rPr>
                <w:rFonts w:cs="Arial"/>
                <w:sz w:val="18"/>
              </w:rPr>
              <w:t>5</w:t>
            </w:r>
          </w:p>
        </w:tc>
      </w:tr>
      <w:tr w:rsidR="006D3E4A" w:rsidRPr="00FD40BB" w14:paraId="605C5A0F" w14:textId="77777777" w:rsidTr="005659EF">
        <w:tc>
          <w:tcPr>
            <w:tcW w:w="3823" w:type="dxa"/>
          </w:tcPr>
          <w:p w14:paraId="6DDBFFB0" w14:textId="77777777" w:rsidR="006D3E4A" w:rsidRPr="00FD40BB" w:rsidRDefault="006D3E4A" w:rsidP="00BF0A8D">
            <w:pPr>
              <w:spacing w:before="20" w:after="20"/>
              <w:rPr>
                <w:rFonts w:cs="Arial"/>
                <w:b/>
                <w:sz w:val="18"/>
              </w:rPr>
            </w:pPr>
            <w:r w:rsidRPr="00FD40BB">
              <w:rPr>
                <w:rFonts w:cs="Arial"/>
                <w:sz w:val="18"/>
              </w:rPr>
              <w:t>Coping with cultural and linguistic diversity (CALD)</w:t>
            </w:r>
          </w:p>
        </w:tc>
        <w:tc>
          <w:tcPr>
            <w:tcW w:w="708" w:type="dxa"/>
            <w:tcBorders>
              <w:right w:val="single" w:sz="4" w:space="0" w:color="A8D08D" w:themeColor="accent6" w:themeTint="99"/>
            </w:tcBorders>
          </w:tcPr>
          <w:p w14:paraId="2BED04F1" w14:textId="77777777" w:rsidR="006D3E4A" w:rsidRPr="00FD40BB" w:rsidRDefault="006D3E4A" w:rsidP="00BF0A8D">
            <w:pPr>
              <w:spacing w:before="20" w:after="20"/>
              <w:jc w:val="center"/>
              <w:rPr>
                <w:rFonts w:cs="Arial"/>
                <w:b/>
                <w:sz w:val="18"/>
              </w:rPr>
            </w:pPr>
            <w:r w:rsidRPr="00FD40BB">
              <w:rPr>
                <w:rFonts w:cs="Arial"/>
                <w:sz w:val="18"/>
              </w:rPr>
              <w:t>7</w:t>
            </w:r>
          </w:p>
        </w:tc>
        <w:tc>
          <w:tcPr>
            <w:tcW w:w="3828" w:type="dxa"/>
            <w:tcBorders>
              <w:left w:val="single" w:sz="4" w:space="0" w:color="A8D08D" w:themeColor="accent6" w:themeTint="99"/>
            </w:tcBorders>
          </w:tcPr>
          <w:p w14:paraId="3EE34AB9" w14:textId="77777777" w:rsidR="006D3E4A" w:rsidRPr="00FD40BB" w:rsidRDefault="006D3E4A" w:rsidP="00BF0A8D">
            <w:pPr>
              <w:spacing w:before="20" w:after="20"/>
              <w:rPr>
                <w:rFonts w:cs="Arial"/>
                <w:sz w:val="18"/>
              </w:rPr>
            </w:pPr>
            <w:r w:rsidRPr="00FD40BB">
              <w:rPr>
                <w:rFonts w:cs="Arial"/>
                <w:sz w:val="18"/>
              </w:rPr>
              <w:t>Lack of confidence</w:t>
            </w:r>
          </w:p>
        </w:tc>
        <w:tc>
          <w:tcPr>
            <w:tcW w:w="708" w:type="dxa"/>
          </w:tcPr>
          <w:p w14:paraId="30B66563" w14:textId="77777777" w:rsidR="006D3E4A" w:rsidRPr="00FD40BB" w:rsidRDefault="006D3E4A" w:rsidP="00BF0A8D">
            <w:pPr>
              <w:spacing w:before="20" w:after="20"/>
              <w:jc w:val="center"/>
              <w:rPr>
                <w:rFonts w:cs="Arial"/>
                <w:sz w:val="18"/>
              </w:rPr>
            </w:pPr>
            <w:r w:rsidRPr="00FD40BB">
              <w:rPr>
                <w:rFonts w:cs="Arial"/>
                <w:sz w:val="18"/>
              </w:rPr>
              <w:t>2</w:t>
            </w:r>
          </w:p>
        </w:tc>
      </w:tr>
      <w:tr w:rsidR="006D3E4A" w:rsidRPr="00FD40BB" w14:paraId="10095624" w14:textId="77777777" w:rsidTr="007C5A97">
        <w:tc>
          <w:tcPr>
            <w:tcW w:w="3823" w:type="dxa"/>
            <w:shd w:val="clear" w:color="auto" w:fill="E2EFD9" w:themeFill="accent6" w:themeFillTint="33"/>
          </w:tcPr>
          <w:p w14:paraId="51F7DC25" w14:textId="77777777" w:rsidR="006D3E4A" w:rsidRPr="00FD40BB" w:rsidRDefault="006D3E4A" w:rsidP="00BF0A8D">
            <w:pPr>
              <w:spacing w:before="20" w:after="20"/>
              <w:rPr>
                <w:rFonts w:cs="Arial"/>
                <w:b/>
                <w:sz w:val="18"/>
              </w:rPr>
            </w:pPr>
            <w:r w:rsidRPr="00FD40BB">
              <w:rPr>
                <w:rFonts w:cs="Arial"/>
                <w:sz w:val="18"/>
              </w:rPr>
              <w:t>Living conditions</w:t>
            </w:r>
          </w:p>
        </w:tc>
        <w:tc>
          <w:tcPr>
            <w:tcW w:w="708" w:type="dxa"/>
            <w:tcBorders>
              <w:right w:val="single" w:sz="4" w:space="0" w:color="A8D08D" w:themeColor="accent6" w:themeTint="99"/>
            </w:tcBorders>
            <w:shd w:val="clear" w:color="auto" w:fill="E2EFD9" w:themeFill="accent6" w:themeFillTint="33"/>
          </w:tcPr>
          <w:p w14:paraId="2CC56A75" w14:textId="77777777" w:rsidR="006D3E4A" w:rsidRPr="00FD40BB" w:rsidRDefault="006D3E4A" w:rsidP="00BF0A8D">
            <w:pPr>
              <w:spacing w:before="20" w:after="20"/>
              <w:jc w:val="center"/>
              <w:rPr>
                <w:rFonts w:cs="Arial"/>
                <w:b/>
                <w:sz w:val="18"/>
              </w:rPr>
            </w:pPr>
            <w:r w:rsidRPr="00FD40BB">
              <w:rPr>
                <w:rFonts w:cs="Arial"/>
                <w:sz w:val="18"/>
              </w:rPr>
              <w:t>5</w:t>
            </w:r>
          </w:p>
        </w:tc>
        <w:tc>
          <w:tcPr>
            <w:tcW w:w="3828" w:type="dxa"/>
            <w:tcBorders>
              <w:left w:val="single" w:sz="4" w:space="0" w:color="A8D08D" w:themeColor="accent6" w:themeTint="99"/>
            </w:tcBorders>
            <w:shd w:val="clear" w:color="auto" w:fill="E2EFD9" w:themeFill="accent6" w:themeFillTint="33"/>
          </w:tcPr>
          <w:p w14:paraId="2C91DD60" w14:textId="77777777" w:rsidR="006D3E4A" w:rsidRPr="00FD40BB" w:rsidRDefault="006D3E4A" w:rsidP="00BF0A8D">
            <w:pPr>
              <w:spacing w:before="20" w:after="20"/>
              <w:rPr>
                <w:rFonts w:cs="Arial"/>
                <w:sz w:val="18"/>
              </w:rPr>
            </w:pPr>
            <w:r w:rsidRPr="00FD40BB">
              <w:rPr>
                <w:rFonts w:cs="Arial"/>
                <w:sz w:val="18"/>
              </w:rPr>
              <w:t>Financial concerns</w:t>
            </w:r>
          </w:p>
        </w:tc>
        <w:tc>
          <w:tcPr>
            <w:tcW w:w="708" w:type="dxa"/>
            <w:shd w:val="clear" w:color="auto" w:fill="E2EFD9" w:themeFill="accent6" w:themeFillTint="33"/>
          </w:tcPr>
          <w:p w14:paraId="72E681AA" w14:textId="77777777" w:rsidR="006D3E4A" w:rsidRPr="00FD40BB" w:rsidRDefault="006D3E4A" w:rsidP="00BF0A8D">
            <w:pPr>
              <w:spacing w:before="20" w:after="20"/>
              <w:jc w:val="center"/>
              <w:rPr>
                <w:rFonts w:cs="Arial"/>
                <w:sz w:val="18"/>
              </w:rPr>
            </w:pPr>
            <w:r w:rsidRPr="00FD40BB">
              <w:rPr>
                <w:rFonts w:cs="Arial"/>
                <w:sz w:val="18"/>
              </w:rPr>
              <w:t>2</w:t>
            </w:r>
          </w:p>
        </w:tc>
      </w:tr>
      <w:tr w:rsidR="006D3E4A" w:rsidRPr="00FD40BB" w14:paraId="06AD3EC8" w14:textId="77777777" w:rsidTr="005659EF">
        <w:tc>
          <w:tcPr>
            <w:tcW w:w="3823" w:type="dxa"/>
          </w:tcPr>
          <w:p w14:paraId="513A4E76" w14:textId="77777777" w:rsidR="006D3E4A" w:rsidRPr="00FD40BB" w:rsidRDefault="006D3E4A" w:rsidP="00BF0A8D">
            <w:pPr>
              <w:spacing w:before="20" w:after="20"/>
              <w:rPr>
                <w:rFonts w:cs="Arial"/>
                <w:b/>
                <w:sz w:val="18"/>
              </w:rPr>
            </w:pPr>
            <w:r w:rsidRPr="00FD40BB">
              <w:rPr>
                <w:rFonts w:cs="Arial"/>
                <w:sz w:val="18"/>
              </w:rPr>
              <w:t xml:space="preserve">Financial concerns </w:t>
            </w:r>
          </w:p>
        </w:tc>
        <w:tc>
          <w:tcPr>
            <w:tcW w:w="708" w:type="dxa"/>
            <w:tcBorders>
              <w:right w:val="single" w:sz="4" w:space="0" w:color="A8D08D" w:themeColor="accent6" w:themeTint="99"/>
            </w:tcBorders>
          </w:tcPr>
          <w:p w14:paraId="44E0E53A" w14:textId="77777777" w:rsidR="006D3E4A" w:rsidRPr="00FD40BB" w:rsidRDefault="006D3E4A" w:rsidP="00BF0A8D">
            <w:pPr>
              <w:spacing w:before="20" w:after="20"/>
              <w:jc w:val="center"/>
              <w:rPr>
                <w:rFonts w:cs="Arial"/>
                <w:b/>
                <w:sz w:val="18"/>
              </w:rPr>
            </w:pPr>
            <w:r w:rsidRPr="00FD40BB">
              <w:rPr>
                <w:rFonts w:cs="Arial"/>
                <w:sz w:val="18"/>
              </w:rPr>
              <w:t>5</w:t>
            </w:r>
          </w:p>
        </w:tc>
        <w:tc>
          <w:tcPr>
            <w:tcW w:w="3828" w:type="dxa"/>
            <w:tcBorders>
              <w:left w:val="single" w:sz="4" w:space="0" w:color="A8D08D" w:themeColor="accent6" w:themeTint="99"/>
            </w:tcBorders>
          </w:tcPr>
          <w:p w14:paraId="02C6AC2E" w14:textId="77777777" w:rsidR="006D3E4A" w:rsidRPr="00FD40BB" w:rsidRDefault="006D3E4A" w:rsidP="00BF0A8D">
            <w:pPr>
              <w:spacing w:before="20" w:after="20"/>
              <w:rPr>
                <w:rFonts w:cs="Arial"/>
                <w:sz w:val="18"/>
              </w:rPr>
            </w:pPr>
            <w:r w:rsidRPr="00FD40BB">
              <w:rPr>
                <w:rFonts w:cs="Arial"/>
                <w:sz w:val="18"/>
              </w:rPr>
              <w:t>Lack of employment</w:t>
            </w:r>
          </w:p>
        </w:tc>
        <w:tc>
          <w:tcPr>
            <w:tcW w:w="708" w:type="dxa"/>
          </w:tcPr>
          <w:p w14:paraId="1AC8067A" w14:textId="77777777" w:rsidR="006D3E4A" w:rsidRPr="00FD40BB" w:rsidRDefault="006D3E4A" w:rsidP="00BF0A8D">
            <w:pPr>
              <w:spacing w:before="20" w:after="20"/>
              <w:jc w:val="center"/>
              <w:rPr>
                <w:rFonts w:cs="Arial"/>
                <w:sz w:val="18"/>
              </w:rPr>
            </w:pPr>
            <w:r w:rsidRPr="00FD40BB">
              <w:rPr>
                <w:rFonts w:cs="Arial"/>
                <w:sz w:val="18"/>
              </w:rPr>
              <w:t>2</w:t>
            </w:r>
          </w:p>
        </w:tc>
      </w:tr>
      <w:tr w:rsidR="006D3E4A" w:rsidRPr="00FD40BB" w14:paraId="0DC0EAF4" w14:textId="77777777" w:rsidTr="007C5A97">
        <w:tc>
          <w:tcPr>
            <w:tcW w:w="3823" w:type="dxa"/>
            <w:shd w:val="clear" w:color="auto" w:fill="E2EFD9" w:themeFill="accent6" w:themeFillTint="33"/>
          </w:tcPr>
          <w:p w14:paraId="3F4E3B93" w14:textId="77777777" w:rsidR="006D3E4A" w:rsidRPr="00FD40BB" w:rsidRDefault="006D3E4A" w:rsidP="00BF0A8D">
            <w:pPr>
              <w:spacing w:before="20" w:after="20"/>
              <w:rPr>
                <w:rFonts w:cs="Arial"/>
                <w:sz w:val="18"/>
              </w:rPr>
            </w:pPr>
            <w:r w:rsidRPr="00FD40BB">
              <w:rPr>
                <w:rFonts w:cs="Arial"/>
                <w:sz w:val="18"/>
              </w:rPr>
              <w:t>Learning standards and teaching styles</w:t>
            </w:r>
          </w:p>
        </w:tc>
        <w:tc>
          <w:tcPr>
            <w:tcW w:w="708" w:type="dxa"/>
            <w:tcBorders>
              <w:right w:val="single" w:sz="4" w:space="0" w:color="A8D08D" w:themeColor="accent6" w:themeTint="99"/>
            </w:tcBorders>
            <w:shd w:val="clear" w:color="auto" w:fill="E2EFD9" w:themeFill="accent6" w:themeFillTint="33"/>
          </w:tcPr>
          <w:p w14:paraId="375043BB" w14:textId="77777777" w:rsidR="006D3E4A" w:rsidRPr="00FD40BB" w:rsidRDefault="006D3E4A" w:rsidP="00BF0A8D">
            <w:pPr>
              <w:spacing w:before="20" w:after="20"/>
              <w:jc w:val="center"/>
              <w:rPr>
                <w:rFonts w:cs="Arial"/>
                <w:sz w:val="18"/>
              </w:rPr>
            </w:pPr>
            <w:r w:rsidRPr="00FD40BB">
              <w:rPr>
                <w:rFonts w:cs="Arial"/>
                <w:sz w:val="18"/>
              </w:rPr>
              <w:t>4</w:t>
            </w:r>
          </w:p>
        </w:tc>
        <w:tc>
          <w:tcPr>
            <w:tcW w:w="3828" w:type="dxa"/>
            <w:tcBorders>
              <w:left w:val="single" w:sz="4" w:space="0" w:color="A8D08D" w:themeColor="accent6" w:themeTint="99"/>
            </w:tcBorders>
            <w:shd w:val="clear" w:color="auto" w:fill="E2EFD9" w:themeFill="accent6" w:themeFillTint="33"/>
          </w:tcPr>
          <w:p w14:paraId="1D4321CC" w14:textId="77777777" w:rsidR="006D3E4A" w:rsidRPr="00FD40BB" w:rsidRDefault="006D3E4A" w:rsidP="00BF0A8D">
            <w:pPr>
              <w:spacing w:before="20" w:after="20"/>
              <w:rPr>
                <w:rFonts w:cs="Arial"/>
                <w:sz w:val="18"/>
              </w:rPr>
            </w:pPr>
            <w:r w:rsidRPr="00FD40BB">
              <w:rPr>
                <w:rFonts w:cs="Arial"/>
                <w:sz w:val="18"/>
              </w:rPr>
              <w:t>Homesickness</w:t>
            </w:r>
          </w:p>
        </w:tc>
        <w:tc>
          <w:tcPr>
            <w:tcW w:w="708" w:type="dxa"/>
            <w:shd w:val="clear" w:color="auto" w:fill="E2EFD9" w:themeFill="accent6" w:themeFillTint="33"/>
          </w:tcPr>
          <w:p w14:paraId="33743FD0" w14:textId="77777777" w:rsidR="006D3E4A" w:rsidRPr="00FD40BB" w:rsidRDefault="006D3E4A" w:rsidP="00BF0A8D">
            <w:pPr>
              <w:spacing w:before="20" w:after="20"/>
              <w:jc w:val="center"/>
              <w:rPr>
                <w:rFonts w:cs="Arial"/>
                <w:sz w:val="18"/>
              </w:rPr>
            </w:pPr>
            <w:r w:rsidRPr="00FD40BB">
              <w:rPr>
                <w:rFonts w:cs="Arial"/>
                <w:sz w:val="18"/>
              </w:rPr>
              <w:t>2</w:t>
            </w:r>
          </w:p>
        </w:tc>
      </w:tr>
      <w:tr w:rsidR="006D3E4A" w:rsidRPr="00FD40BB" w14:paraId="7E35A32D" w14:textId="77777777" w:rsidTr="005659EF">
        <w:tc>
          <w:tcPr>
            <w:tcW w:w="3823" w:type="dxa"/>
          </w:tcPr>
          <w:p w14:paraId="3D0244B1" w14:textId="77777777" w:rsidR="006D3E4A" w:rsidRPr="00FD40BB" w:rsidRDefault="006D3E4A" w:rsidP="00BF0A8D">
            <w:pPr>
              <w:spacing w:before="20" w:after="20"/>
              <w:rPr>
                <w:rFonts w:cs="Arial"/>
                <w:sz w:val="18"/>
              </w:rPr>
            </w:pPr>
            <w:r w:rsidRPr="00FD40BB">
              <w:rPr>
                <w:rFonts w:cs="Arial"/>
                <w:sz w:val="18"/>
              </w:rPr>
              <w:t xml:space="preserve">Lack of pre-requisite knowledge and technology skills </w:t>
            </w:r>
          </w:p>
        </w:tc>
        <w:tc>
          <w:tcPr>
            <w:tcW w:w="708" w:type="dxa"/>
            <w:tcBorders>
              <w:right w:val="single" w:sz="4" w:space="0" w:color="A8D08D" w:themeColor="accent6" w:themeTint="99"/>
            </w:tcBorders>
          </w:tcPr>
          <w:p w14:paraId="1B122108" w14:textId="77777777" w:rsidR="006D3E4A" w:rsidRPr="00FD40BB" w:rsidRDefault="006D3E4A" w:rsidP="00BF0A8D">
            <w:pPr>
              <w:spacing w:before="20" w:after="20"/>
              <w:jc w:val="center"/>
              <w:rPr>
                <w:rFonts w:cs="Arial"/>
                <w:sz w:val="18"/>
              </w:rPr>
            </w:pPr>
            <w:r w:rsidRPr="00FD40BB">
              <w:rPr>
                <w:rFonts w:cs="Arial"/>
                <w:sz w:val="18"/>
              </w:rPr>
              <w:t>4</w:t>
            </w:r>
          </w:p>
        </w:tc>
        <w:tc>
          <w:tcPr>
            <w:tcW w:w="3828" w:type="dxa"/>
            <w:tcBorders>
              <w:left w:val="single" w:sz="4" w:space="0" w:color="A8D08D" w:themeColor="accent6" w:themeTint="99"/>
            </w:tcBorders>
          </w:tcPr>
          <w:p w14:paraId="2189E482" w14:textId="77777777" w:rsidR="006D3E4A" w:rsidRPr="00FD40BB" w:rsidRDefault="006D3E4A" w:rsidP="00BF0A8D">
            <w:pPr>
              <w:spacing w:before="20" w:after="20"/>
              <w:rPr>
                <w:rFonts w:cs="Arial"/>
                <w:sz w:val="18"/>
              </w:rPr>
            </w:pPr>
            <w:r w:rsidRPr="00FD40BB">
              <w:rPr>
                <w:rFonts w:cs="Arial"/>
                <w:sz w:val="18"/>
              </w:rPr>
              <w:t>Lack of industry exposure/experience</w:t>
            </w:r>
          </w:p>
        </w:tc>
        <w:tc>
          <w:tcPr>
            <w:tcW w:w="708" w:type="dxa"/>
          </w:tcPr>
          <w:p w14:paraId="42101655" w14:textId="77777777" w:rsidR="006D3E4A" w:rsidRPr="00FD40BB" w:rsidRDefault="006D3E4A" w:rsidP="00BF0A8D">
            <w:pPr>
              <w:spacing w:before="20" w:after="20"/>
              <w:jc w:val="center"/>
              <w:rPr>
                <w:rFonts w:cs="Arial"/>
                <w:sz w:val="18"/>
              </w:rPr>
            </w:pPr>
            <w:r w:rsidRPr="00FD40BB">
              <w:rPr>
                <w:rFonts w:cs="Arial"/>
                <w:sz w:val="18"/>
              </w:rPr>
              <w:t>2</w:t>
            </w:r>
          </w:p>
        </w:tc>
      </w:tr>
      <w:tr w:rsidR="006D3E4A" w:rsidRPr="00FD40BB" w14:paraId="73A2847E" w14:textId="77777777" w:rsidTr="007C5A97">
        <w:tc>
          <w:tcPr>
            <w:tcW w:w="3823" w:type="dxa"/>
            <w:shd w:val="clear" w:color="auto" w:fill="E2EFD9" w:themeFill="accent6" w:themeFillTint="33"/>
          </w:tcPr>
          <w:p w14:paraId="6AC1EF8E" w14:textId="77777777" w:rsidR="006D3E4A" w:rsidRPr="00FD40BB" w:rsidRDefault="006D3E4A" w:rsidP="00BF0A8D">
            <w:pPr>
              <w:spacing w:before="20" w:after="20"/>
              <w:rPr>
                <w:rFonts w:cs="Arial"/>
                <w:sz w:val="18"/>
              </w:rPr>
            </w:pPr>
            <w:r w:rsidRPr="00FD40BB">
              <w:rPr>
                <w:rFonts w:cs="Arial"/>
                <w:sz w:val="18"/>
              </w:rPr>
              <w:t>Employer interference in and/or resistance to training</w:t>
            </w:r>
          </w:p>
        </w:tc>
        <w:tc>
          <w:tcPr>
            <w:tcW w:w="708" w:type="dxa"/>
            <w:tcBorders>
              <w:right w:val="single" w:sz="4" w:space="0" w:color="A8D08D" w:themeColor="accent6" w:themeTint="99"/>
            </w:tcBorders>
            <w:shd w:val="clear" w:color="auto" w:fill="E2EFD9" w:themeFill="accent6" w:themeFillTint="33"/>
          </w:tcPr>
          <w:p w14:paraId="2D0FFE51" w14:textId="77777777" w:rsidR="006D3E4A" w:rsidRPr="00FD40BB" w:rsidRDefault="006D3E4A" w:rsidP="00BF0A8D">
            <w:pPr>
              <w:spacing w:before="20" w:after="20"/>
              <w:jc w:val="center"/>
              <w:rPr>
                <w:rFonts w:cs="Arial"/>
                <w:sz w:val="18"/>
              </w:rPr>
            </w:pPr>
            <w:r w:rsidRPr="00FD40BB">
              <w:rPr>
                <w:rFonts w:cs="Arial"/>
                <w:sz w:val="18"/>
              </w:rPr>
              <w:t>4</w:t>
            </w:r>
          </w:p>
        </w:tc>
        <w:tc>
          <w:tcPr>
            <w:tcW w:w="3828" w:type="dxa"/>
            <w:tcBorders>
              <w:left w:val="single" w:sz="4" w:space="0" w:color="A8D08D" w:themeColor="accent6" w:themeTint="99"/>
            </w:tcBorders>
            <w:shd w:val="clear" w:color="auto" w:fill="E2EFD9" w:themeFill="accent6" w:themeFillTint="33"/>
          </w:tcPr>
          <w:p w14:paraId="599C3A32" w14:textId="77777777" w:rsidR="006D3E4A" w:rsidRPr="00FD40BB" w:rsidRDefault="006D3E4A" w:rsidP="00BF0A8D">
            <w:pPr>
              <w:spacing w:before="20" w:after="20"/>
              <w:rPr>
                <w:rFonts w:cs="Arial"/>
                <w:sz w:val="18"/>
              </w:rPr>
            </w:pPr>
            <w:r w:rsidRPr="00FD40BB">
              <w:rPr>
                <w:rFonts w:cs="Arial"/>
                <w:sz w:val="18"/>
              </w:rPr>
              <w:t>Lack of student social activities</w:t>
            </w:r>
          </w:p>
        </w:tc>
        <w:tc>
          <w:tcPr>
            <w:tcW w:w="708" w:type="dxa"/>
            <w:shd w:val="clear" w:color="auto" w:fill="E2EFD9" w:themeFill="accent6" w:themeFillTint="33"/>
          </w:tcPr>
          <w:p w14:paraId="59718906" w14:textId="77777777" w:rsidR="006D3E4A" w:rsidRPr="00FD40BB" w:rsidRDefault="006D3E4A" w:rsidP="00BF0A8D">
            <w:pPr>
              <w:spacing w:before="20" w:after="20"/>
              <w:jc w:val="center"/>
              <w:rPr>
                <w:rFonts w:cs="Arial"/>
                <w:sz w:val="18"/>
              </w:rPr>
            </w:pPr>
            <w:r w:rsidRPr="00FD40BB">
              <w:rPr>
                <w:rFonts w:cs="Arial"/>
                <w:sz w:val="18"/>
              </w:rPr>
              <w:t>2</w:t>
            </w:r>
          </w:p>
        </w:tc>
      </w:tr>
      <w:tr w:rsidR="006D3E4A" w:rsidRPr="00FD40BB" w14:paraId="7B6D023B" w14:textId="77777777" w:rsidTr="005659EF">
        <w:tc>
          <w:tcPr>
            <w:tcW w:w="3823" w:type="dxa"/>
          </w:tcPr>
          <w:p w14:paraId="3CC1C365" w14:textId="77777777" w:rsidR="006D3E4A" w:rsidRPr="00FD40BB" w:rsidRDefault="006D3E4A" w:rsidP="00BF0A8D">
            <w:pPr>
              <w:spacing w:before="20" w:after="20"/>
              <w:rPr>
                <w:rFonts w:cs="Arial"/>
                <w:sz w:val="18"/>
              </w:rPr>
            </w:pPr>
            <w:r w:rsidRPr="00FD40BB">
              <w:rPr>
                <w:rFonts w:cs="Arial"/>
                <w:sz w:val="18"/>
              </w:rPr>
              <w:t>Complexity of the learning environment, APTC systems and learning tasks</w:t>
            </w:r>
          </w:p>
        </w:tc>
        <w:tc>
          <w:tcPr>
            <w:tcW w:w="708" w:type="dxa"/>
            <w:tcBorders>
              <w:right w:val="single" w:sz="4" w:space="0" w:color="A8D08D" w:themeColor="accent6" w:themeTint="99"/>
            </w:tcBorders>
          </w:tcPr>
          <w:p w14:paraId="7071C9A3" w14:textId="77777777" w:rsidR="006D3E4A" w:rsidRPr="00FD40BB" w:rsidRDefault="006D3E4A" w:rsidP="00BF0A8D">
            <w:pPr>
              <w:spacing w:before="20" w:after="20"/>
              <w:jc w:val="center"/>
              <w:rPr>
                <w:rFonts w:cs="Arial"/>
                <w:sz w:val="18"/>
              </w:rPr>
            </w:pPr>
            <w:r w:rsidRPr="00FD40BB">
              <w:rPr>
                <w:rFonts w:cs="Arial"/>
                <w:sz w:val="18"/>
              </w:rPr>
              <w:t>4</w:t>
            </w:r>
          </w:p>
        </w:tc>
        <w:tc>
          <w:tcPr>
            <w:tcW w:w="3828" w:type="dxa"/>
            <w:tcBorders>
              <w:left w:val="single" w:sz="4" w:space="0" w:color="A8D08D" w:themeColor="accent6" w:themeTint="99"/>
            </w:tcBorders>
          </w:tcPr>
          <w:p w14:paraId="58516B26" w14:textId="77777777" w:rsidR="006D3E4A" w:rsidRPr="00FD40BB" w:rsidRDefault="006D3E4A" w:rsidP="00BF0A8D">
            <w:pPr>
              <w:spacing w:before="20" w:after="20"/>
              <w:jc w:val="center"/>
              <w:rPr>
                <w:rFonts w:cs="Arial"/>
                <w:sz w:val="18"/>
              </w:rPr>
            </w:pPr>
          </w:p>
        </w:tc>
        <w:tc>
          <w:tcPr>
            <w:tcW w:w="708" w:type="dxa"/>
          </w:tcPr>
          <w:p w14:paraId="4688713D" w14:textId="77777777" w:rsidR="006D3E4A" w:rsidRPr="00FD40BB" w:rsidRDefault="006D3E4A" w:rsidP="00BF0A8D">
            <w:pPr>
              <w:spacing w:before="20" w:after="20"/>
              <w:jc w:val="center"/>
              <w:rPr>
                <w:rFonts w:cs="Arial"/>
                <w:sz w:val="18"/>
              </w:rPr>
            </w:pPr>
          </w:p>
        </w:tc>
      </w:tr>
      <w:tr w:rsidR="006D3E4A" w:rsidRPr="00FD40BB" w14:paraId="1BF2E03B" w14:textId="77777777" w:rsidTr="007C5A97">
        <w:tc>
          <w:tcPr>
            <w:tcW w:w="3823" w:type="dxa"/>
            <w:shd w:val="clear" w:color="auto" w:fill="E2EFD9" w:themeFill="accent6" w:themeFillTint="33"/>
          </w:tcPr>
          <w:p w14:paraId="1FFB7FCE" w14:textId="77777777" w:rsidR="006D3E4A" w:rsidRPr="00FD40BB" w:rsidRDefault="006D3E4A" w:rsidP="00BF0A8D">
            <w:pPr>
              <w:spacing w:before="20" w:after="20"/>
              <w:rPr>
                <w:rFonts w:cs="Arial"/>
                <w:sz w:val="18"/>
              </w:rPr>
            </w:pPr>
            <w:r w:rsidRPr="00FD40BB">
              <w:rPr>
                <w:rFonts w:cs="Arial"/>
                <w:sz w:val="18"/>
              </w:rPr>
              <w:t>Transport costs</w:t>
            </w:r>
          </w:p>
        </w:tc>
        <w:tc>
          <w:tcPr>
            <w:tcW w:w="708" w:type="dxa"/>
            <w:tcBorders>
              <w:right w:val="single" w:sz="4" w:space="0" w:color="A8D08D" w:themeColor="accent6" w:themeTint="99"/>
            </w:tcBorders>
            <w:shd w:val="clear" w:color="auto" w:fill="E2EFD9" w:themeFill="accent6" w:themeFillTint="33"/>
          </w:tcPr>
          <w:p w14:paraId="0E62CABF" w14:textId="77777777" w:rsidR="006D3E4A" w:rsidRPr="00FD40BB" w:rsidRDefault="006D3E4A" w:rsidP="00BF0A8D">
            <w:pPr>
              <w:spacing w:before="20" w:after="20"/>
              <w:jc w:val="center"/>
              <w:rPr>
                <w:rFonts w:cs="Arial"/>
                <w:sz w:val="18"/>
              </w:rPr>
            </w:pPr>
            <w:r w:rsidRPr="00FD40BB">
              <w:rPr>
                <w:rFonts w:cs="Arial"/>
                <w:sz w:val="18"/>
              </w:rPr>
              <w:t>3</w:t>
            </w:r>
          </w:p>
        </w:tc>
        <w:tc>
          <w:tcPr>
            <w:tcW w:w="3828" w:type="dxa"/>
            <w:tcBorders>
              <w:left w:val="single" w:sz="4" w:space="0" w:color="A8D08D" w:themeColor="accent6" w:themeTint="99"/>
            </w:tcBorders>
            <w:shd w:val="clear" w:color="auto" w:fill="E2EFD9" w:themeFill="accent6" w:themeFillTint="33"/>
          </w:tcPr>
          <w:p w14:paraId="7F08AABE" w14:textId="77777777" w:rsidR="006D3E4A" w:rsidRPr="00FD40BB" w:rsidRDefault="006D3E4A" w:rsidP="00BF0A8D">
            <w:pPr>
              <w:spacing w:before="20" w:after="20"/>
              <w:jc w:val="center"/>
              <w:rPr>
                <w:rFonts w:cs="Arial"/>
                <w:sz w:val="18"/>
              </w:rPr>
            </w:pPr>
          </w:p>
        </w:tc>
        <w:tc>
          <w:tcPr>
            <w:tcW w:w="708" w:type="dxa"/>
            <w:shd w:val="clear" w:color="auto" w:fill="E2EFD9" w:themeFill="accent6" w:themeFillTint="33"/>
          </w:tcPr>
          <w:p w14:paraId="0A8B456B" w14:textId="77777777" w:rsidR="006D3E4A" w:rsidRPr="00FD40BB" w:rsidRDefault="006D3E4A" w:rsidP="00BF0A8D">
            <w:pPr>
              <w:spacing w:before="20" w:after="20"/>
              <w:jc w:val="center"/>
              <w:rPr>
                <w:rFonts w:cs="Arial"/>
                <w:sz w:val="18"/>
              </w:rPr>
            </w:pPr>
          </w:p>
        </w:tc>
      </w:tr>
      <w:tr w:rsidR="006D3E4A" w:rsidRPr="00FD40BB" w14:paraId="7C1948D2" w14:textId="77777777" w:rsidTr="005659EF">
        <w:tc>
          <w:tcPr>
            <w:tcW w:w="3823" w:type="dxa"/>
            <w:tcBorders>
              <w:bottom w:val="single" w:sz="4" w:space="0" w:color="A8D08D" w:themeColor="accent6" w:themeTint="99"/>
            </w:tcBorders>
          </w:tcPr>
          <w:p w14:paraId="4F91006A" w14:textId="77777777" w:rsidR="006D3E4A" w:rsidRPr="00FD40BB" w:rsidRDefault="006D3E4A" w:rsidP="00BF0A8D">
            <w:pPr>
              <w:spacing w:before="20" w:after="20"/>
              <w:rPr>
                <w:rFonts w:cs="Arial"/>
                <w:sz w:val="18"/>
              </w:rPr>
            </w:pPr>
            <w:r w:rsidRPr="00FD40BB">
              <w:rPr>
                <w:rFonts w:cs="Arial"/>
                <w:sz w:val="18"/>
              </w:rPr>
              <w:t>Boredom and substance abuse</w:t>
            </w:r>
          </w:p>
        </w:tc>
        <w:tc>
          <w:tcPr>
            <w:tcW w:w="708" w:type="dxa"/>
            <w:tcBorders>
              <w:bottom w:val="single" w:sz="4" w:space="0" w:color="A8D08D" w:themeColor="accent6" w:themeTint="99"/>
              <w:right w:val="single" w:sz="4" w:space="0" w:color="A8D08D" w:themeColor="accent6" w:themeTint="99"/>
            </w:tcBorders>
          </w:tcPr>
          <w:p w14:paraId="08C9B934" w14:textId="77777777" w:rsidR="006D3E4A" w:rsidRPr="00FD40BB" w:rsidRDefault="006D3E4A" w:rsidP="00BF0A8D">
            <w:pPr>
              <w:spacing w:before="20" w:after="20"/>
              <w:jc w:val="center"/>
              <w:rPr>
                <w:rFonts w:cs="Arial"/>
                <w:sz w:val="18"/>
              </w:rPr>
            </w:pPr>
            <w:r w:rsidRPr="00FD40BB">
              <w:rPr>
                <w:rFonts w:cs="Arial"/>
                <w:sz w:val="18"/>
              </w:rPr>
              <w:t>3</w:t>
            </w:r>
          </w:p>
        </w:tc>
        <w:tc>
          <w:tcPr>
            <w:tcW w:w="3828" w:type="dxa"/>
            <w:tcBorders>
              <w:left w:val="single" w:sz="4" w:space="0" w:color="A8D08D" w:themeColor="accent6" w:themeTint="99"/>
              <w:bottom w:val="single" w:sz="4" w:space="0" w:color="A8D08D" w:themeColor="accent6" w:themeTint="99"/>
            </w:tcBorders>
          </w:tcPr>
          <w:p w14:paraId="3DD2B970" w14:textId="77777777" w:rsidR="006D3E4A" w:rsidRPr="00FD40BB" w:rsidRDefault="006D3E4A" w:rsidP="00BF0A8D">
            <w:pPr>
              <w:spacing w:before="20" w:after="20"/>
              <w:jc w:val="center"/>
              <w:rPr>
                <w:rFonts w:cs="Arial"/>
                <w:sz w:val="18"/>
              </w:rPr>
            </w:pPr>
          </w:p>
        </w:tc>
        <w:tc>
          <w:tcPr>
            <w:tcW w:w="708" w:type="dxa"/>
            <w:tcBorders>
              <w:bottom w:val="single" w:sz="4" w:space="0" w:color="A8D08D" w:themeColor="accent6" w:themeTint="99"/>
            </w:tcBorders>
          </w:tcPr>
          <w:p w14:paraId="5820C458" w14:textId="77777777" w:rsidR="006D3E4A" w:rsidRPr="00FD40BB" w:rsidRDefault="006D3E4A" w:rsidP="00BF0A8D">
            <w:pPr>
              <w:spacing w:before="20" w:after="20"/>
              <w:jc w:val="center"/>
              <w:rPr>
                <w:rFonts w:cs="Arial"/>
                <w:sz w:val="18"/>
              </w:rPr>
            </w:pPr>
          </w:p>
        </w:tc>
      </w:tr>
    </w:tbl>
    <w:p w14:paraId="710B8CDC" w14:textId="77777777" w:rsidR="006D3E4A" w:rsidRPr="00A675A0" w:rsidRDefault="006D3E4A" w:rsidP="006D3E4A">
      <w:pPr>
        <w:rPr>
          <w:rFonts w:cs="Arial"/>
        </w:rPr>
      </w:pPr>
    </w:p>
    <w:tbl>
      <w:tblPr>
        <w:tblStyle w:val="TableGrid1"/>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559"/>
        <w:gridCol w:w="3611"/>
        <w:gridCol w:w="559"/>
      </w:tblGrid>
      <w:tr w:rsidR="006D3E4A" w:rsidRPr="00FD40BB" w14:paraId="05671666" w14:textId="77777777" w:rsidTr="005659EF">
        <w:tc>
          <w:tcPr>
            <w:tcW w:w="9067" w:type="dxa"/>
            <w:gridSpan w:val="4"/>
            <w:shd w:val="clear" w:color="auto" w:fill="C5E0B3" w:themeFill="accent6" w:themeFillTint="66"/>
          </w:tcPr>
          <w:p w14:paraId="6327B567" w14:textId="77777777" w:rsidR="006D3E4A" w:rsidRPr="00FD40BB" w:rsidRDefault="00B261FF" w:rsidP="00B261FF">
            <w:pPr>
              <w:spacing w:before="40" w:after="40"/>
              <w:jc w:val="center"/>
              <w:rPr>
                <w:rFonts w:cs="Arial"/>
                <w:b/>
                <w:sz w:val="20"/>
              </w:rPr>
            </w:pPr>
            <w:r>
              <w:rPr>
                <w:rFonts w:cs="Arial"/>
                <w:b/>
                <w:sz w:val="20"/>
              </w:rPr>
              <w:t xml:space="preserve">Student challenges: </w:t>
            </w:r>
            <w:r w:rsidR="006D3E4A" w:rsidRPr="00FD40BB">
              <w:rPr>
                <w:rFonts w:cs="Arial"/>
                <w:b/>
                <w:sz w:val="20"/>
              </w:rPr>
              <w:t xml:space="preserve">Trainers’ and tutors’ suggestions for addressing </w:t>
            </w:r>
          </w:p>
        </w:tc>
      </w:tr>
      <w:tr w:rsidR="006D3E4A" w:rsidRPr="00FD40BB" w14:paraId="14DB42F4" w14:textId="77777777" w:rsidTr="005659EF">
        <w:tc>
          <w:tcPr>
            <w:tcW w:w="3936" w:type="dxa"/>
            <w:shd w:val="clear" w:color="auto" w:fill="E2EFD9" w:themeFill="accent6" w:themeFillTint="33"/>
          </w:tcPr>
          <w:p w14:paraId="5ED302B2" w14:textId="77777777" w:rsidR="006D3E4A" w:rsidRPr="00FD40BB" w:rsidRDefault="006D3E4A" w:rsidP="00FD40BB">
            <w:pPr>
              <w:spacing w:before="40" w:after="40"/>
              <w:rPr>
                <w:rFonts w:cs="Arial"/>
                <w:b/>
                <w:sz w:val="18"/>
              </w:rPr>
            </w:pPr>
            <w:r w:rsidRPr="00FD40BB">
              <w:rPr>
                <w:rFonts w:cs="Arial"/>
                <w:b/>
                <w:sz w:val="18"/>
              </w:rPr>
              <w:t>Trainers</w:t>
            </w:r>
          </w:p>
        </w:tc>
        <w:tc>
          <w:tcPr>
            <w:tcW w:w="595" w:type="dxa"/>
            <w:tcBorders>
              <w:right w:val="single" w:sz="4" w:space="0" w:color="A8D08D" w:themeColor="accent6" w:themeTint="99"/>
            </w:tcBorders>
            <w:shd w:val="clear" w:color="auto" w:fill="E2EFD9" w:themeFill="accent6" w:themeFillTint="33"/>
          </w:tcPr>
          <w:p w14:paraId="601B56FB" w14:textId="77777777" w:rsidR="006D3E4A" w:rsidRPr="00FD40BB" w:rsidRDefault="006D3E4A" w:rsidP="00FD40BB">
            <w:pPr>
              <w:spacing w:before="40" w:after="40"/>
              <w:jc w:val="center"/>
              <w:rPr>
                <w:rFonts w:cs="Arial"/>
                <w:b/>
                <w:sz w:val="18"/>
              </w:rPr>
            </w:pPr>
            <w:r w:rsidRPr="00FD40BB">
              <w:rPr>
                <w:rFonts w:cs="Arial"/>
                <w:b/>
                <w:sz w:val="18"/>
              </w:rPr>
              <w:t>F</w:t>
            </w:r>
          </w:p>
        </w:tc>
        <w:tc>
          <w:tcPr>
            <w:tcW w:w="3941" w:type="dxa"/>
            <w:tcBorders>
              <w:left w:val="single" w:sz="4" w:space="0" w:color="A8D08D" w:themeColor="accent6" w:themeTint="99"/>
            </w:tcBorders>
            <w:shd w:val="clear" w:color="auto" w:fill="E2EFD9" w:themeFill="accent6" w:themeFillTint="33"/>
          </w:tcPr>
          <w:p w14:paraId="13E4BFBE" w14:textId="77777777" w:rsidR="006D3E4A" w:rsidRPr="00FD40BB" w:rsidRDefault="006D3E4A" w:rsidP="00FD40BB">
            <w:pPr>
              <w:spacing w:before="40" w:after="40"/>
              <w:rPr>
                <w:rFonts w:cs="Arial"/>
                <w:b/>
                <w:sz w:val="18"/>
              </w:rPr>
            </w:pPr>
            <w:r w:rsidRPr="00FD40BB">
              <w:rPr>
                <w:rFonts w:cs="Arial"/>
                <w:b/>
                <w:sz w:val="18"/>
              </w:rPr>
              <w:t>Tutors</w:t>
            </w:r>
          </w:p>
        </w:tc>
        <w:tc>
          <w:tcPr>
            <w:tcW w:w="595" w:type="dxa"/>
            <w:shd w:val="clear" w:color="auto" w:fill="E2EFD9" w:themeFill="accent6" w:themeFillTint="33"/>
          </w:tcPr>
          <w:p w14:paraId="499C865C" w14:textId="77777777" w:rsidR="006D3E4A" w:rsidRPr="00FD40BB" w:rsidRDefault="00FD40BB" w:rsidP="00FD40BB">
            <w:pPr>
              <w:spacing w:before="40" w:after="40"/>
              <w:jc w:val="center"/>
              <w:rPr>
                <w:rFonts w:cs="Arial"/>
                <w:b/>
                <w:sz w:val="18"/>
              </w:rPr>
            </w:pPr>
            <w:r>
              <w:rPr>
                <w:rFonts w:cs="Arial"/>
                <w:b/>
                <w:sz w:val="18"/>
              </w:rPr>
              <w:t>F</w:t>
            </w:r>
          </w:p>
        </w:tc>
      </w:tr>
      <w:tr w:rsidR="006D3E4A" w:rsidRPr="00FD40BB" w14:paraId="765178E6" w14:textId="77777777" w:rsidTr="005659EF">
        <w:tc>
          <w:tcPr>
            <w:tcW w:w="3936" w:type="dxa"/>
          </w:tcPr>
          <w:p w14:paraId="3AA441B7" w14:textId="77777777" w:rsidR="006D3E4A" w:rsidRPr="00FD40BB" w:rsidRDefault="006D3E4A" w:rsidP="00BF0A8D">
            <w:pPr>
              <w:spacing w:before="20" w:after="20"/>
              <w:rPr>
                <w:rFonts w:cs="Arial"/>
                <w:sz w:val="18"/>
              </w:rPr>
            </w:pPr>
            <w:r w:rsidRPr="00FD40BB">
              <w:rPr>
                <w:rFonts w:cs="Arial"/>
                <w:sz w:val="18"/>
              </w:rPr>
              <w:t>Increased language and bridging support – including greater use of LLN tutors and Learning Support Facilitators</w:t>
            </w:r>
          </w:p>
        </w:tc>
        <w:tc>
          <w:tcPr>
            <w:tcW w:w="595" w:type="dxa"/>
            <w:tcBorders>
              <w:right w:val="single" w:sz="4" w:space="0" w:color="A8D08D" w:themeColor="accent6" w:themeTint="99"/>
            </w:tcBorders>
          </w:tcPr>
          <w:p w14:paraId="4A79D05D" w14:textId="77777777" w:rsidR="006D3E4A" w:rsidRPr="00FD40BB" w:rsidRDefault="006D3E4A" w:rsidP="00BF0A8D">
            <w:pPr>
              <w:spacing w:before="20" w:after="20"/>
              <w:jc w:val="center"/>
              <w:rPr>
                <w:rFonts w:cs="Arial"/>
                <w:sz w:val="18"/>
              </w:rPr>
            </w:pPr>
            <w:r w:rsidRPr="00FD40BB">
              <w:rPr>
                <w:rFonts w:cs="Arial"/>
                <w:sz w:val="18"/>
              </w:rPr>
              <w:t>12</w:t>
            </w:r>
          </w:p>
        </w:tc>
        <w:tc>
          <w:tcPr>
            <w:tcW w:w="3941" w:type="dxa"/>
            <w:tcBorders>
              <w:left w:val="single" w:sz="4" w:space="0" w:color="A8D08D" w:themeColor="accent6" w:themeTint="99"/>
            </w:tcBorders>
          </w:tcPr>
          <w:p w14:paraId="3E3B532E" w14:textId="77777777" w:rsidR="006D3E4A" w:rsidRPr="00FD40BB" w:rsidRDefault="006D3E4A" w:rsidP="00BF0A8D">
            <w:pPr>
              <w:spacing w:before="20" w:after="20"/>
              <w:rPr>
                <w:rFonts w:cs="Arial"/>
                <w:sz w:val="18"/>
              </w:rPr>
            </w:pPr>
            <w:r w:rsidRPr="00FD40BB">
              <w:rPr>
                <w:rFonts w:cs="Arial"/>
                <w:sz w:val="18"/>
              </w:rPr>
              <w:t>Increased language and bridging support – including greater use of LLN tutors and Learning Support Facilitators</w:t>
            </w:r>
          </w:p>
        </w:tc>
        <w:tc>
          <w:tcPr>
            <w:tcW w:w="595" w:type="dxa"/>
          </w:tcPr>
          <w:p w14:paraId="04F2EBEC" w14:textId="77777777" w:rsidR="006D3E4A" w:rsidRPr="00FD40BB" w:rsidRDefault="006D3E4A" w:rsidP="00BF0A8D">
            <w:pPr>
              <w:spacing w:before="20" w:after="20"/>
              <w:jc w:val="center"/>
              <w:rPr>
                <w:rFonts w:cs="Arial"/>
                <w:sz w:val="18"/>
              </w:rPr>
            </w:pPr>
            <w:r w:rsidRPr="00FD40BB">
              <w:rPr>
                <w:rFonts w:cs="Arial"/>
                <w:sz w:val="18"/>
              </w:rPr>
              <w:t>14</w:t>
            </w:r>
          </w:p>
        </w:tc>
      </w:tr>
      <w:tr w:rsidR="006D3E4A" w:rsidRPr="00FD40BB" w14:paraId="04CB708E" w14:textId="77777777" w:rsidTr="00AB336D">
        <w:tc>
          <w:tcPr>
            <w:tcW w:w="3936" w:type="dxa"/>
            <w:shd w:val="clear" w:color="auto" w:fill="E2EFD9" w:themeFill="accent6" w:themeFillTint="33"/>
          </w:tcPr>
          <w:p w14:paraId="2E980A4A" w14:textId="77777777" w:rsidR="006D3E4A" w:rsidRPr="00FD40BB" w:rsidRDefault="006D3E4A" w:rsidP="00BF0A8D">
            <w:pPr>
              <w:spacing w:before="20" w:after="20"/>
              <w:rPr>
                <w:rFonts w:cs="Arial"/>
                <w:sz w:val="18"/>
              </w:rPr>
            </w:pPr>
            <w:r w:rsidRPr="00FD40BB">
              <w:rPr>
                <w:rFonts w:cs="Arial"/>
                <w:sz w:val="18"/>
              </w:rPr>
              <w:t>Extension of timeframes for course completion</w:t>
            </w:r>
          </w:p>
        </w:tc>
        <w:tc>
          <w:tcPr>
            <w:tcW w:w="595" w:type="dxa"/>
            <w:tcBorders>
              <w:right w:val="single" w:sz="4" w:space="0" w:color="A8D08D" w:themeColor="accent6" w:themeTint="99"/>
            </w:tcBorders>
            <w:shd w:val="clear" w:color="auto" w:fill="E2EFD9" w:themeFill="accent6" w:themeFillTint="33"/>
          </w:tcPr>
          <w:p w14:paraId="19CF80BE" w14:textId="77777777" w:rsidR="006D3E4A" w:rsidRPr="00FD40BB" w:rsidRDefault="006D3E4A" w:rsidP="00BF0A8D">
            <w:pPr>
              <w:spacing w:before="20" w:after="20"/>
              <w:jc w:val="center"/>
              <w:rPr>
                <w:rFonts w:cs="Arial"/>
                <w:sz w:val="18"/>
              </w:rPr>
            </w:pPr>
            <w:r w:rsidRPr="00FD40BB">
              <w:rPr>
                <w:rFonts w:cs="Arial"/>
                <w:sz w:val="18"/>
              </w:rPr>
              <w:t>10</w:t>
            </w:r>
          </w:p>
        </w:tc>
        <w:tc>
          <w:tcPr>
            <w:tcW w:w="3941" w:type="dxa"/>
            <w:tcBorders>
              <w:left w:val="single" w:sz="4" w:space="0" w:color="A8D08D" w:themeColor="accent6" w:themeTint="99"/>
            </w:tcBorders>
            <w:shd w:val="clear" w:color="auto" w:fill="E2EFD9" w:themeFill="accent6" w:themeFillTint="33"/>
          </w:tcPr>
          <w:p w14:paraId="488AB3EB" w14:textId="77777777" w:rsidR="006D3E4A" w:rsidRPr="00FD40BB" w:rsidRDefault="006D3E4A" w:rsidP="00BF0A8D">
            <w:pPr>
              <w:spacing w:before="20" w:after="20"/>
              <w:rPr>
                <w:rFonts w:cs="Arial"/>
                <w:sz w:val="18"/>
              </w:rPr>
            </w:pPr>
            <w:r w:rsidRPr="00FD40BB">
              <w:rPr>
                <w:rFonts w:cs="Arial"/>
                <w:sz w:val="18"/>
              </w:rPr>
              <w:t>Provision of more student study and social support such as group work, support groups, technology training, activities, cultural sharing and transport</w:t>
            </w:r>
          </w:p>
        </w:tc>
        <w:tc>
          <w:tcPr>
            <w:tcW w:w="595" w:type="dxa"/>
            <w:shd w:val="clear" w:color="auto" w:fill="E2EFD9" w:themeFill="accent6" w:themeFillTint="33"/>
          </w:tcPr>
          <w:p w14:paraId="0C250F5F" w14:textId="77777777" w:rsidR="006D3E4A" w:rsidRPr="00FD40BB" w:rsidRDefault="006D3E4A" w:rsidP="00BF0A8D">
            <w:pPr>
              <w:spacing w:before="20" w:after="20"/>
              <w:jc w:val="center"/>
              <w:rPr>
                <w:rFonts w:cs="Arial"/>
                <w:sz w:val="18"/>
              </w:rPr>
            </w:pPr>
            <w:r w:rsidRPr="00FD40BB">
              <w:rPr>
                <w:rFonts w:cs="Arial"/>
                <w:sz w:val="18"/>
              </w:rPr>
              <w:t>9</w:t>
            </w:r>
          </w:p>
        </w:tc>
      </w:tr>
      <w:tr w:rsidR="006D3E4A" w:rsidRPr="00FD40BB" w14:paraId="5F9BB34B" w14:textId="77777777" w:rsidTr="005659EF">
        <w:tc>
          <w:tcPr>
            <w:tcW w:w="3936" w:type="dxa"/>
          </w:tcPr>
          <w:p w14:paraId="0BA99E2D" w14:textId="77777777" w:rsidR="006D3E4A" w:rsidRPr="00FD40BB" w:rsidRDefault="006D3E4A" w:rsidP="00BF0A8D">
            <w:pPr>
              <w:spacing w:before="20" w:after="20"/>
              <w:rPr>
                <w:rFonts w:cs="Arial"/>
                <w:sz w:val="18"/>
              </w:rPr>
            </w:pPr>
            <w:r w:rsidRPr="00FD40BB">
              <w:rPr>
                <w:rFonts w:cs="Arial"/>
                <w:sz w:val="18"/>
              </w:rPr>
              <w:t>Provision of more social support for students such as counselling, cultural awareness, an alcohol-free club, budgeting workshops, social events, peer support and housing for those living a long distance away</w:t>
            </w:r>
          </w:p>
        </w:tc>
        <w:tc>
          <w:tcPr>
            <w:tcW w:w="595" w:type="dxa"/>
            <w:tcBorders>
              <w:right w:val="single" w:sz="4" w:space="0" w:color="A8D08D" w:themeColor="accent6" w:themeTint="99"/>
            </w:tcBorders>
          </w:tcPr>
          <w:p w14:paraId="0525ECBB" w14:textId="77777777" w:rsidR="006D3E4A" w:rsidRPr="00FD40BB" w:rsidRDefault="006D3E4A" w:rsidP="00BF0A8D">
            <w:pPr>
              <w:spacing w:before="20" w:after="20"/>
              <w:jc w:val="center"/>
              <w:rPr>
                <w:rFonts w:cs="Arial"/>
                <w:sz w:val="18"/>
              </w:rPr>
            </w:pPr>
            <w:r w:rsidRPr="00FD40BB">
              <w:rPr>
                <w:rFonts w:cs="Arial"/>
                <w:sz w:val="18"/>
              </w:rPr>
              <w:t>9</w:t>
            </w:r>
          </w:p>
        </w:tc>
        <w:tc>
          <w:tcPr>
            <w:tcW w:w="3941" w:type="dxa"/>
            <w:tcBorders>
              <w:left w:val="single" w:sz="4" w:space="0" w:color="A8D08D" w:themeColor="accent6" w:themeTint="99"/>
            </w:tcBorders>
          </w:tcPr>
          <w:p w14:paraId="1AF7873F" w14:textId="3445C789" w:rsidR="006D3E4A" w:rsidRPr="00FD40BB" w:rsidRDefault="00AB336D" w:rsidP="00BF0A8D">
            <w:pPr>
              <w:spacing w:before="20" w:after="20"/>
              <w:rPr>
                <w:rFonts w:cs="Arial"/>
                <w:sz w:val="18"/>
              </w:rPr>
            </w:pPr>
            <w:r>
              <w:rPr>
                <w:rFonts w:cs="Arial"/>
                <w:sz w:val="18"/>
              </w:rPr>
              <w:t xml:space="preserve">Extension of time </w:t>
            </w:r>
            <w:r w:rsidR="006D3E4A" w:rsidRPr="00FD40BB">
              <w:rPr>
                <w:rFonts w:cs="Arial"/>
                <w:sz w:val="18"/>
              </w:rPr>
              <w:t>frames for course to provide more time for explanation/demonstration and catching up</w:t>
            </w:r>
          </w:p>
        </w:tc>
        <w:tc>
          <w:tcPr>
            <w:tcW w:w="595" w:type="dxa"/>
          </w:tcPr>
          <w:p w14:paraId="250C300A" w14:textId="77777777" w:rsidR="006D3E4A" w:rsidRPr="00FD40BB" w:rsidRDefault="006D3E4A" w:rsidP="00BF0A8D">
            <w:pPr>
              <w:spacing w:before="20" w:after="20"/>
              <w:jc w:val="center"/>
              <w:rPr>
                <w:rFonts w:cs="Arial"/>
                <w:sz w:val="18"/>
              </w:rPr>
            </w:pPr>
            <w:r w:rsidRPr="00FD40BB">
              <w:rPr>
                <w:rFonts w:cs="Arial"/>
                <w:sz w:val="18"/>
              </w:rPr>
              <w:t>8</w:t>
            </w:r>
          </w:p>
        </w:tc>
      </w:tr>
      <w:tr w:rsidR="006D3E4A" w:rsidRPr="00FD40BB" w14:paraId="29D1639C" w14:textId="77777777" w:rsidTr="00AB336D">
        <w:tc>
          <w:tcPr>
            <w:tcW w:w="3936" w:type="dxa"/>
            <w:shd w:val="clear" w:color="auto" w:fill="E2EFD9" w:themeFill="accent6" w:themeFillTint="33"/>
          </w:tcPr>
          <w:p w14:paraId="733A1EE8" w14:textId="77777777" w:rsidR="006D3E4A" w:rsidRPr="00FD40BB" w:rsidRDefault="006D3E4A" w:rsidP="00BF0A8D">
            <w:pPr>
              <w:spacing w:before="20" w:after="20"/>
              <w:rPr>
                <w:rFonts w:cs="Arial"/>
                <w:sz w:val="18"/>
              </w:rPr>
            </w:pPr>
            <w:r w:rsidRPr="00FD40BB">
              <w:rPr>
                <w:rFonts w:cs="Arial"/>
                <w:sz w:val="18"/>
              </w:rPr>
              <w:t>Provision of more study resources and study areas</w:t>
            </w:r>
          </w:p>
        </w:tc>
        <w:tc>
          <w:tcPr>
            <w:tcW w:w="595" w:type="dxa"/>
            <w:tcBorders>
              <w:right w:val="single" w:sz="4" w:space="0" w:color="A8D08D" w:themeColor="accent6" w:themeTint="99"/>
            </w:tcBorders>
            <w:shd w:val="clear" w:color="auto" w:fill="E2EFD9" w:themeFill="accent6" w:themeFillTint="33"/>
          </w:tcPr>
          <w:p w14:paraId="17C0A23F" w14:textId="77777777" w:rsidR="006D3E4A" w:rsidRPr="00FD40BB" w:rsidRDefault="006D3E4A" w:rsidP="00BF0A8D">
            <w:pPr>
              <w:spacing w:before="20" w:after="20"/>
              <w:jc w:val="center"/>
              <w:rPr>
                <w:rFonts w:cs="Arial"/>
                <w:sz w:val="18"/>
              </w:rPr>
            </w:pPr>
            <w:r w:rsidRPr="00FD40BB">
              <w:rPr>
                <w:rFonts w:cs="Arial"/>
                <w:sz w:val="18"/>
              </w:rPr>
              <w:t>5</w:t>
            </w:r>
          </w:p>
        </w:tc>
        <w:tc>
          <w:tcPr>
            <w:tcW w:w="3941" w:type="dxa"/>
            <w:tcBorders>
              <w:left w:val="single" w:sz="4" w:space="0" w:color="A8D08D" w:themeColor="accent6" w:themeTint="99"/>
            </w:tcBorders>
            <w:shd w:val="clear" w:color="auto" w:fill="E2EFD9" w:themeFill="accent6" w:themeFillTint="33"/>
          </w:tcPr>
          <w:p w14:paraId="541CF705" w14:textId="77777777" w:rsidR="006D3E4A" w:rsidRPr="00FD40BB" w:rsidRDefault="006D3E4A" w:rsidP="00BF0A8D">
            <w:pPr>
              <w:spacing w:before="20" w:after="20"/>
              <w:rPr>
                <w:rFonts w:cs="Arial"/>
                <w:sz w:val="18"/>
              </w:rPr>
            </w:pPr>
            <w:r w:rsidRPr="00FD40BB">
              <w:rPr>
                <w:rFonts w:cs="Arial"/>
                <w:sz w:val="18"/>
              </w:rPr>
              <w:t>Increase in support and reassurance from teacher</w:t>
            </w:r>
          </w:p>
        </w:tc>
        <w:tc>
          <w:tcPr>
            <w:tcW w:w="595" w:type="dxa"/>
            <w:shd w:val="clear" w:color="auto" w:fill="E2EFD9" w:themeFill="accent6" w:themeFillTint="33"/>
          </w:tcPr>
          <w:p w14:paraId="763D5421" w14:textId="77777777" w:rsidR="006D3E4A" w:rsidRPr="00FD40BB" w:rsidRDefault="006D3E4A" w:rsidP="00BF0A8D">
            <w:pPr>
              <w:spacing w:before="20" w:after="20"/>
              <w:jc w:val="center"/>
              <w:rPr>
                <w:rFonts w:cs="Arial"/>
                <w:sz w:val="18"/>
              </w:rPr>
            </w:pPr>
            <w:r w:rsidRPr="00FD40BB">
              <w:rPr>
                <w:rFonts w:cs="Arial"/>
                <w:sz w:val="18"/>
              </w:rPr>
              <w:t>4</w:t>
            </w:r>
          </w:p>
        </w:tc>
      </w:tr>
      <w:tr w:rsidR="006D3E4A" w:rsidRPr="00FD40BB" w14:paraId="10F062F1" w14:textId="77777777" w:rsidTr="005659EF">
        <w:tc>
          <w:tcPr>
            <w:tcW w:w="3936" w:type="dxa"/>
          </w:tcPr>
          <w:p w14:paraId="60E7279E" w14:textId="77777777" w:rsidR="006D3E4A" w:rsidRPr="00FD40BB" w:rsidRDefault="006D3E4A" w:rsidP="00BF0A8D">
            <w:pPr>
              <w:spacing w:before="20" w:after="20"/>
              <w:rPr>
                <w:rFonts w:cs="Arial"/>
                <w:sz w:val="18"/>
              </w:rPr>
            </w:pPr>
            <w:r w:rsidRPr="00FD40BB">
              <w:rPr>
                <w:rFonts w:cs="Arial"/>
                <w:sz w:val="18"/>
              </w:rPr>
              <w:t>Increased stipends for students</w:t>
            </w:r>
          </w:p>
        </w:tc>
        <w:tc>
          <w:tcPr>
            <w:tcW w:w="595" w:type="dxa"/>
            <w:tcBorders>
              <w:right w:val="single" w:sz="4" w:space="0" w:color="A8D08D" w:themeColor="accent6" w:themeTint="99"/>
            </w:tcBorders>
          </w:tcPr>
          <w:p w14:paraId="1EE7D156" w14:textId="77777777" w:rsidR="006D3E4A" w:rsidRPr="00FD40BB" w:rsidRDefault="006D3E4A" w:rsidP="00BF0A8D">
            <w:pPr>
              <w:spacing w:before="20" w:after="20"/>
              <w:jc w:val="center"/>
              <w:rPr>
                <w:rFonts w:cs="Arial"/>
                <w:sz w:val="18"/>
              </w:rPr>
            </w:pPr>
            <w:r w:rsidRPr="00FD40BB">
              <w:rPr>
                <w:rFonts w:cs="Arial"/>
                <w:sz w:val="18"/>
              </w:rPr>
              <w:t>5</w:t>
            </w:r>
          </w:p>
        </w:tc>
        <w:tc>
          <w:tcPr>
            <w:tcW w:w="3941" w:type="dxa"/>
            <w:tcBorders>
              <w:left w:val="single" w:sz="4" w:space="0" w:color="A8D08D" w:themeColor="accent6" w:themeTint="99"/>
            </w:tcBorders>
          </w:tcPr>
          <w:p w14:paraId="3E568A2A" w14:textId="77777777" w:rsidR="006D3E4A" w:rsidRPr="00FD40BB" w:rsidRDefault="006D3E4A" w:rsidP="00BF0A8D">
            <w:pPr>
              <w:spacing w:before="20" w:after="20"/>
              <w:rPr>
                <w:rFonts w:cs="Arial"/>
                <w:sz w:val="18"/>
              </w:rPr>
            </w:pPr>
            <w:r w:rsidRPr="00FD40BB">
              <w:rPr>
                <w:rFonts w:cs="Arial"/>
                <w:sz w:val="18"/>
              </w:rPr>
              <w:t>Improvement in students’ access to industry experience and transition to work</w:t>
            </w:r>
          </w:p>
        </w:tc>
        <w:tc>
          <w:tcPr>
            <w:tcW w:w="595" w:type="dxa"/>
          </w:tcPr>
          <w:p w14:paraId="18FF3065" w14:textId="77777777" w:rsidR="006D3E4A" w:rsidRPr="00FD40BB" w:rsidRDefault="006D3E4A" w:rsidP="00BF0A8D">
            <w:pPr>
              <w:spacing w:before="20" w:after="20"/>
              <w:jc w:val="center"/>
              <w:rPr>
                <w:rFonts w:cs="Arial"/>
                <w:sz w:val="18"/>
              </w:rPr>
            </w:pPr>
            <w:r w:rsidRPr="00FD40BB">
              <w:rPr>
                <w:rFonts w:cs="Arial"/>
                <w:sz w:val="18"/>
              </w:rPr>
              <w:t>3</w:t>
            </w:r>
          </w:p>
        </w:tc>
      </w:tr>
      <w:tr w:rsidR="006D3E4A" w:rsidRPr="00FD40BB" w14:paraId="233944C7" w14:textId="77777777" w:rsidTr="005659EF">
        <w:tc>
          <w:tcPr>
            <w:tcW w:w="3936" w:type="dxa"/>
          </w:tcPr>
          <w:p w14:paraId="71107FA1" w14:textId="77777777" w:rsidR="006D3E4A" w:rsidRPr="00FD40BB" w:rsidRDefault="006D3E4A" w:rsidP="00BF0A8D">
            <w:pPr>
              <w:spacing w:before="20" w:after="20"/>
              <w:rPr>
                <w:rFonts w:cs="Arial"/>
                <w:sz w:val="18"/>
              </w:rPr>
            </w:pPr>
            <w:r w:rsidRPr="00FD40BB">
              <w:rPr>
                <w:rFonts w:cs="Arial"/>
                <w:sz w:val="18"/>
              </w:rPr>
              <w:t>Maintaining a high standard of students through monitoring and holding them accountable and failing students where necessary.</w:t>
            </w:r>
          </w:p>
        </w:tc>
        <w:tc>
          <w:tcPr>
            <w:tcW w:w="595" w:type="dxa"/>
            <w:tcBorders>
              <w:right w:val="single" w:sz="4" w:space="0" w:color="A8D08D" w:themeColor="accent6" w:themeTint="99"/>
            </w:tcBorders>
          </w:tcPr>
          <w:p w14:paraId="20FD39A7" w14:textId="77777777" w:rsidR="006D3E4A" w:rsidRPr="00FD40BB" w:rsidRDefault="006D3E4A" w:rsidP="00BF0A8D">
            <w:pPr>
              <w:spacing w:before="20" w:after="20"/>
              <w:jc w:val="center"/>
              <w:rPr>
                <w:rFonts w:cs="Arial"/>
                <w:sz w:val="18"/>
              </w:rPr>
            </w:pPr>
            <w:r w:rsidRPr="00FD40BB">
              <w:rPr>
                <w:rFonts w:cs="Arial"/>
                <w:sz w:val="18"/>
              </w:rPr>
              <w:t>5</w:t>
            </w:r>
          </w:p>
        </w:tc>
        <w:tc>
          <w:tcPr>
            <w:tcW w:w="3941" w:type="dxa"/>
            <w:tcBorders>
              <w:left w:val="single" w:sz="4" w:space="0" w:color="A8D08D" w:themeColor="accent6" w:themeTint="99"/>
            </w:tcBorders>
          </w:tcPr>
          <w:p w14:paraId="2D998061" w14:textId="77777777" w:rsidR="006D3E4A" w:rsidRPr="00FD40BB" w:rsidRDefault="006D3E4A" w:rsidP="00BF0A8D">
            <w:pPr>
              <w:spacing w:before="20" w:after="20"/>
              <w:rPr>
                <w:rFonts w:cs="Arial"/>
                <w:sz w:val="18"/>
              </w:rPr>
            </w:pPr>
            <w:r w:rsidRPr="00FD40BB">
              <w:rPr>
                <w:rFonts w:cs="Arial"/>
                <w:sz w:val="18"/>
              </w:rPr>
              <w:t>Professional development in Australia for tutors</w:t>
            </w:r>
          </w:p>
        </w:tc>
        <w:tc>
          <w:tcPr>
            <w:tcW w:w="595" w:type="dxa"/>
          </w:tcPr>
          <w:p w14:paraId="74DED25E" w14:textId="77777777" w:rsidR="006D3E4A" w:rsidRPr="00FD40BB" w:rsidRDefault="006D3E4A" w:rsidP="00BF0A8D">
            <w:pPr>
              <w:spacing w:before="20" w:after="20"/>
              <w:jc w:val="center"/>
              <w:rPr>
                <w:rFonts w:cs="Arial"/>
                <w:sz w:val="18"/>
              </w:rPr>
            </w:pPr>
            <w:r w:rsidRPr="00FD40BB">
              <w:rPr>
                <w:rFonts w:cs="Arial"/>
                <w:sz w:val="18"/>
              </w:rPr>
              <w:t>2</w:t>
            </w:r>
          </w:p>
        </w:tc>
      </w:tr>
      <w:tr w:rsidR="006D3E4A" w:rsidRPr="00FD40BB" w14:paraId="670BC9FE" w14:textId="77777777" w:rsidTr="00AB336D">
        <w:tc>
          <w:tcPr>
            <w:tcW w:w="3936" w:type="dxa"/>
            <w:shd w:val="clear" w:color="auto" w:fill="E2EFD9" w:themeFill="accent6" w:themeFillTint="33"/>
          </w:tcPr>
          <w:p w14:paraId="67105E08" w14:textId="77777777" w:rsidR="006D3E4A" w:rsidRPr="00FD40BB" w:rsidRDefault="006D3E4A" w:rsidP="00BF0A8D">
            <w:pPr>
              <w:spacing w:before="20" w:after="20"/>
              <w:rPr>
                <w:rFonts w:cs="Arial"/>
                <w:sz w:val="18"/>
              </w:rPr>
            </w:pPr>
            <w:r w:rsidRPr="00FD40BB">
              <w:rPr>
                <w:rFonts w:cs="Arial"/>
                <w:sz w:val="18"/>
              </w:rPr>
              <w:t>Development of more Pacific-context resources</w:t>
            </w:r>
          </w:p>
        </w:tc>
        <w:tc>
          <w:tcPr>
            <w:tcW w:w="595" w:type="dxa"/>
            <w:tcBorders>
              <w:right w:val="single" w:sz="4" w:space="0" w:color="A8D08D" w:themeColor="accent6" w:themeTint="99"/>
            </w:tcBorders>
            <w:shd w:val="clear" w:color="auto" w:fill="E2EFD9" w:themeFill="accent6" w:themeFillTint="33"/>
          </w:tcPr>
          <w:p w14:paraId="79F44DA4" w14:textId="77777777" w:rsidR="006D3E4A" w:rsidRPr="00FD40BB" w:rsidRDefault="006D3E4A" w:rsidP="00BF0A8D">
            <w:pPr>
              <w:spacing w:before="20" w:after="20"/>
              <w:jc w:val="center"/>
              <w:rPr>
                <w:rFonts w:cs="Arial"/>
                <w:sz w:val="18"/>
              </w:rPr>
            </w:pPr>
            <w:r w:rsidRPr="00FD40BB">
              <w:rPr>
                <w:rFonts w:cs="Arial"/>
                <w:sz w:val="18"/>
              </w:rPr>
              <w:t>4</w:t>
            </w:r>
          </w:p>
        </w:tc>
        <w:tc>
          <w:tcPr>
            <w:tcW w:w="3941" w:type="dxa"/>
            <w:tcBorders>
              <w:left w:val="single" w:sz="4" w:space="0" w:color="A8D08D" w:themeColor="accent6" w:themeTint="99"/>
            </w:tcBorders>
            <w:shd w:val="clear" w:color="auto" w:fill="E2EFD9" w:themeFill="accent6" w:themeFillTint="33"/>
          </w:tcPr>
          <w:p w14:paraId="2C538CA2" w14:textId="77777777" w:rsidR="006D3E4A" w:rsidRPr="00FD40BB" w:rsidRDefault="006D3E4A" w:rsidP="00BF0A8D">
            <w:pPr>
              <w:spacing w:before="20" w:after="20"/>
              <w:rPr>
                <w:rFonts w:cs="Arial"/>
                <w:sz w:val="18"/>
              </w:rPr>
            </w:pPr>
            <w:r w:rsidRPr="00FD40BB">
              <w:rPr>
                <w:rFonts w:cs="Arial"/>
                <w:sz w:val="18"/>
              </w:rPr>
              <w:t>Improved initial orientation of students</w:t>
            </w:r>
          </w:p>
        </w:tc>
        <w:tc>
          <w:tcPr>
            <w:tcW w:w="595" w:type="dxa"/>
            <w:shd w:val="clear" w:color="auto" w:fill="E2EFD9" w:themeFill="accent6" w:themeFillTint="33"/>
          </w:tcPr>
          <w:p w14:paraId="1C46E6AA" w14:textId="77777777" w:rsidR="006D3E4A" w:rsidRPr="00FD40BB" w:rsidRDefault="006D3E4A" w:rsidP="00BF0A8D">
            <w:pPr>
              <w:spacing w:before="20" w:after="20"/>
              <w:jc w:val="center"/>
              <w:rPr>
                <w:rFonts w:cs="Arial"/>
                <w:sz w:val="18"/>
              </w:rPr>
            </w:pPr>
            <w:r w:rsidRPr="00FD40BB">
              <w:rPr>
                <w:rFonts w:cs="Arial"/>
                <w:sz w:val="18"/>
              </w:rPr>
              <w:t>2</w:t>
            </w:r>
          </w:p>
        </w:tc>
      </w:tr>
      <w:tr w:rsidR="006D3E4A" w:rsidRPr="00FD40BB" w14:paraId="1631D820" w14:textId="77777777" w:rsidTr="005659EF">
        <w:tc>
          <w:tcPr>
            <w:tcW w:w="3936" w:type="dxa"/>
          </w:tcPr>
          <w:p w14:paraId="4A5104FE" w14:textId="77777777" w:rsidR="006D3E4A" w:rsidRPr="00FD40BB" w:rsidRDefault="006D3E4A" w:rsidP="00BF0A8D">
            <w:pPr>
              <w:spacing w:before="20" w:after="20"/>
              <w:rPr>
                <w:rFonts w:cs="Arial"/>
                <w:sz w:val="18"/>
              </w:rPr>
            </w:pPr>
            <w:r w:rsidRPr="00FD40BB">
              <w:rPr>
                <w:rFonts w:cs="Arial"/>
                <w:sz w:val="18"/>
              </w:rPr>
              <w:t>Better links with industry/employers, including input into training program, encouragement of contribution to costs of training and clarification of student expectations</w:t>
            </w:r>
          </w:p>
        </w:tc>
        <w:tc>
          <w:tcPr>
            <w:tcW w:w="595" w:type="dxa"/>
            <w:tcBorders>
              <w:right w:val="single" w:sz="4" w:space="0" w:color="A8D08D" w:themeColor="accent6" w:themeTint="99"/>
            </w:tcBorders>
          </w:tcPr>
          <w:p w14:paraId="21395772" w14:textId="77777777" w:rsidR="006D3E4A" w:rsidRPr="00FD40BB" w:rsidRDefault="006D3E4A" w:rsidP="00BF0A8D">
            <w:pPr>
              <w:spacing w:before="20" w:after="20"/>
              <w:jc w:val="center"/>
              <w:rPr>
                <w:rFonts w:cs="Arial"/>
                <w:sz w:val="18"/>
              </w:rPr>
            </w:pPr>
            <w:r w:rsidRPr="00FD40BB">
              <w:rPr>
                <w:rFonts w:cs="Arial"/>
                <w:sz w:val="18"/>
              </w:rPr>
              <w:t>4</w:t>
            </w:r>
          </w:p>
        </w:tc>
        <w:tc>
          <w:tcPr>
            <w:tcW w:w="3941" w:type="dxa"/>
            <w:tcBorders>
              <w:left w:val="single" w:sz="4" w:space="0" w:color="A8D08D" w:themeColor="accent6" w:themeTint="99"/>
            </w:tcBorders>
          </w:tcPr>
          <w:p w14:paraId="2FDC7BB8" w14:textId="77777777" w:rsidR="006D3E4A" w:rsidRPr="00FD40BB" w:rsidRDefault="006D3E4A" w:rsidP="00BF0A8D">
            <w:pPr>
              <w:spacing w:before="20" w:after="20"/>
              <w:rPr>
                <w:rFonts w:cs="Arial"/>
                <w:sz w:val="18"/>
              </w:rPr>
            </w:pPr>
          </w:p>
        </w:tc>
        <w:tc>
          <w:tcPr>
            <w:tcW w:w="595" w:type="dxa"/>
          </w:tcPr>
          <w:p w14:paraId="38830A60" w14:textId="77777777" w:rsidR="006D3E4A" w:rsidRPr="00FD40BB" w:rsidRDefault="006D3E4A" w:rsidP="00BF0A8D">
            <w:pPr>
              <w:spacing w:before="20" w:after="20"/>
              <w:jc w:val="center"/>
              <w:rPr>
                <w:rFonts w:cs="Arial"/>
                <w:sz w:val="18"/>
              </w:rPr>
            </w:pPr>
          </w:p>
        </w:tc>
      </w:tr>
      <w:tr w:rsidR="006D3E4A" w:rsidRPr="00FD40BB" w14:paraId="7D5088A7" w14:textId="77777777" w:rsidTr="00AB336D">
        <w:tc>
          <w:tcPr>
            <w:tcW w:w="3936" w:type="dxa"/>
            <w:tcBorders>
              <w:bottom w:val="single" w:sz="4" w:space="0" w:color="A8D08D" w:themeColor="accent6" w:themeTint="99"/>
            </w:tcBorders>
            <w:shd w:val="clear" w:color="auto" w:fill="E2EFD9" w:themeFill="accent6" w:themeFillTint="33"/>
          </w:tcPr>
          <w:p w14:paraId="113CEF89" w14:textId="77777777" w:rsidR="006D3E4A" w:rsidRPr="00FD40BB" w:rsidRDefault="006D3E4A" w:rsidP="00BF0A8D">
            <w:pPr>
              <w:spacing w:before="20" w:after="20"/>
              <w:rPr>
                <w:rFonts w:cs="Arial"/>
                <w:sz w:val="18"/>
              </w:rPr>
            </w:pPr>
            <w:r w:rsidRPr="00FD40BB">
              <w:rPr>
                <w:rFonts w:cs="Arial"/>
                <w:sz w:val="18"/>
              </w:rPr>
              <w:t>Maintain the quality of trainers and trainers’ input into programs</w:t>
            </w:r>
          </w:p>
        </w:tc>
        <w:tc>
          <w:tcPr>
            <w:tcW w:w="595" w:type="dxa"/>
            <w:tcBorders>
              <w:bottom w:val="single" w:sz="4" w:space="0" w:color="A8D08D" w:themeColor="accent6" w:themeTint="99"/>
              <w:right w:val="single" w:sz="4" w:space="0" w:color="A8D08D" w:themeColor="accent6" w:themeTint="99"/>
            </w:tcBorders>
            <w:shd w:val="clear" w:color="auto" w:fill="E2EFD9" w:themeFill="accent6" w:themeFillTint="33"/>
          </w:tcPr>
          <w:p w14:paraId="69BE1F2D" w14:textId="77777777" w:rsidR="006D3E4A" w:rsidRPr="00FD40BB" w:rsidRDefault="006D3E4A" w:rsidP="00BF0A8D">
            <w:pPr>
              <w:spacing w:before="20" w:after="20"/>
              <w:jc w:val="center"/>
              <w:rPr>
                <w:rFonts w:cs="Arial"/>
                <w:sz w:val="18"/>
              </w:rPr>
            </w:pPr>
            <w:r w:rsidRPr="00FD40BB">
              <w:rPr>
                <w:rFonts w:cs="Arial"/>
                <w:sz w:val="18"/>
              </w:rPr>
              <w:t>3</w:t>
            </w:r>
          </w:p>
        </w:tc>
        <w:tc>
          <w:tcPr>
            <w:tcW w:w="3941" w:type="dxa"/>
            <w:tcBorders>
              <w:left w:val="single" w:sz="4" w:space="0" w:color="A8D08D" w:themeColor="accent6" w:themeTint="99"/>
              <w:bottom w:val="single" w:sz="4" w:space="0" w:color="A8D08D" w:themeColor="accent6" w:themeTint="99"/>
            </w:tcBorders>
            <w:shd w:val="clear" w:color="auto" w:fill="E2EFD9" w:themeFill="accent6" w:themeFillTint="33"/>
          </w:tcPr>
          <w:p w14:paraId="3DBEFB55" w14:textId="77777777" w:rsidR="006D3E4A" w:rsidRPr="00FD40BB" w:rsidRDefault="006D3E4A" w:rsidP="00BF0A8D">
            <w:pPr>
              <w:spacing w:before="20" w:after="20"/>
              <w:rPr>
                <w:rFonts w:cs="Arial"/>
                <w:sz w:val="18"/>
              </w:rPr>
            </w:pPr>
          </w:p>
        </w:tc>
        <w:tc>
          <w:tcPr>
            <w:tcW w:w="595" w:type="dxa"/>
            <w:tcBorders>
              <w:bottom w:val="single" w:sz="4" w:space="0" w:color="A8D08D" w:themeColor="accent6" w:themeTint="99"/>
            </w:tcBorders>
            <w:shd w:val="clear" w:color="auto" w:fill="E2EFD9" w:themeFill="accent6" w:themeFillTint="33"/>
          </w:tcPr>
          <w:p w14:paraId="62BCBAA0" w14:textId="77777777" w:rsidR="006D3E4A" w:rsidRPr="00FD40BB" w:rsidRDefault="006D3E4A" w:rsidP="00BF0A8D">
            <w:pPr>
              <w:spacing w:before="20" w:after="20"/>
              <w:jc w:val="center"/>
              <w:rPr>
                <w:rFonts w:cs="Arial"/>
                <w:sz w:val="18"/>
              </w:rPr>
            </w:pPr>
          </w:p>
        </w:tc>
      </w:tr>
    </w:tbl>
    <w:p w14:paraId="15976A87" w14:textId="77777777" w:rsidR="006D3E4A" w:rsidRPr="00A675A0" w:rsidRDefault="006D3E4A" w:rsidP="006D3E4A">
      <w:pPr>
        <w:rPr>
          <w:rFonts w:cs="Arial"/>
          <w:b/>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633"/>
        <w:gridCol w:w="3455"/>
        <w:gridCol w:w="651"/>
      </w:tblGrid>
      <w:tr w:rsidR="006D3E4A" w:rsidRPr="00FD40BB" w14:paraId="2E051F2D" w14:textId="77777777" w:rsidTr="005659EF">
        <w:tc>
          <w:tcPr>
            <w:tcW w:w="9067" w:type="dxa"/>
            <w:gridSpan w:val="4"/>
            <w:shd w:val="clear" w:color="auto" w:fill="C5E0B3" w:themeFill="accent6" w:themeFillTint="66"/>
          </w:tcPr>
          <w:p w14:paraId="6CDE7A42" w14:textId="77777777" w:rsidR="006D3E4A" w:rsidRPr="00FD40BB" w:rsidRDefault="00B261FF" w:rsidP="00B261FF">
            <w:pPr>
              <w:spacing w:before="40" w:after="40"/>
              <w:jc w:val="center"/>
              <w:rPr>
                <w:rFonts w:cs="Arial"/>
                <w:b/>
                <w:sz w:val="20"/>
              </w:rPr>
            </w:pPr>
            <w:r>
              <w:rPr>
                <w:rFonts w:cs="Arial"/>
                <w:b/>
                <w:sz w:val="20"/>
              </w:rPr>
              <w:t>I</w:t>
            </w:r>
            <w:r w:rsidRPr="00FD40BB">
              <w:rPr>
                <w:rFonts w:cs="Arial"/>
                <w:b/>
                <w:sz w:val="20"/>
              </w:rPr>
              <w:t>mproving teaching at APTC</w:t>
            </w:r>
            <w:r>
              <w:rPr>
                <w:rFonts w:cs="Arial"/>
                <w:b/>
                <w:sz w:val="20"/>
              </w:rPr>
              <w:t xml:space="preserve">: </w:t>
            </w:r>
            <w:r w:rsidR="006D3E4A" w:rsidRPr="00FD40BB">
              <w:rPr>
                <w:rFonts w:cs="Arial"/>
                <w:b/>
                <w:sz w:val="20"/>
              </w:rPr>
              <w:t xml:space="preserve">Trainers’ and tutors’ suggestions </w:t>
            </w:r>
          </w:p>
        </w:tc>
      </w:tr>
      <w:tr w:rsidR="006D3E4A" w:rsidRPr="00FD40BB" w14:paraId="7A9AA94F" w14:textId="77777777" w:rsidTr="005659EF">
        <w:tc>
          <w:tcPr>
            <w:tcW w:w="3823" w:type="dxa"/>
            <w:shd w:val="clear" w:color="auto" w:fill="E2EFD9" w:themeFill="accent6" w:themeFillTint="33"/>
          </w:tcPr>
          <w:p w14:paraId="1589DC17" w14:textId="77777777" w:rsidR="006D3E4A" w:rsidRPr="00FD40BB" w:rsidRDefault="006D3E4A" w:rsidP="00FD40BB">
            <w:pPr>
              <w:spacing w:before="40" w:after="40"/>
              <w:rPr>
                <w:rFonts w:cs="Arial"/>
                <w:b/>
                <w:sz w:val="18"/>
              </w:rPr>
            </w:pPr>
            <w:r w:rsidRPr="00FD40BB">
              <w:rPr>
                <w:rFonts w:cs="Arial"/>
                <w:b/>
                <w:sz w:val="18"/>
              </w:rPr>
              <w:t>Trainers</w:t>
            </w:r>
          </w:p>
        </w:tc>
        <w:tc>
          <w:tcPr>
            <w:tcW w:w="708" w:type="dxa"/>
            <w:tcBorders>
              <w:right w:val="single" w:sz="4" w:space="0" w:color="A8D08D" w:themeColor="accent6" w:themeTint="99"/>
            </w:tcBorders>
            <w:shd w:val="clear" w:color="auto" w:fill="E2EFD9" w:themeFill="accent6" w:themeFillTint="33"/>
          </w:tcPr>
          <w:p w14:paraId="64CD108E" w14:textId="77777777" w:rsidR="006D3E4A" w:rsidRPr="00FD40BB" w:rsidRDefault="006D3E4A" w:rsidP="00FD40BB">
            <w:pPr>
              <w:spacing w:before="40" w:after="40"/>
              <w:jc w:val="center"/>
              <w:rPr>
                <w:rFonts w:cs="Arial"/>
                <w:b/>
                <w:sz w:val="18"/>
              </w:rPr>
            </w:pPr>
            <w:r w:rsidRPr="00FD40BB">
              <w:rPr>
                <w:rFonts w:cs="Arial"/>
                <w:b/>
                <w:sz w:val="18"/>
              </w:rPr>
              <w:t>F</w:t>
            </w:r>
          </w:p>
        </w:tc>
        <w:tc>
          <w:tcPr>
            <w:tcW w:w="3828" w:type="dxa"/>
            <w:tcBorders>
              <w:left w:val="single" w:sz="4" w:space="0" w:color="A8D08D" w:themeColor="accent6" w:themeTint="99"/>
            </w:tcBorders>
            <w:shd w:val="clear" w:color="auto" w:fill="E2EFD9" w:themeFill="accent6" w:themeFillTint="33"/>
          </w:tcPr>
          <w:p w14:paraId="2A010C40" w14:textId="77777777" w:rsidR="006D3E4A" w:rsidRPr="00FD40BB" w:rsidRDefault="006D3E4A" w:rsidP="00FD40BB">
            <w:pPr>
              <w:spacing w:before="40" w:after="40"/>
              <w:rPr>
                <w:rFonts w:cs="Arial"/>
                <w:b/>
                <w:sz w:val="18"/>
              </w:rPr>
            </w:pPr>
            <w:r w:rsidRPr="00FD40BB">
              <w:rPr>
                <w:rFonts w:cs="Arial"/>
                <w:b/>
                <w:sz w:val="18"/>
              </w:rPr>
              <w:t>Tutors</w:t>
            </w:r>
          </w:p>
        </w:tc>
        <w:tc>
          <w:tcPr>
            <w:tcW w:w="708" w:type="dxa"/>
            <w:shd w:val="clear" w:color="auto" w:fill="E2EFD9" w:themeFill="accent6" w:themeFillTint="33"/>
          </w:tcPr>
          <w:p w14:paraId="053FC5FA" w14:textId="77777777" w:rsidR="006D3E4A" w:rsidRPr="00FD40BB" w:rsidRDefault="006D3E4A" w:rsidP="00FD40BB">
            <w:pPr>
              <w:spacing w:before="40" w:after="40"/>
              <w:jc w:val="center"/>
              <w:rPr>
                <w:rFonts w:cs="Arial"/>
                <w:b/>
                <w:sz w:val="18"/>
              </w:rPr>
            </w:pPr>
            <w:r w:rsidRPr="00FD40BB">
              <w:rPr>
                <w:rFonts w:cs="Arial"/>
                <w:b/>
                <w:sz w:val="18"/>
              </w:rPr>
              <w:t>F</w:t>
            </w:r>
          </w:p>
        </w:tc>
      </w:tr>
      <w:tr w:rsidR="006D3E4A" w:rsidRPr="00FD40BB" w14:paraId="4089114D" w14:textId="77777777" w:rsidTr="005659EF">
        <w:tc>
          <w:tcPr>
            <w:tcW w:w="3823" w:type="dxa"/>
          </w:tcPr>
          <w:p w14:paraId="1A5E4352" w14:textId="77777777" w:rsidR="006D3E4A" w:rsidRPr="00FD40BB" w:rsidRDefault="006D3E4A" w:rsidP="00FD40BB">
            <w:pPr>
              <w:spacing w:before="40" w:after="40"/>
              <w:rPr>
                <w:rFonts w:cs="Arial"/>
                <w:sz w:val="18"/>
              </w:rPr>
            </w:pPr>
            <w:r w:rsidRPr="00FD40BB">
              <w:rPr>
                <w:rFonts w:cs="Arial"/>
                <w:sz w:val="18"/>
              </w:rPr>
              <w:t>Improved trainer support: preparation in Australia, communication between those in similar industry sectors, succession planning, consultation and input into programs</w:t>
            </w:r>
          </w:p>
        </w:tc>
        <w:tc>
          <w:tcPr>
            <w:tcW w:w="708" w:type="dxa"/>
            <w:tcBorders>
              <w:right w:val="single" w:sz="4" w:space="0" w:color="A8D08D" w:themeColor="accent6" w:themeTint="99"/>
            </w:tcBorders>
          </w:tcPr>
          <w:p w14:paraId="2D4971F0" w14:textId="77777777" w:rsidR="006D3E4A" w:rsidRPr="00FD40BB" w:rsidRDefault="006D3E4A" w:rsidP="00FD40BB">
            <w:pPr>
              <w:spacing w:before="40" w:after="40"/>
              <w:jc w:val="center"/>
              <w:rPr>
                <w:rFonts w:cs="Arial"/>
                <w:sz w:val="18"/>
              </w:rPr>
            </w:pPr>
            <w:r w:rsidRPr="00FD40BB">
              <w:rPr>
                <w:rFonts w:cs="Arial"/>
                <w:sz w:val="18"/>
              </w:rPr>
              <w:t>6</w:t>
            </w:r>
          </w:p>
        </w:tc>
        <w:tc>
          <w:tcPr>
            <w:tcW w:w="3828" w:type="dxa"/>
            <w:tcBorders>
              <w:left w:val="single" w:sz="4" w:space="0" w:color="A8D08D" w:themeColor="accent6" w:themeTint="99"/>
            </w:tcBorders>
          </w:tcPr>
          <w:p w14:paraId="75A4D329" w14:textId="77777777" w:rsidR="006D3E4A" w:rsidRPr="00FD40BB" w:rsidRDefault="006D3E4A" w:rsidP="00FD40BB">
            <w:pPr>
              <w:spacing w:before="40" w:after="40"/>
              <w:rPr>
                <w:rFonts w:cs="Arial"/>
                <w:b/>
                <w:sz w:val="18"/>
              </w:rPr>
            </w:pPr>
            <w:r w:rsidRPr="00FD40BB">
              <w:rPr>
                <w:rFonts w:cs="Arial"/>
                <w:sz w:val="18"/>
              </w:rPr>
              <w:t>Up</w:t>
            </w:r>
            <w:r w:rsidR="00526568">
              <w:rPr>
                <w:rFonts w:cs="Arial"/>
                <w:sz w:val="18"/>
              </w:rPr>
              <w:t>-</w:t>
            </w:r>
            <w:r w:rsidRPr="00FD40BB">
              <w:rPr>
                <w:rFonts w:cs="Arial"/>
                <w:sz w:val="18"/>
              </w:rPr>
              <w:t>skilling of teachers in teaching area and IT/technology and maintain emphasis on TAE</w:t>
            </w:r>
            <w:r w:rsidR="00D71510">
              <w:rPr>
                <w:rFonts w:cs="Arial"/>
                <w:sz w:val="18"/>
              </w:rPr>
              <w:t xml:space="preserve"> training</w:t>
            </w:r>
          </w:p>
        </w:tc>
        <w:tc>
          <w:tcPr>
            <w:tcW w:w="708" w:type="dxa"/>
          </w:tcPr>
          <w:p w14:paraId="4F45B6F7" w14:textId="77777777" w:rsidR="006D3E4A" w:rsidRPr="00FD40BB" w:rsidRDefault="006D3E4A" w:rsidP="00FD40BB">
            <w:pPr>
              <w:spacing w:before="40" w:after="40"/>
              <w:jc w:val="center"/>
              <w:rPr>
                <w:rFonts w:cs="Arial"/>
                <w:sz w:val="18"/>
              </w:rPr>
            </w:pPr>
            <w:r w:rsidRPr="00FD40BB">
              <w:rPr>
                <w:rFonts w:cs="Arial"/>
                <w:sz w:val="18"/>
              </w:rPr>
              <w:t>13</w:t>
            </w:r>
          </w:p>
        </w:tc>
      </w:tr>
      <w:tr w:rsidR="006D3E4A" w:rsidRPr="00FD40BB" w14:paraId="47FFDE09" w14:textId="77777777" w:rsidTr="00AB336D">
        <w:tc>
          <w:tcPr>
            <w:tcW w:w="3823" w:type="dxa"/>
            <w:shd w:val="clear" w:color="auto" w:fill="E2EFD9" w:themeFill="accent6" w:themeFillTint="33"/>
          </w:tcPr>
          <w:p w14:paraId="65697C34" w14:textId="77777777" w:rsidR="006D3E4A" w:rsidRPr="00FD40BB" w:rsidRDefault="006D3E4A" w:rsidP="00FD40BB">
            <w:pPr>
              <w:spacing w:before="40" w:after="40"/>
              <w:rPr>
                <w:rFonts w:cs="Arial"/>
                <w:sz w:val="18"/>
              </w:rPr>
            </w:pPr>
            <w:r w:rsidRPr="00FD40BB">
              <w:rPr>
                <w:rFonts w:cs="Arial"/>
                <w:sz w:val="18"/>
              </w:rPr>
              <w:t>More group moderation</w:t>
            </w:r>
          </w:p>
        </w:tc>
        <w:tc>
          <w:tcPr>
            <w:tcW w:w="708" w:type="dxa"/>
            <w:tcBorders>
              <w:right w:val="single" w:sz="4" w:space="0" w:color="A8D08D" w:themeColor="accent6" w:themeTint="99"/>
            </w:tcBorders>
            <w:shd w:val="clear" w:color="auto" w:fill="E2EFD9" w:themeFill="accent6" w:themeFillTint="33"/>
          </w:tcPr>
          <w:p w14:paraId="1ACED0CD" w14:textId="77777777" w:rsidR="006D3E4A" w:rsidRPr="00FD40BB" w:rsidRDefault="006D3E4A" w:rsidP="00FD40BB">
            <w:pPr>
              <w:spacing w:before="40" w:after="40"/>
              <w:jc w:val="center"/>
              <w:rPr>
                <w:rFonts w:cs="Arial"/>
                <w:sz w:val="18"/>
              </w:rPr>
            </w:pPr>
            <w:r w:rsidRPr="00FD40BB">
              <w:rPr>
                <w:rFonts w:cs="Arial"/>
                <w:sz w:val="18"/>
              </w:rPr>
              <w:t>5</w:t>
            </w:r>
          </w:p>
        </w:tc>
        <w:tc>
          <w:tcPr>
            <w:tcW w:w="3828" w:type="dxa"/>
            <w:tcBorders>
              <w:left w:val="single" w:sz="4" w:space="0" w:color="A8D08D" w:themeColor="accent6" w:themeTint="99"/>
            </w:tcBorders>
            <w:shd w:val="clear" w:color="auto" w:fill="E2EFD9" w:themeFill="accent6" w:themeFillTint="33"/>
          </w:tcPr>
          <w:p w14:paraId="0B2D1042" w14:textId="77777777" w:rsidR="006D3E4A" w:rsidRPr="00FD40BB" w:rsidRDefault="006D3E4A" w:rsidP="00FD40BB">
            <w:pPr>
              <w:spacing w:before="40" w:after="40"/>
              <w:rPr>
                <w:rFonts w:cs="Arial"/>
                <w:sz w:val="18"/>
              </w:rPr>
            </w:pPr>
            <w:r w:rsidRPr="00FD40BB">
              <w:rPr>
                <w:rFonts w:cs="Arial"/>
                <w:sz w:val="18"/>
              </w:rPr>
              <w:t>More professional development/work placement in Australia and elsewhere in the Pacific, including other APTC campuses</w:t>
            </w:r>
          </w:p>
        </w:tc>
        <w:tc>
          <w:tcPr>
            <w:tcW w:w="708" w:type="dxa"/>
            <w:shd w:val="clear" w:color="auto" w:fill="E2EFD9" w:themeFill="accent6" w:themeFillTint="33"/>
          </w:tcPr>
          <w:p w14:paraId="5AD567E7" w14:textId="77777777" w:rsidR="006D3E4A" w:rsidRPr="00FD40BB" w:rsidRDefault="006D3E4A" w:rsidP="00FD40BB">
            <w:pPr>
              <w:spacing w:before="40" w:after="40"/>
              <w:jc w:val="center"/>
              <w:rPr>
                <w:rFonts w:cs="Arial"/>
                <w:sz w:val="18"/>
              </w:rPr>
            </w:pPr>
            <w:r w:rsidRPr="00FD40BB">
              <w:rPr>
                <w:rFonts w:cs="Arial"/>
                <w:sz w:val="18"/>
              </w:rPr>
              <w:t>5</w:t>
            </w:r>
          </w:p>
        </w:tc>
      </w:tr>
      <w:tr w:rsidR="006D3E4A" w:rsidRPr="00FD40BB" w14:paraId="0078E381" w14:textId="77777777" w:rsidTr="005659EF">
        <w:tc>
          <w:tcPr>
            <w:tcW w:w="3823" w:type="dxa"/>
          </w:tcPr>
          <w:p w14:paraId="3DF5E64C" w14:textId="757483CA" w:rsidR="006D3E4A" w:rsidRPr="00FD40BB" w:rsidRDefault="00A07A52" w:rsidP="00FD40BB">
            <w:pPr>
              <w:spacing w:before="40" w:after="40"/>
              <w:rPr>
                <w:rFonts w:cs="Arial"/>
                <w:sz w:val="18"/>
              </w:rPr>
            </w:pPr>
            <w:r>
              <w:rPr>
                <w:rFonts w:cs="Arial"/>
                <w:sz w:val="18"/>
              </w:rPr>
              <w:t xml:space="preserve">Increased time </w:t>
            </w:r>
            <w:r w:rsidR="006D3E4A" w:rsidRPr="00FD40BB">
              <w:rPr>
                <w:rFonts w:cs="Arial"/>
                <w:sz w:val="18"/>
              </w:rPr>
              <w:t>frames for course completion</w:t>
            </w:r>
          </w:p>
        </w:tc>
        <w:tc>
          <w:tcPr>
            <w:tcW w:w="708" w:type="dxa"/>
            <w:tcBorders>
              <w:right w:val="single" w:sz="4" w:space="0" w:color="A8D08D" w:themeColor="accent6" w:themeTint="99"/>
            </w:tcBorders>
          </w:tcPr>
          <w:p w14:paraId="1D90C216" w14:textId="77777777" w:rsidR="006D3E4A" w:rsidRPr="00FD40BB" w:rsidRDefault="006D3E4A" w:rsidP="00FD40BB">
            <w:pPr>
              <w:spacing w:before="40" w:after="40"/>
              <w:jc w:val="center"/>
              <w:rPr>
                <w:rFonts w:cs="Arial"/>
                <w:sz w:val="18"/>
              </w:rPr>
            </w:pPr>
            <w:r w:rsidRPr="00FD40BB">
              <w:rPr>
                <w:rFonts w:cs="Arial"/>
                <w:sz w:val="18"/>
              </w:rPr>
              <w:t>4</w:t>
            </w:r>
          </w:p>
        </w:tc>
        <w:tc>
          <w:tcPr>
            <w:tcW w:w="3828" w:type="dxa"/>
            <w:tcBorders>
              <w:left w:val="single" w:sz="4" w:space="0" w:color="A8D08D" w:themeColor="accent6" w:themeTint="99"/>
            </w:tcBorders>
          </w:tcPr>
          <w:p w14:paraId="55727C9D" w14:textId="77777777" w:rsidR="006D3E4A" w:rsidRPr="00FD40BB" w:rsidRDefault="006D3E4A" w:rsidP="00FD40BB">
            <w:pPr>
              <w:spacing w:before="40" w:after="40"/>
              <w:rPr>
                <w:rFonts w:cs="Arial"/>
                <w:sz w:val="18"/>
              </w:rPr>
            </w:pPr>
            <w:r w:rsidRPr="00FD40BB">
              <w:rPr>
                <w:rFonts w:cs="Arial"/>
                <w:sz w:val="18"/>
              </w:rPr>
              <w:t>Improvement in resources/ technology/ facilities/ space</w:t>
            </w:r>
          </w:p>
        </w:tc>
        <w:tc>
          <w:tcPr>
            <w:tcW w:w="708" w:type="dxa"/>
          </w:tcPr>
          <w:p w14:paraId="24237CD6" w14:textId="77777777" w:rsidR="006D3E4A" w:rsidRPr="00FD40BB" w:rsidRDefault="006D3E4A" w:rsidP="00FD40BB">
            <w:pPr>
              <w:spacing w:before="40" w:after="40"/>
              <w:jc w:val="center"/>
              <w:rPr>
                <w:rFonts w:cs="Arial"/>
                <w:sz w:val="18"/>
              </w:rPr>
            </w:pPr>
            <w:r w:rsidRPr="00FD40BB">
              <w:rPr>
                <w:rFonts w:cs="Arial"/>
                <w:sz w:val="18"/>
              </w:rPr>
              <w:t>5</w:t>
            </w:r>
          </w:p>
        </w:tc>
      </w:tr>
      <w:tr w:rsidR="006D3E4A" w:rsidRPr="00FD40BB" w14:paraId="5C77D44A" w14:textId="77777777" w:rsidTr="00AB336D">
        <w:tc>
          <w:tcPr>
            <w:tcW w:w="3823" w:type="dxa"/>
            <w:shd w:val="clear" w:color="auto" w:fill="E2EFD9" w:themeFill="accent6" w:themeFillTint="33"/>
          </w:tcPr>
          <w:p w14:paraId="38BC8376" w14:textId="77777777" w:rsidR="006D3E4A" w:rsidRPr="00FD40BB" w:rsidRDefault="006D3E4A" w:rsidP="00FD40BB">
            <w:pPr>
              <w:spacing w:before="40" w:after="40"/>
              <w:rPr>
                <w:rFonts w:cs="Arial"/>
                <w:sz w:val="18"/>
              </w:rPr>
            </w:pPr>
            <w:r w:rsidRPr="00FD40BB">
              <w:rPr>
                <w:rFonts w:cs="Arial"/>
                <w:sz w:val="18"/>
              </w:rPr>
              <w:t>More professional development, including in Australia</w:t>
            </w:r>
          </w:p>
        </w:tc>
        <w:tc>
          <w:tcPr>
            <w:tcW w:w="708" w:type="dxa"/>
            <w:tcBorders>
              <w:right w:val="single" w:sz="4" w:space="0" w:color="A8D08D" w:themeColor="accent6" w:themeTint="99"/>
            </w:tcBorders>
            <w:shd w:val="clear" w:color="auto" w:fill="E2EFD9" w:themeFill="accent6" w:themeFillTint="33"/>
          </w:tcPr>
          <w:p w14:paraId="330C172B" w14:textId="77777777" w:rsidR="006D3E4A" w:rsidRPr="00FD40BB" w:rsidRDefault="006D3E4A" w:rsidP="00FD40BB">
            <w:pPr>
              <w:spacing w:before="40" w:after="40"/>
              <w:jc w:val="center"/>
              <w:rPr>
                <w:rFonts w:cs="Arial"/>
                <w:sz w:val="18"/>
              </w:rPr>
            </w:pPr>
            <w:r w:rsidRPr="00FD40BB">
              <w:rPr>
                <w:rFonts w:cs="Arial"/>
                <w:sz w:val="18"/>
              </w:rPr>
              <w:t>4</w:t>
            </w:r>
          </w:p>
        </w:tc>
        <w:tc>
          <w:tcPr>
            <w:tcW w:w="3828" w:type="dxa"/>
            <w:tcBorders>
              <w:left w:val="single" w:sz="4" w:space="0" w:color="A8D08D" w:themeColor="accent6" w:themeTint="99"/>
            </w:tcBorders>
            <w:shd w:val="clear" w:color="auto" w:fill="E2EFD9" w:themeFill="accent6" w:themeFillTint="33"/>
          </w:tcPr>
          <w:p w14:paraId="71E18EA1" w14:textId="77777777" w:rsidR="006D3E4A" w:rsidRPr="00FD40BB" w:rsidRDefault="006D3E4A" w:rsidP="00FD40BB">
            <w:pPr>
              <w:spacing w:before="40" w:after="40"/>
              <w:rPr>
                <w:rFonts w:cs="Arial"/>
                <w:sz w:val="18"/>
              </w:rPr>
            </w:pPr>
            <w:r w:rsidRPr="00FD40BB">
              <w:rPr>
                <w:rFonts w:cs="Arial"/>
                <w:sz w:val="18"/>
              </w:rPr>
              <w:t>More variation in delivery styles/ types of assessment</w:t>
            </w:r>
          </w:p>
        </w:tc>
        <w:tc>
          <w:tcPr>
            <w:tcW w:w="708" w:type="dxa"/>
            <w:shd w:val="clear" w:color="auto" w:fill="E2EFD9" w:themeFill="accent6" w:themeFillTint="33"/>
          </w:tcPr>
          <w:p w14:paraId="7529B7A9" w14:textId="77777777" w:rsidR="006D3E4A" w:rsidRPr="00FD40BB" w:rsidRDefault="006D3E4A" w:rsidP="00FD40BB">
            <w:pPr>
              <w:spacing w:before="40" w:after="40"/>
              <w:jc w:val="center"/>
              <w:rPr>
                <w:rFonts w:cs="Arial"/>
                <w:sz w:val="18"/>
              </w:rPr>
            </w:pPr>
            <w:r w:rsidRPr="00FD40BB">
              <w:rPr>
                <w:rFonts w:cs="Arial"/>
                <w:sz w:val="18"/>
              </w:rPr>
              <w:t>3</w:t>
            </w:r>
          </w:p>
        </w:tc>
      </w:tr>
      <w:tr w:rsidR="006D3E4A" w:rsidRPr="00FD40BB" w14:paraId="1A861CB1" w14:textId="77777777" w:rsidTr="005659EF">
        <w:tc>
          <w:tcPr>
            <w:tcW w:w="3823" w:type="dxa"/>
          </w:tcPr>
          <w:p w14:paraId="7C180B7F" w14:textId="77777777" w:rsidR="006D3E4A" w:rsidRPr="00FD40BB" w:rsidRDefault="006D3E4A" w:rsidP="00FD40BB">
            <w:pPr>
              <w:spacing w:before="40" w:after="40"/>
              <w:rPr>
                <w:rFonts w:cs="Arial"/>
                <w:sz w:val="18"/>
              </w:rPr>
            </w:pPr>
            <w:r w:rsidRPr="00FD40BB">
              <w:rPr>
                <w:rFonts w:cs="Arial"/>
                <w:sz w:val="18"/>
              </w:rPr>
              <w:t>Better e-resources</w:t>
            </w:r>
          </w:p>
        </w:tc>
        <w:tc>
          <w:tcPr>
            <w:tcW w:w="708" w:type="dxa"/>
            <w:tcBorders>
              <w:right w:val="single" w:sz="4" w:space="0" w:color="A8D08D" w:themeColor="accent6" w:themeTint="99"/>
            </w:tcBorders>
          </w:tcPr>
          <w:p w14:paraId="417E0790" w14:textId="77777777" w:rsidR="006D3E4A" w:rsidRPr="00FD40BB" w:rsidRDefault="006D3E4A" w:rsidP="00FD40BB">
            <w:pPr>
              <w:spacing w:before="40" w:after="40"/>
              <w:jc w:val="center"/>
              <w:rPr>
                <w:rFonts w:cs="Arial"/>
                <w:sz w:val="18"/>
              </w:rPr>
            </w:pPr>
            <w:r w:rsidRPr="00FD40BB">
              <w:rPr>
                <w:rFonts w:cs="Arial"/>
                <w:sz w:val="18"/>
              </w:rPr>
              <w:t>3</w:t>
            </w:r>
          </w:p>
        </w:tc>
        <w:tc>
          <w:tcPr>
            <w:tcW w:w="3828" w:type="dxa"/>
            <w:tcBorders>
              <w:left w:val="single" w:sz="4" w:space="0" w:color="A8D08D" w:themeColor="accent6" w:themeTint="99"/>
            </w:tcBorders>
          </w:tcPr>
          <w:p w14:paraId="1AF5060B" w14:textId="77777777" w:rsidR="006D3E4A" w:rsidRPr="00FD40BB" w:rsidRDefault="006D3E4A" w:rsidP="00FD40BB">
            <w:pPr>
              <w:spacing w:before="40" w:after="40"/>
              <w:rPr>
                <w:rFonts w:cs="Arial"/>
                <w:sz w:val="18"/>
              </w:rPr>
            </w:pPr>
            <w:r w:rsidRPr="00FD40BB">
              <w:rPr>
                <w:rFonts w:cs="Arial"/>
                <w:sz w:val="18"/>
              </w:rPr>
              <w:t>More use of moderation/validation</w:t>
            </w:r>
          </w:p>
        </w:tc>
        <w:tc>
          <w:tcPr>
            <w:tcW w:w="708" w:type="dxa"/>
          </w:tcPr>
          <w:p w14:paraId="44F58899" w14:textId="77777777" w:rsidR="006D3E4A" w:rsidRPr="00FD40BB" w:rsidRDefault="006D3E4A" w:rsidP="00FD40BB">
            <w:pPr>
              <w:spacing w:before="40" w:after="40"/>
              <w:jc w:val="center"/>
              <w:rPr>
                <w:rFonts w:cs="Arial"/>
                <w:sz w:val="18"/>
              </w:rPr>
            </w:pPr>
            <w:r w:rsidRPr="00FD40BB">
              <w:rPr>
                <w:rFonts w:cs="Arial"/>
                <w:sz w:val="18"/>
              </w:rPr>
              <w:t>2</w:t>
            </w:r>
          </w:p>
        </w:tc>
      </w:tr>
      <w:tr w:rsidR="006D3E4A" w:rsidRPr="00FD40BB" w14:paraId="69F3D560" w14:textId="77777777" w:rsidTr="00AB336D">
        <w:tc>
          <w:tcPr>
            <w:tcW w:w="3823" w:type="dxa"/>
            <w:shd w:val="clear" w:color="auto" w:fill="E2EFD9" w:themeFill="accent6" w:themeFillTint="33"/>
          </w:tcPr>
          <w:p w14:paraId="2607743D" w14:textId="77777777" w:rsidR="006D3E4A" w:rsidRPr="00FD40BB" w:rsidRDefault="006D3E4A" w:rsidP="00FD40BB">
            <w:pPr>
              <w:spacing w:before="40" w:after="40"/>
              <w:rPr>
                <w:rFonts w:cs="Arial"/>
                <w:sz w:val="18"/>
              </w:rPr>
            </w:pPr>
            <w:r w:rsidRPr="00FD40BB">
              <w:rPr>
                <w:rFonts w:cs="Arial"/>
                <w:sz w:val="18"/>
              </w:rPr>
              <w:t>Better links with industry</w:t>
            </w:r>
          </w:p>
        </w:tc>
        <w:tc>
          <w:tcPr>
            <w:tcW w:w="708" w:type="dxa"/>
            <w:tcBorders>
              <w:right w:val="single" w:sz="4" w:space="0" w:color="A8D08D" w:themeColor="accent6" w:themeTint="99"/>
            </w:tcBorders>
            <w:shd w:val="clear" w:color="auto" w:fill="E2EFD9" w:themeFill="accent6" w:themeFillTint="33"/>
          </w:tcPr>
          <w:p w14:paraId="07031C02" w14:textId="77777777" w:rsidR="006D3E4A" w:rsidRPr="00FD40BB" w:rsidRDefault="006D3E4A" w:rsidP="00FD40BB">
            <w:pPr>
              <w:spacing w:before="40" w:after="40"/>
              <w:jc w:val="center"/>
              <w:rPr>
                <w:rFonts w:cs="Arial"/>
                <w:sz w:val="18"/>
              </w:rPr>
            </w:pPr>
            <w:r w:rsidRPr="00FD40BB">
              <w:rPr>
                <w:rFonts w:cs="Arial"/>
                <w:sz w:val="18"/>
              </w:rPr>
              <w:t>2</w:t>
            </w:r>
          </w:p>
        </w:tc>
        <w:tc>
          <w:tcPr>
            <w:tcW w:w="3828" w:type="dxa"/>
            <w:tcBorders>
              <w:left w:val="single" w:sz="4" w:space="0" w:color="A8D08D" w:themeColor="accent6" w:themeTint="99"/>
            </w:tcBorders>
            <w:shd w:val="clear" w:color="auto" w:fill="E2EFD9" w:themeFill="accent6" w:themeFillTint="33"/>
          </w:tcPr>
          <w:p w14:paraId="1D563605" w14:textId="77777777" w:rsidR="006D3E4A" w:rsidRPr="00FD40BB" w:rsidRDefault="006D3E4A" w:rsidP="00FD40BB">
            <w:pPr>
              <w:spacing w:before="40" w:after="40"/>
              <w:rPr>
                <w:rFonts w:cs="Arial"/>
                <w:sz w:val="18"/>
              </w:rPr>
            </w:pPr>
            <w:r w:rsidRPr="00FD40BB">
              <w:rPr>
                <w:rFonts w:cs="Arial"/>
                <w:sz w:val="18"/>
              </w:rPr>
              <w:t>Offering of higher level courses</w:t>
            </w:r>
          </w:p>
        </w:tc>
        <w:tc>
          <w:tcPr>
            <w:tcW w:w="708" w:type="dxa"/>
            <w:shd w:val="clear" w:color="auto" w:fill="E2EFD9" w:themeFill="accent6" w:themeFillTint="33"/>
          </w:tcPr>
          <w:p w14:paraId="0F6327A0" w14:textId="77777777" w:rsidR="006D3E4A" w:rsidRPr="00FD40BB" w:rsidRDefault="006D3E4A" w:rsidP="00FD40BB">
            <w:pPr>
              <w:spacing w:before="40" w:after="40"/>
              <w:jc w:val="center"/>
              <w:rPr>
                <w:rFonts w:cs="Arial"/>
                <w:sz w:val="18"/>
              </w:rPr>
            </w:pPr>
            <w:r w:rsidRPr="00FD40BB">
              <w:rPr>
                <w:rFonts w:cs="Arial"/>
                <w:sz w:val="18"/>
              </w:rPr>
              <w:t>2</w:t>
            </w:r>
          </w:p>
        </w:tc>
      </w:tr>
      <w:tr w:rsidR="006D3E4A" w:rsidRPr="00FD40BB" w14:paraId="30AB5699" w14:textId="77777777" w:rsidTr="005659EF">
        <w:tc>
          <w:tcPr>
            <w:tcW w:w="3823" w:type="dxa"/>
          </w:tcPr>
          <w:p w14:paraId="4A4DC32E" w14:textId="77777777" w:rsidR="006D3E4A" w:rsidRPr="00FD40BB" w:rsidRDefault="006D3E4A" w:rsidP="00FD40BB">
            <w:pPr>
              <w:spacing w:before="40" w:after="40"/>
              <w:rPr>
                <w:rFonts w:cs="Arial"/>
                <w:sz w:val="18"/>
              </w:rPr>
            </w:pPr>
            <w:r w:rsidRPr="00FD40BB">
              <w:rPr>
                <w:rFonts w:cs="Arial"/>
                <w:sz w:val="18"/>
              </w:rPr>
              <w:t>Development of Pacific-context resources</w:t>
            </w:r>
          </w:p>
        </w:tc>
        <w:tc>
          <w:tcPr>
            <w:tcW w:w="708" w:type="dxa"/>
            <w:tcBorders>
              <w:right w:val="single" w:sz="4" w:space="0" w:color="A8D08D" w:themeColor="accent6" w:themeTint="99"/>
            </w:tcBorders>
          </w:tcPr>
          <w:p w14:paraId="2445867E" w14:textId="77777777" w:rsidR="006D3E4A" w:rsidRPr="00FD40BB" w:rsidRDefault="006D3E4A" w:rsidP="00FD40BB">
            <w:pPr>
              <w:spacing w:before="40" w:after="40"/>
              <w:jc w:val="center"/>
              <w:rPr>
                <w:rFonts w:cs="Arial"/>
                <w:sz w:val="18"/>
              </w:rPr>
            </w:pPr>
            <w:r w:rsidRPr="00FD40BB">
              <w:rPr>
                <w:rFonts w:cs="Arial"/>
                <w:sz w:val="18"/>
              </w:rPr>
              <w:t>2</w:t>
            </w:r>
          </w:p>
        </w:tc>
        <w:tc>
          <w:tcPr>
            <w:tcW w:w="3828" w:type="dxa"/>
            <w:tcBorders>
              <w:left w:val="single" w:sz="4" w:space="0" w:color="A8D08D" w:themeColor="accent6" w:themeTint="99"/>
            </w:tcBorders>
          </w:tcPr>
          <w:p w14:paraId="1A454DE4" w14:textId="77777777" w:rsidR="006D3E4A" w:rsidRPr="00FD40BB" w:rsidRDefault="006D3E4A" w:rsidP="00FD40BB">
            <w:pPr>
              <w:spacing w:before="40" w:after="40"/>
              <w:rPr>
                <w:rFonts w:cs="Arial"/>
                <w:sz w:val="18"/>
              </w:rPr>
            </w:pPr>
            <w:r w:rsidRPr="00FD40BB">
              <w:rPr>
                <w:rFonts w:cs="Arial"/>
                <w:sz w:val="18"/>
              </w:rPr>
              <w:t>Greater marketing and funding for APTC</w:t>
            </w:r>
          </w:p>
        </w:tc>
        <w:tc>
          <w:tcPr>
            <w:tcW w:w="708" w:type="dxa"/>
          </w:tcPr>
          <w:p w14:paraId="6FC9ED8E" w14:textId="77777777" w:rsidR="006D3E4A" w:rsidRPr="00FD40BB" w:rsidRDefault="006D3E4A" w:rsidP="00FD40BB">
            <w:pPr>
              <w:spacing w:before="40" w:after="40"/>
              <w:jc w:val="center"/>
              <w:rPr>
                <w:rFonts w:cs="Arial"/>
                <w:sz w:val="18"/>
              </w:rPr>
            </w:pPr>
            <w:r w:rsidRPr="00FD40BB">
              <w:rPr>
                <w:rFonts w:cs="Arial"/>
                <w:sz w:val="18"/>
              </w:rPr>
              <w:t>2</w:t>
            </w:r>
          </w:p>
        </w:tc>
      </w:tr>
      <w:tr w:rsidR="006D3E4A" w:rsidRPr="00FD40BB" w14:paraId="6AB2341A" w14:textId="77777777" w:rsidTr="00AB336D">
        <w:tc>
          <w:tcPr>
            <w:tcW w:w="3823" w:type="dxa"/>
            <w:shd w:val="clear" w:color="auto" w:fill="E2EFD9" w:themeFill="accent6" w:themeFillTint="33"/>
          </w:tcPr>
          <w:p w14:paraId="382608B8" w14:textId="77777777" w:rsidR="006D3E4A" w:rsidRPr="00FD40BB" w:rsidRDefault="006D3E4A" w:rsidP="00FD40BB">
            <w:pPr>
              <w:spacing w:before="40" w:after="40"/>
              <w:rPr>
                <w:rFonts w:cs="Arial"/>
                <w:sz w:val="18"/>
              </w:rPr>
            </w:pPr>
            <w:r w:rsidRPr="00FD40BB">
              <w:rPr>
                <w:rFonts w:cs="Arial"/>
                <w:sz w:val="18"/>
              </w:rPr>
              <w:t>Maintenance of expatriate trainers</w:t>
            </w:r>
          </w:p>
        </w:tc>
        <w:tc>
          <w:tcPr>
            <w:tcW w:w="708" w:type="dxa"/>
            <w:tcBorders>
              <w:right w:val="single" w:sz="4" w:space="0" w:color="A8D08D" w:themeColor="accent6" w:themeTint="99"/>
            </w:tcBorders>
            <w:shd w:val="clear" w:color="auto" w:fill="E2EFD9" w:themeFill="accent6" w:themeFillTint="33"/>
          </w:tcPr>
          <w:p w14:paraId="26294C38" w14:textId="77777777" w:rsidR="006D3E4A" w:rsidRPr="00FD40BB" w:rsidRDefault="006D3E4A" w:rsidP="00FD40BB">
            <w:pPr>
              <w:spacing w:before="40" w:after="40"/>
              <w:jc w:val="center"/>
              <w:rPr>
                <w:rFonts w:cs="Arial"/>
                <w:sz w:val="18"/>
              </w:rPr>
            </w:pPr>
            <w:r w:rsidRPr="00FD40BB">
              <w:rPr>
                <w:rFonts w:cs="Arial"/>
                <w:sz w:val="18"/>
              </w:rPr>
              <w:t>2</w:t>
            </w:r>
          </w:p>
        </w:tc>
        <w:tc>
          <w:tcPr>
            <w:tcW w:w="3828" w:type="dxa"/>
            <w:tcBorders>
              <w:left w:val="single" w:sz="4" w:space="0" w:color="A8D08D" w:themeColor="accent6" w:themeTint="99"/>
            </w:tcBorders>
            <w:shd w:val="clear" w:color="auto" w:fill="E2EFD9" w:themeFill="accent6" w:themeFillTint="33"/>
          </w:tcPr>
          <w:p w14:paraId="195DBDDD" w14:textId="77777777" w:rsidR="006D3E4A" w:rsidRPr="00FD40BB" w:rsidRDefault="006D3E4A" w:rsidP="00FD40BB">
            <w:pPr>
              <w:spacing w:before="40" w:after="40"/>
              <w:rPr>
                <w:rFonts w:cs="Arial"/>
                <w:sz w:val="18"/>
              </w:rPr>
            </w:pPr>
          </w:p>
        </w:tc>
        <w:tc>
          <w:tcPr>
            <w:tcW w:w="708" w:type="dxa"/>
            <w:shd w:val="clear" w:color="auto" w:fill="E2EFD9" w:themeFill="accent6" w:themeFillTint="33"/>
          </w:tcPr>
          <w:p w14:paraId="3C497FA2" w14:textId="77777777" w:rsidR="006D3E4A" w:rsidRPr="00FD40BB" w:rsidRDefault="006D3E4A" w:rsidP="00FD40BB">
            <w:pPr>
              <w:spacing w:before="40" w:after="40"/>
              <w:jc w:val="center"/>
              <w:rPr>
                <w:rFonts w:cs="Arial"/>
                <w:sz w:val="18"/>
              </w:rPr>
            </w:pPr>
          </w:p>
        </w:tc>
      </w:tr>
      <w:tr w:rsidR="006D3E4A" w:rsidRPr="00FD40BB" w14:paraId="2E523F54" w14:textId="77777777" w:rsidTr="005659EF">
        <w:tc>
          <w:tcPr>
            <w:tcW w:w="3823" w:type="dxa"/>
            <w:tcBorders>
              <w:bottom w:val="single" w:sz="4" w:space="0" w:color="A8D08D" w:themeColor="accent6" w:themeTint="99"/>
            </w:tcBorders>
          </w:tcPr>
          <w:p w14:paraId="5185C9DF" w14:textId="77777777" w:rsidR="006D3E4A" w:rsidRPr="00FD40BB" w:rsidRDefault="006D3E4A" w:rsidP="00FD40BB">
            <w:pPr>
              <w:spacing w:before="40" w:after="40"/>
              <w:rPr>
                <w:rFonts w:cs="Arial"/>
                <w:sz w:val="18"/>
              </w:rPr>
            </w:pPr>
            <w:r w:rsidRPr="00FD40BB">
              <w:rPr>
                <w:rFonts w:cs="Arial"/>
                <w:sz w:val="18"/>
              </w:rPr>
              <w:t>Better administrative/technical support</w:t>
            </w:r>
          </w:p>
        </w:tc>
        <w:tc>
          <w:tcPr>
            <w:tcW w:w="708" w:type="dxa"/>
            <w:tcBorders>
              <w:bottom w:val="single" w:sz="4" w:space="0" w:color="A8D08D" w:themeColor="accent6" w:themeTint="99"/>
              <w:right w:val="single" w:sz="4" w:space="0" w:color="A8D08D" w:themeColor="accent6" w:themeTint="99"/>
            </w:tcBorders>
          </w:tcPr>
          <w:p w14:paraId="149E5697" w14:textId="77777777" w:rsidR="006D3E4A" w:rsidRPr="00FD40BB" w:rsidRDefault="006D3E4A" w:rsidP="00FD40BB">
            <w:pPr>
              <w:spacing w:before="40" w:after="40"/>
              <w:jc w:val="center"/>
              <w:rPr>
                <w:rFonts w:cs="Arial"/>
                <w:sz w:val="18"/>
              </w:rPr>
            </w:pPr>
            <w:r w:rsidRPr="00FD40BB">
              <w:rPr>
                <w:rFonts w:cs="Arial"/>
                <w:sz w:val="18"/>
              </w:rPr>
              <w:t>2</w:t>
            </w:r>
          </w:p>
        </w:tc>
        <w:tc>
          <w:tcPr>
            <w:tcW w:w="3828" w:type="dxa"/>
            <w:tcBorders>
              <w:left w:val="single" w:sz="4" w:space="0" w:color="A8D08D" w:themeColor="accent6" w:themeTint="99"/>
              <w:bottom w:val="single" w:sz="4" w:space="0" w:color="A8D08D" w:themeColor="accent6" w:themeTint="99"/>
            </w:tcBorders>
          </w:tcPr>
          <w:p w14:paraId="196CABE2" w14:textId="77777777" w:rsidR="006D3E4A" w:rsidRPr="00FD40BB" w:rsidRDefault="006D3E4A" w:rsidP="00FD40BB">
            <w:pPr>
              <w:spacing w:before="40" w:after="40"/>
              <w:rPr>
                <w:rFonts w:cs="Arial"/>
                <w:sz w:val="18"/>
              </w:rPr>
            </w:pPr>
          </w:p>
        </w:tc>
        <w:tc>
          <w:tcPr>
            <w:tcW w:w="708" w:type="dxa"/>
            <w:tcBorders>
              <w:bottom w:val="single" w:sz="4" w:space="0" w:color="A8D08D" w:themeColor="accent6" w:themeTint="99"/>
            </w:tcBorders>
          </w:tcPr>
          <w:p w14:paraId="790ACC73" w14:textId="77777777" w:rsidR="006D3E4A" w:rsidRPr="00FD40BB" w:rsidRDefault="006D3E4A" w:rsidP="00FD40BB">
            <w:pPr>
              <w:spacing w:before="40" w:after="40"/>
              <w:jc w:val="center"/>
              <w:rPr>
                <w:rFonts w:cs="Arial"/>
                <w:sz w:val="18"/>
              </w:rPr>
            </w:pPr>
          </w:p>
        </w:tc>
      </w:tr>
    </w:tbl>
    <w:p w14:paraId="2454548E" w14:textId="32F629A6" w:rsidR="005659EF" w:rsidRDefault="005659EF" w:rsidP="006D3E4A">
      <w:pPr>
        <w:rPr>
          <w:rFonts w:cs="Arial"/>
        </w:rPr>
      </w:pPr>
    </w:p>
    <w:p w14:paraId="28A8A0B8" w14:textId="77777777" w:rsidR="005659EF" w:rsidRDefault="005659EF">
      <w:pPr>
        <w:spacing w:after="0"/>
        <w:rPr>
          <w:rFonts w:cs="Arial"/>
        </w:rPr>
      </w:pPr>
      <w:r>
        <w:rPr>
          <w:rFonts w:cs="Arial"/>
        </w:rPr>
        <w:br w:type="page"/>
      </w:r>
    </w:p>
    <w:p w14:paraId="696A6D76" w14:textId="77777777" w:rsidR="006D3E4A" w:rsidRPr="00A675A0" w:rsidRDefault="006D3E4A" w:rsidP="006D3E4A">
      <w:pPr>
        <w:rPr>
          <w:rFonts w:cs="Arial"/>
        </w:rPr>
      </w:pPr>
    </w:p>
    <w:tbl>
      <w:tblPr>
        <w:tblStyle w:val="TableGrid1"/>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662"/>
        <w:gridCol w:w="3408"/>
        <w:gridCol w:w="662"/>
      </w:tblGrid>
      <w:tr w:rsidR="006D3E4A" w:rsidRPr="00FD40BB" w14:paraId="79DFCC92" w14:textId="77777777" w:rsidTr="005659EF">
        <w:tc>
          <w:tcPr>
            <w:tcW w:w="9067" w:type="dxa"/>
            <w:gridSpan w:val="4"/>
            <w:shd w:val="clear" w:color="auto" w:fill="C5E0B3" w:themeFill="accent6" w:themeFillTint="66"/>
          </w:tcPr>
          <w:p w14:paraId="523C99A9" w14:textId="77777777" w:rsidR="006D3E4A" w:rsidRPr="00FD40BB" w:rsidRDefault="00B261FF" w:rsidP="00B261FF">
            <w:pPr>
              <w:spacing w:before="40" w:after="40"/>
              <w:jc w:val="center"/>
              <w:rPr>
                <w:rFonts w:cs="Arial"/>
                <w:b/>
                <w:sz w:val="20"/>
              </w:rPr>
            </w:pPr>
            <w:r>
              <w:rPr>
                <w:rFonts w:cs="Arial"/>
                <w:b/>
                <w:sz w:val="20"/>
              </w:rPr>
              <w:t>I</w:t>
            </w:r>
            <w:r w:rsidRPr="00FD40BB">
              <w:rPr>
                <w:rFonts w:cs="Arial"/>
                <w:b/>
                <w:sz w:val="20"/>
              </w:rPr>
              <w:t>mproving graduate outcomes</w:t>
            </w:r>
            <w:r>
              <w:rPr>
                <w:rFonts w:cs="Arial"/>
                <w:b/>
                <w:sz w:val="20"/>
              </w:rPr>
              <w:t xml:space="preserve">: </w:t>
            </w:r>
            <w:r w:rsidR="006D3E4A" w:rsidRPr="00FD40BB">
              <w:rPr>
                <w:rFonts w:cs="Arial"/>
                <w:b/>
                <w:sz w:val="20"/>
              </w:rPr>
              <w:t xml:space="preserve">Trainers’ and tutors’ suggestions </w:t>
            </w:r>
          </w:p>
        </w:tc>
      </w:tr>
      <w:tr w:rsidR="006D3E4A" w:rsidRPr="00FD40BB" w14:paraId="4C0EE7A4" w14:textId="77777777" w:rsidTr="005659EF">
        <w:tc>
          <w:tcPr>
            <w:tcW w:w="3823" w:type="dxa"/>
            <w:shd w:val="clear" w:color="auto" w:fill="E2EFD9" w:themeFill="accent6" w:themeFillTint="33"/>
          </w:tcPr>
          <w:p w14:paraId="19B7F7A0" w14:textId="77777777" w:rsidR="006D3E4A" w:rsidRPr="00FD40BB" w:rsidRDefault="006D3E4A" w:rsidP="00FD40BB">
            <w:pPr>
              <w:spacing w:before="40" w:after="40"/>
              <w:rPr>
                <w:rFonts w:cs="Arial"/>
                <w:b/>
                <w:sz w:val="18"/>
              </w:rPr>
            </w:pPr>
            <w:r w:rsidRPr="00FD40BB">
              <w:rPr>
                <w:rFonts w:cs="Arial"/>
                <w:b/>
                <w:sz w:val="18"/>
              </w:rPr>
              <w:t>Trainers</w:t>
            </w:r>
          </w:p>
        </w:tc>
        <w:tc>
          <w:tcPr>
            <w:tcW w:w="708" w:type="dxa"/>
            <w:tcBorders>
              <w:right w:val="single" w:sz="4" w:space="0" w:color="A8D08D" w:themeColor="accent6" w:themeTint="99"/>
            </w:tcBorders>
            <w:shd w:val="clear" w:color="auto" w:fill="E2EFD9" w:themeFill="accent6" w:themeFillTint="33"/>
          </w:tcPr>
          <w:p w14:paraId="41A36EE5" w14:textId="77777777" w:rsidR="006D3E4A" w:rsidRPr="00FD40BB" w:rsidRDefault="006D3E4A" w:rsidP="00FD40BB">
            <w:pPr>
              <w:spacing w:before="40" w:after="40"/>
              <w:rPr>
                <w:rFonts w:cs="Arial"/>
                <w:b/>
                <w:sz w:val="18"/>
              </w:rPr>
            </w:pPr>
            <w:r w:rsidRPr="00FD40BB">
              <w:rPr>
                <w:rFonts w:cs="Arial"/>
                <w:b/>
                <w:sz w:val="18"/>
              </w:rPr>
              <w:t>F</w:t>
            </w:r>
          </w:p>
        </w:tc>
        <w:tc>
          <w:tcPr>
            <w:tcW w:w="3828" w:type="dxa"/>
            <w:tcBorders>
              <w:left w:val="single" w:sz="4" w:space="0" w:color="A8D08D" w:themeColor="accent6" w:themeTint="99"/>
            </w:tcBorders>
            <w:shd w:val="clear" w:color="auto" w:fill="E2EFD9" w:themeFill="accent6" w:themeFillTint="33"/>
          </w:tcPr>
          <w:p w14:paraId="35E222C1" w14:textId="77777777" w:rsidR="006D3E4A" w:rsidRPr="00FD40BB" w:rsidRDefault="006D3E4A" w:rsidP="00FD40BB">
            <w:pPr>
              <w:spacing w:before="40" w:after="40"/>
              <w:rPr>
                <w:rFonts w:cs="Arial"/>
                <w:b/>
                <w:sz w:val="18"/>
              </w:rPr>
            </w:pPr>
            <w:r w:rsidRPr="00FD40BB">
              <w:rPr>
                <w:rFonts w:cs="Arial"/>
                <w:b/>
                <w:sz w:val="18"/>
              </w:rPr>
              <w:t>Tutors</w:t>
            </w:r>
          </w:p>
        </w:tc>
        <w:tc>
          <w:tcPr>
            <w:tcW w:w="708" w:type="dxa"/>
            <w:shd w:val="clear" w:color="auto" w:fill="E2EFD9" w:themeFill="accent6" w:themeFillTint="33"/>
          </w:tcPr>
          <w:p w14:paraId="3F5C1E9B" w14:textId="77777777" w:rsidR="006D3E4A" w:rsidRPr="00FD40BB" w:rsidRDefault="006D3E4A" w:rsidP="00FD40BB">
            <w:pPr>
              <w:spacing w:before="40" w:after="40"/>
              <w:jc w:val="center"/>
              <w:rPr>
                <w:rFonts w:cs="Arial"/>
                <w:b/>
                <w:sz w:val="18"/>
              </w:rPr>
            </w:pPr>
            <w:r w:rsidRPr="00FD40BB">
              <w:rPr>
                <w:rFonts w:cs="Arial"/>
                <w:b/>
                <w:sz w:val="18"/>
              </w:rPr>
              <w:t>F</w:t>
            </w:r>
          </w:p>
        </w:tc>
      </w:tr>
      <w:tr w:rsidR="006D3E4A" w:rsidRPr="00FD40BB" w14:paraId="74A3B812" w14:textId="77777777" w:rsidTr="005659EF">
        <w:tc>
          <w:tcPr>
            <w:tcW w:w="3823" w:type="dxa"/>
          </w:tcPr>
          <w:p w14:paraId="72D9556B" w14:textId="11F0D0D3" w:rsidR="006D3E4A" w:rsidRPr="00FD40BB" w:rsidRDefault="006D3E4A" w:rsidP="00FD40BB">
            <w:pPr>
              <w:spacing w:before="40" w:after="40"/>
              <w:rPr>
                <w:rFonts w:cs="Arial"/>
                <w:sz w:val="18"/>
              </w:rPr>
            </w:pPr>
            <w:r w:rsidRPr="00FD40BB">
              <w:rPr>
                <w:rFonts w:cs="Arial"/>
                <w:sz w:val="18"/>
              </w:rPr>
              <w:t>Offer higher courses/pathways</w:t>
            </w:r>
          </w:p>
        </w:tc>
        <w:tc>
          <w:tcPr>
            <w:tcW w:w="708" w:type="dxa"/>
            <w:tcBorders>
              <w:right w:val="single" w:sz="4" w:space="0" w:color="A8D08D" w:themeColor="accent6" w:themeTint="99"/>
            </w:tcBorders>
          </w:tcPr>
          <w:p w14:paraId="16AED7B8" w14:textId="77777777" w:rsidR="006D3E4A" w:rsidRPr="00FD40BB" w:rsidRDefault="006D3E4A" w:rsidP="00FD40BB">
            <w:pPr>
              <w:spacing w:before="40" w:after="40"/>
              <w:rPr>
                <w:rFonts w:cs="Arial"/>
                <w:sz w:val="18"/>
              </w:rPr>
            </w:pPr>
            <w:r w:rsidRPr="00FD40BB">
              <w:rPr>
                <w:rFonts w:cs="Arial"/>
                <w:sz w:val="18"/>
              </w:rPr>
              <w:t>12</w:t>
            </w:r>
          </w:p>
        </w:tc>
        <w:tc>
          <w:tcPr>
            <w:tcW w:w="3828" w:type="dxa"/>
            <w:tcBorders>
              <w:left w:val="single" w:sz="4" w:space="0" w:color="A8D08D" w:themeColor="accent6" w:themeTint="99"/>
            </w:tcBorders>
          </w:tcPr>
          <w:p w14:paraId="4C966C69" w14:textId="77777777" w:rsidR="006D3E4A" w:rsidRPr="00FD40BB" w:rsidRDefault="006D3E4A" w:rsidP="00FD40BB">
            <w:pPr>
              <w:spacing w:before="40" w:after="40"/>
              <w:rPr>
                <w:rFonts w:cs="Arial"/>
                <w:sz w:val="18"/>
              </w:rPr>
            </w:pPr>
            <w:r w:rsidRPr="00FD40BB">
              <w:rPr>
                <w:rFonts w:cs="Arial"/>
                <w:sz w:val="18"/>
              </w:rPr>
              <w:t>Provide additional workshops and higher level courses to graduates</w:t>
            </w:r>
          </w:p>
        </w:tc>
        <w:tc>
          <w:tcPr>
            <w:tcW w:w="708" w:type="dxa"/>
          </w:tcPr>
          <w:p w14:paraId="41C9C552" w14:textId="77777777" w:rsidR="006D3E4A" w:rsidRPr="00FD40BB" w:rsidRDefault="006D3E4A" w:rsidP="00FD40BB">
            <w:pPr>
              <w:spacing w:before="40" w:after="40"/>
              <w:jc w:val="center"/>
              <w:rPr>
                <w:rFonts w:cs="Arial"/>
                <w:sz w:val="18"/>
              </w:rPr>
            </w:pPr>
            <w:r w:rsidRPr="00FD40BB">
              <w:rPr>
                <w:rFonts w:cs="Arial"/>
                <w:sz w:val="18"/>
              </w:rPr>
              <w:t>10</w:t>
            </w:r>
          </w:p>
        </w:tc>
      </w:tr>
      <w:tr w:rsidR="006D3E4A" w:rsidRPr="00FD40BB" w14:paraId="3A5E7B41" w14:textId="77777777" w:rsidTr="00A07A52">
        <w:tc>
          <w:tcPr>
            <w:tcW w:w="3823" w:type="dxa"/>
            <w:shd w:val="clear" w:color="auto" w:fill="E2EFD9" w:themeFill="accent6" w:themeFillTint="33"/>
          </w:tcPr>
          <w:p w14:paraId="47D99036" w14:textId="77777777" w:rsidR="006D3E4A" w:rsidRPr="00FD40BB" w:rsidRDefault="006D3E4A" w:rsidP="00FD40BB">
            <w:pPr>
              <w:spacing w:before="40" w:after="40"/>
              <w:rPr>
                <w:rFonts w:cs="Arial"/>
                <w:sz w:val="18"/>
              </w:rPr>
            </w:pPr>
            <w:r w:rsidRPr="00FD40BB">
              <w:rPr>
                <w:rFonts w:cs="Arial"/>
                <w:sz w:val="18"/>
              </w:rPr>
              <w:t>Better links with industry/employers and promotion of graduates to employers</w:t>
            </w:r>
          </w:p>
        </w:tc>
        <w:tc>
          <w:tcPr>
            <w:tcW w:w="708" w:type="dxa"/>
            <w:tcBorders>
              <w:right w:val="single" w:sz="4" w:space="0" w:color="A8D08D" w:themeColor="accent6" w:themeTint="99"/>
            </w:tcBorders>
            <w:shd w:val="clear" w:color="auto" w:fill="E2EFD9" w:themeFill="accent6" w:themeFillTint="33"/>
          </w:tcPr>
          <w:p w14:paraId="007E4342" w14:textId="77777777" w:rsidR="006D3E4A" w:rsidRPr="00FD40BB" w:rsidRDefault="006D3E4A" w:rsidP="00FD40BB">
            <w:pPr>
              <w:spacing w:before="40" w:after="40"/>
              <w:rPr>
                <w:rFonts w:cs="Arial"/>
                <w:sz w:val="18"/>
              </w:rPr>
            </w:pPr>
            <w:r w:rsidRPr="00FD40BB">
              <w:rPr>
                <w:rFonts w:cs="Arial"/>
                <w:sz w:val="18"/>
              </w:rPr>
              <w:t>10</w:t>
            </w:r>
          </w:p>
        </w:tc>
        <w:tc>
          <w:tcPr>
            <w:tcW w:w="3828" w:type="dxa"/>
            <w:tcBorders>
              <w:left w:val="single" w:sz="4" w:space="0" w:color="A8D08D" w:themeColor="accent6" w:themeTint="99"/>
            </w:tcBorders>
            <w:shd w:val="clear" w:color="auto" w:fill="E2EFD9" w:themeFill="accent6" w:themeFillTint="33"/>
          </w:tcPr>
          <w:p w14:paraId="06E6F413" w14:textId="77777777" w:rsidR="006D3E4A" w:rsidRPr="00FD40BB" w:rsidRDefault="006D3E4A" w:rsidP="00FD40BB">
            <w:pPr>
              <w:spacing w:before="40" w:after="40"/>
              <w:rPr>
                <w:rFonts w:cs="Arial"/>
                <w:sz w:val="18"/>
              </w:rPr>
            </w:pPr>
            <w:r w:rsidRPr="00FD40BB">
              <w:rPr>
                <w:rFonts w:cs="Arial"/>
                <w:sz w:val="18"/>
              </w:rPr>
              <w:t>Evaluate graduate outcomes, including sending trainers to graduate workplaces for this purpose</w:t>
            </w:r>
          </w:p>
        </w:tc>
        <w:tc>
          <w:tcPr>
            <w:tcW w:w="708" w:type="dxa"/>
            <w:shd w:val="clear" w:color="auto" w:fill="E2EFD9" w:themeFill="accent6" w:themeFillTint="33"/>
          </w:tcPr>
          <w:p w14:paraId="652E401D" w14:textId="77777777" w:rsidR="006D3E4A" w:rsidRPr="00FD40BB" w:rsidRDefault="006D3E4A" w:rsidP="00FD40BB">
            <w:pPr>
              <w:spacing w:before="40" w:after="40"/>
              <w:jc w:val="center"/>
              <w:rPr>
                <w:rFonts w:cs="Arial"/>
                <w:sz w:val="18"/>
              </w:rPr>
            </w:pPr>
            <w:r w:rsidRPr="00FD40BB">
              <w:rPr>
                <w:rFonts w:cs="Arial"/>
                <w:sz w:val="18"/>
              </w:rPr>
              <w:t>5</w:t>
            </w:r>
          </w:p>
        </w:tc>
      </w:tr>
      <w:tr w:rsidR="006D3E4A" w:rsidRPr="00FD40BB" w14:paraId="600FE49B" w14:textId="77777777" w:rsidTr="005659EF">
        <w:tc>
          <w:tcPr>
            <w:tcW w:w="3823" w:type="dxa"/>
          </w:tcPr>
          <w:p w14:paraId="55AB3F2F" w14:textId="56932075" w:rsidR="006D3E4A" w:rsidRPr="00FD40BB" w:rsidRDefault="006D3E4A" w:rsidP="0098126D">
            <w:pPr>
              <w:spacing w:before="40" w:after="40"/>
              <w:rPr>
                <w:rFonts w:cs="Arial"/>
                <w:sz w:val="18"/>
              </w:rPr>
            </w:pPr>
            <w:r w:rsidRPr="00FD40BB">
              <w:rPr>
                <w:rFonts w:cs="Arial"/>
                <w:sz w:val="18"/>
              </w:rPr>
              <w:t>Follow</w:t>
            </w:r>
            <w:r w:rsidR="0098126D">
              <w:rPr>
                <w:rFonts w:cs="Arial"/>
                <w:sz w:val="18"/>
              </w:rPr>
              <w:t>-</w:t>
            </w:r>
            <w:r w:rsidRPr="00FD40BB">
              <w:rPr>
                <w:rFonts w:cs="Arial"/>
                <w:sz w:val="18"/>
              </w:rPr>
              <w:t>up workshops for graduates, including in business skills and IT training</w:t>
            </w:r>
          </w:p>
        </w:tc>
        <w:tc>
          <w:tcPr>
            <w:tcW w:w="708" w:type="dxa"/>
            <w:tcBorders>
              <w:right w:val="single" w:sz="4" w:space="0" w:color="A8D08D" w:themeColor="accent6" w:themeTint="99"/>
            </w:tcBorders>
          </w:tcPr>
          <w:p w14:paraId="25A3CE5C" w14:textId="77777777" w:rsidR="006D3E4A" w:rsidRPr="00FD40BB" w:rsidRDefault="006D3E4A" w:rsidP="00FD40BB">
            <w:pPr>
              <w:spacing w:before="40" w:after="40"/>
              <w:rPr>
                <w:rFonts w:cs="Arial"/>
                <w:sz w:val="18"/>
              </w:rPr>
            </w:pPr>
            <w:r w:rsidRPr="00FD40BB">
              <w:rPr>
                <w:rFonts w:cs="Arial"/>
                <w:sz w:val="18"/>
              </w:rPr>
              <w:t>6</w:t>
            </w:r>
          </w:p>
        </w:tc>
        <w:tc>
          <w:tcPr>
            <w:tcW w:w="3828" w:type="dxa"/>
            <w:tcBorders>
              <w:left w:val="single" w:sz="4" w:space="0" w:color="A8D08D" w:themeColor="accent6" w:themeTint="99"/>
            </w:tcBorders>
          </w:tcPr>
          <w:p w14:paraId="1830628F" w14:textId="77777777" w:rsidR="006D3E4A" w:rsidRPr="00FD40BB" w:rsidRDefault="006D3E4A" w:rsidP="00FD40BB">
            <w:pPr>
              <w:spacing w:before="40" w:after="40"/>
              <w:rPr>
                <w:rFonts w:cs="Arial"/>
                <w:sz w:val="18"/>
              </w:rPr>
            </w:pPr>
            <w:r w:rsidRPr="00FD40BB">
              <w:rPr>
                <w:rFonts w:cs="Arial"/>
                <w:sz w:val="18"/>
              </w:rPr>
              <w:t>Ensure trainers’ and tutors’ skills remain current</w:t>
            </w:r>
          </w:p>
        </w:tc>
        <w:tc>
          <w:tcPr>
            <w:tcW w:w="708" w:type="dxa"/>
          </w:tcPr>
          <w:p w14:paraId="1341D833" w14:textId="77777777" w:rsidR="006D3E4A" w:rsidRPr="00FD40BB" w:rsidRDefault="006D3E4A" w:rsidP="00FD40BB">
            <w:pPr>
              <w:spacing w:before="40" w:after="40"/>
              <w:jc w:val="center"/>
              <w:rPr>
                <w:rFonts w:cs="Arial"/>
                <w:sz w:val="18"/>
              </w:rPr>
            </w:pPr>
            <w:r w:rsidRPr="00FD40BB">
              <w:rPr>
                <w:rFonts w:cs="Arial"/>
                <w:sz w:val="18"/>
              </w:rPr>
              <w:t>2</w:t>
            </w:r>
          </w:p>
        </w:tc>
      </w:tr>
      <w:tr w:rsidR="006D3E4A" w:rsidRPr="00FD40BB" w14:paraId="50482133" w14:textId="77777777" w:rsidTr="00A07A52">
        <w:tc>
          <w:tcPr>
            <w:tcW w:w="3823" w:type="dxa"/>
            <w:shd w:val="clear" w:color="auto" w:fill="E2EFD9" w:themeFill="accent6" w:themeFillTint="33"/>
          </w:tcPr>
          <w:p w14:paraId="5CC20478" w14:textId="77777777" w:rsidR="006D3E4A" w:rsidRPr="00FD40BB" w:rsidRDefault="006D3E4A" w:rsidP="00FD40BB">
            <w:pPr>
              <w:spacing w:before="40" w:after="40"/>
              <w:rPr>
                <w:rFonts w:cs="Arial"/>
                <w:sz w:val="18"/>
              </w:rPr>
            </w:pPr>
            <w:r w:rsidRPr="00FD40BB">
              <w:rPr>
                <w:rFonts w:cs="Arial"/>
                <w:sz w:val="18"/>
              </w:rPr>
              <w:t>Maintain contact with graduates and evaluate graduate outcomes</w:t>
            </w:r>
          </w:p>
        </w:tc>
        <w:tc>
          <w:tcPr>
            <w:tcW w:w="708" w:type="dxa"/>
            <w:tcBorders>
              <w:right w:val="single" w:sz="4" w:space="0" w:color="A8D08D" w:themeColor="accent6" w:themeTint="99"/>
            </w:tcBorders>
            <w:shd w:val="clear" w:color="auto" w:fill="E2EFD9" w:themeFill="accent6" w:themeFillTint="33"/>
          </w:tcPr>
          <w:p w14:paraId="1A325A98" w14:textId="77777777" w:rsidR="006D3E4A" w:rsidRPr="00FD40BB" w:rsidRDefault="006D3E4A" w:rsidP="00FD40BB">
            <w:pPr>
              <w:spacing w:before="40" w:after="40"/>
              <w:rPr>
                <w:rFonts w:cs="Arial"/>
                <w:sz w:val="18"/>
              </w:rPr>
            </w:pPr>
            <w:r w:rsidRPr="00FD40BB">
              <w:rPr>
                <w:rFonts w:cs="Arial"/>
                <w:sz w:val="18"/>
              </w:rPr>
              <w:t>5</w:t>
            </w:r>
          </w:p>
        </w:tc>
        <w:tc>
          <w:tcPr>
            <w:tcW w:w="3828" w:type="dxa"/>
            <w:tcBorders>
              <w:left w:val="single" w:sz="4" w:space="0" w:color="A8D08D" w:themeColor="accent6" w:themeTint="99"/>
            </w:tcBorders>
            <w:shd w:val="clear" w:color="auto" w:fill="E2EFD9" w:themeFill="accent6" w:themeFillTint="33"/>
          </w:tcPr>
          <w:p w14:paraId="18CA3B62" w14:textId="77777777" w:rsidR="006D3E4A" w:rsidRPr="00FD40BB" w:rsidRDefault="006D3E4A" w:rsidP="00FD40BB">
            <w:pPr>
              <w:spacing w:before="40" w:after="40"/>
              <w:rPr>
                <w:rFonts w:cs="Arial"/>
                <w:sz w:val="18"/>
              </w:rPr>
            </w:pPr>
            <w:r w:rsidRPr="00FD40BB">
              <w:rPr>
                <w:rFonts w:cs="Arial"/>
                <w:sz w:val="18"/>
              </w:rPr>
              <w:t>Promote high achieving graduates to employers</w:t>
            </w:r>
          </w:p>
        </w:tc>
        <w:tc>
          <w:tcPr>
            <w:tcW w:w="708" w:type="dxa"/>
            <w:shd w:val="clear" w:color="auto" w:fill="E2EFD9" w:themeFill="accent6" w:themeFillTint="33"/>
          </w:tcPr>
          <w:p w14:paraId="2154E0FD" w14:textId="77777777" w:rsidR="006D3E4A" w:rsidRPr="00FD40BB" w:rsidRDefault="006D3E4A" w:rsidP="00FD40BB">
            <w:pPr>
              <w:spacing w:before="40" w:after="40"/>
              <w:jc w:val="center"/>
              <w:rPr>
                <w:rFonts w:cs="Arial"/>
                <w:sz w:val="18"/>
              </w:rPr>
            </w:pPr>
            <w:r w:rsidRPr="00FD40BB">
              <w:rPr>
                <w:rFonts w:cs="Arial"/>
                <w:sz w:val="18"/>
              </w:rPr>
              <w:t>2</w:t>
            </w:r>
          </w:p>
        </w:tc>
      </w:tr>
      <w:tr w:rsidR="006D3E4A" w:rsidRPr="00FD40BB" w14:paraId="079794D5" w14:textId="77777777" w:rsidTr="005659EF">
        <w:tc>
          <w:tcPr>
            <w:tcW w:w="3823" w:type="dxa"/>
            <w:tcBorders>
              <w:bottom w:val="single" w:sz="4" w:space="0" w:color="A8D08D" w:themeColor="accent6" w:themeTint="99"/>
            </w:tcBorders>
          </w:tcPr>
          <w:p w14:paraId="7A2E92D1" w14:textId="77777777" w:rsidR="006D3E4A" w:rsidRPr="00FD40BB" w:rsidRDefault="006D3E4A" w:rsidP="00FD40BB">
            <w:pPr>
              <w:spacing w:before="40" w:after="40"/>
              <w:rPr>
                <w:rFonts w:cs="Arial"/>
                <w:sz w:val="18"/>
              </w:rPr>
            </w:pPr>
            <w:r w:rsidRPr="00FD40BB">
              <w:rPr>
                <w:rFonts w:cs="Arial"/>
                <w:sz w:val="18"/>
              </w:rPr>
              <w:t>Promote other opportunities for graduates such as other training, scholarships or sponsored work in Australia</w:t>
            </w:r>
          </w:p>
        </w:tc>
        <w:tc>
          <w:tcPr>
            <w:tcW w:w="708" w:type="dxa"/>
            <w:tcBorders>
              <w:bottom w:val="single" w:sz="4" w:space="0" w:color="A8D08D" w:themeColor="accent6" w:themeTint="99"/>
              <w:right w:val="single" w:sz="4" w:space="0" w:color="A8D08D" w:themeColor="accent6" w:themeTint="99"/>
            </w:tcBorders>
          </w:tcPr>
          <w:p w14:paraId="67C34E57" w14:textId="77777777" w:rsidR="006D3E4A" w:rsidRPr="00FD40BB" w:rsidRDefault="006D3E4A" w:rsidP="00FD40BB">
            <w:pPr>
              <w:spacing w:before="40" w:after="40"/>
              <w:rPr>
                <w:rFonts w:cs="Arial"/>
                <w:sz w:val="18"/>
              </w:rPr>
            </w:pPr>
            <w:r w:rsidRPr="00FD40BB">
              <w:rPr>
                <w:rFonts w:cs="Arial"/>
                <w:sz w:val="18"/>
              </w:rPr>
              <w:t>2</w:t>
            </w:r>
          </w:p>
        </w:tc>
        <w:tc>
          <w:tcPr>
            <w:tcW w:w="3828" w:type="dxa"/>
            <w:tcBorders>
              <w:left w:val="single" w:sz="4" w:space="0" w:color="A8D08D" w:themeColor="accent6" w:themeTint="99"/>
              <w:bottom w:val="single" w:sz="4" w:space="0" w:color="A8D08D" w:themeColor="accent6" w:themeTint="99"/>
            </w:tcBorders>
          </w:tcPr>
          <w:p w14:paraId="4AA14788" w14:textId="77777777" w:rsidR="006D3E4A" w:rsidRPr="00FD40BB" w:rsidRDefault="006D3E4A" w:rsidP="00FD40BB">
            <w:pPr>
              <w:spacing w:before="40" w:after="40"/>
              <w:rPr>
                <w:rFonts w:cs="Arial"/>
                <w:sz w:val="18"/>
              </w:rPr>
            </w:pPr>
            <w:r w:rsidRPr="00FD40BB">
              <w:rPr>
                <w:rFonts w:cs="Arial"/>
                <w:sz w:val="18"/>
              </w:rPr>
              <w:t>Increase emphasis on assessment and moderation</w:t>
            </w:r>
          </w:p>
        </w:tc>
        <w:tc>
          <w:tcPr>
            <w:tcW w:w="708" w:type="dxa"/>
            <w:tcBorders>
              <w:bottom w:val="single" w:sz="4" w:space="0" w:color="A8D08D" w:themeColor="accent6" w:themeTint="99"/>
            </w:tcBorders>
          </w:tcPr>
          <w:p w14:paraId="284203C6" w14:textId="77777777" w:rsidR="006D3E4A" w:rsidRPr="00FD40BB" w:rsidRDefault="006D3E4A" w:rsidP="00FD40BB">
            <w:pPr>
              <w:spacing w:before="40" w:after="40"/>
              <w:jc w:val="center"/>
              <w:rPr>
                <w:rFonts w:cs="Arial"/>
                <w:sz w:val="18"/>
              </w:rPr>
            </w:pPr>
            <w:r w:rsidRPr="00FD40BB">
              <w:rPr>
                <w:rFonts w:cs="Arial"/>
                <w:sz w:val="18"/>
              </w:rPr>
              <w:t>2</w:t>
            </w:r>
          </w:p>
        </w:tc>
      </w:tr>
    </w:tbl>
    <w:p w14:paraId="5D3550F2" w14:textId="77777777" w:rsidR="006D3E4A" w:rsidRDefault="006D3E4A" w:rsidP="006D3E4A">
      <w:pPr>
        <w:rPr>
          <w:rFonts w:cs="Arial"/>
        </w:rPr>
      </w:pPr>
    </w:p>
    <w:p w14:paraId="4DA89B1D" w14:textId="77777777" w:rsidR="00BF0A8D" w:rsidRPr="00BF0A8D" w:rsidRDefault="00BF0A8D" w:rsidP="006D3E4A">
      <w:pPr>
        <w:rPr>
          <w:rFonts w:cs="Arial"/>
          <w:sz w:val="4"/>
        </w:rPr>
      </w:pPr>
    </w:p>
    <w:p w14:paraId="616F3C23" w14:textId="094009E2" w:rsidR="003D355F" w:rsidRDefault="002876A0" w:rsidP="006B0901">
      <w:pPr>
        <w:pStyle w:val="Heading2"/>
        <w:ind w:left="720" w:hanging="720"/>
      </w:pPr>
      <w:bookmarkStart w:id="585" w:name="_Toc274145114"/>
      <w:bookmarkStart w:id="586" w:name="_Toc274909877"/>
      <w:bookmarkStart w:id="587" w:name="_Toc278447893"/>
      <w:bookmarkStart w:id="588" w:name="_Toc278453366"/>
      <w:r>
        <w:t>4.</w:t>
      </w:r>
      <w:r w:rsidR="00A820B3">
        <w:t>5</w:t>
      </w:r>
      <w:r w:rsidR="00A820B3">
        <w:tab/>
      </w:r>
      <w:r w:rsidR="006D3E4A" w:rsidRPr="00A675A0">
        <w:t xml:space="preserve">Commentary on the </w:t>
      </w:r>
      <w:r w:rsidR="009A45F3">
        <w:t>t</w:t>
      </w:r>
      <w:r w:rsidR="006D3E4A" w:rsidRPr="00A675A0">
        <w:t xml:space="preserve">rainers’ and </w:t>
      </w:r>
      <w:r w:rsidR="009A45F3">
        <w:t>t</w:t>
      </w:r>
      <w:r w:rsidR="006D3E4A" w:rsidRPr="00A675A0">
        <w:t xml:space="preserve">utors’ </w:t>
      </w:r>
      <w:r w:rsidR="009A45F3">
        <w:t>r</w:t>
      </w:r>
      <w:r w:rsidR="006D3E4A" w:rsidRPr="00A675A0">
        <w:t xml:space="preserve">esponses to </w:t>
      </w:r>
      <w:r w:rsidR="006B0901">
        <w:br/>
      </w:r>
      <w:r w:rsidR="009A45F3">
        <w:t>o</w:t>
      </w:r>
      <w:r w:rsidR="006D3E4A" w:rsidRPr="00A675A0">
        <w:t>pen</w:t>
      </w:r>
      <w:r w:rsidR="009A45F3">
        <w:t>-</w:t>
      </w:r>
      <w:r w:rsidR="006D3E4A" w:rsidRPr="00A675A0">
        <w:t xml:space="preserve">ended </w:t>
      </w:r>
      <w:r w:rsidR="009A45F3">
        <w:t>q</w:t>
      </w:r>
      <w:r w:rsidR="006D3E4A" w:rsidRPr="00A675A0">
        <w:t>uestions</w:t>
      </w:r>
      <w:bookmarkEnd w:id="585"/>
      <w:bookmarkEnd w:id="586"/>
      <w:bookmarkEnd w:id="587"/>
      <w:bookmarkEnd w:id="588"/>
    </w:p>
    <w:p w14:paraId="0362FDF5" w14:textId="77777777" w:rsidR="006D3E4A" w:rsidRPr="00A675A0" w:rsidRDefault="006D3E4A" w:rsidP="006D3E4A">
      <w:pPr>
        <w:rPr>
          <w:rFonts w:cs="Arial"/>
        </w:rPr>
      </w:pPr>
      <w:r w:rsidRPr="00A675A0">
        <w:rPr>
          <w:rFonts w:cs="Arial"/>
        </w:rPr>
        <w:t>Trainers generally provided more information in the survey forms than did tutors, but in both cases the comments were consistent with the consultations conducted with the two groups</w:t>
      </w:r>
      <w:r w:rsidR="00FB5428">
        <w:rPr>
          <w:rFonts w:cs="Arial"/>
        </w:rPr>
        <w:t>.</w:t>
      </w:r>
    </w:p>
    <w:p w14:paraId="07B5616C" w14:textId="77777777" w:rsidR="006D3E4A" w:rsidRPr="00A675A0" w:rsidRDefault="006D3E4A" w:rsidP="000668BA">
      <w:pPr>
        <w:numPr>
          <w:ilvl w:val="0"/>
          <w:numId w:val="54"/>
        </w:numPr>
        <w:contextualSpacing/>
        <w:rPr>
          <w:rFonts w:cs="Arial"/>
        </w:rPr>
      </w:pPr>
      <w:r w:rsidRPr="00A675A0">
        <w:rPr>
          <w:rFonts w:cs="Arial"/>
        </w:rPr>
        <w:t>Trainers and tutors face many of the same issues, particularly dealing with students who have language literacy and numeracy challenges, with students from different cultural backgrounds and with students’ different leaning styles.</w:t>
      </w:r>
    </w:p>
    <w:p w14:paraId="54670F4D" w14:textId="592BA74C" w:rsidR="006D3E4A" w:rsidRPr="00A675A0" w:rsidRDefault="00914A19" w:rsidP="000668BA">
      <w:pPr>
        <w:numPr>
          <w:ilvl w:val="0"/>
          <w:numId w:val="54"/>
        </w:numPr>
        <w:contextualSpacing/>
        <w:rPr>
          <w:rFonts w:cs="Arial"/>
        </w:rPr>
      </w:pPr>
      <w:r>
        <w:rPr>
          <w:rFonts w:cs="Arial"/>
        </w:rPr>
        <w:t xml:space="preserve">Both are concerned about time </w:t>
      </w:r>
      <w:r w:rsidR="006D3E4A" w:rsidRPr="00A675A0">
        <w:rPr>
          <w:rFonts w:cs="Arial"/>
        </w:rPr>
        <w:t>frames for courses and the limitations of space and resources and both would like more Pacific-context learning resources.</w:t>
      </w:r>
    </w:p>
    <w:p w14:paraId="10C2D71D" w14:textId="77777777" w:rsidR="006D3E4A" w:rsidRPr="00A675A0" w:rsidRDefault="006D3E4A" w:rsidP="000668BA">
      <w:pPr>
        <w:numPr>
          <w:ilvl w:val="0"/>
          <w:numId w:val="54"/>
        </w:numPr>
        <w:contextualSpacing/>
        <w:rPr>
          <w:rFonts w:cs="Arial"/>
        </w:rPr>
      </w:pPr>
      <w:r w:rsidRPr="00A675A0">
        <w:rPr>
          <w:rFonts w:cs="Arial"/>
        </w:rPr>
        <w:t>Trainers are more likely to express dissatisfaction with their employment terms and conditions than tutors</w:t>
      </w:r>
      <w:r w:rsidR="005834A0">
        <w:rPr>
          <w:rFonts w:cs="Arial"/>
        </w:rPr>
        <w:t>.</w:t>
      </w:r>
    </w:p>
    <w:p w14:paraId="1DC33AB8" w14:textId="77777777" w:rsidR="006D3E4A" w:rsidRPr="00A675A0" w:rsidRDefault="006D3E4A" w:rsidP="000668BA">
      <w:pPr>
        <w:numPr>
          <w:ilvl w:val="0"/>
          <w:numId w:val="54"/>
        </w:numPr>
        <w:contextualSpacing/>
        <w:rPr>
          <w:rFonts w:cs="Arial"/>
        </w:rPr>
      </w:pPr>
      <w:r w:rsidRPr="00A675A0">
        <w:rPr>
          <w:rFonts w:cs="Arial"/>
        </w:rPr>
        <w:t>Tutors cite LLN difficulties as by far the biggest issue for students, whereas trainers see it as one of many concerns</w:t>
      </w:r>
      <w:r w:rsidR="007903CA">
        <w:rPr>
          <w:rFonts w:cs="Arial"/>
        </w:rPr>
        <w:t>.</w:t>
      </w:r>
    </w:p>
    <w:p w14:paraId="65B06DBF" w14:textId="77777777" w:rsidR="006D3E4A" w:rsidRPr="00A675A0" w:rsidRDefault="006D3E4A" w:rsidP="000668BA">
      <w:pPr>
        <w:numPr>
          <w:ilvl w:val="0"/>
          <w:numId w:val="54"/>
        </w:numPr>
        <w:contextualSpacing/>
        <w:rPr>
          <w:rFonts w:cs="Arial"/>
        </w:rPr>
      </w:pPr>
      <w:r w:rsidRPr="00A675A0">
        <w:rPr>
          <w:rFonts w:cs="Arial"/>
        </w:rPr>
        <w:t>Trainers see homesickness as a major concern for students, with tutors citing this much less often.</w:t>
      </w:r>
    </w:p>
    <w:p w14:paraId="3C6F2E79" w14:textId="65D86F6D" w:rsidR="006D3E4A" w:rsidRPr="00A675A0" w:rsidRDefault="006D3E4A" w:rsidP="000668BA">
      <w:pPr>
        <w:numPr>
          <w:ilvl w:val="0"/>
          <w:numId w:val="54"/>
        </w:numPr>
        <w:contextualSpacing/>
        <w:rPr>
          <w:rFonts w:cs="Arial"/>
        </w:rPr>
      </w:pPr>
      <w:r w:rsidRPr="00A675A0">
        <w:rPr>
          <w:rFonts w:cs="Arial"/>
        </w:rPr>
        <w:t>Both groups consider that dealing with cultural diversity is an issue for students, which may well mean dealing with Australian</w:t>
      </w:r>
      <w:r w:rsidR="00914A19">
        <w:rPr>
          <w:rFonts w:cs="Arial"/>
        </w:rPr>
        <w:t>,</w:t>
      </w:r>
      <w:r w:rsidRPr="00A675A0">
        <w:rPr>
          <w:rFonts w:cs="Arial"/>
        </w:rPr>
        <w:t xml:space="preserve"> as well as different Pacific</w:t>
      </w:r>
      <w:r w:rsidR="00914A19">
        <w:rPr>
          <w:rFonts w:cs="Arial"/>
        </w:rPr>
        <w:t>,</w:t>
      </w:r>
      <w:r w:rsidRPr="00A675A0">
        <w:rPr>
          <w:rFonts w:cs="Arial"/>
        </w:rPr>
        <w:t xml:space="preserve"> cultures.</w:t>
      </w:r>
    </w:p>
    <w:p w14:paraId="1056BBFD" w14:textId="77777777" w:rsidR="006D3E4A" w:rsidRPr="00A675A0" w:rsidRDefault="006D3E4A" w:rsidP="000668BA">
      <w:pPr>
        <w:numPr>
          <w:ilvl w:val="0"/>
          <w:numId w:val="54"/>
        </w:numPr>
        <w:contextualSpacing/>
        <w:rPr>
          <w:rFonts w:cs="Arial"/>
        </w:rPr>
      </w:pPr>
      <w:r w:rsidRPr="00A675A0">
        <w:rPr>
          <w:rFonts w:cs="Arial"/>
        </w:rPr>
        <w:t>Financial concerns, living conditions and lack of social activities are also common themes of the two groups.</w:t>
      </w:r>
    </w:p>
    <w:p w14:paraId="6A769F31" w14:textId="5DE9B975" w:rsidR="006D3E4A" w:rsidRPr="00A675A0" w:rsidRDefault="006D3E4A" w:rsidP="000668BA">
      <w:pPr>
        <w:numPr>
          <w:ilvl w:val="0"/>
          <w:numId w:val="54"/>
        </w:numPr>
        <w:contextualSpacing/>
        <w:rPr>
          <w:rFonts w:cs="Arial"/>
        </w:rPr>
      </w:pPr>
      <w:r w:rsidRPr="00A675A0">
        <w:rPr>
          <w:rFonts w:cs="Arial"/>
        </w:rPr>
        <w:t>Trainers and tutors are united in their views on the ways students’ issues can be addressed with LLN support, provision of more study and social su</w:t>
      </w:r>
      <w:r w:rsidR="00914A19">
        <w:rPr>
          <w:rFonts w:cs="Arial"/>
        </w:rPr>
        <w:t xml:space="preserve">pport and the extension of time </w:t>
      </w:r>
      <w:r w:rsidRPr="00A675A0">
        <w:rPr>
          <w:rFonts w:cs="Arial"/>
        </w:rPr>
        <w:t>frames for course</w:t>
      </w:r>
      <w:r w:rsidR="00AB1A8D">
        <w:rPr>
          <w:rFonts w:cs="Arial"/>
        </w:rPr>
        <w:t>,</w:t>
      </w:r>
      <w:r w:rsidRPr="00A675A0">
        <w:rPr>
          <w:rFonts w:cs="Arial"/>
        </w:rPr>
        <w:t xml:space="preserve"> ranking in the three most mentioned suggestions for both groups.</w:t>
      </w:r>
    </w:p>
    <w:p w14:paraId="63C6032D" w14:textId="6A7CB011" w:rsidR="006D3E4A" w:rsidRPr="00A675A0" w:rsidRDefault="006D3E4A" w:rsidP="000668BA">
      <w:pPr>
        <w:numPr>
          <w:ilvl w:val="0"/>
          <w:numId w:val="54"/>
        </w:numPr>
        <w:contextualSpacing/>
        <w:rPr>
          <w:rFonts w:cs="Arial"/>
        </w:rPr>
      </w:pPr>
      <w:r w:rsidRPr="00A675A0">
        <w:rPr>
          <w:rFonts w:cs="Arial"/>
        </w:rPr>
        <w:t xml:space="preserve">Both trainers and tutors emphasise the importance of professional development in maintaining and improving the quality of teaching </w:t>
      </w:r>
      <w:r w:rsidR="00914A19">
        <w:rPr>
          <w:rFonts w:cs="Arial"/>
        </w:rPr>
        <w:t xml:space="preserve">at </w:t>
      </w:r>
      <w:r w:rsidRPr="00A675A0">
        <w:rPr>
          <w:rFonts w:cs="Arial"/>
        </w:rPr>
        <w:t>APTC, including work placement in Australia. Tutors also see opportunities in other Pacific countries and at other APTC campuses as important professional development opportunities.</w:t>
      </w:r>
    </w:p>
    <w:p w14:paraId="3E74B029" w14:textId="77777777" w:rsidR="006D3E4A" w:rsidRPr="00A675A0" w:rsidRDefault="006D3E4A" w:rsidP="000668BA">
      <w:pPr>
        <w:numPr>
          <w:ilvl w:val="0"/>
          <w:numId w:val="54"/>
        </w:numPr>
        <w:contextualSpacing/>
        <w:rPr>
          <w:rFonts w:cs="Arial"/>
        </w:rPr>
      </w:pPr>
      <w:r w:rsidRPr="00A675A0">
        <w:rPr>
          <w:rFonts w:cs="Arial"/>
        </w:rPr>
        <w:t>Both trainers and teachers support the use of moderation and validation as a means to improve teaching.</w:t>
      </w:r>
    </w:p>
    <w:p w14:paraId="1D96F46E" w14:textId="77777777" w:rsidR="006D3E4A" w:rsidRPr="00A675A0" w:rsidRDefault="006D3E4A" w:rsidP="000668BA">
      <w:pPr>
        <w:numPr>
          <w:ilvl w:val="0"/>
          <w:numId w:val="54"/>
        </w:numPr>
        <w:contextualSpacing/>
        <w:rPr>
          <w:rFonts w:cs="Arial"/>
        </w:rPr>
      </w:pPr>
      <w:r w:rsidRPr="00A675A0">
        <w:rPr>
          <w:rFonts w:cs="Arial"/>
        </w:rPr>
        <w:t>The provision of follow-up workshops for graduates, as well as pathways or access to higher level qualifications are seen as ways to improve graduate outcomes.</w:t>
      </w:r>
    </w:p>
    <w:p w14:paraId="432BEA24" w14:textId="77777777" w:rsidR="006D3E4A" w:rsidRPr="00A675A0" w:rsidRDefault="006D3E4A" w:rsidP="000668BA">
      <w:pPr>
        <w:numPr>
          <w:ilvl w:val="0"/>
          <w:numId w:val="54"/>
        </w:numPr>
        <w:contextualSpacing/>
        <w:rPr>
          <w:rFonts w:cs="Arial"/>
        </w:rPr>
      </w:pPr>
      <w:r w:rsidRPr="00A675A0">
        <w:rPr>
          <w:rFonts w:cs="Arial"/>
        </w:rPr>
        <w:t xml:space="preserve">Both groups also highlighted the need for follow-up evaluation of graduate outcomes (tracer studies and the like). </w:t>
      </w:r>
    </w:p>
    <w:p w14:paraId="06C23A2D" w14:textId="77777777" w:rsidR="006D3E4A" w:rsidRPr="00A675A0" w:rsidRDefault="006D3E4A" w:rsidP="006D3E4A">
      <w:pPr>
        <w:rPr>
          <w:rFonts w:cs="Arial"/>
        </w:rPr>
      </w:pPr>
    </w:p>
    <w:p w14:paraId="643E94AE" w14:textId="69736888" w:rsidR="003D355F" w:rsidRDefault="002876A0" w:rsidP="002028A6">
      <w:pPr>
        <w:pStyle w:val="Heading1"/>
      </w:pPr>
      <w:bookmarkStart w:id="589" w:name="_Toc278447894"/>
      <w:bookmarkStart w:id="590" w:name="_Toc278453367"/>
      <w:r>
        <w:t>5</w:t>
      </w:r>
      <w:r w:rsidR="00BF0A8D">
        <w:tab/>
      </w:r>
      <w:r w:rsidR="006D3E4A" w:rsidRPr="00A675A0">
        <w:t xml:space="preserve">Administrative </w:t>
      </w:r>
      <w:r w:rsidR="00A75D39">
        <w:t>s</w:t>
      </w:r>
      <w:r w:rsidR="00A75D39" w:rsidRPr="00A675A0">
        <w:t>taff</w:t>
      </w:r>
      <w:bookmarkEnd w:id="589"/>
      <w:bookmarkEnd w:id="590"/>
    </w:p>
    <w:p w14:paraId="4FDACA3A" w14:textId="5183F46A" w:rsidR="003D355F" w:rsidRDefault="002876A0" w:rsidP="002028A6">
      <w:pPr>
        <w:pStyle w:val="Heading2"/>
      </w:pPr>
      <w:bookmarkStart w:id="591" w:name="_Toc274145116"/>
      <w:bookmarkStart w:id="592" w:name="_Toc274900500"/>
      <w:bookmarkStart w:id="593" w:name="_Toc274909879"/>
      <w:bookmarkStart w:id="594" w:name="_Toc278447895"/>
      <w:bookmarkStart w:id="595" w:name="_Toc278453368"/>
      <w:r>
        <w:t>5</w:t>
      </w:r>
      <w:r w:rsidR="006340CF">
        <w:t>.1</w:t>
      </w:r>
      <w:r w:rsidR="006340CF">
        <w:tab/>
      </w:r>
      <w:r w:rsidR="006D3E4A">
        <w:t>Overview</w:t>
      </w:r>
      <w:bookmarkEnd w:id="591"/>
      <w:bookmarkEnd w:id="592"/>
      <w:bookmarkEnd w:id="593"/>
      <w:bookmarkEnd w:id="594"/>
      <w:bookmarkEnd w:id="595"/>
    </w:p>
    <w:p w14:paraId="178CE5F2" w14:textId="77777777" w:rsidR="009A45F3" w:rsidRDefault="006D3E4A" w:rsidP="006D3E4A">
      <w:pPr>
        <w:rPr>
          <w:rFonts w:cs="Arial"/>
        </w:rPr>
      </w:pPr>
      <w:r w:rsidRPr="00A675A0">
        <w:rPr>
          <w:rFonts w:cs="Arial"/>
        </w:rPr>
        <w:t>Administrative staff were also requested to complete a questionnaire on a confidential basis. This was shorter than those used for tutors and trainers. Staff involved included those operating in country campus offices as we</w:t>
      </w:r>
      <w:r w:rsidR="009A45F3">
        <w:rPr>
          <w:rFonts w:cs="Arial"/>
        </w:rPr>
        <w:t xml:space="preserve">ll as the head office in Nadi. </w:t>
      </w:r>
      <w:r w:rsidRPr="00A675A0">
        <w:rPr>
          <w:rFonts w:cs="Arial"/>
        </w:rPr>
        <w:t>Because of the relatively small numbers and the confidentiality issues, results are presented in summary form only.</w:t>
      </w:r>
    </w:p>
    <w:p w14:paraId="135E2459" w14:textId="56DFF34B" w:rsidR="006D3E4A" w:rsidRPr="00A675A0" w:rsidRDefault="006D3E4A" w:rsidP="009A45F3">
      <w:pPr>
        <w:spacing w:after="0"/>
        <w:rPr>
          <w:rFonts w:cs="Arial"/>
        </w:rPr>
      </w:pPr>
    </w:p>
    <w:tbl>
      <w:tblPr>
        <w:tblStyle w:val="TableGrid"/>
        <w:tblW w:w="0" w:type="auto"/>
        <w:tblInd w:w="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5087"/>
        <w:gridCol w:w="607"/>
        <w:gridCol w:w="417"/>
        <w:gridCol w:w="817"/>
        <w:gridCol w:w="417"/>
      </w:tblGrid>
      <w:tr w:rsidR="006D3E4A" w:rsidRPr="009A45F3" w14:paraId="6255C14B" w14:textId="77777777" w:rsidTr="008E2457">
        <w:tc>
          <w:tcPr>
            <w:tcW w:w="0" w:type="auto"/>
            <w:gridSpan w:val="6"/>
            <w:shd w:val="clear" w:color="auto" w:fill="C5E0B3" w:themeFill="accent6" w:themeFillTint="66"/>
          </w:tcPr>
          <w:p w14:paraId="1DA51CFC" w14:textId="77777777" w:rsidR="006D3E4A" w:rsidRPr="009A45F3" w:rsidRDefault="006D3E4A" w:rsidP="009A45F3">
            <w:pPr>
              <w:spacing w:before="40" w:after="40"/>
              <w:rPr>
                <w:rFonts w:cs="Arial"/>
                <w:b/>
                <w:sz w:val="18"/>
              </w:rPr>
            </w:pPr>
            <w:r w:rsidRPr="009A45F3">
              <w:rPr>
                <w:rFonts w:cs="Arial"/>
                <w:b/>
                <w:sz w:val="18"/>
              </w:rPr>
              <w:t>APTC Administrative Staff N =45</w:t>
            </w:r>
          </w:p>
        </w:tc>
      </w:tr>
      <w:tr w:rsidR="006D3E4A" w:rsidRPr="009A45F3" w14:paraId="46024BD5" w14:textId="77777777" w:rsidTr="008E2457">
        <w:tc>
          <w:tcPr>
            <w:tcW w:w="0" w:type="auto"/>
            <w:shd w:val="clear" w:color="auto" w:fill="E2EFD9" w:themeFill="accent6" w:themeFillTint="33"/>
          </w:tcPr>
          <w:p w14:paraId="0EE53A9B" w14:textId="77777777" w:rsidR="006D3E4A" w:rsidRPr="009A45F3" w:rsidRDefault="006D3E4A" w:rsidP="009A45F3">
            <w:pPr>
              <w:spacing w:before="40" w:after="40"/>
              <w:rPr>
                <w:rFonts w:cs="Arial"/>
                <w:sz w:val="18"/>
              </w:rPr>
            </w:pPr>
            <w:r w:rsidRPr="009A45F3">
              <w:rPr>
                <w:rFonts w:cs="Arial"/>
                <w:sz w:val="18"/>
              </w:rPr>
              <w:t>1.</w:t>
            </w:r>
          </w:p>
        </w:tc>
        <w:tc>
          <w:tcPr>
            <w:tcW w:w="0" w:type="auto"/>
            <w:shd w:val="clear" w:color="auto" w:fill="E2EFD9" w:themeFill="accent6" w:themeFillTint="33"/>
          </w:tcPr>
          <w:p w14:paraId="0B06166B" w14:textId="77777777" w:rsidR="006D3E4A" w:rsidRPr="00292D50" w:rsidRDefault="006D3E4A" w:rsidP="009A45F3">
            <w:pPr>
              <w:spacing w:before="40" w:after="40"/>
              <w:rPr>
                <w:rFonts w:cs="Arial"/>
                <w:b/>
                <w:sz w:val="18"/>
              </w:rPr>
            </w:pPr>
            <w:r w:rsidRPr="00292D50">
              <w:rPr>
                <w:rFonts w:cs="Arial"/>
                <w:b/>
                <w:sz w:val="18"/>
              </w:rPr>
              <w:t>Gender</w:t>
            </w:r>
          </w:p>
        </w:tc>
        <w:tc>
          <w:tcPr>
            <w:tcW w:w="0" w:type="auto"/>
            <w:shd w:val="clear" w:color="auto" w:fill="E2EFD9" w:themeFill="accent6" w:themeFillTint="33"/>
          </w:tcPr>
          <w:p w14:paraId="0396ACA4" w14:textId="77777777" w:rsidR="006D3E4A" w:rsidRPr="009A45F3" w:rsidRDefault="006D3E4A" w:rsidP="009A45F3">
            <w:pPr>
              <w:spacing w:before="40" w:after="40"/>
              <w:rPr>
                <w:rFonts w:cs="Arial"/>
                <w:sz w:val="18"/>
              </w:rPr>
            </w:pPr>
            <w:r w:rsidRPr="009A45F3">
              <w:rPr>
                <w:rFonts w:cs="Arial"/>
                <w:sz w:val="18"/>
              </w:rPr>
              <w:t>Male</w:t>
            </w:r>
          </w:p>
        </w:tc>
        <w:tc>
          <w:tcPr>
            <w:tcW w:w="0" w:type="auto"/>
            <w:shd w:val="clear" w:color="auto" w:fill="E2EFD9" w:themeFill="accent6" w:themeFillTint="33"/>
          </w:tcPr>
          <w:p w14:paraId="4669B1AC" w14:textId="77777777" w:rsidR="006D3E4A" w:rsidRPr="009A45F3" w:rsidRDefault="006D3E4A" w:rsidP="009A45F3">
            <w:pPr>
              <w:spacing w:before="40" w:after="40"/>
              <w:rPr>
                <w:rFonts w:cs="Arial"/>
                <w:sz w:val="18"/>
              </w:rPr>
            </w:pPr>
            <w:r w:rsidRPr="009A45F3">
              <w:rPr>
                <w:rFonts w:cs="Arial"/>
                <w:sz w:val="18"/>
              </w:rPr>
              <w:t>12</w:t>
            </w:r>
          </w:p>
        </w:tc>
        <w:tc>
          <w:tcPr>
            <w:tcW w:w="0" w:type="auto"/>
            <w:shd w:val="clear" w:color="auto" w:fill="E2EFD9" w:themeFill="accent6" w:themeFillTint="33"/>
          </w:tcPr>
          <w:p w14:paraId="5FD1DFC2" w14:textId="77777777" w:rsidR="006D3E4A" w:rsidRPr="009A45F3" w:rsidRDefault="006D3E4A" w:rsidP="009A45F3">
            <w:pPr>
              <w:spacing w:before="40" w:after="40"/>
              <w:rPr>
                <w:rFonts w:cs="Arial"/>
                <w:sz w:val="18"/>
              </w:rPr>
            </w:pPr>
            <w:r w:rsidRPr="009A45F3">
              <w:rPr>
                <w:rFonts w:cs="Arial"/>
                <w:sz w:val="18"/>
              </w:rPr>
              <w:t>Female</w:t>
            </w:r>
          </w:p>
        </w:tc>
        <w:tc>
          <w:tcPr>
            <w:tcW w:w="0" w:type="auto"/>
            <w:shd w:val="clear" w:color="auto" w:fill="E2EFD9" w:themeFill="accent6" w:themeFillTint="33"/>
          </w:tcPr>
          <w:p w14:paraId="1182123C" w14:textId="77777777" w:rsidR="006D3E4A" w:rsidRPr="009A45F3" w:rsidRDefault="006D3E4A" w:rsidP="009A45F3">
            <w:pPr>
              <w:spacing w:before="40" w:after="40"/>
              <w:rPr>
                <w:rFonts w:cs="Arial"/>
                <w:sz w:val="18"/>
              </w:rPr>
            </w:pPr>
            <w:r w:rsidRPr="009A45F3">
              <w:rPr>
                <w:rFonts w:cs="Arial"/>
                <w:sz w:val="18"/>
              </w:rPr>
              <w:t>32</w:t>
            </w:r>
          </w:p>
        </w:tc>
      </w:tr>
      <w:tr w:rsidR="00292D50" w:rsidRPr="009A45F3" w14:paraId="63BEB0D5" w14:textId="77777777" w:rsidTr="008E2457">
        <w:tc>
          <w:tcPr>
            <w:tcW w:w="0" w:type="auto"/>
          </w:tcPr>
          <w:p w14:paraId="319633EF" w14:textId="77777777" w:rsidR="00292D50" w:rsidRPr="009A45F3" w:rsidRDefault="00292D50" w:rsidP="009A45F3">
            <w:pPr>
              <w:spacing w:before="40" w:after="40"/>
              <w:rPr>
                <w:rFonts w:cs="Arial"/>
                <w:sz w:val="18"/>
              </w:rPr>
            </w:pPr>
          </w:p>
        </w:tc>
        <w:tc>
          <w:tcPr>
            <w:tcW w:w="0" w:type="auto"/>
          </w:tcPr>
          <w:p w14:paraId="6A531D48" w14:textId="77777777" w:rsidR="00292D50" w:rsidRPr="009A45F3" w:rsidRDefault="00292D50" w:rsidP="009A45F3">
            <w:pPr>
              <w:spacing w:before="40" w:after="40"/>
              <w:rPr>
                <w:rFonts w:cs="Arial"/>
                <w:sz w:val="18"/>
              </w:rPr>
            </w:pPr>
          </w:p>
        </w:tc>
        <w:tc>
          <w:tcPr>
            <w:tcW w:w="0" w:type="auto"/>
          </w:tcPr>
          <w:p w14:paraId="11973B9C" w14:textId="77777777" w:rsidR="00292D50" w:rsidRPr="009A45F3" w:rsidRDefault="00292D50" w:rsidP="009A45F3">
            <w:pPr>
              <w:spacing w:before="40" w:after="40"/>
              <w:rPr>
                <w:rFonts w:cs="Arial"/>
                <w:sz w:val="18"/>
              </w:rPr>
            </w:pPr>
          </w:p>
        </w:tc>
        <w:tc>
          <w:tcPr>
            <w:tcW w:w="0" w:type="auto"/>
          </w:tcPr>
          <w:p w14:paraId="71D68B16" w14:textId="77777777" w:rsidR="00292D50" w:rsidRPr="009A45F3" w:rsidRDefault="00292D50" w:rsidP="009A45F3">
            <w:pPr>
              <w:spacing w:before="40" w:after="40"/>
              <w:rPr>
                <w:rFonts w:cs="Arial"/>
                <w:sz w:val="18"/>
              </w:rPr>
            </w:pPr>
          </w:p>
        </w:tc>
        <w:tc>
          <w:tcPr>
            <w:tcW w:w="0" w:type="auto"/>
          </w:tcPr>
          <w:p w14:paraId="4EA2CCC4" w14:textId="77777777" w:rsidR="00292D50" w:rsidRPr="009A45F3" w:rsidRDefault="00292D50" w:rsidP="009A45F3">
            <w:pPr>
              <w:spacing w:before="40" w:after="40"/>
              <w:rPr>
                <w:rFonts w:cs="Arial"/>
                <w:sz w:val="18"/>
              </w:rPr>
            </w:pPr>
          </w:p>
        </w:tc>
        <w:tc>
          <w:tcPr>
            <w:tcW w:w="0" w:type="auto"/>
          </w:tcPr>
          <w:p w14:paraId="56966C1E" w14:textId="77777777" w:rsidR="00292D50" w:rsidRPr="009A45F3" w:rsidRDefault="00292D50" w:rsidP="009A45F3">
            <w:pPr>
              <w:spacing w:before="40" w:after="40"/>
              <w:rPr>
                <w:rFonts w:cs="Arial"/>
                <w:sz w:val="18"/>
              </w:rPr>
            </w:pPr>
          </w:p>
        </w:tc>
      </w:tr>
      <w:tr w:rsidR="006D3E4A" w:rsidRPr="009A45F3" w14:paraId="0299C966" w14:textId="77777777" w:rsidTr="008E2457">
        <w:tc>
          <w:tcPr>
            <w:tcW w:w="0" w:type="auto"/>
            <w:shd w:val="clear" w:color="auto" w:fill="E2EFD9" w:themeFill="accent6" w:themeFillTint="33"/>
          </w:tcPr>
          <w:p w14:paraId="61240185" w14:textId="77777777" w:rsidR="006D3E4A" w:rsidRPr="009A45F3" w:rsidRDefault="006D3E4A" w:rsidP="009A45F3">
            <w:pPr>
              <w:spacing w:before="40" w:after="40"/>
              <w:rPr>
                <w:rFonts w:cs="Arial"/>
                <w:sz w:val="18"/>
              </w:rPr>
            </w:pPr>
            <w:r w:rsidRPr="009A45F3">
              <w:rPr>
                <w:rFonts w:cs="Arial"/>
                <w:sz w:val="18"/>
              </w:rPr>
              <w:t>2.</w:t>
            </w:r>
          </w:p>
        </w:tc>
        <w:tc>
          <w:tcPr>
            <w:tcW w:w="0" w:type="auto"/>
            <w:shd w:val="clear" w:color="auto" w:fill="E2EFD9" w:themeFill="accent6" w:themeFillTint="33"/>
          </w:tcPr>
          <w:p w14:paraId="3D5B2EAC" w14:textId="667490EC" w:rsidR="006D3E4A" w:rsidRPr="009A45F3" w:rsidRDefault="006D3E4A" w:rsidP="009A45F3">
            <w:pPr>
              <w:spacing w:before="40" w:after="40"/>
              <w:rPr>
                <w:rFonts w:cs="Arial"/>
                <w:sz w:val="18"/>
              </w:rPr>
            </w:pPr>
            <w:r w:rsidRPr="00292D50">
              <w:rPr>
                <w:rFonts w:cs="Arial"/>
                <w:b/>
                <w:sz w:val="18"/>
              </w:rPr>
              <w:t>Location</w:t>
            </w:r>
          </w:p>
        </w:tc>
        <w:tc>
          <w:tcPr>
            <w:tcW w:w="0" w:type="auto"/>
            <w:gridSpan w:val="4"/>
            <w:shd w:val="clear" w:color="auto" w:fill="E2EFD9" w:themeFill="accent6" w:themeFillTint="33"/>
            <w:vAlign w:val="center"/>
          </w:tcPr>
          <w:p w14:paraId="6E1A50C7" w14:textId="44B0A57D" w:rsidR="006D3E4A" w:rsidRPr="00292D50" w:rsidRDefault="00292D50" w:rsidP="00292D50">
            <w:pPr>
              <w:spacing w:before="40" w:after="40"/>
              <w:jc w:val="center"/>
              <w:rPr>
                <w:rFonts w:cs="Arial"/>
                <w:b/>
                <w:sz w:val="18"/>
              </w:rPr>
            </w:pPr>
            <w:r w:rsidRPr="00292D50">
              <w:rPr>
                <w:rFonts w:cs="Arial"/>
                <w:b/>
                <w:sz w:val="18"/>
              </w:rPr>
              <w:t>Number</w:t>
            </w:r>
            <w:r>
              <w:rPr>
                <w:rFonts w:cs="Arial"/>
                <w:b/>
                <w:sz w:val="18"/>
              </w:rPr>
              <w:t xml:space="preserve"> of admin staff</w:t>
            </w:r>
          </w:p>
        </w:tc>
      </w:tr>
      <w:tr w:rsidR="00292D50" w:rsidRPr="009A45F3" w14:paraId="7A19576D" w14:textId="77777777" w:rsidTr="008E2457">
        <w:tc>
          <w:tcPr>
            <w:tcW w:w="0" w:type="auto"/>
          </w:tcPr>
          <w:p w14:paraId="60CFFF22" w14:textId="77777777" w:rsidR="00292D50" w:rsidRPr="009A45F3" w:rsidRDefault="00292D50" w:rsidP="009A45F3">
            <w:pPr>
              <w:spacing w:before="40" w:after="40"/>
              <w:rPr>
                <w:rFonts w:cs="Arial"/>
                <w:sz w:val="18"/>
              </w:rPr>
            </w:pPr>
          </w:p>
        </w:tc>
        <w:tc>
          <w:tcPr>
            <w:tcW w:w="0" w:type="auto"/>
          </w:tcPr>
          <w:p w14:paraId="267B9439" w14:textId="77777777" w:rsidR="00292D50" w:rsidRPr="009A45F3" w:rsidRDefault="00292D50" w:rsidP="000668BA">
            <w:pPr>
              <w:numPr>
                <w:ilvl w:val="0"/>
                <w:numId w:val="52"/>
              </w:numPr>
              <w:spacing w:before="40" w:after="40"/>
              <w:contextualSpacing/>
              <w:rPr>
                <w:rFonts w:cs="Arial"/>
                <w:sz w:val="18"/>
              </w:rPr>
            </w:pPr>
            <w:r w:rsidRPr="009A45F3">
              <w:rPr>
                <w:rFonts w:cs="Arial"/>
                <w:sz w:val="18"/>
              </w:rPr>
              <w:t xml:space="preserve">Fiji </w:t>
            </w:r>
            <w:r>
              <w:rPr>
                <w:rFonts w:cs="Arial"/>
                <w:sz w:val="18"/>
              </w:rPr>
              <w:t>–</w:t>
            </w:r>
            <w:r w:rsidRPr="009A45F3">
              <w:rPr>
                <w:rFonts w:cs="Arial"/>
                <w:sz w:val="18"/>
              </w:rPr>
              <w:t xml:space="preserve"> Nadi</w:t>
            </w:r>
          </w:p>
        </w:tc>
        <w:tc>
          <w:tcPr>
            <w:tcW w:w="0" w:type="auto"/>
            <w:gridSpan w:val="4"/>
            <w:vAlign w:val="center"/>
          </w:tcPr>
          <w:p w14:paraId="786FF510" w14:textId="1BC2B4C9" w:rsidR="00292D50" w:rsidRPr="009A45F3" w:rsidRDefault="00292D50" w:rsidP="00292D50">
            <w:pPr>
              <w:spacing w:before="40" w:after="40"/>
              <w:jc w:val="center"/>
              <w:rPr>
                <w:rFonts w:cs="Arial"/>
                <w:sz w:val="18"/>
              </w:rPr>
            </w:pPr>
            <w:r w:rsidRPr="009A45F3">
              <w:rPr>
                <w:rFonts w:cs="Arial"/>
                <w:sz w:val="18"/>
              </w:rPr>
              <w:t>16</w:t>
            </w:r>
          </w:p>
        </w:tc>
      </w:tr>
      <w:tr w:rsidR="00292D50" w:rsidRPr="009A45F3" w14:paraId="4E160EBD" w14:textId="77777777" w:rsidTr="008E2457">
        <w:tc>
          <w:tcPr>
            <w:tcW w:w="0" w:type="auto"/>
          </w:tcPr>
          <w:p w14:paraId="393BF11A" w14:textId="77777777" w:rsidR="00292D50" w:rsidRPr="009A45F3" w:rsidRDefault="00292D50" w:rsidP="009A45F3">
            <w:pPr>
              <w:spacing w:before="40" w:after="40"/>
              <w:rPr>
                <w:rFonts w:cs="Arial"/>
                <w:sz w:val="18"/>
              </w:rPr>
            </w:pPr>
          </w:p>
        </w:tc>
        <w:tc>
          <w:tcPr>
            <w:tcW w:w="0" w:type="auto"/>
          </w:tcPr>
          <w:p w14:paraId="4B9D39B4" w14:textId="77777777" w:rsidR="00292D50" w:rsidRPr="009A45F3" w:rsidRDefault="00292D50" w:rsidP="000668BA">
            <w:pPr>
              <w:numPr>
                <w:ilvl w:val="0"/>
                <w:numId w:val="52"/>
              </w:numPr>
              <w:spacing w:before="40" w:after="40"/>
              <w:contextualSpacing/>
              <w:rPr>
                <w:rFonts w:cs="Arial"/>
                <w:sz w:val="18"/>
              </w:rPr>
            </w:pPr>
            <w:r w:rsidRPr="009A45F3">
              <w:rPr>
                <w:rFonts w:cs="Arial"/>
                <w:sz w:val="18"/>
              </w:rPr>
              <w:t>Fiji – Suva</w:t>
            </w:r>
          </w:p>
        </w:tc>
        <w:tc>
          <w:tcPr>
            <w:tcW w:w="0" w:type="auto"/>
            <w:gridSpan w:val="4"/>
            <w:vAlign w:val="center"/>
          </w:tcPr>
          <w:p w14:paraId="58E7C24E" w14:textId="479FFA69" w:rsidR="00292D50" w:rsidRPr="009A45F3" w:rsidRDefault="00292D50" w:rsidP="00292D50">
            <w:pPr>
              <w:spacing w:before="40" w:after="40"/>
              <w:jc w:val="center"/>
              <w:rPr>
                <w:rFonts w:cs="Arial"/>
                <w:sz w:val="18"/>
              </w:rPr>
            </w:pPr>
            <w:r w:rsidRPr="009A45F3">
              <w:rPr>
                <w:rFonts w:cs="Arial"/>
                <w:sz w:val="18"/>
              </w:rPr>
              <w:t>6</w:t>
            </w:r>
          </w:p>
        </w:tc>
      </w:tr>
      <w:tr w:rsidR="00292D50" w:rsidRPr="009A45F3" w14:paraId="76B7B878" w14:textId="77777777" w:rsidTr="008E2457">
        <w:tc>
          <w:tcPr>
            <w:tcW w:w="0" w:type="auto"/>
          </w:tcPr>
          <w:p w14:paraId="3F4051C9" w14:textId="77777777" w:rsidR="00292D50" w:rsidRPr="009A45F3" w:rsidRDefault="00292D50" w:rsidP="009A45F3">
            <w:pPr>
              <w:spacing w:before="40" w:after="40"/>
              <w:rPr>
                <w:rFonts w:cs="Arial"/>
                <w:sz w:val="18"/>
              </w:rPr>
            </w:pPr>
          </w:p>
        </w:tc>
        <w:tc>
          <w:tcPr>
            <w:tcW w:w="0" w:type="auto"/>
          </w:tcPr>
          <w:p w14:paraId="218E5FCB" w14:textId="77777777" w:rsidR="00292D50" w:rsidRPr="009A45F3" w:rsidRDefault="00292D50" w:rsidP="000668BA">
            <w:pPr>
              <w:numPr>
                <w:ilvl w:val="0"/>
                <w:numId w:val="52"/>
              </w:numPr>
              <w:spacing w:before="40" w:after="40"/>
              <w:contextualSpacing/>
              <w:rPr>
                <w:rFonts w:cs="Arial"/>
                <w:sz w:val="18"/>
              </w:rPr>
            </w:pPr>
            <w:r w:rsidRPr="009A45F3">
              <w:rPr>
                <w:rFonts w:cs="Arial"/>
                <w:sz w:val="18"/>
              </w:rPr>
              <w:t>PNG</w:t>
            </w:r>
          </w:p>
        </w:tc>
        <w:tc>
          <w:tcPr>
            <w:tcW w:w="0" w:type="auto"/>
            <w:gridSpan w:val="4"/>
            <w:vAlign w:val="center"/>
          </w:tcPr>
          <w:p w14:paraId="36B27177" w14:textId="163F8FF3" w:rsidR="00292D50" w:rsidRPr="009A45F3" w:rsidRDefault="00292D50" w:rsidP="00292D50">
            <w:pPr>
              <w:spacing w:before="40" w:after="40"/>
              <w:jc w:val="center"/>
              <w:rPr>
                <w:rFonts w:cs="Arial"/>
                <w:sz w:val="18"/>
              </w:rPr>
            </w:pPr>
            <w:r w:rsidRPr="009A45F3">
              <w:rPr>
                <w:rFonts w:cs="Arial"/>
                <w:sz w:val="18"/>
              </w:rPr>
              <w:t>8</w:t>
            </w:r>
          </w:p>
        </w:tc>
      </w:tr>
      <w:tr w:rsidR="00292D50" w:rsidRPr="009A45F3" w14:paraId="0EF39AD4" w14:textId="77777777" w:rsidTr="008E2457">
        <w:tc>
          <w:tcPr>
            <w:tcW w:w="0" w:type="auto"/>
          </w:tcPr>
          <w:p w14:paraId="012CD66C" w14:textId="77777777" w:rsidR="00292D50" w:rsidRPr="009A45F3" w:rsidRDefault="00292D50" w:rsidP="009A45F3">
            <w:pPr>
              <w:spacing w:before="40" w:after="40"/>
              <w:rPr>
                <w:rFonts w:cs="Arial"/>
                <w:sz w:val="18"/>
              </w:rPr>
            </w:pPr>
          </w:p>
        </w:tc>
        <w:tc>
          <w:tcPr>
            <w:tcW w:w="0" w:type="auto"/>
          </w:tcPr>
          <w:p w14:paraId="302AA668" w14:textId="77777777" w:rsidR="00292D50" w:rsidRPr="009A45F3" w:rsidRDefault="00292D50" w:rsidP="000668BA">
            <w:pPr>
              <w:numPr>
                <w:ilvl w:val="0"/>
                <w:numId w:val="52"/>
              </w:numPr>
              <w:spacing w:before="40" w:after="40"/>
              <w:contextualSpacing/>
              <w:rPr>
                <w:rFonts w:cs="Arial"/>
                <w:sz w:val="18"/>
              </w:rPr>
            </w:pPr>
            <w:r w:rsidRPr="009A45F3">
              <w:rPr>
                <w:rFonts w:cs="Arial"/>
                <w:sz w:val="18"/>
              </w:rPr>
              <w:t>Samoa</w:t>
            </w:r>
          </w:p>
        </w:tc>
        <w:tc>
          <w:tcPr>
            <w:tcW w:w="0" w:type="auto"/>
            <w:gridSpan w:val="4"/>
            <w:vAlign w:val="center"/>
          </w:tcPr>
          <w:p w14:paraId="52A494F7" w14:textId="12AFB8B1" w:rsidR="00292D50" w:rsidRPr="009A45F3" w:rsidRDefault="00292D50" w:rsidP="00292D50">
            <w:pPr>
              <w:spacing w:before="40" w:after="40"/>
              <w:jc w:val="center"/>
              <w:rPr>
                <w:rFonts w:cs="Arial"/>
                <w:sz w:val="18"/>
              </w:rPr>
            </w:pPr>
            <w:r w:rsidRPr="009A45F3">
              <w:rPr>
                <w:rFonts w:cs="Arial"/>
                <w:sz w:val="18"/>
              </w:rPr>
              <w:t>7</w:t>
            </w:r>
          </w:p>
        </w:tc>
      </w:tr>
      <w:tr w:rsidR="00292D50" w:rsidRPr="009A45F3" w14:paraId="0ED83B98" w14:textId="77777777" w:rsidTr="008E2457">
        <w:tc>
          <w:tcPr>
            <w:tcW w:w="0" w:type="auto"/>
          </w:tcPr>
          <w:p w14:paraId="32877B5A" w14:textId="77777777" w:rsidR="00292D50" w:rsidRPr="009A45F3" w:rsidRDefault="00292D50" w:rsidP="009A45F3">
            <w:pPr>
              <w:spacing w:before="40" w:after="40"/>
              <w:rPr>
                <w:rFonts w:cs="Arial"/>
                <w:sz w:val="18"/>
              </w:rPr>
            </w:pPr>
          </w:p>
        </w:tc>
        <w:tc>
          <w:tcPr>
            <w:tcW w:w="0" w:type="auto"/>
          </w:tcPr>
          <w:p w14:paraId="1293F85A" w14:textId="77777777" w:rsidR="00292D50" w:rsidRPr="009A45F3" w:rsidRDefault="00292D50" w:rsidP="000668BA">
            <w:pPr>
              <w:numPr>
                <w:ilvl w:val="0"/>
                <w:numId w:val="52"/>
              </w:numPr>
              <w:spacing w:before="40" w:after="40"/>
              <w:contextualSpacing/>
              <w:rPr>
                <w:rFonts w:cs="Arial"/>
                <w:sz w:val="18"/>
              </w:rPr>
            </w:pPr>
            <w:r w:rsidRPr="009A45F3">
              <w:rPr>
                <w:rFonts w:cs="Arial"/>
                <w:sz w:val="18"/>
              </w:rPr>
              <w:t>Solomon Is</w:t>
            </w:r>
            <w:r>
              <w:rPr>
                <w:rFonts w:cs="Arial"/>
                <w:sz w:val="18"/>
              </w:rPr>
              <w:t>lands</w:t>
            </w:r>
          </w:p>
        </w:tc>
        <w:tc>
          <w:tcPr>
            <w:tcW w:w="0" w:type="auto"/>
            <w:gridSpan w:val="4"/>
            <w:vAlign w:val="center"/>
          </w:tcPr>
          <w:p w14:paraId="31F13DAF" w14:textId="309C0554" w:rsidR="00292D50" w:rsidRPr="009A45F3" w:rsidRDefault="00292D50" w:rsidP="00292D50">
            <w:pPr>
              <w:spacing w:before="40" w:after="40"/>
              <w:jc w:val="center"/>
              <w:rPr>
                <w:rFonts w:cs="Arial"/>
                <w:sz w:val="18"/>
              </w:rPr>
            </w:pPr>
            <w:r w:rsidRPr="009A45F3">
              <w:rPr>
                <w:rFonts w:cs="Arial"/>
                <w:sz w:val="18"/>
              </w:rPr>
              <w:t>3</w:t>
            </w:r>
          </w:p>
        </w:tc>
      </w:tr>
      <w:tr w:rsidR="00292D50" w:rsidRPr="009A45F3" w14:paraId="4590DB2B" w14:textId="77777777" w:rsidTr="008E2457">
        <w:tc>
          <w:tcPr>
            <w:tcW w:w="0" w:type="auto"/>
          </w:tcPr>
          <w:p w14:paraId="1872E19B" w14:textId="77777777" w:rsidR="00292D50" w:rsidRPr="009A45F3" w:rsidRDefault="00292D50" w:rsidP="009A45F3">
            <w:pPr>
              <w:spacing w:before="40" w:after="40"/>
              <w:rPr>
                <w:rFonts w:cs="Arial"/>
                <w:sz w:val="18"/>
              </w:rPr>
            </w:pPr>
          </w:p>
        </w:tc>
        <w:tc>
          <w:tcPr>
            <w:tcW w:w="0" w:type="auto"/>
          </w:tcPr>
          <w:p w14:paraId="0A45B14F" w14:textId="77777777" w:rsidR="00292D50" w:rsidRPr="009A45F3" w:rsidRDefault="00292D50" w:rsidP="000668BA">
            <w:pPr>
              <w:numPr>
                <w:ilvl w:val="0"/>
                <w:numId w:val="52"/>
              </w:numPr>
              <w:spacing w:before="40" w:after="40"/>
              <w:contextualSpacing/>
              <w:rPr>
                <w:rFonts w:cs="Arial"/>
                <w:sz w:val="18"/>
              </w:rPr>
            </w:pPr>
            <w:r w:rsidRPr="009A45F3">
              <w:rPr>
                <w:rFonts w:cs="Arial"/>
                <w:sz w:val="18"/>
              </w:rPr>
              <w:t>Vanuatu</w:t>
            </w:r>
          </w:p>
        </w:tc>
        <w:tc>
          <w:tcPr>
            <w:tcW w:w="0" w:type="auto"/>
            <w:gridSpan w:val="4"/>
            <w:vAlign w:val="center"/>
          </w:tcPr>
          <w:p w14:paraId="2883062E" w14:textId="35164DFC" w:rsidR="00292D50" w:rsidRPr="009A45F3" w:rsidRDefault="00292D50" w:rsidP="00292D50">
            <w:pPr>
              <w:spacing w:before="40" w:after="40"/>
              <w:jc w:val="center"/>
              <w:rPr>
                <w:rFonts w:cs="Arial"/>
                <w:sz w:val="18"/>
              </w:rPr>
            </w:pPr>
            <w:r w:rsidRPr="009A45F3">
              <w:rPr>
                <w:rFonts w:cs="Arial"/>
                <w:sz w:val="18"/>
              </w:rPr>
              <w:t>5</w:t>
            </w:r>
          </w:p>
        </w:tc>
      </w:tr>
      <w:tr w:rsidR="00292D50" w:rsidRPr="009A45F3" w14:paraId="259941DA" w14:textId="77777777" w:rsidTr="008E2457">
        <w:tc>
          <w:tcPr>
            <w:tcW w:w="0" w:type="auto"/>
          </w:tcPr>
          <w:p w14:paraId="4D48760B" w14:textId="77777777" w:rsidR="00292D50" w:rsidRPr="009A45F3" w:rsidRDefault="00292D50" w:rsidP="009A45F3">
            <w:pPr>
              <w:spacing w:before="40" w:after="40"/>
              <w:rPr>
                <w:rFonts w:cs="Arial"/>
                <w:sz w:val="18"/>
              </w:rPr>
            </w:pPr>
          </w:p>
        </w:tc>
        <w:tc>
          <w:tcPr>
            <w:tcW w:w="0" w:type="auto"/>
          </w:tcPr>
          <w:p w14:paraId="6FE5585D" w14:textId="77777777" w:rsidR="00292D50" w:rsidRPr="009A45F3" w:rsidRDefault="00292D50" w:rsidP="00292D50">
            <w:pPr>
              <w:spacing w:before="40" w:after="40"/>
              <w:ind w:left="720"/>
              <w:contextualSpacing/>
              <w:rPr>
                <w:rFonts w:cs="Arial"/>
                <w:sz w:val="18"/>
              </w:rPr>
            </w:pPr>
          </w:p>
        </w:tc>
        <w:tc>
          <w:tcPr>
            <w:tcW w:w="0" w:type="auto"/>
            <w:gridSpan w:val="2"/>
          </w:tcPr>
          <w:p w14:paraId="4C7BD5DB" w14:textId="77777777" w:rsidR="00292D50" w:rsidRPr="009A45F3" w:rsidRDefault="00292D50" w:rsidP="009A45F3">
            <w:pPr>
              <w:spacing w:before="40" w:after="40"/>
              <w:jc w:val="right"/>
              <w:rPr>
                <w:rFonts w:cs="Arial"/>
                <w:sz w:val="18"/>
              </w:rPr>
            </w:pPr>
          </w:p>
        </w:tc>
        <w:tc>
          <w:tcPr>
            <w:tcW w:w="0" w:type="auto"/>
            <w:gridSpan w:val="2"/>
          </w:tcPr>
          <w:p w14:paraId="45C805F4" w14:textId="77777777" w:rsidR="00292D50" w:rsidRPr="009A45F3" w:rsidRDefault="00292D50" w:rsidP="009A45F3">
            <w:pPr>
              <w:spacing w:before="40" w:after="40"/>
              <w:rPr>
                <w:rFonts w:cs="Arial"/>
                <w:sz w:val="18"/>
              </w:rPr>
            </w:pPr>
          </w:p>
        </w:tc>
      </w:tr>
      <w:tr w:rsidR="00292D50" w:rsidRPr="009A45F3" w14:paraId="2A67DD40" w14:textId="77777777" w:rsidTr="008E2457">
        <w:tc>
          <w:tcPr>
            <w:tcW w:w="0" w:type="auto"/>
            <w:shd w:val="clear" w:color="auto" w:fill="E2EFD9" w:themeFill="accent6" w:themeFillTint="33"/>
          </w:tcPr>
          <w:p w14:paraId="6134CCE5" w14:textId="77777777" w:rsidR="00292D50" w:rsidRPr="009A45F3" w:rsidRDefault="00292D50" w:rsidP="009A45F3">
            <w:pPr>
              <w:spacing w:before="40" w:after="40"/>
              <w:rPr>
                <w:rFonts w:cs="Arial"/>
                <w:sz w:val="18"/>
              </w:rPr>
            </w:pPr>
            <w:r w:rsidRPr="009A45F3">
              <w:rPr>
                <w:rFonts w:cs="Arial"/>
                <w:sz w:val="18"/>
              </w:rPr>
              <w:t>3.</w:t>
            </w:r>
          </w:p>
        </w:tc>
        <w:tc>
          <w:tcPr>
            <w:tcW w:w="0" w:type="auto"/>
            <w:shd w:val="clear" w:color="auto" w:fill="E2EFD9" w:themeFill="accent6" w:themeFillTint="33"/>
          </w:tcPr>
          <w:p w14:paraId="41A569F2" w14:textId="77777777" w:rsidR="00292D50" w:rsidRPr="00292D50" w:rsidRDefault="00292D50" w:rsidP="009A45F3">
            <w:pPr>
              <w:spacing w:before="40" w:after="40"/>
              <w:rPr>
                <w:rFonts w:cs="Arial"/>
                <w:b/>
                <w:sz w:val="18"/>
              </w:rPr>
            </w:pPr>
            <w:r w:rsidRPr="00292D50">
              <w:rPr>
                <w:rFonts w:cs="Arial"/>
                <w:b/>
                <w:sz w:val="18"/>
              </w:rPr>
              <w:t>Time employed at APTC</w:t>
            </w:r>
          </w:p>
        </w:tc>
        <w:tc>
          <w:tcPr>
            <w:tcW w:w="0" w:type="auto"/>
            <w:gridSpan w:val="4"/>
            <w:shd w:val="clear" w:color="auto" w:fill="E2EFD9" w:themeFill="accent6" w:themeFillTint="33"/>
          </w:tcPr>
          <w:p w14:paraId="492EFB34" w14:textId="428FB2BA" w:rsidR="00292D50" w:rsidRPr="009A45F3" w:rsidRDefault="00292D50" w:rsidP="009A45F3">
            <w:pPr>
              <w:spacing w:before="40" w:after="40"/>
              <w:rPr>
                <w:rFonts w:cs="Arial"/>
                <w:sz w:val="18"/>
              </w:rPr>
            </w:pPr>
            <w:r w:rsidRPr="00292D50">
              <w:rPr>
                <w:rFonts w:cs="Arial"/>
                <w:b/>
                <w:sz w:val="18"/>
              </w:rPr>
              <w:t>Number</w:t>
            </w:r>
            <w:r>
              <w:rPr>
                <w:rFonts w:cs="Arial"/>
                <w:b/>
                <w:sz w:val="18"/>
              </w:rPr>
              <w:t xml:space="preserve"> of admin staff</w:t>
            </w:r>
          </w:p>
        </w:tc>
      </w:tr>
      <w:tr w:rsidR="00292D50" w:rsidRPr="009A45F3" w14:paraId="0EF62E92" w14:textId="77777777" w:rsidTr="008E2457">
        <w:tc>
          <w:tcPr>
            <w:tcW w:w="0" w:type="auto"/>
          </w:tcPr>
          <w:p w14:paraId="6D9FA52E" w14:textId="77777777" w:rsidR="00292D50" w:rsidRPr="009A45F3" w:rsidRDefault="00292D50" w:rsidP="009A45F3">
            <w:pPr>
              <w:spacing w:before="40" w:after="40"/>
              <w:rPr>
                <w:rFonts w:cs="Arial"/>
                <w:sz w:val="18"/>
              </w:rPr>
            </w:pPr>
          </w:p>
        </w:tc>
        <w:tc>
          <w:tcPr>
            <w:tcW w:w="0" w:type="auto"/>
          </w:tcPr>
          <w:p w14:paraId="2090DA1D" w14:textId="77777777" w:rsidR="00292D50" w:rsidRPr="009A45F3" w:rsidRDefault="00292D50" w:rsidP="000668BA">
            <w:pPr>
              <w:numPr>
                <w:ilvl w:val="0"/>
                <w:numId w:val="52"/>
              </w:numPr>
              <w:spacing w:before="40" w:after="40"/>
              <w:contextualSpacing/>
              <w:rPr>
                <w:rFonts w:cs="Arial"/>
                <w:sz w:val="18"/>
              </w:rPr>
            </w:pPr>
            <w:r w:rsidRPr="009A45F3">
              <w:rPr>
                <w:rFonts w:cs="Arial"/>
                <w:sz w:val="18"/>
              </w:rPr>
              <w:t>&lt; 1 year</w:t>
            </w:r>
          </w:p>
        </w:tc>
        <w:tc>
          <w:tcPr>
            <w:tcW w:w="0" w:type="auto"/>
            <w:gridSpan w:val="4"/>
            <w:vAlign w:val="center"/>
          </w:tcPr>
          <w:p w14:paraId="207A4D5A" w14:textId="6E501D9B" w:rsidR="00292D50" w:rsidRPr="009A45F3" w:rsidRDefault="00292D50" w:rsidP="00292D50">
            <w:pPr>
              <w:spacing w:before="40" w:after="40"/>
              <w:jc w:val="center"/>
              <w:rPr>
                <w:rFonts w:cs="Arial"/>
                <w:sz w:val="18"/>
              </w:rPr>
            </w:pPr>
            <w:r w:rsidRPr="009A45F3">
              <w:rPr>
                <w:rFonts w:cs="Arial"/>
                <w:sz w:val="18"/>
              </w:rPr>
              <w:t>16</w:t>
            </w:r>
          </w:p>
        </w:tc>
      </w:tr>
      <w:tr w:rsidR="00292D50" w:rsidRPr="009A45F3" w14:paraId="02273402" w14:textId="77777777" w:rsidTr="008E2457">
        <w:tc>
          <w:tcPr>
            <w:tcW w:w="0" w:type="auto"/>
          </w:tcPr>
          <w:p w14:paraId="15654559" w14:textId="77777777" w:rsidR="00292D50" w:rsidRPr="009A45F3" w:rsidRDefault="00292D50" w:rsidP="009A45F3">
            <w:pPr>
              <w:spacing w:before="40" w:after="40"/>
              <w:rPr>
                <w:rFonts w:cs="Arial"/>
                <w:sz w:val="18"/>
              </w:rPr>
            </w:pPr>
          </w:p>
        </w:tc>
        <w:tc>
          <w:tcPr>
            <w:tcW w:w="0" w:type="auto"/>
          </w:tcPr>
          <w:p w14:paraId="6922248C" w14:textId="77777777" w:rsidR="00292D50" w:rsidRPr="009A45F3" w:rsidRDefault="00292D50" w:rsidP="000668BA">
            <w:pPr>
              <w:numPr>
                <w:ilvl w:val="0"/>
                <w:numId w:val="52"/>
              </w:numPr>
              <w:spacing w:before="40" w:after="40"/>
              <w:contextualSpacing/>
              <w:rPr>
                <w:rFonts w:cs="Arial"/>
                <w:sz w:val="18"/>
              </w:rPr>
            </w:pPr>
            <w:r w:rsidRPr="009A45F3">
              <w:rPr>
                <w:rFonts w:cs="Arial"/>
                <w:sz w:val="18"/>
              </w:rPr>
              <w:t>1</w:t>
            </w:r>
            <w:r>
              <w:rPr>
                <w:rFonts w:cs="Arial"/>
                <w:sz w:val="18"/>
              </w:rPr>
              <w:t>–</w:t>
            </w:r>
            <w:r w:rsidRPr="009A45F3">
              <w:rPr>
                <w:rFonts w:cs="Arial"/>
                <w:sz w:val="18"/>
              </w:rPr>
              <w:t>4 years</w:t>
            </w:r>
          </w:p>
        </w:tc>
        <w:tc>
          <w:tcPr>
            <w:tcW w:w="0" w:type="auto"/>
            <w:gridSpan w:val="4"/>
            <w:vAlign w:val="center"/>
          </w:tcPr>
          <w:p w14:paraId="1A993231" w14:textId="354FCD1C" w:rsidR="00292D50" w:rsidRPr="009A45F3" w:rsidRDefault="00292D50" w:rsidP="00292D50">
            <w:pPr>
              <w:spacing w:before="40" w:after="40"/>
              <w:jc w:val="center"/>
              <w:rPr>
                <w:rFonts w:cs="Arial"/>
                <w:sz w:val="18"/>
              </w:rPr>
            </w:pPr>
            <w:r w:rsidRPr="009A45F3">
              <w:rPr>
                <w:rFonts w:cs="Arial"/>
                <w:sz w:val="18"/>
              </w:rPr>
              <w:t>24</w:t>
            </w:r>
          </w:p>
        </w:tc>
      </w:tr>
      <w:tr w:rsidR="00292D50" w:rsidRPr="009A45F3" w14:paraId="53B0F6C2" w14:textId="77777777" w:rsidTr="008E2457">
        <w:tc>
          <w:tcPr>
            <w:tcW w:w="0" w:type="auto"/>
          </w:tcPr>
          <w:p w14:paraId="3502D8AA" w14:textId="77777777" w:rsidR="00292D50" w:rsidRPr="009A45F3" w:rsidRDefault="00292D50" w:rsidP="009A45F3">
            <w:pPr>
              <w:spacing w:before="40" w:after="40"/>
              <w:rPr>
                <w:rFonts w:cs="Arial"/>
                <w:sz w:val="18"/>
              </w:rPr>
            </w:pPr>
          </w:p>
        </w:tc>
        <w:tc>
          <w:tcPr>
            <w:tcW w:w="0" w:type="auto"/>
          </w:tcPr>
          <w:p w14:paraId="493EC47B" w14:textId="77777777" w:rsidR="00292D50" w:rsidRPr="009A45F3" w:rsidRDefault="00292D50" w:rsidP="000668BA">
            <w:pPr>
              <w:numPr>
                <w:ilvl w:val="0"/>
                <w:numId w:val="52"/>
              </w:numPr>
              <w:spacing w:before="40" w:after="40"/>
              <w:contextualSpacing/>
              <w:rPr>
                <w:rFonts w:cs="Arial"/>
                <w:sz w:val="18"/>
              </w:rPr>
            </w:pPr>
            <w:r w:rsidRPr="009A45F3">
              <w:rPr>
                <w:rFonts w:cs="Arial"/>
                <w:sz w:val="18"/>
              </w:rPr>
              <w:t>&gt; 4 years</w:t>
            </w:r>
          </w:p>
        </w:tc>
        <w:tc>
          <w:tcPr>
            <w:tcW w:w="0" w:type="auto"/>
            <w:gridSpan w:val="4"/>
            <w:vAlign w:val="center"/>
          </w:tcPr>
          <w:p w14:paraId="2FEA89B0" w14:textId="60964348" w:rsidR="00292D50" w:rsidRPr="009A45F3" w:rsidRDefault="00292D50" w:rsidP="00292D50">
            <w:pPr>
              <w:spacing w:before="40" w:after="40"/>
              <w:jc w:val="center"/>
              <w:rPr>
                <w:rFonts w:cs="Arial"/>
                <w:sz w:val="18"/>
              </w:rPr>
            </w:pPr>
            <w:r w:rsidRPr="009A45F3">
              <w:rPr>
                <w:rFonts w:cs="Arial"/>
                <w:sz w:val="18"/>
              </w:rPr>
              <w:t>5</w:t>
            </w:r>
          </w:p>
        </w:tc>
      </w:tr>
      <w:tr w:rsidR="00292D50" w:rsidRPr="009A45F3" w14:paraId="55198C92" w14:textId="77777777" w:rsidTr="008E2457">
        <w:tc>
          <w:tcPr>
            <w:tcW w:w="0" w:type="auto"/>
          </w:tcPr>
          <w:p w14:paraId="6E837D9B" w14:textId="77777777" w:rsidR="00292D50" w:rsidRPr="009A45F3" w:rsidRDefault="00292D50" w:rsidP="009A45F3">
            <w:pPr>
              <w:spacing w:before="40" w:after="40"/>
              <w:rPr>
                <w:rFonts w:cs="Arial"/>
                <w:sz w:val="18"/>
              </w:rPr>
            </w:pPr>
          </w:p>
        </w:tc>
        <w:tc>
          <w:tcPr>
            <w:tcW w:w="0" w:type="auto"/>
          </w:tcPr>
          <w:p w14:paraId="4576A6F5" w14:textId="77777777" w:rsidR="00292D50" w:rsidRPr="009A45F3" w:rsidRDefault="00292D50" w:rsidP="00292D50">
            <w:pPr>
              <w:spacing w:before="40" w:after="40"/>
              <w:ind w:left="720"/>
              <w:contextualSpacing/>
              <w:rPr>
                <w:rFonts w:cs="Arial"/>
                <w:sz w:val="18"/>
              </w:rPr>
            </w:pPr>
          </w:p>
        </w:tc>
        <w:tc>
          <w:tcPr>
            <w:tcW w:w="0" w:type="auto"/>
            <w:gridSpan w:val="4"/>
            <w:vAlign w:val="center"/>
          </w:tcPr>
          <w:p w14:paraId="73EFE463" w14:textId="77777777" w:rsidR="00292D50" w:rsidRPr="009A45F3" w:rsidRDefault="00292D50" w:rsidP="00292D50">
            <w:pPr>
              <w:spacing w:before="40" w:after="40"/>
              <w:jc w:val="center"/>
              <w:rPr>
                <w:rFonts w:cs="Arial"/>
                <w:sz w:val="18"/>
              </w:rPr>
            </w:pPr>
          </w:p>
        </w:tc>
      </w:tr>
      <w:tr w:rsidR="006D3E4A" w:rsidRPr="009A45F3" w14:paraId="390735F5" w14:textId="77777777" w:rsidTr="008E2457">
        <w:tc>
          <w:tcPr>
            <w:tcW w:w="0" w:type="auto"/>
            <w:shd w:val="clear" w:color="auto" w:fill="E2EFD9" w:themeFill="accent6" w:themeFillTint="33"/>
          </w:tcPr>
          <w:p w14:paraId="46F757CD" w14:textId="77777777" w:rsidR="006D3E4A" w:rsidRPr="009A45F3" w:rsidRDefault="006D3E4A" w:rsidP="009A45F3">
            <w:pPr>
              <w:spacing w:before="40" w:after="40"/>
              <w:rPr>
                <w:rFonts w:cs="Arial"/>
                <w:sz w:val="18"/>
              </w:rPr>
            </w:pPr>
            <w:r w:rsidRPr="009A45F3">
              <w:rPr>
                <w:rFonts w:cs="Arial"/>
                <w:sz w:val="18"/>
              </w:rPr>
              <w:t>4.</w:t>
            </w:r>
          </w:p>
        </w:tc>
        <w:tc>
          <w:tcPr>
            <w:tcW w:w="0" w:type="auto"/>
            <w:shd w:val="clear" w:color="auto" w:fill="E2EFD9" w:themeFill="accent6" w:themeFillTint="33"/>
          </w:tcPr>
          <w:p w14:paraId="19F03FD2" w14:textId="1DCF5E39" w:rsidR="006D3E4A" w:rsidRPr="00DD615E" w:rsidRDefault="00DD615E" w:rsidP="009A45F3">
            <w:pPr>
              <w:spacing w:before="40" w:after="40"/>
              <w:rPr>
                <w:rFonts w:cs="Arial"/>
                <w:b/>
                <w:sz w:val="18"/>
              </w:rPr>
            </w:pPr>
            <w:r w:rsidRPr="00DD615E">
              <w:rPr>
                <w:rFonts w:cs="Arial"/>
                <w:b/>
                <w:sz w:val="18"/>
              </w:rPr>
              <w:t>S</w:t>
            </w:r>
            <w:r>
              <w:rPr>
                <w:rFonts w:cs="Arial"/>
                <w:b/>
                <w:sz w:val="18"/>
              </w:rPr>
              <w:t>t</w:t>
            </w:r>
            <w:r w:rsidR="006D3E4A" w:rsidRPr="00DD615E">
              <w:rPr>
                <w:rFonts w:cs="Arial"/>
                <w:b/>
                <w:sz w:val="18"/>
              </w:rPr>
              <w:t>aff undertaking or completed training while at APTC</w:t>
            </w:r>
          </w:p>
        </w:tc>
        <w:tc>
          <w:tcPr>
            <w:tcW w:w="0" w:type="auto"/>
            <w:shd w:val="clear" w:color="auto" w:fill="E2EFD9" w:themeFill="accent6" w:themeFillTint="33"/>
          </w:tcPr>
          <w:p w14:paraId="30CD27CB" w14:textId="77777777" w:rsidR="006D3E4A" w:rsidRPr="00BE6D05" w:rsidRDefault="006D3E4A" w:rsidP="009A45F3">
            <w:pPr>
              <w:spacing w:before="40" w:after="40"/>
              <w:rPr>
                <w:rFonts w:cs="Arial"/>
                <w:b/>
                <w:sz w:val="18"/>
              </w:rPr>
            </w:pPr>
            <w:r w:rsidRPr="00BE6D05">
              <w:rPr>
                <w:rFonts w:cs="Arial"/>
                <w:b/>
                <w:sz w:val="18"/>
              </w:rPr>
              <w:t>Yes</w:t>
            </w:r>
          </w:p>
        </w:tc>
        <w:tc>
          <w:tcPr>
            <w:tcW w:w="0" w:type="auto"/>
            <w:shd w:val="clear" w:color="auto" w:fill="E2EFD9" w:themeFill="accent6" w:themeFillTint="33"/>
          </w:tcPr>
          <w:p w14:paraId="497C5BAE" w14:textId="77777777" w:rsidR="006D3E4A" w:rsidRPr="009A45F3" w:rsidRDefault="006D3E4A" w:rsidP="009A45F3">
            <w:pPr>
              <w:spacing w:before="40" w:after="40"/>
              <w:rPr>
                <w:rFonts w:cs="Arial"/>
                <w:sz w:val="18"/>
              </w:rPr>
            </w:pPr>
            <w:r w:rsidRPr="009A45F3">
              <w:rPr>
                <w:rFonts w:cs="Arial"/>
                <w:sz w:val="18"/>
              </w:rPr>
              <w:t>34</w:t>
            </w:r>
          </w:p>
        </w:tc>
        <w:tc>
          <w:tcPr>
            <w:tcW w:w="0" w:type="auto"/>
            <w:shd w:val="clear" w:color="auto" w:fill="E2EFD9" w:themeFill="accent6" w:themeFillTint="33"/>
          </w:tcPr>
          <w:p w14:paraId="42D6003F" w14:textId="77777777" w:rsidR="006D3E4A" w:rsidRPr="00BE6D05" w:rsidRDefault="006D3E4A" w:rsidP="009A45F3">
            <w:pPr>
              <w:spacing w:before="40" w:after="40"/>
              <w:rPr>
                <w:rFonts w:cs="Arial"/>
                <w:b/>
                <w:sz w:val="18"/>
              </w:rPr>
            </w:pPr>
            <w:r w:rsidRPr="00BE6D05">
              <w:rPr>
                <w:rFonts w:cs="Arial"/>
                <w:b/>
                <w:sz w:val="18"/>
              </w:rPr>
              <w:t>No</w:t>
            </w:r>
          </w:p>
        </w:tc>
        <w:tc>
          <w:tcPr>
            <w:tcW w:w="0" w:type="auto"/>
            <w:shd w:val="clear" w:color="auto" w:fill="E2EFD9" w:themeFill="accent6" w:themeFillTint="33"/>
          </w:tcPr>
          <w:p w14:paraId="26D44927" w14:textId="77777777" w:rsidR="006D3E4A" w:rsidRPr="009A45F3" w:rsidRDefault="006D3E4A" w:rsidP="009A45F3">
            <w:pPr>
              <w:spacing w:before="40" w:after="40"/>
              <w:rPr>
                <w:rFonts w:cs="Arial"/>
                <w:sz w:val="18"/>
              </w:rPr>
            </w:pPr>
            <w:r w:rsidRPr="009A45F3">
              <w:rPr>
                <w:rFonts w:cs="Arial"/>
                <w:sz w:val="18"/>
              </w:rPr>
              <w:t>11</w:t>
            </w:r>
          </w:p>
        </w:tc>
      </w:tr>
      <w:tr w:rsidR="00DD615E" w:rsidRPr="009A45F3" w14:paraId="5AF64BB7" w14:textId="77777777" w:rsidTr="008E2457">
        <w:tc>
          <w:tcPr>
            <w:tcW w:w="0" w:type="auto"/>
          </w:tcPr>
          <w:p w14:paraId="6A276B89" w14:textId="77777777" w:rsidR="00DD615E" w:rsidRPr="009A45F3" w:rsidRDefault="00DD615E" w:rsidP="009A45F3">
            <w:pPr>
              <w:spacing w:before="40" w:after="40"/>
              <w:rPr>
                <w:rFonts w:cs="Arial"/>
                <w:sz w:val="18"/>
              </w:rPr>
            </w:pPr>
          </w:p>
        </w:tc>
        <w:tc>
          <w:tcPr>
            <w:tcW w:w="0" w:type="auto"/>
          </w:tcPr>
          <w:p w14:paraId="05555C69" w14:textId="77777777" w:rsidR="00DD615E" w:rsidRPr="009A45F3" w:rsidRDefault="00DD615E" w:rsidP="009A45F3">
            <w:pPr>
              <w:spacing w:before="40" w:after="40"/>
              <w:rPr>
                <w:rFonts w:cs="Arial"/>
                <w:sz w:val="18"/>
              </w:rPr>
            </w:pPr>
          </w:p>
        </w:tc>
        <w:tc>
          <w:tcPr>
            <w:tcW w:w="0" w:type="auto"/>
          </w:tcPr>
          <w:p w14:paraId="36C6E25D" w14:textId="77777777" w:rsidR="00DD615E" w:rsidRPr="009A45F3" w:rsidRDefault="00DD615E" w:rsidP="009A45F3">
            <w:pPr>
              <w:spacing w:before="40" w:after="40"/>
              <w:rPr>
                <w:rFonts w:cs="Arial"/>
                <w:sz w:val="18"/>
              </w:rPr>
            </w:pPr>
          </w:p>
        </w:tc>
        <w:tc>
          <w:tcPr>
            <w:tcW w:w="0" w:type="auto"/>
          </w:tcPr>
          <w:p w14:paraId="06E6E8CC" w14:textId="77777777" w:rsidR="00DD615E" w:rsidRPr="009A45F3" w:rsidRDefault="00DD615E" w:rsidP="009A45F3">
            <w:pPr>
              <w:spacing w:before="40" w:after="40"/>
              <w:rPr>
                <w:rFonts w:cs="Arial"/>
                <w:sz w:val="18"/>
              </w:rPr>
            </w:pPr>
          </w:p>
        </w:tc>
        <w:tc>
          <w:tcPr>
            <w:tcW w:w="0" w:type="auto"/>
          </w:tcPr>
          <w:p w14:paraId="637D99DF" w14:textId="77777777" w:rsidR="00DD615E" w:rsidRPr="009A45F3" w:rsidRDefault="00DD615E" w:rsidP="009A45F3">
            <w:pPr>
              <w:spacing w:before="40" w:after="40"/>
              <w:rPr>
                <w:rFonts w:cs="Arial"/>
                <w:sz w:val="18"/>
              </w:rPr>
            </w:pPr>
          </w:p>
        </w:tc>
        <w:tc>
          <w:tcPr>
            <w:tcW w:w="0" w:type="auto"/>
          </w:tcPr>
          <w:p w14:paraId="6484EFF4" w14:textId="77777777" w:rsidR="00DD615E" w:rsidRPr="009A45F3" w:rsidRDefault="00DD615E" w:rsidP="009A45F3">
            <w:pPr>
              <w:spacing w:before="40" w:after="40"/>
              <w:rPr>
                <w:rFonts w:cs="Arial"/>
                <w:sz w:val="18"/>
              </w:rPr>
            </w:pPr>
          </w:p>
        </w:tc>
      </w:tr>
      <w:tr w:rsidR="006D3E4A" w:rsidRPr="009A45F3" w14:paraId="4ACE3E50" w14:textId="77777777" w:rsidTr="008E2457">
        <w:tc>
          <w:tcPr>
            <w:tcW w:w="0" w:type="auto"/>
            <w:shd w:val="clear" w:color="auto" w:fill="E2EFD9" w:themeFill="accent6" w:themeFillTint="33"/>
          </w:tcPr>
          <w:p w14:paraId="64ADDB35" w14:textId="77777777" w:rsidR="006D3E4A" w:rsidRPr="009A45F3" w:rsidRDefault="006D3E4A" w:rsidP="009A45F3">
            <w:pPr>
              <w:spacing w:before="40" w:after="40"/>
              <w:rPr>
                <w:rFonts w:cs="Arial"/>
                <w:sz w:val="18"/>
              </w:rPr>
            </w:pPr>
            <w:r w:rsidRPr="009A45F3">
              <w:rPr>
                <w:rFonts w:cs="Arial"/>
                <w:sz w:val="18"/>
              </w:rPr>
              <w:t>5.</w:t>
            </w:r>
          </w:p>
        </w:tc>
        <w:tc>
          <w:tcPr>
            <w:tcW w:w="0" w:type="auto"/>
            <w:shd w:val="clear" w:color="auto" w:fill="E2EFD9" w:themeFill="accent6" w:themeFillTint="33"/>
          </w:tcPr>
          <w:p w14:paraId="7CBF6CF9" w14:textId="1789D57A" w:rsidR="006D3E4A" w:rsidRPr="00DD615E" w:rsidRDefault="00DD615E" w:rsidP="009A45F3">
            <w:pPr>
              <w:spacing w:before="40" w:after="40"/>
              <w:rPr>
                <w:rFonts w:cs="Arial"/>
                <w:b/>
                <w:sz w:val="18"/>
              </w:rPr>
            </w:pPr>
            <w:r w:rsidRPr="00DD615E">
              <w:rPr>
                <w:rFonts w:cs="Arial"/>
                <w:b/>
                <w:sz w:val="18"/>
              </w:rPr>
              <w:t>S</w:t>
            </w:r>
            <w:r w:rsidR="00A2267C" w:rsidRPr="00DD615E">
              <w:rPr>
                <w:rFonts w:cs="Arial"/>
                <w:b/>
                <w:sz w:val="18"/>
              </w:rPr>
              <w:t xml:space="preserve">taff </w:t>
            </w:r>
            <w:r w:rsidR="006D3E4A" w:rsidRPr="00DD615E">
              <w:rPr>
                <w:rFonts w:cs="Arial"/>
                <w:b/>
                <w:sz w:val="18"/>
              </w:rPr>
              <w:t>undertaking or completed Certificate IV in Business</w:t>
            </w:r>
          </w:p>
        </w:tc>
        <w:tc>
          <w:tcPr>
            <w:tcW w:w="0" w:type="auto"/>
            <w:gridSpan w:val="4"/>
            <w:shd w:val="clear" w:color="auto" w:fill="E2EFD9" w:themeFill="accent6" w:themeFillTint="33"/>
            <w:vAlign w:val="center"/>
          </w:tcPr>
          <w:p w14:paraId="56C47BCD" w14:textId="77777777" w:rsidR="006D3E4A" w:rsidRPr="009A45F3" w:rsidRDefault="006D3E4A" w:rsidP="00BE6D05">
            <w:pPr>
              <w:spacing w:before="40" w:after="40"/>
              <w:jc w:val="center"/>
              <w:rPr>
                <w:rFonts w:cs="Arial"/>
                <w:sz w:val="18"/>
              </w:rPr>
            </w:pPr>
            <w:r w:rsidRPr="009A45F3">
              <w:rPr>
                <w:rFonts w:cs="Arial"/>
                <w:sz w:val="18"/>
              </w:rPr>
              <w:t>21</w:t>
            </w:r>
          </w:p>
        </w:tc>
      </w:tr>
      <w:tr w:rsidR="00DD615E" w:rsidRPr="009A45F3" w14:paraId="733E84E2" w14:textId="77777777" w:rsidTr="008E2457">
        <w:tc>
          <w:tcPr>
            <w:tcW w:w="0" w:type="auto"/>
          </w:tcPr>
          <w:p w14:paraId="5658D539" w14:textId="77777777" w:rsidR="00DD615E" w:rsidRPr="009A45F3" w:rsidRDefault="00DD615E" w:rsidP="009A45F3">
            <w:pPr>
              <w:spacing w:before="40" w:after="40"/>
              <w:rPr>
                <w:rFonts w:cs="Arial"/>
                <w:sz w:val="18"/>
              </w:rPr>
            </w:pPr>
          </w:p>
        </w:tc>
        <w:tc>
          <w:tcPr>
            <w:tcW w:w="0" w:type="auto"/>
          </w:tcPr>
          <w:p w14:paraId="28F8DC1A" w14:textId="77777777" w:rsidR="00DD615E" w:rsidRPr="009A45F3" w:rsidRDefault="00DD615E" w:rsidP="009A45F3">
            <w:pPr>
              <w:spacing w:before="40" w:after="40"/>
              <w:rPr>
                <w:rFonts w:cs="Arial"/>
                <w:sz w:val="18"/>
              </w:rPr>
            </w:pPr>
          </w:p>
        </w:tc>
        <w:tc>
          <w:tcPr>
            <w:tcW w:w="0" w:type="auto"/>
            <w:gridSpan w:val="4"/>
          </w:tcPr>
          <w:p w14:paraId="6E20969A" w14:textId="77777777" w:rsidR="00DD615E" w:rsidRPr="009A45F3" w:rsidRDefault="00DD615E" w:rsidP="009A45F3">
            <w:pPr>
              <w:spacing w:before="40" w:after="40"/>
              <w:rPr>
                <w:rFonts w:cs="Arial"/>
                <w:sz w:val="18"/>
              </w:rPr>
            </w:pPr>
          </w:p>
        </w:tc>
      </w:tr>
      <w:tr w:rsidR="006D3E4A" w:rsidRPr="009A45F3" w14:paraId="77DD2A3F" w14:textId="77777777" w:rsidTr="008E2457">
        <w:tc>
          <w:tcPr>
            <w:tcW w:w="0" w:type="auto"/>
            <w:shd w:val="clear" w:color="auto" w:fill="E2EFD9" w:themeFill="accent6" w:themeFillTint="33"/>
          </w:tcPr>
          <w:p w14:paraId="653970E8" w14:textId="77777777" w:rsidR="006D3E4A" w:rsidRPr="009A45F3" w:rsidRDefault="006D3E4A" w:rsidP="009A45F3">
            <w:pPr>
              <w:spacing w:before="40" w:after="40"/>
              <w:rPr>
                <w:rFonts w:cs="Arial"/>
                <w:sz w:val="18"/>
              </w:rPr>
            </w:pPr>
            <w:r w:rsidRPr="009A45F3">
              <w:rPr>
                <w:rFonts w:cs="Arial"/>
                <w:sz w:val="18"/>
              </w:rPr>
              <w:t>6.</w:t>
            </w:r>
          </w:p>
        </w:tc>
        <w:tc>
          <w:tcPr>
            <w:tcW w:w="0" w:type="auto"/>
            <w:shd w:val="clear" w:color="auto" w:fill="E2EFD9" w:themeFill="accent6" w:themeFillTint="33"/>
          </w:tcPr>
          <w:p w14:paraId="67AD590F" w14:textId="77777777" w:rsidR="006D3E4A" w:rsidRPr="00612EC9" w:rsidRDefault="006D3E4A" w:rsidP="009A45F3">
            <w:pPr>
              <w:spacing w:before="40" w:after="40"/>
              <w:rPr>
                <w:rFonts w:cs="Arial"/>
                <w:b/>
                <w:sz w:val="18"/>
              </w:rPr>
            </w:pPr>
            <w:r w:rsidRPr="00612EC9">
              <w:rPr>
                <w:rFonts w:cs="Arial"/>
                <w:b/>
                <w:sz w:val="18"/>
              </w:rPr>
              <w:t>Experience working at APTC (open-ended)</w:t>
            </w:r>
          </w:p>
        </w:tc>
        <w:tc>
          <w:tcPr>
            <w:tcW w:w="0" w:type="auto"/>
            <w:gridSpan w:val="4"/>
            <w:shd w:val="clear" w:color="auto" w:fill="E2EFD9" w:themeFill="accent6" w:themeFillTint="33"/>
          </w:tcPr>
          <w:p w14:paraId="003E7A0E" w14:textId="77777777" w:rsidR="006D3E4A" w:rsidRPr="009A45F3" w:rsidRDefault="006D3E4A" w:rsidP="009A45F3">
            <w:pPr>
              <w:spacing w:before="40" w:after="40"/>
              <w:rPr>
                <w:rFonts w:cs="Arial"/>
                <w:sz w:val="18"/>
              </w:rPr>
            </w:pPr>
          </w:p>
        </w:tc>
      </w:tr>
      <w:tr w:rsidR="006D3E4A" w:rsidRPr="009A45F3" w14:paraId="4BFBBAB4" w14:textId="77777777" w:rsidTr="008E2457">
        <w:tc>
          <w:tcPr>
            <w:tcW w:w="0" w:type="auto"/>
          </w:tcPr>
          <w:p w14:paraId="7AAAB7CF" w14:textId="77777777" w:rsidR="006D3E4A" w:rsidRPr="009A45F3" w:rsidRDefault="006D3E4A" w:rsidP="009A45F3">
            <w:pPr>
              <w:spacing w:before="40" w:after="40"/>
              <w:rPr>
                <w:rFonts w:cs="Arial"/>
                <w:sz w:val="18"/>
              </w:rPr>
            </w:pPr>
          </w:p>
        </w:tc>
        <w:tc>
          <w:tcPr>
            <w:tcW w:w="0" w:type="auto"/>
          </w:tcPr>
          <w:p w14:paraId="025A7145" w14:textId="77777777" w:rsidR="006D3E4A" w:rsidRPr="009A45F3" w:rsidRDefault="006D3E4A" w:rsidP="000668BA">
            <w:pPr>
              <w:numPr>
                <w:ilvl w:val="0"/>
                <w:numId w:val="52"/>
              </w:numPr>
              <w:spacing w:before="40" w:after="40"/>
              <w:contextualSpacing/>
              <w:rPr>
                <w:rFonts w:cs="Arial"/>
                <w:sz w:val="18"/>
              </w:rPr>
            </w:pPr>
            <w:r w:rsidRPr="009A45F3">
              <w:rPr>
                <w:rFonts w:cs="Arial"/>
                <w:sz w:val="18"/>
              </w:rPr>
              <w:t>Positive or very positive</w:t>
            </w:r>
          </w:p>
        </w:tc>
        <w:tc>
          <w:tcPr>
            <w:tcW w:w="0" w:type="auto"/>
            <w:gridSpan w:val="4"/>
            <w:vAlign w:val="center"/>
          </w:tcPr>
          <w:p w14:paraId="62B81B49" w14:textId="77777777" w:rsidR="006D3E4A" w:rsidRPr="009A45F3" w:rsidRDefault="006D3E4A" w:rsidP="00612EC9">
            <w:pPr>
              <w:spacing w:before="40" w:after="40"/>
              <w:jc w:val="center"/>
              <w:rPr>
                <w:rFonts w:cs="Arial"/>
                <w:sz w:val="18"/>
              </w:rPr>
            </w:pPr>
            <w:r w:rsidRPr="009A45F3">
              <w:rPr>
                <w:rFonts w:cs="Arial"/>
                <w:sz w:val="18"/>
              </w:rPr>
              <w:t>31</w:t>
            </w:r>
          </w:p>
        </w:tc>
      </w:tr>
      <w:tr w:rsidR="006D3E4A" w:rsidRPr="009A45F3" w14:paraId="570B1442" w14:textId="77777777" w:rsidTr="008E2457">
        <w:tc>
          <w:tcPr>
            <w:tcW w:w="0" w:type="auto"/>
          </w:tcPr>
          <w:p w14:paraId="13366D8D" w14:textId="77777777" w:rsidR="006D3E4A" w:rsidRPr="009A45F3" w:rsidRDefault="006D3E4A" w:rsidP="009A45F3">
            <w:pPr>
              <w:spacing w:before="40" w:after="40"/>
              <w:rPr>
                <w:rFonts w:cs="Arial"/>
                <w:sz w:val="18"/>
              </w:rPr>
            </w:pPr>
          </w:p>
        </w:tc>
        <w:tc>
          <w:tcPr>
            <w:tcW w:w="0" w:type="auto"/>
          </w:tcPr>
          <w:p w14:paraId="2A156BC0" w14:textId="77777777" w:rsidR="006D3E4A" w:rsidRPr="009A45F3" w:rsidRDefault="006D3E4A" w:rsidP="000668BA">
            <w:pPr>
              <w:numPr>
                <w:ilvl w:val="0"/>
                <w:numId w:val="52"/>
              </w:numPr>
              <w:spacing w:before="40" w:after="40"/>
              <w:contextualSpacing/>
              <w:rPr>
                <w:rFonts w:cs="Arial"/>
                <w:sz w:val="18"/>
              </w:rPr>
            </w:pPr>
            <w:r w:rsidRPr="009A45F3">
              <w:rPr>
                <w:rFonts w:cs="Arial"/>
                <w:sz w:val="18"/>
              </w:rPr>
              <w:t>Mixed</w:t>
            </w:r>
          </w:p>
        </w:tc>
        <w:tc>
          <w:tcPr>
            <w:tcW w:w="0" w:type="auto"/>
            <w:gridSpan w:val="4"/>
            <w:vAlign w:val="center"/>
          </w:tcPr>
          <w:p w14:paraId="12D38111" w14:textId="77777777" w:rsidR="006D3E4A" w:rsidRPr="009A45F3" w:rsidRDefault="006D3E4A" w:rsidP="00612EC9">
            <w:pPr>
              <w:spacing w:before="40" w:after="40"/>
              <w:jc w:val="center"/>
              <w:rPr>
                <w:rFonts w:cs="Arial"/>
                <w:sz w:val="18"/>
              </w:rPr>
            </w:pPr>
            <w:r w:rsidRPr="009A45F3">
              <w:rPr>
                <w:rFonts w:cs="Arial"/>
                <w:sz w:val="18"/>
              </w:rPr>
              <w:t>11</w:t>
            </w:r>
          </w:p>
        </w:tc>
      </w:tr>
      <w:tr w:rsidR="006D3E4A" w:rsidRPr="009A45F3" w14:paraId="52EFAAB6" w14:textId="77777777" w:rsidTr="008E2457">
        <w:tc>
          <w:tcPr>
            <w:tcW w:w="0" w:type="auto"/>
          </w:tcPr>
          <w:p w14:paraId="5F1512D3" w14:textId="77777777" w:rsidR="006D3E4A" w:rsidRPr="009A45F3" w:rsidRDefault="006D3E4A" w:rsidP="009A45F3">
            <w:pPr>
              <w:spacing w:before="40" w:after="40"/>
              <w:rPr>
                <w:rFonts w:cs="Arial"/>
                <w:sz w:val="18"/>
              </w:rPr>
            </w:pPr>
          </w:p>
        </w:tc>
        <w:tc>
          <w:tcPr>
            <w:tcW w:w="0" w:type="auto"/>
          </w:tcPr>
          <w:p w14:paraId="4680033E" w14:textId="77777777" w:rsidR="006D3E4A" w:rsidRPr="009A45F3" w:rsidRDefault="006D3E4A" w:rsidP="000668BA">
            <w:pPr>
              <w:numPr>
                <w:ilvl w:val="0"/>
                <w:numId w:val="52"/>
              </w:numPr>
              <w:spacing w:before="40" w:after="40"/>
              <w:contextualSpacing/>
              <w:rPr>
                <w:rFonts w:cs="Arial"/>
                <w:sz w:val="18"/>
              </w:rPr>
            </w:pPr>
            <w:r w:rsidRPr="009A45F3">
              <w:rPr>
                <w:rFonts w:cs="Arial"/>
                <w:sz w:val="18"/>
              </w:rPr>
              <w:t xml:space="preserve">Negative or very negative </w:t>
            </w:r>
          </w:p>
        </w:tc>
        <w:tc>
          <w:tcPr>
            <w:tcW w:w="0" w:type="auto"/>
            <w:gridSpan w:val="4"/>
            <w:vAlign w:val="center"/>
          </w:tcPr>
          <w:p w14:paraId="38092C27" w14:textId="77777777" w:rsidR="006D3E4A" w:rsidRPr="009A45F3" w:rsidRDefault="006D3E4A" w:rsidP="00612EC9">
            <w:pPr>
              <w:spacing w:before="40" w:after="40"/>
              <w:jc w:val="center"/>
              <w:rPr>
                <w:rFonts w:cs="Arial"/>
                <w:sz w:val="18"/>
              </w:rPr>
            </w:pPr>
            <w:r w:rsidRPr="009A45F3">
              <w:rPr>
                <w:rFonts w:cs="Arial"/>
                <w:sz w:val="18"/>
              </w:rPr>
              <w:t>2</w:t>
            </w:r>
          </w:p>
        </w:tc>
      </w:tr>
      <w:tr w:rsidR="006D3E4A" w:rsidRPr="009A45F3" w14:paraId="129F2819" w14:textId="77777777" w:rsidTr="008E2457">
        <w:tc>
          <w:tcPr>
            <w:tcW w:w="0" w:type="auto"/>
          </w:tcPr>
          <w:p w14:paraId="4F74DA17" w14:textId="77777777" w:rsidR="006D3E4A" w:rsidRPr="009A45F3" w:rsidRDefault="006D3E4A" w:rsidP="009A45F3">
            <w:pPr>
              <w:spacing w:before="40" w:after="40"/>
              <w:rPr>
                <w:rFonts w:cs="Arial"/>
                <w:sz w:val="18"/>
              </w:rPr>
            </w:pPr>
          </w:p>
        </w:tc>
        <w:tc>
          <w:tcPr>
            <w:tcW w:w="0" w:type="auto"/>
          </w:tcPr>
          <w:p w14:paraId="50DF7341" w14:textId="77777777" w:rsidR="006D3E4A" w:rsidRPr="009A45F3" w:rsidRDefault="006D3E4A" w:rsidP="000668BA">
            <w:pPr>
              <w:numPr>
                <w:ilvl w:val="0"/>
                <w:numId w:val="52"/>
              </w:numPr>
              <w:spacing w:before="40" w:after="40"/>
              <w:contextualSpacing/>
              <w:rPr>
                <w:rFonts w:cs="Arial"/>
                <w:sz w:val="18"/>
              </w:rPr>
            </w:pPr>
            <w:r w:rsidRPr="009A45F3">
              <w:rPr>
                <w:rFonts w:cs="Arial"/>
                <w:sz w:val="18"/>
              </w:rPr>
              <w:t>Neutral</w:t>
            </w:r>
          </w:p>
        </w:tc>
        <w:tc>
          <w:tcPr>
            <w:tcW w:w="0" w:type="auto"/>
            <w:gridSpan w:val="4"/>
            <w:vAlign w:val="center"/>
          </w:tcPr>
          <w:p w14:paraId="275568B8" w14:textId="77777777" w:rsidR="006D3E4A" w:rsidRPr="009A45F3" w:rsidRDefault="006D3E4A" w:rsidP="00612EC9">
            <w:pPr>
              <w:spacing w:before="40" w:after="40"/>
              <w:jc w:val="center"/>
              <w:rPr>
                <w:rFonts w:cs="Arial"/>
                <w:sz w:val="18"/>
              </w:rPr>
            </w:pPr>
            <w:r w:rsidRPr="009A45F3">
              <w:rPr>
                <w:rFonts w:cs="Arial"/>
                <w:sz w:val="18"/>
              </w:rPr>
              <w:t>2</w:t>
            </w:r>
          </w:p>
        </w:tc>
      </w:tr>
      <w:tr w:rsidR="00612EC9" w:rsidRPr="009A45F3" w14:paraId="2A19E1A3" w14:textId="77777777" w:rsidTr="008E2457">
        <w:tc>
          <w:tcPr>
            <w:tcW w:w="0" w:type="auto"/>
          </w:tcPr>
          <w:p w14:paraId="749AA908" w14:textId="77777777" w:rsidR="00612EC9" w:rsidRPr="009A45F3" w:rsidRDefault="00612EC9" w:rsidP="009A45F3">
            <w:pPr>
              <w:spacing w:before="40" w:after="40"/>
              <w:rPr>
                <w:rFonts w:cs="Arial"/>
                <w:sz w:val="18"/>
              </w:rPr>
            </w:pPr>
          </w:p>
        </w:tc>
        <w:tc>
          <w:tcPr>
            <w:tcW w:w="0" w:type="auto"/>
          </w:tcPr>
          <w:p w14:paraId="6C5382FA" w14:textId="77777777" w:rsidR="00612EC9" w:rsidRPr="009A45F3" w:rsidRDefault="00612EC9" w:rsidP="00612EC9">
            <w:pPr>
              <w:spacing w:before="40" w:after="40"/>
              <w:ind w:left="720"/>
              <w:contextualSpacing/>
              <w:rPr>
                <w:rFonts w:cs="Arial"/>
                <w:sz w:val="18"/>
              </w:rPr>
            </w:pPr>
          </w:p>
        </w:tc>
        <w:tc>
          <w:tcPr>
            <w:tcW w:w="0" w:type="auto"/>
            <w:gridSpan w:val="4"/>
            <w:vAlign w:val="center"/>
          </w:tcPr>
          <w:p w14:paraId="5AD4A063" w14:textId="77777777" w:rsidR="00612EC9" w:rsidRPr="009A45F3" w:rsidRDefault="00612EC9" w:rsidP="00612EC9">
            <w:pPr>
              <w:spacing w:before="40" w:after="40"/>
              <w:jc w:val="center"/>
              <w:rPr>
                <w:rFonts w:cs="Arial"/>
                <w:sz w:val="18"/>
              </w:rPr>
            </w:pPr>
          </w:p>
        </w:tc>
      </w:tr>
      <w:tr w:rsidR="00612EC9" w:rsidRPr="009A45F3" w14:paraId="5E564472" w14:textId="77777777" w:rsidTr="008E2457">
        <w:tc>
          <w:tcPr>
            <w:tcW w:w="0" w:type="auto"/>
            <w:shd w:val="clear" w:color="auto" w:fill="E2EFD9" w:themeFill="accent6" w:themeFillTint="33"/>
          </w:tcPr>
          <w:p w14:paraId="7ED204F8" w14:textId="77777777" w:rsidR="00612EC9" w:rsidRPr="009A45F3" w:rsidRDefault="00612EC9" w:rsidP="009A45F3">
            <w:pPr>
              <w:spacing w:before="40" w:after="40"/>
              <w:rPr>
                <w:rFonts w:cs="Arial"/>
                <w:sz w:val="18"/>
              </w:rPr>
            </w:pPr>
            <w:r w:rsidRPr="009A45F3">
              <w:rPr>
                <w:rFonts w:cs="Arial"/>
                <w:sz w:val="18"/>
              </w:rPr>
              <w:t>7.</w:t>
            </w:r>
          </w:p>
        </w:tc>
        <w:tc>
          <w:tcPr>
            <w:tcW w:w="0" w:type="auto"/>
            <w:gridSpan w:val="5"/>
            <w:shd w:val="clear" w:color="auto" w:fill="E2EFD9" w:themeFill="accent6" w:themeFillTint="33"/>
          </w:tcPr>
          <w:p w14:paraId="0A9A5908" w14:textId="26F2D273" w:rsidR="00612EC9" w:rsidRPr="009A45F3" w:rsidRDefault="00612EC9" w:rsidP="009A45F3">
            <w:pPr>
              <w:spacing w:before="40" w:after="40"/>
              <w:rPr>
                <w:rFonts w:cs="Arial"/>
                <w:sz w:val="18"/>
              </w:rPr>
            </w:pPr>
            <w:r w:rsidRPr="00612EC9">
              <w:rPr>
                <w:rFonts w:cs="Arial"/>
                <w:b/>
                <w:sz w:val="18"/>
              </w:rPr>
              <w:t>Main reasons for mixed or negative response</w:t>
            </w:r>
          </w:p>
        </w:tc>
      </w:tr>
      <w:tr w:rsidR="006D3E4A" w:rsidRPr="009A45F3" w14:paraId="2518DD0D" w14:textId="77777777" w:rsidTr="008E2457">
        <w:tc>
          <w:tcPr>
            <w:tcW w:w="0" w:type="auto"/>
          </w:tcPr>
          <w:p w14:paraId="2E8CC0A0" w14:textId="77777777" w:rsidR="006D3E4A" w:rsidRPr="009A45F3" w:rsidRDefault="006D3E4A" w:rsidP="009A45F3">
            <w:pPr>
              <w:spacing w:before="40" w:after="40"/>
              <w:rPr>
                <w:rFonts w:cs="Arial"/>
                <w:sz w:val="18"/>
              </w:rPr>
            </w:pPr>
          </w:p>
        </w:tc>
        <w:tc>
          <w:tcPr>
            <w:tcW w:w="0" w:type="auto"/>
            <w:gridSpan w:val="5"/>
          </w:tcPr>
          <w:p w14:paraId="68C69396" w14:textId="77777777" w:rsidR="006D3E4A" w:rsidRPr="009A45F3" w:rsidRDefault="006D3E4A" w:rsidP="000668BA">
            <w:pPr>
              <w:numPr>
                <w:ilvl w:val="0"/>
                <w:numId w:val="52"/>
              </w:numPr>
              <w:spacing w:before="40" w:after="40"/>
              <w:contextualSpacing/>
              <w:rPr>
                <w:rFonts w:cs="Arial"/>
                <w:sz w:val="18"/>
              </w:rPr>
            </w:pPr>
            <w:r w:rsidRPr="009A45F3">
              <w:rPr>
                <w:rFonts w:cs="Arial"/>
                <w:sz w:val="18"/>
              </w:rPr>
              <w:t>Requests for more professional development and better career paths</w:t>
            </w:r>
          </w:p>
        </w:tc>
      </w:tr>
      <w:tr w:rsidR="006D3E4A" w:rsidRPr="009A45F3" w14:paraId="11374782" w14:textId="77777777" w:rsidTr="008E2457">
        <w:tc>
          <w:tcPr>
            <w:tcW w:w="0" w:type="auto"/>
          </w:tcPr>
          <w:p w14:paraId="45E5035B" w14:textId="77777777" w:rsidR="006D3E4A" w:rsidRPr="009A45F3" w:rsidRDefault="006D3E4A" w:rsidP="009A45F3">
            <w:pPr>
              <w:spacing w:before="40" w:after="40"/>
              <w:rPr>
                <w:rFonts w:cs="Arial"/>
                <w:sz w:val="18"/>
              </w:rPr>
            </w:pPr>
          </w:p>
        </w:tc>
        <w:tc>
          <w:tcPr>
            <w:tcW w:w="0" w:type="auto"/>
            <w:gridSpan w:val="5"/>
          </w:tcPr>
          <w:p w14:paraId="7DBE8668" w14:textId="77777777" w:rsidR="006D3E4A" w:rsidRPr="009A45F3" w:rsidRDefault="006D3E4A" w:rsidP="000668BA">
            <w:pPr>
              <w:numPr>
                <w:ilvl w:val="0"/>
                <w:numId w:val="52"/>
              </w:numPr>
              <w:spacing w:before="40" w:after="40"/>
              <w:contextualSpacing/>
              <w:rPr>
                <w:rFonts w:cs="Arial"/>
                <w:sz w:val="18"/>
              </w:rPr>
            </w:pPr>
            <w:r w:rsidRPr="009A45F3">
              <w:rPr>
                <w:rFonts w:cs="Arial"/>
                <w:sz w:val="18"/>
              </w:rPr>
              <w:t>Levels of remuneration</w:t>
            </w:r>
          </w:p>
        </w:tc>
      </w:tr>
      <w:tr w:rsidR="006D3E4A" w:rsidRPr="009A45F3" w14:paraId="29A1FCD6" w14:textId="77777777" w:rsidTr="008E2457">
        <w:tc>
          <w:tcPr>
            <w:tcW w:w="0" w:type="auto"/>
            <w:tcBorders>
              <w:bottom w:val="single" w:sz="4" w:space="0" w:color="A8D08D" w:themeColor="accent6" w:themeTint="99"/>
            </w:tcBorders>
          </w:tcPr>
          <w:p w14:paraId="10BF064B" w14:textId="77777777" w:rsidR="006D3E4A" w:rsidRPr="009A45F3" w:rsidRDefault="006D3E4A" w:rsidP="009A45F3">
            <w:pPr>
              <w:spacing w:before="40" w:after="40"/>
              <w:rPr>
                <w:rFonts w:cs="Arial"/>
                <w:sz w:val="18"/>
              </w:rPr>
            </w:pPr>
          </w:p>
        </w:tc>
        <w:tc>
          <w:tcPr>
            <w:tcW w:w="0" w:type="auto"/>
            <w:gridSpan w:val="5"/>
            <w:tcBorders>
              <w:bottom w:val="single" w:sz="4" w:space="0" w:color="A8D08D" w:themeColor="accent6" w:themeTint="99"/>
            </w:tcBorders>
          </w:tcPr>
          <w:p w14:paraId="0B612A57" w14:textId="77777777" w:rsidR="006D3E4A" w:rsidRPr="009A45F3" w:rsidRDefault="006D3E4A" w:rsidP="000668BA">
            <w:pPr>
              <w:numPr>
                <w:ilvl w:val="0"/>
                <w:numId w:val="52"/>
              </w:numPr>
              <w:spacing w:before="40" w:after="40"/>
              <w:contextualSpacing/>
              <w:rPr>
                <w:rFonts w:cs="Arial"/>
                <w:sz w:val="18"/>
              </w:rPr>
            </w:pPr>
            <w:r w:rsidRPr="009A45F3">
              <w:rPr>
                <w:rFonts w:cs="Arial"/>
                <w:sz w:val="18"/>
              </w:rPr>
              <w:t>Comparisons with expatriate and trainer/tutor terms and conditions.</w:t>
            </w:r>
          </w:p>
        </w:tc>
      </w:tr>
    </w:tbl>
    <w:p w14:paraId="466D5E2E" w14:textId="77777777" w:rsidR="006D3E4A" w:rsidRPr="00A675A0" w:rsidRDefault="006D3E4A" w:rsidP="006D3E4A">
      <w:pPr>
        <w:rPr>
          <w:rFonts w:cs="Arial"/>
        </w:rPr>
      </w:pPr>
    </w:p>
    <w:p w14:paraId="60AAD5D3" w14:textId="77777777" w:rsidR="008E2457" w:rsidRDefault="008E2457">
      <w:pPr>
        <w:spacing w:after="0"/>
        <w:rPr>
          <w:rFonts w:cs="Arial"/>
          <w:b/>
          <w:bCs/>
          <w:color w:val="76923C"/>
          <w:szCs w:val="28"/>
        </w:rPr>
      </w:pPr>
      <w:bookmarkStart w:id="596" w:name="_Toc274909880"/>
      <w:bookmarkStart w:id="597" w:name="_Toc278447896"/>
      <w:bookmarkStart w:id="598" w:name="_Toc278453369"/>
      <w:r>
        <w:br w:type="page"/>
      </w:r>
    </w:p>
    <w:p w14:paraId="6CC2ECA4" w14:textId="6885661A" w:rsidR="006D3E4A" w:rsidRPr="00A675A0" w:rsidRDefault="002876A0" w:rsidP="008C0E56">
      <w:pPr>
        <w:pStyle w:val="Heading2"/>
      </w:pPr>
      <w:r>
        <w:t>5.2</w:t>
      </w:r>
      <w:r w:rsidR="00124992">
        <w:tab/>
      </w:r>
      <w:r w:rsidR="006D3E4A" w:rsidRPr="00A675A0">
        <w:t>Concluding comments on trainers, tutors and administrative staff</w:t>
      </w:r>
      <w:bookmarkEnd w:id="596"/>
      <w:bookmarkEnd w:id="597"/>
      <w:bookmarkEnd w:id="598"/>
    </w:p>
    <w:p w14:paraId="0CFD38EE" w14:textId="77777777" w:rsidR="00842952" w:rsidRDefault="006D3E4A" w:rsidP="006D3E4A">
      <w:pPr>
        <w:rPr>
          <w:rFonts w:cs="Arial"/>
        </w:rPr>
      </w:pPr>
      <w:r w:rsidRPr="00A675A0">
        <w:rPr>
          <w:rFonts w:cs="Arial"/>
        </w:rPr>
        <w:t xml:space="preserve">While the analysis above demonstrates that trainers, tutors and administrative staff at APTC all face considerable challenges in their work, their responses to the survey forms were overwhelmingly thoughtful and constructive, revealing a concern to maximise APTC’s potential to deliver vocational education and training in the Pacific. </w:t>
      </w:r>
    </w:p>
    <w:p w14:paraId="170DF38C" w14:textId="77777777" w:rsidR="00842952" w:rsidRPr="00A814C0" w:rsidRDefault="00842952" w:rsidP="006D3E4A">
      <w:pPr>
        <w:rPr>
          <w:rFonts w:cs="Arial"/>
          <w:sz w:val="8"/>
        </w:rPr>
      </w:pPr>
    </w:p>
    <w:p w14:paraId="0DED5073" w14:textId="6361CB95" w:rsidR="00842952" w:rsidRPr="00C87E1F" w:rsidRDefault="002876A0" w:rsidP="002028A6">
      <w:pPr>
        <w:pStyle w:val="Heading1"/>
      </w:pPr>
      <w:bookmarkStart w:id="599" w:name="_Toc278447897"/>
      <w:bookmarkStart w:id="600" w:name="_Toc278453370"/>
      <w:r>
        <w:t xml:space="preserve">6 </w:t>
      </w:r>
      <w:r w:rsidR="00722F40">
        <w:tab/>
      </w:r>
      <w:r w:rsidR="00842952" w:rsidRPr="00EB1F4C">
        <w:t xml:space="preserve">Industry </w:t>
      </w:r>
      <w:r w:rsidR="009026A9">
        <w:t>e</w:t>
      </w:r>
      <w:r w:rsidR="00842952" w:rsidRPr="00EB1F4C">
        <w:t xml:space="preserve">ngagement </w:t>
      </w:r>
      <w:r w:rsidR="00842952">
        <w:t xml:space="preserve">at APTC </w:t>
      </w:r>
      <w:r w:rsidR="009026A9">
        <w:t>–</w:t>
      </w:r>
      <w:r w:rsidR="00842952">
        <w:t xml:space="preserve"> </w:t>
      </w:r>
      <w:r w:rsidR="009026A9">
        <w:t>a</w:t>
      </w:r>
      <w:r w:rsidR="00842952" w:rsidRPr="00EB1F4C">
        <w:t xml:space="preserve">nalysis </w:t>
      </w:r>
      <w:r w:rsidR="00842952">
        <w:t>o</w:t>
      </w:r>
      <w:r w:rsidR="00842952" w:rsidRPr="00EB1F4C">
        <w:t xml:space="preserve">f </w:t>
      </w:r>
      <w:r w:rsidR="009026A9">
        <w:t>q</w:t>
      </w:r>
      <w:r w:rsidR="00842952" w:rsidRPr="00EB1F4C">
        <w:t xml:space="preserve">uestionnaires </w:t>
      </w:r>
      <w:r w:rsidR="009026A9">
        <w:t>c</w:t>
      </w:r>
      <w:r w:rsidR="00842952" w:rsidRPr="00EB1F4C">
        <w:t>ompleted</w:t>
      </w:r>
      <w:r w:rsidR="00842952">
        <w:t xml:space="preserve"> b</w:t>
      </w:r>
      <w:r w:rsidR="00842952" w:rsidRPr="00EB1F4C">
        <w:t xml:space="preserve">y </w:t>
      </w:r>
      <w:r w:rsidR="009026A9">
        <w:t>c</w:t>
      </w:r>
      <w:r w:rsidR="00842952" w:rsidRPr="00EB1F4C">
        <w:t xml:space="preserve">ountry </w:t>
      </w:r>
      <w:r w:rsidR="009026A9">
        <w:t>m</w:t>
      </w:r>
      <w:r w:rsidR="00842952" w:rsidRPr="00EB1F4C">
        <w:t>anagers</w:t>
      </w:r>
      <w:bookmarkEnd w:id="599"/>
      <w:bookmarkEnd w:id="600"/>
    </w:p>
    <w:p w14:paraId="6433F1D7" w14:textId="39CBF390" w:rsidR="00842952" w:rsidRPr="00950268" w:rsidRDefault="002876A0" w:rsidP="00722F40">
      <w:pPr>
        <w:pStyle w:val="Heading2"/>
      </w:pPr>
      <w:bookmarkStart w:id="601" w:name="_Toc274909882"/>
      <w:bookmarkStart w:id="602" w:name="_Toc278447898"/>
      <w:bookmarkStart w:id="603" w:name="_Toc278453371"/>
      <w:r>
        <w:t xml:space="preserve">6.1 </w:t>
      </w:r>
      <w:r w:rsidR="00722F40">
        <w:tab/>
      </w:r>
      <w:r w:rsidR="00842952" w:rsidRPr="00950268">
        <w:t>Overview</w:t>
      </w:r>
      <w:bookmarkEnd w:id="601"/>
      <w:bookmarkEnd w:id="602"/>
      <w:bookmarkEnd w:id="603"/>
    </w:p>
    <w:p w14:paraId="37D1A96F" w14:textId="7B7AF098" w:rsidR="00842952" w:rsidRPr="00C87E1F" w:rsidRDefault="00842952" w:rsidP="00950268">
      <w:pPr>
        <w:rPr>
          <w:rFonts w:cs="Arial"/>
        </w:rPr>
      </w:pPr>
      <w:r w:rsidRPr="00C87E1F">
        <w:rPr>
          <w:rFonts w:cs="Arial"/>
          <w:bCs/>
          <w:color w:val="000000" w:themeColor="text1"/>
        </w:rPr>
        <w:t xml:space="preserve">The survey </w:t>
      </w:r>
      <w:r>
        <w:rPr>
          <w:rFonts w:cs="Arial"/>
          <w:bCs/>
          <w:color w:val="000000" w:themeColor="text1"/>
        </w:rPr>
        <w:t xml:space="preserve">on industry engagement contained </w:t>
      </w:r>
      <w:r w:rsidRPr="00C87E1F">
        <w:rPr>
          <w:rFonts w:cs="Arial"/>
        </w:rPr>
        <w:t>21 questions relating to the diverse forms of industry engagement practised by a typical TVET provider in Australia. These forms of industry engagement assume a demand-driven</w:t>
      </w:r>
      <w:r w:rsidR="00BF1345">
        <w:rPr>
          <w:rFonts w:cs="Arial"/>
        </w:rPr>
        <w:t>,</w:t>
      </w:r>
      <w:r w:rsidRPr="00C87E1F">
        <w:rPr>
          <w:rFonts w:cs="Arial"/>
        </w:rPr>
        <w:t xml:space="preserve"> industry-led TVET system like Australia and so test the progress APTC has made in this regard. There are variations between countries, particularly the Solomon Is</w:t>
      </w:r>
      <w:r w:rsidR="009026A9">
        <w:rPr>
          <w:rFonts w:cs="Arial"/>
        </w:rPr>
        <w:t>lands</w:t>
      </w:r>
      <w:r w:rsidRPr="00C87E1F">
        <w:rPr>
          <w:rFonts w:cs="Arial"/>
        </w:rPr>
        <w:t xml:space="preserve"> where the partnership is relatively new.</w:t>
      </w:r>
    </w:p>
    <w:p w14:paraId="015DE97C" w14:textId="77777777" w:rsidR="00842952" w:rsidRPr="00C87E1F" w:rsidRDefault="00842952" w:rsidP="00842952">
      <w:pPr>
        <w:rPr>
          <w:rFonts w:cs="Arial"/>
        </w:rPr>
      </w:pPr>
      <w:r w:rsidRPr="00C87E1F">
        <w:rPr>
          <w:rFonts w:cs="Arial"/>
        </w:rPr>
        <w:t>Salient features from the results of the questionnaire are as follows:</w:t>
      </w:r>
    </w:p>
    <w:p w14:paraId="0AD2EB94" w14:textId="33734BEC" w:rsidR="00842952" w:rsidRDefault="009026A9" w:rsidP="00260880">
      <w:pPr>
        <w:numPr>
          <w:ilvl w:val="0"/>
          <w:numId w:val="25"/>
        </w:numPr>
        <w:rPr>
          <w:rFonts w:cs="Arial"/>
          <w:lang w:val="en-GB"/>
        </w:rPr>
      </w:pPr>
      <w:r>
        <w:rPr>
          <w:rFonts w:cs="Arial"/>
          <w:lang w:val="en-GB"/>
        </w:rPr>
        <w:t>o</w:t>
      </w:r>
      <w:r w:rsidR="00842952">
        <w:rPr>
          <w:rFonts w:cs="Arial"/>
          <w:lang w:val="en-GB"/>
        </w:rPr>
        <w:t>f the 21 forms of industry engagement listed</w:t>
      </w:r>
      <w:r w:rsidR="00D43B9E">
        <w:rPr>
          <w:rFonts w:cs="Arial"/>
          <w:lang w:val="en-GB"/>
        </w:rPr>
        <w:t>,</w:t>
      </w:r>
      <w:r w:rsidR="00842952">
        <w:rPr>
          <w:rFonts w:cs="Arial"/>
          <w:lang w:val="en-GB"/>
        </w:rPr>
        <w:t xml:space="preserve"> only one </w:t>
      </w:r>
      <w:r w:rsidR="00BF1345">
        <w:rPr>
          <w:rFonts w:cs="Arial"/>
          <w:lang w:val="en-GB"/>
        </w:rPr>
        <w:t>had</w:t>
      </w:r>
      <w:r w:rsidR="00842952">
        <w:rPr>
          <w:rFonts w:cs="Arial"/>
          <w:lang w:val="en-GB"/>
        </w:rPr>
        <w:t xml:space="preserve"> no APTC involvement, namely employer/industry involvement in the selection of staff</w:t>
      </w:r>
      <w:r w:rsidR="00D43B9E">
        <w:rPr>
          <w:rFonts w:cs="Arial"/>
          <w:lang w:val="en-GB"/>
        </w:rPr>
        <w:t>;</w:t>
      </w:r>
      <w:r w:rsidR="00842952">
        <w:rPr>
          <w:rFonts w:cs="Arial"/>
          <w:lang w:val="en-GB"/>
        </w:rPr>
        <w:t xml:space="preserve"> </w:t>
      </w:r>
      <w:r w:rsidR="00D43B9E">
        <w:rPr>
          <w:rFonts w:cs="Arial"/>
          <w:lang w:val="en-GB"/>
        </w:rPr>
        <w:t>t</w:t>
      </w:r>
      <w:r w:rsidR="00842952">
        <w:rPr>
          <w:rFonts w:cs="Arial"/>
          <w:lang w:val="en-GB"/>
        </w:rPr>
        <w:t>his may change as more national staff are employed</w:t>
      </w:r>
    </w:p>
    <w:p w14:paraId="58A442B7" w14:textId="5CA72A38" w:rsidR="00842952" w:rsidRPr="00C87E1F" w:rsidRDefault="00D43B9E" w:rsidP="00260880">
      <w:pPr>
        <w:numPr>
          <w:ilvl w:val="0"/>
          <w:numId w:val="25"/>
        </w:numPr>
        <w:rPr>
          <w:rFonts w:cs="Arial"/>
          <w:lang w:val="en-GB"/>
        </w:rPr>
      </w:pPr>
      <w:r>
        <w:rPr>
          <w:rFonts w:cs="Arial"/>
          <w:lang w:val="en-GB"/>
        </w:rPr>
        <w:t>i</w:t>
      </w:r>
      <w:r w:rsidR="00842952" w:rsidRPr="00C87E1F">
        <w:rPr>
          <w:rFonts w:cs="Arial"/>
          <w:lang w:val="en-GB"/>
        </w:rPr>
        <w:t>n all countries, employers provide work placement and in all but the Solomon Is</w:t>
      </w:r>
      <w:r w:rsidR="00E06A50">
        <w:rPr>
          <w:rFonts w:cs="Arial"/>
          <w:lang w:val="en-GB"/>
        </w:rPr>
        <w:t>lands</w:t>
      </w:r>
      <w:r w:rsidR="00842952" w:rsidRPr="00C87E1F">
        <w:rPr>
          <w:rFonts w:cs="Arial"/>
          <w:lang w:val="en-GB"/>
        </w:rPr>
        <w:t xml:space="preserve"> which is fairly new, they provide live work projects for students</w:t>
      </w:r>
    </w:p>
    <w:p w14:paraId="30A0436E" w14:textId="1B3DFA59" w:rsidR="00842952" w:rsidRPr="00C87E1F" w:rsidRDefault="00E06A50" w:rsidP="00260880">
      <w:pPr>
        <w:numPr>
          <w:ilvl w:val="0"/>
          <w:numId w:val="25"/>
        </w:numPr>
        <w:rPr>
          <w:rFonts w:cs="Arial"/>
          <w:lang w:val="en-GB"/>
        </w:rPr>
      </w:pPr>
      <w:r>
        <w:rPr>
          <w:rFonts w:cs="Arial"/>
          <w:lang w:val="en-GB"/>
        </w:rPr>
        <w:t>e</w:t>
      </w:r>
      <w:r w:rsidR="00842952" w:rsidRPr="00C87E1F">
        <w:rPr>
          <w:rFonts w:cs="Arial"/>
          <w:lang w:val="en-GB"/>
        </w:rPr>
        <w:t>mployers have supported work placement for APTC tutors in three countries and for trainers in one</w:t>
      </w:r>
    </w:p>
    <w:p w14:paraId="0F47A622" w14:textId="06CAA63A" w:rsidR="00842952" w:rsidRPr="00C87E1F" w:rsidRDefault="00E06A50" w:rsidP="00260880">
      <w:pPr>
        <w:numPr>
          <w:ilvl w:val="0"/>
          <w:numId w:val="25"/>
        </w:numPr>
        <w:rPr>
          <w:rFonts w:cs="Arial"/>
          <w:lang w:val="en-GB"/>
        </w:rPr>
      </w:pPr>
      <w:r>
        <w:rPr>
          <w:rFonts w:cs="Arial"/>
          <w:lang w:val="en-GB"/>
        </w:rPr>
        <w:t>i</w:t>
      </w:r>
      <w:r w:rsidR="00842952" w:rsidRPr="00C87E1F">
        <w:rPr>
          <w:rFonts w:cs="Arial"/>
          <w:lang w:val="en-GB"/>
        </w:rPr>
        <w:t>n two countries, employers/enterprises have been involved in the assessment of students</w:t>
      </w:r>
    </w:p>
    <w:p w14:paraId="4ABD31A7" w14:textId="691645CA" w:rsidR="00842952" w:rsidRPr="00C87E1F" w:rsidRDefault="00E06A50" w:rsidP="00260880">
      <w:pPr>
        <w:numPr>
          <w:ilvl w:val="0"/>
          <w:numId w:val="25"/>
        </w:numPr>
        <w:rPr>
          <w:rFonts w:cs="Arial"/>
          <w:lang w:val="en-GB"/>
        </w:rPr>
      </w:pPr>
      <w:r>
        <w:rPr>
          <w:rFonts w:cs="Arial"/>
          <w:lang w:val="en-GB"/>
        </w:rPr>
        <w:t>t</w:t>
      </w:r>
      <w:r w:rsidR="00842952" w:rsidRPr="00C87E1F">
        <w:rPr>
          <w:rFonts w:cs="Arial"/>
          <w:lang w:val="en-GB"/>
        </w:rPr>
        <w:t>here is extensive use of APTC facilities by industry for training, meetings and other events</w:t>
      </w:r>
    </w:p>
    <w:p w14:paraId="0502E190" w14:textId="168049B3" w:rsidR="00842952" w:rsidRPr="00E06A50" w:rsidRDefault="00842952" w:rsidP="00260880">
      <w:pPr>
        <w:numPr>
          <w:ilvl w:val="0"/>
          <w:numId w:val="25"/>
        </w:numPr>
        <w:rPr>
          <w:rFonts w:cs="Arial"/>
          <w:bCs/>
          <w:color w:val="000000" w:themeColor="text1"/>
        </w:rPr>
      </w:pPr>
      <w:r w:rsidRPr="00C87E1F">
        <w:rPr>
          <w:rFonts w:cs="Arial"/>
          <w:lang w:val="en-GB"/>
        </w:rPr>
        <w:t xml:space="preserve">APTC staff are involved in industry associations where they exist: Fiji (5), PNG (2), Samoa (5) Solomon Islands (1) and Vanuatu (8). </w:t>
      </w:r>
    </w:p>
    <w:p w14:paraId="5A93FD38" w14:textId="244BFB42" w:rsidR="00842952" w:rsidRPr="00950268" w:rsidRDefault="002876A0" w:rsidP="00715FBA">
      <w:pPr>
        <w:pStyle w:val="Heading2"/>
      </w:pPr>
      <w:bookmarkStart w:id="604" w:name="_Toc274909883"/>
      <w:bookmarkStart w:id="605" w:name="_Toc278447899"/>
      <w:bookmarkStart w:id="606" w:name="_Toc278453372"/>
      <w:r>
        <w:t xml:space="preserve">6.2 </w:t>
      </w:r>
      <w:r w:rsidR="00715FBA">
        <w:tab/>
      </w:r>
      <w:r w:rsidR="00842952" w:rsidRPr="00950268">
        <w:t>Introduction</w:t>
      </w:r>
      <w:bookmarkEnd w:id="604"/>
      <w:bookmarkEnd w:id="605"/>
      <w:bookmarkEnd w:id="606"/>
    </w:p>
    <w:p w14:paraId="7A66381D" w14:textId="77777777" w:rsidR="00842952" w:rsidRDefault="00842952" w:rsidP="00950268">
      <w:pPr>
        <w:rPr>
          <w:rFonts w:cs="Arial"/>
        </w:rPr>
      </w:pPr>
      <w:r>
        <w:rPr>
          <w:rFonts w:cs="Arial"/>
        </w:rPr>
        <w:t xml:space="preserve">The primary APTC student cohorts are existing workers and new industry entrants. This means that engagement with industry is integral to program delivery. However, there are many different forms of industry engagement according to the programs offered, the enterprises/industries involved and the priority placed on engagement by individual providers and the enterprises concerned. This issue can present challenges in instances where engagement by educational institutions with industry and enterprises has not been practised as a matter of course, as is the case in the Pacific. </w:t>
      </w:r>
    </w:p>
    <w:p w14:paraId="3E83AA85" w14:textId="6934796B" w:rsidR="00842952" w:rsidRPr="005C030C" w:rsidRDefault="00842952" w:rsidP="00950268">
      <w:pPr>
        <w:rPr>
          <w:rFonts w:cs="Arial"/>
        </w:rPr>
      </w:pPr>
      <w:r>
        <w:rPr>
          <w:rFonts w:cs="Arial"/>
        </w:rPr>
        <w:t>Between June and August</w:t>
      </w:r>
      <w:r w:rsidR="00BF1345">
        <w:rPr>
          <w:rFonts w:cs="Arial"/>
        </w:rPr>
        <w:t xml:space="preserve"> 2014</w:t>
      </w:r>
      <w:r>
        <w:rPr>
          <w:rFonts w:cs="Arial"/>
        </w:rPr>
        <w:t xml:space="preserve">, a questionnaire on industry engagement was completed by the then two Country Managers for Fiji (with joint responsibility as School Directors) and the Country Managers of Papua New Guinea, Samoa, Solomon Islands and Vanuatu. </w:t>
      </w:r>
    </w:p>
    <w:p w14:paraId="5C317F11" w14:textId="77777777" w:rsidR="00842952" w:rsidRDefault="00842952" w:rsidP="00950268">
      <w:pPr>
        <w:rPr>
          <w:rFonts w:cs="Arial"/>
        </w:rPr>
      </w:pPr>
      <w:r w:rsidRPr="005C030C">
        <w:rPr>
          <w:rFonts w:cs="Arial"/>
        </w:rPr>
        <w:t xml:space="preserve">The questions relate to </w:t>
      </w:r>
      <w:r>
        <w:rPr>
          <w:rFonts w:cs="Arial"/>
        </w:rPr>
        <w:t xml:space="preserve">standard ways in which TVET providers in Australia engage with industry and required the response of </w:t>
      </w:r>
      <w:r w:rsidRPr="005C030C">
        <w:rPr>
          <w:rFonts w:cs="Arial"/>
        </w:rPr>
        <w:t xml:space="preserve">YES, NO or NOT APPLICABLE for </w:t>
      </w:r>
      <w:r>
        <w:rPr>
          <w:rFonts w:cs="Arial"/>
        </w:rPr>
        <w:t xml:space="preserve">the particular </w:t>
      </w:r>
      <w:r w:rsidRPr="005C030C">
        <w:rPr>
          <w:rFonts w:cs="Arial"/>
        </w:rPr>
        <w:t>area of responsibility.</w:t>
      </w:r>
    </w:p>
    <w:p w14:paraId="66DC5676" w14:textId="14D9EC74" w:rsidR="00842952" w:rsidRDefault="00842952" w:rsidP="00842952">
      <w:pPr>
        <w:rPr>
          <w:rFonts w:cs="Arial"/>
        </w:rPr>
      </w:pPr>
      <w:r>
        <w:rPr>
          <w:rFonts w:cs="Arial"/>
        </w:rPr>
        <w:t xml:space="preserve">The </w:t>
      </w:r>
      <w:r w:rsidR="00E902EA">
        <w:rPr>
          <w:rFonts w:cs="Arial"/>
        </w:rPr>
        <w:t>t</w:t>
      </w:r>
      <w:r>
        <w:rPr>
          <w:rFonts w:cs="Arial"/>
        </w:rPr>
        <w:t>able below summarises the responses and provides progressive commentary on some of the points raised. While there are some slightly different interpretations of the questions, the summary provides an overview of industry engagement at APTC.</w:t>
      </w:r>
      <w:r>
        <w:rPr>
          <w:rFonts w:cs="Arial"/>
        </w:rPr>
        <w:br w:type="page"/>
      </w:r>
    </w:p>
    <w:p w14:paraId="6ABB2533" w14:textId="1AB3FF82" w:rsidR="009775EB" w:rsidRDefault="003222C7" w:rsidP="00842952">
      <w:pPr>
        <w:jc w:val="both"/>
        <w:rPr>
          <w:rFonts w:cs="Arial"/>
          <w:sz w:val="20"/>
        </w:rPr>
      </w:pPr>
      <w:r>
        <w:rPr>
          <w:rFonts w:cs="Arial"/>
          <w:b/>
          <w:bCs/>
          <w:color w:val="76923C"/>
        </w:rPr>
        <w:t>Industry engagement questionnaire r</w:t>
      </w:r>
      <w:r w:rsidR="009775EB" w:rsidRPr="009775EB">
        <w:rPr>
          <w:rFonts w:cs="Arial"/>
          <w:b/>
          <w:bCs/>
          <w:color w:val="76923C"/>
        </w:rPr>
        <w:t>esponses and commentary</w:t>
      </w:r>
      <w:r w:rsidR="009775EB" w:rsidRPr="00950268">
        <w:rPr>
          <w:rFonts w:cs="Arial"/>
          <w:sz w:val="20"/>
        </w:rPr>
        <w:t xml:space="preserve"> </w:t>
      </w:r>
    </w:p>
    <w:p w14:paraId="2DEDD073" w14:textId="288F1163" w:rsidR="00842952" w:rsidRPr="00950268" w:rsidRDefault="00842952" w:rsidP="00842952">
      <w:pPr>
        <w:jc w:val="both"/>
        <w:rPr>
          <w:rFonts w:cs="Arial"/>
          <w:sz w:val="20"/>
        </w:rPr>
      </w:pPr>
      <w:r w:rsidRPr="00950268">
        <w:rPr>
          <w:rFonts w:cs="Arial"/>
          <w:sz w:val="20"/>
        </w:rPr>
        <w:t>The following codes are used:</w:t>
      </w:r>
    </w:p>
    <w:p w14:paraId="3B05F7C6" w14:textId="31202174" w:rsidR="00842952" w:rsidRPr="00950268" w:rsidRDefault="00842952" w:rsidP="00950268">
      <w:pPr>
        <w:spacing w:after="0"/>
        <w:rPr>
          <w:rFonts w:cs="Arial"/>
          <w:sz w:val="18"/>
        </w:rPr>
      </w:pPr>
      <w:r w:rsidRPr="00950268">
        <w:rPr>
          <w:rFonts w:cs="Arial"/>
          <w:sz w:val="18"/>
        </w:rPr>
        <w:t>STT – School of Trades and Technology</w:t>
      </w:r>
      <w:r w:rsidR="009956AB">
        <w:rPr>
          <w:rFonts w:cs="Arial"/>
          <w:sz w:val="18"/>
        </w:rPr>
        <w:tab/>
      </w:r>
      <w:r w:rsidRPr="00950268">
        <w:rPr>
          <w:rFonts w:cs="Arial"/>
          <w:sz w:val="18"/>
        </w:rPr>
        <w:t>SHCS – School of Hospitality and Community Services</w:t>
      </w:r>
    </w:p>
    <w:p w14:paraId="5133B970" w14:textId="38B039A8" w:rsidR="00842952" w:rsidRPr="00950268" w:rsidRDefault="00842952" w:rsidP="00842952">
      <w:pPr>
        <w:spacing w:after="0"/>
        <w:jc w:val="both"/>
        <w:rPr>
          <w:rFonts w:cs="Arial"/>
          <w:sz w:val="18"/>
        </w:rPr>
      </w:pPr>
      <w:r w:rsidRPr="00950268">
        <w:rPr>
          <w:rFonts w:cs="Arial"/>
          <w:sz w:val="18"/>
        </w:rPr>
        <w:t>PNG – Papua New Guinea</w:t>
      </w:r>
      <w:r w:rsidR="009956AB">
        <w:rPr>
          <w:rFonts w:cs="Arial"/>
          <w:sz w:val="18"/>
        </w:rPr>
        <w:tab/>
      </w:r>
      <w:r w:rsidR="009956AB">
        <w:rPr>
          <w:rFonts w:cs="Arial"/>
          <w:sz w:val="18"/>
        </w:rPr>
        <w:tab/>
      </w:r>
      <w:r w:rsidR="009956AB">
        <w:rPr>
          <w:rFonts w:cs="Arial"/>
          <w:sz w:val="18"/>
        </w:rPr>
        <w:tab/>
      </w:r>
      <w:r w:rsidRPr="00950268">
        <w:rPr>
          <w:rFonts w:cs="Arial"/>
          <w:sz w:val="18"/>
        </w:rPr>
        <w:t>SAM – Samoa</w:t>
      </w:r>
    </w:p>
    <w:p w14:paraId="5213F3DF" w14:textId="5BA0A5B1" w:rsidR="00842952" w:rsidRPr="00950268" w:rsidRDefault="00842952" w:rsidP="00842952">
      <w:pPr>
        <w:spacing w:after="0"/>
        <w:jc w:val="both"/>
        <w:rPr>
          <w:rFonts w:cs="Arial"/>
          <w:sz w:val="18"/>
        </w:rPr>
      </w:pPr>
      <w:r w:rsidRPr="00950268">
        <w:rPr>
          <w:rFonts w:cs="Arial"/>
          <w:sz w:val="18"/>
        </w:rPr>
        <w:t>SOL – Solomon Islands</w:t>
      </w:r>
      <w:r w:rsidR="009956AB">
        <w:rPr>
          <w:rFonts w:cs="Arial"/>
          <w:sz w:val="18"/>
        </w:rPr>
        <w:tab/>
      </w:r>
      <w:r w:rsidR="009956AB">
        <w:rPr>
          <w:rFonts w:cs="Arial"/>
          <w:sz w:val="18"/>
        </w:rPr>
        <w:tab/>
      </w:r>
      <w:r w:rsidR="009956AB">
        <w:rPr>
          <w:rFonts w:cs="Arial"/>
          <w:sz w:val="18"/>
        </w:rPr>
        <w:tab/>
      </w:r>
      <w:r w:rsidRPr="00950268">
        <w:rPr>
          <w:rFonts w:cs="Arial"/>
          <w:sz w:val="18"/>
        </w:rPr>
        <w:t xml:space="preserve">VAN – Vanuatu </w:t>
      </w:r>
    </w:p>
    <w:p w14:paraId="52A3762D" w14:textId="39968A68" w:rsidR="00842952" w:rsidRPr="00950268" w:rsidRDefault="00842952" w:rsidP="00950268">
      <w:pPr>
        <w:spacing w:after="200" w:line="276" w:lineRule="auto"/>
        <w:jc w:val="both"/>
        <w:rPr>
          <w:rFonts w:cs="Arial"/>
          <w:b/>
          <w:bCs/>
          <w:color w:val="76923C"/>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5269"/>
        <w:gridCol w:w="825"/>
        <w:gridCol w:w="825"/>
        <w:gridCol w:w="805"/>
      </w:tblGrid>
      <w:tr w:rsidR="003222C7" w:rsidRPr="00E902EA" w14:paraId="76870ECB" w14:textId="77777777" w:rsidTr="009D1865">
        <w:tc>
          <w:tcPr>
            <w:tcW w:w="6516" w:type="dxa"/>
            <w:gridSpan w:val="2"/>
            <w:shd w:val="clear" w:color="auto" w:fill="C5E0B3" w:themeFill="accent6" w:themeFillTint="66"/>
          </w:tcPr>
          <w:p w14:paraId="75B90FC7" w14:textId="065DD7C6" w:rsidR="003222C7" w:rsidRPr="00950268" w:rsidRDefault="003222C7" w:rsidP="003222C7">
            <w:pPr>
              <w:spacing w:before="40" w:after="40"/>
              <w:rPr>
                <w:rFonts w:cs="Arial"/>
                <w:b/>
                <w:sz w:val="18"/>
                <w:szCs w:val="18"/>
              </w:rPr>
            </w:pPr>
            <w:r>
              <w:rPr>
                <w:rFonts w:cs="Arial"/>
                <w:b/>
                <w:sz w:val="18"/>
                <w:szCs w:val="18"/>
              </w:rPr>
              <w:t>Question</w:t>
            </w:r>
          </w:p>
        </w:tc>
        <w:tc>
          <w:tcPr>
            <w:tcW w:w="850" w:type="dxa"/>
            <w:shd w:val="clear" w:color="auto" w:fill="C5E0B3" w:themeFill="accent6" w:themeFillTint="66"/>
          </w:tcPr>
          <w:p w14:paraId="579F35E9" w14:textId="77777777" w:rsidR="003222C7" w:rsidRPr="00950268" w:rsidRDefault="003222C7" w:rsidP="003222C7">
            <w:pPr>
              <w:spacing w:before="40" w:after="40"/>
              <w:rPr>
                <w:rFonts w:cs="Arial"/>
                <w:b/>
                <w:sz w:val="18"/>
                <w:szCs w:val="18"/>
              </w:rPr>
            </w:pPr>
            <w:r w:rsidRPr="00950268">
              <w:rPr>
                <w:rFonts w:cs="Arial"/>
                <w:b/>
                <w:sz w:val="18"/>
                <w:szCs w:val="18"/>
              </w:rPr>
              <w:t>YES</w:t>
            </w:r>
          </w:p>
        </w:tc>
        <w:tc>
          <w:tcPr>
            <w:tcW w:w="850" w:type="dxa"/>
            <w:shd w:val="clear" w:color="auto" w:fill="C5E0B3" w:themeFill="accent6" w:themeFillTint="66"/>
          </w:tcPr>
          <w:p w14:paraId="11E405C9" w14:textId="77777777" w:rsidR="003222C7" w:rsidRPr="00950268" w:rsidRDefault="003222C7" w:rsidP="003222C7">
            <w:pPr>
              <w:spacing w:before="40" w:after="40"/>
              <w:rPr>
                <w:rFonts w:cs="Arial"/>
                <w:b/>
                <w:sz w:val="18"/>
                <w:szCs w:val="18"/>
              </w:rPr>
            </w:pPr>
            <w:r w:rsidRPr="00950268">
              <w:rPr>
                <w:rFonts w:cs="Arial"/>
                <w:b/>
                <w:sz w:val="18"/>
                <w:szCs w:val="18"/>
              </w:rPr>
              <w:t>NO</w:t>
            </w:r>
          </w:p>
        </w:tc>
        <w:tc>
          <w:tcPr>
            <w:tcW w:w="851" w:type="dxa"/>
            <w:shd w:val="clear" w:color="auto" w:fill="C5E0B3" w:themeFill="accent6" w:themeFillTint="66"/>
          </w:tcPr>
          <w:p w14:paraId="73BEB733" w14:textId="77777777" w:rsidR="003222C7" w:rsidRPr="00950268" w:rsidRDefault="003222C7" w:rsidP="003222C7">
            <w:pPr>
              <w:spacing w:before="40" w:after="40"/>
              <w:rPr>
                <w:rFonts w:cs="Arial"/>
                <w:b/>
                <w:sz w:val="18"/>
                <w:szCs w:val="18"/>
              </w:rPr>
            </w:pPr>
            <w:r w:rsidRPr="00950268">
              <w:rPr>
                <w:rFonts w:cs="Arial"/>
                <w:b/>
                <w:sz w:val="18"/>
                <w:szCs w:val="18"/>
              </w:rPr>
              <w:t>NA</w:t>
            </w:r>
          </w:p>
        </w:tc>
      </w:tr>
      <w:tr w:rsidR="00842952" w:rsidRPr="00E902EA" w14:paraId="1E802D66" w14:textId="77777777" w:rsidTr="009D1865">
        <w:tc>
          <w:tcPr>
            <w:tcW w:w="527" w:type="dxa"/>
          </w:tcPr>
          <w:p w14:paraId="364F77E9" w14:textId="77777777" w:rsidR="00842952" w:rsidRPr="00950268" w:rsidRDefault="00842952" w:rsidP="00950268">
            <w:pPr>
              <w:spacing w:after="0"/>
              <w:rPr>
                <w:rFonts w:cs="Arial"/>
                <w:b/>
                <w:sz w:val="18"/>
                <w:szCs w:val="18"/>
              </w:rPr>
            </w:pPr>
            <w:r w:rsidRPr="00950268">
              <w:rPr>
                <w:rFonts w:cs="Arial"/>
                <w:b/>
                <w:sz w:val="18"/>
                <w:szCs w:val="18"/>
              </w:rPr>
              <w:t>1.</w:t>
            </w:r>
          </w:p>
        </w:tc>
        <w:tc>
          <w:tcPr>
            <w:tcW w:w="5989" w:type="dxa"/>
          </w:tcPr>
          <w:p w14:paraId="201B3712" w14:textId="77777777" w:rsidR="00842952" w:rsidRDefault="00842952" w:rsidP="00950268">
            <w:pPr>
              <w:spacing w:after="0"/>
              <w:rPr>
                <w:rFonts w:cs="Arial"/>
                <w:b/>
                <w:sz w:val="18"/>
                <w:szCs w:val="18"/>
              </w:rPr>
            </w:pPr>
            <w:r w:rsidRPr="00950268">
              <w:rPr>
                <w:rFonts w:cs="Arial"/>
                <w:b/>
                <w:sz w:val="18"/>
                <w:szCs w:val="18"/>
              </w:rPr>
              <w:t>Do employers/enterprises allow industry visits from your students?</w:t>
            </w:r>
          </w:p>
          <w:p w14:paraId="21B7EA5B" w14:textId="130F9699" w:rsidR="003222C7" w:rsidRPr="00950268" w:rsidRDefault="003222C7" w:rsidP="00950268">
            <w:pPr>
              <w:spacing w:after="0"/>
              <w:rPr>
                <w:rFonts w:cs="Arial"/>
                <w:b/>
                <w:sz w:val="18"/>
                <w:szCs w:val="18"/>
              </w:rPr>
            </w:pPr>
            <w:r w:rsidRPr="003222C7">
              <w:rPr>
                <w:rFonts w:cs="Arial"/>
                <w:sz w:val="18"/>
                <w:szCs w:val="18"/>
              </w:rPr>
              <w:t>Comments:</w:t>
            </w:r>
            <w:r>
              <w:rPr>
                <w:rFonts w:cs="Arial"/>
                <w:b/>
                <w:sz w:val="18"/>
                <w:szCs w:val="18"/>
              </w:rPr>
              <w:t xml:space="preserve"> </w:t>
            </w:r>
            <w:r w:rsidRPr="00950268">
              <w:rPr>
                <w:rFonts w:cs="Arial"/>
                <w:sz w:val="18"/>
                <w:szCs w:val="18"/>
              </w:rPr>
              <w:t>There were many examples of this in all countries, except in the Solomon Is where it was not yet applicable.</w:t>
            </w:r>
          </w:p>
        </w:tc>
        <w:tc>
          <w:tcPr>
            <w:tcW w:w="850" w:type="dxa"/>
          </w:tcPr>
          <w:p w14:paraId="27A66E31" w14:textId="77777777" w:rsidR="00842952" w:rsidRPr="00950268" w:rsidRDefault="00842952" w:rsidP="00950268">
            <w:pPr>
              <w:spacing w:after="0"/>
              <w:rPr>
                <w:rFonts w:cs="Arial"/>
                <w:sz w:val="18"/>
                <w:szCs w:val="18"/>
              </w:rPr>
            </w:pPr>
            <w:r w:rsidRPr="00950268">
              <w:rPr>
                <w:rFonts w:cs="Arial"/>
                <w:sz w:val="18"/>
                <w:szCs w:val="18"/>
              </w:rPr>
              <w:t>SHCS</w:t>
            </w:r>
          </w:p>
          <w:p w14:paraId="36DE0C11" w14:textId="77777777" w:rsidR="00842952" w:rsidRPr="00950268" w:rsidRDefault="00842952" w:rsidP="00950268">
            <w:pPr>
              <w:spacing w:after="0"/>
              <w:rPr>
                <w:rFonts w:cs="Arial"/>
                <w:sz w:val="18"/>
                <w:szCs w:val="18"/>
              </w:rPr>
            </w:pPr>
            <w:r w:rsidRPr="00950268">
              <w:rPr>
                <w:rFonts w:cs="Arial"/>
                <w:sz w:val="18"/>
                <w:szCs w:val="18"/>
              </w:rPr>
              <w:t>STT</w:t>
            </w:r>
          </w:p>
          <w:p w14:paraId="7F81BFD7" w14:textId="77777777" w:rsidR="00842952" w:rsidRPr="00950268" w:rsidRDefault="00842952" w:rsidP="00950268">
            <w:pPr>
              <w:spacing w:after="0"/>
              <w:rPr>
                <w:rFonts w:cs="Arial"/>
                <w:sz w:val="18"/>
                <w:szCs w:val="18"/>
              </w:rPr>
            </w:pPr>
            <w:r w:rsidRPr="00950268">
              <w:rPr>
                <w:rFonts w:cs="Arial"/>
                <w:sz w:val="18"/>
                <w:szCs w:val="18"/>
              </w:rPr>
              <w:t>PNG</w:t>
            </w:r>
          </w:p>
          <w:p w14:paraId="2FA988E0" w14:textId="77777777" w:rsidR="00842952" w:rsidRPr="00950268" w:rsidRDefault="00842952" w:rsidP="00950268">
            <w:pPr>
              <w:spacing w:after="0"/>
              <w:rPr>
                <w:rFonts w:cs="Arial"/>
                <w:sz w:val="18"/>
                <w:szCs w:val="18"/>
              </w:rPr>
            </w:pPr>
            <w:r w:rsidRPr="00950268">
              <w:rPr>
                <w:rFonts w:cs="Arial"/>
                <w:sz w:val="18"/>
                <w:szCs w:val="18"/>
              </w:rPr>
              <w:t>SAM</w:t>
            </w:r>
          </w:p>
          <w:p w14:paraId="15F4D743" w14:textId="58111923" w:rsidR="00842952" w:rsidRPr="00950268" w:rsidRDefault="00842952" w:rsidP="00950268">
            <w:pPr>
              <w:spacing w:after="0"/>
              <w:rPr>
                <w:rFonts w:cs="Arial"/>
                <w:sz w:val="18"/>
                <w:szCs w:val="18"/>
              </w:rPr>
            </w:pPr>
            <w:r w:rsidRPr="00950268">
              <w:rPr>
                <w:rFonts w:cs="Arial"/>
                <w:sz w:val="18"/>
                <w:szCs w:val="18"/>
              </w:rPr>
              <w:t>VAN</w:t>
            </w:r>
            <w:r w:rsidR="003222C7">
              <w:rPr>
                <w:rFonts w:cs="Arial"/>
                <w:sz w:val="18"/>
                <w:szCs w:val="18"/>
              </w:rPr>
              <w:br/>
            </w:r>
          </w:p>
        </w:tc>
        <w:tc>
          <w:tcPr>
            <w:tcW w:w="850" w:type="dxa"/>
          </w:tcPr>
          <w:p w14:paraId="6CF2EFAB" w14:textId="77777777" w:rsidR="00842952" w:rsidRPr="00950268" w:rsidRDefault="00842952" w:rsidP="00950268">
            <w:pPr>
              <w:spacing w:after="0"/>
              <w:rPr>
                <w:rFonts w:cs="Arial"/>
                <w:sz w:val="18"/>
                <w:szCs w:val="18"/>
              </w:rPr>
            </w:pPr>
          </w:p>
        </w:tc>
        <w:tc>
          <w:tcPr>
            <w:tcW w:w="851" w:type="dxa"/>
          </w:tcPr>
          <w:p w14:paraId="3EE15427" w14:textId="77777777" w:rsidR="00842952" w:rsidRPr="00950268" w:rsidRDefault="00842952" w:rsidP="00950268">
            <w:pPr>
              <w:spacing w:after="0"/>
              <w:rPr>
                <w:rFonts w:cs="Arial"/>
                <w:sz w:val="18"/>
                <w:szCs w:val="18"/>
              </w:rPr>
            </w:pPr>
            <w:r w:rsidRPr="00950268">
              <w:rPr>
                <w:rFonts w:cs="Arial"/>
                <w:sz w:val="18"/>
                <w:szCs w:val="18"/>
              </w:rPr>
              <w:t>SOL</w:t>
            </w:r>
          </w:p>
          <w:p w14:paraId="65663EB2" w14:textId="77777777" w:rsidR="00842952" w:rsidRPr="00950268" w:rsidRDefault="00842952" w:rsidP="00950268">
            <w:pPr>
              <w:spacing w:after="0"/>
              <w:rPr>
                <w:rFonts w:cs="Arial"/>
                <w:sz w:val="18"/>
                <w:szCs w:val="18"/>
              </w:rPr>
            </w:pPr>
          </w:p>
        </w:tc>
      </w:tr>
      <w:tr w:rsidR="00842952" w:rsidRPr="00E902EA" w14:paraId="06D7A2B3" w14:textId="77777777" w:rsidTr="009D1865">
        <w:tc>
          <w:tcPr>
            <w:tcW w:w="527" w:type="dxa"/>
            <w:shd w:val="clear" w:color="auto" w:fill="E2EFD9" w:themeFill="accent6" w:themeFillTint="33"/>
          </w:tcPr>
          <w:p w14:paraId="7AA2CB22" w14:textId="77777777" w:rsidR="00842952" w:rsidRPr="00950268" w:rsidRDefault="00842952" w:rsidP="00950268">
            <w:pPr>
              <w:spacing w:after="0"/>
              <w:rPr>
                <w:rFonts w:cs="Arial"/>
                <w:b/>
                <w:sz w:val="18"/>
                <w:szCs w:val="18"/>
              </w:rPr>
            </w:pPr>
            <w:r w:rsidRPr="00950268">
              <w:rPr>
                <w:rFonts w:cs="Arial"/>
                <w:b/>
                <w:sz w:val="18"/>
                <w:szCs w:val="18"/>
              </w:rPr>
              <w:t>2.</w:t>
            </w:r>
          </w:p>
        </w:tc>
        <w:tc>
          <w:tcPr>
            <w:tcW w:w="5989" w:type="dxa"/>
            <w:shd w:val="clear" w:color="auto" w:fill="E2EFD9" w:themeFill="accent6" w:themeFillTint="33"/>
          </w:tcPr>
          <w:p w14:paraId="2F8B3CCB" w14:textId="77777777" w:rsidR="00842952" w:rsidRDefault="00842952" w:rsidP="00950268">
            <w:pPr>
              <w:spacing w:after="0"/>
              <w:rPr>
                <w:rFonts w:cs="Arial"/>
                <w:b/>
                <w:sz w:val="18"/>
                <w:szCs w:val="18"/>
              </w:rPr>
            </w:pPr>
            <w:r w:rsidRPr="00950268">
              <w:rPr>
                <w:rFonts w:cs="Arial"/>
                <w:b/>
                <w:sz w:val="18"/>
                <w:szCs w:val="18"/>
              </w:rPr>
              <w:t>Do employers/enterprises provide work placements for your students?</w:t>
            </w:r>
          </w:p>
          <w:p w14:paraId="5257BE01" w14:textId="4A1EF482" w:rsidR="003222C7" w:rsidRPr="00950268" w:rsidRDefault="003222C7" w:rsidP="00950268">
            <w:pPr>
              <w:spacing w:after="0"/>
              <w:rPr>
                <w:rFonts w:cs="Arial"/>
                <w:b/>
                <w:sz w:val="18"/>
                <w:szCs w:val="18"/>
              </w:rPr>
            </w:pPr>
            <w:r w:rsidRPr="003222C7">
              <w:rPr>
                <w:rFonts w:cs="Arial"/>
                <w:sz w:val="18"/>
                <w:szCs w:val="18"/>
              </w:rPr>
              <w:t>Comments:</w:t>
            </w:r>
            <w:r>
              <w:rPr>
                <w:rFonts w:cs="Arial"/>
                <w:b/>
                <w:sz w:val="18"/>
                <w:szCs w:val="18"/>
              </w:rPr>
              <w:t xml:space="preserve"> </w:t>
            </w:r>
            <w:r w:rsidRPr="00950268">
              <w:rPr>
                <w:rFonts w:cs="Arial"/>
                <w:sz w:val="18"/>
                <w:szCs w:val="18"/>
              </w:rPr>
              <w:t>Because most students are existing employees or new industry entrants, work placement is integral to the course. Even in the Solomon Is some Certificate II graduates students were beginning to get work placements.</w:t>
            </w:r>
          </w:p>
        </w:tc>
        <w:tc>
          <w:tcPr>
            <w:tcW w:w="850" w:type="dxa"/>
            <w:shd w:val="clear" w:color="auto" w:fill="E2EFD9" w:themeFill="accent6" w:themeFillTint="33"/>
          </w:tcPr>
          <w:p w14:paraId="0B210083" w14:textId="77777777" w:rsidR="00842952" w:rsidRPr="00950268" w:rsidRDefault="00842952" w:rsidP="00950268">
            <w:pPr>
              <w:spacing w:after="0"/>
              <w:rPr>
                <w:rFonts w:cs="Arial"/>
                <w:sz w:val="18"/>
                <w:szCs w:val="18"/>
              </w:rPr>
            </w:pPr>
            <w:r w:rsidRPr="00950268">
              <w:rPr>
                <w:rFonts w:cs="Arial"/>
                <w:sz w:val="18"/>
                <w:szCs w:val="18"/>
              </w:rPr>
              <w:t>SHCS</w:t>
            </w:r>
          </w:p>
          <w:p w14:paraId="0C1D5465" w14:textId="77777777" w:rsidR="00842952" w:rsidRPr="00950268" w:rsidRDefault="00842952" w:rsidP="00950268">
            <w:pPr>
              <w:spacing w:after="0"/>
              <w:rPr>
                <w:rFonts w:cs="Arial"/>
                <w:sz w:val="18"/>
                <w:szCs w:val="18"/>
              </w:rPr>
            </w:pPr>
            <w:r w:rsidRPr="00950268">
              <w:rPr>
                <w:rFonts w:cs="Arial"/>
                <w:sz w:val="18"/>
                <w:szCs w:val="18"/>
              </w:rPr>
              <w:t>PNG</w:t>
            </w:r>
          </w:p>
          <w:p w14:paraId="5C3B6003" w14:textId="77777777" w:rsidR="00842952" w:rsidRPr="00950268" w:rsidRDefault="00842952" w:rsidP="00950268">
            <w:pPr>
              <w:spacing w:after="0"/>
              <w:rPr>
                <w:rFonts w:cs="Arial"/>
                <w:sz w:val="18"/>
                <w:szCs w:val="18"/>
              </w:rPr>
            </w:pPr>
            <w:r w:rsidRPr="00950268">
              <w:rPr>
                <w:rFonts w:cs="Arial"/>
                <w:sz w:val="18"/>
                <w:szCs w:val="18"/>
              </w:rPr>
              <w:t>STT</w:t>
            </w:r>
          </w:p>
          <w:p w14:paraId="6CDF2B34" w14:textId="77777777" w:rsidR="00842952" w:rsidRPr="00950268" w:rsidRDefault="00842952" w:rsidP="00950268">
            <w:pPr>
              <w:spacing w:after="0"/>
              <w:rPr>
                <w:rFonts w:cs="Arial"/>
                <w:sz w:val="18"/>
                <w:szCs w:val="18"/>
              </w:rPr>
            </w:pPr>
            <w:r w:rsidRPr="00950268">
              <w:rPr>
                <w:rFonts w:cs="Arial"/>
                <w:sz w:val="18"/>
                <w:szCs w:val="18"/>
              </w:rPr>
              <w:t>SAM</w:t>
            </w:r>
          </w:p>
          <w:p w14:paraId="48895B1B" w14:textId="77777777" w:rsidR="00842952" w:rsidRPr="00950268" w:rsidRDefault="00842952" w:rsidP="00950268">
            <w:pPr>
              <w:spacing w:after="0"/>
              <w:rPr>
                <w:rFonts w:cs="Arial"/>
                <w:sz w:val="18"/>
                <w:szCs w:val="18"/>
              </w:rPr>
            </w:pPr>
            <w:r w:rsidRPr="00950268">
              <w:rPr>
                <w:rFonts w:cs="Arial"/>
                <w:sz w:val="18"/>
                <w:szCs w:val="18"/>
              </w:rPr>
              <w:t>SOL</w:t>
            </w:r>
          </w:p>
          <w:p w14:paraId="4D33CD81" w14:textId="77777777" w:rsidR="00842952" w:rsidRDefault="00842952" w:rsidP="00950268">
            <w:pPr>
              <w:spacing w:after="0"/>
              <w:rPr>
                <w:rFonts w:cs="Arial"/>
                <w:sz w:val="18"/>
                <w:szCs w:val="18"/>
              </w:rPr>
            </w:pPr>
            <w:r w:rsidRPr="00950268">
              <w:rPr>
                <w:rFonts w:cs="Arial"/>
                <w:sz w:val="18"/>
                <w:szCs w:val="18"/>
              </w:rPr>
              <w:t>VAN</w:t>
            </w:r>
          </w:p>
          <w:p w14:paraId="58790654" w14:textId="77777777" w:rsidR="003222C7" w:rsidRPr="00950268" w:rsidRDefault="003222C7" w:rsidP="00950268">
            <w:pPr>
              <w:spacing w:after="0"/>
              <w:rPr>
                <w:rFonts w:cs="Arial"/>
                <w:sz w:val="18"/>
                <w:szCs w:val="18"/>
              </w:rPr>
            </w:pPr>
          </w:p>
        </w:tc>
        <w:tc>
          <w:tcPr>
            <w:tcW w:w="850" w:type="dxa"/>
            <w:shd w:val="clear" w:color="auto" w:fill="E2EFD9" w:themeFill="accent6" w:themeFillTint="33"/>
          </w:tcPr>
          <w:p w14:paraId="35F4B775" w14:textId="77777777" w:rsidR="00842952" w:rsidRPr="00950268" w:rsidRDefault="00842952" w:rsidP="00950268">
            <w:pPr>
              <w:spacing w:after="0"/>
              <w:rPr>
                <w:rFonts w:cs="Arial"/>
                <w:sz w:val="18"/>
                <w:szCs w:val="18"/>
              </w:rPr>
            </w:pPr>
          </w:p>
        </w:tc>
        <w:tc>
          <w:tcPr>
            <w:tcW w:w="851" w:type="dxa"/>
            <w:shd w:val="clear" w:color="auto" w:fill="E2EFD9" w:themeFill="accent6" w:themeFillTint="33"/>
          </w:tcPr>
          <w:p w14:paraId="082ECF69" w14:textId="77777777" w:rsidR="00842952" w:rsidRPr="00950268" w:rsidRDefault="00842952" w:rsidP="00950268">
            <w:pPr>
              <w:spacing w:after="0"/>
              <w:rPr>
                <w:rFonts w:cs="Arial"/>
                <w:sz w:val="18"/>
                <w:szCs w:val="18"/>
              </w:rPr>
            </w:pPr>
          </w:p>
        </w:tc>
      </w:tr>
      <w:tr w:rsidR="00842952" w:rsidRPr="00E902EA" w14:paraId="65E4A180" w14:textId="77777777" w:rsidTr="009D1865">
        <w:tc>
          <w:tcPr>
            <w:tcW w:w="527" w:type="dxa"/>
          </w:tcPr>
          <w:p w14:paraId="6FC8F0E8" w14:textId="77777777" w:rsidR="00842952" w:rsidRPr="00950268" w:rsidRDefault="00842952" w:rsidP="00950268">
            <w:pPr>
              <w:spacing w:after="0"/>
              <w:rPr>
                <w:rFonts w:cs="Arial"/>
                <w:b/>
                <w:sz w:val="18"/>
                <w:szCs w:val="18"/>
              </w:rPr>
            </w:pPr>
            <w:r w:rsidRPr="00950268">
              <w:rPr>
                <w:rFonts w:cs="Arial"/>
                <w:b/>
                <w:sz w:val="18"/>
                <w:szCs w:val="18"/>
              </w:rPr>
              <w:t>3.</w:t>
            </w:r>
          </w:p>
        </w:tc>
        <w:tc>
          <w:tcPr>
            <w:tcW w:w="5989" w:type="dxa"/>
          </w:tcPr>
          <w:p w14:paraId="0C7ABC09" w14:textId="77777777" w:rsidR="00842952" w:rsidRDefault="00842952" w:rsidP="00950268">
            <w:pPr>
              <w:spacing w:after="0"/>
              <w:rPr>
                <w:rFonts w:cs="Arial"/>
                <w:b/>
                <w:sz w:val="18"/>
                <w:szCs w:val="18"/>
              </w:rPr>
            </w:pPr>
            <w:r w:rsidRPr="00950268">
              <w:rPr>
                <w:rFonts w:cs="Arial"/>
                <w:b/>
                <w:sz w:val="18"/>
                <w:szCs w:val="18"/>
              </w:rPr>
              <w:t>Do employers/enterprises provide industry placement for your staff?</w:t>
            </w:r>
          </w:p>
          <w:p w14:paraId="346E8F74" w14:textId="77777777" w:rsidR="003222C7" w:rsidRPr="00950268" w:rsidRDefault="003222C7" w:rsidP="003222C7">
            <w:pPr>
              <w:spacing w:after="0"/>
              <w:rPr>
                <w:rFonts w:cs="Arial"/>
                <w:sz w:val="18"/>
                <w:szCs w:val="18"/>
              </w:rPr>
            </w:pPr>
            <w:r w:rsidRPr="003222C7">
              <w:rPr>
                <w:rFonts w:cs="Arial"/>
                <w:sz w:val="18"/>
                <w:szCs w:val="18"/>
              </w:rPr>
              <w:t xml:space="preserve">Comments: </w:t>
            </w:r>
            <w:r w:rsidRPr="00950268">
              <w:rPr>
                <w:rFonts w:cs="Arial"/>
                <w:sz w:val="18"/>
                <w:szCs w:val="18"/>
              </w:rPr>
              <w:t xml:space="preserve">Where this has occurred, placements were for mainly for tutors, but also some trainers. In the past </w:t>
            </w:r>
            <w:r>
              <w:rPr>
                <w:rFonts w:cs="Arial"/>
                <w:sz w:val="18"/>
                <w:szCs w:val="18"/>
              </w:rPr>
              <w:t>12</w:t>
            </w:r>
            <w:r w:rsidRPr="00950268">
              <w:rPr>
                <w:rFonts w:cs="Arial"/>
                <w:sz w:val="18"/>
                <w:szCs w:val="18"/>
              </w:rPr>
              <w:t xml:space="preserve"> months:</w:t>
            </w:r>
          </w:p>
          <w:p w14:paraId="1EBC8EBE" w14:textId="77777777" w:rsidR="003222C7" w:rsidRDefault="003222C7" w:rsidP="003222C7">
            <w:pPr>
              <w:spacing w:after="0"/>
              <w:rPr>
                <w:rFonts w:cs="Arial"/>
                <w:sz w:val="18"/>
                <w:szCs w:val="18"/>
              </w:rPr>
            </w:pPr>
            <w:r w:rsidRPr="00950268">
              <w:rPr>
                <w:rFonts w:cs="Arial"/>
                <w:sz w:val="18"/>
                <w:szCs w:val="18"/>
              </w:rPr>
              <w:t xml:space="preserve">SHCS </w:t>
            </w:r>
            <w:r>
              <w:rPr>
                <w:rFonts w:cs="Arial"/>
                <w:sz w:val="18"/>
                <w:szCs w:val="18"/>
              </w:rPr>
              <w:t>–</w:t>
            </w:r>
            <w:r w:rsidRPr="00950268">
              <w:rPr>
                <w:rFonts w:cs="Arial"/>
                <w:sz w:val="18"/>
                <w:szCs w:val="18"/>
              </w:rPr>
              <w:t xml:space="preserve"> 7 tutors and 2 trainers</w:t>
            </w:r>
            <w:r>
              <w:rPr>
                <w:rFonts w:cs="Arial"/>
                <w:sz w:val="18"/>
                <w:szCs w:val="18"/>
              </w:rPr>
              <w:t xml:space="preserve">; </w:t>
            </w:r>
            <w:r w:rsidRPr="00950268">
              <w:rPr>
                <w:rFonts w:cs="Arial"/>
                <w:sz w:val="18"/>
                <w:szCs w:val="18"/>
              </w:rPr>
              <w:t xml:space="preserve">SAM </w:t>
            </w:r>
            <w:r>
              <w:rPr>
                <w:rFonts w:cs="Arial"/>
                <w:sz w:val="18"/>
                <w:szCs w:val="18"/>
              </w:rPr>
              <w:t>–</w:t>
            </w:r>
            <w:r w:rsidRPr="00950268">
              <w:rPr>
                <w:rFonts w:cs="Arial"/>
                <w:sz w:val="18"/>
                <w:szCs w:val="18"/>
              </w:rPr>
              <w:t xml:space="preserve"> 2 tutors</w:t>
            </w:r>
            <w:r>
              <w:rPr>
                <w:rFonts w:cs="Arial"/>
                <w:sz w:val="18"/>
                <w:szCs w:val="18"/>
              </w:rPr>
              <w:t xml:space="preserve">; </w:t>
            </w:r>
            <w:r w:rsidRPr="00950268">
              <w:rPr>
                <w:rFonts w:cs="Arial"/>
                <w:sz w:val="18"/>
                <w:szCs w:val="18"/>
              </w:rPr>
              <w:t xml:space="preserve">VAN </w:t>
            </w:r>
            <w:r>
              <w:rPr>
                <w:rFonts w:cs="Arial"/>
                <w:sz w:val="18"/>
                <w:szCs w:val="18"/>
              </w:rPr>
              <w:t>–</w:t>
            </w:r>
            <w:r w:rsidRPr="00950268">
              <w:rPr>
                <w:rFonts w:cs="Arial"/>
                <w:sz w:val="18"/>
                <w:szCs w:val="18"/>
              </w:rPr>
              <w:t xml:space="preserve"> 1 tutor</w:t>
            </w:r>
          </w:p>
          <w:p w14:paraId="0ACEE2E1" w14:textId="25ED615A" w:rsidR="003222C7" w:rsidRPr="00950268" w:rsidRDefault="003222C7" w:rsidP="003222C7">
            <w:pPr>
              <w:spacing w:after="0"/>
              <w:rPr>
                <w:rFonts w:cs="Arial"/>
                <w:b/>
                <w:sz w:val="18"/>
                <w:szCs w:val="18"/>
              </w:rPr>
            </w:pPr>
          </w:p>
        </w:tc>
        <w:tc>
          <w:tcPr>
            <w:tcW w:w="850" w:type="dxa"/>
          </w:tcPr>
          <w:p w14:paraId="3DE2891C" w14:textId="77777777" w:rsidR="00842952" w:rsidRPr="00950268" w:rsidRDefault="00842952" w:rsidP="00950268">
            <w:pPr>
              <w:spacing w:after="0"/>
              <w:rPr>
                <w:rFonts w:cs="Arial"/>
                <w:sz w:val="18"/>
                <w:szCs w:val="18"/>
              </w:rPr>
            </w:pPr>
            <w:r w:rsidRPr="00950268">
              <w:rPr>
                <w:rFonts w:cs="Arial"/>
                <w:sz w:val="18"/>
                <w:szCs w:val="18"/>
              </w:rPr>
              <w:t>SAM</w:t>
            </w:r>
          </w:p>
          <w:p w14:paraId="36B2D9EE" w14:textId="77777777" w:rsidR="00842952" w:rsidRPr="00950268" w:rsidRDefault="00842952" w:rsidP="00950268">
            <w:pPr>
              <w:spacing w:after="0"/>
              <w:rPr>
                <w:rFonts w:cs="Arial"/>
                <w:sz w:val="18"/>
                <w:szCs w:val="18"/>
              </w:rPr>
            </w:pPr>
            <w:r w:rsidRPr="00950268">
              <w:rPr>
                <w:rFonts w:cs="Arial"/>
                <w:sz w:val="18"/>
                <w:szCs w:val="18"/>
              </w:rPr>
              <w:t>SHCS</w:t>
            </w:r>
          </w:p>
          <w:p w14:paraId="065F4260" w14:textId="77777777" w:rsidR="00842952" w:rsidRPr="00950268" w:rsidRDefault="00842952" w:rsidP="00950268">
            <w:pPr>
              <w:spacing w:after="0"/>
              <w:rPr>
                <w:rFonts w:cs="Arial"/>
                <w:sz w:val="18"/>
                <w:szCs w:val="18"/>
              </w:rPr>
            </w:pPr>
            <w:r w:rsidRPr="00950268">
              <w:rPr>
                <w:rFonts w:cs="Arial"/>
                <w:sz w:val="18"/>
                <w:szCs w:val="18"/>
              </w:rPr>
              <w:t>VAN</w:t>
            </w:r>
          </w:p>
        </w:tc>
        <w:tc>
          <w:tcPr>
            <w:tcW w:w="850" w:type="dxa"/>
          </w:tcPr>
          <w:p w14:paraId="0F821839" w14:textId="77777777" w:rsidR="00842952" w:rsidRPr="00950268" w:rsidRDefault="00842952" w:rsidP="00950268">
            <w:pPr>
              <w:spacing w:after="0"/>
              <w:rPr>
                <w:rFonts w:cs="Arial"/>
                <w:sz w:val="18"/>
                <w:szCs w:val="18"/>
              </w:rPr>
            </w:pPr>
            <w:r w:rsidRPr="00950268">
              <w:rPr>
                <w:rFonts w:cs="Arial"/>
                <w:sz w:val="18"/>
                <w:szCs w:val="18"/>
              </w:rPr>
              <w:t>SOL</w:t>
            </w:r>
          </w:p>
          <w:p w14:paraId="0CE7F0CB" w14:textId="77777777" w:rsidR="00842952" w:rsidRPr="00950268" w:rsidRDefault="00842952" w:rsidP="00950268">
            <w:pPr>
              <w:spacing w:after="0"/>
              <w:rPr>
                <w:rFonts w:cs="Arial"/>
                <w:sz w:val="18"/>
                <w:szCs w:val="18"/>
              </w:rPr>
            </w:pPr>
            <w:r w:rsidRPr="00950268">
              <w:rPr>
                <w:rFonts w:cs="Arial"/>
                <w:sz w:val="18"/>
                <w:szCs w:val="18"/>
              </w:rPr>
              <w:t>PNG</w:t>
            </w:r>
          </w:p>
          <w:p w14:paraId="390D440F" w14:textId="77777777" w:rsidR="00842952" w:rsidRPr="00950268" w:rsidRDefault="00842952" w:rsidP="00950268">
            <w:pPr>
              <w:spacing w:after="0"/>
              <w:rPr>
                <w:rFonts w:cs="Arial"/>
                <w:sz w:val="18"/>
                <w:szCs w:val="18"/>
              </w:rPr>
            </w:pPr>
          </w:p>
        </w:tc>
        <w:tc>
          <w:tcPr>
            <w:tcW w:w="851" w:type="dxa"/>
          </w:tcPr>
          <w:p w14:paraId="4CF8C2A6" w14:textId="77777777" w:rsidR="00842952" w:rsidRPr="00950268" w:rsidRDefault="00842952" w:rsidP="00950268">
            <w:pPr>
              <w:spacing w:after="0"/>
              <w:rPr>
                <w:rFonts w:cs="Arial"/>
                <w:sz w:val="18"/>
                <w:szCs w:val="18"/>
              </w:rPr>
            </w:pPr>
            <w:r w:rsidRPr="00950268">
              <w:rPr>
                <w:rFonts w:cs="Arial"/>
                <w:sz w:val="18"/>
                <w:szCs w:val="18"/>
              </w:rPr>
              <w:t>STT</w:t>
            </w:r>
          </w:p>
          <w:p w14:paraId="7E5033EA" w14:textId="77777777" w:rsidR="00842952" w:rsidRPr="00950268" w:rsidRDefault="00842952" w:rsidP="00950268">
            <w:pPr>
              <w:spacing w:after="0"/>
              <w:rPr>
                <w:rFonts w:cs="Arial"/>
                <w:sz w:val="18"/>
                <w:szCs w:val="18"/>
              </w:rPr>
            </w:pPr>
          </w:p>
        </w:tc>
      </w:tr>
      <w:tr w:rsidR="00842952" w:rsidRPr="00E902EA" w14:paraId="61A8FB37" w14:textId="77777777" w:rsidTr="009D1865">
        <w:tc>
          <w:tcPr>
            <w:tcW w:w="527" w:type="dxa"/>
            <w:shd w:val="clear" w:color="auto" w:fill="E2EFD9" w:themeFill="accent6" w:themeFillTint="33"/>
          </w:tcPr>
          <w:p w14:paraId="5D531B94" w14:textId="77777777" w:rsidR="00842952" w:rsidRPr="00950268" w:rsidRDefault="00842952" w:rsidP="00950268">
            <w:pPr>
              <w:spacing w:after="0"/>
              <w:rPr>
                <w:rFonts w:cs="Arial"/>
                <w:b/>
                <w:sz w:val="18"/>
                <w:szCs w:val="18"/>
              </w:rPr>
            </w:pPr>
            <w:r w:rsidRPr="00950268">
              <w:rPr>
                <w:rFonts w:cs="Arial"/>
                <w:b/>
                <w:sz w:val="18"/>
                <w:szCs w:val="18"/>
              </w:rPr>
              <w:t>4.</w:t>
            </w:r>
          </w:p>
        </w:tc>
        <w:tc>
          <w:tcPr>
            <w:tcW w:w="5989" w:type="dxa"/>
            <w:shd w:val="clear" w:color="auto" w:fill="E2EFD9" w:themeFill="accent6" w:themeFillTint="33"/>
          </w:tcPr>
          <w:p w14:paraId="16F8FB18" w14:textId="77777777" w:rsidR="00842952" w:rsidRDefault="00842952" w:rsidP="00950268">
            <w:pPr>
              <w:spacing w:after="0"/>
              <w:rPr>
                <w:rFonts w:cs="Arial"/>
                <w:b/>
                <w:sz w:val="18"/>
                <w:szCs w:val="18"/>
              </w:rPr>
            </w:pPr>
            <w:r w:rsidRPr="00950268">
              <w:rPr>
                <w:rFonts w:cs="Arial"/>
                <w:b/>
                <w:sz w:val="18"/>
                <w:szCs w:val="18"/>
              </w:rPr>
              <w:t>Do employers/enterprises participate in course advisory committees (or similar) for the APTC?</w:t>
            </w:r>
          </w:p>
          <w:p w14:paraId="005A2F13" w14:textId="77777777" w:rsidR="006E5F1E" w:rsidRDefault="006E5F1E" w:rsidP="00950268">
            <w:pPr>
              <w:spacing w:after="0"/>
              <w:rPr>
                <w:rFonts w:cs="Arial"/>
                <w:sz w:val="18"/>
                <w:szCs w:val="18"/>
              </w:rPr>
            </w:pPr>
            <w:r w:rsidRPr="006E5F1E">
              <w:rPr>
                <w:rFonts w:cs="Arial"/>
                <w:sz w:val="18"/>
                <w:szCs w:val="18"/>
              </w:rPr>
              <w:t>Comments:</w:t>
            </w:r>
            <w:r>
              <w:rPr>
                <w:rFonts w:cs="Arial"/>
                <w:b/>
                <w:sz w:val="18"/>
                <w:szCs w:val="18"/>
              </w:rPr>
              <w:t xml:space="preserve"> </w:t>
            </w:r>
            <w:r w:rsidRPr="00950268">
              <w:rPr>
                <w:rFonts w:cs="Arial"/>
                <w:sz w:val="18"/>
                <w:szCs w:val="18"/>
              </w:rPr>
              <w:t>STT: Previously there were informal advisory committees. A formal committee for the combined trades commenced in February 2014</w:t>
            </w:r>
            <w:r>
              <w:rPr>
                <w:rFonts w:cs="Arial"/>
                <w:sz w:val="18"/>
                <w:szCs w:val="18"/>
              </w:rPr>
              <w:t xml:space="preserve">. </w:t>
            </w:r>
            <w:r w:rsidRPr="00950268">
              <w:rPr>
                <w:rFonts w:cs="Arial"/>
                <w:sz w:val="18"/>
                <w:szCs w:val="18"/>
              </w:rPr>
              <w:t>VAN: Informal advisory mechanisms exist, mostly through functions organised by APTC for this purpose.</w:t>
            </w:r>
          </w:p>
          <w:p w14:paraId="5855D674" w14:textId="7B30BD8A" w:rsidR="00984C01" w:rsidRPr="00950268" w:rsidRDefault="00984C01" w:rsidP="00950268">
            <w:pPr>
              <w:spacing w:after="0"/>
              <w:rPr>
                <w:rFonts w:cs="Arial"/>
                <w:b/>
                <w:sz w:val="18"/>
                <w:szCs w:val="18"/>
              </w:rPr>
            </w:pPr>
          </w:p>
        </w:tc>
        <w:tc>
          <w:tcPr>
            <w:tcW w:w="850" w:type="dxa"/>
            <w:shd w:val="clear" w:color="auto" w:fill="E2EFD9" w:themeFill="accent6" w:themeFillTint="33"/>
          </w:tcPr>
          <w:p w14:paraId="70110A3D" w14:textId="77777777" w:rsidR="00842952" w:rsidRPr="00950268" w:rsidRDefault="00842952" w:rsidP="00950268">
            <w:pPr>
              <w:spacing w:after="0"/>
              <w:rPr>
                <w:rFonts w:cs="Arial"/>
                <w:sz w:val="18"/>
                <w:szCs w:val="18"/>
              </w:rPr>
            </w:pPr>
            <w:r w:rsidRPr="00950268">
              <w:rPr>
                <w:rFonts w:cs="Arial"/>
                <w:sz w:val="18"/>
                <w:szCs w:val="18"/>
              </w:rPr>
              <w:t>STT</w:t>
            </w:r>
          </w:p>
          <w:p w14:paraId="58C2A7CA" w14:textId="77777777" w:rsidR="00842952" w:rsidRPr="00950268" w:rsidRDefault="00842952" w:rsidP="00950268">
            <w:pPr>
              <w:spacing w:after="0"/>
              <w:rPr>
                <w:rFonts w:cs="Arial"/>
                <w:sz w:val="18"/>
                <w:szCs w:val="18"/>
              </w:rPr>
            </w:pPr>
            <w:r w:rsidRPr="00950268">
              <w:rPr>
                <w:rFonts w:cs="Arial"/>
                <w:sz w:val="18"/>
                <w:szCs w:val="18"/>
              </w:rPr>
              <w:t>VAN</w:t>
            </w:r>
          </w:p>
          <w:p w14:paraId="3EABE44C" w14:textId="77777777" w:rsidR="00842952" w:rsidRPr="00950268" w:rsidRDefault="00842952" w:rsidP="00950268">
            <w:pPr>
              <w:spacing w:after="0"/>
              <w:rPr>
                <w:rFonts w:cs="Arial"/>
                <w:sz w:val="18"/>
                <w:szCs w:val="18"/>
              </w:rPr>
            </w:pPr>
            <w:r w:rsidRPr="00950268">
              <w:rPr>
                <w:rFonts w:cs="Arial"/>
                <w:sz w:val="18"/>
                <w:szCs w:val="18"/>
              </w:rPr>
              <w:t>PNG</w:t>
            </w:r>
          </w:p>
        </w:tc>
        <w:tc>
          <w:tcPr>
            <w:tcW w:w="850" w:type="dxa"/>
            <w:shd w:val="clear" w:color="auto" w:fill="E2EFD9" w:themeFill="accent6" w:themeFillTint="33"/>
          </w:tcPr>
          <w:p w14:paraId="6362115F" w14:textId="77777777" w:rsidR="00842952" w:rsidRPr="00950268" w:rsidRDefault="00842952" w:rsidP="00950268">
            <w:pPr>
              <w:spacing w:after="0"/>
              <w:rPr>
                <w:rFonts w:cs="Arial"/>
                <w:sz w:val="18"/>
                <w:szCs w:val="18"/>
              </w:rPr>
            </w:pPr>
            <w:r w:rsidRPr="00950268">
              <w:rPr>
                <w:rFonts w:cs="Arial"/>
                <w:sz w:val="18"/>
                <w:szCs w:val="18"/>
              </w:rPr>
              <w:t>SHCS</w:t>
            </w:r>
          </w:p>
          <w:p w14:paraId="44415A94" w14:textId="77777777" w:rsidR="00842952" w:rsidRPr="00950268" w:rsidRDefault="00842952" w:rsidP="00950268">
            <w:pPr>
              <w:spacing w:after="0"/>
              <w:rPr>
                <w:rFonts w:cs="Arial"/>
                <w:sz w:val="18"/>
                <w:szCs w:val="18"/>
              </w:rPr>
            </w:pPr>
            <w:r w:rsidRPr="00950268">
              <w:rPr>
                <w:rFonts w:cs="Arial"/>
                <w:sz w:val="18"/>
                <w:szCs w:val="18"/>
              </w:rPr>
              <w:t>SAM</w:t>
            </w:r>
          </w:p>
          <w:p w14:paraId="1A3CBD47" w14:textId="77777777" w:rsidR="00842952" w:rsidRPr="00950268" w:rsidRDefault="00842952" w:rsidP="00950268">
            <w:pPr>
              <w:spacing w:after="0"/>
              <w:rPr>
                <w:rFonts w:cs="Arial"/>
                <w:sz w:val="18"/>
                <w:szCs w:val="18"/>
              </w:rPr>
            </w:pPr>
            <w:r w:rsidRPr="00950268">
              <w:rPr>
                <w:rFonts w:cs="Arial"/>
                <w:sz w:val="18"/>
                <w:szCs w:val="18"/>
              </w:rPr>
              <w:t>SOL</w:t>
            </w:r>
          </w:p>
        </w:tc>
        <w:tc>
          <w:tcPr>
            <w:tcW w:w="851" w:type="dxa"/>
            <w:shd w:val="clear" w:color="auto" w:fill="E2EFD9" w:themeFill="accent6" w:themeFillTint="33"/>
          </w:tcPr>
          <w:p w14:paraId="27361AA5" w14:textId="77777777" w:rsidR="00842952" w:rsidRPr="00950268" w:rsidRDefault="00842952" w:rsidP="00950268">
            <w:pPr>
              <w:spacing w:after="0"/>
              <w:rPr>
                <w:rFonts w:cs="Arial"/>
                <w:sz w:val="18"/>
                <w:szCs w:val="18"/>
              </w:rPr>
            </w:pPr>
          </w:p>
        </w:tc>
      </w:tr>
      <w:tr w:rsidR="00842952" w:rsidRPr="00E902EA" w14:paraId="6B249C41" w14:textId="77777777" w:rsidTr="009D1865">
        <w:tc>
          <w:tcPr>
            <w:tcW w:w="527" w:type="dxa"/>
          </w:tcPr>
          <w:p w14:paraId="130EDFF4" w14:textId="77777777" w:rsidR="00842952" w:rsidRPr="00950268" w:rsidRDefault="00842952" w:rsidP="00950268">
            <w:pPr>
              <w:spacing w:after="0"/>
              <w:rPr>
                <w:rFonts w:cs="Arial"/>
                <w:b/>
                <w:sz w:val="18"/>
                <w:szCs w:val="18"/>
              </w:rPr>
            </w:pPr>
            <w:r w:rsidRPr="00950268">
              <w:rPr>
                <w:rFonts w:cs="Arial"/>
                <w:b/>
                <w:sz w:val="18"/>
                <w:szCs w:val="18"/>
              </w:rPr>
              <w:t>5.</w:t>
            </w:r>
          </w:p>
        </w:tc>
        <w:tc>
          <w:tcPr>
            <w:tcW w:w="5989" w:type="dxa"/>
          </w:tcPr>
          <w:p w14:paraId="099EA4D4" w14:textId="77777777" w:rsidR="00842952" w:rsidRDefault="00842952" w:rsidP="00950268">
            <w:pPr>
              <w:spacing w:after="0"/>
              <w:rPr>
                <w:rFonts w:cs="Arial"/>
                <w:b/>
                <w:sz w:val="18"/>
                <w:szCs w:val="18"/>
              </w:rPr>
            </w:pPr>
            <w:r w:rsidRPr="00950268">
              <w:rPr>
                <w:rFonts w:cs="Arial"/>
                <w:b/>
                <w:sz w:val="18"/>
                <w:szCs w:val="18"/>
              </w:rPr>
              <w:t>Are employers/enterprises involved in joint learning materials development projects for the APTC?</w:t>
            </w:r>
          </w:p>
          <w:p w14:paraId="46316D67" w14:textId="77777777" w:rsidR="00984C01" w:rsidRDefault="00984C01" w:rsidP="00950268">
            <w:pPr>
              <w:spacing w:after="0"/>
              <w:rPr>
                <w:rFonts w:cs="Arial"/>
                <w:sz w:val="18"/>
                <w:szCs w:val="18"/>
              </w:rPr>
            </w:pPr>
            <w:r w:rsidRPr="00984C01">
              <w:rPr>
                <w:rFonts w:cs="Arial"/>
                <w:sz w:val="18"/>
                <w:szCs w:val="18"/>
              </w:rPr>
              <w:t>Comments: VAN</w:t>
            </w:r>
            <w:r w:rsidRPr="00950268">
              <w:rPr>
                <w:rFonts w:cs="Arial"/>
                <w:sz w:val="18"/>
                <w:szCs w:val="18"/>
              </w:rPr>
              <w:t>: In the past 12 months, employers contributed approximately 150 hours in this capacity.</w:t>
            </w:r>
          </w:p>
          <w:p w14:paraId="3CB2555A" w14:textId="1E693C0C" w:rsidR="00984C01" w:rsidRPr="00950268" w:rsidRDefault="00984C01" w:rsidP="00950268">
            <w:pPr>
              <w:spacing w:after="0"/>
              <w:rPr>
                <w:rFonts w:cs="Arial"/>
                <w:b/>
                <w:sz w:val="18"/>
                <w:szCs w:val="18"/>
              </w:rPr>
            </w:pPr>
          </w:p>
        </w:tc>
        <w:tc>
          <w:tcPr>
            <w:tcW w:w="850" w:type="dxa"/>
          </w:tcPr>
          <w:p w14:paraId="20814300" w14:textId="77777777" w:rsidR="00842952" w:rsidRPr="00950268" w:rsidRDefault="00842952" w:rsidP="00950268">
            <w:pPr>
              <w:spacing w:after="0"/>
              <w:rPr>
                <w:rFonts w:cs="Arial"/>
                <w:sz w:val="18"/>
                <w:szCs w:val="18"/>
              </w:rPr>
            </w:pPr>
            <w:r w:rsidRPr="00950268">
              <w:rPr>
                <w:rFonts w:cs="Arial"/>
                <w:sz w:val="18"/>
                <w:szCs w:val="18"/>
              </w:rPr>
              <w:t>VAN</w:t>
            </w:r>
          </w:p>
          <w:p w14:paraId="19F420A8" w14:textId="77777777" w:rsidR="00842952" w:rsidRPr="00950268" w:rsidRDefault="00842952" w:rsidP="00950268">
            <w:pPr>
              <w:spacing w:after="0"/>
              <w:rPr>
                <w:rFonts w:cs="Arial"/>
                <w:sz w:val="18"/>
                <w:szCs w:val="18"/>
              </w:rPr>
            </w:pPr>
            <w:r w:rsidRPr="00950268">
              <w:rPr>
                <w:rFonts w:cs="Arial"/>
                <w:sz w:val="18"/>
                <w:szCs w:val="18"/>
              </w:rPr>
              <w:t>PNG</w:t>
            </w:r>
          </w:p>
        </w:tc>
        <w:tc>
          <w:tcPr>
            <w:tcW w:w="850" w:type="dxa"/>
          </w:tcPr>
          <w:p w14:paraId="459595B6" w14:textId="77777777" w:rsidR="00842952" w:rsidRPr="00950268" w:rsidRDefault="00842952" w:rsidP="00950268">
            <w:pPr>
              <w:spacing w:after="0"/>
              <w:rPr>
                <w:rFonts w:cs="Arial"/>
                <w:sz w:val="18"/>
                <w:szCs w:val="18"/>
              </w:rPr>
            </w:pPr>
            <w:r w:rsidRPr="00950268">
              <w:rPr>
                <w:rFonts w:cs="Arial"/>
                <w:sz w:val="18"/>
                <w:szCs w:val="18"/>
              </w:rPr>
              <w:t>SHCS</w:t>
            </w:r>
          </w:p>
          <w:p w14:paraId="169D484D" w14:textId="77777777" w:rsidR="00842952" w:rsidRPr="00950268" w:rsidRDefault="00842952" w:rsidP="00950268">
            <w:pPr>
              <w:spacing w:after="0"/>
              <w:rPr>
                <w:rFonts w:cs="Arial"/>
                <w:sz w:val="18"/>
                <w:szCs w:val="18"/>
              </w:rPr>
            </w:pPr>
            <w:r w:rsidRPr="00950268">
              <w:rPr>
                <w:rFonts w:cs="Arial"/>
                <w:sz w:val="18"/>
                <w:szCs w:val="18"/>
              </w:rPr>
              <w:t>SOL</w:t>
            </w:r>
          </w:p>
        </w:tc>
        <w:tc>
          <w:tcPr>
            <w:tcW w:w="851" w:type="dxa"/>
          </w:tcPr>
          <w:p w14:paraId="2AEB7C01" w14:textId="77777777" w:rsidR="00842952" w:rsidRPr="00950268" w:rsidRDefault="00842952" w:rsidP="00950268">
            <w:pPr>
              <w:spacing w:after="0"/>
              <w:rPr>
                <w:rFonts w:cs="Arial"/>
                <w:sz w:val="18"/>
                <w:szCs w:val="18"/>
              </w:rPr>
            </w:pPr>
            <w:r w:rsidRPr="00950268">
              <w:rPr>
                <w:rFonts w:cs="Arial"/>
                <w:sz w:val="18"/>
                <w:szCs w:val="18"/>
              </w:rPr>
              <w:t>STT</w:t>
            </w:r>
          </w:p>
          <w:p w14:paraId="2700F786" w14:textId="77777777" w:rsidR="00842952" w:rsidRPr="00950268" w:rsidRDefault="00842952" w:rsidP="00950268">
            <w:pPr>
              <w:spacing w:after="0"/>
              <w:rPr>
                <w:rFonts w:cs="Arial"/>
                <w:sz w:val="18"/>
                <w:szCs w:val="18"/>
              </w:rPr>
            </w:pPr>
            <w:r w:rsidRPr="00950268">
              <w:rPr>
                <w:rFonts w:cs="Arial"/>
                <w:sz w:val="18"/>
                <w:szCs w:val="18"/>
              </w:rPr>
              <w:t>SAM</w:t>
            </w:r>
          </w:p>
        </w:tc>
      </w:tr>
      <w:tr w:rsidR="00842952" w:rsidRPr="00E902EA" w14:paraId="72E15AA8" w14:textId="77777777" w:rsidTr="009D1865">
        <w:tc>
          <w:tcPr>
            <w:tcW w:w="527" w:type="dxa"/>
            <w:shd w:val="clear" w:color="auto" w:fill="E2EFD9" w:themeFill="accent6" w:themeFillTint="33"/>
          </w:tcPr>
          <w:p w14:paraId="3F32DF41" w14:textId="77777777" w:rsidR="00842952" w:rsidRPr="00950268" w:rsidRDefault="00842952" w:rsidP="00950268">
            <w:pPr>
              <w:spacing w:after="0"/>
              <w:rPr>
                <w:rFonts w:cs="Arial"/>
                <w:b/>
                <w:sz w:val="18"/>
                <w:szCs w:val="18"/>
              </w:rPr>
            </w:pPr>
            <w:r w:rsidRPr="00950268">
              <w:rPr>
                <w:rFonts w:cs="Arial"/>
                <w:b/>
                <w:sz w:val="18"/>
                <w:szCs w:val="18"/>
              </w:rPr>
              <w:t>6.</w:t>
            </w:r>
          </w:p>
        </w:tc>
        <w:tc>
          <w:tcPr>
            <w:tcW w:w="5989" w:type="dxa"/>
            <w:shd w:val="clear" w:color="auto" w:fill="E2EFD9" w:themeFill="accent6" w:themeFillTint="33"/>
          </w:tcPr>
          <w:p w14:paraId="77CE36B2" w14:textId="77777777" w:rsidR="00842952" w:rsidRDefault="00842952" w:rsidP="00950268">
            <w:pPr>
              <w:spacing w:after="0"/>
              <w:rPr>
                <w:rFonts w:cs="Arial"/>
                <w:b/>
                <w:sz w:val="18"/>
                <w:szCs w:val="18"/>
              </w:rPr>
            </w:pPr>
            <w:r w:rsidRPr="00950268">
              <w:rPr>
                <w:rFonts w:cs="Arial"/>
                <w:b/>
                <w:sz w:val="18"/>
                <w:szCs w:val="18"/>
              </w:rPr>
              <w:t>Do employers/enterprises participate in any governing or advisory bodies for the APTC?</w:t>
            </w:r>
          </w:p>
          <w:p w14:paraId="4793C969" w14:textId="77777777" w:rsidR="00715D65" w:rsidRDefault="00715D65" w:rsidP="00950268">
            <w:pPr>
              <w:spacing w:after="0"/>
              <w:rPr>
                <w:rFonts w:cs="Arial"/>
                <w:sz w:val="18"/>
                <w:szCs w:val="18"/>
              </w:rPr>
            </w:pPr>
            <w:r w:rsidRPr="00715D65">
              <w:rPr>
                <w:rFonts w:cs="Arial"/>
                <w:sz w:val="18"/>
                <w:szCs w:val="18"/>
              </w:rPr>
              <w:t>Comments:</w:t>
            </w:r>
            <w:r>
              <w:rPr>
                <w:rFonts w:cs="Arial"/>
                <w:b/>
                <w:sz w:val="18"/>
                <w:szCs w:val="18"/>
              </w:rPr>
              <w:t xml:space="preserve"> </w:t>
            </w:r>
            <w:r w:rsidRPr="00950268">
              <w:rPr>
                <w:rFonts w:cs="Arial"/>
                <w:sz w:val="18"/>
                <w:szCs w:val="18"/>
              </w:rPr>
              <w:t>Country Managers responding positively to this question referred to the involvement of the country representative in the APTC Advisory Group.</w:t>
            </w:r>
          </w:p>
          <w:p w14:paraId="1DAB98BB" w14:textId="73BB05D8" w:rsidR="00715D65" w:rsidRPr="00950268" w:rsidRDefault="00715D65" w:rsidP="00950268">
            <w:pPr>
              <w:spacing w:after="0"/>
              <w:rPr>
                <w:rFonts w:cs="Arial"/>
                <w:b/>
                <w:sz w:val="18"/>
                <w:szCs w:val="18"/>
              </w:rPr>
            </w:pPr>
          </w:p>
        </w:tc>
        <w:tc>
          <w:tcPr>
            <w:tcW w:w="850" w:type="dxa"/>
            <w:shd w:val="clear" w:color="auto" w:fill="E2EFD9" w:themeFill="accent6" w:themeFillTint="33"/>
          </w:tcPr>
          <w:p w14:paraId="5B0F08C9" w14:textId="77777777" w:rsidR="00842952" w:rsidRPr="00950268" w:rsidRDefault="00842952" w:rsidP="00950268">
            <w:pPr>
              <w:spacing w:after="0"/>
              <w:rPr>
                <w:rFonts w:cs="Arial"/>
                <w:sz w:val="18"/>
                <w:szCs w:val="18"/>
              </w:rPr>
            </w:pPr>
            <w:r w:rsidRPr="00950268">
              <w:rPr>
                <w:rFonts w:cs="Arial"/>
                <w:sz w:val="18"/>
                <w:szCs w:val="18"/>
              </w:rPr>
              <w:t>SAM</w:t>
            </w:r>
          </w:p>
          <w:p w14:paraId="6AD0F277" w14:textId="77777777" w:rsidR="00842952" w:rsidRPr="00950268" w:rsidRDefault="00842952" w:rsidP="00950268">
            <w:pPr>
              <w:spacing w:after="0"/>
              <w:rPr>
                <w:rFonts w:cs="Arial"/>
                <w:sz w:val="18"/>
                <w:szCs w:val="18"/>
              </w:rPr>
            </w:pPr>
            <w:r w:rsidRPr="00950268">
              <w:rPr>
                <w:rFonts w:cs="Arial"/>
                <w:sz w:val="18"/>
                <w:szCs w:val="18"/>
              </w:rPr>
              <w:t>SOL</w:t>
            </w:r>
          </w:p>
          <w:p w14:paraId="6CF2AB33" w14:textId="77777777" w:rsidR="00842952" w:rsidRPr="00950268" w:rsidRDefault="00842952" w:rsidP="00950268">
            <w:pPr>
              <w:spacing w:after="0"/>
              <w:rPr>
                <w:rFonts w:cs="Arial"/>
                <w:sz w:val="18"/>
                <w:szCs w:val="18"/>
              </w:rPr>
            </w:pPr>
            <w:r w:rsidRPr="00950268">
              <w:rPr>
                <w:rFonts w:cs="Arial"/>
                <w:sz w:val="18"/>
                <w:szCs w:val="18"/>
              </w:rPr>
              <w:t>PNG</w:t>
            </w:r>
          </w:p>
          <w:p w14:paraId="349EB9FD" w14:textId="77777777" w:rsidR="00842952" w:rsidRPr="00950268" w:rsidRDefault="00842952" w:rsidP="00950268">
            <w:pPr>
              <w:spacing w:after="0"/>
              <w:rPr>
                <w:rFonts w:cs="Arial"/>
                <w:sz w:val="18"/>
                <w:szCs w:val="18"/>
              </w:rPr>
            </w:pPr>
            <w:r w:rsidRPr="00950268">
              <w:rPr>
                <w:rFonts w:cs="Arial"/>
                <w:sz w:val="18"/>
                <w:szCs w:val="18"/>
              </w:rPr>
              <w:t>VAN</w:t>
            </w:r>
          </w:p>
        </w:tc>
        <w:tc>
          <w:tcPr>
            <w:tcW w:w="850" w:type="dxa"/>
            <w:shd w:val="clear" w:color="auto" w:fill="E2EFD9" w:themeFill="accent6" w:themeFillTint="33"/>
          </w:tcPr>
          <w:p w14:paraId="4851FF7E" w14:textId="77777777" w:rsidR="00842952" w:rsidRPr="00950268" w:rsidRDefault="00842952" w:rsidP="00950268">
            <w:pPr>
              <w:spacing w:after="0"/>
              <w:rPr>
                <w:rFonts w:cs="Arial"/>
                <w:sz w:val="18"/>
                <w:szCs w:val="18"/>
              </w:rPr>
            </w:pPr>
            <w:r w:rsidRPr="00950268">
              <w:rPr>
                <w:rFonts w:cs="Arial"/>
                <w:sz w:val="18"/>
                <w:szCs w:val="18"/>
              </w:rPr>
              <w:t>SHCS</w:t>
            </w:r>
          </w:p>
          <w:p w14:paraId="0CC363C9" w14:textId="77777777" w:rsidR="00842952" w:rsidRPr="00950268" w:rsidRDefault="00842952" w:rsidP="00950268">
            <w:pPr>
              <w:spacing w:after="0"/>
              <w:rPr>
                <w:rFonts w:cs="Arial"/>
                <w:sz w:val="18"/>
                <w:szCs w:val="18"/>
              </w:rPr>
            </w:pPr>
            <w:r w:rsidRPr="00950268">
              <w:rPr>
                <w:rFonts w:cs="Arial"/>
                <w:sz w:val="18"/>
                <w:szCs w:val="18"/>
              </w:rPr>
              <w:t>STT</w:t>
            </w:r>
          </w:p>
          <w:p w14:paraId="3ED7D5C9" w14:textId="77777777" w:rsidR="00842952" w:rsidRPr="00950268" w:rsidRDefault="00842952" w:rsidP="00950268">
            <w:pPr>
              <w:spacing w:after="0"/>
              <w:rPr>
                <w:rFonts w:cs="Arial"/>
                <w:sz w:val="18"/>
                <w:szCs w:val="18"/>
              </w:rPr>
            </w:pPr>
          </w:p>
        </w:tc>
        <w:tc>
          <w:tcPr>
            <w:tcW w:w="851" w:type="dxa"/>
            <w:shd w:val="clear" w:color="auto" w:fill="E2EFD9" w:themeFill="accent6" w:themeFillTint="33"/>
          </w:tcPr>
          <w:p w14:paraId="79314999" w14:textId="77777777" w:rsidR="00842952" w:rsidRPr="00950268" w:rsidRDefault="00842952" w:rsidP="00950268">
            <w:pPr>
              <w:spacing w:after="0"/>
              <w:rPr>
                <w:rFonts w:cs="Arial"/>
                <w:sz w:val="18"/>
                <w:szCs w:val="18"/>
              </w:rPr>
            </w:pPr>
          </w:p>
        </w:tc>
      </w:tr>
      <w:tr w:rsidR="00842952" w:rsidRPr="00E902EA" w14:paraId="264CB811" w14:textId="77777777" w:rsidTr="009D1865">
        <w:tc>
          <w:tcPr>
            <w:tcW w:w="527" w:type="dxa"/>
          </w:tcPr>
          <w:p w14:paraId="0638EA00" w14:textId="77777777" w:rsidR="00842952" w:rsidRPr="00950268" w:rsidRDefault="00842952" w:rsidP="00950268">
            <w:pPr>
              <w:spacing w:after="0"/>
              <w:rPr>
                <w:rFonts w:cs="Arial"/>
                <w:b/>
                <w:sz w:val="18"/>
                <w:szCs w:val="18"/>
              </w:rPr>
            </w:pPr>
            <w:r w:rsidRPr="00950268">
              <w:rPr>
                <w:rFonts w:cs="Arial"/>
                <w:b/>
                <w:sz w:val="18"/>
                <w:szCs w:val="18"/>
              </w:rPr>
              <w:t>7.</w:t>
            </w:r>
          </w:p>
        </w:tc>
        <w:tc>
          <w:tcPr>
            <w:tcW w:w="5989" w:type="dxa"/>
          </w:tcPr>
          <w:p w14:paraId="58CF3FA4" w14:textId="77777777" w:rsidR="00842952" w:rsidRDefault="00842952" w:rsidP="00950268">
            <w:pPr>
              <w:spacing w:after="0"/>
              <w:rPr>
                <w:rFonts w:cs="Arial"/>
                <w:b/>
                <w:sz w:val="18"/>
                <w:szCs w:val="18"/>
              </w:rPr>
            </w:pPr>
            <w:r w:rsidRPr="00950268">
              <w:rPr>
                <w:rFonts w:cs="Arial"/>
                <w:b/>
                <w:sz w:val="18"/>
                <w:szCs w:val="18"/>
              </w:rPr>
              <w:t>Do employers/enterprises participate in the strategic planning process for APTC?</w:t>
            </w:r>
          </w:p>
          <w:p w14:paraId="4E9BBB8A" w14:textId="77777777" w:rsidR="00D8266C" w:rsidRDefault="00D8266C" w:rsidP="00950268">
            <w:pPr>
              <w:spacing w:after="0"/>
              <w:rPr>
                <w:rFonts w:cs="Arial"/>
                <w:sz w:val="18"/>
                <w:szCs w:val="18"/>
              </w:rPr>
            </w:pPr>
            <w:r w:rsidRPr="00D8266C">
              <w:rPr>
                <w:rFonts w:cs="Arial"/>
                <w:sz w:val="18"/>
                <w:szCs w:val="18"/>
              </w:rPr>
              <w:t>Comments:</w:t>
            </w:r>
            <w:r>
              <w:rPr>
                <w:rFonts w:cs="Arial"/>
                <w:b/>
                <w:sz w:val="18"/>
                <w:szCs w:val="18"/>
              </w:rPr>
              <w:t xml:space="preserve"> </w:t>
            </w:r>
            <w:r w:rsidRPr="00950268">
              <w:rPr>
                <w:rFonts w:cs="Arial"/>
                <w:sz w:val="18"/>
                <w:szCs w:val="18"/>
              </w:rPr>
              <w:t>SHCS – referred to employer involvement in training profile decisions and the implementation of new training package requirements.</w:t>
            </w:r>
            <w:r w:rsidRPr="00D93E69" w:rsidDel="00D93E69">
              <w:rPr>
                <w:rFonts w:cs="Arial"/>
                <w:sz w:val="18"/>
                <w:szCs w:val="18"/>
              </w:rPr>
              <w:t xml:space="preserve"> </w:t>
            </w:r>
            <w:r w:rsidRPr="00950268">
              <w:rPr>
                <w:rFonts w:cs="Arial"/>
                <w:sz w:val="18"/>
                <w:szCs w:val="18"/>
              </w:rPr>
              <w:t>VAN – referred to the APTC Advisory Group strategic planning workshop held in Vanuatu in May 2014, at which Vanuatu employers and stakeholders were invited to speak.</w:t>
            </w:r>
          </w:p>
          <w:p w14:paraId="5075B912" w14:textId="455810F0" w:rsidR="00D8266C" w:rsidRPr="00950268" w:rsidRDefault="00D8266C" w:rsidP="00950268">
            <w:pPr>
              <w:spacing w:after="0"/>
              <w:rPr>
                <w:rFonts w:cs="Arial"/>
                <w:b/>
                <w:sz w:val="18"/>
                <w:szCs w:val="18"/>
              </w:rPr>
            </w:pPr>
          </w:p>
        </w:tc>
        <w:tc>
          <w:tcPr>
            <w:tcW w:w="850" w:type="dxa"/>
          </w:tcPr>
          <w:p w14:paraId="4F49D4C9" w14:textId="77777777" w:rsidR="00842952" w:rsidRPr="00950268" w:rsidRDefault="00842952" w:rsidP="00950268">
            <w:pPr>
              <w:spacing w:after="0"/>
              <w:rPr>
                <w:rFonts w:cs="Arial"/>
                <w:sz w:val="18"/>
                <w:szCs w:val="18"/>
              </w:rPr>
            </w:pPr>
            <w:r w:rsidRPr="00950268">
              <w:rPr>
                <w:rFonts w:cs="Arial"/>
                <w:sz w:val="18"/>
                <w:szCs w:val="18"/>
              </w:rPr>
              <w:t>SHCS</w:t>
            </w:r>
          </w:p>
          <w:p w14:paraId="5E74F66A" w14:textId="77777777" w:rsidR="00842952" w:rsidRPr="00950268" w:rsidRDefault="00842952" w:rsidP="00950268">
            <w:pPr>
              <w:spacing w:after="0"/>
              <w:rPr>
                <w:rFonts w:cs="Arial"/>
                <w:sz w:val="18"/>
                <w:szCs w:val="18"/>
              </w:rPr>
            </w:pPr>
            <w:r w:rsidRPr="00950268">
              <w:rPr>
                <w:rFonts w:cs="Arial"/>
                <w:sz w:val="18"/>
                <w:szCs w:val="18"/>
              </w:rPr>
              <w:t>VAN</w:t>
            </w:r>
          </w:p>
          <w:p w14:paraId="481E20B7" w14:textId="77777777" w:rsidR="00842952" w:rsidRPr="00950268" w:rsidRDefault="00842952" w:rsidP="00950268">
            <w:pPr>
              <w:spacing w:after="0"/>
              <w:rPr>
                <w:rFonts w:cs="Arial"/>
                <w:sz w:val="18"/>
                <w:szCs w:val="18"/>
              </w:rPr>
            </w:pPr>
          </w:p>
        </w:tc>
        <w:tc>
          <w:tcPr>
            <w:tcW w:w="850" w:type="dxa"/>
          </w:tcPr>
          <w:p w14:paraId="46D9EF03" w14:textId="77777777" w:rsidR="00842952" w:rsidRPr="00950268" w:rsidRDefault="00842952" w:rsidP="00950268">
            <w:pPr>
              <w:spacing w:after="0"/>
              <w:rPr>
                <w:rFonts w:cs="Arial"/>
                <w:sz w:val="18"/>
                <w:szCs w:val="18"/>
              </w:rPr>
            </w:pPr>
            <w:r w:rsidRPr="00950268">
              <w:rPr>
                <w:rFonts w:cs="Arial"/>
                <w:sz w:val="18"/>
                <w:szCs w:val="18"/>
              </w:rPr>
              <w:t>STT</w:t>
            </w:r>
          </w:p>
          <w:p w14:paraId="31B31A76" w14:textId="77777777" w:rsidR="00842952" w:rsidRPr="00950268" w:rsidRDefault="00842952" w:rsidP="00950268">
            <w:pPr>
              <w:spacing w:after="0"/>
              <w:rPr>
                <w:rFonts w:cs="Arial"/>
                <w:sz w:val="18"/>
                <w:szCs w:val="18"/>
              </w:rPr>
            </w:pPr>
            <w:r w:rsidRPr="00950268">
              <w:rPr>
                <w:rFonts w:cs="Arial"/>
                <w:sz w:val="18"/>
                <w:szCs w:val="18"/>
              </w:rPr>
              <w:t>PNG</w:t>
            </w:r>
          </w:p>
          <w:p w14:paraId="3F0AE893" w14:textId="77777777" w:rsidR="00842952" w:rsidRPr="00950268" w:rsidRDefault="00842952" w:rsidP="00950268">
            <w:pPr>
              <w:spacing w:after="0"/>
              <w:rPr>
                <w:rFonts w:cs="Arial"/>
                <w:sz w:val="18"/>
                <w:szCs w:val="18"/>
              </w:rPr>
            </w:pPr>
            <w:r w:rsidRPr="00950268">
              <w:rPr>
                <w:rFonts w:cs="Arial"/>
                <w:sz w:val="18"/>
                <w:szCs w:val="18"/>
              </w:rPr>
              <w:t>SAM</w:t>
            </w:r>
          </w:p>
          <w:p w14:paraId="208922BA" w14:textId="77777777" w:rsidR="00842952" w:rsidRPr="00950268" w:rsidRDefault="00842952" w:rsidP="00950268">
            <w:pPr>
              <w:spacing w:after="0"/>
              <w:rPr>
                <w:rFonts w:cs="Arial"/>
                <w:sz w:val="18"/>
                <w:szCs w:val="18"/>
              </w:rPr>
            </w:pPr>
            <w:r w:rsidRPr="00950268">
              <w:rPr>
                <w:rFonts w:cs="Arial"/>
                <w:sz w:val="18"/>
                <w:szCs w:val="18"/>
              </w:rPr>
              <w:t>SOL</w:t>
            </w:r>
          </w:p>
        </w:tc>
        <w:tc>
          <w:tcPr>
            <w:tcW w:w="851" w:type="dxa"/>
          </w:tcPr>
          <w:p w14:paraId="4805EC72" w14:textId="77777777" w:rsidR="00842952" w:rsidRPr="00950268" w:rsidRDefault="00842952" w:rsidP="00950268">
            <w:pPr>
              <w:spacing w:after="0"/>
              <w:rPr>
                <w:rFonts w:cs="Arial"/>
                <w:sz w:val="18"/>
                <w:szCs w:val="18"/>
              </w:rPr>
            </w:pPr>
          </w:p>
        </w:tc>
      </w:tr>
      <w:tr w:rsidR="00842952" w:rsidRPr="00E902EA" w14:paraId="17C21AA7" w14:textId="77777777" w:rsidTr="009D1865">
        <w:tc>
          <w:tcPr>
            <w:tcW w:w="527" w:type="dxa"/>
            <w:shd w:val="clear" w:color="auto" w:fill="E2EFD9" w:themeFill="accent6" w:themeFillTint="33"/>
          </w:tcPr>
          <w:p w14:paraId="4BE321DD" w14:textId="77777777" w:rsidR="00842952" w:rsidRPr="00950268" w:rsidRDefault="00842952" w:rsidP="00950268">
            <w:pPr>
              <w:spacing w:after="0"/>
              <w:rPr>
                <w:rFonts w:cs="Arial"/>
                <w:b/>
                <w:sz w:val="18"/>
                <w:szCs w:val="18"/>
              </w:rPr>
            </w:pPr>
            <w:r w:rsidRPr="00950268">
              <w:rPr>
                <w:rFonts w:cs="Arial"/>
                <w:b/>
                <w:sz w:val="18"/>
                <w:szCs w:val="18"/>
              </w:rPr>
              <w:t>8.</w:t>
            </w:r>
          </w:p>
        </w:tc>
        <w:tc>
          <w:tcPr>
            <w:tcW w:w="5989" w:type="dxa"/>
            <w:shd w:val="clear" w:color="auto" w:fill="E2EFD9" w:themeFill="accent6" w:themeFillTint="33"/>
          </w:tcPr>
          <w:p w14:paraId="1EC20580" w14:textId="77777777" w:rsidR="00842952" w:rsidRDefault="00842952" w:rsidP="00950268">
            <w:pPr>
              <w:spacing w:after="0"/>
              <w:rPr>
                <w:rFonts w:cs="Arial"/>
                <w:b/>
                <w:sz w:val="18"/>
                <w:szCs w:val="18"/>
              </w:rPr>
            </w:pPr>
            <w:r w:rsidRPr="00950268">
              <w:rPr>
                <w:rFonts w:cs="Arial"/>
                <w:b/>
                <w:sz w:val="18"/>
                <w:szCs w:val="18"/>
              </w:rPr>
              <w:t>Do employers/enterprises provide any live work projects for students?</w:t>
            </w:r>
          </w:p>
          <w:p w14:paraId="1E9C0A52" w14:textId="77777777" w:rsidR="00425A36" w:rsidRDefault="00425A36" w:rsidP="00950268">
            <w:pPr>
              <w:spacing w:after="0"/>
              <w:rPr>
                <w:rFonts w:cs="Arial"/>
                <w:sz w:val="18"/>
                <w:szCs w:val="18"/>
              </w:rPr>
            </w:pPr>
            <w:r w:rsidRPr="00425A36">
              <w:rPr>
                <w:rFonts w:cs="Arial"/>
                <w:sz w:val="18"/>
                <w:szCs w:val="18"/>
              </w:rPr>
              <w:t>Comments:</w:t>
            </w:r>
            <w:r>
              <w:rPr>
                <w:rFonts w:cs="Arial"/>
                <w:b/>
                <w:sz w:val="18"/>
                <w:szCs w:val="18"/>
              </w:rPr>
              <w:t xml:space="preserve"> </w:t>
            </w:r>
            <w:r w:rsidRPr="00950268">
              <w:rPr>
                <w:rFonts w:cs="Arial"/>
                <w:sz w:val="18"/>
                <w:szCs w:val="18"/>
              </w:rPr>
              <w:t xml:space="preserve">With the exception of the Solomon Is where students are studying </w:t>
            </w:r>
            <w:r>
              <w:rPr>
                <w:rFonts w:cs="Arial"/>
                <w:sz w:val="18"/>
                <w:szCs w:val="18"/>
              </w:rPr>
              <w:t>C</w:t>
            </w:r>
            <w:r w:rsidRPr="00950268">
              <w:rPr>
                <w:rFonts w:cs="Arial"/>
                <w:sz w:val="18"/>
                <w:szCs w:val="18"/>
              </w:rPr>
              <w:t xml:space="preserve">ertificate </w:t>
            </w:r>
            <w:r>
              <w:rPr>
                <w:rFonts w:cs="Arial"/>
                <w:sz w:val="18"/>
                <w:szCs w:val="18"/>
              </w:rPr>
              <w:t>II</w:t>
            </w:r>
            <w:r w:rsidRPr="00950268">
              <w:rPr>
                <w:rFonts w:cs="Arial"/>
                <w:sz w:val="18"/>
                <w:szCs w:val="18"/>
              </w:rPr>
              <w:t>, all other respondents provided multiple examples of live work projects.</w:t>
            </w:r>
          </w:p>
          <w:p w14:paraId="6396ED2E" w14:textId="53FCA6E9" w:rsidR="00425A36" w:rsidRPr="00950268" w:rsidRDefault="00425A36" w:rsidP="00950268">
            <w:pPr>
              <w:spacing w:after="0"/>
              <w:rPr>
                <w:rFonts w:cs="Arial"/>
                <w:b/>
                <w:sz w:val="18"/>
                <w:szCs w:val="18"/>
              </w:rPr>
            </w:pPr>
          </w:p>
        </w:tc>
        <w:tc>
          <w:tcPr>
            <w:tcW w:w="850" w:type="dxa"/>
            <w:shd w:val="clear" w:color="auto" w:fill="E2EFD9" w:themeFill="accent6" w:themeFillTint="33"/>
          </w:tcPr>
          <w:p w14:paraId="3015EC02" w14:textId="77777777" w:rsidR="00842952" w:rsidRPr="00950268" w:rsidRDefault="00842952" w:rsidP="00950268">
            <w:pPr>
              <w:spacing w:after="0"/>
              <w:rPr>
                <w:rFonts w:cs="Arial"/>
                <w:sz w:val="18"/>
                <w:szCs w:val="18"/>
              </w:rPr>
            </w:pPr>
            <w:r w:rsidRPr="00950268">
              <w:rPr>
                <w:rFonts w:cs="Arial"/>
                <w:sz w:val="18"/>
                <w:szCs w:val="18"/>
              </w:rPr>
              <w:t>SHCS</w:t>
            </w:r>
          </w:p>
          <w:p w14:paraId="540BCA96" w14:textId="77777777" w:rsidR="00842952" w:rsidRPr="00950268" w:rsidRDefault="00842952" w:rsidP="00950268">
            <w:pPr>
              <w:spacing w:after="0"/>
              <w:rPr>
                <w:rFonts w:cs="Arial"/>
                <w:sz w:val="18"/>
                <w:szCs w:val="18"/>
              </w:rPr>
            </w:pPr>
            <w:r w:rsidRPr="00950268">
              <w:rPr>
                <w:rFonts w:cs="Arial"/>
                <w:sz w:val="18"/>
                <w:szCs w:val="18"/>
              </w:rPr>
              <w:t>STT</w:t>
            </w:r>
          </w:p>
          <w:p w14:paraId="6367CFBB" w14:textId="77777777" w:rsidR="00842952" w:rsidRPr="00950268" w:rsidRDefault="00842952" w:rsidP="00950268">
            <w:pPr>
              <w:spacing w:after="0"/>
              <w:rPr>
                <w:rFonts w:cs="Arial"/>
                <w:sz w:val="18"/>
                <w:szCs w:val="18"/>
              </w:rPr>
            </w:pPr>
            <w:r w:rsidRPr="00950268">
              <w:rPr>
                <w:rFonts w:cs="Arial"/>
                <w:sz w:val="18"/>
                <w:szCs w:val="18"/>
              </w:rPr>
              <w:t>PNG</w:t>
            </w:r>
          </w:p>
          <w:p w14:paraId="209920B6" w14:textId="77777777" w:rsidR="00842952" w:rsidRPr="00950268" w:rsidRDefault="00842952" w:rsidP="00950268">
            <w:pPr>
              <w:spacing w:after="0"/>
              <w:rPr>
                <w:rFonts w:cs="Arial"/>
                <w:sz w:val="18"/>
                <w:szCs w:val="18"/>
              </w:rPr>
            </w:pPr>
            <w:r w:rsidRPr="00950268">
              <w:rPr>
                <w:rFonts w:cs="Arial"/>
                <w:sz w:val="18"/>
                <w:szCs w:val="18"/>
              </w:rPr>
              <w:t>SAM</w:t>
            </w:r>
          </w:p>
          <w:p w14:paraId="2D88AF8C" w14:textId="77777777" w:rsidR="00842952" w:rsidRPr="00950268" w:rsidRDefault="00842952" w:rsidP="00950268">
            <w:pPr>
              <w:spacing w:after="0"/>
              <w:rPr>
                <w:rFonts w:cs="Arial"/>
                <w:sz w:val="18"/>
                <w:szCs w:val="18"/>
              </w:rPr>
            </w:pPr>
            <w:r w:rsidRPr="00950268">
              <w:rPr>
                <w:rFonts w:cs="Arial"/>
                <w:sz w:val="18"/>
                <w:szCs w:val="18"/>
              </w:rPr>
              <w:t>VAN</w:t>
            </w:r>
          </w:p>
        </w:tc>
        <w:tc>
          <w:tcPr>
            <w:tcW w:w="850" w:type="dxa"/>
            <w:shd w:val="clear" w:color="auto" w:fill="E2EFD9" w:themeFill="accent6" w:themeFillTint="33"/>
          </w:tcPr>
          <w:p w14:paraId="6FC367FF" w14:textId="77777777" w:rsidR="00842952" w:rsidRPr="00950268" w:rsidRDefault="00842952" w:rsidP="00950268">
            <w:pPr>
              <w:spacing w:after="0"/>
              <w:rPr>
                <w:rFonts w:cs="Arial"/>
                <w:sz w:val="18"/>
                <w:szCs w:val="18"/>
              </w:rPr>
            </w:pPr>
            <w:r w:rsidRPr="00950268">
              <w:rPr>
                <w:rFonts w:cs="Arial"/>
                <w:sz w:val="18"/>
                <w:szCs w:val="18"/>
              </w:rPr>
              <w:t>SOL</w:t>
            </w:r>
          </w:p>
          <w:p w14:paraId="36798F2F" w14:textId="77777777" w:rsidR="00842952" w:rsidRPr="00950268" w:rsidRDefault="00842952" w:rsidP="00950268">
            <w:pPr>
              <w:spacing w:after="0"/>
              <w:rPr>
                <w:rFonts w:cs="Arial"/>
                <w:sz w:val="18"/>
                <w:szCs w:val="18"/>
              </w:rPr>
            </w:pPr>
          </w:p>
        </w:tc>
        <w:tc>
          <w:tcPr>
            <w:tcW w:w="851" w:type="dxa"/>
            <w:shd w:val="clear" w:color="auto" w:fill="E2EFD9" w:themeFill="accent6" w:themeFillTint="33"/>
          </w:tcPr>
          <w:p w14:paraId="7076C720" w14:textId="77777777" w:rsidR="00842952" w:rsidRPr="00950268" w:rsidRDefault="00842952" w:rsidP="00950268">
            <w:pPr>
              <w:spacing w:after="0"/>
              <w:rPr>
                <w:rFonts w:cs="Arial"/>
                <w:sz w:val="18"/>
                <w:szCs w:val="18"/>
              </w:rPr>
            </w:pPr>
          </w:p>
        </w:tc>
      </w:tr>
    </w:tbl>
    <w:p w14:paraId="011703B9" w14:textId="77777777" w:rsidR="00372DC9" w:rsidRDefault="00372DC9">
      <w:r>
        <w:br w:type="page"/>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5256"/>
        <w:gridCol w:w="825"/>
        <w:gridCol w:w="825"/>
        <w:gridCol w:w="801"/>
      </w:tblGrid>
      <w:tr w:rsidR="00842952" w:rsidRPr="00E902EA" w14:paraId="5C339A9F" w14:textId="77777777" w:rsidTr="009D1865">
        <w:tc>
          <w:tcPr>
            <w:tcW w:w="527" w:type="dxa"/>
          </w:tcPr>
          <w:p w14:paraId="344A1BDD" w14:textId="4EBB4370" w:rsidR="00842952" w:rsidRPr="00950268" w:rsidRDefault="00842952" w:rsidP="00950268">
            <w:pPr>
              <w:spacing w:after="0"/>
              <w:rPr>
                <w:rFonts w:cs="Arial"/>
                <w:b/>
                <w:sz w:val="18"/>
                <w:szCs w:val="18"/>
              </w:rPr>
            </w:pPr>
            <w:r w:rsidRPr="00950268">
              <w:rPr>
                <w:rFonts w:cs="Arial"/>
                <w:b/>
                <w:sz w:val="18"/>
                <w:szCs w:val="18"/>
              </w:rPr>
              <w:t>9.</w:t>
            </w:r>
          </w:p>
        </w:tc>
        <w:tc>
          <w:tcPr>
            <w:tcW w:w="5989" w:type="dxa"/>
          </w:tcPr>
          <w:p w14:paraId="70B2A170" w14:textId="77777777" w:rsidR="00842952" w:rsidRDefault="00842952" w:rsidP="00950268">
            <w:pPr>
              <w:spacing w:after="0"/>
              <w:rPr>
                <w:rFonts w:cs="Arial"/>
                <w:b/>
                <w:sz w:val="18"/>
                <w:szCs w:val="18"/>
              </w:rPr>
            </w:pPr>
            <w:r w:rsidRPr="00950268">
              <w:rPr>
                <w:rFonts w:cs="Arial"/>
                <w:b/>
                <w:sz w:val="18"/>
                <w:szCs w:val="18"/>
              </w:rPr>
              <w:t>Do employers/enterprises engage APTC staff for training their own staff?</w:t>
            </w:r>
          </w:p>
          <w:p w14:paraId="53D6018B" w14:textId="71901527" w:rsidR="00372DC9" w:rsidRDefault="00372DC9" w:rsidP="00372DC9">
            <w:pPr>
              <w:spacing w:after="0"/>
              <w:rPr>
                <w:rFonts w:cs="Arial"/>
                <w:sz w:val="18"/>
                <w:szCs w:val="18"/>
              </w:rPr>
            </w:pPr>
            <w:r w:rsidRPr="00372DC9">
              <w:rPr>
                <w:rFonts w:cs="Arial"/>
                <w:sz w:val="18"/>
                <w:szCs w:val="18"/>
              </w:rPr>
              <w:t xml:space="preserve">Comments: </w:t>
            </w:r>
            <w:r w:rsidRPr="00950268">
              <w:rPr>
                <w:rFonts w:cs="Arial"/>
                <w:sz w:val="18"/>
                <w:szCs w:val="18"/>
              </w:rPr>
              <w:t>This question was somewhat confused between scholarship and fee</w:t>
            </w:r>
            <w:r>
              <w:rPr>
                <w:rFonts w:cs="Arial"/>
                <w:sz w:val="18"/>
                <w:szCs w:val="18"/>
              </w:rPr>
              <w:t>-</w:t>
            </w:r>
            <w:r w:rsidRPr="00950268">
              <w:rPr>
                <w:rFonts w:cs="Arial"/>
                <w:sz w:val="18"/>
                <w:szCs w:val="18"/>
              </w:rPr>
              <w:t>for</w:t>
            </w:r>
            <w:r>
              <w:rPr>
                <w:rFonts w:cs="Arial"/>
                <w:sz w:val="18"/>
                <w:szCs w:val="18"/>
              </w:rPr>
              <w:t>-</w:t>
            </w:r>
            <w:r w:rsidRPr="00950268">
              <w:rPr>
                <w:rFonts w:cs="Arial"/>
                <w:sz w:val="18"/>
                <w:szCs w:val="18"/>
              </w:rPr>
              <w:t xml:space="preserve">service activity. Value cited of this training in the past </w:t>
            </w:r>
            <w:r>
              <w:rPr>
                <w:rFonts w:cs="Arial"/>
                <w:sz w:val="18"/>
                <w:szCs w:val="18"/>
              </w:rPr>
              <w:t>12</w:t>
            </w:r>
            <w:r w:rsidRPr="00950268">
              <w:rPr>
                <w:rFonts w:cs="Arial"/>
                <w:sz w:val="18"/>
                <w:szCs w:val="18"/>
              </w:rPr>
              <w:t xml:space="preserve"> months was:</w:t>
            </w:r>
            <w:r>
              <w:rPr>
                <w:rFonts w:cs="Arial"/>
                <w:sz w:val="18"/>
                <w:szCs w:val="18"/>
              </w:rPr>
              <w:t xml:space="preserve"> </w:t>
            </w:r>
            <w:r w:rsidR="00527F9D">
              <w:rPr>
                <w:rFonts w:cs="Arial"/>
                <w:sz w:val="18"/>
                <w:szCs w:val="18"/>
              </w:rPr>
              <w:br/>
            </w:r>
            <w:r w:rsidRPr="00950268">
              <w:rPr>
                <w:rFonts w:cs="Arial"/>
                <w:sz w:val="18"/>
                <w:szCs w:val="18"/>
              </w:rPr>
              <w:t>SHCS – AUD 65,000 (approx.)</w:t>
            </w:r>
            <w:r>
              <w:rPr>
                <w:rFonts w:cs="Arial"/>
                <w:sz w:val="18"/>
                <w:szCs w:val="18"/>
              </w:rPr>
              <w:t xml:space="preserve">; </w:t>
            </w:r>
            <w:r w:rsidR="00527F9D">
              <w:rPr>
                <w:rFonts w:cs="Arial"/>
                <w:sz w:val="18"/>
                <w:szCs w:val="18"/>
              </w:rPr>
              <w:br/>
            </w:r>
            <w:r w:rsidRPr="00950268">
              <w:rPr>
                <w:rFonts w:cs="Arial"/>
                <w:sz w:val="18"/>
                <w:szCs w:val="18"/>
              </w:rPr>
              <w:t>PNG – AUD 290,000</w:t>
            </w:r>
            <w:r>
              <w:rPr>
                <w:rFonts w:cs="Arial"/>
                <w:sz w:val="18"/>
                <w:szCs w:val="18"/>
              </w:rPr>
              <w:t xml:space="preserve">; </w:t>
            </w:r>
            <w:r>
              <w:rPr>
                <w:rFonts w:cs="Arial"/>
                <w:sz w:val="18"/>
                <w:szCs w:val="18"/>
              </w:rPr>
              <w:br/>
            </w:r>
            <w:r w:rsidRPr="00950268">
              <w:rPr>
                <w:rFonts w:cs="Arial"/>
                <w:sz w:val="18"/>
                <w:szCs w:val="18"/>
              </w:rPr>
              <w:t>SAM – AUD 1m in fee-for service income, mostly through government departments and using donor funding</w:t>
            </w:r>
            <w:r>
              <w:rPr>
                <w:rFonts w:cs="Arial"/>
                <w:sz w:val="18"/>
                <w:szCs w:val="18"/>
              </w:rPr>
              <w:t xml:space="preserve">; </w:t>
            </w:r>
            <w:r w:rsidR="00527F9D">
              <w:rPr>
                <w:rFonts w:cs="Arial"/>
                <w:sz w:val="18"/>
                <w:szCs w:val="18"/>
              </w:rPr>
              <w:br/>
            </w:r>
            <w:r w:rsidRPr="00950268">
              <w:rPr>
                <w:rFonts w:cs="Arial"/>
                <w:sz w:val="18"/>
                <w:szCs w:val="18"/>
              </w:rPr>
              <w:t>SOL – AUD $200,000</w:t>
            </w:r>
            <w:r>
              <w:rPr>
                <w:rFonts w:cs="Arial"/>
                <w:sz w:val="18"/>
                <w:szCs w:val="18"/>
              </w:rPr>
              <w:t xml:space="preserve">; </w:t>
            </w:r>
            <w:r>
              <w:rPr>
                <w:rFonts w:cs="Arial"/>
                <w:sz w:val="18"/>
                <w:szCs w:val="18"/>
              </w:rPr>
              <w:br/>
            </w:r>
            <w:r w:rsidRPr="00950268">
              <w:rPr>
                <w:rFonts w:cs="Arial"/>
                <w:sz w:val="18"/>
                <w:szCs w:val="18"/>
              </w:rPr>
              <w:t xml:space="preserve">VAN </w:t>
            </w:r>
            <w:r>
              <w:rPr>
                <w:rFonts w:cs="Arial"/>
                <w:sz w:val="18"/>
                <w:szCs w:val="18"/>
              </w:rPr>
              <w:t>–</w:t>
            </w:r>
            <w:r w:rsidRPr="00950268">
              <w:rPr>
                <w:rFonts w:cs="Arial"/>
                <w:sz w:val="18"/>
                <w:szCs w:val="18"/>
              </w:rPr>
              <w:t xml:space="preserve"> not specified.</w:t>
            </w:r>
          </w:p>
          <w:p w14:paraId="1A1BC614" w14:textId="5CA99278" w:rsidR="00372DC9" w:rsidRPr="00950268" w:rsidRDefault="00372DC9" w:rsidP="00372DC9">
            <w:pPr>
              <w:spacing w:after="0"/>
              <w:rPr>
                <w:rFonts w:cs="Arial"/>
                <w:b/>
                <w:sz w:val="18"/>
                <w:szCs w:val="18"/>
              </w:rPr>
            </w:pPr>
          </w:p>
        </w:tc>
        <w:tc>
          <w:tcPr>
            <w:tcW w:w="850" w:type="dxa"/>
          </w:tcPr>
          <w:p w14:paraId="368AAA1C" w14:textId="77777777" w:rsidR="00842952" w:rsidRPr="00950268" w:rsidRDefault="00842952" w:rsidP="00950268">
            <w:pPr>
              <w:spacing w:after="0"/>
              <w:rPr>
                <w:rFonts w:cs="Arial"/>
                <w:sz w:val="18"/>
                <w:szCs w:val="18"/>
              </w:rPr>
            </w:pPr>
            <w:r w:rsidRPr="00950268">
              <w:rPr>
                <w:rFonts w:cs="Arial"/>
                <w:sz w:val="18"/>
                <w:szCs w:val="18"/>
              </w:rPr>
              <w:t>SHCS</w:t>
            </w:r>
          </w:p>
          <w:p w14:paraId="00ACBA89" w14:textId="77777777" w:rsidR="00842952" w:rsidRPr="00950268" w:rsidRDefault="00842952" w:rsidP="00950268">
            <w:pPr>
              <w:spacing w:after="0"/>
              <w:rPr>
                <w:rFonts w:cs="Arial"/>
                <w:sz w:val="18"/>
                <w:szCs w:val="18"/>
              </w:rPr>
            </w:pPr>
            <w:r w:rsidRPr="00950268">
              <w:rPr>
                <w:rFonts w:cs="Arial"/>
                <w:sz w:val="18"/>
                <w:szCs w:val="18"/>
              </w:rPr>
              <w:t>PNG</w:t>
            </w:r>
          </w:p>
          <w:p w14:paraId="7D7CBC62" w14:textId="77777777" w:rsidR="00842952" w:rsidRPr="00950268" w:rsidRDefault="00842952" w:rsidP="00950268">
            <w:pPr>
              <w:spacing w:after="0"/>
              <w:rPr>
                <w:rFonts w:cs="Arial"/>
                <w:sz w:val="18"/>
                <w:szCs w:val="18"/>
              </w:rPr>
            </w:pPr>
            <w:r w:rsidRPr="00950268">
              <w:rPr>
                <w:rFonts w:cs="Arial"/>
                <w:sz w:val="18"/>
                <w:szCs w:val="18"/>
              </w:rPr>
              <w:t>SAM</w:t>
            </w:r>
          </w:p>
          <w:p w14:paraId="3553F8A9" w14:textId="77777777" w:rsidR="00842952" w:rsidRPr="00950268" w:rsidRDefault="00842952" w:rsidP="00950268">
            <w:pPr>
              <w:spacing w:after="0"/>
              <w:rPr>
                <w:rFonts w:cs="Arial"/>
                <w:sz w:val="18"/>
                <w:szCs w:val="18"/>
              </w:rPr>
            </w:pPr>
            <w:r w:rsidRPr="00950268">
              <w:rPr>
                <w:rFonts w:cs="Arial"/>
                <w:sz w:val="18"/>
                <w:szCs w:val="18"/>
              </w:rPr>
              <w:t>SOL</w:t>
            </w:r>
          </w:p>
          <w:p w14:paraId="7177308D" w14:textId="77777777" w:rsidR="00842952" w:rsidRPr="00950268" w:rsidRDefault="00842952" w:rsidP="00950268">
            <w:pPr>
              <w:spacing w:after="0"/>
              <w:rPr>
                <w:rFonts w:cs="Arial"/>
                <w:sz w:val="18"/>
                <w:szCs w:val="18"/>
              </w:rPr>
            </w:pPr>
            <w:r w:rsidRPr="00950268">
              <w:rPr>
                <w:rFonts w:cs="Arial"/>
                <w:sz w:val="18"/>
                <w:szCs w:val="18"/>
              </w:rPr>
              <w:t>VAN</w:t>
            </w:r>
          </w:p>
        </w:tc>
        <w:tc>
          <w:tcPr>
            <w:tcW w:w="850" w:type="dxa"/>
          </w:tcPr>
          <w:p w14:paraId="048E842B" w14:textId="77777777" w:rsidR="00842952" w:rsidRPr="00950268" w:rsidRDefault="00842952" w:rsidP="00950268">
            <w:pPr>
              <w:spacing w:after="0"/>
              <w:rPr>
                <w:rFonts w:cs="Arial"/>
                <w:sz w:val="18"/>
                <w:szCs w:val="18"/>
              </w:rPr>
            </w:pPr>
            <w:r w:rsidRPr="00950268">
              <w:rPr>
                <w:rFonts w:cs="Arial"/>
                <w:sz w:val="18"/>
                <w:szCs w:val="18"/>
              </w:rPr>
              <w:t>STT</w:t>
            </w:r>
          </w:p>
          <w:p w14:paraId="6A710B4F" w14:textId="77777777" w:rsidR="00842952" w:rsidRPr="00950268" w:rsidRDefault="00842952" w:rsidP="00950268">
            <w:pPr>
              <w:spacing w:after="0"/>
              <w:rPr>
                <w:rFonts w:cs="Arial"/>
                <w:sz w:val="18"/>
                <w:szCs w:val="18"/>
              </w:rPr>
            </w:pPr>
          </w:p>
        </w:tc>
        <w:tc>
          <w:tcPr>
            <w:tcW w:w="851" w:type="dxa"/>
          </w:tcPr>
          <w:p w14:paraId="0DCBBD8E" w14:textId="77777777" w:rsidR="00842952" w:rsidRPr="00950268" w:rsidRDefault="00842952" w:rsidP="00950268">
            <w:pPr>
              <w:spacing w:after="0"/>
              <w:rPr>
                <w:rFonts w:cs="Arial"/>
                <w:sz w:val="18"/>
                <w:szCs w:val="18"/>
              </w:rPr>
            </w:pPr>
          </w:p>
        </w:tc>
      </w:tr>
      <w:tr w:rsidR="00842952" w:rsidRPr="00E902EA" w14:paraId="5FBD33B3" w14:textId="77777777" w:rsidTr="009D1865">
        <w:tc>
          <w:tcPr>
            <w:tcW w:w="527" w:type="dxa"/>
            <w:shd w:val="clear" w:color="auto" w:fill="E2EFD9" w:themeFill="accent6" w:themeFillTint="33"/>
          </w:tcPr>
          <w:p w14:paraId="5F404C96" w14:textId="77777777" w:rsidR="00842952" w:rsidRPr="00950268" w:rsidRDefault="00842952" w:rsidP="00950268">
            <w:pPr>
              <w:spacing w:after="0"/>
              <w:rPr>
                <w:rFonts w:cs="Arial"/>
                <w:b/>
                <w:sz w:val="18"/>
                <w:szCs w:val="18"/>
              </w:rPr>
            </w:pPr>
            <w:r w:rsidRPr="00950268">
              <w:rPr>
                <w:rFonts w:cs="Arial"/>
                <w:b/>
                <w:sz w:val="18"/>
                <w:szCs w:val="18"/>
              </w:rPr>
              <w:t>10</w:t>
            </w:r>
          </w:p>
        </w:tc>
        <w:tc>
          <w:tcPr>
            <w:tcW w:w="5989" w:type="dxa"/>
            <w:shd w:val="clear" w:color="auto" w:fill="E2EFD9" w:themeFill="accent6" w:themeFillTint="33"/>
          </w:tcPr>
          <w:p w14:paraId="3A5C960D" w14:textId="77777777" w:rsidR="00842952" w:rsidRDefault="00842952" w:rsidP="00950268">
            <w:pPr>
              <w:spacing w:after="0"/>
              <w:rPr>
                <w:rFonts w:cs="Arial"/>
                <w:b/>
                <w:sz w:val="18"/>
                <w:szCs w:val="18"/>
              </w:rPr>
            </w:pPr>
            <w:r w:rsidRPr="00950268">
              <w:rPr>
                <w:rFonts w:cs="Arial"/>
                <w:b/>
                <w:sz w:val="18"/>
                <w:szCs w:val="18"/>
              </w:rPr>
              <w:t>Do employers/enterprises sponsor awards or scholarships for your students?</w:t>
            </w:r>
          </w:p>
          <w:p w14:paraId="09685DD1" w14:textId="77777777" w:rsidR="0008603A" w:rsidRDefault="0008603A" w:rsidP="0008603A">
            <w:pPr>
              <w:spacing w:after="0"/>
              <w:rPr>
                <w:rFonts w:cs="Arial"/>
                <w:sz w:val="18"/>
                <w:szCs w:val="18"/>
              </w:rPr>
            </w:pPr>
            <w:r>
              <w:rPr>
                <w:rFonts w:cs="Arial"/>
                <w:b/>
                <w:sz w:val="18"/>
                <w:szCs w:val="18"/>
              </w:rPr>
              <w:t xml:space="preserve">Comments: </w:t>
            </w:r>
            <w:r w:rsidRPr="00950268">
              <w:rPr>
                <w:rFonts w:cs="Arial"/>
                <w:sz w:val="18"/>
                <w:szCs w:val="18"/>
              </w:rPr>
              <w:t>PNG – The question was somewhat confused with routine scholarships.</w:t>
            </w:r>
            <w:r>
              <w:rPr>
                <w:rFonts w:cs="Arial"/>
                <w:sz w:val="18"/>
                <w:szCs w:val="18"/>
              </w:rPr>
              <w:t xml:space="preserve"> </w:t>
            </w:r>
            <w:r w:rsidRPr="00950268">
              <w:rPr>
                <w:rFonts w:cs="Arial"/>
                <w:sz w:val="18"/>
                <w:szCs w:val="18"/>
              </w:rPr>
              <w:t>SAM – A few awards and scholarships were sponsored by NZ Aid. VAN – There are instances of employers contributing to scholarships.</w:t>
            </w:r>
          </w:p>
          <w:p w14:paraId="40C7046A" w14:textId="5C402752" w:rsidR="0008603A" w:rsidRPr="0008603A" w:rsidRDefault="0008603A" w:rsidP="0008603A">
            <w:pPr>
              <w:spacing w:after="0"/>
              <w:rPr>
                <w:rFonts w:cs="Arial"/>
                <w:sz w:val="18"/>
                <w:szCs w:val="18"/>
              </w:rPr>
            </w:pPr>
          </w:p>
        </w:tc>
        <w:tc>
          <w:tcPr>
            <w:tcW w:w="850" w:type="dxa"/>
            <w:shd w:val="clear" w:color="auto" w:fill="E2EFD9" w:themeFill="accent6" w:themeFillTint="33"/>
          </w:tcPr>
          <w:p w14:paraId="2E011BE5" w14:textId="77777777" w:rsidR="00842952" w:rsidRPr="00950268" w:rsidRDefault="00842952" w:rsidP="00950268">
            <w:pPr>
              <w:spacing w:after="0"/>
              <w:rPr>
                <w:rFonts w:cs="Arial"/>
                <w:sz w:val="18"/>
                <w:szCs w:val="18"/>
              </w:rPr>
            </w:pPr>
            <w:r w:rsidRPr="00950268">
              <w:rPr>
                <w:rFonts w:cs="Arial"/>
                <w:sz w:val="18"/>
                <w:szCs w:val="18"/>
              </w:rPr>
              <w:t>SAM</w:t>
            </w:r>
          </w:p>
          <w:p w14:paraId="7B97DB4E" w14:textId="77777777" w:rsidR="00842952" w:rsidRPr="00950268" w:rsidRDefault="00842952" w:rsidP="00950268">
            <w:pPr>
              <w:spacing w:after="0"/>
              <w:rPr>
                <w:rFonts w:cs="Arial"/>
                <w:sz w:val="18"/>
                <w:szCs w:val="18"/>
              </w:rPr>
            </w:pPr>
            <w:r w:rsidRPr="00950268">
              <w:rPr>
                <w:rFonts w:cs="Arial"/>
                <w:sz w:val="18"/>
                <w:szCs w:val="18"/>
              </w:rPr>
              <w:t>PNG</w:t>
            </w:r>
          </w:p>
          <w:p w14:paraId="0BC54B9B" w14:textId="77777777" w:rsidR="00842952" w:rsidRPr="00950268" w:rsidRDefault="00842952" w:rsidP="00950268">
            <w:pPr>
              <w:spacing w:after="0"/>
              <w:rPr>
                <w:rFonts w:cs="Arial"/>
                <w:sz w:val="18"/>
                <w:szCs w:val="18"/>
              </w:rPr>
            </w:pPr>
            <w:r w:rsidRPr="00950268">
              <w:rPr>
                <w:rFonts w:cs="Arial"/>
                <w:sz w:val="18"/>
                <w:szCs w:val="18"/>
              </w:rPr>
              <w:t>VAN</w:t>
            </w:r>
          </w:p>
        </w:tc>
        <w:tc>
          <w:tcPr>
            <w:tcW w:w="850" w:type="dxa"/>
            <w:shd w:val="clear" w:color="auto" w:fill="E2EFD9" w:themeFill="accent6" w:themeFillTint="33"/>
          </w:tcPr>
          <w:p w14:paraId="2AF22DFC" w14:textId="77777777" w:rsidR="00842952" w:rsidRPr="00950268" w:rsidRDefault="00842952" w:rsidP="00950268">
            <w:pPr>
              <w:spacing w:after="0"/>
              <w:rPr>
                <w:rFonts w:cs="Arial"/>
                <w:sz w:val="18"/>
                <w:szCs w:val="18"/>
              </w:rPr>
            </w:pPr>
            <w:r w:rsidRPr="00950268">
              <w:rPr>
                <w:rFonts w:cs="Arial"/>
                <w:sz w:val="18"/>
                <w:szCs w:val="18"/>
              </w:rPr>
              <w:t>SHCS</w:t>
            </w:r>
          </w:p>
          <w:p w14:paraId="27DAEAA0" w14:textId="77777777" w:rsidR="00842952" w:rsidRPr="00950268" w:rsidRDefault="00842952" w:rsidP="00950268">
            <w:pPr>
              <w:spacing w:after="0"/>
              <w:rPr>
                <w:rFonts w:cs="Arial"/>
                <w:sz w:val="18"/>
                <w:szCs w:val="18"/>
              </w:rPr>
            </w:pPr>
            <w:r w:rsidRPr="00950268">
              <w:rPr>
                <w:rFonts w:cs="Arial"/>
                <w:sz w:val="18"/>
                <w:szCs w:val="18"/>
              </w:rPr>
              <w:t>STT</w:t>
            </w:r>
          </w:p>
          <w:p w14:paraId="1467B9F2" w14:textId="77777777" w:rsidR="00842952" w:rsidRPr="00950268" w:rsidRDefault="00842952" w:rsidP="00950268">
            <w:pPr>
              <w:spacing w:after="0"/>
              <w:rPr>
                <w:rFonts w:cs="Arial"/>
                <w:sz w:val="18"/>
                <w:szCs w:val="18"/>
              </w:rPr>
            </w:pPr>
            <w:r w:rsidRPr="00950268">
              <w:rPr>
                <w:rFonts w:cs="Arial"/>
                <w:sz w:val="18"/>
                <w:szCs w:val="18"/>
              </w:rPr>
              <w:t>SOL</w:t>
            </w:r>
          </w:p>
        </w:tc>
        <w:tc>
          <w:tcPr>
            <w:tcW w:w="851" w:type="dxa"/>
            <w:shd w:val="clear" w:color="auto" w:fill="E2EFD9" w:themeFill="accent6" w:themeFillTint="33"/>
          </w:tcPr>
          <w:p w14:paraId="6A5526C5" w14:textId="77777777" w:rsidR="00842952" w:rsidRPr="00950268" w:rsidRDefault="00842952" w:rsidP="00950268">
            <w:pPr>
              <w:spacing w:after="0"/>
              <w:rPr>
                <w:rFonts w:cs="Arial"/>
                <w:sz w:val="18"/>
                <w:szCs w:val="18"/>
              </w:rPr>
            </w:pPr>
          </w:p>
        </w:tc>
      </w:tr>
      <w:tr w:rsidR="00842952" w:rsidRPr="00E902EA" w14:paraId="4B4DC3A9" w14:textId="77777777" w:rsidTr="009D1865">
        <w:tc>
          <w:tcPr>
            <w:tcW w:w="527" w:type="dxa"/>
          </w:tcPr>
          <w:p w14:paraId="615BBC51" w14:textId="77777777" w:rsidR="00842952" w:rsidRPr="00950268" w:rsidRDefault="00842952" w:rsidP="00950268">
            <w:pPr>
              <w:spacing w:after="0"/>
              <w:rPr>
                <w:rFonts w:cs="Arial"/>
                <w:b/>
                <w:sz w:val="18"/>
                <w:szCs w:val="18"/>
              </w:rPr>
            </w:pPr>
            <w:r w:rsidRPr="00950268">
              <w:rPr>
                <w:rFonts w:cs="Arial"/>
                <w:b/>
                <w:sz w:val="18"/>
                <w:szCs w:val="18"/>
              </w:rPr>
              <w:t>11.</w:t>
            </w:r>
          </w:p>
        </w:tc>
        <w:tc>
          <w:tcPr>
            <w:tcW w:w="5989" w:type="dxa"/>
          </w:tcPr>
          <w:p w14:paraId="1790C702" w14:textId="77777777" w:rsidR="00842952" w:rsidRDefault="00842952" w:rsidP="00950268">
            <w:pPr>
              <w:spacing w:after="0"/>
              <w:rPr>
                <w:rFonts w:cs="Arial"/>
                <w:b/>
                <w:sz w:val="18"/>
                <w:szCs w:val="18"/>
              </w:rPr>
            </w:pPr>
            <w:r w:rsidRPr="00950268">
              <w:rPr>
                <w:rFonts w:cs="Arial"/>
                <w:b/>
                <w:sz w:val="18"/>
                <w:szCs w:val="18"/>
              </w:rPr>
              <w:t>Does the APTC sponsor any industry awards for employers/ enterprises?</w:t>
            </w:r>
          </w:p>
          <w:p w14:paraId="7A266D35" w14:textId="6FF016EA" w:rsidR="0008603A" w:rsidRDefault="0008603A" w:rsidP="0008603A">
            <w:pPr>
              <w:spacing w:after="0"/>
              <w:rPr>
                <w:rFonts w:cs="Arial"/>
                <w:sz w:val="18"/>
                <w:szCs w:val="18"/>
              </w:rPr>
            </w:pPr>
            <w:r w:rsidRPr="0008603A">
              <w:rPr>
                <w:rFonts w:cs="Arial"/>
                <w:sz w:val="18"/>
                <w:szCs w:val="18"/>
              </w:rPr>
              <w:t>Comments:</w:t>
            </w:r>
            <w:r>
              <w:rPr>
                <w:rFonts w:cs="Arial"/>
                <w:b/>
                <w:sz w:val="18"/>
                <w:szCs w:val="18"/>
              </w:rPr>
              <w:t xml:space="preserve"> </w:t>
            </w:r>
            <w:r w:rsidRPr="00950268">
              <w:rPr>
                <w:rFonts w:cs="Arial"/>
                <w:sz w:val="18"/>
                <w:szCs w:val="18"/>
              </w:rPr>
              <w:t>SHCS – In-kind sponsorship only</w:t>
            </w:r>
            <w:r>
              <w:rPr>
                <w:rFonts w:cs="Arial"/>
                <w:sz w:val="18"/>
                <w:szCs w:val="18"/>
              </w:rPr>
              <w:t xml:space="preserve">. </w:t>
            </w:r>
            <w:r w:rsidR="00527F9D">
              <w:rPr>
                <w:rFonts w:cs="Arial"/>
                <w:sz w:val="18"/>
                <w:szCs w:val="18"/>
              </w:rPr>
              <w:br/>
            </w:r>
            <w:r w:rsidRPr="00950268">
              <w:rPr>
                <w:rFonts w:cs="Arial"/>
                <w:sz w:val="18"/>
                <w:szCs w:val="18"/>
              </w:rPr>
              <w:t xml:space="preserve">VAN – In-kind sponsorship only at a total of 43 functions </w:t>
            </w:r>
            <w:r w:rsidR="00527F9D">
              <w:rPr>
                <w:rFonts w:cs="Arial"/>
                <w:sz w:val="18"/>
                <w:szCs w:val="18"/>
              </w:rPr>
              <w:br/>
            </w:r>
            <w:r w:rsidRPr="00950268">
              <w:rPr>
                <w:rFonts w:cs="Arial"/>
                <w:sz w:val="18"/>
                <w:szCs w:val="18"/>
              </w:rPr>
              <w:t>in the past 12 months.</w:t>
            </w:r>
          </w:p>
          <w:p w14:paraId="17545495" w14:textId="2EED93F0" w:rsidR="0008603A" w:rsidRPr="00950268" w:rsidRDefault="0008603A" w:rsidP="0008603A">
            <w:pPr>
              <w:spacing w:after="0"/>
              <w:rPr>
                <w:rFonts w:cs="Arial"/>
                <w:b/>
                <w:sz w:val="18"/>
                <w:szCs w:val="18"/>
              </w:rPr>
            </w:pPr>
          </w:p>
        </w:tc>
        <w:tc>
          <w:tcPr>
            <w:tcW w:w="850" w:type="dxa"/>
          </w:tcPr>
          <w:p w14:paraId="193D93D9" w14:textId="77777777" w:rsidR="00842952" w:rsidRPr="00950268" w:rsidRDefault="00842952" w:rsidP="00950268">
            <w:pPr>
              <w:spacing w:after="0"/>
              <w:rPr>
                <w:rFonts w:cs="Arial"/>
                <w:sz w:val="18"/>
                <w:szCs w:val="18"/>
              </w:rPr>
            </w:pPr>
            <w:r w:rsidRPr="00950268">
              <w:rPr>
                <w:rFonts w:cs="Arial"/>
                <w:sz w:val="18"/>
                <w:szCs w:val="18"/>
              </w:rPr>
              <w:t>SHCS</w:t>
            </w:r>
          </w:p>
          <w:p w14:paraId="6A5DBCC1" w14:textId="77777777" w:rsidR="00842952" w:rsidRPr="00950268" w:rsidRDefault="00842952" w:rsidP="00950268">
            <w:pPr>
              <w:spacing w:after="0"/>
              <w:rPr>
                <w:rFonts w:cs="Arial"/>
                <w:sz w:val="18"/>
                <w:szCs w:val="18"/>
              </w:rPr>
            </w:pPr>
            <w:r w:rsidRPr="00950268">
              <w:rPr>
                <w:rFonts w:cs="Arial"/>
                <w:sz w:val="18"/>
                <w:szCs w:val="18"/>
              </w:rPr>
              <w:t>PNG</w:t>
            </w:r>
          </w:p>
          <w:p w14:paraId="291F188C" w14:textId="77777777" w:rsidR="00842952" w:rsidRPr="00950268" w:rsidRDefault="00842952" w:rsidP="00950268">
            <w:pPr>
              <w:spacing w:after="0"/>
              <w:rPr>
                <w:rFonts w:cs="Arial"/>
                <w:sz w:val="18"/>
                <w:szCs w:val="18"/>
              </w:rPr>
            </w:pPr>
            <w:r w:rsidRPr="00950268">
              <w:rPr>
                <w:rFonts w:cs="Arial"/>
                <w:sz w:val="18"/>
                <w:szCs w:val="18"/>
              </w:rPr>
              <w:t>VAN</w:t>
            </w:r>
          </w:p>
        </w:tc>
        <w:tc>
          <w:tcPr>
            <w:tcW w:w="850" w:type="dxa"/>
          </w:tcPr>
          <w:p w14:paraId="28FD83EF" w14:textId="77777777" w:rsidR="00842952" w:rsidRPr="00950268" w:rsidRDefault="00842952" w:rsidP="00950268">
            <w:pPr>
              <w:spacing w:after="0"/>
              <w:rPr>
                <w:rFonts w:cs="Arial"/>
                <w:sz w:val="18"/>
                <w:szCs w:val="18"/>
              </w:rPr>
            </w:pPr>
            <w:r w:rsidRPr="00950268">
              <w:rPr>
                <w:rFonts w:cs="Arial"/>
                <w:sz w:val="18"/>
                <w:szCs w:val="18"/>
              </w:rPr>
              <w:t>STT</w:t>
            </w:r>
          </w:p>
          <w:p w14:paraId="20BB2FD5" w14:textId="77777777" w:rsidR="00842952" w:rsidRPr="00950268" w:rsidRDefault="00842952" w:rsidP="00950268">
            <w:pPr>
              <w:spacing w:after="0"/>
              <w:rPr>
                <w:rFonts w:cs="Arial"/>
                <w:sz w:val="18"/>
                <w:szCs w:val="18"/>
              </w:rPr>
            </w:pPr>
            <w:r w:rsidRPr="00950268">
              <w:rPr>
                <w:rFonts w:cs="Arial"/>
                <w:sz w:val="18"/>
                <w:szCs w:val="18"/>
              </w:rPr>
              <w:t>SAM</w:t>
            </w:r>
          </w:p>
          <w:p w14:paraId="4826C736" w14:textId="77777777" w:rsidR="00842952" w:rsidRPr="00950268" w:rsidRDefault="00842952" w:rsidP="00950268">
            <w:pPr>
              <w:spacing w:after="0"/>
              <w:rPr>
                <w:rFonts w:cs="Arial"/>
                <w:sz w:val="18"/>
                <w:szCs w:val="18"/>
              </w:rPr>
            </w:pPr>
            <w:r w:rsidRPr="00950268">
              <w:rPr>
                <w:rFonts w:cs="Arial"/>
                <w:sz w:val="18"/>
                <w:szCs w:val="18"/>
              </w:rPr>
              <w:t>SOL</w:t>
            </w:r>
          </w:p>
        </w:tc>
        <w:tc>
          <w:tcPr>
            <w:tcW w:w="851" w:type="dxa"/>
          </w:tcPr>
          <w:p w14:paraId="12B52B60" w14:textId="77777777" w:rsidR="00842952" w:rsidRPr="00950268" w:rsidRDefault="00842952" w:rsidP="00950268">
            <w:pPr>
              <w:spacing w:after="0"/>
              <w:rPr>
                <w:rFonts w:cs="Arial"/>
                <w:sz w:val="18"/>
                <w:szCs w:val="18"/>
              </w:rPr>
            </w:pPr>
          </w:p>
        </w:tc>
      </w:tr>
      <w:tr w:rsidR="00842952" w:rsidRPr="00E902EA" w14:paraId="7B9B027E" w14:textId="77777777" w:rsidTr="009D1865">
        <w:tc>
          <w:tcPr>
            <w:tcW w:w="527" w:type="dxa"/>
            <w:shd w:val="clear" w:color="auto" w:fill="E2EFD9" w:themeFill="accent6" w:themeFillTint="33"/>
          </w:tcPr>
          <w:p w14:paraId="18FD4E28" w14:textId="77777777" w:rsidR="00842952" w:rsidRPr="00950268" w:rsidRDefault="00842952" w:rsidP="00950268">
            <w:pPr>
              <w:spacing w:after="0"/>
              <w:rPr>
                <w:rFonts w:cs="Arial"/>
                <w:b/>
                <w:sz w:val="18"/>
                <w:szCs w:val="18"/>
              </w:rPr>
            </w:pPr>
            <w:r w:rsidRPr="00950268">
              <w:rPr>
                <w:rFonts w:cs="Arial"/>
                <w:b/>
                <w:sz w:val="18"/>
                <w:szCs w:val="18"/>
              </w:rPr>
              <w:t>12.</w:t>
            </w:r>
          </w:p>
        </w:tc>
        <w:tc>
          <w:tcPr>
            <w:tcW w:w="5989" w:type="dxa"/>
            <w:shd w:val="clear" w:color="auto" w:fill="E2EFD9" w:themeFill="accent6" w:themeFillTint="33"/>
          </w:tcPr>
          <w:p w14:paraId="40FE9670" w14:textId="77777777" w:rsidR="00842952" w:rsidRDefault="00842952" w:rsidP="00950268">
            <w:pPr>
              <w:spacing w:after="0"/>
              <w:rPr>
                <w:rFonts w:cs="Arial"/>
                <w:b/>
                <w:sz w:val="18"/>
                <w:szCs w:val="18"/>
              </w:rPr>
            </w:pPr>
            <w:r w:rsidRPr="00950268">
              <w:rPr>
                <w:rFonts w:cs="Arial"/>
                <w:b/>
                <w:sz w:val="18"/>
                <w:szCs w:val="18"/>
              </w:rPr>
              <w:t>Do employers/enterprises participate in selection of APTC staff at any level?</w:t>
            </w:r>
          </w:p>
          <w:p w14:paraId="48AC189A" w14:textId="3E625172" w:rsidR="00CE123B" w:rsidRPr="00950268" w:rsidRDefault="00CE123B" w:rsidP="00950268">
            <w:pPr>
              <w:spacing w:after="0"/>
              <w:rPr>
                <w:rFonts w:cs="Arial"/>
                <w:b/>
                <w:sz w:val="18"/>
                <w:szCs w:val="18"/>
              </w:rPr>
            </w:pPr>
            <w:r w:rsidRPr="00CE123B">
              <w:rPr>
                <w:rFonts w:cs="Arial"/>
                <w:sz w:val="18"/>
                <w:szCs w:val="18"/>
              </w:rPr>
              <w:t>Comments:</w:t>
            </w:r>
            <w:r>
              <w:rPr>
                <w:rFonts w:cs="Arial"/>
                <w:b/>
                <w:sz w:val="18"/>
                <w:szCs w:val="18"/>
              </w:rPr>
              <w:t xml:space="preserve"> </w:t>
            </w:r>
            <w:r w:rsidRPr="00950268">
              <w:rPr>
                <w:rFonts w:cs="Arial"/>
                <w:sz w:val="18"/>
                <w:szCs w:val="18"/>
              </w:rPr>
              <w:t>The negative answer to this is a function of the way APTC operates with expatriate staff and the approach to tutor development.</w:t>
            </w:r>
          </w:p>
        </w:tc>
        <w:tc>
          <w:tcPr>
            <w:tcW w:w="850" w:type="dxa"/>
            <w:shd w:val="clear" w:color="auto" w:fill="E2EFD9" w:themeFill="accent6" w:themeFillTint="33"/>
          </w:tcPr>
          <w:p w14:paraId="0D38B9C2" w14:textId="77777777" w:rsidR="00842952" w:rsidRPr="00950268" w:rsidRDefault="00842952" w:rsidP="00950268">
            <w:pPr>
              <w:spacing w:after="0"/>
              <w:rPr>
                <w:rFonts w:cs="Arial"/>
                <w:sz w:val="18"/>
                <w:szCs w:val="18"/>
              </w:rPr>
            </w:pPr>
          </w:p>
        </w:tc>
        <w:tc>
          <w:tcPr>
            <w:tcW w:w="850" w:type="dxa"/>
            <w:shd w:val="clear" w:color="auto" w:fill="E2EFD9" w:themeFill="accent6" w:themeFillTint="33"/>
          </w:tcPr>
          <w:p w14:paraId="543AEF30" w14:textId="77777777" w:rsidR="00842952" w:rsidRPr="00950268" w:rsidRDefault="00842952" w:rsidP="00950268">
            <w:pPr>
              <w:spacing w:after="0"/>
              <w:rPr>
                <w:rFonts w:cs="Arial"/>
                <w:sz w:val="18"/>
                <w:szCs w:val="18"/>
              </w:rPr>
            </w:pPr>
            <w:r w:rsidRPr="00950268">
              <w:rPr>
                <w:rFonts w:cs="Arial"/>
                <w:sz w:val="18"/>
                <w:szCs w:val="18"/>
              </w:rPr>
              <w:t>SHCS</w:t>
            </w:r>
          </w:p>
          <w:p w14:paraId="73F6E89D" w14:textId="77777777" w:rsidR="00842952" w:rsidRPr="00950268" w:rsidRDefault="00842952" w:rsidP="00950268">
            <w:pPr>
              <w:spacing w:after="0"/>
              <w:rPr>
                <w:rFonts w:cs="Arial"/>
                <w:sz w:val="18"/>
                <w:szCs w:val="18"/>
              </w:rPr>
            </w:pPr>
            <w:r w:rsidRPr="00950268">
              <w:rPr>
                <w:rFonts w:cs="Arial"/>
                <w:sz w:val="18"/>
                <w:szCs w:val="18"/>
              </w:rPr>
              <w:t>STT</w:t>
            </w:r>
          </w:p>
          <w:p w14:paraId="6246C99E" w14:textId="77777777" w:rsidR="00842952" w:rsidRPr="00950268" w:rsidRDefault="00842952" w:rsidP="00950268">
            <w:pPr>
              <w:spacing w:after="0"/>
              <w:rPr>
                <w:rFonts w:cs="Arial"/>
                <w:sz w:val="18"/>
                <w:szCs w:val="18"/>
              </w:rPr>
            </w:pPr>
            <w:r w:rsidRPr="00950268">
              <w:rPr>
                <w:rFonts w:cs="Arial"/>
                <w:sz w:val="18"/>
                <w:szCs w:val="18"/>
              </w:rPr>
              <w:t>PNG</w:t>
            </w:r>
          </w:p>
          <w:p w14:paraId="50B19288" w14:textId="77777777" w:rsidR="00842952" w:rsidRPr="00950268" w:rsidRDefault="00842952" w:rsidP="00950268">
            <w:pPr>
              <w:spacing w:after="0"/>
              <w:rPr>
                <w:rFonts w:cs="Arial"/>
                <w:sz w:val="18"/>
                <w:szCs w:val="18"/>
              </w:rPr>
            </w:pPr>
            <w:r w:rsidRPr="00950268">
              <w:rPr>
                <w:rFonts w:cs="Arial"/>
                <w:sz w:val="18"/>
                <w:szCs w:val="18"/>
              </w:rPr>
              <w:t>SAM</w:t>
            </w:r>
          </w:p>
          <w:p w14:paraId="5CDB48EC" w14:textId="77777777" w:rsidR="00842952" w:rsidRDefault="00842952" w:rsidP="00950268">
            <w:pPr>
              <w:spacing w:after="0"/>
              <w:rPr>
                <w:rFonts w:cs="Arial"/>
                <w:sz w:val="18"/>
                <w:szCs w:val="18"/>
              </w:rPr>
            </w:pPr>
            <w:r w:rsidRPr="00950268">
              <w:rPr>
                <w:rFonts w:cs="Arial"/>
                <w:sz w:val="18"/>
                <w:szCs w:val="18"/>
              </w:rPr>
              <w:t>SOL</w:t>
            </w:r>
          </w:p>
          <w:p w14:paraId="474F46F8" w14:textId="77777777" w:rsidR="00CE123B" w:rsidRPr="00950268" w:rsidRDefault="00CE123B" w:rsidP="00950268">
            <w:pPr>
              <w:spacing w:after="0"/>
              <w:rPr>
                <w:rFonts w:cs="Arial"/>
                <w:sz w:val="18"/>
                <w:szCs w:val="18"/>
              </w:rPr>
            </w:pPr>
          </w:p>
        </w:tc>
        <w:tc>
          <w:tcPr>
            <w:tcW w:w="851" w:type="dxa"/>
            <w:shd w:val="clear" w:color="auto" w:fill="E2EFD9" w:themeFill="accent6" w:themeFillTint="33"/>
          </w:tcPr>
          <w:p w14:paraId="47627095" w14:textId="77777777" w:rsidR="00842952" w:rsidRPr="00950268" w:rsidRDefault="00842952" w:rsidP="00950268">
            <w:pPr>
              <w:spacing w:after="0"/>
              <w:rPr>
                <w:rFonts w:cs="Arial"/>
                <w:sz w:val="18"/>
                <w:szCs w:val="18"/>
              </w:rPr>
            </w:pPr>
            <w:r w:rsidRPr="00950268">
              <w:rPr>
                <w:rFonts w:cs="Arial"/>
                <w:sz w:val="18"/>
                <w:szCs w:val="18"/>
              </w:rPr>
              <w:t>VAN</w:t>
            </w:r>
          </w:p>
          <w:p w14:paraId="2685F1D3" w14:textId="77777777" w:rsidR="00842952" w:rsidRPr="00950268" w:rsidRDefault="00842952" w:rsidP="00950268">
            <w:pPr>
              <w:spacing w:after="0"/>
              <w:rPr>
                <w:rFonts w:cs="Arial"/>
                <w:sz w:val="18"/>
                <w:szCs w:val="18"/>
              </w:rPr>
            </w:pPr>
          </w:p>
        </w:tc>
      </w:tr>
      <w:tr w:rsidR="00842952" w:rsidRPr="00E902EA" w14:paraId="4399FC2A" w14:textId="77777777" w:rsidTr="009D1865">
        <w:tc>
          <w:tcPr>
            <w:tcW w:w="527" w:type="dxa"/>
          </w:tcPr>
          <w:p w14:paraId="4771FEB1" w14:textId="77777777" w:rsidR="00842952" w:rsidRPr="00950268" w:rsidRDefault="00842952" w:rsidP="00950268">
            <w:pPr>
              <w:spacing w:after="0"/>
              <w:rPr>
                <w:rFonts w:cs="Arial"/>
                <w:b/>
                <w:sz w:val="18"/>
                <w:szCs w:val="18"/>
              </w:rPr>
            </w:pPr>
            <w:r w:rsidRPr="00950268">
              <w:rPr>
                <w:rFonts w:cs="Arial"/>
                <w:b/>
                <w:sz w:val="18"/>
                <w:szCs w:val="18"/>
              </w:rPr>
              <w:t>13.</w:t>
            </w:r>
          </w:p>
        </w:tc>
        <w:tc>
          <w:tcPr>
            <w:tcW w:w="5989" w:type="dxa"/>
          </w:tcPr>
          <w:p w14:paraId="434234DD" w14:textId="77777777" w:rsidR="00842952" w:rsidRDefault="00842952" w:rsidP="00950268">
            <w:pPr>
              <w:spacing w:after="0"/>
              <w:rPr>
                <w:rFonts w:cs="Arial"/>
                <w:b/>
                <w:sz w:val="18"/>
                <w:szCs w:val="18"/>
              </w:rPr>
            </w:pPr>
            <w:r w:rsidRPr="00950268">
              <w:rPr>
                <w:rFonts w:cs="Arial"/>
                <w:b/>
                <w:sz w:val="18"/>
                <w:szCs w:val="18"/>
              </w:rPr>
              <w:t>Are employers/enterprises involved in the assessment of students?</w:t>
            </w:r>
          </w:p>
          <w:p w14:paraId="49829241" w14:textId="77777777" w:rsidR="00FC519B" w:rsidRDefault="00FC519B" w:rsidP="00950268">
            <w:pPr>
              <w:spacing w:after="0"/>
              <w:rPr>
                <w:rFonts w:cs="Arial"/>
                <w:sz w:val="18"/>
                <w:szCs w:val="18"/>
              </w:rPr>
            </w:pPr>
            <w:r w:rsidRPr="00FC519B">
              <w:rPr>
                <w:rFonts w:cs="Arial"/>
                <w:sz w:val="18"/>
                <w:szCs w:val="18"/>
              </w:rPr>
              <w:t>Comments:</w:t>
            </w:r>
            <w:r>
              <w:rPr>
                <w:rFonts w:cs="Arial"/>
                <w:b/>
                <w:sz w:val="18"/>
                <w:szCs w:val="18"/>
              </w:rPr>
              <w:t xml:space="preserve"> </w:t>
            </w:r>
            <w:r w:rsidRPr="00950268">
              <w:rPr>
                <w:rFonts w:cs="Arial"/>
                <w:sz w:val="18"/>
                <w:szCs w:val="18"/>
              </w:rPr>
              <w:t>PNG/VAN – Involvement in assessment is through employer feedback on student performance as recorded in work placement books or through employers working with trainers to design appropriate assessment tools.</w:t>
            </w:r>
          </w:p>
          <w:p w14:paraId="7B44A995" w14:textId="4A9176AC" w:rsidR="00FC519B" w:rsidRPr="00950268" w:rsidRDefault="00FC519B" w:rsidP="00950268">
            <w:pPr>
              <w:spacing w:after="0"/>
              <w:rPr>
                <w:rFonts w:cs="Arial"/>
                <w:b/>
                <w:sz w:val="18"/>
                <w:szCs w:val="18"/>
              </w:rPr>
            </w:pPr>
          </w:p>
        </w:tc>
        <w:tc>
          <w:tcPr>
            <w:tcW w:w="850" w:type="dxa"/>
          </w:tcPr>
          <w:p w14:paraId="142ABECE" w14:textId="77777777" w:rsidR="00842952" w:rsidRPr="00950268" w:rsidRDefault="00842952" w:rsidP="00950268">
            <w:pPr>
              <w:spacing w:after="0"/>
              <w:rPr>
                <w:rFonts w:cs="Arial"/>
                <w:sz w:val="18"/>
                <w:szCs w:val="18"/>
              </w:rPr>
            </w:pPr>
            <w:r w:rsidRPr="00950268">
              <w:rPr>
                <w:rFonts w:cs="Arial"/>
                <w:sz w:val="18"/>
                <w:szCs w:val="18"/>
              </w:rPr>
              <w:t>PNG</w:t>
            </w:r>
          </w:p>
          <w:p w14:paraId="46E69A1C" w14:textId="77777777" w:rsidR="00842952" w:rsidRPr="00950268" w:rsidRDefault="00842952" w:rsidP="00950268">
            <w:pPr>
              <w:spacing w:after="0"/>
              <w:rPr>
                <w:rFonts w:cs="Arial"/>
                <w:sz w:val="18"/>
                <w:szCs w:val="18"/>
              </w:rPr>
            </w:pPr>
            <w:r w:rsidRPr="00950268">
              <w:rPr>
                <w:rFonts w:cs="Arial"/>
                <w:sz w:val="18"/>
                <w:szCs w:val="18"/>
              </w:rPr>
              <w:t>VAN</w:t>
            </w:r>
          </w:p>
          <w:p w14:paraId="17B303A2" w14:textId="77777777" w:rsidR="00842952" w:rsidRPr="00950268" w:rsidRDefault="00842952" w:rsidP="00950268">
            <w:pPr>
              <w:spacing w:after="0"/>
              <w:rPr>
                <w:rFonts w:cs="Arial"/>
                <w:sz w:val="18"/>
                <w:szCs w:val="18"/>
              </w:rPr>
            </w:pPr>
          </w:p>
        </w:tc>
        <w:tc>
          <w:tcPr>
            <w:tcW w:w="850" w:type="dxa"/>
          </w:tcPr>
          <w:p w14:paraId="499F2110" w14:textId="77777777" w:rsidR="00842952" w:rsidRPr="00950268" w:rsidRDefault="00842952" w:rsidP="00950268">
            <w:pPr>
              <w:spacing w:after="0"/>
              <w:rPr>
                <w:rFonts w:cs="Arial"/>
                <w:sz w:val="18"/>
                <w:szCs w:val="18"/>
              </w:rPr>
            </w:pPr>
            <w:r w:rsidRPr="00950268">
              <w:rPr>
                <w:rFonts w:cs="Arial"/>
                <w:sz w:val="18"/>
                <w:szCs w:val="18"/>
              </w:rPr>
              <w:t>SAM</w:t>
            </w:r>
          </w:p>
          <w:p w14:paraId="78C43A07" w14:textId="77777777" w:rsidR="00842952" w:rsidRPr="00950268" w:rsidRDefault="00842952" w:rsidP="00950268">
            <w:pPr>
              <w:spacing w:after="0"/>
              <w:rPr>
                <w:rFonts w:cs="Arial"/>
                <w:sz w:val="18"/>
                <w:szCs w:val="18"/>
              </w:rPr>
            </w:pPr>
            <w:r w:rsidRPr="00950268">
              <w:rPr>
                <w:rFonts w:cs="Arial"/>
                <w:sz w:val="18"/>
                <w:szCs w:val="18"/>
              </w:rPr>
              <w:t>SHCS</w:t>
            </w:r>
          </w:p>
          <w:p w14:paraId="1AF308DE" w14:textId="77777777" w:rsidR="00842952" w:rsidRPr="00950268" w:rsidRDefault="00842952" w:rsidP="00950268">
            <w:pPr>
              <w:spacing w:after="0"/>
              <w:rPr>
                <w:rFonts w:cs="Arial"/>
                <w:sz w:val="18"/>
                <w:szCs w:val="18"/>
              </w:rPr>
            </w:pPr>
            <w:r w:rsidRPr="00950268">
              <w:rPr>
                <w:rFonts w:cs="Arial"/>
                <w:sz w:val="18"/>
                <w:szCs w:val="18"/>
              </w:rPr>
              <w:t>STT</w:t>
            </w:r>
          </w:p>
          <w:p w14:paraId="78A7FCE5" w14:textId="77777777" w:rsidR="00842952" w:rsidRPr="00950268" w:rsidRDefault="00842952" w:rsidP="00950268">
            <w:pPr>
              <w:spacing w:after="0"/>
              <w:rPr>
                <w:rFonts w:cs="Arial"/>
                <w:sz w:val="18"/>
                <w:szCs w:val="18"/>
              </w:rPr>
            </w:pPr>
            <w:r w:rsidRPr="00950268">
              <w:rPr>
                <w:rFonts w:cs="Arial"/>
                <w:sz w:val="18"/>
                <w:szCs w:val="18"/>
              </w:rPr>
              <w:t>SOL</w:t>
            </w:r>
          </w:p>
        </w:tc>
        <w:tc>
          <w:tcPr>
            <w:tcW w:w="851" w:type="dxa"/>
          </w:tcPr>
          <w:p w14:paraId="5F9DCBA2" w14:textId="77777777" w:rsidR="00842952" w:rsidRPr="00950268" w:rsidRDefault="00842952" w:rsidP="00950268">
            <w:pPr>
              <w:spacing w:after="0"/>
              <w:rPr>
                <w:rFonts w:cs="Arial"/>
                <w:sz w:val="18"/>
                <w:szCs w:val="18"/>
              </w:rPr>
            </w:pPr>
          </w:p>
        </w:tc>
      </w:tr>
      <w:tr w:rsidR="00842952" w:rsidRPr="00E902EA" w14:paraId="3D070E40" w14:textId="77777777" w:rsidTr="009D1865">
        <w:tc>
          <w:tcPr>
            <w:tcW w:w="527" w:type="dxa"/>
            <w:shd w:val="clear" w:color="auto" w:fill="E2EFD9" w:themeFill="accent6" w:themeFillTint="33"/>
          </w:tcPr>
          <w:p w14:paraId="6F1AEF1B" w14:textId="77777777" w:rsidR="00842952" w:rsidRPr="00950268" w:rsidRDefault="00842952" w:rsidP="00950268">
            <w:pPr>
              <w:spacing w:after="0"/>
              <w:rPr>
                <w:rFonts w:cs="Arial"/>
                <w:b/>
                <w:sz w:val="18"/>
                <w:szCs w:val="18"/>
              </w:rPr>
            </w:pPr>
            <w:r w:rsidRPr="00950268">
              <w:rPr>
                <w:rFonts w:cs="Arial"/>
                <w:b/>
                <w:sz w:val="18"/>
                <w:szCs w:val="18"/>
              </w:rPr>
              <w:t>14.</w:t>
            </w:r>
          </w:p>
        </w:tc>
        <w:tc>
          <w:tcPr>
            <w:tcW w:w="5989" w:type="dxa"/>
            <w:shd w:val="clear" w:color="auto" w:fill="E2EFD9" w:themeFill="accent6" w:themeFillTint="33"/>
          </w:tcPr>
          <w:p w14:paraId="20E4B493" w14:textId="77777777" w:rsidR="00842952" w:rsidRDefault="00842952" w:rsidP="00950268">
            <w:pPr>
              <w:spacing w:after="0"/>
              <w:rPr>
                <w:rFonts w:cs="Arial"/>
                <w:b/>
                <w:sz w:val="18"/>
                <w:szCs w:val="18"/>
              </w:rPr>
            </w:pPr>
            <w:r w:rsidRPr="00950268">
              <w:rPr>
                <w:rFonts w:cs="Arial"/>
                <w:b/>
                <w:sz w:val="18"/>
                <w:szCs w:val="18"/>
              </w:rPr>
              <w:t>Do employers/enterprises use TVET facilities e.g. for training, industry meetings, displays or conferences?</w:t>
            </w:r>
          </w:p>
          <w:p w14:paraId="2881A18E" w14:textId="28ED9DAD" w:rsidR="00B30CC0" w:rsidRDefault="00B30CC0" w:rsidP="00950268">
            <w:pPr>
              <w:spacing w:after="0"/>
              <w:rPr>
                <w:rFonts w:cs="Arial"/>
                <w:sz w:val="18"/>
                <w:szCs w:val="18"/>
              </w:rPr>
            </w:pPr>
            <w:r w:rsidRPr="00B30CC0">
              <w:rPr>
                <w:rFonts w:cs="Arial"/>
                <w:sz w:val="18"/>
                <w:szCs w:val="18"/>
              </w:rPr>
              <w:t>Comments:</w:t>
            </w:r>
            <w:r>
              <w:rPr>
                <w:rFonts w:cs="Arial"/>
                <w:b/>
                <w:sz w:val="18"/>
                <w:szCs w:val="18"/>
              </w:rPr>
              <w:t xml:space="preserve"> </w:t>
            </w:r>
            <w:r w:rsidRPr="00950268">
              <w:rPr>
                <w:rFonts w:cs="Arial"/>
                <w:sz w:val="18"/>
                <w:szCs w:val="18"/>
              </w:rPr>
              <w:t>In the past 12 months:</w:t>
            </w:r>
            <w:r>
              <w:rPr>
                <w:rFonts w:cs="Arial"/>
                <w:sz w:val="18"/>
                <w:szCs w:val="18"/>
              </w:rPr>
              <w:t xml:space="preserve"> </w:t>
            </w:r>
            <w:r w:rsidRPr="00950268">
              <w:rPr>
                <w:rFonts w:cs="Arial"/>
                <w:sz w:val="18"/>
                <w:szCs w:val="18"/>
              </w:rPr>
              <w:t>SHCS – 20 events (approx.) in various facilities in Fiji</w:t>
            </w:r>
            <w:r>
              <w:rPr>
                <w:rFonts w:cs="Arial"/>
                <w:sz w:val="18"/>
                <w:szCs w:val="18"/>
              </w:rPr>
              <w:t xml:space="preserve">; </w:t>
            </w:r>
            <w:r w:rsidRPr="00950268">
              <w:rPr>
                <w:rFonts w:cs="Arial"/>
                <w:sz w:val="18"/>
                <w:szCs w:val="18"/>
              </w:rPr>
              <w:t>STT – limited numbers</w:t>
            </w:r>
            <w:r>
              <w:rPr>
                <w:rFonts w:cs="Arial"/>
                <w:sz w:val="18"/>
                <w:szCs w:val="18"/>
              </w:rPr>
              <w:t xml:space="preserve">; </w:t>
            </w:r>
            <w:r w:rsidRPr="00950268">
              <w:rPr>
                <w:rFonts w:cs="Arial"/>
                <w:sz w:val="18"/>
                <w:szCs w:val="18"/>
              </w:rPr>
              <w:t>PNG – Coral Seas use of APTC training restaurant</w:t>
            </w:r>
            <w:r>
              <w:rPr>
                <w:rFonts w:cs="Arial"/>
                <w:sz w:val="18"/>
                <w:szCs w:val="18"/>
              </w:rPr>
              <w:t xml:space="preserve">; </w:t>
            </w:r>
            <w:r w:rsidR="00527F9D">
              <w:rPr>
                <w:rFonts w:cs="Arial"/>
                <w:sz w:val="18"/>
                <w:szCs w:val="18"/>
              </w:rPr>
              <w:br/>
            </w:r>
            <w:r w:rsidRPr="00950268">
              <w:rPr>
                <w:rFonts w:cs="Arial"/>
                <w:sz w:val="18"/>
                <w:szCs w:val="18"/>
              </w:rPr>
              <w:t>SAM – occasional hire of specialist facilities</w:t>
            </w:r>
            <w:r>
              <w:rPr>
                <w:rFonts w:cs="Arial"/>
                <w:sz w:val="18"/>
                <w:szCs w:val="18"/>
              </w:rPr>
              <w:t xml:space="preserve">; </w:t>
            </w:r>
            <w:r w:rsidR="00527F9D">
              <w:rPr>
                <w:rFonts w:cs="Arial"/>
                <w:sz w:val="18"/>
                <w:szCs w:val="18"/>
              </w:rPr>
              <w:br/>
            </w:r>
            <w:r w:rsidRPr="00950268">
              <w:rPr>
                <w:rFonts w:cs="Arial"/>
                <w:sz w:val="18"/>
                <w:szCs w:val="18"/>
              </w:rPr>
              <w:t>VAN – occasional hire of facilities, if facilities are available.</w:t>
            </w:r>
          </w:p>
          <w:p w14:paraId="7753D56B" w14:textId="16F74E40" w:rsidR="00B30CC0" w:rsidRPr="00950268" w:rsidRDefault="00B30CC0" w:rsidP="00950268">
            <w:pPr>
              <w:spacing w:after="0"/>
              <w:rPr>
                <w:rFonts w:cs="Arial"/>
                <w:b/>
                <w:sz w:val="18"/>
                <w:szCs w:val="18"/>
              </w:rPr>
            </w:pPr>
          </w:p>
        </w:tc>
        <w:tc>
          <w:tcPr>
            <w:tcW w:w="850" w:type="dxa"/>
            <w:shd w:val="clear" w:color="auto" w:fill="E2EFD9" w:themeFill="accent6" w:themeFillTint="33"/>
          </w:tcPr>
          <w:p w14:paraId="662F5863" w14:textId="77777777" w:rsidR="00842952" w:rsidRPr="00950268" w:rsidRDefault="00842952" w:rsidP="00950268">
            <w:pPr>
              <w:spacing w:after="0"/>
              <w:rPr>
                <w:rFonts w:cs="Arial"/>
                <w:sz w:val="18"/>
                <w:szCs w:val="18"/>
              </w:rPr>
            </w:pPr>
            <w:r w:rsidRPr="00950268">
              <w:rPr>
                <w:rFonts w:cs="Arial"/>
                <w:sz w:val="18"/>
                <w:szCs w:val="18"/>
              </w:rPr>
              <w:t>SHCS</w:t>
            </w:r>
          </w:p>
          <w:p w14:paraId="415ECB2C" w14:textId="77777777" w:rsidR="00842952" w:rsidRPr="00950268" w:rsidRDefault="00842952" w:rsidP="00950268">
            <w:pPr>
              <w:spacing w:after="0"/>
              <w:rPr>
                <w:rFonts w:cs="Arial"/>
                <w:sz w:val="18"/>
                <w:szCs w:val="18"/>
              </w:rPr>
            </w:pPr>
            <w:r w:rsidRPr="00950268">
              <w:rPr>
                <w:rFonts w:cs="Arial"/>
                <w:sz w:val="18"/>
                <w:szCs w:val="18"/>
              </w:rPr>
              <w:t>STT</w:t>
            </w:r>
          </w:p>
          <w:p w14:paraId="6CA51E77" w14:textId="77777777" w:rsidR="00842952" w:rsidRPr="00950268" w:rsidRDefault="00842952" w:rsidP="00950268">
            <w:pPr>
              <w:spacing w:after="0"/>
              <w:rPr>
                <w:rFonts w:cs="Arial"/>
                <w:sz w:val="18"/>
                <w:szCs w:val="18"/>
              </w:rPr>
            </w:pPr>
            <w:r w:rsidRPr="00950268">
              <w:rPr>
                <w:rFonts w:cs="Arial"/>
                <w:sz w:val="18"/>
                <w:szCs w:val="18"/>
              </w:rPr>
              <w:t>PNG</w:t>
            </w:r>
          </w:p>
          <w:p w14:paraId="158EA003" w14:textId="77777777" w:rsidR="00842952" w:rsidRPr="00950268" w:rsidRDefault="00842952" w:rsidP="00950268">
            <w:pPr>
              <w:spacing w:after="0"/>
              <w:rPr>
                <w:rFonts w:cs="Arial"/>
                <w:sz w:val="18"/>
                <w:szCs w:val="18"/>
              </w:rPr>
            </w:pPr>
            <w:r w:rsidRPr="00950268">
              <w:rPr>
                <w:rFonts w:cs="Arial"/>
                <w:sz w:val="18"/>
                <w:szCs w:val="18"/>
              </w:rPr>
              <w:t>SAM</w:t>
            </w:r>
          </w:p>
          <w:p w14:paraId="1B9D5268" w14:textId="77777777" w:rsidR="00842952" w:rsidRPr="00950268" w:rsidRDefault="00842952" w:rsidP="00950268">
            <w:pPr>
              <w:spacing w:after="0"/>
              <w:rPr>
                <w:rFonts w:cs="Arial"/>
                <w:sz w:val="18"/>
                <w:szCs w:val="18"/>
              </w:rPr>
            </w:pPr>
            <w:r w:rsidRPr="00950268">
              <w:rPr>
                <w:rFonts w:cs="Arial"/>
                <w:sz w:val="18"/>
                <w:szCs w:val="18"/>
              </w:rPr>
              <w:t>VAN</w:t>
            </w:r>
          </w:p>
        </w:tc>
        <w:tc>
          <w:tcPr>
            <w:tcW w:w="850" w:type="dxa"/>
            <w:shd w:val="clear" w:color="auto" w:fill="E2EFD9" w:themeFill="accent6" w:themeFillTint="33"/>
          </w:tcPr>
          <w:p w14:paraId="7D6F25E9" w14:textId="77777777" w:rsidR="00842952" w:rsidRPr="00950268" w:rsidRDefault="00842952" w:rsidP="00950268">
            <w:pPr>
              <w:spacing w:after="0"/>
              <w:rPr>
                <w:rFonts w:cs="Arial"/>
                <w:sz w:val="18"/>
                <w:szCs w:val="18"/>
              </w:rPr>
            </w:pPr>
            <w:r w:rsidRPr="00950268">
              <w:rPr>
                <w:rFonts w:cs="Arial"/>
                <w:sz w:val="18"/>
                <w:szCs w:val="18"/>
              </w:rPr>
              <w:t>SOL</w:t>
            </w:r>
          </w:p>
          <w:p w14:paraId="2C0E5C73" w14:textId="77777777" w:rsidR="00842952" w:rsidRPr="00950268" w:rsidRDefault="00842952" w:rsidP="00950268">
            <w:pPr>
              <w:spacing w:after="0"/>
              <w:rPr>
                <w:rFonts w:cs="Arial"/>
                <w:sz w:val="18"/>
                <w:szCs w:val="18"/>
              </w:rPr>
            </w:pPr>
          </w:p>
        </w:tc>
        <w:tc>
          <w:tcPr>
            <w:tcW w:w="851" w:type="dxa"/>
            <w:shd w:val="clear" w:color="auto" w:fill="E2EFD9" w:themeFill="accent6" w:themeFillTint="33"/>
          </w:tcPr>
          <w:p w14:paraId="3DFD648B" w14:textId="77777777" w:rsidR="00842952" w:rsidRPr="00950268" w:rsidRDefault="00842952" w:rsidP="00950268">
            <w:pPr>
              <w:spacing w:after="0"/>
              <w:rPr>
                <w:rFonts w:cs="Arial"/>
                <w:sz w:val="18"/>
                <w:szCs w:val="18"/>
              </w:rPr>
            </w:pPr>
          </w:p>
        </w:tc>
      </w:tr>
      <w:tr w:rsidR="00842952" w:rsidRPr="00E902EA" w14:paraId="3207E654" w14:textId="77777777" w:rsidTr="009D1865">
        <w:tc>
          <w:tcPr>
            <w:tcW w:w="527" w:type="dxa"/>
          </w:tcPr>
          <w:p w14:paraId="5E27B682" w14:textId="77777777" w:rsidR="00842952" w:rsidRPr="00950268" w:rsidRDefault="00842952" w:rsidP="00950268">
            <w:pPr>
              <w:spacing w:after="0"/>
              <w:rPr>
                <w:rFonts w:cs="Arial"/>
                <w:b/>
                <w:sz w:val="18"/>
                <w:szCs w:val="18"/>
              </w:rPr>
            </w:pPr>
            <w:r w:rsidRPr="00950268">
              <w:rPr>
                <w:rFonts w:cs="Arial"/>
                <w:b/>
                <w:sz w:val="18"/>
                <w:szCs w:val="18"/>
              </w:rPr>
              <w:t>15.</w:t>
            </w:r>
          </w:p>
        </w:tc>
        <w:tc>
          <w:tcPr>
            <w:tcW w:w="5989" w:type="dxa"/>
          </w:tcPr>
          <w:p w14:paraId="3A15B0C6" w14:textId="77777777" w:rsidR="00842952" w:rsidRDefault="00842952" w:rsidP="00950268">
            <w:pPr>
              <w:spacing w:after="0"/>
              <w:rPr>
                <w:rFonts w:cs="Arial"/>
                <w:b/>
                <w:sz w:val="18"/>
                <w:szCs w:val="18"/>
              </w:rPr>
            </w:pPr>
            <w:r w:rsidRPr="00950268">
              <w:rPr>
                <w:rFonts w:cs="Arial"/>
                <w:b/>
                <w:sz w:val="18"/>
                <w:szCs w:val="18"/>
              </w:rPr>
              <w:t>Do employers/enterprises promote their products at APTC?</w:t>
            </w:r>
          </w:p>
          <w:p w14:paraId="49D2F74D" w14:textId="77777777" w:rsidR="00B30CC0" w:rsidRDefault="00B30CC0" w:rsidP="00B30CC0">
            <w:pPr>
              <w:spacing w:after="0"/>
              <w:rPr>
                <w:rFonts w:cs="Arial"/>
                <w:sz w:val="18"/>
                <w:szCs w:val="18"/>
              </w:rPr>
            </w:pPr>
            <w:r w:rsidRPr="00B30CC0">
              <w:rPr>
                <w:rFonts w:cs="Arial"/>
                <w:sz w:val="18"/>
                <w:szCs w:val="18"/>
              </w:rPr>
              <w:t>Comments:</w:t>
            </w:r>
            <w:r>
              <w:rPr>
                <w:rFonts w:cs="Arial"/>
                <w:b/>
                <w:sz w:val="18"/>
                <w:szCs w:val="18"/>
              </w:rPr>
              <w:t xml:space="preserve"> </w:t>
            </w:r>
            <w:r w:rsidRPr="00950268">
              <w:rPr>
                <w:rFonts w:cs="Arial"/>
                <w:sz w:val="18"/>
                <w:szCs w:val="18"/>
              </w:rPr>
              <w:t xml:space="preserve">SAM – At a regional level, products were displayed in </w:t>
            </w:r>
            <w:r>
              <w:rPr>
                <w:rFonts w:cs="Arial"/>
                <w:sz w:val="18"/>
                <w:szCs w:val="18"/>
              </w:rPr>
              <w:t>r</w:t>
            </w:r>
            <w:r w:rsidRPr="00950268">
              <w:rPr>
                <w:rFonts w:cs="Arial"/>
                <w:sz w:val="18"/>
                <w:szCs w:val="18"/>
              </w:rPr>
              <w:t xml:space="preserve">efrigeration and </w:t>
            </w:r>
            <w:r>
              <w:rPr>
                <w:rFonts w:cs="Arial"/>
                <w:sz w:val="18"/>
                <w:szCs w:val="18"/>
              </w:rPr>
              <w:t>a</w:t>
            </w:r>
            <w:r w:rsidRPr="00950268">
              <w:rPr>
                <w:rFonts w:cs="Arial"/>
                <w:sz w:val="18"/>
                <w:szCs w:val="18"/>
              </w:rPr>
              <w:t>ir-conditioning, with employers attending from all over the Pacific.</w:t>
            </w:r>
            <w:r>
              <w:rPr>
                <w:rFonts w:cs="Arial"/>
                <w:sz w:val="18"/>
                <w:szCs w:val="18"/>
              </w:rPr>
              <w:t xml:space="preserve"> </w:t>
            </w:r>
            <w:r w:rsidRPr="00950268">
              <w:rPr>
                <w:rFonts w:cs="Arial"/>
                <w:sz w:val="18"/>
                <w:szCs w:val="18"/>
              </w:rPr>
              <w:t xml:space="preserve">VAN – products in the </w:t>
            </w:r>
            <w:r>
              <w:rPr>
                <w:rFonts w:cs="Arial"/>
                <w:sz w:val="18"/>
                <w:szCs w:val="18"/>
              </w:rPr>
              <w:t>h</w:t>
            </w:r>
            <w:r w:rsidRPr="00950268">
              <w:rPr>
                <w:rFonts w:cs="Arial"/>
                <w:sz w:val="18"/>
                <w:szCs w:val="18"/>
              </w:rPr>
              <w:t>ospitality industry have been displayed (beverages).</w:t>
            </w:r>
            <w:r>
              <w:rPr>
                <w:rFonts w:cs="Arial"/>
                <w:sz w:val="18"/>
                <w:szCs w:val="18"/>
              </w:rPr>
              <w:t xml:space="preserve"> </w:t>
            </w:r>
            <w:r w:rsidRPr="00950268">
              <w:rPr>
                <w:rFonts w:cs="Arial"/>
                <w:sz w:val="18"/>
                <w:szCs w:val="18"/>
              </w:rPr>
              <w:t>In some instances, products in the Pacific may be dated and are therefore not actively promoted.</w:t>
            </w:r>
            <w:r>
              <w:rPr>
                <w:rFonts w:cs="Arial"/>
                <w:sz w:val="18"/>
                <w:szCs w:val="18"/>
              </w:rPr>
              <w:t xml:space="preserve"> </w:t>
            </w:r>
            <w:r w:rsidRPr="00950268">
              <w:rPr>
                <w:rFonts w:cs="Arial"/>
                <w:sz w:val="18"/>
                <w:szCs w:val="18"/>
              </w:rPr>
              <w:t>Generally, there are relatively few enterprises with products to promote.</w:t>
            </w:r>
          </w:p>
          <w:p w14:paraId="3491705F" w14:textId="2CAED29F" w:rsidR="00B30CC0" w:rsidRPr="00950268" w:rsidRDefault="00B30CC0" w:rsidP="00B30CC0">
            <w:pPr>
              <w:spacing w:after="0"/>
              <w:rPr>
                <w:rFonts w:cs="Arial"/>
                <w:b/>
                <w:sz w:val="18"/>
                <w:szCs w:val="18"/>
              </w:rPr>
            </w:pPr>
          </w:p>
        </w:tc>
        <w:tc>
          <w:tcPr>
            <w:tcW w:w="850" w:type="dxa"/>
          </w:tcPr>
          <w:p w14:paraId="4A90A981" w14:textId="77777777" w:rsidR="00842952" w:rsidRPr="00950268" w:rsidRDefault="00842952" w:rsidP="00950268">
            <w:pPr>
              <w:spacing w:after="0"/>
              <w:rPr>
                <w:rFonts w:cs="Arial"/>
                <w:sz w:val="18"/>
                <w:szCs w:val="18"/>
              </w:rPr>
            </w:pPr>
            <w:r w:rsidRPr="00950268">
              <w:rPr>
                <w:rFonts w:cs="Arial"/>
                <w:sz w:val="18"/>
                <w:szCs w:val="18"/>
              </w:rPr>
              <w:t>SAM</w:t>
            </w:r>
          </w:p>
          <w:p w14:paraId="2AC38E29" w14:textId="77777777" w:rsidR="00842952" w:rsidRPr="00950268" w:rsidRDefault="00842952" w:rsidP="00950268">
            <w:pPr>
              <w:spacing w:after="0"/>
              <w:rPr>
                <w:rFonts w:cs="Arial"/>
                <w:sz w:val="18"/>
                <w:szCs w:val="18"/>
              </w:rPr>
            </w:pPr>
            <w:r w:rsidRPr="00950268">
              <w:rPr>
                <w:rFonts w:cs="Arial"/>
                <w:sz w:val="18"/>
                <w:szCs w:val="18"/>
              </w:rPr>
              <w:t>VAN</w:t>
            </w:r>
          </w:p>
          <w:p w14:paraId="2B317BA2" w14:textId="77777777" w:rsidR="00842952" w:rsidRPr="00950268" w:rsidRDefault="00842952" w:rsidP="00950268">
            <w:pPr>
              <w:spacing w:after="0"/>
              <w:rPr>
                <w:rFonts w:cs="Arial"/>
                <w:sz w:val="18"/>
                <w:szCs w:val="18"/>
              </w:rPr>
            </w:pPr>
          </w:p>
        </w:tc>
        <w:tc>
          <w:tcPr>
            <w:tcW w:w="850" w:type="dxa"/>
          </w:tcPr>
          <w:p w14:paraId="2460CD4B" w14:textId="77777777" w:rsidR="00842952" w:rsidRPr="00950268" w:rsidRDefault="00842952" w:rsidP="00950268">
            <w:pPr>
              <w:spacing w:after="0"/>
              <w:rPr>
                <w:rFonts w:cs="Arial"/>
                <w:sz w:val="18"/>
                <w:szCs w:val="18"/>
              </w:rPr>
            </w:pPr>
            <w:r w:rsidRPr="00950268">
              <w:rPr>
                <w:rFonts w:cs="Arial"/>
                <w:sz w:val="18"/>
                <w:szCs w:val="18"/>
              </w:rPr>
              <w:t>SHCS</w:t>
            </w:r>
          </w:p>
          <w:p w14:paraId="30B08F1D" w14:textId="77777777" w:rsidR="00842952" w:rsidRPr="00950268" w:rsidRDefault="00842952" w:rsidP="00950268">
            <w:pPr>
              <w:spacing w:after="0"/>
              <w:rPr>
                <w:rFonts w:cs="Arial"/>
                <w:sz w:val="18"/>
                <w:szCs w:val="18"/>
              </w:rPr>
            </w:pPr>
            <w:r w:rsidRPr="00950268">
              <w:rPr>
                <w:rFonts w:cs="Arial"/>
                <w:sz w:val="18"/>
                <w:szCs w:val="18"/>
              </w:rPr>
              <w:t>STT</w:t>
            </w:r>
          </w:p>
          <w:p w14:paraId="006F0F59" w14:textId="77777777" w:rsidR="00842952" w:rsidRPr="00950268" w:rsidRDefault="00842952" w:rsidP="00950268">
            <w:pPr>
              <w:spacing w:after="0"/>
              <w:rPr>
                <w:rFonts w:cs="Arial"/>
                <w:sz w:val="18"/>
                <w:szCs w:val="18"/>
              </w:rPr>
            </w:pPr>
            <w:r w:rsidRPr="00950268">
              <w:rPr>
                <w:rFonts w:cs="Arial"/>
                <w:sz w:val="18"/>
                <w:szCs w:val="18"/>
              </w:rPr>
              <w:t>PNG</w:t>
            </w:r>
          </w:p>
          <w:p w14:paraId="3FAC8B92" w14:textId="77777777" w:rsidR="00842952" w:rsidRPr="00950268" w:rsidRDefault="00842952" w:rsidP="00950268">
            <w:pPr>
              <w:spacing w:after="0"/>
              <w:rPr>
                <w:rFonts w:cs="Arial"/>
                <w:sz w:val="18"/>
                <w:szCs w:val="18"/>
              </w:rPr>
            </w:pPr>
            <w:r w:rsidRPr="00950268">
              <w:rPr>
                <w:rFonts w:cs="Arial"/>
                <w:sz w:val="18"/>
                <w:szCs w:val="18"/>
              </w:rPr>
              <w:t>SOL</w:t>
            </w:r>
          </w:p>
        </w:tc>
        <w:tc>
          <w:tcPr>
            <w:tcW w:w="851" w:type="dxa"/>
          </w:tcPr>
          <w:p w14:paraId="59732965" w14:textId="77777777" w:rsidR="00842952" w:rsidRPr="00950268" w:rsidRDefault="00842952" w:rsidP="00950268">
            <w:pPr>
              <w:spacing w:after="0"/>
              <w:rPr>
                <w:rFonts w:cs="Arial"/>
                <w:sz w:val="18"/>
                <w:szCs w:val="18"/>
              </w:rPr>
            </w:pPr>
          </w:p>
        </w:tc>
      </w:tr>
      <w:tr w:rsidR="00842952" w:rsidRPr="00E902EA" w14:paraId="5E5E71B6" w14:textId="77777777" w:rsidTr="009D1865">
        <w:tc>
          <w:tcPr>
            <w:tcW w:w="527" w:type="dxa"/>
            <w:shd w:val="clear" w:color="auto" w:fill="E2EFD9" w:themeFill="accent6" w:themeFillTint="33"/>
          </w:tcPr>
          <w:p w14:paraId="38415282" w14:textId="77777777" w:rsidR="00842952" w:rsidRPr="00950268" w:rsidRDefault="00842952" w:rsidP="00950268">
            <w:pPr>
              <w:spacing w:after="0"/>
              <w:rPr>
                <w:rFonts w:cs="Arial"/>
                <w:b/>
                <w:sz w:val="18"/>
                <w:szCs w:val="18"/>
              </w:rPr>
            </w:pPr>
            <w:r w:rsidRPr="00950268">
              <w:rPr>
                <w:rFonts w:cs="Arial"/>
                <w:b/>
                <w:sz w:val="18"/>
                <w:szCs w:val="18"/>
              </w:rPr>
              <w:t>16.</w:t>
            </w:r>
          </w:p>
        </w:tc>
        <w:tc>
          <w:tcPr>
            <w:tcW w:w="5989" w:type="dxa"/>
            <w:shd w:val="clear" w:color="auto" w:fill="E2EFD9" w:themeFill="accent6" w:themeFillTint="33"/>
          </w:tcPr>
          <w:p w14:paraId="52B26679" w14:textId="77777777" w:rsidR="00842952" w:rsidRDefault="00842952" w:rsidP="00950268">
            <w:pPr>
              <w:spacing w:after="0"/>
              <w:rPr>
                <w:rFonts w:cs="Arial"/>
                <w:b/>
                <w:sz w:val="18"/>
                <w:szCs w:val="18"/>
              </w:rPr>
            </w:pPr>
            <w:r w:rsidRPr="00950268">
              <w:rPr>
                <w:rFonts w:cs="Arial"/>
                <w:b/>
                <w:sz w:val="18"/>
                <w:szCs w:val="18"/>
              </w:rPr>
              <w:t xml:space="preserve">Do employers/enterprises participate in any events promoting the APTC? </w:t>
            </w:r>
          </w:p>
          <w:p w14:paraId="209DCB72" w14:textId="652BFDE8" w:rsidR="006735B8" w:rsidRDefault="006735B8" w:rsidP="00950268">
            <w:pPr>
              <w:spacing w:after="0"/>
              <w:rPr>
                <w:rFonts w:cs="Arial"/>
                <w:sz w:val="18"/>
                <w:szCs w:val="18"/>
              </w:rPr>
            </w:pPr>
            <w:r>
              <w:rPr>
                <w:rFonts w:cs="Arial"/>
                <w:sz w:val="18"/>
                <w:szCs w:val="18"/>
              </w:rPr>
              <w:t xml:space="preserve">Comments: </w:t>
            </w:r>
            <w:r w:rsidRPr="00950268">
              <w:rPr>
                <w:rFonts w:cs="Arial"/>
                <w:sz w:val="18"/>
                <w:szCs w:val="18"/>
              </w:rPr>
              <w:t>PNG – Graduations, PNG Business Council meetings, Port Moresby Chamber of Commerce and Industry, National Apprenticeship Trade Testing Board</w:t>
            </w:r>
            <w:r>
              <w:rPr>
                <w:rFonts w:cs="Arial"/>
                <w:sz w:val="18"/>
                <w:szCs w:val="18"/>
              </w:rPr>
              <w:t xml:space="preserve">; </w:t>
            </w:r>
            <w:r w:rsidR="00CB0B1E">
              <w:rPr>
                <w:rFonts w:cs="Arial"/>
                <w:sz w:val="18"/>
                <w:szCs w:val="18"/>
              </w:rPr>
              <w:br/>
            </w:r>
            <w:r w:rsidRPr="00950268">
              <w:rPr>
                <w:rFonts w:cs="Arial"/>
                <w:sz w:val="18"/>
                <w:szCs w:val="18"/>
              </w:rPr>
              <w:t>SAM – Employers participate in recruitment droves for students and in graduations</w:t>
            </w:r>
            <w:r>
              <w:rPr>
                <w:rFonts w:cs="Arial"/>
                <w:sz w:val="18"/>
                <w:szCs w:val="18"/>
              </w:rPr>
              <w:t xml:space="preserve">; </w:t>
            </w:r>
            <w:r w:rsidR="00CB0B1E">
              <w:rPr>
                <w:rFonts w:cs="Arial"/>
                <w:sz w:val="18"/>
                <w:szCs w:val="18"/>
              </w:rPr>
              <w:br/>
            </w:r>
            <w:r w:rsidRPr="00950268">
              <w:rPr>
                <w:rFonts w:cs="Arial"/>
                <w:sz w:val="18"/>
                <w:szCs w:val="18"/>
              </w:rPr>
              <w:t>VAN – See question 11.</w:t>
            </w:r>
          </w:p>
          <w:p w14:paraId="3D071F37" w14:textId="2112011B" w:rsidR="006735B8" w:rsidRPr="00950268" w:rsidRDefault="006735B8" w:rsidP="00950268">
            <w:pPr>
              <w:spacing w:after="0"/>
              <w:rPr>
                <w:rFonts w:cs="Arial"/>
                <w:b/>
                <w:sz w:val="18"/>
                <w:szCs w:val="18"/>
              </w:rPr>
            </w:pPr>
          </w:p>
        </w:tc>
        <w:tc>
          <w:tcPr>
            <w:tcW w:w="850" w:type="dxa"/>
            <w:shd w:val="clear" w:color="auto" w:fill="E2EFD9" w:themeFill="accent6" w:themeFillTint="33"/>
          </w:tcPr>
          <w:p w14:paraId="55456097" w14:textId="77777777" w:rsidR="00842952" w:rsidRPr="00950268" w:rsidRDefault="00842952" w:rsidP="00950268">
            <w:pPr>
              <w:spacing w:after="0"/>
              <w:rPr>
                <w:rFonts w:cs="Arial"/>
                <w:sz w:val="18"/>
                <w:szCs w:val="18"/>
              </w:rPr>
            </w:pPr>
            <w:r w:rsidRPr="00950268">
              <w:rPr>
                <w:rFonts w:cs="Arial"/>
                <w:sz w:val="18"/>
                <w:szCs w:val="18"/>
              </w:rPr>
              <w:t>PNG</w:t>
            </w:r>
          </w:p>
          <w:p w14:paraId="61975200" w14:textId="77777777" w:rsidR="00842952" w:rsidRPr="00950268" w:rsidRDefault="00842952" w:rsidP="00950268">
            <w:pPr>
              <w:spacing w:after="0"/>
              <w:rPr>
                <w:rFonts w:cs="Arial"/>
                <w:sz w:val="18"/>
                <w:szCs w:val="18"/>
              </w:rPr>
            </w:pPr>
            <w:r w:rsidRPr="00950268">
              <w:rPr>
                <w:rFonts w:cs="Arial"/>
                <w:sz w:val="18"/>
                <w:szCs w:val="18"/>
              </w:rPr>
              <w:t>SAM</w:t>
            </w:r>
          </w:p>
          <w:p w14:paraId="0531BF57" w14:textId="77777777" w:rsidR="00842952" w:rsidRPr="00950268" w:rsidRDefault="00842952" w:rsidP="00950268">
            <w:pPr>
              <w:spacing w:after="0"/>
              <w:rPr>
                <w:rFonts w:cs="Arial"/>
                <w:sz w:val="18"/>
                <w:szCs w:val="18"/>
              </w:rPr>
            </w:pPr>
            <w:r w:rsidRPr="00950268">
              <w:rPr>
                <w:rFonts w:cs="Arial"/>
                <w:sz w:val="18"/>
                <w:szCs w:val="18"/>
              </w:rPr>
              <w:t>VAN</w:t>
            </w:r>
          </w:p>
        </w:tc>
        <w:tc>
          <w:tcPr>
            <w:tcW w:w="850" w:type="dxa"/>
            <w:shd w:val="clear" w:color="auto" w:fill="E2EFD9" w:themeFill="accent6" w:themeFillTint="33"/>
          </w:tcPr>
          <w:p w14:paraId="60863150" w14:textId="77777777" w:rsidR="00842952" w:rsidRPr="00950268" w:rsidRDefault="00842952" w:rsidP="00950268">
            <w:pPr>
              <w:spacing w:after="0"/>
              <w:rPr>
                <w:rFonts w:cs="Arial"/>
                <w:sz w:val="18"/>
                <w:szCs w:val="18"/>
              </w:rPr>
            </w:pPr>
            <w:r w:rsidRPr="00950268">
              <w:rPr>
                <w:rFonts w:cs="Arial"/>
                <w:sz w:val="18"/>
                <w:szCs w:val="18"/>
              </w:rPr>
              <w:t>SHCS</w:t>
            </w:r>
          </w:p>
          <w:p w14:paraId="171EB98F" w14:textId="77777777" w:rsidR="00842952" w:rsidRPr="00950268" w:rsidRDefault="00842952" w:rsidP="00950268">
            <w:pPr>
              <w:spacing w:after="0"/>
              <w:rPr>
                <w:rFonts w:cs="Arial"/>
                <w:sz w:val="18"/>
                <w:szCs w:val="18"/>
              </w:rPr>
            </w:pPr>
            <w:r w:rsidRPr="00950268">
              <w:rPr>
                <w:rFonts w:cs="Arial"/>
                <w:sz w:val="18"/>
                <w:szCs w:val="18"/>
              </w:rPr>
              <w:t>STT</w:t>
            </w:r>
          </w:p>
          <w:p w14:paraId="10C16138" w14:textId="77777777" w:rsidR="00842952" w:rsidRPr="00950268" w:rsidRDefault="00842952" w:rsidP="00950268">
            <w:pPr>
              <w:spacing w:after="0"/>
              <w:rPr>
                <w:rFonts w:cs="Arial"/>
                <w:sz w:val="18"/>
                <w:szCs w:val="18"/>
              </w:rPr>
            </w:pPr>
            <w:r w:rsidRPr="00950268">
              <w:rPr>
                <w:rFonts w:cs="Arial"/>
                <w:sz w:val="18"/>
                <w:szCs w:val="18"/>
              </w:rPr>
              <w:t>SOL</w:t>
            </w:r>
          </w:p>
        </w:tc>
        <w:tc>
          <w:tcPr>
            <w:tcW w:w="851" w:type="dxa"/>
            <w:shd w:val="clear" w:color="auto" w:fill="E2EFD9" w:themeFill="accent6" w:themeFillTint="33"/>
          </w:tcPr>
          <w:p w14:paraId="65BB52A5" w14:textId="77777777" w:rsidR="00842952" w:rsidRPr="00950268" w:rsidRDefault="00842952" w:rsidP="00950268">
            <w:pPr>
              <w:spacing w:after="0"/>
              <w:rPr>
                <w:rFonts w:cs="Arial"/>
                <w:sz w:val="18"/>
                <w:szCs w:val="18"/>
              </w:rPr>
            </w:pPr>
          </w:p>
        </w:tc>
      </w:tr>
    </w:tbl>
    <w:p w14:paraId="3163BE82" w14:textId="77777777" w:rsidR="00EF2736" w:rsidRDefault="00EF2736">
      <w:r>
        <w:br w:type="page"/>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5256"/>
        <w:gridCol w:w="825"/>
        <w:gridCol w:w="825"/>
        <w:gridCol w:w="801"/>
      </w:tblGrid>
      <w:tr w:rsidR="00842952" w:rsidRPr="00E902EA" w14:paraId="65A4B6D8" w14:textId="77777777" w:rsidTr="009D1865">
        <w:tc>
          <w:tcPr>
            <w:tcW w:w="527" w:type="dxa"/>
          </w:tcPr>
          <w:p w14:paraId="47C92C46" w14:textId="41D8B34F" w:rsidR="00842952" w:rsidRPr="00950268" w:rsidRDefault="00842952" w:rsidP="00950268">
            <w:pPr>
              <w:spacing w:after="0"/>
              <w:rPr>
                <w:rFonts w:cs="Arial"/>
                <w:b/>
                <w:sz w:val="18"/>
                <w:szCs w:val="18"/>
              </w:rPr>
            </w:pPr>
            <w:r w:rsidRPr="00950268">
              <w:rPr>
                <w:rFonts w:cs="Arial"/>
                <w:b/>
                <w:sz w:val="18"/>
                <w:szCs w:val="18"/>
              </w:rPr>
              <w:t>17.</w:t>
            </w:r>
          </w:p>
        </w:tc>
        <w:tc>
          <w:tcPr>
            <w:tcW w:w="5989" w:type="dxa"/>
          </w:tcPr>
          <w:p w14:paraId="18435188" w14:textId="77777777" w:rsidR="00842952" w:rsidRDefault="00842952" w:rsidP="00950268">
            <w:pPr>
              <w:spacing w:after="0"/>
              <w:rPr>
                <w:rFonts w:cs="Arial"/>
                <w:b/>
                <w:sz w:val="18"/>
                <w:szCs w:val="18"/>
              </w:rPr>
            </w:pPr>
            <w:r w:rsidRPr="00950268">
              <w:rPr>
                <w:rFonts w:cs="Arial"/>
                <w:b/>
                <w:sz w:val="18"/>
                <w:szCs w:val="18"/>
              </w:rPr>
              <w:t>Does APTC collaborate with or provide support to any other TVET providers when they are seeking to engage with employers/ enterprises?</w:t>
            </w:r>
          </w:p>
          <w:p w14:paraId="699B93CA" w14:textId="77777777" w:rsidR="006735B8" w:rsidRDefault="006735B8" w:rsidP="006735B8">
            <w:pPr>
              <w:spacing w:after="0"/>
              <w:rPr>
                <w:rFonts w:cs="Arial"/>
                <w:sz w:val="18"/>
                <w:szCs w:val="18"/>
              </w:rPr>
            </w:pPr>
            <w:r>
              <w:rPr>
                <w:rFonts w:cs="Arial"/>
                <w:sz w:val="18"/>
                <w:szCs w:val="18"/>
              </w:rPr>
              <w:t>Comments:</w:t>
            </w:r>
          </w:p>
          <w:p w14:paraId="10818DDE" w14:textId="77777777" w:rsidR="006735B8" w:rsidRPr="00950268" w:rsidRDefault="006735B8" w:rsidP="006735B8">
            <w:pPr>
              <w:spacing w:after="0"/>
              <w:rPr>
                <w:rFonts w:cs="Arial"/>
                <w:sz w:val="18"/>
                <w:szCs w:val="18"/>
              </w:rPr>
            </w:pPr>
            <w:r w:rsidRPr="00950268">
              <w:rPr>
                <w:rFonts w:cs="Arial"/>
                <w:sz w:val="18"/>
                <w:szCs w:val="18"/>
              </w:rPr>
              <w:t>STT – collaboration with the Fiji National University at staff level and with Vivekananda Technical Centre.</w:t>
            </w:r>
          </w:p>
          <w:p w14:paraId="552C3D30" w14:textId="77777777" w:rsidR="006735B8" w:rsidRPr="00950268" w:rsidRDefault="006735B8" w:rsidP="006735B8">
            <w:pPr>
              <w:spacing w:after="0"/>
              <w:rPr>
                <w:rFonts w:cs="Arial"/>
                <w:sz w:val="18"/>
                <w:szCs w:val="18"/>
              </w:rPr>
            </w:pPr>
            <w:r w:rsidRPr="00950268">
              <w:rPr>
                <w:rFonts w:cs="Arial"/>
                <w:sz w:val="18"/>
                <w:szCs w:val="18"/>
              </w:rPr>
              <w:t>PNG</w:t>
            </w:r>
            <w:r>
              <w:rPr>
                <w:rFonts w:cs="Arial"/>
                <w:sz w:val="18"/>
                <w:szCs w:val="18"/>
              </w:rPr>
              <w:t xml:space="preserve"> –</w:t>
            </w:r>
            <w:r w:rsidRPr="00950268">
              <w:rPr>
                <w:rFonts w:cs="Arial"/>
                <w:sz w:val="18"/>
                <w:szCs w:val="18"/>
              </w:rPr>
              <w:t xml:space="preserve"> P</w:t>
            </w:r>
            <w:r>
              <w:rPr>
                <w:rFonts w:cs="Arial"/>
                <w:sz w:val="18"/>
                <w:szCs w:val="18"/>
              </w:rPr>
              <w:t>O</w:t>
            </w:r>
            <w:r w:rsidRPr="00950268">
              <w:rPr>
                <w:rFonts w:cs="Arial"/>
                <w:sz w:val="18"/>
                <w:szCs w:val="18"/>
              </w:rPr>
              <w:t>MTECH Urban Youth Project, Lae Polytechnic Centre of Excellence</w:t>
            </w:r>
          </w:p>
          <w:p w14:paraId="1D34357A" w14:textId="77777777" w:rsidR="006735B8" w:rsidRPr="00950268" w:rsidRDefault="006735B8" w:rsidP="006735B8">
            <w:pPr>
              <w:spacing w:after="0"/>
              <w:rPr>
                <w:rFonts w:cs="Arial"/>
                <w:sz w:val="18"/>
                <w:szCs w:val="18"/>
              </w:rPr>
            </w:pPr>
            <w:r w:rsidRPr="00950268">
              <w:rPr>
                <w:rFonts w:cs="Arial"/>
                <w:sz w:val="18"/>
                <w:szCs w:val="18"/>
              </w:rPr>
              <w:t>SAM – collaboration with the National University of Samoa and other TVET providers</w:t>
            </w:r>
          </w:p>
          <w:p w14:paraId="76F45764" w14:textId="77777777" w:rsidR="006735B8" w:rsidRPr="00950268" w:rsidRDefault="006735B8" w:rsidP="006735B8">
            <w:pPr>
              <w:spacing w:after="0"/>
              <w:rPr>
                <w:rFonts w:cs="Arial"/>
                <w:sz w:val="18"/>
                <w:szCs w:val="18"/>
              </w:rPr>
            </w:pPr>
            <w:r w:rsidRPr="00950268">
              <w:rPr>
                <w:rFonts w:cs="Arial"/>
                <w:sz w:val="18"/>
                <w:szCs w:val="18"/>
              </w:rPr>
              <w:t>SOL – collaboration with Don Bosco Technical Institute, Solomon Islands Association of Rural Training Centres, Solomon Islands National University and the Ministry of Education and Human Resource Development</w:t>
            </w:r>
          </w:p>
          <w:p w14:paraId="61E125DA" w14:textId="77777777" w:rsidR="006735B8" w:rsidRDefault="006735B8" w:rsidP="006735B8">
            <w:pPr>
              <w:spacing w:after="0"/>
              <w:rPr>
                <w:rFonts w:cs="Arial"/>
                <w:sz w:val="18"/>
                <w:szCs w:val="18"/>
              </w:rPr>
            </w:pPr>
            <w:r w:rsidRPr="00950268">
              <w:rPr>
                <w:rFonts w:cs="Arial"/>
                <w:sz w:val="18"/>
                <w:szCs w:val="18"/>
              </w:rPr>
              <w:t>VAN – collaboration with Vanuatu Institute of Technology, Vanuatu Chamber of Commerce and Industry and the Vanuatu Rural Development Training Centre Association.</w:t>
            </w:r>
          </w:p>
          <w:p w14:paraId="0BB46554" w14:textId="16C9A1E0" w:rsidR="006735B8" w:rsidRPr="00950268" w:rsidRDefault="006735B8" w:rsidP="006735B8">
            <w:pPr>
              <w:spacing w:after="0"/>
              <w:rPr>
                <w:rFonts w:cs="Arial"/>
                <w:b/>
                <w:sz w:val="18"/>
                <w:szCs w:val="18"/>
              </w:rPr>
            </w:pPr>
          </w:p>
        </w:tc>
        <w:tc>
          <w:tcPr>
            <w:tcW w:w="850" w:type="dxa"/>
          </w:tcPr>
          <w:p w14:paraId="22A01093" w14:textId="77777777" w:rsidR="00842952" w:rsidRPr="00950268" w:rsidRDefault="00842952" w:rsidP="00950268">
            <w:pPr>
              <w:spacing w:after="0"/>
              <w:rPr>
                <w:rFonts w:cs="Arial"/>
                <w:sz w:val="18"/>
                <w:szCs w:val="18"/>
              </w:rPr>
            </w:pPr>
            <w:r w:rsidRPr="00950268">
              <w:rPr>
                <w:rFonts w:cs="Arial"/>
                <w:sz w:val="18"/>
                <w:szCs w:val="18"/>
              </w:rPr>
              <w:t>STT</w:t>
            </w:r>
          </w:p>
          <w:p w14:paraId="71A88EB2" w14:textId="77777777" w:rsidR="00842952" w:rsidRPr="00950268" w:rsidRDefault="00842952" w:rsidP="00950268">
            <w:pPr>
              <w:spacing w:after="0"/>
              <w:rPr>
                <w:rFonts w:cs="Arial"/>
                <w:sz w:val="18"/>
                <w:szCs w:val="18"/>
              </w:rPr>
            </w:pPr>
            <w:r w:rsidRPr="00950268">
              <w:rPr>
                <w:rFonts w:cs="Arial"/>
                <w:sz w:val="18"/>
                <w:szCs w:val="18"/>
              </w:rPr>
              <w:t>PNG</w:t>
            </w:r>
          </w:p>
          <w:p w14:paraId="6A7744D0" w14:textId="77777777" w:rsidR="00842952" w:rsidRPr="00950268" w:rsidRDefault="00842952" w:rsidP="00950268">
            <w:pPr>
              <w:spacing w:after="0"/>
              <w:rPr>
                <w:rFonts w:cs="Arial"/>
                <w:sz w:val="18"/>
                <w:szCs w:val="18"/>
              </w:rPr>
            </w:pPr>
            <w:r w:rsidRPr="00950268">
              <w:rPr>
                <w:rFonts w:cs="Arial"/>
                <w:sz w:val="18"/>
                <w:szCs w:val="18"/>
              </w:rPr>
              <w:t>SAM</w:t>
            </w:r>
          </w:p>
          <w:p w14:paraId="7C97CD08" w14:textId="77777777" w:rsidR="00842952" w:rsidRPr="00950268" w:rsidRDefault="00842952" w:rsidP="00950268">
            <w:pPr>
              <w:spacing w:after="0"/>
              <w:rPr>
                <w:rFonts w:cs="Arial"/>
                <w:sz w:val="18"/>
                <w:szCs w:val="18"/>
              </w:rPr>
            </w:pPr>
            <w:r w:rsidRPr="00950268">
              <w:rPr>
                <w:rFonts w:cs="Arial"/>
                <w:sz w:val="18"/>
                <w:szCs w:val="18"/>
              </w:rPr>
              <w:t>SOL</w:t>
            </w:r>
          </w:p>
          <w:p w14:paraId="66A19434" w14:textId="77777777" w:rsidR="00842952" w:rsidRPr="00950268" w:rsidRDefault="00842952" w:rsidP="00950268">
            <w:pPr>
              <w:spacing w:after="0"/>
              <w:rPr>
                <w:rFonts w:cs="Arial"/>
                <w:sz w:val="18"/>
                <w:szCs w:val="18"/>
              </w:rPr>
            </w:pPr>
            <w:r w:rsidRPr="00950268">
              <w:rPr>
                <w:rFonts w:cs="Arial"/>
                <w:sz w:val="18"/>
                <w:szCs w:val="18"/>
              </w:rPr>
              <w:t>VAN</w:t>
            </w:r>
          </w:p>
        </w:tc>
        <w:tc>
          <w:tcPr>
            <w:tcW w:w="850" w:type="dxa"/>
          </w:tcPr>
          <w:p w14:paraId="5FBF8919" w14:textId="77777777" w:rsidR="00842952" w:rsidRPr="00950268" w:rsidRDefault="00842952" w:rsidP="00950268">
            <w:pPr>
              <w:spacing w:after="0"/>
              <w:rPr>
                <w:rFonts w:cs="Arial"/>
                <w:sz w:val="18"/>
                <w:szCs w:val="18"/>
              </w:rPr>
            </w:pPr>
            <w:r w:rsidRPr="00950268">
              <w:rPr>
                <w:rFonts w:cs="Arial"/>
                <w:sz w:val="18"/>
                <w:szCs w:val="18"/>
              </w:rPr>
              <w:t>SHCS</w:t>
            </w:r>
          </w:p>
          <w:p w14:paraId="51FB67BC" w14:textId="77777777" w:rsidR="00842952" w:rsidRPr="00950268" w:rsidRDefault="00842952" w:rsidP="00950268">
            <w:pPr>
              <w:spacing w:after="0"/>
              <w:rPr>
                <w:rFonts w:cs="Arial"/>
                <w:sz w:val="18"/>
                <w:szCs w:val="18"/>
              </w:rPr>
            </w:pPr>
          </w:p>
        </w:tc>
        <w:tc>
          <w:tcPr>
            <w:tcW w:w="851" w:type="dxa"/>
          </w:tcPr>
          <w:p w14:paraId="34C78777" w14:textId="77777777" w:rsidR="00842952" w:rsidRPr="00950268" w:rsidRDefault="00842952" w:rsidP="00950268">
            <w:pPr>
              <w:spacing w:after="0"/>
              <w:rPr>
                <w:rFonts w:cs="Arial"/>
                <w:sz w:val="18"/>
                <w:szCs w:val="18"/>
              </w:rPr>
            </w:pPr>
          </w:p>
        </w:tc>
      </w:tr>
      <w:tr w:rsidR="00842952" w:rsidRPr="00E902EA" w14:paraId="2FB213E7" w14:textId="77777777" w:rsidTr="009D1865">
        <w:tc>
          <w:tcPr>
            <w:tcW w:w="527" w:type="dxa"/>
            <w:shd w:val="clear" w:color="auto" w:fill="E2EFD9" w:themeFill="accent6" w:themeFillTint="33"/>
          </w:tcPr>
          <w:p w14:paraId="627EA1ED" w14:textId="77777777" w:rsidR="00842952" w:rsidRPr="00950268" w:rsidRDefault="00842952" w:rsidP="00950268">
            <w:pPr>
              <w:spacing w:after="0"/>
              <w:rPr>
                <w:rFonts w:cs="Arial"/>
                <w:b/>
                <w:sz w:val="18"/>
                <w:szCs w:val="18"/>
              </w:rPr>
            </w:pPr>
            <w:r w:rsidRPr="00950268">
              <w:rPr>
                <w:rFonts w:cs="Arial"/>
                <w:b/>
                <w:sz w:val="18"/>
                <w:szCs w:val="18"/>
              </w:rPr>
              <w:t>18.</w:t>
            </w:r>
          </w:p>
        </w:tc>
        <w:tc>
          <w:tcPr>
            <w:tcW w:w="5989" w:type="dxa"/>
            <w:shd w:val="clear" w:color="auto" w:fill="E2EFD9" w:themeFill="accent6" w:themeFillTint="33"/>
          </w:tcPr>
          <w:p w14:paraId="241C3E6E" w14:textId="77777777" w:rsidR="00842952" w:rsidRDefault="00842952" w:rsidP="00950268">
            <w:pPr>
              <w:spacing w:after="0"/>
              <w:rPr>
                <w:rFonts w:cs="Arial"/>
                <w:b/>
                <w:sz w:val="18"/>
                <w:szCs w:val="18"/>
              </w:rPr>
            </w:pPr>
            <w:r w:rsidRPr="00950268">
              <w:rPr>
                <w:rFonts w:cs="Arial"/>
                <w:b/>
                <w:sz w:val="18"/>
                <w:szCs w:val="18"/>
              </w:rPr>
              <w:t xml:space="preserve">Do employers/enterprises contribute any actual or in-kind financial resources to the APTC other than scholarships or awards?  </w:t>
            </w:r>
          </w:p>
          <w:p w14:paraId="0E546076" w14:textId="77777777" w:rsidR="002C5C96" w:rsidRDefault="002C5C96" w:rsidP="002C5C96">
            <w:pPr>
              <w:spacing w:after="0"/>
              <w:rPr>
                <w:rFonts w:cs="Arial"/>
                <w:sz w:val="18"/>
                <w:szCs w:val="18"/>
              </w:rPr>
            </w:pPr>
            <w:r w:rsidRPr="002C5C96">
              <w:rPr>
                <w:rFonts w:cs="Arial"/>
                <w:sz w:val="18"/>
                <w:szCs w:val="18"/>
              </w:rPr>
              <w:t>Comments:</w:t>
            </w:r>
            <w:r>
              <w:rPr>
                <w:rFonts w:cs="Arial"/>
                <w:b/>
                <w:sz w:val="18"/>
                <w:szCs w:val="18"/>
              </w:rPr>
              <w:t xml:space="preserve"> </w:t>
            </w:r>
            <w:r w:rsidRPr="00950268">
              <w:rPr>
                <w:rFonts w:cs="Arial"/>
                <w:sz w:val="18"/>
                <w:szCs w:val="18"/>
              </w:rPr>
              <w:t>SHCS – Informal support when requested, for example, loan of items.</w:t>
            </w:r>
            <w:r>
              <w:rPr>
                <w:rFonts w:cs="Arial"/>
                <w:sz w:val="18"/>
                <w:szCs w:val="18"/>
              </w:rPr>
              <w:t xml:space="preserve"> </w:t>
            </w:r>
            <w:r w:rsidRPr="00950268">
              <w:rPr>
                <w:rFonts w:cs="Arial"/>
                <w:sz w:val="18"/>
                <w:szCs w:val="18"/>
              </w:rPr>
              <w:t>SAM – Limited support from the Samoan Water Authority.</w:t>
            </w:r>
          </w:p>
          <w:p w14:paraId="2F16E641" w14:textId="2055957B" w:rsidR="002C5C96" w:rsidRPr="00950268" w:rsidRDefault="002C5C96" w:rsidP="002C5C96">
            <w:pPr>
              <w:spacing w:after="0"/>
              <w:rPr>
                <w:rFonts w:cs="Arial"/>
                <w:b/>
                <w:sz w:val="18"/>
                <w:szCs w:val="18"/>
              </w:rPr>
            </w:pPr>
          </w:p>
        </w:tc>
        <w:tc>
          <w:tcPr>
            <w:tcW w:w="850" w:type="dxa"/>
            <w:shd w:val="clear" w:color="auto" w:fill="E2EFD9" w:themeFill="accent6" w:themeFillTint="33"/>
          </w:tcPr>
          <w:p w14:paraId="1C8C0755" w14:textId="77777777" w:rsidR="00842952" w:rsidRPr="00950268" w:rsidRDefault="00842952" w:rsidP="00950268">
            <w:pPr>
              <w:spacing w:after="0"/>
              <w:rPr>
                <w:rFonts w:cs="Arial"/>
                <w:sz w:val="18"/>
                <w:szCs w:val="18"/>
              </w:rPr>
            </w:pPr>
            <w:r w:rsidRPr="00950268">
              <w:rPr>
                <w:rFonts w:cs="Arial"/>
                <w:sz w:val="18"/>
                <w:szCs w:val="18"/>
              </w:rPr>
              <w:t>SHCS</w:t>
            </w:r>
          </w:p>
          <w:p w14:paraId="430218CD" w14:textId="77777777" w:rsidR="00842952" w:rsidRPr="00950268" w:rsidRDefault="00842952" w:rsidP="00950268">
            <w:pPr>
              <w:spacing w:after="0"/>
              <w:rPr>
                <w:rFonts w:cs="Arial"/>
                <w:sz w:val="18"/>
                <w:szCs w:val="18"/>
              </w:rPr>
            </w:pPr>
            <w:r w:rsidRPr="00950268">
              <w:rPr>
                <w:rFonts w:cs="Arial"/>
                <w:sz w:val="18"/>
                <w:szCs w:val="18"/>
              </w:rPr>
              <w:t>SAM</w:t>
            </w:r>
          </w:p>
          <w:p w14:paraId="427E50E8" w14:textId="77777777" w:rsidR="00842952" w:rsidRPr="00950268" w:rsidRDefault="00842952" w:rsidP="00950268">
            <w:pPr>
              <w:spacing w:after="0"/>
              <w:rPr>
                <w:rFonts w:cs="Arial"/>
                <w:sz w:val="18"/>
                <w:szCs w:val="18"/>
              </w:rPr>
            </w:pPr>
          </w:p>
        </w:tc>
        <w:tc>
          <w:tcPr>
            <w:tcW w:w="850" w:type="dxa"/>
            <w:shd w:val="clear" w:color="auto" w:fill="E2EFD9" w:themeFill="accent6" w:themeFillTint="33"/>
          </w:tcPr>
          <w:p w14:paraId="02F2A55C" w14:textId="77777777" w:rsidR="00842952" w:rsidRPr="00950268" w:rsidRDefault="00842952" w:rsidP="00950268">
            <w:pPr>
              <w:spacing w:after="0"/>
              <w:rPr>
                <w:rFonts w:cs="Arial"/>
                <w:sz w:val="18"/>
                <w:szCs w:val="18"/>
              </w:rPr>
            </w:pPr>
            <w:r w:rsidRPr="00950268">
              <w:rPr>
                <w:rFonts w:cs="Arial"/>
                <w:sz w:val="18"/>
                <w:szCs w:val="18"/>
              </w:rPr>
              <w:t>STT</w:t>
            </w:r>
          </w:p>
          <w:p w14:paraId="31BE5C11" w14:textId="77777777" w:rsidR="00842952" w:rsidRPr="00950268" w:rsidRDefault="00842952" w:rsidP="00950268">
            <w:pPr>
              <w:spacing w:after="0"/>
              <w:rPr>
                <w:rFonts w:cs="Arial"/>
                <w:sz w:val="18"/>
                <w:szCs w:val="18"/>
              </w:rPr>
            </w:pPr>
            <w:r w:rsidRPr="00950268">
              <w:rPr>
                <w:rFonts w:cs="Arial"/>
                <w:sz w:val="18"/>
                <w:szCs w:val="18"/>
              </w:rPr>
              <w:t>PNG</w:t>
            </w:r>
          </w:p>
          <w:p w14:paraId="6EDEC102" w14:textId="77777777" w:rsidR="00842952" w:rsidRPr="00950268" w:rsidRDefault="00842952" w:rsidP="00950268">
            <w:pPr>
              <w:spacing w:after="0"/>
              <w:rPr>
                <w:rFonts w:cs="Arial"/>
                <w:sz w:val="18"/>
                <w:szCs w:val="18"/>
              </w:rPr>
            </w:pPr>
            <w:r w:rsidRPr="00950268">
              <w:rPr>
                <w:rFonts w:cs="Arial"/>
                <w:sz w:val="18"/>
                <w:szCs w:val="18"/>
              </w:rPr>
              <w:t>SOL</w:t>
            </w:r>
          </w:p>
        </w:tc>
        <w:tc>
          <w:tcPr>
            <w:tcW w:w="851" w:type="dxa"/>
            <w:shd w:val="clear" w:color="auto" w:fill="E2EFD9" w:themeFill="accent6" w:themeFillTint="33"/>
          </w:tcPr>
          <w:p w14:paraId="729F497B" w14:textId="77777777" w:rsidR="00842952" w:rsidRPr="00950268" w:rsidRDefault="00842952" w:rsidP="00950268">
            <w:pPr>
              <w:spacing w:after="0"/>
              <w:rPr>
                <w:rFonts w:cs="Arial"/>
                <w:sz w:val="18"/>
                <w:szCs w:val="18"/>
              </w:rPr>
            </w:pPr>
            <w:r w:rsidRPr="00950268">
              <w:rPr>
                <w:rFonts w:cs="Arial"/>
                <w:sz w:val="18"/>
                <w:szCs w:val="18"/>
              </w:rPr>
              <w:t>VAN</w:t>
            </w:r>
          </w:p>
          <w:p w14:paraId="63D2F947" w14:textId="77777777" w:rsidR="00842952" w:rsidRPr="00950268" w:rsidRDefault="00842952" w:rsidP="00950268">
            <w:pPr>
              <w:spacing w:after="0"/>
              <w:rPr>
                <w:rFonts w:cs="Arial"/>
                <w:sz w:val="18"/>
                <w:szCs w:val="18"/>
              </w:rPr>
            </w:pPr>
          </w:p>
        </w:tc>
      </w:tr>
      <w:tr w:rsidR="00842952" w:rsidRPr="00E902EA" w14:paraId="1C8F2C91" w14:textId="77777777" w:rsidTr="009D1865">
        <w:tc>
          <w:tcPr>
            <w:tcW w:w="527" w:type="dxa"/>
          </w:tcPr>
          <w:p w14:paraId="7D701AC9" w14:textId="77777777" w:rsidR="00842952" w:rsidRPr="00950268" w:rsidRDefault="00842952" w:rsidP="00950268">
            <w:pPr>
              <w:spacing w:after="0"/>
              <w:rPr>
                <w:rFonts w:cs="Arial"/>
                <w:b/>
                <w:sz w:val="18"/>
                <w:szCs w:val="18"/>
              </w:rPr>
            </w:pPr>
            <w:r w:rsidRPr="00950268">
              <w:rPr>
                <w:rFonts w:cs="Arial"/>
                <w:b/>
                <w:sz w:val="18"/>
                <w:szCs w:val="18"/>
              </w:rPr>
              <w:t>19.</w:t>
            </w:r>
          </w:p>
        </w:tc>
        <w:tc>
          <w:tcPr>
            <w:tcW w:w="5989" w:type="dxa"/>
          </w:tcPr>
          <w:p w14:paraId="520473B4" w14:textId="77777777" w:rsidR="00842952" w:rsidRDefault="00842952" w:rsidP="00950268">
            <w:pPr>
              <w:spacing w:after="0"/>
              <w:rPr>
                <w:rFonts w:cs="Arial"/>
                <w:b/>
                <w:sz w:val="18"/>
                <w:szCs w:val="18"/>
              </w:rPr>
            </w:pPr>
            <w:r w:rsidRPr="00950268">
              <w:rPr>
                <w:rFonts w:cs="Arial"/>
                <w:b/>
                <w:sz w:val="18"/>
                <w:szCs w:val="18"/>
              </w:rPr>
              <w:t>Are there any other ways in which employers/enterprises are involved in the APTC?</w:t>
            </w:r>
          </w:p>
          <w:p w14:paraId="6D5CF653" w14:textId="47459C8B" w:rsidR="002C5C96" w:rsidRPr="00950268" w:rsidRDefault="002C5C96" w:rsidP="002C5C96">
            <w:pPr>
              <w:spacing w:after="0"/>
              <w:rPr>
                <w:rFonts w:cs="Arial"/>
                <w:sz w:val="18"/>
                <w:szCs w:val="18"/>
              </w:rPr>
            </w:pPr>
            <w:r w:rsidRPr="002C5C96">
              <w:rPr>
                <w:rFonts w:cs="Arial"/>
                <w:sz w:val="18"/>
                <w:szCs w:val="18"/>
              </w:rPr>
              <w:t>Comments:</w:t>
            </w:r>
            <w:r>
              <w:rPr>
                <w:rFonts w:cs="Arial"/>
                <w:b/>
                <w:sz w:val="18"/>
                <w:szCs w:val="18"/>
              </w:rPr>
              <w:t xml:space="preserve"> </w:t>
            </w:r>
            <w:r w:rsidRPr="00950268">
              <w:rPr>
                <w:rFonts w:cs="Arial"/>
                <w:sz w:val="18"/>
                <w:szCs w:val="18"/>
              </w:rPr>
              <w:t>SHCS – APTC hosts functions which employers/enterprises attend</w:t>
            </w:r>
            <w:r>
              <w:rPr>
                <w:rFonts w:cs="Arial"/>
                <w:sz w:val="18"/>
                <w:szCs w:val="18"/>
              </w:rPr>
              <w:t xml:space="preserve">. </w:t>
            </w:r>
            <w:r w:rsidR="00E05009">
              <w:rPr>
                <w:rFonts w:cs="Arial"/>
                <w:sz w:val="18"/>
                <w:szCs w:val="18"/>
              </w:rPr>
              <w:br/>
            </w:r>
            <w:r w:rsidRPr="00950268">
              <w:rPr>
                <w:rFonts w:cs="Arial"/>
                <w:sz w:val="18"/>
                <w:szCs w:val="18"/>
              </w:rPr>
              <w:t>PNG – Donations of equipment</w:t>
            </w:r>
            <w:r>
              <w:rPr>
                <w:rFonts w:cs="Arial"/>
                <w:sz w:val="18"/>
                <w:szCs w:val="18"/>
              </w:rPr>
              <w:t xml:space="preserve">. </w:t>
            </w:r>
            <w:r w:rsidR="00E05009">
              <w:rPr>
                <w:rFonts w:cs="Arial"/>
                <w:sz w:val="18"/>
                <w:szCs w:val="18"/>
              </w:rPr>
              <w:br/>
            </w:r>
            <w:r w:rsidRPr="00950268">
              <w:rPr>
                <w:rFonts w:cs="Arial"/>
                <w:sz w:val="18"/>
                <w:szCs w:val="18"/>
              </w:rPr>
              <w:t xml:space="preserve">SAM – There is a general climate of support for APTC </w:t>
            </w:r>
            <w:r w:rsidR="004C403B">
              <w:rPr>
                <w:rFonts w:cs="Arial"/>
                <w:sz w:val="18"/>
                <w:szCs w:val="18"/>
              </w:rPr>
              <w:br/>
            </w:r>
            <w:r w:rsidRPr="00950268">
              <w:rPr>
                <w:rFonts w:cs="Arial"/>
                <w:sz w:val="18"/>
                <w:szCs w:val="18"/>
              </w:rPr>
              <w:t>among employers</w:t>
            </w:r>
            <w:r>
              <w:rPr>
                <w:rFonts w:cs="Arial"/>
                <w:sz w:val="18"/>
                <w:szCs w:val="18"/>
              </w:rPr>
              <w:t>.</w:t>
            </w:r>
          </w:p>
          <w:p w14:paraId="50C09771" w14:textId="54936952" w:rsidR="002C5C96" w:rsidRPr="00950268" w:rsidRDefault="002C5C96" w:rsidP="002C5C96">
            <w:pPr>
              <w:spacing w:after="0"/>
              <w:rPr>
                <w:rFonts w:cs="Arial"/>
                <w:b/>
                <w:sz w:val="18"/>
                <w:szCs w:val="18"/>
              </w:rPr>
            </w:pPr>
            <w:r w:rsidRPr="00950268">
              <w:rPr>
                <w:rFonts w:cs="Arial"/>
                <w:sz w:val="18"/>
                <w:szCs w:val="18"/>
              </w:rPr>
              <w:t xml:space="preserve">VAN – There are multiple examples of employers/enterprises being involved running workshops, delivering training, as guest speakers, as panel members at student presentations </w:t>
            </w:r>
            <w:r w:rsidR="004C403B">
              <w:rPr>
                <w:rFonts w:cs="Arial"/>
                <w:sz w:val="18"/>
                <w:szCs w:val="18"/>
              </w:rPr>
              <w:br/>
            </w:r>
            <w:r w:rsidRPr="00950268">
              <w:rPr>
                <w:rFonts w:cs="Arial"/>
                <w:sz w:val="18"/>
                <w:szCs w:val="18"/>
              </w:rPr>
              <w:t>and the like.</w:t>
            </w:r>
          </w:p>
        </w:tc>
        <w:tc>
          <w:tcPr>
            <w:tcW w:w="850" w:type="dxa"/>
          </w:tcPr>
          <w:p w14:paraId="077E9ECC" w14:textId="77777777" w:rsidR="00842952" w:rsidRPr="00950268" w:rsidRDefault="00842952" w:rsidP="00950268">
            <w:pPr>
              <w:spacing w:after="0"/>
              <w:rPr>
                <w:rFonts w:cs="Arial"/>
                <w:sz w:val="18"/>
                <w:szCs w:val="18"/>
              </w:rPr>
            </w:pPr>
            <w:r w:rsidRPr="00950268">
              <w:rPr>
                <w:rFonts w:cs="Arial"/>
                <w:sz w:val="18"/>
                <w:szCs w:val="18"/>
              </w:rPr>
              <w:t>SHCS</w:t>
            </w:r>
          </w:p>
          <w:p w14:paraId="1F9EBC4C" w14:textId="77777777" w:rsidR="00842952" w:rsidRPr="00950268" w:rsidRDefault="00842952" w:rsidP="00950268">
            <w:pPr>
              <w:spacing w:after="0"/>
              <w:rPr>
                <w:rFonts w:cs="Arial"/>
                <w:sz w:val="18"/>
                <w:szCs w:val="18"/>
              </w:rPr>
            </w:pPr>
            <w:r w:rsidRPr="00950268">
              <w:rPr>
                <w:rFonts w:cs="Arial"/>
                <w:sz w:val="18"/>
                <w:szCs w:val="18"/>
              </w:rPr>
              <w:t>PNG</w:t>
            </w:r>
          </w:p>
          <w:p w14:paraId="27AA6E53" w14:textId="77777777" w:rsidR="00842952" w:rsidRPr="00950268" w:rsidRDefault="00842952" w:rsidP="00950268">
            <w:pPr>
              <w:spacing w:after="0"/>
              <w:rPr>
                <w:rFonts w:cs="Arial"/>
                <w:sz w:val="18"/>
                <w:szCs w:val="18"/>
              </w:rPr>
            </w:pPr>
            <w:r w:rsidRPr="00950268">
              <w:rPr>
                <w:rFonts w:cs="Arial"/>
                <w:sz w:val="18"/>
                <w:szCs w:val="18"/>
              </w:rPr>
              <w:t>SAM</w:t>
            </w:r>
          </w:p>
          <w:p w14:paraId="50574144" w14:textId="77777777" w:rsidR="00842952" w:rsidRPr="00950268" w:rsidRDefault="00842952" w:rsidP="00950268">
            <w:pPr>
              <w:spacing w:after="0"/>
              <w:rPr>
                <w:rFonts w:cs="Arial"/>
                <w:sz w:val="18"/>
                <w:szCs w:val="18"/>
              </w:rPr>
            </w:pPr>
            <w:r w:rsidRPr="00950268">
              <w:rPr>
                <w:rFonts w:cs="Arial"/>
                <w:sz w:val="18"/>
                <w:szCs w:val="18"/>
              </w:rPr>
              <w:t>VAN</w:t>
            </w:r>
          </w:p>
        </w:tc>
        <w:tc>
          <w:tcPr>
            <w:tcW w:w="850" w:type="dxa"/>
          </w:tcPr>
          <w:p w14:paraId="3E6FA2BF" w14:textId="77777777" w:rsidR="00842952" w:rsidRPr="00950268" w:rsidRDefault="00842952" w:rsidP="00950268">
            <w:pPr>
              <w:spacing w:after="0"/>
              <w:rPr>
                <w:rFonts w:cs="Arial"/>
                <w:sz w:val="18"/>
                <w:szCs w:val="18"/>
              </w:rPr>
            </w:pPr>
            <w:r w:rsidRPr="00950268">
              <w:rPr>
                <w:rFonts w:cs="Arial"/>
                <w:sz w:val="18"/>
                <w:szCs w:val="18"/>
              </w:rPr>
              <w:t>STT</w:t>
            </w:r>
          </w:p>
          <w:p w14:paraId="5BC35972" w14:textId="77777777" w:rsidR="00842952" w:rsidRPr="00950268" w:rsidRDefault="00842952" w:rsidP="00950268">
            <w:pPr>
              <w:spacing w:after="0"/>
              <w:rPr>
                <w:rFonts w:cs="Arial"/>
                <w:sz w:val="18"/>
                <w:szCs w:val="18"/>
              </w:rPr>
            </w:pPr>
            <w:r w:rsidRPr="00950268">
              <w:rPr>
                <w:rFonts w:cs="Arial"/>
                <w:sz w:val="18"/>
                <w:szCs w:val="18"/>
              </w:rPr>
              <w:t>SOL</w:t>
            </w:r>
          </w:p>
          <w:p w14:paraId="704B3F01" w14:textId="77777777" w:rsidR="00842952" w:rsidRPr="00950268" w:rsidRDefault="00842952" w:rsidP="00950268">
            <w:pPr>
              <w:spacing w:after="0"/>
              <w:rPr>
                <w:rFonts w:cs="Arial"/>
                <w:sz w:val="18"/>
                <w:szCs w:val="18"/>
              </w:rPr>
            </w:pPr>
          </w:p>
        </w:tc>
        <w:tc>
          <w:tcPr>
            <w:tcW w:w="851" w:type="dxa"/>
          </w:tcPr>
          <w:p w14:paraId="11BD0C57" w14:textId="77777777" w:rsidR="00842952" w:rsidRPr="00950268" w:rsidRDefault="00842952" w:rsidP="00950268">
            <w:pPr>
              <w:spacing w:after="0"/>
              <w:rPr>
                <w:rFonts w:cs="Arial"/>
                <w:sz w:val="18"/>
                <w:szCs w:val="18"/>
              </w:rPr>
            </w:pPr>
          </w:p>
        </w:tc>
      </w:tr>
      <w:tr w:rsidR="00EF2736" w:rsidRPr="00E902EA" w14:paraId="2BB1ADD0" w14:textId="77777777" w:rsidTr="009D1865">
        <w:tc>
          <w:tcPr>
            <w:tcW w:w="527" w:type="dxa"/>
            <w:shd w:val="clear" w:color="auto" w:fill="E2EFD9" w:themeFill="accent6" w:themeFillTint="33"/>
          </w:tcPr>
          <w:p w14:paraId="7A1273CC" w14:textId="1178BAFD" w:rsidR="00EF2736" w:rsidRPr="00950268" w:rsidRDefault="00EF2736" w:rsidP="00950268">
            <w:pPr>
              <w:spacing w:after="0"/>
              <w:rPr>
                <w:rFonts w:cs="Arial"/>
                <w:b/>
                <w:sz w:val="18"/>
                <w:szCs w:val="18"/>
              </w:rPr>
            </w:pPr>
            <w:r w:rsidRPr="00950268">
              <w:rPr>
                <w:rFonts w:cs="Arial"/>
                <w:b/>
                <w:sz w:val="18"/>
                <w:szCs w:val="18"/>
              </w:rPr>
              <w:t>20.</w:t>
            </w:r>
          </w:p>
        </w:tc>
        <w:tc>
          <w:tcPr>
            <w:tcW w:w="5989" w:type="dxa"/>
            <w:shd w:val="clear" w:color="auto" w:fill="E2EFD9" w:themeFill="accent6" w:themeFillTint="33"/>
          </w:tcPr>
          <w:p w14:paraId="5FAA2D36" w14:textId="77777777" w:rsidR="00EF2736" w:rsidRDefault="00EF2736" w:rsidP="00A81D68">
            <w:pPr>
              <w:spacing w:after="0"/>
              <w:rPr>
                <w:rFonts w:cs="Arial"/>
                <w:b/>
                <w:sz w:val="18"/>
                <w:szCs w:val="18"/>
              </w:rPr>
            </w:pPr>
            <w:r w:rsidRPr="00950268">
              <w:rPr>
                <w:rFonts w:cs="Arial"/>
                <w:b/>
                <w:sz w:val="18"/>
                <w:szCs w:val="18"/>
              </w:rPr>
              <w:t>Are you or any of your staff a member of any employer associations in the Pacific?</w:t>
            </w:r>
          </w:p>
          <w:p w14:paraId="1E955E64" w14:textId="77777777" w:rsidR="00EF2736" w:rsidRPr="00950268" w:rsidRDefault="00EF2736" w:rsidP="00A81D68">
            <w:pPr>
              <w:spacing w:after="20"/>
              <w:rPr>
                <w:rFonts w:cs="Arial"/>
                <w:sz w:val="18"/>
                <w:szCs w:val="18"/>
              </w:rPr>
            </w:pPr>
            <w:r w:rsidRPr="00950268">
              <w:rPr>
                <w:rFonts w:cs="Arial"/>
                <w:sz w:val="18"/>
                <w:szCs w:val="18"/>
              </w:rPr>
              <w:t>SHCS:</w:t>
            </w:r>
            <w:r>
              <w:rPr>
                <w:rFonts w:cs="Arial"/>
                <w:sz w:val="18"/>
                <w:szCs w:val="18"/>
              </w:rPr>
              <w:t xml:space="preserve"> </w:t>
            </w:r>
            <w:r w:rsidRPr="00950268">
              <w:rPr>
                <w:rFonts w:cs="Arial"/>
                <w:sz w:val="18"/>
                <w:szCs w:val="18"/>
              </w:rPr>
              <w:t>Fiji Chefs Association; Fiji Hospitality and Tourism Association; Fiji Early Childhood Association (West and East); SKAL (Tourism)</w:t>
            </w:r>
          </w:p>
          <w:p w14:paraId="6352D9C6" w14:textId="77777777" w:rsidR="00EF2736" w:rsidRPr="00950268" w:rsidRDefault="00EF2736" w:rsidP="00A81D68">
            <w:pPr>
              <w:spacing w:after="20"/>
              <w:rPr>
                <w:rFonts w:cs="Arial"/>
                <w:sz w:val="18"/>
                <w:szCs w:val="18"/>
              </w:rPr>
            </w:pPr>
            <w:r w:rsidRPr="00950268">
              <w:rPr>
                <w:rFonts w:cs="Arial"/>
                <w:sz w:val="18"/>
                <w:szCs w:val="18"/>
              </w:rPr>
              <w:t>STT:</w:t>
            </w:r>
            <w:r>
              <w:rPr>
                <w:rFonts w:cs="Arial"/>
                <w:sz w:val="18"/>
                <w:szCs w:val="18"/>
              </w:rPr>
              <w:t xml:space="preserve"> </w:t>
            </w:r>
            <w:r w:rsidRPr="00950268">
              <w:rPr>
                <w:rFonts w:cs="Arial"/>
                <w:sz w:val="18"/>
                <w:szCs w:val="18"/>
              </w:rPr>
              <w:t>Fiji Master Builders Association.</w:t>
            </w:r>
            <w:r>
              <w:rPr>
                <w:rFonts w:cs="Arial"/>
                <w:sz w:val="18"/>
                <w:szCs w:val="18"/>
              </w:rPr>
              <w:t xml:space="preserve"> </w:t>
            </w:r>
            <w:r w:rsidRPr="00950268">
              <w:rPr>
                <w:rFonts w:cs="Arial"/>
                <w:sz w:val="18"/>
                <w:szCs w:val="18"/>
              </w:rPr>
              <w:t>The APTC also made attempts to support the establishment of an association in the Finishing Trades (e.g. P&amp;D, W&amp;FT) but these efforts came to nothing.</w:t>
            </w:r>
          </w:p>
          <w:p w14:paraId="7C796AA6" w14:textId="77777777" w:rsidR="00EF2736" w:rsidRPr="00950268" w:rsidRDefault="00EF2736" w:rsidP="00A81D68">
            <w:pPr>
              <w:spacing w:after="20"/>
              <w:rPr>
                <w:rFonts w:cs="Arial"/>
                <w:sz w:val="18"/>
                <w:szCs w:val="18"/>
              </w:rPr>
            </w:pPr>
            <w:r w:rsidRPr="00950268">
              <w:rPr>
                <w:rFonts w:cs="Arial"/>
                <w:sz w:val="18"/>
                <w:szCs w:val="18"/>
              </w:rPr>
              <w:t>PNG:</w:t>
            </w:r>
            <w:r>
              <w:rPr>
                <w:rFonts w:cs="Arial"/>
                <w:sz w:val="18"/>
                <w:szCs w:val="18"/>
              </w:rPr>
              <w:t xml:space="preserve"> </w:t>
            </w:r>
            <w:r w:rsidRPr="00950268">
              <w:rPr>
                <w:rFonts w:cs="Arial"/>
                <w:sz w:val="18"/>
                <w:szCs w:val="18"/>
              </w:rPr>
              <w:t>Business Council of PNG (incorporates Manufacturers’ Council, Chamber of Mines and Petroleum); Port Moresby Chamber of Commerce and Industry</w:t>
            </w:r>
          </w:p>
          <w:p w14:paraId="58FD6DD2" w14:textId="77777777" w:rsidR="00EF2736" w:rsidRPr="00950268" w:rsidRDefault="00EF2736" w:rsidP="00A81D68">
            <w:pPr>
              <w:spacing w:after="20"/>
              <w:rPr>
                <w:rFonts w:cs="Arial"/>
                <w:sz w:val="18"/>
                <w:szCs w:val="18"/>
              </w:rPr>
            </w:pPr>
            <w:r w:rsidRPr="00950268">
              <w:rPr>
                <w:rFonts w:cs="Arial"/>
                <w:sz w:val="18"/>
                <w:szCs w:val="18"/>
              </w:rPr>
              <w:t>SAM:</w:t>
            </w:r>
            <w:r>
              <w:rPr>
                <w:rFonts w:cs="Arial"/>
                <w:sz w:val="18"/>
                <w:szCs w:val="18"/>
              </w:rPr>
              <w:t xml:space="preserve"> </w:t>
            </w:r>
            <w:r w:rsidRPr="00950268">
              <w:rPr>
                <w:rFonts w:cs="Arial"/>
                <w:sz w:val="18"/>
                <w:szCs w:val="18"/>
              </w:rPr>
              <w:t>Samoa Hotels Association; Samoan Tourism Authority; Samoan Association of Manufacturers and Exporters; Plumbers Association of Samoa; Engineers Association</w:t>
            </w:r>
          </w:p>
          <w:p w14:paraId="0D6AF386" w14:textId="2C21D7D6" w:rsidR="00EF2736" w:rsidRPr="00950268" w:rsidRDefault="00EF2736" w:rsidP="00A81D68">
            <w:pPr>
              <w:spacing w:after="20"/>
              <w:rPr>
                <w:rFonts w:cs="Arial"/>
                <w:sz w:val="18"/>
                <w:szCs w:val="18"/>
              </w:rPr>
            </w:pPr>
            <w:r w:rsidRPr="00950268">
              <w:rPr>
                <w:rFonts w:cs="Arial"/>
                <w:sz w:val="18"/>
                <w:szCs w:val="18"/>
              </w:rPr>
              <w:t>SOL:</w:t>
            </w:r>
            <w:r>
              <w:rPr>
                <w:rFonts w:cs="Arial"/>
                <w:sz w:val="18"/>
                <w:szCs w:val="18"/>
              </w:rPr>
              <w:t xml:space="preserve"> </w:t>
            </w:r>
            <w:r w:rsidRPr="00950268">
              <w:rPr>
                <w:rFonts w:cs="Arial"/>
                <w:sz w:val="18"/>
                <w:szCs w:val="18"/>
              </w:rPr>
              <w:t xml:space="preserve">Solomon Islands Chamber of Commerce &amp; Industry </w:t>
            </w:r>
          </w:p>
          <w:p w14:paraId="5B0D142D" w14:textId="77777777" w:rsidR="00EF2736" w:rsidRPr="00950268" w:rsidRDefault="00EF2736" w:rsidP="00A81D68">
            <w:pPr>
              <w:spacing w:after="20"/>
              <w:rPr>
                <w:rFonts w:cs="Arial"/>
                <w:sz w:val="18"/>
                <w:szCs w:val="18"/>
              </w:rPr>
            </w:pPr>
            <w:r w:rsidRPr="00950268">
              <w:rPr>
                <w:rFonts w:cs="Arial"/>
                <w:sz w:val="18"/>
                <w:szCs w:val="18"/>
              </w:rPr>
              <w:t>VAN:</w:t>
            </w:r>
            <w:r>
              <w:rPr>
                <w:rFonts w:cs="Arial"/>
                <w:sz w:val="18"/>
                <w:szCs w:val="18"/>
              </w:rPr>
              <w:t xml:space="preserve"> </w:t>
            </w:r>
            <w:r w:rsidRPr="00950268">
              <w:rPr>
                <w:rFonts w:cs="Arial"/>
                <w:sz w:val="18"/>
                <w:szCs w:val="18"/>
              </w:rPr>
              <w:t>Youth Livelihood Network; Youth Stakeholders Association; Disability Services Network; Youth Justice Forum; Pacific Institute of Public Policy Advisory Group; Vanuatu Hotels and Resorts Association; Vanuatu Tour Operators Association</w:t>
            </w:r>
          </w:p>
          <w:p w14:paraId="1FCBDA8A" w14:textId="77777777" w:rsidR="00EF2736" w:rsidRDefault="00EF2736" w:rsidP="00A81D68">
            <w:pPr>
              <w:spacing w:after="20"/>
              <w:rPr>
                <w:rFonts w:cs="Arial"/>
                <w:sz w:val="18"/>
                <w:szCs w:val="18"/>
              </w:rPr>
            </w:pPr>
            <w:r w:rsidRPr="00950268">
              <w:rPr>
                <w:rFonts w:cs="Arial"/>
                <w:sz w:val="18"/>
                <w:szCs w:val="18"/>
              </w:rPr>
              <w:t>Port Vila Kindergarten Association</w:t>
            </w:r>
          </w:p>
          <w:p w14:paraId="30F153FE" w14:textId="77777777" w:rsidR="00EF2736" w:rsidRPr="00950268" w:rsidRDefault="00EF2736" w:rsidP="00950268">
            <w:pPr>
              <w:spacing w:after="0"/>
              <w:rPr>
                <w:rFonts w:cs="Arial"/>
                <w:b/>
                <w:sz w:val="18"/>
                <w:szCs w:val="18"/>
              </w:rPr>
            </w:pPr>
          </w:p>
        </w:tc>
        <w:tc>
          <w:tcPr>
            <w:tcW w:w="850" w:type="dxa"/>
            <w:shd w:val="clear" w:color="auto" w:fill="E2EFD9" w:themeFill="accent6" w:themeFillTint="33"/>
          </w:tcPr>
          <w:p w14:paraId="6A8BB1F4" w14:textId="77777777" w:rsidR="00EF2736" w:rsidRPr="00950268" w:rsidRDefault="00EF2736" w:rsidP="00A81D68">
            <w:pPr>
              <w:spacing w:after="0"/>
              <w:rPr>
                <w:rFonts w:cs="Arial"/>
                <w:sz w:val="18"/>
                <w:szCs w:val="18"/>
              </w:rPr>
            </w:pPr>
            <w:r w:rsidRPr="00950268">
              <w:rPr>
                <w:rFonts w:cs="Arial"/>
                <w:sz w:val="18"/>
                <w:szCs w:val="18"/>
              </w:rPr>
              <w:t>SHCS</w:t>
            </w:r>
          </w:p>
          <w:p w14:paraId="0C36C4F8" w14:textId="77777777" w:rsidR="00EF2736" w:rsidRPr="00950268" w:rsidRDefault="00EF2736" w:rsidP="00A81D68">
            <w:pPr>
              <w:spacing w:after="0"/>
              <w:rPr>
                <w:rFonts w:cs="Arial"/>
                <w:sz w:val="18"/>
                <w:szCs w:val="18"/>
              </w:rPr>
            </w:pPr>
            <w:r w:rsidRPr="00950268">
              <w:rPr>
                <w:rFonts w:cs="Arial"/>
                <w:sz w:val="18"/>
                <w:szCs w:val="18"/>
              </w:rPr>
              <w:t>STT</w:t>
            </w:r>
          </w:p>
          <w:p w14:paraId="2C2F2414" w14:textId="77777777" w:rsidR="00EF2736" w:rsidRPr="00950268" w:rsidRDefault="00EF2736" w:rsidP="00A81D68">
            <w:pPr>
              <w:spacing w:after="0"/>
              <w:rPr>
                <w:rFonts w:cs="Arial"/>
                <w:sz w:val="18"/>
                <w:szCs w:val="18"/>
              </w:rPr>
            </w:pPr>
            <w:r w:rsidRPr="00950268">
              <w:rPr>
                <w:rFonts w:cs="Arial"/>
                <w:sz w:val="18"/>
                <w:szCs w:val="18"/>
              </w:rPr>
              <w:t>PNG</w:t>
            </w:r>
          </w:p>
          <w:p w14:paraId="2787DFC5" w14:textId="77777777" w:rsidR="00EF2736" w:rsidRPr="00950268" w:rsidRDefault="00EF2736" w:rsidP="00A81D68">
            <w:pPr>
              <w:spacing w:after="0"/>
              <w:rPr>
                <w:rFonts w:cs="Arial"/>
                <w:sz w:val="18"/>
                <w:szCs w:val="18"/>
              </w:rPr>
            </w:pPr>
            <w:r w:rsidRPr="00950268">
              <w:rPr>
                <w:rFonts w:cs="Arial"/>
                <w:sz w:val="18"/>
                <w:szCs w:val="18"/>
              </w:rPr>
              <w:t>SAM</w:t>
            </w:r>
          </w:p>
          <w:p w14:paraId="22A04D81" w14:textId="77777777" w:rsidR="00EF2736" w:rsidRPr="00950268" w:rsidRDefault="00EF2736" w:rsidP="00A81D68">
            <w:pPr>
              <w:spacing w:after="0"/>
              <w:rPr>
                <w:rFonts w:cs="Arial"/>
                <w:sz w:val="18"/>
                <w:szCs w:val="18"/>
              </w:rPr>
            </w:pPr>
            <w:r w:rsidRPr="00950268">
              <w:rPr>
                <w:rFonts w:cs="Arial"/>
                <w:sz w:val="18"/>
                <w:szCs w:val="18"/>
              </w:rPr>
              <w:t>SOL</w:t>
            </w:r>
          </w:p>
          <w:p w14:paraId="35300CEB" w14:textId="7ACA0588" w:rsidR="00EF2736" w:rsidRPr="00950268" w:rsidRDefault="00EF2736" w:rsidP="00950268">
            <w:pPr>
              <w:spacing w:after="0"/>
              <w:rPr>
                <w:rFonts w:cs="Arial"/>
                <w:sz w:val="18"/>
                <w:szCs w:val="18"/>
              </w:rPr>
            </w:pPr>
            <w:r w:rsidRPr="00950268">
              <w:rPr>
                <w:rFonts w:cs="Arial"/>
                <w:sz w:val="18"/>
                <w:szCs w:val="18"/>
              </w:rPr>
              <w:t>VAN</w:t>
            </w:r>
          </w:p>
        </w:tc>
        <w:tc>
          <w:tcPr>
            <w:tcW w:w="850" w:type="dxa"/>
            <w:shd w:val="clear" w:color="auto" w:fill="E2EFD9" w:themeFill="accent6" w:themeFillTint="33"/>
          </w:tcPr>
          <w:p w14:paraId="0F6C5E74" w14:textId="77777777" w:rsidR="00EF2736" w:rsidRPr="00950268" w:rsidRDefault="00EF2736" w:rsidP="00950268">
            <w:pPr>
              <w:spacing w:after="0"/>
              <w:rPr>
                <w:rFonts w:cs="Arial"/>
                <w:sz w:val="18"/>
                <w:szCs w:val="18"/>
              </w:rPr>
            </w:pPr>
          </w:p>
        </w:tc>
        <w:tc>
          <w:tcPr>
            <w:tcW w:w="851" w:type="dxa"/>
            <w:shd w:val="clear" w:color="auto" w:fill="E2EFD9" w:themeFill="accent6" w:themeFillTint="33"/>
          </w:tcPr>
          <w:p w14:paraId="4B703BC4" w14:textId="77777777" w:rsidR="00EF2736" w:rsidRPr="00950268" w:rsidRDefault="00EF2736" w:rsidP="00950268">
            <w:pPr>
              <w:spacing w:after="0"/>
              <w:rPr>
                <w:rFonts w:cs="Arial"/>
                <w:sz w:val="18"/>
                <w:szCs w:val="18"/>
              </w:rPr>
            </w:pPr>
          </w:p>
        </w:tc>
      </w:tr>
    </w:tbl>
    <w:p w14:paraId="6D2B020E" w14:textId="77777777" w:rsidR="00EF2736" w:rsidRDefault="00EF2736">
      <w:r>
        <w:br w:type="page"/>
      </w:r>
    </w:p>
    <w:tbl>
      <w:tblPr>
        <w:tblStyle w:val="TableGrid"/>
        <w:tblW w:w="8222" w:type="dxa"/>
        <w:tblBorders>
          <w:top w:val="none" w:sz="0" w:space="0" w:color="auto"/>
          <w:left w:val="none" w:sz="0" w:space="0" w:color="auto"/>
          <w:bottom w:val="single" w:sz="4" w:space="0" w:color="A8D08D" w:themeColor="accent6" w:themeTint="99"/>
          <w:right w:val="none" w:sz="0" w:space="0" w:color="auto"/>
          <w:insideH w:val="none" w:sz="0" w:space="0" w:color="auto"/>
          <w:insideV w:val="none" w:sz="0" w:space="0" w:color="auto"/>
        </w:tblBorders>
        <w:tblLook w:val="04A0" w:firstRow="1" w:lastRow="0" w:firstColumn="1" w:lastColumn="0" w:noHBand="0" w:noVBand="1"/>
      </w:tblPr>
      <w:tblGrid>
        <w:gridCol w:w="519"/>
        <w:gridCol w:w="5301"/>
        <w:gridCol w:w="814"/>
        <w:gridCol w:w="830"/>
        <w:gridCol w:w="758"/>
      </w:tblGrid>
      <w:tr w:rsidR="00EF2736" w:rsidRPr="00E902EA" w14:paraId="10D96FC8" w14:textId="77777777" w:rsidTr="009D1865">
        <w:tc>
          <w:tcPr>
            <w:tcW w:w="527" w:type="dxa"/>
          </w:tcPr>
          <w:p w14:paraId="4AA57113" w14:textId="5A904EC7" w:rsidR="00EF2736" w:rsidRPr="00950268" w:rsidRDefault="00EF2736" w:rsidP="00950268">
            <w:pPr>
              <w:spacing w:after="0"/>
              <w:rPr>
                <w:rFonts w:cs="Arial"/>
                <w:b/>
                <w:sz w:val="18"/>
                <w:szCs w:val="18"/>
              </w:rPr>
            </w:pPr>
            <w:r w:rsidRPr="00950268">
              <w:rPr>
                <w:rFonts w:cs="Arial"/>
                <w:b/>
                <w:sz w:val="18"/>
                <w:szCs w:val="18"/>
              </w:rPr>
              <w:t>21.</w:t>
            </w:r>
          </w:p>
        </w:tc>
        <w:tc>
          <w:tcPr>
            <w:tcW w:w="5989" w:type="dxa"/>
          </w:tcPr>
          <w:p w14:paraId="63945833" w14:textId="77777777" w:rsidR="00EF2736" w:rsidRDefault="00EF2736" w:rsidP="00A81D68">
            <w:pPr>
              <w:spacing w:after="0"/>
              <w:rPr>
                <w:rFonts w:cs="Arial"/>
                <w:b/>
                <w:sz w:val="18"/>
                <w:szCs w:val="18"/>
              </w:rPr>
            </w:pPr>
            <w:r w:rsidRPr="00950268">
              <w:rPr>
                <w:rFonts w:cs="Arial"/>
                <w:b/>
                <w:sz w:val="18"/>
                <w:szCs w:val="18"/>
              </w:rPr>
              <w:t>Do you have any other comments relevant to industry engagement at APTC?</w:t>
            </w:r>
          </w:p>
          <w:p w14:paraId="4D0890F7" w14:textId="439E3FC0" w:rsidR="00EF2736" w:rsidRPr="00950268" w:rsidRDefault="00EF2736" w:rsidP="00805825">
            <w:pPr>
              <w:spacing w:after="80"/>
              <w:rPr>
                <w:rFonts w:cs="Arial"/>
                <w:sz w:val="18"/>
                <w:szCs w:val="18"/>
              </w:rPr>
            </w:pPr>
            <w:r w:rsidRPr="00950268">
              <w:rPr>
                <w:rFonts w:cs="Arial"/>
                <w:sz w:val="18"/>
                <w:szCs w:val="18"/>
              </w:rPr>
              <w:t>STT</w:t>
            </w:r>
            <w:r>
              <w:rPr>
                <w:rFonts w:cs="Arial"/>
                <w:sz w:val="18"/>
                <w:szCs w:val="18"/>
              </w:rPr>
              <w:t xml:space="preserve">: </w:t>
            </w:r>
            <w:r w:rsidRPr="00950268">
              <w:rPr>
                <w:rFonts w:cs="Arial"/>
                <w:sz w:val="18"/>
                <w:szCs w:val="18"/>
              </w:rPr>
              <w:t>There are some real opportunities for the APTC to have more di</w:t>
            </w:r>
            <w:r w:rsidR="00805825">
              <w:rPr>
                <w:rFonts w:cs="Arial"/>
                <w:sz w:val="18"/>
                <w:szCs w:val="18"/>
              </w:rPr>
              <w:t>rect involvement with industry.</w:t>
            </w:r>
            <w:r w:rsidRPr="00950268">
              <w:rPr>
                <w:rFonts w:cs="Arial"/>
                <w:sz w:val="18"/>
                <w:szCs w:val="18"/>
              </w:rPr>
              <w:t xml:space="preserve"> However, there are some political sensitivities about realising these.</w:t>
            </w:r>
          </w:p>
          <w:p w14:paraId="5CAE435F" w14:textId="77777777" w:rsidR="00EF2736" w:rsidRPr="00950268" w:rsidRDefault="00EF2736" w:rsidP="00805825">
            <w:pPr>
              <w:spacing w:after="80"/>
              <w:rPr>
                <w:rFonts w:cs="Arial"/>
                <w:sz w:val="18"/>
                <w:szCs w:val="18"/>
              </w:rPr>
            </w:pPr>
            <w:r w:rsidRPr="00950268">
              <w:rPr>
                <w:rFonts w:cs="Arial"/>
                <w:sz w:val="18"/>
                <w:szCs w:val="18"/>
              </w:rPr>
              <w:t>SAM</w:t>
            </w:r>
            <w:r>
              <w:rPr>
                <w:rFonts w:cs="Arial"/>
                <w:sz w:val="18"/>
                <w:szCs w:val="18"/>
              </w:rPr>
              <w:t xml:space="preserve">: </w:t>
            </w:r>
            <w:r w:rsidRPr="00950268">
              <w:rPr>
                <w:rFonts w:cs="Arial"/>
                <w:sz w:val="18"/>
                <w:szCs w:val="18"/>
              </w:rPr>
              <w:t>There is a role for the future APTC in capacity-building across industry and across TVET. APTC can provide up-skilling opportunities for industry for example in skill sets and ‘just-in-time training.</w:t>
            </w:r>
          </w:p>
          <w:p w14:paraId="245B8614" w14:textId="77777777" w:rsidR="00EF2736" w:rsidRPr="00950268" w:rsidRDefault="00EF2736" w:rsidP="00805825">
            <w:pPr>
              <w:spacing w:after="80"/>
              <w:rPr>
                <w:rFonts w:cs="Arial"/>
                <w:sz w:val="18"/>
                <w:szCs w:val="18"/>
              </w:rPr>
            </w:pPr>
            <w:r w:rsidRPr="00950268">
              <w:rPr>
                <w:rFonts w:cs="Arial"/>
                <w:sz w:val="18"/>
                <w:szCs w:val="18"/>
              </w:rPr>
              <w:t>SOL</w:t>
            </w:r>
            <w:r>
              <w:rPr>
                <w:rFonts w:cs="Arial"/>
                <w:sz w:val="18"/>
                <w:szCs w:val="18"/>
              </w:rPr>
              <w:t xml:space="preserve">: </w:t>
            </w:r>
            <w:r w:rsidRPr="00950268">
              <w:rPr>
                <w:rFonts w:cs="Arial"/>
                <w:sz w:val="18"/>
                <w:szCs w:val="18"/>
              </w:rPr>
              <w:t>Solomon Islands Campus is new, only 12 months old. The SI Campus focus during this time has been to upgrade the partner’s facilities, establish a presence in SI and provide the first cohort of Certificate II graduates in the areas of Light Automotive and Construction to the industries to enable the graduates to complete their OJT (On Job Training) and provide a pathway to APTC Certificate III programs. During the establishment phase, there has been much ad-hoc industry engagement, both for the APTC SI Certificate II programs and for the whole of the APTC Scope of Services. As APTC gets firmly established in SI, industry becomes familiar with CBT delivery and the quality of the Certificate II graduates, it is envisaged that regular/formal industry engagement will happen and be a major part of the SI Campus operations.</w:t>
            </w:r>
          </w:p>
          <w:p w14:paraId="47EFC5CF" w14:textId="1BDB27F4" w:rsidR="00EF2736" w:rsidRPr="00950268" w:rsidRDefault="00EF2736" w:rsidP="003C4863">
            <w:pPr>
              <w:spacing w:after="80"/>
              <w:rPr>
                <w:rFonts w:cs="Arial"/>
                <w:b/>
                <w:sz w:val="18"/>
                <w:szCs w:val="18"/>
              </w:rPr>
            </w:pPr>
            <w:r w:rsidRPr="00950268">
              <w:rPr>
                <w:rFonts w:cs="Arial"/>
                <w:sz w:val="18"/>
                <w:szCs w:val="18"/>
              </w:rPr>
              <w:t>VAN</w:t>
            </w:r>
            <w:r>
              <w:rPr>
                <w:rFonts w:cs="Arial"/>
                <w:sz w:val="18"/>
                <w:szCs w:val="18"/>
              </w:rPr>
              <w:t xml:space="preserve">: </w:t>
            </w:r>
            <w:r w:rsidRPr="00950268">
              <w:rPr>
                <w:rFonts w:cs="Arial"/>
                <w:sz w:val="18"/>
                <w:szCs w:val="18"/>
              </w:rPr>
              <w:t>Vanuatu Campus places great emphasis on the need to engage with industry. It is often challenging to get industry and employers together at the same time</w:t>
            </w:r>
            <w:r>
              <w:rPr>
                <w:rFonts w:cs="Arial"/>
                <w:sz w:val="18"/>
                <w:szCs w:val="18"/>
              </w:rPr>
              <w:t>,</w:t>
            </w:r>
            <w:r w:rsidRPr="00950268">
              <w:rPr>
                <w:rFonts w:cs="Arial"/>
                <w:sz w:val="18"/>
                <w:szCs w:val="18"/>
              </w:rPr>
              <w:t xml:space="preserve"> however the nature of the work placement program enables sub</w:t>
            </w:r>
            <w:r w:rsidR="003C4863">
              <w:rPr>
                <w:rFonts w:cs="Arial"/>
                <w:sz w:val="18"/>
                <w:szCs w:val="18"/>
              </w:rPr>
              <w:t>stantial one-</w:t>
            </w:r>
            <w:r w:rsidRPr="00950268">
              <w:rPr>
                <w:rFonts w:cs="Arial"/>
                <w:sz w:val="18"/>
                <w:szCs w:val="18"/>
              </w:rPr>
              <w:t>on</w:t>
            </w:r>
            <w:r w:rsidR="003C4863">
              <w:rPr>
                <w:rFonts w:cs="Arial"/>
                <w:sz w:val="18"/>
                <w:szCs w:val="18"/>
              </w:rPr>
              <w:t>-</w:t>
            </w:r>
            <w:r w:rsidRPr="00950268">
              <w:rPr>
                <w:rFonts w:cs="Arial"/>
                <w:sz w:val="18"/>
                <w:szCs w:val="18"/>
              </w:rPr>
              <w:t>one eng</w:t>
            </w:r>
            <w:r w:rsidR="003C4863">
              <w:rPr>
                <w:rFonts w:cs="Arial"/>
                <w:sz w:val="18"/>
                <w:szCs w:val="18"/>
              </w:rPr>
              <w:t>agement. Staff are regularly on</w:t>
            </w:r>
            <w:r w:rsidRPr="00950268">
              <w:rPr>
                <w:rFonts w:cs="Arial"/>
                <w:sz w:val="18"/>
                <w:szCs w:val="18"/>
              </w:rPr>
              <w:t>site discussing project goals, work outcomes, industry needs and training needs. These engagements provide real win-win outcomes for employers, students and APTC.</w:t>
            </w:r>
          </w:p>
        </w:tc>
        <w:tc>
          <w:tcPr>
            <w:tcW w:w="850" w:type="dxa"/>
          </w:tcPr>
          <w:p w14:paraId="60435A75" w14:textId="77777777" w:rsidR="00EF2736" w:rsidRPr="00950268" w:rsidRDefault="00EF2736" w:rsidP="00A81D68">
            <w:pPr>
              <w:spacing w:after="0"/>
              <w:rPr>
                <w:rFonts w:cs="Arial"/>
                <w:sz w:val="18"/>
                <w:szCs w:val="18"/>
              </w:rPr>
            </w:pPr>
            <w:r w:rsidRPr="00950268">
              <w:rPr>
                <w:rFonts w:cs="Arial"/>
                <w:sz w:val="18"/>
                <w:szCs w:val="18"/>
              </w:rPr>
              <w:t>STT</w:t>
            </w:r>
          </w:p>
          <w:p w14:paraId="12F21146" w14:textId="77777777" w:rsidR="00EF2736" w:rsidRPr="00950268" w:rsidRDefault="00EF2736" w:rsidP="00A81D68">
            <w:pPr>
              <w:spacing w:after="0"/>
              <w:rPr>
                <w:rFonts w:cs="Arial"/>
                <w:sz w:val="18"/>
                <w:szCs w:val="18"/>
              </w:rPr>
            </w:pPr>
            <w:r w:rsidRPr="00950268">
              <w:rPr>
                <w:rFonts w:cs="Arial"/>
                <w:sz w:val="18"/>
                <w:szCs w:val="18"/>
              </w:rPr>
              <w:t>SAM</w:t>
            </w:r>
          </w:p>
          <w:p w14:paraId="6B8D6AF1" w14:textId="77777777" w:rsidR="00EF2736" w:rsidRPr="00950268" w:rsidRDefault="00EF2736" w:rsidP="00A81D68">
            <w:pPr>
              <w:spacing w:after="0"/>
              <w:rPr>
                <w:rFonts w:cs="Arial"/>
                <w:sz w:val="18"/>
                <w:szCs w:val="18"/>
              </w:rPr>
            </w:pPr>
            <w:r w:rsidRPr="00950268">
              <w:rPr>
                <w:rFonts w:cs="Arial"/>
                <w:sz w:val="18"/>
                <w:szCs w:val="18"/>
              </w:rPr>
              <w:t>SOL</w:t>
            </w:r>
          </w:p>
          <w:p w14:paraId="54848338" w14:textId="2B4C8874" w:rsidR="00EF2736" w:rsidRPr="00950268" w:rsidRDefault="00EF2736" w:rsidP="00A81D68">
            <w:pPr>
              <w:spacing w:after="0"/>
              <w:rPr>
                <w:rFonts w:cs="Arial"/>
                <w:sz w:val="18"/>
                <w:szCs w:val="18"/>
              </w:rPr>
            </w:pPr>
            <w:r w:rsidRPr="00950268">
              <w:rPr>
                <w:rFonts w:cs="Arial"/>
                <w:sz w:val="18"/>
                <w:szCs w:val="18"/>
              </w:rPr>
              <w:t>VAN</w:t>
            </w:r>
          </w:p>
        </w:tc>
        <w:tc>
          <w:tcPr>
            <w:tcW w:w="850" w:type="dxa"/>
          </w:tcPr>
          <w:p w14:paraId="321B8902" w14:textId="77777777" w:rsidR="00EF2736" w:rsidRPr="00950268" w:rsidRDefault="00EF2736" w:rsidP="00A81D68">
            <w:pPr>
              <w:spacing w:after="0"/>
              <w:rPr>
                <w:rFonts w:cs="Arial"/>
                <w:sz w:val="18"/>
                <w:szCs w:val="18"/>
              </w:rPr>
            </w:pPr>
            <w:r w:rsidRPr="00950268">
              <w:rPr>
                <w:rFonts w:cs="Arial"/>
                <w:sz w:val="18"/>
                <w:szCs w:val="18"/>
              </w:rPr>
              <w:t>SHCS</w:t>
            </w:r>
          </w:p>
          <w:p w14:paraId="7AAAE032" w14:textId="6563D469" w:rsidR="00EF2736" w:rsidRPr="00950268" w:rsidRDefault="00EF2736" w:rsidP="00950268">
            <w:pPr>
              <w:spacing w:after="0"/>
              <w:rPr>
                <w:rFonts w:cs="Arial"/>
                <w:sz w:val="18"/>
                <w:szCs w:val="18"/>
              </w:rPr>
            </w:pPr>
            <w:r w:rsidRPr="00950268">
              <w:rPr>
                <w:rFonts w:cs="Arial"/>
                <w:sz w:val="18"/>
                <w:szCs w:val="18"/>
              </w:rPr>
              <w:t>PNG</w:t>
            </w:r>
          </w:p>
        </w:tc>
        <w:tc>
          <w:tcPr>
            <w:tcW w:w="851" w:type="dxa"/>
          </w:tcPr>
          <w:p w14:paraId="0867CABD" w14:textId="77777777" w:rsidR="00EF2736" w:rsidRPr="00950268" w:rsidRDefault="00EF2736" w:rsidP="00950268">
            <w:pPr>
              <w:spacing w:after="0"/>
              <w:rPr>
                <w:rFonts w:cs="Arial"/>
                <w:sz w:val="18"/>
                <w:szCs w:val="18"/>
              </w:rPr>
            </w:pPr>
          </w:p>
        </w:tc>
      </w:tr>
    </w:tbl>
    <w:p w14:paraId="3BAD6AAD" w14:textId="16665C84" w:rsidR="00842952" w:rsidRDefault="00842952" w:rsidP="00842952"/>
    <w:p w14:paraId="335A7BBE" w14:textId="4BE38473" w:rsidR="00A81D68" w:rsidRPr="00497D72" w:rsidRDefault="00A81D68" w:rsidP="00497D72">
      <w:pPr>
        <w:ind w:left="720" w:hanging="589"/>
        <w:rPr>
          <w:sz w:val="16"/>
        </w:rPr>
      </w:pPr>
      <w:r w:rsidRPr="00A81D68">
        <w:rPr>
          <w:sz w:val="16"/>
        </w:rPr>
        <w:t xml:space="preserve">Codes: </w:t>
      </w:r>
      <w:r w:rsidR="00497D72">
        <w:rPr>
          <w:sz w:val="16"/>
        </w:rPr>
        <w:tab/>
      </w:r>
      <w:r w:rsidRPr="00A81D68">
        <w:rPr>
          <w:rFonts w:cs="Arial"/>
          <w:sz w:val="16"/>
        </w:rPr>
        <w:t>STT – School of Trades and Technology</w:t>
      </w:r>
      <w:r w:rsidRPr="00A81D68">
        <w:rPr>
          <w:rFonts w:cs="Arial"/>
          <w:sz w:val="16"/>
        </w:rPr>
        <w:tab/>
      </w:r>
      <w:r w:rsidR="00497D72">
        <w:rPr>
          <w:rFonts w:cs="Arial"/>
          <w:sz w:val="16"/>
        </w:rPr>
        <w:tab/>
      </w:r>
      <w:r w:rsidRPr="00A81D68">
        <w:rPr>
          <w:rFonts w:cs="Arial"/>
          <w:sz w:val="16"/>
        </w:rPr>
        <w:t>SHCS – School of Hospitality and Community Services</w:t>
      </w:r>
      <w:r w:rsidR="00497D72">
        <w:rPr>
          <w:sz w:val="16"/>
        </w:rPr>
        <w:br/>
      </w:r>
      <w:r w:rsidRPr="00A81D68">
        <w:rPr>
          <w:rFonts w:cs="Arial"/>
          <w:sz w:val="16"/>
        </w:rPr>
        <w:t>PNG – Papua New Guinea</w:t>
      </w:r>
      <w:r w:rsidRPr="00A81D68">
        <w:rPr>
          <w:rFonts w:cs="Arial"/>
          <w:sz w:val="16"/>
        </w:rPr>
        <w:tab/>
      </w:r>
      <w:r w:rsidRPr="00A81D68">
        <w:rPr>
          <w:rFonts w:cs="Arial"/>
          <w:sz w:val="16"/>
        </w:rPr>
        <w:tab/>
      </w:r>
      <w:r w:rsidRPr="00A81D68">
        <w:rPr>
          <w:rFonts w:cs="Arial"/>
          <w:sz w:val="16"/>
        </w:rPr>
        <w:tab/>
        <w:t>SAM – Samoa</w:t>
      </w:r>
      <w:r w:rsidR="00497D72">
        <w:rPr>
          <w:sz w:val="16"/>
        </w:rPr>
        <w:br/>
      </w:r>
      <w:r w:rsidRPr="00A81D68">
        <w:rPr>
          <w:rFonts w:cs="Arial"/>
          <w:sz w:val="16"/>
        </w:rPr>
        <w:t>SOL – Solomon Islands</w:t>
      </w:r>
      <w:r w:rsidRPr="00A81D68">
        <w:rPr>
          <w:rFonts w:cs="Arial"/>
          <w:sz w:val="16"/>
        </w:rPr>
        <w:tab/>
      </w:r>
      <w:r w:rsidRPr="00A81D68">
        <w:rPr>
          <w:rFonts w:cs="Arial"/>
          <w:sz w:val="16"/>
        </w:rPr>
        <w:tab/>
      </w:r>
      <w:r w:rsidRPr="00A81D68">
        <w:rPr>
          <w:rFonts w:cs="Arial"/>
          <w:sz w:val="16"/>
        </w:rPr>
        <w:tab/>
        <w:t xml:space="preserve">VAN – Vanuatu </w:t>
      </w:r>
    </w:p>
    <w:p w14:paraId="089E488C" w14:textId="77777777" w:rsidR="00A81D68" w:rsidRDefault="00A81D68" w:rsidP="00842952"/>
    <w:p w14:paraId="06E8AC51" w14:textId="77777777" w:rsidR="007C7AF9" w:rsidRDefault="007C7AF9" w:rsidP="00842952">
      <w:pPr>
        <w:rPr>
          <w:rFonts w:cs="Arial"/>
        </w:rPr>
        <w:sectPr w:rsidR="007C7AF9" w:rsidSect="000859B4">
          <w:headerReference w:type="default" r:id="rId65"/>
          <w:endnotePr>
            <w:numFmt w:val="decimal"/>
          </w:endnotePr>
          <w:pgSz w:w="11901" w:h="16834"/>
          <w:pgMar w:top="1440" w:right="1701" w:bottom="1440" w:left="1701" w:header="720" w:footer="720" w:gutter="0"/>
          <w:cols w:space="720"/>
        </w:sectPr>
      </w:pPr>
    </w:p>
    <w:p w14:paraId="7408521A" w14:textId="76251021" w:rsidR="00842952" w:rsidRPr="005C030C" w:rsidRDefault="00842952" w:rsidP="00842952">
      <w:pPr>
        <w:rPr>
          <w:rFonts w:cs="Arial"/>
        </w:rPr>
      </w:pPr>
    </w:p>
    <w:p w14:paraId="7E4298A4" w14:textId="77777777" w:rsidR="007D4420" w:rsidRPr="006D3E4A" w:rsidRDefault="007D4420" w:rsidP="006D3E4A">
      <w:pPr>
        <w:rPr>
          <w:rFonts w:cs="Arial"/>
        </w:rPr>
      </w:pPr>
      <w:r>
        <w:br w:type="page"/>
      </w:r>
    </w:p>
    <w:p w14:paraId="5BE6CCAE" w14:textId="77A32A99" w:rsidR="003D355F" w:rsidRDefault="009D1865" w:rsidP="002028A6">
      <w:pPr>
        <w:pStyle w:val="Heading1"/>
        <w:rPr>
          <w:lang w:eastAsia="zh-CN"/>
        </w:rPr>
      </w:pPr>
      <w:bookmarkStart w:id="607" w:name="_Toc278447900"/>
      <w:bookmarkStart w:id="608" w:name="_Toc278453373"/>
      <w:r w:rsidRPr="00264E26">
        <w:rPr>
          <w:lang w:eastAsia="zh-CN"/>
        </w:rPr>
        <w:t xml:space="preserve">ANNEX 6: </w:t>
      </w:r>
      <w:r w:rsidRPr="00264E26">
        <w:t xml:space="preserve">TVET </w:t>
      </w:r>
      <w:r>
        <w:t>C</w:t>
      </w:r>
      <w:r w:rsidRPr="00264E26">
        <w:t>APACITY</w:t>
      </w:r>
      <w:bookmarkEnd w:id="607"/>
      <w:bookmarkEnd w:id="608"/>
      <w:r w:rsidRPr="00264E26">
        <w:t xml:space="preserve"> </w:t>
      </w:r>
    </w:p>
    <w:p w14:paraId="404707DA" w14:textId="77777777" w:rsidR="00B776E0" w:rsidRPr="00524974" w:rsidRDefault="00546F37" w:rsidP="00943289">
      <w:pPr>
        <w:rPr>
          <w:b/>
        </w:rPr>
      </w:pPr>
      <w:r w:rsidRPr="00546F37">
        <w:rPr>
          <w:b/>
        </w:rPr>
        <w:t>To what extent has the APTC succeeded in building national and regional capacity for market-responsive skills development in the Pacific? To what extent is there discernible lasting benefit to skills development of APTC in the Pacific?</w:t>
      </w:r>
    </w:p>
    <w:p w14:paraId="00050B78" w14:textId="77777777" w:rsidR="00B776E0" w:rsidRDefault="00B776E0" w:rsidP="00943289">
      <w:r w:rsidRPr="00943289">
        <w:t>Overall</w:t>
      </w:r>
      <w:r>
        <w:t>, APTC has achieved success in building national and regional capacity for market-responsive skills development in the Pacific which is likely to have lasting benefits.</w:t>
      </w:r>
    </w:p>
    <w:p w14:paraId="1561302D" w14:textId="12B79234" w:rsidR="00E83922" w:rsidRPr="00E83922" w:rsidRDefault="001F437C" w:rsidP="00E83922">
      <w:pPr>
        <w:rPr>
          <w:b/>
        </w:rPr>
      </w:pPr>
      <w:r w:rsidRPr="001F437C">
        <w:rPr>
          <w:b/>
        </w:rPr>
        <w:t>Table of contents</w:t>
      </w:r>
    </w:p>
    <w:p w14:paraId="2377EE4F" w14:textId="77777777" w:rsidR="00E83922" w:rsidRPr="00D109E5" w:rsidRDefault="00E83922" w:rsidP="00441936">
      <w:pPr>
        <w:pStyle w:val="TOC1"/>
        <w:ind w:left="351" w:hanging="351"/>
        <w:rPr>
          <w:rFonts w:asciiTheme="minorHAnsi" w:eastAsiaTheme="minorEastAsia" w:hAnsiTheme="minorHAnsi" w:cstheme="minorBidi"/>
          <w:sz w:val="24"/>
          <w:lang w:val="en-US" w:eastAsia="ja-JP"/>
        </w:rPr>
      </w:pPr>
      <w:r w:rsidRPr="00D109E5">
        <w:t>1.</w:t>
      </w:r>
      <w:r w:rsidRPr="00D109E5">
        <w:rPr>
          <w:rFonts w:asciiTheme="minorHAnsi" w:eastAsiaTheme="minorEastAsia" w:hAnsiTheme="minorHAnsi" w:cstheme="minorBidi"/>
          <w:sz w:val="24"/>
          <w:lang w:val="en-US" w:eastAsia="ja-JP"/>
        </w:rPr>
        <w:tab/>
      </w:r>
      <w:r w:rsidRPr="00D109E5">
        <w:t xml:space="preserve">APTC capacity – What quantitative and qualitative capacity has APTC established </w:t>
      </w:r>
      <w:r>
        <w:br/>
      </w:r>
      <w:r w:rsidRPr="00D109E5">
        <w:t>for skills development?</w:t>
      </w:r>
      <w:r w:rsidRPr="00D109E5">
        <w:tab/>
      </w:r>
      <w:r w:rsidRPr="00D109E5">
        <w:fldChar w:fldCharType="begin"/>
      </w:r>
      <w:r w:rsidRPr="00D109E5">
        <w:instrText xml:space="preserve"> PAGEREF _Toc278447901 \h </w:instrText>
      </w:r>
      <w:r w:rsidRPr="00D109E5">
        <w:fldChar w:fldCharType="separate"/>
      </w:r>
      <w:r w:rsidR="00EA0B4D">
        <w:t>82</w:t>
      </w:r>
      <w:r w:rsidRPr="00D109E5">
        <w:fldChar w:fldCharType="end"/>
      </w:r>
    </w:p>
    <w:p w14:paraId="31437A00" w14:textId="732C471D" w:rsidR="001F437C" w:rsidRPr="00FF51CD" w:rsidRDefault="001F437C" w:rsidP="001F437C">
      <w:pPr>
        <w:pStyle w:val="TOC2"/>
        <w:tabs>
          <w:tab w:val="left" w:pos="519"/>
          <w:tab w:val="right" w:leader="dot" w:pos="8489"/>
        </w:tabs>
        <w:ind w:left="400" w:hanging="400"/>
        <w:rPr>
          <w:rFonts w:ascii="Arial" w:eastAsiaTheme="minorEastAsia" w:hAnsi="Arial" w:cs="Arial"/>
          <w:noProof/>
          <w:sz w:val="20"/>
          <w:szCs w:val="20"/>
          <w:lang w:val="en-US" w:eastAsia="ja-JP"/>
        </w:rPr>
      </w:pPr>
      <w:r w:rsidRPr="00FF51CD">
        <w:rPr>
          <w:rFonts w:ascii="Arial" w:hAnsi="Arial" w:cs="Arial"/>
          <w:noProof/>
          <w:sz w:val="20"/>
          <w:szCs w:val="20"/>
        </w:rPr>
        <w:t>1.1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What quantitative capacity ha</w:t>
      </w:r>
      <w:r w:rsidR="00BB1C3A">
        <w:rPr>
          <w:rFonts w:ascii="Arial" w:hAnsi="Arial" w:cs="Arial"/>
          <w:noProof/>
          <w:sz w:val="20"/>
          <w:szCs w:val="20"/>
        </w:rPr>
        <w:t xml:space="preserve">s APTC established for skills </w:t>
      </w:r>
      <w:r w:rsidRPr="00FF51CD">
        <w:rPr>
          <w:rFonts w:ascii="Arial" w:hAnsi="Arial" w:cs="Arial"/>
          <w:noProof/>
          <w:sz w:val="20"/>
          <w:szCs w:val="20"/>
        </w:rPr>
        <w:t>development?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_Toc274909886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82</w:t>
      </w:r>
      <w:r w:rsidRPr="00FF51CD">
        <w:rPr>
          <w:rFonts w:ascii="Arial" w:hAnsi="Arial" w:cs="Arial"/>
          <w:noProof/>
          <w:sz w:val="20"/>
          <w:szCs w:val="20"/>
        </w:rPr>
        <w:fldChar w:fldCharType="end"/>
      </w:r>
    </w:p>
    <w:p w14:paraId="04AC0EB2" w14:textId="04B12A69" w:rsidR="001F437C" w:rsidRPr="00FF51CD" w:rsidRDefault="001F437C" w:rsidP="001F437C">
      <w:pPr>
        <w:pStyle w:val="TOC2"/>
        <w:tabs>
          <w:tab w:val="left" w:pos="519"/>
          <w:tab w:val="right" w:leader="dot" w:pos="8489"/>
        </w:tabs>
        <w:ind w:left="400" w:hanging="400"/>
        <w:rPr>
          <w:rFonts w:ascii="Arial" w:eastAsiaTheme="minorEastAsia" w:hAnsi="Arial" w:cs="Arial"/>
          <w:noProof/>
          <w:sz w:val="20"/>
          <w:szCs w:val="20"/>
          <w:lang w:val="en-US" w:eastAsia="ja-JP"/>
        </w:rPr>
      </w:pPr>
      <w:r w:rsidRPr="00FF51CD">
        <w:rPr>
          <w:rFonts w:ascii="Arial" w:hAnsi="Arial" w:cs="Arial"/>
          <w:noProof/>
          <w:sz w:val="20"/>
          <w:szCs w:val="20"/>
        </w:rPr>
        <w:t>1.2</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What qualitative capacity has APTC established for skills deve</w:t>
      </w:r>
      <w:r>
        <w:rPr>
          <w:rFonts w:ascii="Arial" w:hAnsi="Arial" w:cs="Arial"/>
          <w:noProof/>
          <w:sz w:val="20"/>
          <w:szCs w:val="20"/>
        </w:rPr>
        <w:t>lopment?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_Toc274909887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86</w:t>
      </w:r>
      <w:r w:rsidRPr="00FF51CD">
        <w:rPr>
          <w:rFonts w:ascii="Arial" w:hAnsi="Arial" w:cs="Arial"/>
          <w:noProof/>
          <w:sz w:val="20"/>
          <w:szCs w:val="20"/>
        </w:rPr>
        <w:fldChar w:fldCharType="end"/>
      </w:r>
    </w:p>
    <w:p w14:paraId="57BC7B15" w14:textId="77777777"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1.3</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What are the main challenges faced by staff and students?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_Toc274909888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88</w:t>
      </w:r>
      <w:r w:rsidRPr="00FF51CD">
        <w:rPr>
          <w:rFonts w:ascii="Arial" w:hAnsi="Arial" w:cs="Arial"/>
          <w:noProof/>
          <w:sz w:val="20"/>
          <w:szCs w:val="20"/>
        </w:rPr>
        <w:fldChar w:fldCharType="end"/>
      </w:r>
    </w:p>
    <w:p w14:paraId="74CACC36" w14:textId="1BB4AFD3"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1.4</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To what extent has APTC effectively used di</w:t>
      </w:r>
      <w:r>
        <w:rPr>
          <w:rFonts w:ascii="Arial" w:hAnsi="Arial" w:cs="Arial"/>
          <w:noProof/>
          <w:sz w:val="20"/>
          <w:szCs w:val="20"/>
        </w:rPr>
        <w:t xml:space="preserve">fferent and flexible delivery </w:t>
      </w:r>
      <w:r w:rsidRPr="00FF51CD">
        <w:rPr>
          <w:rFonts w:ascii="Arial" w:hAnsi="Arial" w:cs="Arial"/>
          <w:noProof/>
          <w:sz w:val="20"/>
          <w:szCs w:val="20"/>
        </w:rPr>
        <w:t>methods?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_Toc274909889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89</w:t>
      </w:r>
      <w:r w:rsidRPr="00FF51CD">
        <w:rPr>
          <w:rFonts w:ascii="Arial" w:hAnsi="Arial" w:cs="Arial"/>
          <w:noProof/>
          <w:sz w:val="20"/>
          <w:szCs w:val="20"/>
        </w:rPr>
        <w:fldChar w:fldCharType="end"/>
      </w:r>
    </w:p>
    <w:p w14:paraId="23092FED" w14:textId="1D5024A1"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1.5</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To what extent has APTC established arti</w:t>
      </w:r>
      <w:r>
        <w:rPr>
          <w:rFonts w:ascii="Arial" w:hAnsi="Arial" w:cs="Arial"/>
          <w:noProof/>
          <w:sz w:val="20"/>
          <w:szCs w:val="20"/>
        </w:rPr>
        <w:t xml:space="preserve">culation pathways both to and </w:t>
      </w:r>
      <w:r w:rsidRPr="00FF51CD">
        <w:rPr>
          <w:rFonts w:ascii="Arial" w:hAnsi="Arial" w:cs="Arial"/>
          <w:noProof/>
          <w:sz w:val="20"/>
          <w:szCs w:val="20"/>
        </w:rPr>
        <w:t xml:space="preserve">from the APTC, </w:t>
      </w:r>
      <w:r>
        <w:rPr>
          <w:rFonts w:ascii="Arial" w:hAnsi="Arial" w:cs="Arial"/>
          <w:noProof/>
          <w:sz w:val="20"/>
          <w:szCs w:val="20"/>
        </w:rPr>
        <w:br/>
      </w:r>
      <w:r>
        <w:rPr>
          <w:rFonts w:ascii="Arial" w:hAnsi="Arial" w:cs="Arial"/>
          <w:noProof/>
          <w:sz w:val="20"/>
          <w:szCs w:val="20"/>
        </w:rPr>
        <w:tab/>
      </w:r>
      <w:r w:rsidRPr="00FF51CD">
        <w:rPr>
          <w:rFonts w:ascii="Arial" w:hAnsi="Arial" w:cs="Arial"/>
          <w:noProof/>
          <w:sz w:val="20"/>
          <w:szCs w:val="20"/>
        </w:rPr>
        <w:t>and to what extent are they being utilised and by whom?</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_Toc274909890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90</w:t>
      </w:r>
      <w:r w:rsidRPr="00FF51CD">
        <w:rPr>
          <w:rFonts w:ascii="Arial" w:hAnsi="Arial" w:cs="Arial"/>
          <w:noProof/>
          <w:sz w:val="20"/>
          <w:szCs w:val="20"/>
        </w:rPr>
        <w:fldChar w:fldCharType="end"/>
      </w:r>
    </w:p>
    <w:p w14:paraId="328057C3" w14:textId="7C0E01C0"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1.6</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To what extent has APTC catered for c</w:t>
      </w:r>
      <w:r>
        <w:rPr>
          <w:rFonts w:ascii="Arial" w:hAnsi="Arial" w:cs="Arial"/>
          <w:noProof/>
          <w:sz w:val="20"/>
          <w:szCs w:val="20"/>
        </w:rPr>
        <w:t xml:space="preserve">ountry characteristics in its </w:t>
      </w:r>
      <w:r w:rsidRPr="00FF51CD">
        <w:rPr>
          <w:rFonts w:ascii="Arial" w:hAnsi="Arial" w:cs="Arial"/>
          <w:noProof/>
          <w:sz w:val="20"/>
          <w:szCs w:val="20"/>
        </w:rPr>
        <w:t>regional program?</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_Toc274909891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92</w:t>
      </w:r>
      <w:r w:rsidRPr="00FF51CD">
        <w:rPr>
          <w:rFonts w:ascii="Arial" w:hAnsi="Arial" w:cs="Arial"/>
          <w:noProof/>
          <w:sz w:val="20"/>
          <w:szCs w:val="20"/>
        </w:rPr>
        <w:fldChar w:fldCharType="end"/>
      </w:r>
    </w:p>
    <w:p w14:paraId="06F6BB13" w14:textId="77777777" w:rsidR="00E83922" w:rsidRPr="00D109E5" w:rsidRDefault="00E83922" w:rsidP="00441936">
      <w:pPr>
        <w:pStyle w:val="TOC1"/>
        <w:rPr>
          <w:rFonts w:asciiTheme="minorHAnsi" w:eastAsiaTheme="minorEastAsia" w:hAnsiTheme="minorHAnsi" w:cstheme="minorBidi"/>
          <w:sz w:val="24"/>
          <w:lang w:val="en-US" w:eastAsia="ja-JP"/>
        </w:rPr>
      </w:pPr>
      <w:r w:rsidRPr="00D109E5">
        <w:t>2</w:t>
      </w:r>
      <w:r w:rsidRPr="00D109E5">
        <w:rPr>
          <w:rFonts w:asciiTheme="minorHAnsi" w:eastAsiaTheme="minorEastAsia" w:hAnsiTheme="minorHAnsi" w:cstheme="minorBidi"/>
          <w:sz w:val="24"/>
          <w:lang w:val="en-US" w:eastAsia="ja-JP"/>
        </w:rPr>
        <w:tab/>
      </w:r>
      <w:r w:rsidRPr="00D109E5">
        <w:t>How closely attuned is APTC to industry and employers?</w:t>
      </w:r>
      <w:r w:rsidRPr="00D109E5">
        <w:tab/>
      </w:r>
      <w:r w:rsidRPr="00D109E5">
        <w:fldChar w:fldCharType="begin"/>
      </w:r>
      <w:r w:rsidRPr="00D109E5">
        <w:instrText xml:space="preserve"> PAGEREF _Toc278447908 \h </w:instrText>
      </w:r>
      <w:r w:rsidRPr="00D109E5">
        <w:fldChar w:fldCharType="separate"/>
      </w:r>
      <w:r w:rsidR="00EA0B4D">
        <w:t>92</w:t>
      </w:r>
      <w:r w:rsidRPr="00D109E5">
        <w:fldChar w:fldCharType="end"/>
      </w:r>
    </w:p>
    <w:p w14:paraId="06B36E0D" w14:textId="559C328B"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 xml:space="preserve">Organisationally, to what extent is industry is involved in </w:t>
      </w:r>
      <w:r>
        <w:rPr>
          <w:rFonts w:ascii="Arial" w:hAnsi="Arial" w:cs="Arial"/>
          <w:noProof/>
          <w:sz w:val="20"/>
          <w:szCs w:val="20"/>
        </w:rPr>
        <w:t xml:space="preserve">APTC </w:t>
      </w:r>
      <w:r w:rsidRPr="00FF51CD">
        <w:rPr>
          <w:rFonts w:ascii="Arial" w:hAnsi="Arial" w:cs="Arial"/>
          <w:noProof/>
          <w:sz w:val="20"/>
          <w:szCs w:val="20"/>
        </w:rPr>
        <w:t>functions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_Toc274909893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93</w:t>
      </w:r>
      <w:r w:rsidRPr="00FF51CD">
        <w:rPr>
          <w:rFonts w:ascii="Arial" w:hAnsi="Arial" w:cs="Arial"/>
          <w:noProof/>
          <w:sz w:val="20"/>
          <w:szCs w:val="20"/>
        </w:rPr>
        <w:fldChar w:fldCharType="end"/>
      </w:r>
    </w:p>
    <w:p w14:paraId="2C91AC29" w14:textId="165E66EB" w:rsidR="001F437C" w:rsidRPr="00FF51CD" w:rsidRDefault="001F437C" w:rsidP="001F437C">
      <w:pPr>
        <w:pStyle w:val="TOC2"/>
        <w:tabs>
          <w:tab w:val="left" w:pos="519"/>
          <w:tab w:val="right" w:leader="dot" w:pos="8489"/>
        </w:tabs>
        <w:ind w:left="519" w:hanging="519"/>
        <w:rPr>
          <w:rFonts w:ascii="Arial" w:eastAsiaTheme="minorEastAsia" w:hAnsi="Arial" w:cs="Arial"/>
          <w:noProof/>
          <w:sz w:val="20"/>
          <w:szCs w:val="20"/>
          <w:lang w:val="en-US" w:eastAsia="ja-JP"/>
        </w:rPr>
      </w:pPr>
      <w:r w:rsidRPr="00FF51CD">
        <w:rPr>
          <w:rFonts w:ascii="Arial" w:hAnsi="Arial" w:cs="Arial"/>
          <w:noProof/>
          <w:sz w:val="20"/>
          <w:szCs w:val="20"/>
        </w:rPr>
        <w:t>2.2</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What are the systems used by APTC to</w:t>
      </w:r>
      <w:r>
        <w:rPr>
          <w:rFonts w:ascii="Arial" w:hAnsi="Arial" w:cs="Arial"/>
          <w:noProof/>
          <w:sz w:val="20"/>
          <w:szCs w:val="20"/>
        </w:rPr>
        <w:t xml:space="preserve"> monitor and adjust to labour </w:t>
      </w:r>
      <w:r w:rsidR="00BB1C3A">
        <w:rPr>
          <w:rFonts w:ascii="Arial" w:hAnsi="Arial" w:cs="Arial"/>
          <w:noProof/>
          <w:sz w:val="20"/>
          <w:szCs w:val="20"/>
        </w:rPr>
        <w:t>market trends</w:t>
      </w:r>
      <w:r w:rsidRPr="00FF51CD">
        <w:rPr>
          <w:rFonts w:ascii="Arial" w:hAnsi="Arial" w:cs="Arial"/>
          <w:noProof/>
          <w:sz w:val="20"/>
          <w:szCs w:val="20"/>
        </w:rPr>
        <w: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_Toc274909894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95</w:t>
      </w:r>
      <w:r w:rsidRPr="00FF51CD">
        <w:rPr>
          <w:rFonts w:ascii="Arial" w:hAnsi="Arial" w:cs="Arial"/>
          <w:noProof/>
          <w:sz w:val="20"/>
          <w:szCs w:val="20"/>
        </w:rPr>
        <w:fldChar w:fldCharType="end"/>
      </w:r>
    </w:p>
    <w:p w14:paraId="6B867227" w14:textId="3E9EF986" w:rsidR="001F437C" w:rsidRPr="00FF51CD" w:rsidRDefault="001F437C" w:rsidP="001F437C">
      <w:pPr>
        <w:pStyle w:val="TOC2"/>
        <w:tabs>
          <w:tab w:val="left" w:pos="519"/>
          <w:tab w:val="right" w:leader="dot" w:pos="8489"/>
        </w:tabs>
        <w:ind w:left="519" w:hanging="519"/>
        <w:rPr>
          <w:rFonts w:ascii="Arial" w:eastAsiaTheme="minorEastAsia" w:hAnsi="Arial" w:cs="Arial"/>
          <w:noProof/>
          <w:sz w:val="20"/>
          <w:szCs w:val="20"/>
          <w:lang w:val="en-US" w:eastAsia="ja-JP"/>
        </w:rPr>
      </w:pPr>
      <w:r w:rsidRPr="00FF51CD">
        <w:rPr>
          <w:rFonts w:ascii="Arial" w:hAnsi="Arial" w:cs="Arial"/>
          <w:noProof/>
          <w:sz w:val="20"/>
          <w:szCs w:val="20"/>
        </w:rPr>
        <w:t>2.3</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How many formal industry partners</w:t>
      </w:r>
      <w:r>
        <w:rPr>
          <w:rFonts w:ascii="Arial" w:hAnsi="Arial" w:cs="Arial"/>
          <w:noProof/>
          <w:sz w:val="20"/>
          <w:szCs w:val="20"/>
        </w:rPr>
        <w:t>hips have been established</w:t>
      </w:r>
      <w:r w:rsidRPr="00FF51CD">
        <w:rPr>
          <w:rFonts w:ascii="Arial" w:hAnsi="Arial" w:cs="Arial"/>
          <w:noProof/>
          <w:sz w:val="20"/>
          <w:szCs w:val="20"/>
        </w:rPr>
        <w: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_Toc274909895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97</w:t>
      </w:r>
      <w:r w:rsidRPr="00FF51CD">
        <w:rPr>
          <w:rFonts w:ascii="Arial" w:hAnsi="Arial" w:cs="Arial"/>
          <w:noProof/>
          <w:sz w:val="20"/>
          <w:szCs w:val="20"/>
        </w:rPr>
        <w:fldChar w:fldCharType="end"/>
      </w:r>
    </w:p>
    <w:p w14:paraId="1FD62EC7" w14:textId="25BEDD45"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2.4</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How effective are APTC’s school-to-work schemes</w:t>
      </w:r>
      <w:r w:rsidR="00BB1C3A">
        <w:rPr>
          <w:rFonts w:ascii="Arial" w:hAnsi="Arial" w:cs="Arial"/>
          <w:noProof/>
          <w:sz w:val="20"/>
          <w:szCs w:val="20"/>
        </w:rPr>
        <w:t>?</w:t>
      </w:r>
      <w:r w:rsidRPr="00FF51CD">
        <w:rPr>
          <w:rFonts w:ascii="Arial" w:hAnsi="Arial" w:cs="Arial"/>
          <w:noProof/>
          <w:sz w:val="20"/>
          <w:szCs w:val="20"/>
        </w:rPr>
        <w: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_Toc274909896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98</w:t>
      </w:r>
      <w:r w:rsidRPr="00FF51CD">
        <w:rPr>
          <w:rFonts w:ascii="Arial" w:hAnsi="Arial" w:cs="Arial"/>
          <w:noProof/>
          <w:sz w:val="20"/>
          <w:szCs w:val="20"/>
        </w:rPr>
        <w:fldChar w:fldCharType="end"/>
      </w:r>
    </w:p>
    <w:p w14:paraId="76CD5A09" w14:textId="31F0D8AF"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2.5</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To what extent does APTC provid</w:t>
      </w:r>
      <w:r>
        <w:rPr>
          <w:rFonts w:ascii="Arial" w:hAnsi="Arial" w:cs="Arial"/>
          <w:noProof/>
          <w:sz w:val="20"/>
          <w:szCs w:val="20"/>
        </w:rPr>
        <w:t>e direct services to industry</w:t>
      </w:r>
      <w:r w:rsidRPr="00FF51CD">
        <w:rPr>
          <w:rFonts w:ascii="Arial" w:hAnsi="Arial" w:cs="Arial"/>
          <w:noProof/>
          <w:sz w:val="20"/>
          <w:szCs w:val="20"/>
        </w:rPr>
        <w: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_Toc274909897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100</w:t>
      </w:r>
      <w:r w:rsidRPr="00FF51CD">
        <w:rPr>
          <w:rFonts w:ascii="Arial" w:hAnsi="Arial" w:cs="Arial"/>
          <w:noProof/>
          <w:sz w:val="20"/>
          <w:szCs w:val="20"/>
        </w:rPr>
        <w:fldChar w:fldCharType="end"/>
      </w:r>
    </w:p>
    <w:p w14:paraId="642B8014" w14:textId="77777777" w:rsidR="00E83922" w:rsidRPr="00D109E5" w:rsidRDefault="00E83922" w:rsidP="00441936">
      <w:pPr>
        <w:pStyle w:val="TOC1"/>
        <w:rPr>
          <w:rFonts w:asciiTheme="minorHAnsi" w:eastAsiaTheme="minorEastAsia" w:hAnsiTheme="minorHAnsi" w:cstheme="minorBidi"/>
          <w:sz w:val="24"/>
          <w:lang w:val="en-US" w:eastAsia="ja-JP"/>
        </w:rPr>
      </w:pPr>
      <w:r w:rsidRPr="00D109E5">
        <w:t>3</w:t>
      </w:r>
      <w:r w:rsidRPr="00D109E5">
        <w:rPr>
          <w:rFonts w:asciiTheme="minorHAnsi" w:eastAsiaTheme="minorEastAsia" w:hAnsiTheme="minorHAnsi" w:cstheme="minorBidi"/>
          <w:sz w:val="24"/>
          <w:lang w:val="en-US" w:eastAsia="ja-JP"/>
        </w:rPr>
        <w:tab/>
      </w:r>
      <w:r w:rsidRPr="00D109E5">
        <w:t>How equitable is the provision of APTC services?</w:t>
      </w:r>
      <w:r w:rsidRPr="00D109E5">
        <w:tab/>
      </w:r>
      <w:r w:rsidRPr="00D109E5">
        <w:fldChar w:fldCharType="begin"/>
      </w:r>
      <w:r w:rsidRPr="00D109E5">
        <w:instrText xml:space="preserve"> PAGEREF _Toc278447914 \h </w:instrText>
      </w:r>
      <w:r w:rsidRPr="00D109E5">
        <w:fldChar w:fldCharType="separate"/>
      </w:r>
      <w:r w:rsidR="00EA0B4D">
        <w:t>101</w:t>
      </w:r>
      <w:r w:rsidRPr="00D109E5">
        <w:fldChar w:fldCharType="end"/>
      </w:r>
    </w:p>
    <w:p w14:paraId="126D3BE8" w14:textId="77777777" w:rsidR="00E83922" w:rsidRPr="00D109E5" w:rsidRDefault="00E83922" w:rsidP="00441936">
      <w:pPr>
        <w:pStyle w:val="TOC1"/>
        <w:ind w:left="351" w:hanging="351"/>
        <w:rPr>
          <w:rFonts w:asciiTheme="minorHAnsi" w:eastAsiaTheme="minorEastAsia" w:hAnsiTheme="minorHAnsi" w:cstheme="minorBidi"/>
          <w:sz w:val="24"/>
          <w:lang w:val="en-US" w:eastAsia="ja-JP"/>
        </w:rPr>
      </w:pPr>
      <w:r w:rsidRPr="00D109E5">
        <w:t>4</w:t>
      </w:r>
      <w:r w:rsidRPr="00D109E5">
        <w:rPr>
          <w:rFonts w:asciiTheme="minorHAnsi" w:eastAsiaTheme="minorEastAsia" w:hAnsiTheme="minorHAnsi" w:cstheme="minorBidi"/>
          <w:sz w:val="24"/>
          <w:lang w:val="en-US" w:eastAsia="ja-JP"/>
        </w:rPr>
        <w:tab/>
      </w:r>
      <w:r w:rsidRPr="00D109E5">
        <w:t xml:space="preserve">To what extent have the governance and management arrangements facilitated </w:t>
      </w:r>
      <w:r>
        <w:br/>
      </w:r>
      <w:r w:rsidRPr="00D109E5">
        <w:t>or impeded APTC’s operations?</w:t>
      </w:r>
      <w:r w:rsidRPr="00D109E5">
        <w:tab/>
      </w:r>
      <w:r w:rsidRPr="00D109E5">
        <w:fldChar w:fldCharType="begin"/>
      </w:r>
      <w:r w:rsidRPr="00D109E5">
        <w:instrText xml:space="preserve"> PAGEREF _Toc278447915 \h </w:instrText>
      </w:r>
      <w:r w:rsidRPr="00D109E5">
        <w:fldChar w:fldCharType="separate"/>
      </w:r>
      <w:r w:rsidR="00EA0B4D">
        <w:t>106</w:t>
      </w:r>
      <w:r w:rsidRPr="00D109E5">
        <w:fldChar w:fldCharType="end"/>
      </w:r>
    </w:p>
    <w:p w14:paraId="32B4A01C" w14:textId="263B71D1" w:rsidR="001F437C" w:rsidRPr="003A01BA" w:rsidRDefault="001F437C" w:rsidP="003A01BA">
      <w:pPr>
        <w:pStyle w:val="TOC3"/>
        <w:spacing w:after="0"/>
        <w:rPr>
          <w:rFonts w:eastAsiaTheme="minorEastAsia"/>
          <w:noProof/>
          <w:sz w:val="20"/>
          <w:szCs w:val="20"/>
          <w:lang w:val="en-US" w:eastAsia="ja-JP"/>
        </w:rPr>
      </w:pPr>
      <w:r w:rsidRPr="003A01BA">
        <w:rPr>
          <w:noProof/>
          <w:sz w:val="20"/>
          <w:szCs w:val="20"/>
        </w:rPr>
        <w:t xml:space="preserve">4.1 </w:t>
      </w:r>
      <w:r w:rsidR="003A01BA" w:rsidRPr="003A01BA">
        <w:rPr>
          <w:noProof/>
          <w:sz w:val="20"/>
          <w:szCs w:val="20"/>
        </w:rPr>
        <w:tab/>
      </w:r>
      <w:r w:rsidRPr="003A01BA">
        <w:rPr>
          <w:noProof/>
          <w:sz w:val="20"/>
          <w:szCs w:val="20"/>
        </w:rPr>
        <w:t>Consortium arrangements – What is the impact of the three member consortium?</w:t>
      </w:r>
      <w:r w:rsidRPr="003A01BA">
        <w:rPr>
          <w:noProof/>
          <w:sz w:val="20"/>
          <w:szCs w:val="20"/>
        </w:rPr>
        <w:tab/>
      </w:r>
      <w:r w:rsidRPr="003A01BA">
        <w:rPr>
          <w:noProof/>
          <w:sz w:val="20"/>
          <w:szCs w:val="20"/>
        </w:rPr>
        <w:fldChar w:fldCharType="begin"/>
      </w:r>
      <w:r w:rsidRPr="003A01BA">
        <w:rPr>
          <w:noProof/>
          <w:sz w:val="20"/>
          <w:szCs w:val="20"/>
        </w:rPr>
        <w:instrText xml:space="preserve"> PAGEREF _Toc274909900 \h </w:instrText>
      </w:r>
      <w:r w:rsidRPr="003A01BA">
        <w:rPr>
          <w:noProof/>
          <w:sz w:val="20"/>
          <w:szCs w:val="20"/>
        </w:rPr>
      </w:r>
      <w:r w:rsidRPr="003A01BA">
        <w:rPr>
          <w:noProof/>
          <w:sz w:val="20"/>
          <w:szCs w:val="20"/>
        </w:rPr>
        <w:fldChar w:fldCharType="separate"/>
      </w:r>
      <w:r w:rsidR="00EA0B4D">
        <w:rPr>
          <w:noProof/>
          <w:sz w:val="20"/>
          <w:szCs w:val="20"/>
        </w:rPr>
        <w:t>106</w:t>
      </w:r>
      <w:r w:rsidRPr="003A01BA">
        <w:rPr>
          <w:noProof/>
          <w:sz w:val="20"/>
          <w:szCs w:val="20"/>
        </w:rPr>
        <w:fldChar w:fldCharType="end"/>
      </w:r>
    </w:p>
    <w:p w14:paraId="566F1262" w14:textId="6C4B9E1E" w:rsidR="001F437C" w:rsidRPr="003A01BA" w:rsidRDefault="001F437C" w:rsidP="003A01BA">
      <w:pPr>
        <w:pStyle w:val="TOC3"/>
        <w:spacing w:after="0"/>
        <w:ind w:left="560" w:hanging="560"/>
        <w:rPr>
          <w:rFonts w:eastAsiaTheme="minorEastAsia"/>
          <w:noProof/>
          <w:sz w:val="20"/>
          <w:szCs w:val="20"/>
          <w:lang w:val="en-US" w:eastAsia="ja-JP"/>
        </w:rPr>
      </w:pPr>
      <w:r w:rsidRPr="003A01BA">
        <w:rPr>
          <w:noProof/>
          <w:sz w:val="20"/>
          <w:szCs w:val="20"/>
        </w:rPr>
        <w:t xml:space="preserve">4.2 </w:t>
      </w:r>
      <w:r w:rsidRPr="003A01BA">
        <w:rPr>
          <w:rFonts w:eastAsiaTheme="minorEastAsia"/>
          <w:noProof/>
          <w:sz w:val="20"/>
          <w:szCs w:val="20"/>
          <w:lang w:val="en-US" w:eastAsia="ja-JP"/>
        </w:rPr>
        <w:tab/>
      </w:r>
      <w:r w:rsidRPr="003A01BA">
        <w:rPr>
          <w:noProof/>
          <w:sz w:val="20"/>
          <w:szCs w:val="20"/>
        </w:rPr>
        <w:t xml:space="preserve">Advisory Group – How does the membership and role of the Advisory Group </w:t>
      </w:r>
      <w:r w:rsidR="003A01BA" w:rsidRPr="003A01BA">
        <w:rPr>
          <w:noProof/>
          <w:sz w:val="20"/>
          <w:szCs w:val="20"/>
        </w:rPr>
        <w:br/>
      </w:r>
      <w:r w:rsidRPr="003A01BA">
        <w:rPr>
          <w:noProof/>
          <w:sz w:val="20"/>
          <w:szCs w:val="20"/>
        </w:rPr>
        <w:t>contribute to the impact of the APTC?</w:t>
      </w:r>
      <w:r w:rsidRPr="003A01BA">
        <w:rPr>
          <w:noProof/>
          <w:sz w:val="20"/>
          <w:szCs w:val="20"/>
        </w:rPr>
        <w:tab/>
      </w:r>
      <w:r w:rsidRPr="003A01BA">
        <w:rPr>
          <w:noProof/>
          <w:sz w:val="20"/>
          <w:szCs w:val="20"/>
        </w:rPr>
        <w:fldChar w:fldCharType="begin"/>
      </w:r>
      <w:r w:rsidRPr="003A01BA">
        <w:rPr>
          <w:noProof/>
          <w:sz w:val="20"/>
          <w:szCs w:val="20"/>
        </w:rPr>
        <w:instrText xml:space="preserve"> PAGEREF _Toc274909901 \h </w:instrText>
      </w:r>
      <w:r w:rsidRPr="003A01BA">
        <w:rPr>
          <w:noProof/>
          <w:sz w:val="20"/>
          <w:szCs w:val="20"/>
        </w:rPr>
      </w:r>
      <w:r w:rsidRPr="003A01BA">
        <w:rPr>
          <w:noProof/>
          <w:sz w:val="20"/>
          <w:szCs w:val="20"/>
        </w:rPr>
        <w:fldChar w:fldCharType="separate"/>
      </w:r>
      <w:r w:rsidR="00EA0B4D">
        <w:rPr>
          <w:noProof/>
          <w:sz w:val="20"/>
          <w:szCs w:val="20"/>
        </w:rPr>
        <w:t>107</w:t>
      </w:r>
      <w:r w:rsidRPr="003A01BA">
        <w:rPr>
          <w:noProof/>
          <w:sz w:val="20"/>
          <w:szCs w:val="20"/>
        </w:rPr>
        <w:fldChar w:fldCharType="end"/>
      </w:r>
    </w:p>
    <w:p w14:paraId="7E212CFD" w14:textId="48379A39" w:rsidR="001F437C" w:rsidRPr="00FF51CD" w:rsidRDefault="001F437C" w:rsidP="001F437C">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4.3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Organisational structure – How well does</w:t>
      </w:r>
      <w:r w:rsidR="003A01BA">
        <w:rPr>
          <w:rFonts w:ascii="Arial" w:hAnsi="Arial" w:cs="Arial"/>
          <w:noProof/>
          <w:sz w:val="20"/>
          <w:szCs w:val="20"/>
        </w:rPr>
        <w:t xml:space="preserve"> the organisational structure </w:t>
      </w:r>
      <w:r w:rsidRPr="00FF51CD">
        <w:rPr>
          <w:rFonts w:ascii="Arial" w:hAnsi="Arial" w:cs="Arial"/>
          <w:noProof/>
          <w:sz w:val="20"/>
          <w:szCs w:val="20"/>
        </w:rPr>
        <w:t xml:space="preserve">support the </w:t>
      </w:r>
      <w:r w:rsidR="003A01BA">
        <w:rPr>
          <w:rFonts w:ascii="Arial" w:hAnsi="Arial" w:cs="Arial"/>
          <w:noProof/>
          <w:sz w:val="20"/>
          <w:szCs w:val="20"/>
        </w:rPr>
        <w:br/>
      </w:r>
      <w:r w:rsidR="003A01BA">
        <w:rPr>
          <w:rFonts w:ascii="Arial" w:hAnsi="Arial" w:cs="Arial"/>
          <w:noProof/>
          <w:sz w:val="20"/>
          <w:szCs w:val="20"/>
        </w:rPr>
        <w:tab/>
      </w:r>
      <w:r w:rsidRPr="00FF51CD">
        <w:rPr>
          <w:rFonts w:ascii="Arial" w:hAnsi="Arial" w:cs="Arial"/>
          <w:noProof/>
          <w:sz w:val="20"/>
          <w:szCs w:val="20"/>
        </w:rPr>
        <w:t>operational requirements of the APTC?</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_Toc274909902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109</w:t>
      </w:r>
      <w:r w:rsidRPr="00FF51CD">
        <w:rPr>
          <w:rFonts w:ascii="Arial" w:hAnsi="Arial" w:cs="Arial"/>
          <w:noProof/>
          <w:sz w:val="20"/>
          <w:szCs w:val="20"/>
        </w:rPr>
        <w:fldChar w:fldCharType="end"/>
      </w:r>
    </w:p>
    <w:p w14:paraId="2C2A46B2" w14:textId="77777777" w:rsidR="00E83922" w:rsidRPr="00D109E5" w:rsidRDefault="00E83922" w:rsidP="00441936">
      <w:pPr>
        <w:pStyle w:val="TOC1"/>
        <w:ind w:left="351" w:hanging="351"/>
        <w:rPr>
          <w:rFonts w:asciiTheme="minorHAnsi" w:eastAsiaTheme="minorEastAsia" w:hAnsiTheme="minorHAnsi" w:cstheme="minorBidi"/>
          <w:sz w:val="24"/>
          <w:lang w:val="en-US" w:eastAsia="ja-JP"/>
        </w:rPr>
      </w:pPr>
      <w:r w:rsidRPr="00D109E5">
        <w:t xml:space="preserve">5  </w:t>
      </w:r>
      <w:r w:rsidRPr="00D109E5">
        <w:rPr>
          <w:rFonts w:asciiTheme="minorHAnsi" w:eastAsiaTheme="minorEastAsia" w:hAnsiTheme="minorHAnsi" w:cstheme="minorBidi"/>
          <w:sz w:val="24"/>
          <w:lang w:val="en-US" w:eastAsia="ja-JP"/>
        </w:rPr>
        <w:tab/>
      </w:r>
      <w:r w:rsidRPr="00D109E5">
        <w:t xml:space="preserve">What are the main constraints on, and opportunities for, further  development of </w:t>
      </w:r>
      <w:r>
        <w:br/>
      </w:r>
      <w:r w:rsidRPr="00D109E5">
        <w:t>APTC capacity for skills development?</w:t>
      </w:r>
      <w:r w:rsidRPr="00D109E5">
        <w:tab/>
      </w:r>
      <w:r w:rsidRPr="00D109E5">
        <w:fldChar w:fldCharType="begin"/>
      </w:r>
      <w:r w:rsidRPr="00D109E5">
        <w:instrText xml:space="preserve"> PAGEREF _Toc278447919 \h </w:instrText>
      </w:r>
      <w:r w:rsidRPr="00D109E5">
        <w:fldChar w:fldCharType="separate"/>
      </w:r>
      <w:r w:rsidR="00EA0B4D">
        <w:t>110</w:t>
      </w:r>
      <w:r w:rsidRPr="00D109E5">
        <w:fldChar w:fldCharType="end"/>
      </w:r>
    </w:p>
    <w:p w14:paraId="63414A63" w14:textId="6A145140" w:rsidR="001F437C" w:rsidRPr="00FF51CD" w:rsidRDefault="001F437C" w:rsidP="003A01BA">
      <w:pPr>
        <w:pStyle w:val="TOC2"/>
        <w:tabs>
          <w:tab w:val="left" w:pos="519"/>
          <w:tab w:val="right" w:leader="dot" w:pos="8489"/>
        </w:tabs>
        <w:ind w:left="519" w:hanging="519"/>
        <w:rPr>
          <w:rFonts w:ascii="Arial" w:eastAsiaTheme="minorEastAsia" w:hAnsi="Arial" w:cs="Arial"/>
          <w:noProof/>
          <w:sz w:val="20"/>
          <w:szCs w:val="20"/>
          <w:lang w:val="en-US" w:eastAsia="ja-JP"/>
        </w:rPr>
      </w:pPr>
      <w:r w:rsidRPr="00FF51CD">
        <w:rPr>
          <w:rFonts w:ascii="Arial" w:hAnsi="Arial" w:cs="Arial"/>
          <w:noProof/>
          <w:sz w:val="20"/>
          <w:szCs w:val="20"/>
        </w:rPr>
        <w:t>5.1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Lack of a long-term vision for APTC role in t</w:t>
      </w:r>
      <w:r w:rsidR="003A01BA">
        <w:rPr>
          <w:rFonts w:ascii="Arial" w:hAnsi="Arial" w:cs="Arial"/>
          <w:noProof/>
          <w:sz w:val="20"/>
          <w:szCs w:val="20"/>
        </w:rPr>
        <w:t>he Pacific</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_Toc274909904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110</w:t>
      </w:r>
      <w:r w:rsidRPr="00FF51CD">
        <w:rPr>
          <w:rFonts w:ascii="Arial" w:hAnsi="Arial" w:cs="Arial"/>
          <w:noProof/>
          <w:sz w:val="20"/>
          <w:szCs w:val="20"/>
        </w:rPr>
        <w:fldChar w:fldCharType="end"/>
      </w:r>
    </w:p>
    <w:p w14:paraId="5ACF99D2" w14:textId="77777777" w:rsidR="001F437C" w:rsidRPr="00FF51CD" w:rsidRDefault="001F437C" w:rsidP="001F437C">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5.2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The contractual requirement to deliver full qualifications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_Toc274909905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111</w:t>
      </w:r>
      <w:r w:rsidRPr="00FF51CD">
        <w:rPr>
          <w:rFonts w:ascii="Arial" w:hAnsi="Arial" w:cs="Arial"/>
          <w:noProof/>
          <w:sz w:val="20"/>
          <w:szCs w:val="20"/>
        </w:rPr>
        <w:fldChar w:fldCharType="end"/>
      </w:r>
    </w:p>
    <w:p w14:paraId="694CEFAB" w14:textId="518A18EB" w:rsidR="001F437C" w:rsidRPr="00FF51CD" w:rsidRDefault="001F437C" w:rsidP="003A01BA">
      <w:pPr>
        <w:pStyle w:val="TOC2"/>
        <w:tabs>
          <w:tab w:val="left" w:pos="519"/>
          <w:tab w:val="right" w:leader="dot" w:pos="8489"/>
        </w:tabs>
        <w:ind w:left="519" w:hanging="519"/>
        <w:rPr>
          <w:rFonts w:ascii="Arial" w:eastAsiaTheme="minorEastAsia" w:hAnsi="Arial" w:cs="Arial"/>
          <w:noProof/>
          <w:sz w:val="20"/>
          <w:szCs w:val="20"/>
          <w:lang w:val="en-US" w:eastAsia="ja-JP"/>
        </w:rPr>
      </w:pPr>
      <w:r w:rsidRPr="00FF51CD">
        <w:rPr>
          <w:rFonts w:ascii="Arial" w:hAnsi="Arial" w:cs="Arial"/>
          <w:noProof/>
          <w:sz w:val="20"/>
          <w:szCs w:val="20"/>
        </w:rPr>
        <w:t>5.3</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The need to generate more of its own r</w:t>
      </w:r>
      <w:r w:rsidR="003A01BA">
        <w:rPr>
          <w:rFonts w:ascii="Arial" w:hAnsi="Arial" w:cs="Arial"/>
          <w:noProof/>
          <w:sz w:val="20"/>
          <w:szCs w:val="20"/>
        </w:rPr>
        <w:t>evenue</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_Toc274909906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111</w:t>
      </w:r>
      <w:r w:rsidRPr="00FF51CD">
        <w:rPr>
          <w:rFonts w:ascii="Arial" w:hAnsi="Arial" w:cs="Arial"/>
          <w:noProof/>
          <w:sz w:val="20"/>
          <w:szCs w:val="20"/>
        </w:rPr>
        <w:fldChar w:fldCharType="end"/>
      </w:r>
    </w:p>
    <w:p w14:paraId="47935FEB" w14:textId="77777777"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5.4</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Elimination of cost inefficiencies in organisation and management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_Toc274909907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111</w:t>
      </w:r>
      <w:r w:rsidRPr="00FF51CD">
        <w:rPr>
          <w:rFonts w:ascii="Arial" w:hAnsi="Arial" w:cs="Arial"/>
          <w:noProof/>
          <w:sz w:val="20"/>
          <w:szCs w:val="20"/>
        </w:rPr>
        <w:fldChar w:fldCharType="end"/>
      </w:r>
    </w:p>
    <w:p w14:paraId="7BD38A51" w14:textId="39EADFD7" w:rsidR="001F437C" w:rsidRPr="00FF51CD" w:rsidRDefault="001F437C" w:rsidP="003A01BA">
      <w:pPr>
        <w:pStyle w:val="TOC2"/>
        <w:tabs>
          <w:tab w:val="left" w:pos="519"/>
          <w:tab w:val="right" w:leader="dot" w:pos="8489"/>
        </w:tabs>
        <w:ind w:left="519" w:hanging="519"/>
        <w:rPr>
          <w:rFonts w:ascii="Arial" w:eastAsiaTheme="minorEastAsia" w:hAnsi="Arial" w:cs="Arial"/>
          <w:noProof/>
          <w:sz w:val="20"/>
          <w:szCs w:val="20"/>
          <w:lang w:val="en-US" w:eastAsia="ja-JP"/>
        </w:rPr>
      </w:pPr>
      <w:r w:rsidRPr="00FF51CD">
        <w:rPr>
          <w:rFonts w:ascii="Arial" w:hAnsi="Arial" w:cs="Arial"/>
          <w:noProof/>
          <w:sz w:val="20"/>
          <w:szCs w:val="20"/>
        </w:rPr>
        <w:t>5.5</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Overcoming pockets of entrenched oppos</w:t>
      </w:r>
      <w:r w:rsidR="003A01BA">
        <w:rPr>
          <w:rFonts w:ascii="Arial" w:hAnsi="Arial" w:cs="Arial"/>
          <w:noProof/>
          <w:sz w:val="20"/>
          <w:szCs w:val="20"/>
        </w:rPr>
        <w:t>ition to develop partnerships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_Toc274909908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111</w:t>
      </w:r>
      <w:r w:rsidRPr="00FF51CD">
        <w:rPr>
          <w:rFonts w:ascii="Arial" w:hAnsi="Arial" w:cs="Arial"/>
          <w:noProof/>
          <w:sz w:val="20"/>
          <w:szCs w:val="20"/>
        </w:rPr>
        <w:fldChar w:fldCharType="end"/>
      </w:r>
    </w:p>
    <w:p w14:paraId="7D6E3E5B" w14:textId="029A073D"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5.6</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Pursuing the nationalisation of trainers and</w:t>
      </w:r>
      <w:r w:rsidR="003A01BA">
        <w:rPr>
          <w:rFonts w:ascii="Arial" w:hAnsi="Arial" w:cs="Arial"/>
          <w:noProof/>
          <w:sz w:val="20"/>
          <w:szCs w:val="20"/>
        </w:rPr>
        <w:t xml:space="preserve"> other staff</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_Toc274909909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112</w:t>
      </w:r>
      <w:r w:rsidRPr="00FF51CD">
        <w:rPr>
          <w:rFonts w:ascii="Arial" w:hAnsi="Arial" w:cs="Arial"/>
          <w:noProof/>
          <w:sz w:val="20"/>
          <w:szCs w:val="20"/>
        </w:rPr>
        <w:fldChar w:fldCharType="end"/>
      </w:r>
    </w:p>
    <w:p w14:paraId="095B2FDC" w14:textId="77777777"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5.7</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Attracting staff to work in less secure countries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_Toc274909910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113</w:t>
      </w:r>
      <w:r w:rsidRPr="00FF51CD">
        <w:rPr>
          <w:rFonts w:ascii="Arial" w:hAnsi="Arial" w:cs="Arial"/>
          <w:noProof/>
          <w:sz w:val="20"/>
          <w:szCs w:val="20"/>
        </w:rPr>
        <w:fldChar w:fldCharType="end"/>
      </w:r>
    </w:p>
    <w:p w14:paraId="72A39184" w14:textId="77777777" w:rsidR="00E83922" w:rsidRPr="00D109E5" w:rsidRDefault="00E83922" w:rsidP="00441936">
      <w:pPr>
        <w:pStyle w:val="TOC1"/>
        <w:rPr>
          <w:rFonts w:asciiTheme="minorHAnsi" w:eastAsiaTheme="minorEastAsia" w:hAnsiTheme="minorHAnsi" w:cstheme="minorBidi"/>
          <w:sz w:val="24"/>
          <w:lang w:val="en-US" w:eastAsia="ja-JP"/>
        </w:rPr>
      </w:pPr>
      <w:r w:rsidRPr="00D109E5">
        <w:t>6</w:t>
      </w:r>
      <w:r w:rsidRPr="00D109E5">
        <w:rPr>
          <w:rFonts w:asciiTheme="minorHAnsi" w:eastAsiaTheme="minorEastAsia" w:hAnsiTheme="minorHAnsi" w:cstheme="minorBidi"/>
          <w:sz w:val="24"/>
          <w:lang w:val="en-US" w:eastAsia="ja-JP"/>
        </w:rPr>
        <w:tab/>
      </w:r>
      <w:r w:rsidRPr="00D109E5">
        <w:t xml:space="preserve">What influence has APTC had in building capacity of other Pacific TVET institutions, </w:t>
      </w:r>
      <w:r>
        <w:br/>
      </w:r>
      <w:r>
        <w:tab/>
      </w:r>
      <w:r w:rsidRPr="00D109E5">
        <w:t>including direct support, and demonstration effects?</w:t>
      </w:r>
      <w:r w:rsidRPr="00D109E5">
        <w:tab/>
      </w:r>
      <w:r w:rsidRPr="00D109E5">
        <w:fldChar w:fldCharType="begin"/>
      </w:r>
      <w:r w:rsidRPr="00D109E5">
        <w:instrText xml:space="preserve"> PAGEREF _Toc278447927 \h </w:instrText>
      </w:r>
      <w:r w:rsidRPr="00D109E5">
        <w:fldChar w:fldCharType="separate"/>
      </w:r>
      <w:r w:rsidR="00EA0B4D">
        <w:t>113</w:t>
      </w:r>
      <w:r w:rsidRPr="00D109E5">
        <w:fldChar w:fldCharType="end"/>
      </w:r>
    </w:p>
    <w:p w14:paraId="7C12AFBA" w14:textId="504C85DD"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6.1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To what extent and how effectively h</w:t>
      </w:r>
      <w:r w:rsidR="00483A3A">
        <w:rPr>
          <w:rFonts w:ascii="Arial" w:hAnsi="Arial" w:cs="Arial"/>
          <w:noProof/>
          <w:sz w:val="20"/>
          <w:szCs w:val="20"/>
        </w:rPr>
        <w:t xml:space="preserve">as APTC’s provided additional </w:t>
      </w:r>
      <w:r w:rsidRPr="00FF51CD">
        <w:rPr>
          <w:rFonts w:ascii="Arial" w:hAnsi="Arial" w:cs="Arial"/>
          <w:noProof/>
          <w:sz w:val="20"/>
          <w:szCs w:val="20"/>
        </w:rPr>
        <w:t xml:space="preserve">professional </w:t>
      </w:r>
      <w:r w:rsidR="00483A3A">
        <w:rPr>
          <w:rFonts w:ascii="Arial" w:hAnsi="Arial" w:cs="Arial"/>
          <w:noProof/>
          <w:sz w:val="20"/>
          <w:szCs w:val="20"/>
        </w:rPr>
        <w:br/>
      </w:r>
      <w:r w:rsidR="00483A3A">
        <w:rPr>
          <w:rFonts w:ascii="Arial" w:hAnsi="Arial" w:cs="Arial"/>
          <w:noProof/>
          <w:sz w:val="20"/>
          <w:szCs w:val="20"/>
        </w:rPr>
        <w:tab/>
      </w:r>
      <w:r w:rsidRPr="00FF51CD">
        <w:rPr>
          <w:rFonts w:ascii="Arial" w:hAnsi="Arial" w:cs="Arial"/>
          <w:noProof/>
          <w:sz w:val="20"/>
          <w:szCs w:val="20"/>
        </w:rPr>
        <w:t>development for the education</w:t>
      </w:r>
      <w:r w:rsidR="00483A3A">
        <w:rPr>
          <w:rFonts w:ascii="Arial" w:hAnsi="Arial" w:cs="Arial"/>
          <w:noProof/>
          <w:sz w:val="20"/>
          <w:szCs w:val="20"/>
        </w:rPr>
        <w:t xml:space="preserve"> and training sector?</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_Toc274909912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113</w:t>
      </w:r>
      <w:r w:rsidRPr="00FF51CD">
        <w:rPr>
          <w:rFonts w:ascii="Arial" w:hAnsi="Arial" w:cs="Arial"/>
          <w:noProof/>
          <w:sz w:val="20"/>
          <w:szCs w:val="20"/>
        </w:rPr>
        <w:fldChar w:fldCharType="end"/>
      </w:r>
    </w:p>
    <w:p w14:paraId="73EC5DA4" w14:textId="5F9E6B4A"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6.2</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 xml:space="preserve">To what extent has APTC provided </w:t>
      </w:r>
      <w:r w:rsidR="00DC1AC4">
        <w:rPr>
          <w:rFonts w:ascii="Arial" w:hAnsi="Arial" w:cs="Arial"/>
          <w:noProof/>
          <w:sz w:val="20"/>
          <w:szCs w:val="20"/>
        </w:rPr>
        <w:t>an</w:t>
      </w:r>
      <w:r w:rsidR="00483A3A">
        <w:rPr>
          <w:rFonts w:ascii="Arial" w:hAnsi="Arial" w:cs="Arial"/>
          <w:noProof/>
          <w:sz w:val="20"/>
          <w:szCs w:val="20"/>
        </w:rPr>
        <w:t xml:space="preserve"> effect on higher </w:t>
      </w:r>
      <w:r w:rsidRPr="00FF51CD">
        <w:rPr>
          <w:rFonts w:ascii="Arial" w:hAnsi="Arial" w:cs="Arial"/>
          <w:noProof/>
          <w:sz w:val="20"/>
          <w:szCs w:val="20"/>
        </w:rPr>
        <w:t>quality standards?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_Toc274909913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115</w:t>
      </w:r>
      <w:r w:rsidRPr="00FF51CD">
        <w:rPr>
          <w:rFonts w:ascii="Arial" w:hAnsi="Arial" w:cs="Arial"/>
          <w:noProof/>
          <w:sz w:val="20"/>
          <w:szCs w:val="20"/>
        </w:rPr>
        <w:fldChar w:fldCharType="end"/>
      </w:r>
    </w:p>
    <w:p w14:paraId="4DD14C25" w14:textId="0B840C3B" w:rsidR="001F437C" w:rsidRPr="00FF51CD" w:rsidRDefault="001F437C" w:rsidP="001F437C">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6.3</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What impact has the APTC had on educ</w:t>
      </w:r>
      <w:r w:rsidR="00483A3A">
        <w:rPr>
          <w:rFonts w:ascii="Arial" w:hAnsi="Arial" w:cs="Arial"/>
          <w:noProof/>
          <w:sz w:val="20"/>
          <w:szCs w:val="20"/>
        </w:rPr>
        <w:t xml:space="preserve">ation and training at partner </w:t>
      </w:r>
      <w:r w:rsidRPr="00FF51CD">
        <w:rPr>
          <w:rFonts w:ascii="Arial" w:hAnsi="Arial" w:cs="Arial"/>
          <w:noProof/>
          <w:sz w:val="20"/>
          <w:szCs w:val="20"/>
        </w:rPr>
        <w:t>institutions?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_Toc274909914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116</w:t>
      </w:r>
      <w:r w:rsidRPr="00FF51CD">
        <w:rPr>
          <w:rFonts w:ascii="Arial" w:hAnsi="Arial" w:cs="Arial"/>
          <w:noProof/>
          <w:sz w:val="20"/>
          <w:szCs w:val="20"/>
        </w:rPr>
        <w:fldChar w:fldCharType="end"/>
      </w:r>
    </w:p>
    <w:p w14:paraId="7163131C" w14:textId="3C115205" w:rsidR="001F437C" w:rsidRPr="00FF51CD" w:rsidRDefault="001F437C" w:rsidP="00483A3A">
      <w:pPr>
        <w:pStyle w:val="TOC2"/>
        <w:tabs>
          <w:tab w:val="left" w:pos="519"/>
          <w:tab w:val="right" w:leader="dot" w:pos="8489"/>
        </w:tabs>
        <w:ind w:left="519" w:hanging="519"/>
        <w:rPr>
          <w:rFonts w:ascii="Arial" w:eastAsiaTheme="minorEastAsia" w:hAnsi="Arial" w:cs="Arial"/>
          <w:noProof/>
          <w:sz w:val="20"/>
          <w:szCs w:val="20"/>
          <w:lang w:val="en-US" w:eastAsia="ja-JP"/>
        </w:rPr>
      </w:pPr>
      <w:r w:rsidRPr="00FF51CD">
        <w:rPr>
          <w:rFonts w:ascii="Arial" w:hAnsi="Arial" w:cs="Arial"/>
          <w:noProof/>
          <w:sz w:val="20"/>
          <w:szCs w:val="20"/>
        </w:rPr>
        <w:t>6.4</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To what extent has APTC duplicated t</w:t>
      </w:r>
      <w:r w:rsidR="00483A3A">
        <w:rPr>
          <w:rFonts w:ascii="Arial" w:hAnsi="Arial" w:cs="Arial"/>
          <w:noProof/>
          <w:sz w:val="20"/>
          <w:szCs w:val="20"/>
        </w:rPr>
        <w:t xml:space="preserve">he training of local/national </w:t>
      </w:r>
      <w:r w:rsidRPr="00FF51CD">
        <w:rPr>
          <w:rFonts w:ascii="Arial" w:hAnsi="Arial" w:cs="Arial"/>
          <w:noProof/>
          <w:sz w:val="20"/>
          <w:szCs w:val="20"/>
        </w:rPr>
        <w:t xml:space="preserve">training providers, </w:t>
      </w:r>
      <w:r w:rsidR="00483A3A">
        <w:rPr>
          <w:rFonts w:ascii="Arial" w:hAnsi="Arial" w:cs="Arial"/>
          <w:noProof/>
          <w:sz w:val="20"/>
          <w:szCs w:val="20"/>
        </w:rPr>
        <w:br/>
      </w:r>
      <w:r w:rsidRPr="00FF51CD">
        <w:rPr>
          <w:rFonts w:ascii="Arial" w:hAnsi="Arial" w:cs="Arial"/>
          <w:noProof/>
          <w:sz w:val="20"/>
          <w:szCs w:val="20"/>
        </w:rPr>
        <w:t>or undermined local training capacity?</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_Toc274909915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118</w:t>
      </w:r>
      <w:r w:rsidRPr="00FF51CD">
        <w:rPr>
          <w:rFonts w:ascii="Arial" w:hAnsi="Arial" w:cs="Arial"/>
          <w:noProof/>
          <w:sz w:val="20"/>
          <w:szCs w:val="20"/>
        </w:rPr>
        <w:fldChar w:fldCharType="end"/>
      </w:r>
    </w:p>
    <w:p w14:paraId="77F744F5" w14:textId="77777777" w:rsidR="00E83922" w:rsidRPr="00D109E5" w:rsidRDefault="00E83922" w:rsidP="00441936">
      <w:pPr>
        <w:pStyle w:val="TOC1"/>
        <w:rPr>
          <w:rFonts w:asciiTheme="minorHAnsi" w:eastAsiaTheme="minorEastAsia" w:hAnsiTheme="minorHAnsi" w:cstheme="minorBidi"/>
          <w:sz w:val="24"/>
          <w:lang w:val="en-US" w:eastAsia="ja-JP"/>
        </w:rPr>
      </w:pPr>
      <w:r w:rsidRPr="00D109E5">
        <w:t>Attachment 1 to Annex 6: Overview of RTO Audit Schedules – Stage II</w:t>
      </w:r>
      <w:r w:rsidRPr="00D109E5">
        <w:tab/>
      </w:r>
      <w:r w:rsidRPr="00D109E5">
        <w:fldChar w:fldCharType="begin"/>
      </w:r>
      <w:r w:rsidRPr="00D109E5">
        <w:instrText xml:space="preserve"> PAGEREF _Toc278447932 \h </w:instrText>
      </w:r>
      <w:r w:rsidRPr="00D109E5">
        <w:fldChar w:fldCharType="separate"/>
      </w:r>
      <w:r w:rsidR="00EA0B4D">
        <w:t>119</w:t>
      </w:r>
      <w:r w:rsidRPr="00D109E5">
        <w:fldChar w:fldCharType="end"/>
      </w:r>
    </w:p>
    <w:p w14:paraId="54FA80C7" w14:textId="77777777" w:rsidR="00E83922" w:rsidRPr="00D109E5" w:rsidRDefault="00E83922" w:rsidP="00441936">
      <w:pPr>
        <w:pStyle w:val="TOC1"/>
        <w:rPr>
          <w:rFonts w:asciiTheme="minorHAnsi" w:eastAsiaTheme="minorEastAsia" w:hAnsiTheme="minorHAnsi" w:cstheme="minorBidi"/>
          <w:sz w:val="24"/>
          <w:lang w:val="en-US" w:eastAsia="ja-JP"/>
        </w:rPr>
      </w:pPr>
      <w:r w:rsidRPr="00D109E5">
        <w:t>Attachment 2 to Annex 6: The future of APTC scholarships</w:t>
      </w:r>
      <w:r w:rsidRPr="00D109E5">
        <w:tab/>
      </w:r>
      <w:r w:rsidRPr="00D109E5">
        <w:fldChar w:fldCharType="begin"/>
      </w:r>
      <w:r w:rsidRPr="00D109E5">
        <w:instrText xml:space="preserve"> PAGEREF _Toc278447933 \h </w:instrText>
      </w:r>
      <w:r w:rsidRPr="00D109E5">
        <w:fldChar w:fldCharType="separate"/>
      </w:r>
      <w:r w:rsidR="00EA0B4D">
        <w:t>120</w:t>
      </w:r>
      <w:r w:rsidRPr="00D109E5">
        <w:fldChar w:fldCharType="end"/>
      </w:r>
    </w:p>
    <w:p w14:paraId="56B12862" w14:textId="22E56679" w:rsidR="001F437C" w:rsidRPr="00E83922" w:rsidRDefault="00E83922" w:rsidP="00441936">
      <w:pPr>
        <w:pStyle w:val="TOC1"/>
      </w:pPr>
      <w:r w:rsidRPr="00D109E5">
        <w:t>Attachment 3 to Annex 6: APTC engagement with the Pacific TVET sector</w:t>
      </w:r>
      <w:r w:rsidRPr="00D109E5">
        <w:tab/>
      </w:r>
      <w:r w:rsidRPr="00D109E5">
        <w:fldChar w:fldCharType="begin"/>
      </w:r>
      <w:r w:rsidRPr="00D109E5">
        <w:instrText xml:space="preserve"> PAGEREF _Toc278447934 \h </w:instrText>
      </w:r>
      <w:r w:rsidRPr="00D109E5">
        <w:fldChar w:fldCharType="separate"/>
      </w:r>
      <w:r w:rsidR="00EA0B4D">
        <w:t>123</w:t>
      </w:r>
      <w:r w:rsidRPr="00D109E5">
        <w:fldChar w:fldCharType="end"/>
      </w:r>
    </w:p>
    <w:p w14:paraId="65671244" w14:textId="4330B682" w:rsidR="001F437C" w:rsidRPr="00FF51CD" w:rsidRDefault="001F437C" w:rsidP="00483A3A">
      <w:pPr>
        <w:pStyle w:val="TOC2"/>
        <w:tabs>
          <w:tab w:val="left" w:pos="407"/>
          <w:tab w:val="right" w:leader="dot" w:pos="8489"/>
        </w:tabs>
        <w:ind w:left="400" w:hanging="400"/>
        <w:rPr>
          <w:rFonts w:ascii="Arial" w:eastAsiaTheme="minorEastAsia" w:hAnsi="Arial" w:cs="Arial"/>
          <w:noProof/>
          <w:sz w:val="20"/>
          <w:szCs w:val="20"/>
          <w:lang w:val="en-US" w:eastAsia="ja-JP"/>
        </w:rPr>
      </w:pPr>
      <w:r w:rsidRPr="00FF51CD">
        <w:rPr>
          <w:rFonts w:ascii="Arial" w:hAnsi="Arial" w:cs="Arial"/>
          <w:noProof/>
          <w:sz w:val="20"/>
          <w:szCs w:val="20"/>
        </w:rPr>
        <w:t>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APTC engagement with partner institutions in campus countries</w:t>
      </w:r>
      <w:r w:rsidR="00483A3A">
        <w:rPr>
          <w:rFonts w:ascii="Arial" w:hAnsi="Arial" w:cs="Arial"/>
          <w:noProof/>
          <w:sz w:val="20"/>
          <w:szCs w:val="20"/>
        </w:rPr>
        <w:t xml:space="preserve"> </w:t>
      </w:r>
    </w:p>
    <w:p w14:paraId="3E3497C4" w14:textId="3ED67D68" w:rsidR="001F437C" w:rsidRPr="00483A3A" w:rsidRDefault="001F437C" w:rsidP="001F437C">
      <w:pPr>
        <w:pStyle w:val="TOC2"/>
        <w:tabs>
          <w:tab w:val="left" w:pos="407"/>
          <w:tab w:val="right" w:leader="dot" w:pos="8489"/>
        </w:tabs>
        <w:rPr>
          <w:rFonts w:ascii="Arial" w:hAnsi="Arial" w:cs="Arial"/>
          <w:noProof/>
          <w:sz w:val="20"/>
          <w:szCs w:val="20"/>
        </w:rPr>
      </w:pPr>
      <w:r w:rsidRPr="00FF51CD">
        <w:rPr>
          <w:rFonts w:ascii="Arial" w:hAnsi="Arial" w:cs="Arial"/>
          <w:noProof/>
          <w:sz w:val="20"/>
          <w:szCs w:val="20"/>
        </w:rPr>
        <w:t>2.</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APTC engagement with partner instituti</w:t>
      </w:r>
      <w:r w:rsidR="00483A3A">
        <w:rPr>
          <w:rFonts w:ascii="Arial" w:hAnsi="Arial" w:cs="Arial"/>
          <w:noProof/>
          <w:sz w:val="20"/>
          <w:szCs w:val="20"/>
        </w:rPr>
        <w:t xml:space="preserve">ons in non-campus countries </w:t>
      </w:r>
    </w:p>
    <w:p w14:paraId="10FA17E6" w14:textId="18834CF2" w:rsidR="00441936" w:rsidRPr="00D36A20" w:rsidRDefault="001F437C" w:rsidP="00D36A20">
      <w:pPr>
        <w:pStyle w:val="TOC2"/>
        <w:tabs>
          <w:tab w:val="left" w:pos="407"/>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3.</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APTC engagement with the wider TVET sector</w:t>
      </w:r>
      <w:r w:rsidR="00441936">
        <w:rPr>
          <w:b/>
        </w:rPr>
        <w:br w:type="page"/>
      </w:r>
    </w:p>
    <w:p w14:paraId="3CBB7D17" w14:textId="22B83C9D" w:rsidR="006D7312" w:rsidRPr="006D7312" w:rsidRDefault="006D7312" w:rsidP="00943289">
      <w:pPr>
        <w:rPr>
          <w:b/>
        </w:rPr>
      </w:pPr>
      <w:r w:rsidRPr="006D7312">
        <w:rPr>
          <w:b/>
        </w:rPr>
        <w:t>List of tables and figures</w:t>
      </w:r>
    </w:p>
    <w:p w14:paraId="45E619CC" w14:textId="77777777" w:rsidR="006D7312" w:rsidRPr="006D7312" w:rsidRDefault="006D7312" w:rsidP="006D7312">
      <w:pPr>
        <w:pStyle w:val="TableofFigures"/>
        <w:tabs>
          <w:tab w:val="right" w:leader="dot" w:pos="8489"/>
        </w:tabs>
        <w:rPr>
          <w:rFonts w:asciiTheme="minorHAnsi" w:eastAsiaTheme="minorEastAsia" w:hAnsiTheme="minorHAnsi" w:cstheme="minorBidi"/>
          <w:noProof/>
          <w:lang w:val="en-US" w:eastAsia="ja-JP"/>
        </w:rPr>
      </w:pPr>
      <w:r w:rsidRPr="006D7312">
        <w:rPr>
          <w:noProof/>
          <w:sz w:val="20"/>
        </w:rPr>
        <w:t>Figure 6.1: Student intake ratios by stage</w:t>
      </w:r>
      <w:r w:rsidRPr="006D7312">
        <w:rPr>
          <w:noProof/>
          <w:sz w:val="20"/>
        </w:rPr>
        <w:tab/>
      </w:r>
      <w:r w:rsidRPr="006D7312">
        <w:rPr>
          <w:noProof/>
          <w:sz w:val="20"/>
        </w:rPr>
        <w:fldChar w:fldCharType="begin"/>
      </w:r>
      <w:r w:rsidRPr="006D7312">
        <w:rPr>
          <w:noProof/>
          <w:sz w:val="20"/>
        </w:rPr>
        <w:instrText xml:space="preserve"> PAGEREF _Toc274915936 \h </w:instrText>
      </w:r>
      <w:r w:rsidRPr="006D7312">
        <w:rPr>
          <w:noProof/>
          <w:sz w:val="20"/>
        </w:rPr>
      </w:r>
      <w:r w:rsidRPr="006D7312">
        <w:rPr>
          <w:noProof/>
          <w:sz w:val="20"/>
        </w:rPr>
        <w:fldChar w:fldCharType="separate"/>
      </w:r>
      <w:r w:rsidR="00EA0B4D">
        <w:rPr>
          <w:noProof/>
          <w:sz w:val="20"/>
        </w:rPr>
        <w:t>83</w:t>
      </w:r>
      <w:r w:rsidRPr="006D7312">
        <w:rPr>
          <w:noProof/>
          <w:sz w:val="20"/>
        </w:rPr>
        <w:fldChar w:fldCharType="end"/>
      </w:r>
    </w:p>
    <w:p w14:paraId="27789448" w14:textId="77777777" w:rsidR="006D7312" w:rsidRPr="006D7312" w:rsidRDefault="006D7312" w:rsidP="006D7312">
      <w:pPr>
        <w:pStyle w:val="TableofFigures"/>
        <w:tabs>
          <w:tab w:val="right" w:leader="dot" w:pos="8489"/>
        </w:tabs>
        <w:rPr>
          <w:rFonts w:asciiTheme="minorHAnsi" w:eastAsiaTheme="minorEastAsia" w:hAnsiTheme="minorHAnsi" w:cstheme="minorBidi"/>
          <w:noProof/>
          <w:lang w:val="en-US" w:eastAsia="ja-JP"/>
        </w:rPr>
      </w:pPr>
      <w:r w:rsidRPr="006D7312">
        <w:rPr>
          <w:noProof/>
          <w:sz w:val="20"/>
        </w:rPr>
        <w:t>Table 6.1: Total APTC graduates to mid-2014</w:t>
      </w:r>
      <w:r w:rsidRPr="006D7312">
        <w:rPr>
          <w:noProof/>
          <w:sz w:val="20"/>
        </w:rPr>
        <w:tab/>
      </w:r>
      <w:r w:rsidRPr="006D7312">
        <w:rPr>
          <w:noProof/>
          <w:sz w:val="20"/>
        </w:rPr>
        <w:fldChar w:fldCharType="begin"/>
      </w:r>
      <w:r w:rsidRPr="006D7312">
        <w:rPr>
          <w:noProof/>
          <w:sz w:val="20"/>
        </w:rPr>
        <w:instrText xml:space="preserve"> PAGEREF _Toc274915937 \h </w:instrText>
      </w:r>
      <w:r w:rsidRPr="006D7312">
        <w:rPr>
          <w:noProof/>
          <w:sz w:val="20"/>
        </w:rPr>
      </w:r>
      <w:r w:rsidRPr="006D7312">
        <w:rPr>
          <w:noProof/>
          <w:sz w:val="20"/>
        </w:rPr>
        <w:fldChar w:fldCharType="separate"/>
      </w:r>
      <w:r w:rsidR="00EA0B4D">
        <w:rPr>
          <w:noProof/>
          <w:sz w:val="20"/>
        </w:rPr>
        <w:t>84</w:t>
      </w:r>
      <w:r w:rsidRPr="006D7312">
        <w:rPr>
          <w:noProof/>
          <w:sz w:val="20"/>
        </w:rPr>
        <w:fldChar w:fldCharType="end"/>
      </w:r>
    </w:p>
    <w:p w14:paraId="57DD5A95" w14:textId="77777777" w:rsidR="006D7312" w:rsidRPr="006D7312" w:rsidRDefault="006D7312" w:rsidP="006D7312">
      <w:pPr>
        <w:pStyle w:val="TableofFigures"/>
        <w:tabs>
          <w:tab w:val="right" w:leader="dot" w:pos="8489"/>
        </w:tabs>
        <w:rPr>
          <w:rFonts w:asciiTheme="minorHAnsi" w:eastAsiaTheme="minorEastAsia" w:hAnsiTheme="minorHAnsi" w:cstheme="minorBidi"/>
          <w:noProof/>
          <w:lang w:val="en-US" w:eastAsia="ja-JP"/>
        </w:rPr>
      </w:pPr>
      <w:r w:rsidRPr="006D7312">
        <w:rPr>
          <w:noProof/>
          <w:sz w:val="20"/>
        </w:rPr>
        <w:t>Table 6.2: APTC student completion rates</w:t>
      </w:r>
      <w:r w:rsidRPr="006D7312">
        <w:rPr>
          <w:noProof/>
          <w:sz w:val="20"/>
        </w:rPr>
        <w:tab/>
      </w:r>
      <w:r w:rsidRPr="006D7312">
        <w:rPr>
          <w:noProof/>
          <w:sz w:val="20"/>
        </w:rPr>
        <w:fldChar w:fldCharType="begin"/>
      </w:r>
      <w:r w:rsidRPr="006D7312">
        <w:rPr>
          <w:noProof/>
          <w:sz w:val="20"/>
        </w:rPr>
        <w:instrText xml:space="preserve"> PAGEREF _Toc274915938 \h </w:instrText>
      </w:r>
      <w:r w:rsidRPr="006D7312">
        <w:rPr>
          <w:noProof/>
          <w:sz w:val="20"/>
        </w:rPr>
      </w:r>
      <w:r w:rsidRPr="006D7312">
        <w:rPr>
          <w:noProof/>
          <w:sz w:val="20"/>
        </w:rPr>
        <w:fldChar w:fldCharType="separate"/>
      </w:r>
      <w:r w:rsidR="00EA0B4D">
        <w:rPr>
          <w:noProof/>
          <w:sz w:val="20"/>
        </w:rPr>
        <w:t>85</w:t>
      </w:r>
      <w:r w:rsidRPr="006D7312">
        <w:rPr>
          <w:noProof/>
          <w:sz w:val="20"/>
        </w:rPr>
        <w:fldChar w:fldCharType="end"/>
      </w:r>
    </w:p>
    <w:p w14:paraId="61E8EA75" w14:textId="77777777" w:rsidR="006D7312" w:rsidRPr="006D7312" w:rsidRDefault="006D7312" w:rsidP="006D7312">
      <w:pPr>
        <w:pStyle w:val="TableofFigures"/>
        <w:tabs>
          <w:tab w:val="right" w:leader="dot" w:pos="8489"/>
        </w:tabs>
        <w:rPr>
          <w:rFonts w:asciiTheme="minorHAnsi" w:eastAsiaTheme="minorEastAsia" w:hAnsiTheme="minorHAnsi" w:cstheme="minorBidi"/>
          <w:noProof/>
          <w:lang w:val="en-US" w:eastAsia="ja-JP"/>
        </w:rPr>
      </w:pPr>
      <w:r w:rsidRPr="006D7312">
        <w:rPr>
          <w:noProof/>
          <w:sz w:val="20"/>
        </w:rPr>
        <w:t>Table 6.3: Internet penetration rates in the Pacific</w:t>
      </w:r>
      <w:r w:rsidRPr="006D7312">
        <w:rPr>
          <w:noProof/>
          <w:sz w:val="20"/>
        </w:rPr>
        <w:tab/>
      </w:r>
      <w:r w:rsidRPr="006D7312">
        <w:rPr>
          <w:noProof/>
          <w:sz w:val="20"/>
        </w:rPr>
        <w:fldChar w:fldCharType="begin"/>
      </w:r>
      <w:r w:rsidRPr="006D7312">
        <w:rPr>
          <w:noProof/>
          <w:sz w:val="20"/>
        </w:rPr>
        <w:instrText xml:space="preserve"> PAGEREF _Toc274915939 \h </w:instrText>
      </w:r>
      <w:r w:rsidRPr="006D7312">
        <w:rPr>
          <w:noProof/>
          <w:sz w:val="20"/>
        </w:rPr>
      </w:r>
      <w:r w:rsidRPr="006D7312">
        <w:rPr>
          <w:noProof/>
          <w:sz w:val="20"/>
        </w:rPr>
        <w:fldChar w:fldCharType="separate"/>
      </w:r>
      <w:r w:rsidR="00EA0B4D">
        <w:rPr>
          <w:noProof/>
          <w:sz w:val="20"/>
        </w:rPr>
        <w:t>89</w:t>
      </w:r>
      <w:r w:rsidRPr="006D7312">
        <w:rPr>
          <w:noProof/>
          <w:sz w:val="20"/>
        </w:rPr>
        <w:fldChar w:fldCharType="end"/>
      </w:r>
    </w:p>
    <w:p w14:paraId="3F776CA9" w14:textId="77777777" w:rsidR="006D7312" w:rsidRPr="006D7312" w:rsidRDefault="006D7312" w:rsidP="006D7312">
      <w:pPr>
        <w:pStyle w:val="TableofFigures"/>
        <w:tabs>
          <w:tab w:val="right" w:leader="dot" w:pos="8489"/>
        </w:tabs>
        <w:rPr>
          <w:rFonts w:asciiTheme="minorHAnsi" w:eastAsiaTheme="minorEastAsia" w:hAnsiTheme="minorHAnsi" w:cstheme="minorBidi"/>
          <w:noProof/>
          <w:lang w:val="en-US" w:eastAsia="ja-JP"/>
        </w:rPr>
      </w:pPr>
      <w:r w:rsidRPr="006D7312">
        <w:rPr>
          <w:noProof/>
          <w:sz w:val="20"/>
        </w:rPr>
        <w:t>Table 6.4: APTC informal industry relationships</w:t>
      </w:r>
      <w:r w:rsidRPr="006D7312">
        <w:rPr>
          <w:noProof/>
          <w:sz w:val="20"/>
        </w:rPr>
        <w:tab/>
      </w:r>
      <w:r w:rsidRPr="006D7312">
        <w:rPr>
          <w:noProof/>
          <w:sz w:val="20"/>
        </w:rPr>
        <w:fldChar w:fldCharType="begin"/>
      </w:r>
      <w:r w:rsidRPr="006D7312">
        <w:rPr>
          <w:noProof/>
          <w:sz w:val="20"/>
        </w:rPr>
        <w:instrText xml:space="preserve"> PAGEREF _Toc274915940 \h </w:instrText>
      </w:r>
      <w:r w:rsidRPr="006D7312">
        <w:rPr>
          <w:noProof/>
          <w:sz w:val="20"/>
        </w:rPr>
      </w:r>
      <w:r w:rsidRPr="006D7312">
        <w:rPr>
          <w:noProof/>
          <w:sz w:val="20"/>
        </w:rPr>
        <w:fldChar w:fldCharType="separate"/>
      </w:r>
      <w:r w:rsidR="00EA0B4D">
        <w:rPr>
          <w:noProof/>
          <w:sz w:val="20"/>
        </w:rPr>
        <w:t>94</w:t>
      </w:r>
      <w:r w:rsidRPr="006D7312">
        <w:rPr>
          <w:noProof/>
          <w:sz w:val="20"/>
        </w:rPr>
        <w:fldChar w:fldCharType="end"/>
      </w:r>
    </w:p>
    <w:p w14:paraId="63906749" w14:textId="77777777" w:rsidR="006D7312" w:rsidRPr="006D7312" w:rsidRDefault="006D7312" w:rsidP="006D7312">
      <w:pPr>
        <w:pStyle w:val="TableofFigures"/>
        <w:tabs>
          <w:tab w:val="right" w:leader="dot" w:pos="8489"/>
        </w:tabs>
        <w:rPr>
          <w:rFonts w:asciiTheme="minorHAnsi" w:eastAsiaTheme="minorEastAsia" w:hAnsiTheme="minorHAnsi" w:cstheme="minorBidi"/>
          <w:noProof/>
          <w:lang w:val="en-US" w:eastAsia="ja-JP"/>
        </w:rPr>
      </w:pPr>
      <w:r w:rsidRPr="006D7312">
        <w:rPr>
          <w:noProof/>
          <w:sz w:val="20"/>
        </w:rPr>
        <w:t>Table 6.5: Cumulative entrants by citizenship and location</w:t>
      </w:r>
      <w:r w:rsidRPr="006D7312">
        <w:rPr>
          <w:noProof/>
          <w:sz w:val="20"/>
        </w:rPr>
        <w:tab/>
      </w:r>
      <w:r w:rsidRPr="006D7312">
        <w:rPr>
          <w:noProof/>
          <w:sz w:val="20"/>
        </w:rPr>
        <w:fldChar w:fldCharType="begin"/>
      </w:r>
      <w:r w:rsidRPr="006D7312">
        <w:rPr>
          <w:noProof/>
          <w:sz w:val="20"/>
        </w:rPr>
        <w:instrText xml:space="preserve"> PAGEREF _Toc274915941 \h </w:instrText>
      </w:r>
      <w:r w:rsidRPr="006D7312">
        <w:rPr>
          <w:noProof/>
          <w:sz w:val="20"/>
        </w:rPr>
      </w:r>
      <w:r w:rsidRPr="006D7312">
        <w:rPr>
          <w:noProof/>
          <w:sz w:val="20"/>
        </w:rPr>
        <w:fldChar w:fldCharType="separate"/>
      </w:r>
      <w:r w:rsidR="00EA0B4D">
        <w:rPr>
          <w:noProof/>
          <w:sz w:val="20"/>
        </w:rPr>
        <w:t>102</w:t>
      </w:r>
      <w:r w:rsidRPr="006D7312">
        <w:rPr>
          <w:noProof/>
          <w:sz w:val="20"/>
        </w:rPr>
        <w:fldChar w:fldCharType="end"/>
      </w:r>
    </w:p>
    <w:p w14:paraId="35D737D5" w14:textId="77777777" w:rsidR="006D7312" w:rsidRPr="006D7312" w:rsidRDefault="006D7312" w:rsidP="006D7312">
      <w:pPr>
        <w:pStyle w:val="TableofFigures"/>
        <w:tabs>
          <w:tab w:val="right" w:leader="dot" w:pos="8489"/>
        </w:tabs>
        <w:rPr>
          <w:rFonts w:asciiTheme="minorHAnsi" w:eastAsiaTheme="minorEastAsia" w:hAnsiTheme="minorHAnsi" w:cstheme="minorBidi"/>
          <w:noProof/>
          <w:lang w:val="en-US" w:eastAsia="ja-JP"/>
        </w:rPr>
      </w:pPr>
      <w:r w:rsidRPr="006D7312">
        <w:rPr>
          <w:noProof/>
          <w:sz w:val="20"/>
        </w:rPr>
        <w:t>Table 6.6: Geographical index on student participation by nationality</w:t>
      </w:r>
      <w:r w:rsidRPr="006D7312">
        <w:rPr>
          <w:noProof/>
          <w:sz w:val="20"/>
        </w:rPr>
        <w:tab/>
      </w:r>
      <w:r w:rsidRPr="006D7312">
        <w:rPr>
          <w:noProof/>
          <w:sz w:val="20"/>
        </w:rPr>
        <w:fldChar w:fldCharType="begin"/>
      </w:r>
      <w:r w:rsidRPr="006D7312">
        <w:rPr>
          <w:noProof/>
          <w:sz w:val="20"/>
        </w:rPr>
        <w:instrText xml:space="preserve"> PAGEREF _Toc274915942 \h </w:instrText>
      </w:r>
      <w:r w:rsidRPr="006D7312">
        <w:rPr>
          <w:noProof/>
          <w:sz w:val="20"/>
        </w:rPr>
      </w:r>
      <w:r w:rsidRPr="006D7312">
        <w:rPr>
          <w:noProof/>
          <w:sz w:val="20"/>
        </w:rPr>
        <w:fldChar w:fldCharType="separate"/>
      </w:r>
      <w:r w:rsidR="00EA0B4D">
        <w:rPr>
          <w:noProof/>
          <w:sz w:val="20"/>
        </w:rPr>
        <w:t>102</w:t>
      </w:r>
      <w:r w:rsidRPr="006D7312">
        <w:rPr>
          <w:noProof/>
          <w:sz w:val="20"/>
        </w:rPr>
        <w:fldChar w:fldCharType="end"/>
      </w:r>
    </w:p>
    <w:p w14:paraId="1C85B7D4" w14:textId="77777777" w:rsidR="006D7312" w:rsidRPr="006D7312" w:rsidRDefault="006D7312" w:rsidP="006D7312">
      <w:pPr>
        <w:pStyle w:val="TableofFigures"/>
        <w:tabs>
          <w:tab w:val="right" w:leader="dot" w:pos="8489"/>
        </w:tabs>
        <w:rPr>
          <w:rFonts w:asciiTheme="minorHAnsi" w:eastAsiaTheme="minorEastAsia" w:hAnsiTheme="minorHAnsi" w:cstheme="minorBidi"/>
          <w:noProof/>
          <w:lang w:val="en-US" w:eastAsia="ja-JP"/>
        </w:rPr>
      </w:pPr>
      <w:r w:rsidRPr="006D7312">
        <w:rPr>
          <w:noProof/>
          <w:sz w:val="20"/>
        </w:rPr>
        <w:t>Table 6.7: Scholarship awards as a percentage of applicants</w:t>
      </w:r>
      <w:r w:rsidRPr="006D7312">
        <w:rPr>
          <w:noProof/>
          <w:sz w:val="20"/>
        </w:rPr>
        <w:tab/>
      </w:r>
      <w:r w:rsidRPr="006D7312">
        <w:rPr>
          <w:noProof/>
          <w:sz w:val="20"/>
        </w:rPr>
        <w:fldChar w:fldCharType="begin"/>
      </w:r>
      <w:r w:rsidRPr="006D7312">
        <w:rPr>
          <w:noProof/>
          <w:sz w:val="20"/>
        </w:rPr>
        <w:instrText xml:space="preserve"> PAGEREF _Toc274915943 \h </w:instrText>
      </w:r>
      <w:r w:rsidRPr="006D7312">
        <w:rPr>
          <w:noProof/>
          <w:sz w:val="20"/>
        </w:rPr>
      </w:r>
      <w:r w:rsidRPr="006D7312">
        <w:rPr>
          <w:noProof/>
          <w:sz w:val="20"/>
        </w:rPr>
        <w:fldChar w:fldCharType="separate"/>
      </w:r>
      <w:r w:rsidR="00EA0B4D">
        <w:rPr>
          <w:noProof/>
          <w:sz w:val="20"/>
        </w:rPr>
        <w:t>103</w:t>
      </w:r>
      <w:r w:rsidRPr="006D7312">
        <w:rPr>
          <w:noProof/>
          <w:sz w:val="20"/>
        </w:rPr>
        <w:fldChar w:fldCharType="end"/>
      </w:r>
    </w:p>
    <w:p w14:paraId="50EA0480" w14:textId="77777777" w:rsidR="006D7312" w:rsidRPr="006D7312" w:rsidRDefault="006D7312" w:rsidP="006D7312">
      <w:pPr>
        <w:pStyle w:val="TableofFigures"/>
        <w:tabs>
          <w:tab w:val="right" w:leader="dot" w:pos="8489"/>
        </w:tabs>
        <w:rPr>
          <w:rFonts w:asciiTheme="minorHAnsi" w:eastAsiaTheme="minorEastAsia" w:hAnsiTheme="minorHAnsi" w:cstheme="minorBidi"/>
          <w:noProof/>
          <w:lang w:val="en-US" w:eastAsia="ja-JP"/>
        </w:rPr>
      </w:pPr>
      <w:r w:rsidRPr="006D7312">
        <w:rPr>
          <w:noProof/>
          <w:sz w:val="20"/>
        </w:rPr>
        <w:t>Table 6.8: Key data for the Centre for Professional Development</w:t>
      </w:r>
      <w:r w:rsidRPr="006D7312">
        <w:rPr>
          <w:noProof/>
          <w:sz w:val="20"/>
        </w:rPr>
        <w:tab/>
      </w:r>
      <w:r w:rsidRPr="006D7312">
        <w:rPr>
          <w:noProof/>
          <w:sz w:val="20"/>
        </w:rPr>
        <w:fldChar w:fldCharType="begin"/>
      </w:r>
      <w:r w:rsidRPr="006D7312">
        <w:rPr>
          <w:noProof/>
          <w:sz w:val="20"/>
        </w:rPr>
        <w:instrText xml:space="preserve"> PAGEREF _Toc274915944 \h </w:instrText>
      </w:r>
      <w:r w:rsidRPr="006D7312">
        <w:rPr>
          <w:noProof/>
          <w:sz w:val="20"/>
        </w:rPr>
      </w:r>
      <w:r w:rsidRPr="006D7312">
        <w:rPr>
          <w:noProof/>
          <w:sz w:val="20"/>
        </w:rPr>
        <w:fldChar w:fldCharType="separate"/>
      </w:r>
      <w:r w:rsidR="00EA0B4D">
        <w:rPr>
          <w:noProof/>
          <w:sz w:val="20"/>
        </w:rPr>
        <w:t>115</w:t>
      </w:r>
      <w:r w:rsidRPr="006D7312">
        <w:rPr>
          <w:noProof/>
          <w:sz w:val="20"/>
        </w:rPr>
        <w:fldChar w:fldCharType="end"/>
      </w:r>
    </w:p>
    <w:p w14:paraId="1C961D13" w14:textId="77777777" w:rsidR="006D7312" w:rsidRPr="006D7312" w:rsidRDefault="006D7312" w:rsidP="00943289">
      <w:pPr>
        <w:rPr>
          <w:sz w:val="20"/>
        </w:rPr>
      </w:pPr>
    </w:p>
    <w:p w14:paraId="5C95A2D4" w14:textId="108E70BA" w:rsidR="00B776E0" w:rsidRPr="00264E26" w:rsidRDefault="008847E8" w:rsidP="008847E8">
      <w:pPr>
        <w:pStyle w:val="Heading1"/>
      </w:pPr>
      <w:bookmarkStart w:id="609" w:name="_Toc278447901"/>
      <w:bookmarkStart w:id="610" w:name="_Toc278453374"/>
      <w:r>
        <w:t>1.</w:t>
      </w:r>
      <w:r>
        <w:tab/>
      </w:r>
      <w:r w:rsidR="00B776E0" w:rsidRPr="00264E26">
        <w:t>APTC capacity – What quantitative and qualitative capacity has APTC established for skills development</w:t>
      </w:r>
      <w:r w:rsidR="00B776E0">
        <w:t>?</w:t>
      </w:r>
      <w:bookmarkEnd w:id="609"/>
      <w:bookmarkEnd w:id="610"/>
    </w:p>
    <w:p w14:paraId="73948D9C" w14:textId="2A07ACF3" w:rsidR="00B776E0" w:rsidRDefault="00546F37" w:rsidP="00B776E0">
      <w:pPr>
        <w:rPr>
          <w:rFonts w:cs="Arial"/>
          <w:bCs/>
        </w:rPr>
      </w:pPr>
      <w:r w:rsidRPr="00546F37">
        <w:rPr>
          <w:rFonts w:cs="Arial"/>
          <w:b/>
          <w:bCs/>
          <w:i/>
        </w:rPr>
        <w:t>Overview.</w:t>
      </w:r>
      <w:r w:rsidR="00B776E0">
        <w:rPr>
          <w:rFonts w:cs="Arial"/>
          <w:bCs/>
        </w:rPr>
        <w:t xml:space="preserve"> </w:t>
      </w:r>
      <w:r w:rsidR="00B776E0" w:rsidRPr="00F25FAD">
        <w:rPr>
          <w:rFonts w:cs="Arial"/>
          <w:bCs/>
        </w:rPr>
        <w:t xml:space="preserve">APTC has </w:t>
      </w:r>
      <w:r w:rsidR="00B776E0">
        <w:rPr>
          <w:rFonts w:cs="Arial"/>
          <w:bCs/>
        </w:rPr>
        <w:t xml:space="preserve">established strong capacity for skills development within a contained student cohort of existing workers and new industry entrants. Over </w:t>
      </w:r>
      <w:r w:rsidR="00B62DDD">
        <w:rPr>
          <w:rFonts w:cs="Arial"/>
          <w:bCs/>
        </w:rPr>
        <w:t xml:space="preserve">Stages </w:t>
      </w:r>
      <w:r w:rsidR="00D36A20">
        <w:rPr>
          <w:rFonts w:cs="Arial"/>
          <w:bCs/>
        </w:rPr>
        <w:t>I</w:t>
      </w:r>
      <w:r w:rsidR="00B776E0">
        <w:rPr>
          <w:rFonts w:cs="Arial"/>
          <w:bCs/>
        </w:rPr>
        <w:t xml:space="preserve"> and </w:t>
      </w:r>
      <w:r w:rsidR="00D36A20">
        <w:rPr>
          <w:rFonts w:cs="Arial"/>
          <w:bCs/>
        </w:rPr>
        <w:t>II</w:t>
      </w:r>
      <w:r w:rsidR="00B776E0">
        <w:rPr>
          <w:rFonts w:cs="Arial"/>
          <w:bCs/>
        </w:rPr>
        <w:t xml:space="preserve"> (to date) there have been 6780 graduates with an impressive completion rate of 91</w:t>
      </w:r>
      <w:r w:rsidR="007F7F8E">
        <w:rPr>
          <w:rFonts w:cs="Arial"/>
          <w:bCs/>
        </w:rPr>
        <w:t xml:space="preserve"> per cent. </w:t>
      </w:r>
      <w:r w:rsidR="00B776E0">
        <w:rPr>
          <w:rFonts w:cs="Arial"/>
          <w:bCs/>
        </w:rPr>
        <w:t>Trainers meet the required Australian standards and class sizes are consistent with Australian training package and occupational health and safety</w:t>
      </w:r>
      <w:r w:rsidR="00B776E0" w:rsidRPr="008D464C">
        <w:rPr>
          <w:rFonts w:cs="Arial"/>
          <w:bCs/>
        </w:rPr>
        <w:t xml:space="preserve"> </w:t>
      </w:r>
      <w:r w:rsidR="00B776E0">
        <w:rPr>
          <w:rFonts w:cs="Arial"/>
          <w:bCs/>
        </w:rPr>
        <w:t>requirements. Although somewhat slow to get underway, the process of enabling national tutors to become tutors is now beginning to show results. Quality compliance audits are conducted regularly with trainers and tutors involved.</w:t>
      </w:r>
      <w:r w:rsidR="00B776E0" w:rsidRPr="008D464C">
        <w:rPr>
          <w:rFonts w:cs="Arial"/>
          <w:bCs/>
        </w:rPr>
        <w:t xml:space="preserve"> </w:t>
      </w:r>
      <w:r w:rsidR="00B776E0">
        <w:rPr>
          <w:rFonts w:cs="Arial"/>
          <w:bCs/>
        </w:rPr>
        <w:t xml:space="preserve">There are multiple examples of flexible approaches to delivery and, considering the technological and financial constraints involved with e-learning and blended learning in the Pacific, satisfactory progress has occurred in this regard. Partnerships have facilitated the development of pathways to and from APTC qualifications. </w:t>
      </w:r>
    </w:p>
    <w:p w14:paraId="25098545" w14:textId="17E1DD47" w:rsidR="003D355F" w:rsidRDefault="00CA05CD" w:rsidP="002028A6">
      <w:pPr>
        <w:pStyle w:val="Heading2"/>
      </w:pPr>
      <w:bookmarkStart w:id="611" w:name="_Toc274145120"/>
      <w:bookmarkStart w:id="612" w:name="_Toc274900505"/>
      <w:bookmarkStart w:id="613" w:name="_Toc274909886"/>
      <w:bookmarkStart w:id="614" w:name="_Toc278447902"/>
      <w:bookmarkStart w:id="615" w:name="_Toc278453375"/>
      <w:r>
        <w:t>1.1</w:t>
      </w:r>
      <w:r>
        <w:tab/>
      </w:r>
      <w:r w:rsidR="00B776E0">
        <w:t xml:space="preserve">What quantitative capacity has APTC established for skills </w:t>
      </w:r>
      <w:r>
        <w:br/>
      </w:r>
      <w:r>
        <w:tab/>
      </w:r>
      <w:r w:rsidR="00B776E0">
        <w:t>development?</w:t>
      </w:r>
      <w:r w:rsidR="00B776E0" w:rsidRPr="00264E26">
        <w:t xml:space="preserve"> </w:t>
      </w:r>
      <w:r w:rsidR="00B776E0">
        <w:t>E</w:t>
      </w:r>
      <w:r w:rsidR="00B776E0" w:rsidRPr="00264E26">
        <w:t xml:space="preserve">ffectiveness of recruitment practices; enrolment; </w:t>
      </w:r>
      <w:r>
        <w:br/>
      </w:r>
      <w:r>
        <w:tab/>
      </w:r>
      <w:r w:rsidR="00B776E0" w:rsidRPr="00264E26">
        <w:t>teaching staff; outputs achieved</w:t>
      </w:r>
      <w:r w:rsidR="00B776E0" w:rsidRPr="006D4366">
        <w:rPr>
          <w:rStyle w:val="FootnoteReference"/>
          <w:b w:val="0"/>
        </w:rPr>
        <w:footnoteReference w:id="16"/>
      </w:r>
      <w:bookmarkEnd w:id="611"/>
      <w:bookmarkEnd w:id="612"/>
      <w:bookmarkEnd w:id="613"/>
      <w:bookmarkEnd w:id="614"/>
      <w:bookmarkEnd w:id="615"/>
    </w:p>
    <w:p w14:paraId="794A7B9C" w14:textId="063167A6" w:rsidR="00B776E0" w:rsidRPr="00821855" w:rsidRDefault="00B776E0" w:rsidP="00B776E0">
      <w:pPr>
        <w:rPr>
          <w:rFonts w:eastAsia="Calibri" w:cs="Arial"/>
          <w:b/>
          <w:bCs/>
          <w:color w:val="76923C"/>
        </w:rPr>
      </w:pPr>
      <w:r>
        <w:rPr>
          <w:rFonts w:cs="Arial"/>
        </w:rPr>
        <w:t xml:space="preserve">The APTC </w:t>
      </w:r>
      <w:r w:rsidRPr="00821855">
        <w:rPr>
          <w:rFonts w:eastAsia="Calibri" w:cs="Arial"/>
        </w:rPr>
        <w:t>targets a niche market of existing workers (with industrial experience) and new industry entrants (who meet the basic requirements for entry into the course but have little to no practical experience). The resulting student cohort consists mostly of mature-aged persons (93</w:t>
      </w:r>
      <w:r w:rsidR="00636C74">
        <w:rPr>
          <w:rFonts w:eastAsia="Calibri" w:cs="Arial"/>
        </w:rPr>
        <w:t xml:space="preserve"> per cent</w:t>
      </w:r>
      <w:r w:rsidR="00636C74" w:rsidRPr="00821855">
        <w:rPr>
          <w:rFonts w:eastAsia="Calibri" w:cs="Arial"/>
        </w:rPr>
        <w:t xml:space="preserve"> </w:t>
      </w:r>
      <w:r w:rsidRPr="00821855">
        <w:rPr>
          <w:rFonts w:eastAsia="Calibri" w:cs="Arial"/>
        </w:rPr>
        <w:t xml:space="preserve">are 25 years and over) with clear employment history and goals. This group was specifically targeted to avoid competition with local institutions that cater for school leavers. </w:t>
      </w:r>
      <w:r>
        <w:rPr>
          <w:rFonts w:cs="Arial"/>
        </w:rPr>
        <w:t>Fundamentally, t</w:t>
      </w:r>
      <w:r w:rsidRPr="00467D5D">
        <w:rPr>
          <w:rFonts w:cs="Arial"/>
        </w:rPr>
        <w:t xml:space="preserve">he nature of APTC operations </w:t>
      </w:r>
      <w:r>
        <w:rPr>
          <w:rFonts w:cs="Arial"/>
        </w:rPr>
        <w:t>is</w:t>
      </w:r>
      <w:r w:rsidRPr="00467D5D">
        <w:rPr>
          <w:rFonts w:cs="Arial"/>
        </w:rPr>
        <w:t xml:space="preserve"> such that, from a quantitative perspective, </w:t>
      </w:r>
      <w:r>
        <w:rPr>
          <w:rFonts w:cs="Arial"/>
        </w:rPr>
        <w:t xml:space="preserve">there are limitations in </w:t>
      </w:r>
      <w:r w:rsidRPr="00467D5D">
        <w:rPr>
          <w:rFonts w:cs="Arial"/>
        </w:rPr>
        <w:t>the capacity for skills development</w:t>
      </w:r>
      <w:r>
        <w:rPr>
          <w:rFonts w:cs="Arial"/>
        </w:rPr>
        <w:t>.</w:t>
      </w:r>
      <w:r w:rsidRPr="00467D5D">
        <w:rPr>
          <w:rFonts w:cs="Arial"/>
        </w:rPr>
        <w:t xml:space="preserve"> This is </w:t>
      </w:r>
      <w:r>
        <w:rPr>
          <w:rFonts w:cs="Arial"/>
        </w:rPr>
        <w:t>the result of</w:t>
      </w:r>
      <w:r w:rsidRPr="00467D5D">
        <w:rPr>
          <w:rFonts w:cs="Arial"/>
        </w:rPr>
        <w:t xml:space="preserve"> the nature of the student cohort and the basis on which delivery </w:t>
      </w:r>
      <w:r>
        <w:rPr>
          <w:rFonts w:cs="Arial"/>
        </w:rPr>
        <w:t xml:space="preserve">currently </w:t>
      </w:r>
      <w:r w:rsidRPr="00467D5D">
        <w:rPr>
          <w:rFonts w:cs="Arial"/>
        </w:rPr>
        <w:t>is funded.</w:t>
      </w:r>
      <w:r>
        <w:rPr>
          <w:rFonts w:cs="Arial"/>
        </w:rPr>
        <w:t xml:space="preserve"> </w:t>
      </w:r>
      <w:r w:rsidRPr="00821855">
        <w:rPr>
          <w:rFonts w:eastAsia="Calibri" w:cs="Arial"/>
          <w:bCs/>
        </w:rPr>
        <w:t xml:space="preserve">APTC has established strong capacity for middle-level skills development within the confines of its target group. </w:t>
      </w:r>
    </w:p>
    <w:p w14:paraId="3974FDD1" w14:textId="3CBCB1DF" w:rsidR="00B776E0" w:rsidRPr="00467D5D" w:rsidRDefault="00B776E0" w:rsidP="00B776E0">
      <w:pPr>
        <w:rPr>
          <w:rFonts w:cs="Arial"/>
        </w:rPr>
      </w:pPr>
      <w:r w:rsidRPr="00467D5D">
        <w:rPr>
          <w:rFonts w:cs="Arial"/>
        </w:rPr>
        <w:t>APTC is offering training in five campus countries and to students from a further nine countries. Students are predominantly those who have received scholarships</w:t>
      </w:r>
      <w:r>
        <w:rPr>
          <w:rFonts w:cs="Arial"/>
        </w:rPr>
        <w:t>.</w:t>
      </w:r>
      <w:r w:rsidRPr="00467D5D">
        <w:rPr>
          <w:rFonts w:cs="Arial"/>
        </w:rPr>
        <w:t xml:space="preserve"> Only persons classified as existing workers and new industry entrants are eligible to receive scholarships. The resulting student cohort is contained and specifically designed to avoid competition with local institutions that cater for </w:t>
      </w:r>
      <w:r>
        <w:rPr>
          <w:rFonts w:cs="Arial"/>
        </w:rPr>
        <w:t>s</w:t>
      </w:r>
      <w:r w:rsidRPr="00467D5D">
        <w:rPr>
          <w:rFonts w:cs="Arial"/>
        </w:rPr>
        <w:t>chool leavers.</w:t>
      </w:r>
      <w:r>
        <w:rPr>
          <w:rFonts w:cs="Arial"/>
        </w:rPr>
        <w:t xml:space="preserve"> Within this context, the following analysis leads to the conclusion that while recruitment and enrolment practices appear sound, the number of graduates is low for the investment involved. </w:t>
      </w:r>
    </w:p>
    <w:p w14:paraId="583A155D" w14:textId="5E7C3B46" w:rsidR="00B776E0" w:rsidRPr="002D4233" w:rsidRDefault="00546F37" w:rsidP="00371919">
      <w:pPr>
        <w:rPr>
          <w:rFonts w:cs="Arial"/>
          <w:b/>
          <w:i/>
        </w:rPr>
      </w:pPr>
      <w:r w:rsidRPr="00546F37">
        <w:rPr>
          <w:rFonts w:cs="Arial"/>
          <w:b/>
          <w:i/>
        </w:rPr>
        <w:t>Recruitment practices and enrolment.</w:t>
      </w:r>
      <w:r w:rsidR="00B776E0">
        <w:rPr>
          <w:rFonts w:cs="Arial"/>
        </w:rPr>
        <w:t xml:space="preserve"> To date, APTC has received over 21,000 applications for admission, 12,800 (61</w:t>
      </w:r>
      <w:r w:rsidR="00495B91">
        <w:rPr>
          <w:rFonts w:cs="Arial"/>
        </w:rPr>
        <w:t xml:space="preserve"> per cent) </w:t>
      </w:r>
      <w:r w:rsidR="00B776E0">
        <w:rPr>
          <w:rFonts w:cs="Arial"/>
        </w:rPr>
        <w:t>of whom were eligible after testing for vocational skills and knowledge (VSK) and language, literacy and numeracy (LLN). These tests are applied to ensure applicants can cope with course content and reflect only the level of prior skills and experience of applicants. About 40</w:t>
      </w:r>
      <w:r w:rsidR="00F67169">
        <w:rPr>
          <w:rFonts w:cs="Arial"/>
        </w:rPr>
        <w:t xml:space="preserve"> per cent </w:t>
      </w:r>
      <w:r w:rsidR="00B776E0">
        <w:rPr>
          <w:rFonts w:cs="Arial"/>
        </w:rPr>
        <w:t>of applicants were female, with 58</w:t>
      </w:r>
      <w:r w:rsidR="00F67169">
        <w:rPr>
          <w:rFonts w:cs="Arial"/>
        </w:rPr>
        <w:t xml:space="preserve"> per cent</w:t>
      </w:r>
      <w:r w:rsidR="0068678F">
        <w:rPr>
          <w:rFonts w:cs="Arial"/>
        </w:rPr>
        <w:t xml:space="preserve"> of females</w:t>
      </w:r>
      <w:r w:rsidR="00F67169">
        <w:rPr>
          <w:rFonts w:cs="Arial"/>
        </w:rPr>
        <w:t xml:space="preserve"> </w:t>
      </w:r>
      <w:r w:rsidR="00B776E0">
        <w:rPr>
          <w:rFonts w:cs="Arial"/>
        </w:rPr>
        <w:t>being eligible after testing. About 50</w:t>
      </w:r>
      <w:r w:rsidR="00034544">
        <w:rPr>
          <w:rFonts w:cs="Arial"/>
        </w:rPr>
        <w:t xml:space="preserve"> per cent </w:t>
      </w:r>
      <w:r w:rsidR="00B776E0">
        <w:rPr>
          <w:rFonts w:cs="Arial"/>
        </w:rPr>
        <w:t>(8161) of all those who applied for a scholarship (16,263) were successful. Of the applicants for scholarships</w:t>
      </w:r>
      <w:r w:rsidR="002E46EF">
        <w:rPr>
          <w:rFonts w:cs="Arial"/>
        </w:rPr>
        <w:t>,</w:t>
      </w:r>
      <w:r w:rsidR="00B776E0">
        <w:rPr>
          <w:rFonts w:cs="Arial"/>
        </w:rPr>
        <w:t xml:space="preserve"> 43</w:t>
      </w:r>
      <w:r w:rsidR="002E46EF">
        <w:rPr>
          <w:rFonts w:cs="Arial"/>
        </w:rPr>
        <w:t xml:space="preserve"> per cent </w:t>
      </w:r>
      <w:r w:rsidR="00B776E0">
        <w:rPr>
          <w:rFonts w:cs="Arial"/>
        </w:rPr>
        <w:t>(6965) were female</w:t>
      </w:r>
      <w:r w:rsidR="00DD2AD0">
        <w:rPr>
          <w:rFonts w:cs="Arial"/>
        </w:rPr>
        <w:t xml:space="preserve">; </w:t>
      </w:r>
      <w:r w:rsidR="00B776E0">
        <w:rPr>
          <w:rFonts w:cs="Arial"/>
        </w:rPr>
        <w:t xml:space="preserve">of </w:t>
      </w:r>
      <w:r w:rsidR="00DD2AD0">
        <w:rPr>
          <w:rFonts w:cs="Arial"/>
        </w:rPr>
        <w:t xml:space="preserve">these, </w:t>
      </w:r>
      <w:r w:rsidR="00673445">
        <w:rPr>
          <w:rFonts w:cs="Arial"/>
        </w:rPr>
        <w:br/>
      </w:r>
      <w:r w:rsidR="00B776E0">
        <w:rPr>
          <w:rFonts w:cs="Arial"/>
        </w:rPr>
        <w:t>48</w:t>
      </w:r>
      <w:r w:rsidR="00DD2AD0">
        <w:rPr>
          <w:rFonts w:cs="Arial"/>
        </w:rPr>
        <w:t xml:space="preserve"> per cent </w:t>
      </w:r>
      <w:r w:rsidR="00B776E0">
        <w:rPr>
          <w:rFonts w:cs="Arial"/>
        </w:rPr>
        <w:t xml:space="preserve">were successful. (Annex </w:t>
      </w:r>
      <w:r w:rsidR="00673445">
        <w:rPr>
          <w:rFonts w:cs="Arial"/>
        </w:rPr>
        <w:t xml:space="preserve">4, </w:t>
      </w:r>
      <w:r w:rsidR="00B776E0">
        <w:rPr>
          <w:rFonts w:cs="Arial"/>
        </w:rPr>
        <w:t xml:space="preserve">Table 3.1.1). No significant differences exist between males and females in the impact of VSK and LLN testing, success in scholarship application or scholarship uptake. </w:t>
      </w:r>
    </w:p>
    <w:p w14:paraId="475273D7" w14:textId="046CB419" w:rsidR="00B776E0" w:rsidRDefault="00B776E0" w:rsidP="00B776E0">
      <w:pPr>
        <w:rPr>
          <w:rFonts w:cs="Arial"/>
        </w:rPr>
      </w:pPr>
      <w:r>
        <w:rPr>
          <w:rFonts w:cs="Arial"/>
        </w:rPr>
        <w:t xml:space="preserve">Figure </w:t>
      </w:r>
      <w:r w:rsidR="00371919">
        <w:rPr>
          <w:rFonts w:cs="Arial"/>
        </w:rPr>
        <w:t>6.</w:t>
      </w:r>
      <w:r>
        <w:rPr>
          <w:rFonts w:cs="Arial"/>
        </w:rPr>
        <w:t xml:space="preserve">1 shows the results of the various filtering stages, including variations between </w:t>
      </w:r>
      <w:r w:rsidR="00371919">
        <w:rPr>
          <w:rFonts w:cs="Arial"/>
        </w:rPr>
        <w:t xml:space="preserve">Stages </w:t>
      </w:r>
      <w:r w:rsidR="0068678F">
        <w:rPr>
          <w:rFonts w:cs="Arial"/>
        </w:rPr>
        <w:t>I</w:t>
      </w:r>
      <w:r>
        <w:rPr>
          <w:rFonts w:cs="Arial"/>
        </w:rPr>
        <w:t xml:space="preserve"> and </w:t>
      </w:r>
      <w:r w:rsidR="0068678F">
        <w:rPr>
          <w:rFonts w:cs="Arial"/>
        </w:rPr>
        <w:t>II</w:t>
      </w:r>
      <w:r>
        <w:rPr>
          <w:rFonts w:cs="Arial"/>
        </w:rPr>
        <w:t xml:space="preserve">. </w:t>
      </w:r>
    </w:p>
    <w:p w14:paraId="4132DDE4" w14:textId="77777777" w:rsidR="00B776E0" w:rsidRPr="00DD2B16" w:rsidRDefault="00B776E0" w:rsidP="00943289">
      <w:pPr>
        <w:pStyle w:val="Tableheading"/>
      </w:pPr>
      <w:bookmarkStart w:id="616" w:name="_Toc274146477"/>
      <w:bookmarkStart w:id="617" w:name="_Toc274915936"/>
      <w:bookmarkStart w:id="618" w:name="_Toc278446916"/>
      <w:r w:rsidRPr="00DD2B16">
        <w:t xml:space="preserve">Figure </w:t>
      </w:r>
      <w:r w:rsidR="00371919">
        <w:t>6.</w:t>
      </w:r>
      <w:r w:rsidRPr="00DD2B16">
        <w:t xml:space="preserve">1: Student </w:t>
      </w:r>
      <w:r w:rsidR="00943289">
        <w:t>i</w:t>
      </w:r>
      <w:r w:rsidRPr="00DD2B16">
        <w:t xml:space="preserve">ntake </w:t>
      </w:r>
      <w:r w:rsidR="00943289">
        <w:t>r</w:t>
      </w:r>
      <w:r w:rsidRPr="00DD2B16">
        <w:t xml:space="preserve">atios by </w:t>
      </w:r>
      <w:r w:rsidR="00943289">
        <w:t>s</w:t>
      </w:r>
      <w:r w:rsidRPr="00DD2B16">
        <w:t>tage</w:t>
      </w:r>
      <w:bookmarkEnd w:id="616"/>
      <w:bookmarkEnd w:id="617"/>
      <w:bookmarkEnd w:id="618"/>
    </w:p>
    <w:p w14:paraId="5777450D" w14:textId="77777777" w:rsidR="00B776E0" w:rsidRDefault="00B776E0" w:rsidP="00B776E0">
      <w:pPr>
        <w:rPr>
          <w:rFonts w:cs="Arial"/>
        </w:rPr>
      </w:pPr>
      <w:r w:rsidRPr="00F93584">
        <w:rPr>
          <w:noProof/>
          <w:lang w:val="en-GB" w:eastAsia="en-GB"/>
        </w:rPr>
        <w:t xml:space="preserve"> </w:t>
      </w:r>
      <w:r>
        <w:rPr>
          <w:noProof/>
          <w:lang w:eastAsia="en-AU"/>
        </w:rPr>
        <w:drawing>
          <wp:inline distT="0" distB="0" distL="0" distR="0" wp14:anchorId="65612253" wp14:editId="5A6EB5C0">
            <wp:extent cx="3133725" cy="28194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5A0D9AB" w14:textId="77777777" w:rsidR="00B776E0" w:rsidRPr="00943289" w:rsidRDefault="00B776E0" w:rsidP="00B776E0">
      <w:pPr>
        <w:rPr>
          <w:rFonts w:cs="Arial"/>
          <w:sz w:val="16"/>
          <w:szCs w:val="20"/>
        </w:rPr>
      </w:pPr>
      <w:r w:rsidRPr="00943289">
        <w:rPr>
          <w:rFonts w:cs="Arial"/>
          <w:sz w:val="16"/>
          <w:szCs w:val="20"/>
        </w:rPr>
        <w:t>Source: APTC Statistical Annex Figure 3.1.1</w:t>
      </w:r>
    </w:p>
    <w:p w14:paraId="56CB35B5" w14:textId="0BAA9A42" w:rsidR="00943289" w:rsidRDefault="00790E89" w:rsidP="00B776E0">
      <w:pPr>
        <w:rPr>
          <w:rFonts w:cs="Arial"/>
        </w:rPr>
      </w:pPr>
      <w:r w:rsidRPr="00790E89">
        <w:rPr>
          <w:rFonts w:cs="Arial"/>
        </w:rPr>
        <w:t>A</w:t>
      </w:r>
      <w:r w:rsidR="003A3057">
        <w:rPr>
          <w:rFonts w:cs="Arial"/>
        </w:rPr>
        <w:t>ttachment 2 presents a</w:t>
      </w:r>
      <w:r w:rsidRPr="00790E89">
        <w:rPr>
          <w:rFonts w:cs="Arial"/>
        </w:rPr>
        <w:t xml:space="preserve"> more detai</w:t>
      </w:r>
      <w:r w:rsidR="003A3057">
        <w:rPr>
          <w:rFonts w:cs="Arial"/>
        </w:rPr>
        <w:t>led discussion of scholarships along with some potential future options</w:t>
      </w:r>
      <w:r w:rsidRPr="00790E89">
        <w:rPr>
          <w:rFonts w:cs="Arial"/>
        </w:rPr>
        <w:t>.</w:t>
      </w:r>
    </w:p>
    <w:p w14:paraId="4CD8509F" w14:textId="774E2CA3" w:rsidR="00B776E0" w:rsidRDefault="00790E89" w:rsidP="00B776E0">
      <w:pPr>
        <w:rPr>
          <w:rFonts w:cs="Arial"/>
        </w:rPr>
      </w:pPr>
      <w:r>
        <w:rPr>
          <w:rFonts w:cs="Arial"/>
        </w:rPr>
        <w:t xml:space="preserve">With respect to </w:t>
      </w:r>
      <w:r w:rsidR="00B776E0">
        <w:rPr>
          <w:rFonts w:cs="Arial"/>
        </w:rPr>
        <w:t>enrolments, the following trends are noteworthy:</w:t>
      </w:r>
    </w:p>
    <w:p w14:paraId="2199C4DF" w14:textId="5945D8A8" w:rsidR="00B776E0" w:rsidRPr="000A3D95" w:rsidRDefault="00B27C17" w:rsidP="00260880">
      <w:pPr>
        <w:pStyle w:val="ListParagraph"/>
        <w:numPr>
          <w:ilvl w:val="0"/>
          <w:numId w:val="30"/>
        </w:numPr>
        <w:rPr>
          <w:rFonts w:cs="Arial"/>
        </w:rPr>
      </w:pPr>
      <w:r>
        <w:rPr>
          <w:rFonts w:cs="Arial"/>
        </w:rPr>
        <w:t>i</w:t>
      </w:r>
      <w:r w:rsidRPr="000A3D95">
        <w:rPr>
          <w:rFonts w:cs="Arial"/>
        </w:rPr>
        <w:t xml:space="preserve">n </w:t>
      </w:r>
      <w:r w:rsidR="00B776E0" w:rsidRPr="000A3D95">
        <w:rPr>
          <w:rFonts w:cs="Arial"/>
        </w:rPr>
        <w:t>actual numbers, the most significant enrolments are in the campus countries with Fiji being the largest</w:t>
      </w:r>
      <w:r w:rsidR="00B776E0">
        <w:rPr>
          <w:rFonts w:cs="Arial"/>
        </w:rPr>
        <w:t xml:space="preserve"> (</w:t>
      </w:r>
      <w:r w:rsidR="00B776E0" w:rsidRPr="002B132B">
        <w:rPr>
          <w:rFonts w:cs="Arial"/>
          <w:sz w:val="16"/>
          <w:szCs w:val="16"/>
        </w:rPr>
        <w:t xml:space="preserve"> </w:t>
      </w:r>
      <w:r w:rsidR="0068678F">
        <w:rPr>
          <w:rFonts w:cs="Arial"/>
        </w:rPr>
        <w:t>APTC S</w:t>
      </w:r>
      <w:r w:rsidR="00B776E0" w:rsidRPr="002B132B">
        <w:rPr>
          <w:rFonts w:cs="Arial"/>
        </w:rPr>
        <w:t>tatistical Annex Figure</w:t>
      </w:r>
      <w:r w:rsidR="00B776E0">
        <w:rPr>
          <w:rFonts w:cs="Arial"/>
        </w:rPr>
        <w:t xml:space="preserve"> </w:t>
      </w:r>
      <w:r w:rsidR="00B776E0" w:rsidRPr="002B132B">
        <w:rPr>
          <w:rFonts w:cs="Arial"/>
        </w:rPr>
        <w:t>4.1.1)</w:t>
      </w:r>
    </w:p>
    <w:p w14:paraId="23226213" w14:textId="77777777" w:rsidR="00B776E0" w:rsidRPr="002B132B" w:rsidRDefault="00B27C17" w:rsidP="00260880">
      <w:pPr>
        <w:pStyle w:val="ListParagraph"/>
        <w:numPr>
          <w:ilvl w:val="0"/>
          <w:numId w:val="30"/>
        </w:numPr>
        <w:rPr>
          <w:rFonts w:cs="Arial"/>
        </w:rPr>
      </w:pPr>
      <w:r>
        <w:rPr>
          <w:rFonts w:cs="Arial"/>
        </w:rPr>
        <w:t>s</w:t>
      </w:r>
      <w:r w:rsidRPr="000A3D95">
        <w:rPr>
          <w:rFonts w:cs="Arial"/>
        </w:rPr>
        <w:t xml:space="preserve">mall </w:t>
      </w:r>
      <w:r w:rsidR="00B776E0" w:rsidRPr="000A3D95">
        <w:rPr>
          <w:rFonts w:cs="Arial"/>
        </w:rPr>
        <w:t>numbers in other countries may represent a high percentage in terms of the percentage of population</w:t>
      </w:r>
      <w:r w:rsidR="00B776E0">
        <w:rPr>
          <w:rFonts w:cs="Arial"/>
        </w:rPr>
        <w:t xml:space="preserve"> (</w:t>
      </w:r>
      <w:r w:rsidR="0068678F">
        <w:rPr>
          <w:rFonts w:cs="Arial"/>
        </w:rPr>
        <w:t xml:space="preserve">APTC </w:t>
      </w:r>
      <w:r w:rsidR="00B776E0" w:rsidRPr="002B132B">
        <w:rPr>
          <w:rFonts w:cs="Arial"/>
        </w:rPr>
        <w:t>Statistical Annex Figure 4.1.2)</w:t>
      </w:r>
    </w:p>
    <w:p w14:paraId="79193C2E" w14:textId="77777777" w:rsidR="00B776E0" w:rsidRDefault="00B27C17" w:rsidP="00260880">
      <w:pPr>
        <w:pStyle w:val="ListParagraph"/>
        <w:numPr>
          <w:ilvl w:val="0"/>
          <w:numId w:val="30"/>
        </w:numPr>
        <w:rPr>
          <w:rFonts w:cs="Arial"/>
        </w:rPr>
      </w:pPr>
      <w:r>
        <w:rPr>
          <w:rFonts w:cs="Arial"/>
        </w:rPr>
        <w:t>t</w:t>
      </w:r>
      <w:r w:rsidRPr="000A3D95">
        <w:rPr>
          <w:rFonts w:cs="Arial"/>
        </w:rPr>
        <w:t xml:space="preserve">he </w:t>
      </w:r>
      <w:r w:rsidR="00B776E0" w:rsidRPr="000A3D95">
        <w:rPr>
          <w:rFonts w:cs="Arial"/>
        </w:rPr>
        <w:t>ratio of enrolment to population for PNG is third lowest out of all 14 countries and</w:t>
      </w:r>
      <w:r w:rsidR="00B776E0">
        <w:rPr>
          <w:rFonts w:cs="Arial"/>
        </w:rPr>
        <w:t xml:space="preserve">, at less than </w:t>
      </w:r>
      <w:r w:rsidR="007134AA">
        <w:rPr>
          <w:rFonts w:cs="Arial"/>
        </w:rPr>
        <w:t>one per cent</w:t>
      </w:r>
      <w:r w:rsidR="00B776E0">
        <w:rPr>
          <w:rFonts w:cs="Arial"/>
        </w:rPr>
        <w:t xml:space="preserve">, </w:t>
      </w:r>
      <w:r w:rsidR="00B776E0" w:rsidRPr="000A3D95">
        <w:rPr>
          <w:rFonts w:cs="Arial"/>
        </w:rPr>
        <w:t xml:space="preserve">below the average although it has by far the largest population. </w:t>
      </w:r>
      <w:r w:rsidR="00B776E0" w:rsidRPr="002B132B">
        <w:rPr>
          <w:rFonts w:cs="Arial"/>
        </w:rPr>
        <w:t>(</w:t>
      </w:r>
      <w:r w:rsidR="0068678F">
        <w:rPr>
          <w:rFonts w:cs="Arial"/>
        </w:rPr>
        <w:t xml:space="preserve">APTC </w:t>
      </w:r>
      <w:r w:rsidR="00B776E0" w:rsidRPr="002B132B">
        <w:rPr>
          <w:rFonts w:cs="Arial"/>
        </w:rPr>
        <w:t>Statistical Annex Figure 4.1.2)</w:t>
      </w:r>
    </w:p>
    <w:p w14:paraId="5826A346" w14:textId="7D3B8BCE" w:rsidR="00B776E0" w:rsidRPr="00B53258" w:rsidRDefault="00B776E0" w:rsidP="00B776E0">
      <w:pPr>
        <w:rPr>
          <w:rFonts w:cs="Arial"/>
        </w:rPr>
      </w:pPr>
      <w:r w:rsidRPr="00B53258">
        <w:rPr>
          <w:rFonts w:cs="Arial"/>
        </w:rPr>
        <w:t xml:space="preserve">Enrolments are further analysed in </w:t>
      </w:r>
      <w:r w:rsidR="0068678F" w:rsidRPr="008611BF">
        <w:rPr>
          <w:rFonts w:cs="Arial"/>
        </w:rPr>
        <w:t xml:space="preserve">later sections. </w:t>
      </w:r>
    </w:p>
    <w:p w14:paraId="5D52AA4A" w14:textId="14490682" w:rsidR="00B776E0" w:rsidRPr="000C55C3" w:rsidRDefault="00546F37" w:rsidP="000C55C3">
      <w:pPr>
        <w:rPr>
          <w:rFonts w:cs="Arial"/>
          <w:b/>
          <w:i/>
        </w:rPr>
      </w:pPr>
      <w:r w:rsidRPr="00546F37">
        <w:rPr>
          <w:rFonts w:cs="Arial"/>
          <w:b/>
          <w:i/>
        </w:rPr>
        <w:t xml:space="preserve">Teaching </w:t>
      </w:r>
      <w:r w:rsidR="000C55C3">
        <w:rPr>
          <w:rFonts w:cs="Arial"/>
          <w:b/>
          <w:i/>
        </w:rPr>
        <w:t>s</w:t>
      </w:r>
      <w:r w:rsidRPr="00546F37">
        <w:rPr>
          <w:rFonts w:cs="Arial"/>
          <w:b/>
          <w:i/>
        </w:rPr>
        <w:t>taff.</w:t>
      </w:r>
      <w:r w:rsidR="00B776E0">
        <w:rPr>
          <w:rFonts w:cs="Arial"/>
        </w:rPr>
        <w:t xml:space="preserve"> In </w:t>
      </w:r>
      <w:r w:rsidR="001F5811">
        <w:rPr>
          <w:rFonts w:cs="Arial"/>
        </w:rPr>
        <w:t>Stage I</w:t>
      </w:r>
      <w:r w:rsidR="00B776E0">
        <w:rPr>
          <w:rFonts w:cs="Arial"/>
        </w:rPr>
        <w:t xml:space="preserve"> APTC relied almost entirely on expatriate trainers, with the appointment of national staff as tutors only commencing in 2009. Even so, the number of national tutors was not significant until 2012. </w:t>
      </w:r>
      <w:r w:rsidR="00B776E0" w:rsidRPr="00467D5D">
        <w:rPr>
          <w:rFonts w:cs="Arial"/>
        </w:rPr>
        <w:t xml:space="preserve">In </w:t>
      </w:r>
      <w:r w:rsidR="001F5811">
        <w:rPr>
          <w:rFonts w:cs="Arial"/>
        </w:rPr>
        <w:t>Stage II</w:t>
      </w:r>
      <w:r w:rsidR="00B776E0" w:rsidRPr="00467D5D">
        <w:rPr>
          <w:rFonts w:cs="Arial"/>
        </w:rPr>
        <w:t>, a Nationalisation Strategy</w:t>
      </w:r>
      <w:r w:rsidR="00B776E0">
        <w:rPr>
          <w:rStyle w:val="FootnoteReference"/>
          <w:rFonts w:cs="Arial"/>
        </w:rPr>
        <w:footnoteReference w:id="17"/>
      </w:r>
      <w:r w:rsidR="00B776E0" w:rsidRPr="00467D5D">
        <w:rPr>
          <w:rFonts w:cs="Arial"/>
        </w:rPr>
        <w:t xml:space="preserve"> has been developed which provides a process for national tutors to become fully qualified as APTC trainers in accordance with Australian standards. The </w:t>
      </w:r>
      <w:r w:rsidR="00287FE6">
        <w:rPr>
          <w:rFonts w:cs="Arial"/>
        </w:rPr>
        <w:t>s</w:t>
      </w:r>
      <w:r w:rsidR="00287FE6" w:rsidRPr="00467D5D">
        <w:rPr>
          <w:rFonts w:cs="Arial"/>
        </w:rPr>
        <w:t xml:space="preserve">trategy </w:t>
      </w:r>
      <w:r w:rsidR="00B776E0" w:rsidRPr="00467D5D">
        <w:rPr>
          <w:rFonts w:cs="Arial"/>
        </w:rPr>
        <w:t xml:space="preserve">is aimed at </w:t>
      </w:r>
      <w:r w:rsidR="0068678F" w:rsidRPr="0068678F">
        <w:rPr>
          <w:rFonts w:cs="Arial"/>
        </w:rPr>
        <w:t xml:space="preserve">reduced reliance on expatriate trainers, improved </w:t>
      </w:r>
      <w:r w:rsidR="00B776E0" w:rsidRPr="00467D5D">
        <w:rPr>
          <w:rFonts w:cs="Arial"/>
        </w:rPr>
        <w:t>cost-effectiveness, maintenance of quality and sustainability of the program over time.</w:t>
      </w:r>
      <w:r w:rsidR="00B776E0">
        <w:rPr>
          <w:rFonts w:cs="Arial"/>
        </w:rPr>
        <w:t xml:space="preserve"> </w:t>
      </w:r>
      <w:r w:rsidR="00B776E0" w:rsidRPr="00467D5D">
        <w:rPr>
          <w:rFonts w:cs="Arial"/>
        </w:rPr>
        <w:t>The national tutor development program is a four</w:t>
      </w:r>
      <w:r w:rsidR="00577878">
        <w:rPr>
          <w:rFonts w:cs="Arial"/>
        </w:rPr>
        <w:t>-</w:t>
      </w:r>
      <w:r w:rsidR="00B776E0" w:rsidRPr="00467D5D">
        <w:rPr>
          <w:rFonts w:cs="Arial"/>
        </w:rPr>
        <w:t xml:space="preserve">stage process which takes some time to achieve, just as it would take time to become a fully qualified trainer in Australia. The </w:t>
      </w:r>
      <w:r w:rsidR="00577878">
        <w:rPr>
          <w:rFonts w:cs="Arial"/>
        </w:rPr>
        <w:t>s</w:t>
      </w:r>
      <w:r w:rsidR="00577878" w:rsidRPr="00467D5D">
        <w:rPr>
          <w:rFonts w:cs="Arial"/>
        </w:rPr>
        <w:t xml:space="preserve">trategy </w:t>
      </w:r>
      <w:r w:rsidR="00B776E0" w:rsidRPr="00467D5D">
        <w:rPr>
          <w:rFonts w:cs="Arial"/>
        </w:rPr>
        <w:t xml:space="preserve">proposed one national trainer for every six expatriate trainers by the end of 2014.  </w:t>
      </w:r>
    </w:p>
    <w:p w14:paraId="475BCE5F" w14:textId="6C762B16" w:rsidR="00B776E0" w:rsidRPr="00467D5D" w:rsidRDefault="00B776E0" w:rsidP="00B776E0">
      <w:pPr>
        <w:rPr>
          <w:rFonts w:cs="Arial"/>
        </w:rPr>
      </w:pPr>
      <w:r w:rsidRPr="00467D5D">
        <w:rPr>
          <w:rFonts w:cs="Arial"/>
          <w:bCs/>
          <w:iCs/>
          <w:lang w:eastAsia="en-AU"/>
        </w:rPr>
        <w:t xml:space="preserve">Implementation of the </w:t>
      </w:r>
      <w:r w:rsidR="00577878">
        <w:rPr>
          <w:rFonts w:cs="Arial"/>
          <w:bCs/>
          <w:iCs/>
          <w:lang w:eastAsia="en-AU"/>
        </w:rPr>
        <w:t>s</w:t>
      </w:r>
      <w:r w:rsidR="00577878" w:rsidRPr="00467D5D">
        <w:rPr>
          <w:rFonts w:cs="Arial"/>
          <w:bCs/>
          <w:iCs/>
          <w:lang w:eastAsia="en-AU"/>
        </w:rPr>
        <w:t xml:space="preserve">trategy </w:t>
      </w:r>
      <w:r w:rsidRPr="00467D5D">
        <w:rPr>
          <w:rFonts w:cs="Arial"/>
          <w:bCs/>
          <w:iCs/>
          <w:lang w:eastAsia="en-AU"/>
        </w:rPr>
        <w:t>and</w:t>
      </w:r>
      <w:r w:rsidR="00937E4A">
        <w:rPr>
          <w:rFonts w:cs="Arial"/>
          <w:bCs/>
          <w:iCs/>
          <w:lang w:eastAsia="en-AU"/>
        </w:rPr>
        <w:t>,</w:t>
      </w:r>
      <w:r w:rsidRPr="00467D5D">
        <w:rPr>
          <w:rFonts w:cs="Arial"/>
          <w:bCs/>
          <w:iCs/>
          <w:lang w:eastAsia="en-AU"/>
        </w:rPr>
        <w:t xml:space="preserve"> therefore</w:t>
      </w:r>
      <w:r w:rsidR="00937E4A">
        <w:rPr>
          <w:rFonts w:cs="Arial"/>
          <w:bCs/>
          <w:iCs/>
          <w:lang w:eastAsia="en-AU"/>
        </w:rPr>
        <w:t>,</w:t>
      </w:r>
      <w:r w:rsidRPr="00467D5D">
        <w:rPr>
          <w:rFonts w:cs="Arial"/>
          <w:bCs/>
          <w:iCs/>
          <w:lang w:eastAsia="en-AU"/>
        </w:rPr>
        <w:t xml:space="preserve"> the conversion of tutors to trainers was initially </w:t>
      </w:r>
      <w:r w:rsidR="0068678F">
        <w:rPr>
          <w:rFonts w:cs="Arial"/>
          <w:bCs/>
          <w:iCs/>
          <w:lang w:eastAsia="en-AU"/>
        </w:rPr>
        <w:t>delayed</w:t>
      </w:r>
      <w:r w:rsidRPr="00467D5D">
        <w:rPr>
          <w:rFonts w:cs="Arial"/>
          <w:bCs/>
          <w:iCs/>
          <w:lang w:eastAsia="en-AU"/>
        </w:rPr>
        <w:t>. As at</w:t>
      </w:r>
      <w:r w:rsidRPr="00467D5D">
        <w:rPr>
          <w:rFonts w:cs="Arial"/>
        </w:rPr>
        <w:t xml:space="preserve"> May 2014, there were 41 expatriate trainers and two national trainers</w:t>
      </w:r>
      <w:r>
        <w:rPr>
          <w:rStyle w:val="FootnoteReference"/>
          <w:rFonts w:cs="Arial"/>
        </w:rPr>
        <w:footnoteReference w:id="18"/>
      </w:r>
      <w:r w:rsidRPr="00467D5D">
        <w:rPr>
          <w:rFonts w:cs="Arial"/>
        </w:rPr>
        <w:t xml:space="preserve">. However, the Briefing Note on the National Tutor Training Program dated </w:t>
      </w:r>
      <w:r w:rsidR="00E147FD">
        <w:rPr>
          <w:rFonts w:cs="Arial"/>
        </w:rPr>
        <w:t>3 </w:t>
      </w:r>
      <w:r w:rsidRPr="00467D5D">
        <w:rPr>
          <w:rFonts w:cs="Arial"/>
        </w:rPr>
        <w:t>July 2014 states that, by the end of June</w:t>
      </w:r>
      <w:r w:rsidR="009A344D">
        <w:rPr>
          <w:rFonts w:cs="Arial"/>
        </w:rPr>
        <w:t xml:space="preserve"> 2014</w:t>
      </w:r>
      <w:r w:rsidRPr="00467D5D">
        <w:rPr>
          <w:rFonts w:cs="Arial"/>
        </w:rPr>
        <w:t>, 10 national trainers had been appointed</w:t>
      </w:r>
      <w:r w:rsidR="009A344D">
        <w:rPr>
          <w:rFonts w:cs="Arial"/>
        </w:rPr>
        <w:t>.</w:t>
      </w:r>
      <w:r>
        <w:rPr>
          <w:rFonts w:cs="Arial"/>
        </w:rPr>
        <w:t xml:space="preserve"> </w:t>
      </w:r>
      <w:r w:rsidR="009A344D">
        <w:rPr>
          <w:rFonts w:cs="Arial"/>
        </w:rPr>
        <w:t xml:space="preserve">More </w:t>
      </w:r>
      <w:r>
        <w:rPr>
          <w:rFonts w:cs="Arial"/>
        </w:rPr>
        <w:t>recently it has been reported that 12 national tutors will be converted to trainers by the end of 2014 – about one quarter of the total. Overall it can be asserted that</w:t>
      </w:r>
      <w:r w:rsidR="00F6517D">
        <w:rPr>
          <w:rFonts w:cs="Arial"/>
        </w:rPr>
        <w:t>,</w:t>
      </w:r>
      <w:r>
        <w:rPr>
          <w:rFonts w:cs="Arial"/>
        </w:rPr>
        <w:t xml:space="preserve"> even taking into account the time for a national tutor to qualify as a trainer, the process has been slow.</w:t>
      </w:r>
    </w:p>
    <w:p w14:paraId="2808E529" w14:textId="77777777" w:rsidR="00B776E0" w:rsidRDefault="00546F37" w:rsidP="00B776E0">
      <w:pPr>
        <w:rPr>
          <w:rFonts w:cs="Arial"/>
        </w:rPr>
      </w:pPr>
      <w:r w:rsidRPr="00546F37">
        <w:rPr>
          <w:rFonts w:cs="Arial"/>
          <w:b/>
          <w:i/>
        </w:rPr>
        <w:t>Graduates.</w:t>
      </w:r>
      <w:r w:rsidR="00B776E0">
        <w:rPr>
          <w:rFonts w:cs="Arial"/>
        </w:rPr>
        <w:t xml:space="preserve"> The</w:t>
      </w:r>
      <w:r w:rsidR="00B776E0" w:rsidRPr="00467D5D">
        <w:rPr>
          <w:rFonts w:cs="Arial"/>
        </w:rPr>
        <w:t xml:space="preserve"> number of graduates</w:t>
      </w:r>
      <w:r w:rsidR="00B776E0">
        <w:rPr>
          <w:rFonts w:cs="Arial"/>
        </w:rPr>
        <w:t xml:space="preserve"> to mid-2014 </w:t>
      </w:r>
      <w:r w:rsidR="00B776E0" w:rsidRPr="00467D5D">
        <w:rPr>
          <w:rFonts w:cs="Arial"/>
        </w:rPr>
        <w:t xml:space="preserve">is </w:t>
      </w:r>
      <w:r w:rsidR="00B776E0">
        <w:rPr>
          <w:rFonts w:cs="Arial"/>
        </w:rPr>
        <w:t xml:space="preserve">outlined by </w:t>
      </w:r>
      <w:r w:rsidR="00FC3B06">
        <w:rPr>
          <w:rFonts w:cs="Arial"/>
        </w:rPr>
        <w:t xml:space="preserve">school </w:t>
      </w:r>
      <w:r w:rsidR="00B776E0">
        <w:rPr>
          <w:rFonts w:cs="Arial"/>
        </w:rPr>
        <w:t xml:space="preserve">in Table </w:t>
      </w:r>
      <w:r w:rsidR="00FC3B06">
        <w:rPr>
          <w:rFonts w:cs="Arial"/>
        </w:rPr>
        <w:t>6.</w:t>
      </w:r>
      <w:r w:rsidR="00B776E0">
        <w:rPr>
          <w:rFonts w:cs="Arial"/>
        </w:rPr>
        <w:t>1.</w:t>
      </w:r>
    </w:p>
    <w:p w14:paraId="784C16C8" w14:textId="77777777" w:rsidR="00B776E0" w:rsidRPr="00DD2B16" w:rsidRDefault="00B776E0" w:rsidP="00943289">
      <w:pPr>
        <w:pStyle w:val="Tableheading"/>
      </w:pPr>
      <w:bookmarkStart w:id="619" w:name="_Toc274146478"/>
      <w:bookmarkStart w:id="620" w:name="_Toc274915937"/>
      <w:bookmarkStart w:id="621" w:name="_Toc278446917"/>
      <w:r w:rsidRPr="00DD2B16">
        <w:t xml:space="preserve">Table </w:t>
      </w:r>
      <w:r w:rsidR="00FC3B06">
        <w:t>6.</w:t>
      </w:r>
      <w:r w:rsidRPr="00DD2B16">
        <w:t>1: Total APTC graduates to mid-2014</w:t>
      </w:r>
      <w:bookmarkEnd w:id="619"/>
      <w:bookmarkEnd w:id="620"/>
      <w:bookmarkEnd w:id="621"/>
      <w:r w:rsidRPr="00DD2B16">
        <w:t xml:space="preserve"> </w:t>
      </w:r>
    </w:p>
    <w:tbl>
      <w:tblPr>
        <w:tblStyle w:val="TableGrid"/>
        <w:tblW w:w="76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134"/>
        <w:gridCol w:w="1134"/>
        <w:gridCol w:w="1134"/>
      </w:tblGrid>
      <w:tr w:rsidR="00B776E0" w:rsidRPr="00BA3B75" w14:paraId="33017E69" w14:textId="77777777" w:rsidTr="00684B07">
        <w:tc>
          <w:tcPr>
            <w:tcW w:w="4253" w:type="dxa"/>
            <w:shd w:val="clear" w:color="auto" w:fill="C5E0B3" w:themeFill="accent6" w:themeFillTint="66"/>
            <w:vAlign w:val="center"/>
          </w:tcPr>
          <w:p w14:paraId="1A12DC09" w14:textId="77777777" w:rsidR="00B776E0" w:rsidRPr="00BA3B75" w:rsidRDefault="00546F37" w:rsidP="00943289">
            <w:pPr>
              <w:spacing w:before="40" w:after="40"/>
              <w:rPr>
                <w:rFonts w:cs="Arial"/>
                <w:b/>
                <w:sz w:val="18"/>
              </w:rPr>
            </w:pPr>
            <w:r w:rsidRPr="00546F37">
              <w:rPr>
                <w:rFonts w:cs="Arial"/>
                <w:b/>
                <w:sz w:val="18"/>
              </w:rPr>
              <w:t>School</w:t>
            </w:r>
          </w:p>
        </w:tc>
        <w:tc>
          <w:tcPr>
            <w:tcW w:w="1134" w:type="dxa"/>
            <w:shd w:val="clear" w:color="auto" w:fill="C5E0B3" w:themeFill="accent6" w:themeFillTint="66"/>
          </w:tcPr>
          <w:p w14:paraId="609015F7" w14:textId="77777777" w:rsidR="00B776E0" w:rsidRPr="00BA3B75" w:rsidRDefault="00546F37" w:rsidP="00943289">
            <w:pPr>
              <w:spacing w:before="40" w:after="40"/>
              <w:jc w:val="center"/>
              <w:rPr>
                <w:rFonts w:cs="Arial"/>
                <w:b/>
                <w:sz w:val="18"/>
              </w:rPr>
            </w:pPr>
            <w:r w:rsidRPr="00546F37">
              <w:rPr>
                <w:rFonts w:cs="Arial"/>
                <w:b/>
                <w:sz w:val="18"/>
              </w:rPr>
              <w:t xml:space="preserve">Total </w:t>
            </w:r>
            <w:r w:rsidR="001F5811">
              <w:rPr>
                <w:rFonts w:cs="Arial"/>
                <w:b/>
                <w:sz w:val="18"/>
              </w:rPr>
              <w:t>Stage I</w:t>
            </w:r>
          </w:p>
        </w:tc>
        <w:tc>
          <w:tcPr>
            <w:tcW w:w="1134" w:type="dxa"/>
            <w:shd w:val="clear" w:color="auto" w:fill="C5E0B3" w:themeFill="accent6" w:themeFillTint="66"/>
          </w:tcPr>
          <w:p w14:paraId="12A796A0" w14:textId="77777777" w:rsidR="00B776E0" w:rsidRPr="00BA3B75" w:rsidRDefault="00546F37" w:rsidP="00943289">
            <w:pPr>
              <w:spacing w:before="40" w:after="40"/>
              <w:jc w:val="center"/>
              <w:rPr>
                <w:rFonts w:cs="Arial"/>
                <w:b/>
                <w:sz w:val="18"/>
              </w:rPr>
            </w:pPr>
            <w:r w:rsidRPr="00546F37">
              <w:rPr>
                <w:rFonts w:cs="Arial"/>
                <w:b/>
                <w:sz w:val="18"/>
              </w:rPr>
              <w:t xml:space="preserve">Total </w:t>
            </w:r>
            <w:r w:rsidR="001F5811">
              <w:rPr>
                <w:rFonts w:cs="Arial"/>
                <w:b/>
                <w:sz w:val="18"/>
              </w:rPr>
              <w:t>Stage II</w:t>
            </w:r>
            <w:r w:rsidRPr="00546F37">
              <w:rPr>
                <w:rFonts w:cs="Arial"/>
                <w:b/>
                <w:sz w:val="18"/>
              </w:rPr>
              <w:t xml:space="preserve"> to date</w:t>
            </w:r>
          </w:p>
        </w:tc>
        <w:tc>
          <w:tcPr>
            <w:tcW w:w="1134" w:type="dxa"/>
            <w:shd w:val="clear" w:color="auto" w:fill="C5E0B3" w:themeFill="accent6" w:themeFillTint="66"/>
          </w:tcPr>
          <w:p w14:paraId="424A2F33" w14:textId="77777777" w:rsidR="00B776E0" w:rsidRPr="00BA3B75" w:rsidRDefault="00546F37" w:rsidP="00943289">
            <w:pPr>
              <w:spacing w:before="40" w:after="40"/>
              <w:jc w:val="center"/>
              <w:rPr>
                <w:rFonts w:cs="Arial"/>
                <w:b/>
                <w:sz w:val="18"/>
              </w:rPr>
            </w:pPr>
            <w:r w:rsidRPr="00546F37">
              <w:rPr>
                <w:rFonts w:cs="Arial"/>
                <w:b/>
                <w:sz w:val="18"/>
              </w:rPr>
              <w:t>Total to date</w:t>
            </w:r>
          </w:p>
        </w:tc>
      </w:tr>
      <w:tr w:rsidR="00B776E0" w:rsidRPr="00943289" w14:paraId="5B6471B2" w14:textId="77777777" w:rsidTr="00684B07">
        <w:tc>
          <w:tcPr>
            <w:tcW w:w="4253" w:type="dxa"/>
          </w:tcPr>
          <w:p w14:paraId="5B5B558A" w14:textId="77777777" w:rsidR="00B776E0" w:rsidRPr="00943289" w:rsidRDefault="00B776E0" w:rsidP="00BA3B75">
            <w:pPr>
              <w:spacing w:before="40" w:after="40"/>
              <w:rPr>
                <w:rFonts w:cs="Arial"/>
                <w:sz w:val="18"/>
              </w:rPr>
            </w:pPr>
            <w:r w:rsidRPr="00943289">
              <w:rPr>
                <w:rFonts w:cs="Arial"/>
                <w:sz w:val="18"/>
              </w:rPr>
              <w:t xml:space="preserve">School of Hospitality </w:t>
            </w:r>
            <w:r w:rsidR="00BA3B75">
              <w:rPr>
                <w:rFonts w:cs="Arial"/>
                <w:sz w:val="18"/>
              </w:rPr>
              <w:t>and</w:t>
            </w:r>
            <w:r w:rsidR="00BA3B75" w:rsidRPr="00943289">
              <w:rPr>
                <w:rFonts w:cs="Arial"/>
                <w:sz w:val="18"/>
              </w:rPr>
              <w:t xml:space="preserve"> </w:t>
            </w:r>
            <w:r w:rsidRPr="00943289">
              <w:rPr>
                <w:rFonts w:cs="Arial"/>
                <w:sz w:val="18"/>
              </w:rPr>
              <w:t xml:space="preserve">Community Services (SHCS) </w:t>
            </w:r>
          </w:p>
        </w:tc>
        <w:tc>
          <w:tcPr>
            <w:tcW w:w="1134" w:type="dxa"/>
          </w:tcPr>
          <w:p w14:paraId="59ED6F57" w14:textId="77777777" w:rsidR="00B776E0" w:rsidRPr="00943289" w:rsidRDefault="00B776E0" w:rsidP="00943289">
            <w:pPr>
              <w:spacing w:before="40" w:after="40"/>
              <w:jc w:val="center"/>
              <w:rPr>
                <w:rFonts w:cs="Arial"/>
                <w:sz w:val="18"/>
              </w:rPr>
            </w:pPr>
            <w:r w:rsidRPr="00943289">
              <w:rPr>
                <w:rFonts w:cs="Arial"/>
                <w:sz w:val="18"/>
              </w:rPr>
              <w:t>2011</w:t>
            </w:r>
          </w:p>
        </w:tc>
        <w:tc>
          <w:tcPr>
            <w:tcW w:w="1134" w:type="dxa"/>
          </w:tcPr>
          <w:p w14:paraId="04D53F24" w14:textId="77777777" w:rsidR="00B776E0" w:rsidRPr="00943289" w:rsidRDefault="00B776E0" w:rsidP="00943289">
            <w:pPr>
              <w:spacing w:before="40" w:after="40"/>
              <w:jc w:val="center"/>
              <w:rPr>
                <w:rFonts w:cs="Arial"/>
                <w:sz w:val="18"/>
              </w:rPr>
            </w:pPr>
            <w:r w:rsidRPr="00943289">
              <w:rPr>
                <w:rFonts w:cs="Arial"/>
                <w:sz w:val="18"/>
              </w:rPr>
              <w:t>2012</w:t>
            </w:r>
          </w:p>
        </w:tc>
        <w:tc>
          <w:tcPr>
            <w:tcW w:w="1134" w:type="dxa"/>
          </w:tcPr>
          <w:p w14:paraId="03E3F617" w14:textId="77777777" w:rsidR="00B776E0" w:rsidRPr="00943289" w:rsidRDefault="00B776E0" w:rsidP="00943289">
            <w:pPr>
              <w:spacing w:before="40" w:after="40"/>
              <w:jc w:val="center"/>
              <w:rPr>
                <w:rFonts w:cs="Arial"/>
                <w:sz w:val="18"/>
              </w:rPr>
            </w:pPr>
            <w:r w:rsidRPr="00943289">
              <w:rPr>
                <w:rFonts w:cs="Arial"/>
                <w:sz w:val="18"/>
              </w:rPr>
              <w:t>4023</w:t>
            </w:r>
          </w:p>
        </w:tc>
      </w:tr>
      <w:tr w:rsidR="00B776E0" w:rsidRPr="00943289" w14:paraId="09552DD7" w14:textId="77777777" w:rsidTr="00684B07">
        <w:tc>
          <w:tcPr>
            <w:tcW w:w="4253" w:type="dxa"/>
          </w:tcPr>
          <w:p w14:paraId="376AB359" w14:textId="77777777" w:rsidR="00B776E0" w:rsidRPr="00943289" w:rsidRDefault="00B776E0" w:rsidP="00BA3B75">
            <w:pPr>
              <w:spacing w:before="40" w:after="40"/>
              <w:rPr>
                <w:rFonts w:cs="Arial"/>
                <w:sz w:val="18"/>
              </w:rPr>
            </w:pPr>
            <w:r w:rsidRPr="00943289">
              <w:rPr>
                <w:rFonts w:cs="Arial"/>
                <w:sz w:val="18"/>
              </w:rPr>
              <w:t xml:space="preserve">School of Trades </w:t>
            </w:r>
            <w:r w:rsidR="00BA3B75">
              <w:rPr>
                <w:rFonts w:cs="Arial"/>
                <w:sz w:val="18"/>
              </w:rPr>
              <w:t>and</w:t>
            </w:r>
            <w:r w:rsidR="00BA3B75" w:rsidRPr="00943289">
              <w:rPr>
                <w:rFonts w:cs="Arial"/>
                <w:sz w:val="18"/>
              </w:rPr>
              <w:t xml:space="preserve"> </w:t>
            </w:r>
            <w:r w:rsidRPr="00943289">
              <w:rPr>
                <w:rFonts w:cs="Arial"/>
                <w:sz w:val="18"/>
              </w:rPr>
              <w:t>Technology (STT)</w:t>
            </w:r>
          </w:p>
        </w:tc>
        <w:tc>
          <w:tcPr>
            <w:tcW w:w="1134" w:type="dxa"/>
          </w:tcPr>
          <w:p w14:paraId="136F3693" w14:textId="77777777" w:rsidR="00B776E0" w:rsidRPr="00943289" w:rsidRDefault="00B776E0" w:rsidP="00943289">
            <w:pPr>
              <w:spacing w:before="40" w:after="40"/>
              <w:jc w:val="center"/>
              <w:rPr>
                <w:rFonts w:cs="Arial"/>
                <w:sz w:val="18"/>
              </w:rPr>
            </w:pPr>
            <w:r w:rsidRPr="00943289">
              <w:rPr>
                <w:rFonts w:cs="Arial"/>
                <w:sz w:val="18"/>
              </w:rPr>
              <w:t>1520</w:t>
            </w:r>
          </w:p>
        </w:tc>
        <w:tc>
          <w:tcPr>
            <w:tcW w:w="1134" w:type="dxa"/>
          </w:tcPr>
          <w:p w14:paraId="2C8D65B1" w14:textId="77777777" w:rsidR="00B776E0" w:rsidRPr="00943289" w:rsidRDefault="00B776E0" w:rsidP="00943289">
            <w:pPr>
              <w:spacing w:before="40" w:after="40"/>
              <w:jc w:val="center"/>
              <w:rPr>
                <w:rFonts w:cs="Arial"/>
                <w:sz w:val="18"/>
              </w:rPr>
            </w:pPr>
            <w:r w:rsidRPr="00943289">
              <w:rPr>
                <w:rFonts w:cs="Arial"/>
                <w:sz w:val="18"/>
              </w:rPr>
              <w:t>1237</w:t>
            </w:r>
          </w:p>
        </w:tc>
        <w:tc>
          <w:tcPr>
            <w:tcW w:w="1134" w:type="dxa"/>
          </w:tcPr>
          <w:p w14:paraId="47830B4C" w14:textId="77777777" w:rsidR="00B776E0" w:rsidRPr="00943289" w:rsidRDefault="00B776E0" w:rsidP="00943289">
            <w:pPr>
              <w:spacing w:before="40" w:after="40"/>
              <w:jc w:val="center"/>
              <w:rPr>
                <w:rFonts w:cs="Arial"/>
                <w:sz w:val="18"/>
              </w:rPr>
            </w:pPr>
            <w:r w:rsidRPr="00943289">
              <w:rPr>
                <w:rFonts w:cs="Arial"/>
                <w:sz w:val="18"/>
              </w:rPr>
              <w:t>2757</w:t>
            </w:r>
          </w:p>
        </w:tc>
      </w:tr>
      <w:tr w:rsidR="00684B07" w:rsidRPr="00BA3B75" w14:paraId="3CF14896" w14:textId="77777777" w:rsidTr="00684B07">
        <w:tc>
          <w:tcPr>
            <w:tcW w:w="4253" w:type="dxa"/>
            <w:shd w:val="clear" w:color="auto" w:fill="E2EFD9" w:themeFill="accent6" w:themeFillTint="33"/>
          </w:tcPr>
          <w:p w14:paraId="23CC52AB" w14:textId="77777777" w:rsidR="00B776E0" w:rsidRPr="00BA3B75" w:rsidRDefault="00546F37" w:rsidP="00943289">
            <w:pPr>
              <w:spacing w:before="40" w:after="40"/>
              <w:rPr>
                <w:rFonts w:cs="Arial"/>
                <w:b/>
                <w:sz w:val="18"/>
              </w:rPr>
            </w:pPr>
            <w:r w:rsidRPr="00546F37">
              <w:rPr>
                <w:rFonts w:cs="Arial"/>
                <w:b/>
                <w:sz w:val="18"/>
              </w:rPr>
              <w:t>TOTAL</w:t>
            </w:r>
          </w:p>
        </w:tc>
        <w:tc>
          <w:tcPr>
            <w:tcW w:w="1134" w:type="dxa"/>
            <w:shd w:val="clear" w:color="auto" w:fill="E2EFD9" w:themeFill="accent6" w:themeFillTint="33"/>
          </w:tcPr>
          <w:p w14:paraId="708C417C" w14:textId="77777777" w:rsidR="00B776E0" w:rsidRPr="00BA3B75" w:rsidRDefault="00546F37" w:rsidP="00943289">
            <w:pPr>
              <w:spacing w:before="40" w:after="40"/>
              <w:jc w:val="center"/>
              <w:rPr>
                <w:rFonts w:cs="Arial"/>
                <w:b/>
                <w:sz w:val="18"/>
              </w:rPr>
            </w:pPr>
            <w:r w:rsidRPr="00546F37">
              <w:rPr>
                <w:rFonts w:cs="Arial"/>
                <w:b/>
                <w:sz w:val="18"/>
              </w:rPr>
              <w:t>3531</w:t>
            </w:r>
          </w:p>
        </w:tc>
        <w:tc>
          <w:tcPr>
            <w:tcW w:w="1134" w:type="dxa"/>
            <w:shd w:val="clear" w:color="auto" w:fill="E2EFD9" w:themeFill="accent6" w:themeFillTint="33"/>
          </w:tcPr>
          <w:p w14:paraId="4FB92A4E" w14:textId="77777777" w:rsidR="00B776E0" w:rsidRPr="00BA3B75" w:rsidRDefault="00546F37" w:rsidP="00943289">
            <w:pPr>
              <w:spacing w:before="40" w:after="40"/>
              <w:jc w:val="center"/>
              <w:rPr>
                <w:rFonts w:cs="Arial"/>
                <w:b/>
                <w:sz w:val="18"/>
              </w:rPr>
            </w:pPr>
            <w:r w:rsidRPr="00546F37">
              <w:rPr>
                <w:rFonts w:cs="Arial"/>
                <w:b/>
                <w:sz w:val="18"/>
              </w:rPr>
              <w:t>3249</w:t>
            </w:r>
          </w:p>
        </w:tc>
        <w:tc>
          <w:tcPr>
            <w:tcW w:w="1134" w:type="dxa"/>
            <w:shd w:val="clear" w:color="auto" w:fill="E2EFD9" w:themeFill="accent6" w:themeFillTint="33"/>
          </w:tcPr>
          <w:p w14:paraId="0D98E0B5" w14:textId="77777777" w:rsidR="00B776E0" w:rsidRPr="00BA3B75" w:rsidRDefault="00546F37" w:rsidP="00943289">
            <w:pPr>
              <w:spacing w:before="40" w:after="40"/>
              <w:jc w:val="center"/>
              <w:rPr>
                <w:rFonts w:cs="Arial"/>
                <w:b/>
                <w:sz w:val="18"/>
              </w:rPr>
            </w:pPr>
            <w:r w:rsidRPr="00546F37">
              <w:rPr>
                <w:rFonts w:cs="Arial"/>
                <w:b/>
                <w:sz w:val="18"/>
              </w:rPr>
              <w:t>6780</w:t>
            </w:r>
          </w:p>
        </w:tc>
      </w:tr>
    </w:tbl>
    <w:p w14:paraId="0F7A6B40" w14:textId="479BEC9A" w:rsidR="00B776E0" w:rsidRPr="00943289" w:rsidRDefault="005135BD" w:rsidP="00B776E0">
      <w:pPr>
        <w:rPr>
          <w:rFonts w:cs="Arial"/>
          <w:sz w:val="16"/>
          <w:szCs w:val="20"/>
        </w:rPr>
      </w:pPr>
      <w:r>
        <w:rPr>
          <w:rFonts w:cs="Arial"/>
          <w:sz w:val="16"/>
          <w:szCs w:val="20"/>
        </w:rPr>
        <w:br/>
      </w:r>
      <w:r w:rsidR="00B776E0" w:rsidRPr="00943289">
        <w:rPr>
          <w:rFonts w:cs="Arial"/>
          <w:sz w:val="16"/>
          <w:szCs w:val="20"/>
        </w:rPr>
        <w:t xml:space="preserve">Source: </w:t>
      </w:r>
      <w:r w:rsidR="0068678F">
        <w:rPr>
          <w:rFonts w:cs="Arial"/>
          <w:sz w:val="16"/>
          <w:szCs w:val="20"/>
        </w:rPr>
        <w:t xml:space="preserve">APTC </w:t>
      </w:r>
      <w:r w:rsidR="00B776E0" w:rsidRPr="00943289">
        <w:rPr>
          <w:rFonts w:cs="Arial"/>
          <w:sz w:val="16"/>
          <w:szCs w:val="20"/>
        </w:rPr>
        <w:t xml:space="preserve">Statistical Annex Figure 5.1.1 Note: number of graduates </w:t>
      </w:r>
      <w:r w:rsidR="00B776E0" w:rsidRPr="00943289">
        <w:rPr>
          <w:rFonts w:cs="Arial"/>
          <w:sz w:val="16"/>
          <w:szCs w:val="20"/>
          <w:shd w:val="clear" w:color="auto" w:fill="FFFFFF"/>
        </w:rPr>
        <w:t xml:space="preserve">calculated as 30/06/14 and included some anticipated results for students in </w:t>
      </w:r>
      <w:r w:rsidR="00D360AE">
        <w:rPr>
          <w:rFonts w:cs="Arial"/>
          <w:sz w:val="16"/>
          <w:szCs w:val="20"/>
          <w:shd w:val="clear" w:color="auto" w:fill="FFFFFF"/>
        </w:rPr>
        <w:t>S</w:t>
      </w:r>
      <w:r w:rsidR="00D360AE" w:rsidRPr="00943289">
        <w:rPr>
          <w:rFonts w:cs="Arial"/>
          <w:sz w:val="16"/>
          <w:szCs w:val="20"/>
          <w:shd w:val="clear" w:color="auto" w:fill="FFFFFF"/>
        </w:rPr>
        <w:t xml:space="preserve">emester </w:t>
      </w:r>
      <w:r w:rsidR="00B776E0" w:rsidRPr="00943289">
        <w:rPr>
          <w:rFonts w:cs="Arial"/>
          <w:sz w:val="16"/>
          <w:szCs w:val="20"/>
          <w:shd w:val="clear" w:color="auto" w:fill="FFFFFF"/>
        </w:rPr>
        <w:t>1 2014 as total results for both schools were not complete at the time.</w:t>
      </w:r>
    </w:p>
    <w:p w14:paraId="207F9D8B" w14:textId="66FD1430" w:rsidR="00B776E0" w:rsidRDefault="00684B07" w:rsidP="00B776E0">
      <w:pPr>
        <w:rPr>
          <w:rFonts w:cs="Arial"/>
        </w:rPr>
      </w:pPr>
      <w:r>
        <w:rPr>
          <w:rFonts w:cs="Arial"/>
        </w:rPr>
        <w:br/>
      </w:r>
      <w:r w:rsidR="00B776E0" w:rsidRPr="00467D5D">
        <w:rPr>
          <w:rFonts w:cs="Arial"/>
        </w:rPr>
        <w:t xml:space="preserve">This number of graduates can be seen as low given the total investment in APTC over </w:t>
      </w:r>
      <w:r w:rsidR="001F5811">
        <w:rPr>
          <w:rFonts w:cs="Arial"/>
        </w:rPr>
        <w:t>Stage I</w:t>
      </w:r>
      <w:r w:rsidR="00B776E0" w:rsidRPr="00467D5D">
        <w:rPr>
          <w:rFonts w:cs="Arial"/>
        </w:rPr>
        <w:t xml:space="preserve"> (AUD149.5 million) and </w:t>
      </w:r>
      <w:r w:rsidR="001F5811">
        <w:rPr>
          <w:rFonts w:cs="Arial"/>
        </w:rPr>
        <w:t>Stage II</w:t>
      </w:r>
      <w:r w:rsidR="00B776E0" w:rsidRPr="00467D5D">
        <w:rPr>
          <w:rFonts w:cs="Arial"/>
        </w:rPr>
        <w:t xml:space="preserve"> (AUD152 million).</w:t>
      </w:r>
    </w:p>
    <w:p w14:paraId="5ACBA307" w14:textId="51340FF2" w:rsidR="00B776E0" w:rsidRDefault="00B776E0" w:rsidP="00B776E0">
      <w:pPr>
        <w:rPr>
          <w:rFonts w:cs="Arial"/>
        </w:rPr>
      </w:pPr>
      <w:r w:rsidRPr="00467D5D">
        <w:rPr>
          <w:rFonts w:cs="Arial"/>
        </w:rPr>
        <w:t xml:space="preserve">There is limited capacity for students to fund their own training or for employers to support them financially. </w:t>
      </w:r>
      <w:r>
        <w:rPr>
          <w:rFonts w:cs="Arial"/>
        </w:rPr>
        <w:t xml:space="preserve">The reliance on scholarships did not reduce between Stages </w:t>
      </w:r>
      <w:r w:rsidR="00932EF6">
        <w:rPr>
          <w:rFonts w:cs="Arial"/>
        </w:rPr>
        <w:t>I</w:t>
      </w:r>
      <w:r>
        <w:rPr>
          <w:rFonts w:cs="Arial"/>
        </w:rPr>
        <w:t xml:space="preserve"> and </w:t>
      </w:r>
      <w:r w:rsidR="00932EF6">
        <w:rPr>
          <w:rFonts w:cs="Arial"/>
        </w:rPr>
        <w:t>II</w:t>
      </w:r>
      <w:r>
        <w:rPr>
          <w:rFonts w:cs="Arial"/>
        </w:rPr>
        <w:t xml:space="preserve"> as might be expected. </w:t>
      </w:r>
      <w:r w:rsidRPr="00467D5D">
        <w:rPr>
          <w:rFonts w:cs="Arial"/>
        </w:rPr>
        <w:t xml:space="preserve">Across </w:t>
      </w:r>
      <w:r w:rsidR="001F5811">
        <w:rPr>
          <w:rFonts w:cs="Arial"/>
        </w:rPr>
        <w:t>Stage II</w:t>
      </w:r>
      <w:r w:rsidRPr="00467D5D">
        <w:rPr>
          <w:rFonts w:cs="Arial"/>
        </w:rPr>
        <w:t>, 76</w:t>
      </w:r>
      <w:r w:rsidR="0020325D">
        <w:rPr>
          <w:rFonts w:cs="Arial"/>
        </w:rPr>
        <w:t xml:space="preserve"> per cent</w:t>
      </w:r>
      <w:r w:rsidR="0020325D" w:rsidRPr="00467D5D">
        <w:rPr>
          <w:rFonts w:cs="Arial"/>
        </w:rPr>
        <w:t xml:space="preserve"> </w:t>
      </w:r>
      <w:r w:rsidRPr="00467D5D">
        <w:rPr>
          <w:rFonts w:cs="Arial"/>
        </w:rPr>
        <w:t>of students were on scholarship</w:t>
      </w:r>
      <w:r>
        <w:rPr>
          <w:rFonts w:cs="Arial"/>
        </w:rPr>
        <w:t xml:space="preserve"> compared with 74</w:t>
      </w:r>
      <w:r w:rsidR="0020325D">
        <w:rPr>
          <w:rFonts w:cs="Arial"/>
        </w:rPr>
        <w:t xml:space="preserve"> per cent </w:t>
      </w:r>
      <w:r>
        <w:rPr>
          <w:rFonts w:cs="Arial"/>
        </w:rPr>
        <w:t xml:space="preserve">in </w:t>
      </w:r>
      <w:r w:rsidR="001F5811">
        <w:rPr>
          <w:rFonts w:cs="Arial"/>
        </w:rPr>
        <w:t>Stage I</w:t>
      </w:r>
      <w:r w:rsidR="0020325D">
        <w:rPr>
          <w:rFonts w:cs="Arial"/>
        </w:rPr>
        <w:t>.</w:t>
      </w:r>
      <w:r w:rsidRPr="00467D5D">
        <w:rPr>
          <w:rFonts w:cs="Arial"/>
        </w:rPr>
        <w:t xml:space="preserve"> </w:t>
      </w:r>
      <w:r w:rsidR="0020325D">
        <w:rPr>
          <w:rFonts w:cs="Arial"/>
        </w:rPr>
        <w:t>O</w:t>
      </w:r>
      <w:r w:rsidR="0020325D" w:rsidRPr="00467D5D">
        <w:rPr>
          <w:rFonts w:cs="Arial"/>
        </w:rPr>
        <w:t xml:space="preserve">nly </w:t>
      </w:r>
      <w:r w:rsidRPr="00467D5D">
        <w:rPr>
          <w:rFonts w:cs="Arial"/>
        </w:rPr>
        <w:t>13</w:t>
      </w:r>
      <w:r w:rsidR="0020325D">
        <w:rPr>
          <w:rFonts w:cs="Arial"/>
        </w:rPr>
        <w:t xml:space="preserve"> per cent</w:t>
      </w:r>
      <w:r w:rsidR="0020325D" w:rsidRPr="00467D5D">
        <w:rPr>
          <w:rFonts w:cs="Arial"/>
        </w:rPr>
        <w:t xml:space="preserve"> </w:t>
      </w:r>
      <w:r>
        <w:rPr>
          <w:rFonts w:cs="Arial"/>
        </w:rPr>
        <w:t>were funded by employers</w:t>
      </w:r>
      <w:r w:rsidR="0020325D">
        <w:rPr>
          <w:rFonts w:cs="Arial"/>
        </w:rPr>
        <w:t xml:space="preserve"> in </w:t>
      </w:r>
      <w:r w:rsidR="001F5811">
        <w:rPr>
          <w:rFonts w:cs="Arial"/>
        </w:rPr>
        <w:t>Stage II</w:t>
      </w:r>
      <w:r>
        <w:rPr>
          <w:rFonts w:cs="Arial"/>
        </w:rPr>
        <w:t>, compared with 20.4</w:t>
      </w:r>
      <w:r w:rsidR="0020325D">
        <w:rPr>
          <w:rFonts w:cs="Arial"/>
        </w:rPr>
        <w:t xml:space="preserve"> per cent </w:t>
      </w:r>
      <w:r>
        <w:rPr>
          <w:rFonts w:cs="Arial"/>
        </w:rPr>
        <w:t xml:space="preserve">in </w:t>
      </w:r>
      <w:r w:rsidR="001F5811">
        <w:rPr>
          <w:rFonts w:cs="Arial"/>
        </w:rPr>
        <w:t>Stage I</w:t>
      </w:r>
      <w:r>
        <w:rPr>
          <w:rFonts w:cs="Arial"/>
        </w:rPr>
        <w:t>. (</w:t>
      </w:r>
      <w:r w:rsidR="00932EF6">
        <w:rPr>
          <w:rFonts w:cs="Arial"/>
        </w:rPr>
        <w:t>Annex 4</w:t>
      </w:r>
      <w:r w:rsidR="0068678F">
        <w:rPr>
          <w:rFonts w:cs="Arial"/>
        </w:rPr>
        <w:t xml:space="preserve">, </w:t>
      </w:r>
      <w:r w:rsidR="0074747F">
        <w:rPr>
          <w:rFonts w:cs="Arial"/>
        </w:rPr>
        <w:t>Table </w:t>
      </w:r>
      <w:r>
        <w:rPr>
          <w:rFonts w:cs="Arial"/>
        </w:rPr>
        <w:t>3.3.1)</w:t>
      </w:r>
    </w:p>
    <w:p w14:paraId="513A32F6" w14:textId="56A390C6" w:rsidR="00B776E0" w:rsidRPr="00B8657A" w:rsidRDefault="00546F37" w:rsidP="00B776E0">
      <w:pPr>
        <w:rPr>
          <w:rFonts w:cs="Arial"/>
        </w:rPr>
      </w:pPr>
      <w:r w:rsidRPr="00546F37">
        <w:rPr>
          <w:rFonts w:cs="Arial"/>
          <w:b/>
          <w:i/>
        </w:rPr>
        <w:t>Class sizes.</w:t>
      </w:r>
      <w:r w:rsidR="00B776E0">
        <w:rPr>
          <w:rFonts w:cs="Arial"/>
        </w:rPr>
        <w:t xml:space="preserve"> Maximising class sizes is a common way to improve cost-effectiveness.  However, class sizes may be constrained by training package requirements and, in the APTC context, can be a result of funding available for scholarships or success in fee-for-service activity. The average class sizes to date range from 13</w:t>
      </w:r>
      <w:r w:rsidR="00156E00">
        <w:rPr>
          <w:rFonts w:cs="Arial"/>
        </w:rPr>
        <w:t xml:space="preserve"> to </w:t>
      </w:r>
      <w:r w:rsidR="00B776E0">
        <w:rPr>
          <w:rFonts w:cs="Arial"/>
        </w:rPr>
        <w:t xml:space="preserve">21 </w:t>
      </w:r>
      <w:r w:rsidR="00156E00">
        <w:rPr>
          <w:rFonts w:cs="Arial"/>
        </w:rPr>
        <w:t xml:space="preserve">students </w:t>
      </w:r>
      <w:r w:rsidR="00B776E0">
        <w:rPr>
          <w:rFonts w:cs="Arial"/>
        </w:rPr>
        <w:t xml:space="preserve">with 17 in SCHS and 14 in STT </w:t>
      </w:r>
      <w:r w:rsidR="00B776E0" w:rsidRPr="00C52AD3">
        <w:rPr>
          <w:rFonts w:cs="Arial"/>
        </w:rPr>
        <w:t>(</w:t>
      </w:r>
      <w:r w:rsidR="00B776E0">
        <w:rPr>
          <w:rFonts w:cs="Arial"/>
        </w:rPr>
        <w:t xml:space="preserve">APTC </w:t>
      </w:r>
      <w:r w:rsidR="00B776E0" w:rsidRPr="00C52AD3">
        <w:rPr>
          <w:rFonts w:cs="Arial"/>
        </w:rPr>
        <w:t xml:space="preserve">Statistical </w:t>
      </w:r>
      <w:r w:rsidR="0068678F">
        <w:rPr>
          <w:rFonts w:cs="Arial"/>
        </w:rPr>
        <w:t xml:space="preserve">Profile, </w:t>
      </w:r>
      <w:r w:rsidR="00B776E0" w:rsidRPr="00C52AD3">
        <w:rPr>
          <w:rFonts w:cs="Arial"/>
        </w:rPr>
        <w:t>Figure 6.3.1)</w:t>
      </w:r>
      <w:r w:rsidR="00B776E0">
        <w:rPr>
          <w:rFonts w:cs="Arial"/>
        </w:rPr>
        <w:t>.</w:t>
      </w:r>
      <w:r w:rsidR="00B776E0">
        <w:rPr>
          <w:rFonts w:cs="Arial"/>
          <w:sz w:val="16"/>
          <w:szCs w:val="16"/>
        </w:rPr>
        <w:t xml:space="preserve"> </w:t>
      </w:r>
      <w:r w:rsidR="00B776E0" w:rsidRPr="00B8657A">
        <w:rPr>
          <w:rFonts w:cs="Arial"/>
        </w:rPr>
        <w:t>From consistent observation</w:t>
      </w:r>
      <w:r w:rsidR="00B776E0">
        <w:rPr>
          <w:rFonts w:cs="Arial"/>
        </w:rPr>
        <w:t xml:space="preserve"> during the field visits</w:t>
      </w:r>
      <w:r w:rsidR="00B776E0" w:rsidRPr="00B8657A">
        <w:rPr>
          <w:rFonts w:cs="Arial"/>
        </w:rPr>
        <w:t>, class sizes are broadly in line with training package and workplace health and safety guidelines</w:t>
      </w:r>
      <w:r w:rsidR="00B776E0">
        <w:rPr>
          <w:rFonts w:cs="Arial"/>
        </w:rPr>
        <w:t>.</w:t>
      </w:r>
      <w:r w:rsidR="00B776E0" w:rsidRPr="00B8657A">
        <w:rPr>
          <w:rFonts w:cs="Arial"/>
        </w:rPr>
        <w:t xml:space="preserve"> </w:t>
      </w:r>
    </w:p>
    <w:p w14:paraId="40C1E507" w14:textId="508B63E5" w:rsidR="00943289" w:rsidRDefault="00546F37">
      <w:pPr>
        <w:spacing w:after="0"/>
        <w:rPr>
          <w:rFonts w:cs="Arial"/>
          <w:b/>
          <w:color w:val="76923C"/>
          <w:szCs w:val="22"/>
        </w:rPr>
      </w:pPr>
      <w:r w:rsidRPr="00546F37">
        <w:rPr>
          <w:rFonts w:cs="Arial"/>
          <w:b/>
          <w:i/>
        </w:rPr>
        <w:t>Completions.</w:t>
      </w:r>
      <w:r w:rsidR="00B776E0">
        <w:rPr>
          <w:rFonts w:cs="Arial"/>
        </w:rPr>
        <w:t xml:space="preserve"> </w:t>
      </w:r>
      <w:r w:rsidR="00B776E0" w:rsidRPr="00467D5D">
        <w:rPr>
          <w:rFonts w:cs="Arial"/>
        </w:rPr>
        <w:t>While the number of graduates is relatively small, completion rates are high</w:t>
      </w:r>
      <w:r w:rsidR="00B776E0">
        <w:rPr>
          <w:rFonts w:cs="Arial"/>
        </w:rPr>
        <w:t xml:space="preserve"> as shown in Table </w:t>
      </w:r>
      <w:r w:rsidR="005F29EF">
        <w:rPr>
          <w:rFonts w:cs="Arial"/>
        </w:rPr>
        <w:t>6.</w:t>
      </w:r>
      <w:r w:rsidR="00B776E0">
        <w:rPr>
          <w:rFonts w:cs="Arial"/>
        </w:rPr>
        <w:t>2</w:t>
      </w:r>
      <w:r w:rsidR="00B776E0" w:rsidRPr="00467D5D">
        <w:rPr>
          <w:rFonts w:cs="Arial"/>
        </w:rPr>
        <w:t xml:space="preserve">. </w:t>
      </w:r>
    </w:p>
    <w:p w14:paraId="031EEDD0" w14:textId="77777777" w:rsidR="00972EF3" w:rsidRDefault="00972EF3">
      <w:pPr>
        <w:spacing w:after="0"/>
        <w:rPr>
          <w:rFonts w:cs="Arial"/>
          <w:b/>
          <w:color w:val="76923C"/>
          <w:szCs w:val="22"/>
        </w:rPr>
      </w:pPr>
      <w:bookmarkStart w:id="622" w:name="_Toc274146479"/>
      <w:bookmarkStart w:id="623" w:name="_Toc274915938"/>
      <w:bookmarkStart w:id="624" w:name="_Toc278446918"/>
      <w:r>
        <w:br w:type="page"/>
      </w:r>
    </w:p>
    <w:p w14:paraId="697C1954" w14:textId="65CCF6A4" w:rsidR="00B776E0" w:rsidRPr="00DD2B16" w:rsidRDefault="00B776E0" w:rsidP="00943289">
      <w:pPr>
        <w:pStyle w:val="Tableheading"/>
      </w:pPr>
      <w:r w:rsidRPr="00DD2B16">
        <w:t xml:space="preserve">Table </w:t>
      </w:r>
      <w:r w:rsidR="005F29EF">
        <w:t>6.</w:t>
      </w:r>
      <w:r w:rsidRPr="00DD2B16">
        <w:t xml:space="preserve">2: APTC </w:t>
      </w:r>
      <w:r w:rsidR="00943289">
        <w:t>s</w:t>
      </w:r>
      <w:r w:rsidRPr="00DD2B16">
        <w:t xml:space="preserve">tudent </w:t>
      </w:r>
      <w:r w:rsidR="00943289">
        <w:t>c</w:t>
      </w:r>
      <w:r w:rsidRPr="00DD2B16">
        <w:t xml:space="preserve">ompletion </w:t>
      </w:r>
      <w:r w:rsidR="00943289">
        <w:t>r</w:t>
      </w:r>
      <w:r w:rsidRPr="00DD2B16">
        <w:t>ates</w:t>
      </w:r>
      <w:bookmarkEnd w:id="622"/>
      <w:bookmarkEnd w:id="623"/>
      <w:bookmarkEnd w:id="624"/>
    </w:p>
    <w:tbl>
      <w:tblPr>
        <w:tblStyle w:val="TableGrid"/>
        <w:tblW w:w="65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gridCol w:w="1418"/>
      </w:tblGrid>
      <w:tr w:rsidR="005135BD" w:rsidRPr="005F29EF" w14:paraId="25A1B34D" w14:textId="77777777" w:rsidTr="005135BD">
        <w:tc>
          <w:tcPr>
            <w:tcW w:w="3828" w:type="dxa"/>
            <w:shd w:val="clear" w:color="auto" w:fill="C5E0B3" w:themeFill="accent6" w:themeFillTint="66"/>
            <w:vAlign w:val="center"/>
          </w:tcPr>
          <w:p w14:paraId="58E498E9" w14:textId="77777777" w:rsidR="00B776E0" w:rsidRPr="005F29EF" w:rsidRDefault="00546F37" w:rsidP="00943289">
            <w:pPr>
              <w:spacing w:before="40" w:after="40"/>
              <w:rPr>
                <w:rFonts w:cs="Arial"/>
                <w:b/>
                <w:sz w:val="18"/>
              </w:rPr>
            </w:pPr>
            <w:r w:rsidRPr="00546F37">
              <w:rPr>
                <w:rFonts w:cs="Arial"/>
                <w:b/>
                <w:sz w:val="18"/>
              </w:rPr>
              <w:t>School</w:t>
            </w:r>
          </w:p>
        </w:tc>
        <w:tc>
          <w:tcPr>
            <w:tcW w:w="1275" w:type="dxa"/>
            <w:shd w:val="clear" w:color="auto" w:fill="C5E0B3" w:themeFill="accent6" w:themeFillTint="66"/>
          </w:tcPr>
          <w:p w14:paraId="54CB03FA" w14:textId="77777777" w:rsidR="00B776E0" w:rsidRPr="005F29EF" w:rsidRDefault="00546F37" w:rsidP="00943289">
            <w:pPr>
              <w:spacing w:before="40" w:after="40"/>
              <w:jc w:val="center"/>
              <w:rPr>
                <w:rFonts w:cs="Arial"/>
                <w:b/>
                <w:sz w:val="18"/>
              </w:rPr>
            </w:pPr>
            <w:r w:rsidRPr="00546F37">
              <w:rPr>
                <w:rFonts w:cs="Arial"/>
                <w:b/>
                <w:sz w:val="18"/>
              </w:rPr>
              <w:t>Total to date</w:t>
            </w:r>
          </w:p>
        </w:tc>
        <w:tc>
          <w:tcPr>
            <w:tcW w:w="1418" w:type="dxa"/>
            <w:shd w:val="clear" w:color="auto" w:fill="C5E0B3" w:themeFill="accent6" w:themeFillTint="66"/>
          </w:tcPr>
          <w:p w14:paraId="0B6465CA" w14:textId="77777777" w:rsidR="00B776E0" w:rsidRPr="005F29EF" w:rsidRDefault="00546F37" w:rsidP="00943289">
            <w:pPr>
              <w:spacing w:before="40" w:after="40"/>
              <w:jc w:val="center"/>
              <w:rPr>
                <w:rFonts w:cs="Arial"/>
                <w:b/>
                <w:sz w:val="18"/>
              </w:rPr>
            </w:pPr>
            <w:r w:rsidRPr="00546F37">
              <w:rPr>
                <w:rFonts w:cs="Arial"/>
                <w:b/>
                <w:sz w:val="18"/>
              </w:rPr>
              <w:t xml:space="preserve">Completion rates </w:t>
            </w:r>
          </w:p>
        </w:tc>
      </w:tr>
      <w:tr w:rsidR="00B776E0" w:rsidRPr="00943289" w14:paraId="71517FCC" w14:textId="77777777" w:rsidTr="005135BD">
        <w:tc>
          <w:tcPr>
            <w:tcW w:w="3828" w:type="dxa"/>
          </w:tcPr>
          <w:p w14:paraId="47685E4C" w14:textId="77777777" w:rsidR="00B776E0" w:rsidRPr="00943289" w:rsidRDefault="00B776E0" w:rsidP="005F29EF">
            <w:pPr>
              <w:spacing w:before="40" w:after="40"/>
              <w:rPr>
                <w:rFonts w:cs="Arial"/>
                <w:sz w:val="18"/>
              </w:rPr>
            </w:pPr>
            <w:r w:rsidRPr="00943289">
              <w:rPr>
                <w:rFonts w:cs="Arial"/>
                <w:sz w:val="18"/>
              </w:rPr>
              <w:t xml:space="preserve">School of Hospitality </w:t>
            </w:r>
            <w:r w:rsidR="005F29EF">
              <w:rPr>
                <w:rFonts w:cs="Arial"/>
                <w:sz w:val="18"/>
              </w:rPr>
              <w:t>and</w:t>
            </w:r>
            <w:r w:rsidR="005F29EF" w:rsidRPr="00943289">
              <w:rPr>
                <w:rFonts w:cs="Arial"/>
                <w:sz w:val="18"/>
              </w:rPr>
              <w:t xml:space="preserve"> </w:t>
            </w:r>
            <w:r w:rsidRPr="00943289">
              <w:rPr>
                <w:rFonts w:cs="Arial"/>
                <w:sz w:val="18"/>
              </w:rPr>
              <w:t xml:space="preserve">Community Services </w:t>
            </w:r>
          </w:p>
        </w:tc>
        <w:tc>
          <w:tcPr>
            <w:tcW w:w="1275" w:type="dxa"/>
          </w:tcPr>
          <w:p w14:paraId="09F674D6" w14:textId="77777777" w:rsidR="00B776E0" w:rsidRPr="00943289" w:rsidRDefault="00B776E0" w:rsidP="00943289">
            <w:pPr>
              <w:spacing w:before="40" w:after="40"/>
              <w:jc w:val="center"/>
              <w:rPr>
                <w:rFonts w:cs="Arial"/>
                <w:sz w:val="18"/>
              </w:rPr>
            </w:pPr>
            <w:r w:rsidRPr="00943289">
              <w:rPr>
                <w:rFonts w:cs="Arial"/>
                <w:sz w:val="18"/>
              </w:rPr>
              <w:t>3665</w:t>
            </w:r>
          </w:p>
        </w:tc>
        <w:tc>
          <w:tcPr>
            <w:tcW w:w="1418" w:type="dxa"/>
          </w:tcPr>
          <w:p w14:paraId="4EECE672" w14:textId="77777777" w:rsidR="00B776E0" w:rsidRPr="00943289" w:rsidRDefault="00B776E0" w:rsidP="00943289">
            <w:pPr>
              <w:spacing w:before="40" w:after="40"/>
              <w:jc w:val="center"/>
              <w:rPr>
                <w:rFonts w:cs="Arial"/>
                <w:sz w:val="18"/>
              </w:rPr>
            </w:pPr>
            <w:r w:rsidRPr="00943289">
              <w:rPr>
                <w:rFonts w:cs="Arial"/>
                <w:sz w:val="18"/>
              </w:rPr>
              <w:t>92%</w:t>
            </w:r>
          </w:p>
        </w:tc>
      </w:tr>
      <w:tr w:rsidR="00B776E0" w:rsidRPr="00943289" w14:paraId="2F3D5250" w14:textId="77777777" w:rsidTr="005135BD">
        <w:tc>
          <w:tcPr>
            <w:tcW w:w="3828" w:type="dxa"/>
          </w:tcPr>
          <w:p w14:paraId="5EA0B3E3" w14:textId="77777777" w:rsidR="00B776E0" w:rsidRPr="00943289" w:rsidRDefault="00B776E0" w:rsidP="005F29EF">
            <w:pPr>
              <w:spacing w:before="40" w:after="40"/>
              <w:rPr>
                <w:rFonts w:cs="Arial"/>
                <w:sz w:val="18"/>
              </w:rPr>
            </w:pPr>
            <w:r w:rsidRPr="00943289">
              <w:rPr>
                <w:rFonts w:cs="Arial"/>
                <w:sz w:val="18"/>
              </w:rPr>
              <w:t xml:space="preserve">School of Trades </w:t>
            </w:r>
            <w:r w:rsidR="005F29EF">
              <w:rPr>
                <w:rFonts w:cs="Arial"/>
                <w:sz w:val="18"/>
              </w:rPr>
              <w:t>and</w:t>
            </w:r>
            <w:r w:rsidR="005F29EF" w:rsidRPr="00943289">
              <w:rPr>
                <w:rFonts w:cs="Arial"/>
                <w:sz w:val="18"/>
              </w:rPr>
              <w:t xml:space="preserve"> </w:t>
            </w:r>
            <w:r w:rsidRPr="00943289">
              <w:rPr>
                <w:rFonts w:cs="Arial"/>
                <w:sz w:val="18"/>
              </w:rPr>
              <w:t xml:space="preserve">Technology </w:t>
            </w:r>
          </w:p>
        </w:tc>
        <w:tc>
          <w:tcPr>
            <w:tcW w:w="1275" w:type="dxa"/>
          </w:tcPr>
          <w:p w14:paraId="5621F231" w14:textId="77777777" w:rsidR="00B776E0" w:rsidRPr="00943289" w:rsidRDefault="00B776E0" w:rsidP="00943289">
            <w:pPr>
              <w:spacing w:before="40" w:after="40"/>
              <w:jc w:val="center"/>
              <w:rPr>
                <w:rFonts w:cs="Arial"/>
                <w:sz w:val="18"/>
              </w:rPr>
            </w:pPr>
            <w:r w:rsidRPr="00943289">
              <w:rPr>
                <w:rFonts w:cs="Arial"/>
                <w:sz w:val="18"/>
              </w:rPr>
              <w:t>2546</w:t>
            </w:r>
          </w:p>
        </w:tc>
        <w:tc>
          <w:tcPr>
            <w:tcW w:w="1418" w:type="dxa"/>
          </w:tcPr>
          <w:p w14:paraId="6F551CC3" w14:textId="77777777" w:rsidR="00B776E0" w:rsidRPr="00943289" w:rsidRDefault="00B776E0" w:rsidP="00943289">
            <w:pPr>
              <w:spacing w:before="40" w:after="40"/>
              <w:jc w:val="center"/>
              <w:rPr>
                <w:rFonts w:cs="Arial"/>
                <w:sz w:val="18"/>
              </w:rPr>
            </w:pPr>
            <w:r w:rsidRPr="00943289">
              <w:rPr>
                <w:rFonts w:cs="Arial"/>
                <w:sz w:val="18"/>
              </w:rPr>
              <w:t>89%</w:t>
            </w:r>
          </w:p>
        </w:tc>
      </w:tr>
      <w:tr w:rsidR="005135BD" w:rsidRPr="005F29EF" w14:paraId="1E3537A2" w14:textId="77777777" w:rsidTr="005135BD">
        <w:tc>
          <w:tcPr>
            <w:tcW w:w="3828" w:type="dxa"/>
            <w:shd w:val="clear" w:color="auto" w:fill="E2EFD9" w:themeFill="accent6" w:themeFillTint="33"/>
          </w:tcPr>
          <w:p w14:paraId="5E8B8913" w14:textId="77777777" w:rsidR="00B776E0" w:rsidRPr="005F29EF" w:rsidRDefault="00546F37" w:rsidP="00943289">
            <w:pPr>
              <w:spacing w:before="40" w:after="40"/>
              <w:rPr>
                <w:rFonts w:cs="Arial"/>
                <w:b/>
                <w:sz w:val="18"/>
              </w:rPr>
            </w:pPr>
            <w:r w:rsidRPr="00546F37">
              <w:rPr>
                <w:rFonts w:cs="Arial"/>
                <w:b/>
                <w:sz w:val="18"/>
              </w:rPr>
              <w:t>TOTAL</w:t>
            </w:r>
          </w:p>
        </w:tc>
        <w:tc>
          <w:tcPr>
            <w:tcW w:w="1275" w:type="dxa"/>
            <w:shd w:val="clear" w:color="auto" w:fill="E2EFD9" w:themeFill="accent6" w:themeFillTint="33"/>
          </w:tcPr>
          <w:p w14:paraId="2A1678B8" w14:textId="77777777" w:rsidR="00B776E0" w:rsidRPr="005F29EF" w:rsidRDefault="00546F37" w:rsidP="00943289">
            <w:pPr>
              <w:spacing w:before="40" w:after="40"/>
              <w:jc w:val="center"/>
              <w:rPr>
                <w:rFonts w:cs="Arial"/>
                <w:b/>
                <w:sz w:val="18"/>
              </w:rPr>
            </w:pPr>
            <w:r w:rsidRPr="00546F37">
              <w:rPr>
                <w:rFonts w:cs="Arial"/>
                <w:b/>
                <w:sz w:val="18"/>
              </w:rPr>
              <w:t>6211</w:t>
            </w:r>
          </w:p>
        </w:tc>
        <w:tc>
          <w:tcPr>
            <w:tcW w:w="1418" w:type="dxa"/>
            <w:shd w:val="clear" w:color="auto" w:fill="E2EFD9" w:themeFill="accent6" w:themeFillTint="33"/>
          </w:tcPr>
          <w:p w14:paraId="3B21E404" w14:textId="77777777" w:rsidR="00B776E0" w:rsidRPr="005F29EF" w:rsidRDefault="00546F37" w:rsidP="00943289">
            <w:pPr>
              <w:spacing w:before="40" w:after="40"/>
              <w:jc w:val="center"/>
              <w:rPr>
                <w:rFonts w:cs="Arial"/>
                <w:b/>
                <w:sz w:val="18"/>
              </w:rPr>
            </w:pPr>
            <w:r w:rsidRPr="00546F37">
              <w:rPr>
                <w:rFonts w:cs="Arial"/>
                <w:b/>
                <w:sz w:val="18"/>
              </w:rPr>
              <w:t>91%</w:t>
            </w:r>
          </w:p>
        </w:tc>
      </w:tr>
    </w:tbl>
    <w:p w14:paraId="7AA414F2" w14:textId="43D09FE5" w:rsidR="00B776E0" w:rsidRPr="00943289" w:rsidRDefault="005135BD" w:rsidP="00B776E0">
      <w:pPr>
        <w:rPr>
          <w:rFonts w:cs="Arial"/>
          <w:sz w:val="16"/>
          <w:szCs w:val="20"/>
        </w:rPr>
      </w:pPr>
      <w:r>
        <w:rPr>
          <w:rFonts w:cs="Arial"/>
          <w:sz w:val="16"/>
          <w:szCs w:val="20"/>
        </w:rPr>
        <w:br/>
      </w:r>
      <w:r w:rsidR="00B776E0" w:rsidRPr="00943289">
        <w:rPr>
          <w:rFonts w:cs="Arial"/>
          <w:sz w:val="16"/>
          <w:szCs w:val="20"/>
        </w:rPr>
        <w:t xml:space="preserve">Source: </w:t>
      </w:r>
      <w:r w:rsidR="00047C31">
        <w:rPr>
          <w:rFonts w:cs="Arial"/>
          <w:sz w:val="16"/>
          <w:szCs w:val="20"/>
        </w:rPr>
        <w:t xml:space="preserve">APTC </w:t>
      </w:r>
      <w:r w:rsidR="00B776E0" w:rsidRPr="00943289">
        <w:rPr>
          <w:rFonts w:cs="Arial"/>
          <w:sz w:val="16"/>
          <w:szCs w:val="20"/>
        </w:rPr>
        <w:t xml:space="preserve">Statistical </w:t>
      </w:r>
      <w:r w:rsidR="00047C31">
        <w:rPr>
          <w:rFonts w:cs="Arial"/>
          <w:sz w:val="16"/>
          <w:szCs w:val="20"/>
        </w:rPr>
        <w:t xml:space="preserve">Profile, </w:t>
      </w:r>
      <w:r w:rsidR="00B776E0" w:rsidRPr="00943289">
        <w:rPr>
          <w:rFonts w:cs="Arial"/>
          <w:sz w:val="16"/>
          <w:szCs w:val="20"/>
        </w:rPr>
        <w:t>Table 5.2.1a</w:t>
      </w:r>
    </w:p>
    <w:p w14:paraId="03C4729E" w14:textId="77777777" w:rsidR="00943289" w:rsidRDefault="00943289" w:rsidP="00B776E0">
      <w:pPr>
        <w:rPr>
          <w:rFonts w:cs="Arial"/>
        </w:rPr>
      </w:pPr>
    </w:p>
    <w:p w14:paraId="226DBDB0" w14:textId="77777777" w:rsidR="00B776E0" w:rsidRPr="00467D5D" w:rsidRDefault="00B776E0" w:rsidP="00B776E0">
      <w:pPr>
        <w:rPr>
          <w:rFonts w:cs="Arial"/>
        </w:rPr>
      </w:pPr>
      <w:r w:rsidRPr="00467D5D">
        <w:rPr>
          <w:rFonts w:cs="Arial"/>
        </w:rPr>
        <w:t>Quantifiable factors that might contribute to high completion rates are as follows:</w:t>
      </w:r>
    </w:p>
    <w:p w14:paraId="6712DBCE" w14:textId="77777777" w:rsidR="00B776E0" w:rsidRPr="00467D5D" w:rsidRDefault="00B776E0" w:rsidP="00260880">
      <w:pPr>
        <w:pStyle w:val="ListParagraph"/>
        <w:numPr>
          <w:ilvl w:val="0"/>
          <w:numId w:val="23"/>
        </w:numPr>
        <w:contextualSpacing w:val="0"/>
        <w:rPr>
          <w:rFonts w:cs="Arial"/>
        </w:rPr>
      </w:pPr>
      <w:r>
        <w:rPr>
          <w:rFonts w:cs="Arial"/>
        </w:rPr>
        <w:t xml:space="preserve">VSK and LLN screening of applicants </w:t>
      </w:r>
      <w:r w:rsidR="001309AC">
        <w:rPr>
          <w:rFonts w:cs="Arial"/>
        </w:rPr>
        <w:t xml:space="preserve">as </w:t>
      </w:r>
      <w:r w:rsidR="003C6A5C">
        <w:rPr>
          <w:rFonts w:cs="Arial"/>
        </w:rPr>
        <w:t>noted</w:t>
      </w:r>
      <w:r w:rsidR="001309AC">
        <w:rPr>
          <w:rFonts w:cs="Arial"/>
        </w:rPr>
        <w:t xml:space="preserve"> above</w:t>
      </w:r>
    </w:p>
    <w:p w14:paraId="598769FE" w14:textId="19451EB4" w:rsidR="00B776E0" w:rsidRPr="00467D5D" w:rsidRDefault="00B7531F" w:rsidP="00260880">
      <w:pPr>
        <w:pStyle w:val="ListParagraph"/>
        <w:numPr>
          <w:ilvl w:val="0"/>
          <w:numId w:val="23"/>
        </w:numPr>
        <w:contextualSpacing w:val="0"/>
        <w:rPr>
          <w:rFonts w:cs="Arial"/>
        </w:rPr>
      </w:pPr>
      <w:r>
        <w:rPr>
          <w:rFonts w:cs="Arial"/>
        </w:rPr>
        <w:t>a</w:t>
      </w:r>
      <w:r w:rsidRPr="00467D5D">
        <w:rPr>
          <w:rFonts w:cs="Arial"/>
        </w:rPr>
        <w:t xml:space="preserve">ge </w:t>
      </w:r>
      <w:r w:rsidR="00B776E0" w:rsidRPr="00467D5D">
        <w:rPr>
          <w:rFonts w:cs="Arial"/>
        </w:rPr>
        <w:t>of entrants – because the student cohort consists of existing workers and new industry entrants, students are mature-aged, have work experience and have made a</w:t>
      </w:r>
      <w:r w:rsidR="00047C31">
        <w:rPr>
          <w:rFonts w:cs="Arial"/>
        </w:rPr>
        <w:t>n</w:t>
      </w:r>
      <w:r w:rsidR="00B776E0" w:rsidRPr="00467D5D">
        <w:rPr>
          <w:rFonts w:cs="Arial"/>
        </w:rPr>
        <w:t xml:space="preserve"> </w:t>
      </w:r>
      <w:r w:rsidR="00047C31">
        <w:rPr>
          <w:rFonts w:cs="Arial"/>
        </w:rPr>
        <w:t xml:space="preserve">employment </w:t>
      </w:r>
      <w:r w:rsidR="00B776E0" w:rsidRPr="00467D5D">
        <w:rPr>
          <w:rFonts w:cs="Arial"/>
        </w:rPr>
        <w:t xml:space="preserve">choice. The largest age groups of </w:t>
      </w:r>
      <w:r w:rsidR="00B776E0">
        <w:rPr>
          <w:rFonts w:cs="Arial"/>
        </w:rPr>
        <w:t>graduates</w:t>
      </w:r>
      <w:r w:rsidR="00B776E0" w:rsidRPr="00467D5D">
        <w:rPr>
          <w:rFonts w:cs="Arial"/>
        </w:rPr>
        <w:t xml:space="preserve"> to date are 25</w:t>
      </w:r>
      <w:r w:rsidR="004D6C94">
        <w:rPr>
          <w:rFonts w:cs="Arial"/>
        </w:rPr>
        <w:t>–</w:t>
      </w:r>
      <w:r w:rsidR="00B776E0" w:rsidRPr="00467D5D">
        <w:rPr>
          <w:rFonts w:cs="Arial"/>
        </w:rPr>
        <w:t>29 years (22</w:t>
      </w:r>
      <w:r w:rsidR="004D6C94">
        <w:rPr>
          <w:rFonts w:cs="Arial"/>
        </w:rPr>
        <w:t xml:space="preserve"> per cent</w:t>
      </w:r>
      <w:r w:rsidR="004D6C94" w:rsidRPr="00467D5D">
        <w:rPr>
          <w:rFonts w:cs="Arial"/>
        </w:rPr>
        <w:t xml:space="preserve">), </w:t>
      </w:r>
      <w:r w:rsidR="00B776E0" w:rsidRPr="00467D5D">
        <w:rPr>
          <w:rFonts w:cs="Arial"/>
        </w:rPr>
        <w:t>30</w:t>
      </w:r>
      <w:r w:rsidR="004D6C94">
        <w:rPr>
          <w:rFonts w:cs="Arial"/>
        </w:rPr>
        <w:t>–</w:t>
      </w:r>
      <w:r w:rsidR="00B776E0" w:rsidRPr="00467D5D">
        <w:rPr>
          <w:rFonts w:cs="Arial"/>
        </w:rPr>
        <w:t>34 years (21</w:t>
      </w:r>
      <w:r w:rsidR="004D6C94">
        <w:rPr>
          <w:rFonts w:cs="Arial"/>
        </w:rPr>
        <w:t xml:space="preserve"> per cent</w:t>
      </w:r>
      <w:r w:rsidR="004D6C94" w:rsidRPr="00467D5D">
        <w:rPr>
          <w:rFonts w:cs="Arial"/>
        </w:rPr>
        <w:t xml:space="preserve">), </w:t>
      </w:r>
      <w:r w:rsidR="00B776E0" w:rsidRPr="00467D5D">
        <w:rPr>
          <w:rFonts w:cs="Arial"/>
        </w:rPr>
        <w:t>35</w:t>
      </w:r>
      <w:r w:rsidR="004D6C94">
        <w:rPr>
          <w:rFonts w:cs="Arial"/>
        </w:rPr>
        <w:t>–</w:t>
      </w:r>
      <w:r w:rsidR="00B776E0" w:rsidRPr="00467D5D">
        <w:rPr>
          <w:rFonts w:cs="Arial"/>
        </w:rPr>
        <w:t>39 years (17</w:t>
      </w:r>
      <w:r w:rsidR="004D6C94">
        <w:rPr>
          <w:rFonts w:cs="Arial"/>
        </w:rPr>
        <w:t xml:space="preserve"> per cent</w:t>
      </w:r>
      <w:r w:rsidR="004D6C94" w:rsidRPr="00467D5D">
        <w:rPr>
          <w:rFonts w:cs="Arial"/>
        </w:rPr>
        <w:t xml:space="preserve">) </w:t>
      </w:r>
      <w:r w:rsidR="00B776E0" w:rsidRPr="00467D5D">
        <w:rPr>
          <w:rFonts w:cs="Arial"/>
        </w:rPr>
        <w:t>and 40</w:t>
      </w:r>
      <w:r w:rsidR="00993E7C">
        <w:rPr>
          <w:rFonts w:cs="Arial"/>
        </w:rPr>
        <w:t>–</w:t>
      </w:r>
      <w:r w:rsidR="00B776E0" w:rsidRPr="00467D5D">
        <w:rPr>
          <w:rFonts w:cs="Arial"/>
        </w:rPr>
        <w:t>44 years (13</w:t>
      </w:r>
      <w:r w:rsidR="00993E7C">
        <w:rPr>
          <w:rFonts w:cs="Arial"/>
        </w:rPr>
        <w:t xml:space="preserve"> per cent</w:t>
      </w:r>
      <w:r w:rsidR="00993E7C" w:rsidRPr="00467D5D">
        <w:rPr>
          <w:rFonts w:cs="Arial"/>
        </w:rPr>
        <w:t xml:space="preserve">). </w:t>
      </w:r>
      <w:r w:rsidR="00B776E0" w:rsidRPr="00467D5D">
        <w:rPr>
          <w:rFonts w:cs="Arial"/>
        </w:rPr>
        <w:t>Thus 73</w:t>
      </w:r>
      <w:r w:rsidR="00993E7C">
        <w:rPr>
          <w:rFonts w:cs="Arial"/>
        </w:rPr>
        <w:t xml:space="preserve"> per cent</w:t>
      </w:r>
      <w:r w:rsidR="00993E7C" w:rsidRPr="00467D5D">
        <w:rPr>
          <w:rFonts w:cs="Arial"/>
        </w:rPr>
        <w:t xml:space="preserve"> </w:t>
      </w:r>
      <w:r w:rsidR="00B776E0" w:rsidRPr="00467D5D">
        <w:rPr>
          <w:rFonts w:cs="Arial"/>
        </w:rPr>
        <w:t>of students are between the ages of 25 and 44 years</w:t>
      </w:r>
      <w:r w:rsidR="00B776E0">
        <w:rPr>
          <w:rFonts w:cs="Arial"/>
        </w:rPr>
        <w:t>. (</w:t>
      </w:r>
      <w:r w:rsidR="00972EF3">
        <w:rPr>
          <w:rFonts w:cs="Arial"/>
        </w:rPr>
        <w:t>Annex 4,</w:t>
      </w:r>
      <w:r w:rsidR="00047C31">
        <w:rPr>
          <w:rFonts w:cs="Arial"/>
        </w:rPr>
        <w:t xml:space="preserve"> Table </w:t>
      </w:r>
      <w:r w:rsidR="00B776E0">
        <w:rPr>
          <w:rFonts w:cs="Arial"/>
        </w:rPr>
        <w:t>5.2.1a)</w:t>
      </w:r>
    </w:p>
    <w:p w14:paraId="3AFA0E4A" w14:textId="77777777" w:rsidR="00B776E0" w:rsidRDefault="003B741D" w:rsidP="00260880">
      <w:pPr>
        <w:pStyle w:val="ListParagraph"/>
        <w:numPr>
          <w:ilvl w:val="0"/>
          <w:numId w:val="23"/>
        </w:numPr>
        <w:contextualSpacing w:val="0"/>
        <w:rPr>
          <w:rFonts w:cs="Arial"/>
        </w:rPr>
      </w:pPr>
      <w:r>
        <w:rPr>
          <w:rFonts w:cs="Arial"/>
        </w:rPr>
        <w:t>s</w:t>
      </w:r>
      <w:r w:rsidRPr="00467D5D">
        <w:rPr>
          <w:rFonts w:cs="Arial"/>
        </w:rPr>
        <w:t xml:space="preserve">cholarship </w:t>
      </w:r>
      <w:r w:rsidR="00B776E0" w:rsidRPr="00467D5D">
        <w:rPr>
          <w:rFonts w:cs="Arial"/>
        </w:rPr>
        <w:t>uptake – scholarships are highly prized as evidenced by the fact that 81</w:t>
      </w:r>
      <w:r>
        <w:rPr>
          <w:rFonts w:cs="Arial"/>
        </w:rPr>
        <w:t xml:space="preserve"> per cent</w:t>
      </w:r>
      <w:r w:rsidRPr="00467D5D">
        <w:rPr>
          <w:rFonts w:cs="Arial"/>
        </w:rPr>
        <w:t xml:space="preserve"> </w:t>
      </w:r>
      <w:r w:rsidR="00B776E0" w:rsidRPr="00467D5D">
        <w:rPr>
          <w:rFonts w:cs="Arial"/>
        </w:rPr>
        <w:t xml:space="preserve">of scholarships awarded across </w:t>
      </w:r>
      <w:r w:rsidR="001F5811">
        <w:rPr>
          <w:rFonts w:cs="Arial"/>
        </w:rPr>
        <w:t>Stage I</w:t>
      </w:r>
      <w:r w:rsidR="00B776E0" w:rsidRPr="00467D5D">
        <w:rPr>
          <w:rFonts w:cs="Arial"/>
        </w:rPr>
        <w:t xml:space="preserve"> and </w:t>
      </w:r>
      <w:r w:rsidR="001F5811">
        <w:rPr>
          <w:rFonts w:cs="Arial"/>
        </w:rPr>
        <w:t>Stage II</w:t>
      </w:r>
      <w:r w:rsidR="00B776E0" w:rsidRPr="00467D5D">
        <w:rPr>
          <w:rFonts w:cs="Arial"/>
        </w:rPr>
        <w:t xml:space="preserve"> to date were taken up</w:t>
      </w:r>
    </w:p>
    <w:p w14:paraId="2602FEA2" w14:textId="230C5DD0" w:rsidR="00B776E0" w:rsidRPr="00467D5D" w:rsidRDefault="00AE1E4D" w:rsidP="00260880">
      <w:pPr>
        <w:pStyle w:val="ListParagraph"/>
        <w:numPr>
          <w:ilvl w:val="0"/>
          <w:numId w:val="23"/>
        </w:numPr>
        <w:contextualSpacing w:val="0"/>
        <w:rPr>
          <w:rFonts w:cs="Arial"/>
        </w:rPr>
      </w:pPr>
      <w:r>
        <w:rPr>
          <w:rFonts w:cs="Arial"/>
        </w:rPr>
        <w:t xml:space="preserve">waitlists </w:t>
      </w:r>
      <w:r w:rsidR="00B776E0">
        <w:rPr>
          <w:rFonts w:cs="Arial"/>
        </w:rPr>
        <w:t>are significant, with 9</w:t>
      </w:r>
      <w:r w:rsidR="004D30B9">
        <w:rPr>
          <w:rFonts w:cs="Arial"/>
        </w:rPr>
        <w:t>79</w:t>
      </w:r>
      <w:r w:rsidR="00B776E0">
        <w:rPr>
          <w:rFonts w:cs="Arial"/>
        </w:rPr>
        <w:t xml:space="preserve"> applicants, equivalent to 51</w:t>
      </w:r>
      <w:r>
        <w:rPr>
          <w:rFonts w:cs="Arial"/>
        </w:rPr>
        <w:t xml:space="preserve"> per cent </w:t>
      </w:r>
      <w:r w:rsidR="00B776E0">
        <w:rPr>
          <w:rFonts w:cs="Arial"/>
        </w:rPr>
        <w:t>of the current enrolment, awaiting a place (</w:t>
      </w:r>
      <w:r w:rsidR="004D30B9">
        <w:rPr>
          <w:rFonts w:cs="Arial"/>
        </w:rPr>
        <w:t xml:space="preserve">APTC </w:t>
      </w:r>
      <w:r w:rsidR="00B776E0">
        <w:rPr>
          <w:rFonts w:cs="Arial"/>
        </w:rPr>
        <w:t xml:space="preserve">Statistical </w:t>
      </w:r>
      <w:r w:rsidR="004D30B9">
        <w:rPr>
          <w:rFonts w:cs="Arial"/>
        </w:rPr>
        <w:t xml:space="preserve">Profile </w:t>
      </w:r>
      <w:r w:rsidR="00B776E0">
        <w:rPr>
          <w:rFonts w:cs="Arial"/>
        </w:rPr>
        <w:t xml:space="preserve">3.2.1). This is likely to act as an incentive to value and complete the course/qualification. </w:t>
      </w:r>
    </w:p>
    <w:p w14:paraId="5BEF46D8" w14:textId="3BBA6B50" w:rsidR="00B776E0" w:rsidRPr="00467D5D" w:rsidRDefault="00B776E0" w:rsidP="00B776E0">
      <w:pPr>
        <w:rPr>
          <w:rFonts w:cs="Arial"/>
        </w:rPr>
      </w:pPr>
      <w:r w:rsidRPr="00467D5D">
        <w:rPr>
          <w:rFonts w:cs="Arial"/>
        </w:rPr>
        <w:t xml:space="preserve">APTC management is keen to move away from the image of being a ‘scholarship college’ and to encourage both co-contribution to the costs of training and a full fee-paying clientele. </w:t>
      </w:r>
      <w:r w:rsidR="003F63FB" w:rsidRPr="003F63FB">
        <w:rPr>
          <w:rFonts w:cs="Arial"/>
        </w:rPr>
        <w:t xml:space="preserve">Increased fee-for-service income can come from full payment for or negotiated co-contribution to the tuition fees for complete qualifications or full </w:t>
      </w:r>
      <w:r w:rsidR="003F63FB">
        <w:rPr>
          <w:rFonts w:cs="Arial"/>
        </w:rPr>
        <w:t>p</w:t>
      </w:r>
      <w:r w:rsidR="003F63FB" w:rsidRPr="003F63FB">
        <w:rPr>
          <w:rFonts w:cs="Arial"/>
        </w:rPr>
        <w:t xml:space="preserve">ayment for or co-contribution to the cost of any other program or service either offered by APTC or requested by an enterprise/stakeholder. Options to </w:t>
      </w:r>
      <w:r w:rsidR="003F63FB">
        <w:rPr>
          <w:rFonts w:cs="Arial"/>
        </w:rPr>
        <w:t>maximise fee-for-service income</w:t>
      </w:r>
      <w:r w:rsidRPr="00467D5D">
        <w:rPr>
          <w:rFonts w:cs="Arial"/>
        </w:rPr>
        <w:t>, to increase throughput in APTC facilities</w:t>
      </w:r>
      <w:r w:rsidR="006A759A">
        <w:rPr>
          <w:rFonts w:cs="Arial"/>
        </w:rPr>
        <w:t>,</w:t>
      </w:r>
      <w:r w:rsidRPr="00467D5D">
        <w:rPr>
          <w:rFonts w:cs="Arial"/>
        </w:rPr>
        <w:t xml:space="preserve"> and to reduce costs are yet to be fully explored. The</w:t>
      </w:r>
      <w:r>
        <w:rPr>
          <w:rFonts w:cs="Arial"/>
        </w:rPr>
        <w:t>y</w:t>
      </w:r>
      <w:r w:rsidRPr="00467D5D">
        <w:rPr>
          <w:rFonts w:cs="Arial"/>
        </w:rPr>
        <w:t xml:space="preserve"> include expanded offerings of targeted training such as skill sets</w:t>
      </w:r>
      <w:r w:rsidR="003F63FB">
        <w:rPr>
          <w:rFonts w:cs="Arial"/>
        </w:rPr>
        <w:t xml:space="preserve"> and short courses</w:t>
      </w:r>
      <w:r w:rsidRPr="00467D5D">
        <w:rPr>
          <w:rFonts w:cs="Arial"/>
        </w:rPr>
        <w:t xml:space="preserve">, the introduction of some higher level qualifications, greater utilisation of </w:t>
      </w:r>
      <w:r w:rsidR="00C1248E">
        <w:rPr>
          <w:rFonts w:cs="Arial"/>
        </w:rPr>
        <w:t>Recognition of Prior Learning (</w:t>
      </w:r>
      <w:r w:rsidRPr="00467D5D">
        <w:rPr>
          <w:rFonts w:cs="Arial"/>
        </w:rPr>
        <w:t>RPL</w:t>
      </w:r>
      <w:r w:rsidR="00C1248E">
        <w:rPr>
          <w:rFonts w:cs="Arial"/>
        </w:rPr>
        <w:t>)</w:t>
      </w:r>
      <w:r w:rsidRPr="00467D5D">
        <w:rPr>
          <w:rFonts w:cs="Arial"/>
        </w:rPr>
        <w:t xml:space="preserve"> and working with industry to identify areas of unmet demand.</w:t>
      </w:r>
      <w:r>
        <w:rPr>
          <w:rFonts w:cs="Arial"/>
        </w:rPr>
        <w:t xml:space="preserve"> </w:t>
      </w:r>
      <w:r w:rsidRPr="00467D5D">
        <w:rPr>
          <w:rFonts w:cs="Arial"/>
        </w:rPr>
        <w:t xml:space="preserve">A strong reliance on Australian trainers to undertake the bulk of the training to date is another factor in the relatively high cost of APTC.  </w:t>
      </w:r>
    </w:p>
    <w:p w14:paraId="057DBCF1" w14:textId="77777777" w:rsidR="00B776E0" w:rsidRPr="00467D5D" w:rsidRDefault="00B776E0" w:rsidP="00B776E0">
      <w:pPr>
        <w:rPr>
          <w:rFonts w:cs="Arial"/>
        </w:rPr>
      </w:pPr>
      <w:r w:rsidRPr="00467D5D">
        <w:rPr>
          <w:rFonts w:cs="Arial"/>
        </w:rPr>
        <w:t>Corporate/administrative staff costs are relatively high due to complex employment arrangements, relatively high numbers of Australian staff (49</w:t>
      </w:r>
      <w:r w:rsidR="00094B68">
        <w:rPr>
          <w:rFonts w:cs="Arial"/>
        </w:rPr>
        <w:t xml:space="preserve"> per cent</w:t>
      </w:r>
      <w:r w:rsidR="00094B68" w:rsidRPr="00467D5D">
        <w:rPr>
          <w:rFonts w:cs="Arial"/>
        </w:rPr>
        <w:t xml:space="preserve">) </w:t>
      </w:r>
      <w:r w:rsidRPr="00467D5D">
        <w:rPr>
          <w:rFonts w:cs="Arial"/>
        </w:rPr>
        <w:t xml:space="preserve">and the costs of operating in a multi-country/multi-campus context. As at </w:t>
      </w:r>
      <w:r>
        <w:rPr>
          <w:rFonts w:cs="Arial"/>
        </w:rPr>
        <w:t>June</w:t>
      </w:r>
      <w:r w:rsidRPr="00467D5D">
        <w:rPr>
          <w:rFonts w:cs="Arial"/>
        </w:rPr>
        <w:t xml:space="preserve"> 2014, the ratio of teaching to corporate/ administrative staff was </w:t>
      </w:r>
      <w:r>
        <w:rPr>
          <w:rFonts w:cs="Arial"/>
        </w:rPr>
        <w:t>52</w:t>
      </w:r>
      <w:r w:rsidRPr="00467D5D">
        <w:rPr>
          <w:rFonts w:cs="Arial"/>
        </w:rPr>
        <w:t>:</w:t>
      </w:r>
      <w:r>
        <w:rPr>
          <w:rFonts w:cs="Arial"/>
        </w:rPr>
        <w:t>48</w:t>
      </w:r>
      <w:r w:rsidRPr="00C52AD3">
        <w:rPr>
          <w:rFonts w:cs="Arial"/>
          <w:sz w:val="16"/>
          <w:szCs w:val="16"/>
        </w:rPr>
        <w:t xml:space="preserve"> </w:t>
      </w:r>
      <w:r w:rsidRPr="00C52AD3">
        <w:rPr>
          <w:rFonts w:cs="Arial"/>
        </w:rPr>
        <w:t>(Statistical Annex Table 6.4.1).</w:t>
      </w:r>
      <w:r w:rsidRPr="00467D5D">
        <w:rPr>
          <w:rFonts w:cs="Arial"/>
        </w:rPr>
        <w:t xml:space="preserve"> </w:t>
      </w:r>
      <w:r>
        <w:rPr>
          <w:rFonts w:cs="Arial"/>
        </w:rPr>
        <w:t>This compares with a 2011 Australian Government Productivity Commission report which found that across Australia the proportion of general/administrative staff to total TAFE staff was 36</w:t>
      </w:r>
      <w:r w:rsidR="00094B68">
        <w:rPr>
          <w:rFonts w:cs="Arial"/>
        </w:rPr>
        <w:t xml:space="preserve"> per cent.</w:t>
      </w:r>
      <w:r w:rsidR="00094B68">
        <w:rPr>
          <w:rStyle w:val="FootnoteReference"/>
          <w:rFonts w:cs="Arial"/>
        </w:rPr>
        <w:footnoteReference w:id="19"/>
      </w:r>
    </w:p>
    <w:p w14:paraId="43C60F51" w14:textId="0E703C34" w:rsidR="003D355F" w:rsidRDefault="003B173A" w:rsidP="002028A6">
      <w:pPr>
        <w:pStyle w:val="Heading2"/>
      </w:pPr>
      <w:bookmarkStart w:id="625" w:name="_Toc274145121"/>
      <w:bookmarkStart w:id="626" w:name="_Toc274900506"/>
      <w:bookmarkStart w:id="627" w:name="_Toc274909887"/>
      <w:bookmarkStart w:id="628" w:name="_Toc278447903"/>
      <w:bookmarkStart w:id="629" w:name="_Toc278453376"/>
      <w:r>
        <w:t>1.2</w:t>
      </w:r>
      <w:r>
        <w:tab/>
      </w:r>
      <w:r w:rsidR="00B776E0" w:rsidRPr="00145BB7">
        <w:t xml:space="preserve">What qualitative capacity has APTC established for skills development? </w:t>
      </w:r>
      <w:r w:rsidR="00E80F10">
        <w:br/>
      </w:r>
      <w:r w:rsidR="00E80F10">
        <w:tab/>
      </w:r>
      <w:r w:rsidR="00B776E0" w:rsidRPr="00145BB7">
        <w:t xml:space="preserve">Quality assurance practices; completion rates (see above) qualifications </w:t>
      </w:r>
      <w:r w:rsidR="00E80F10">
        <w:br/>
      </w:r>
      <w:r w:rsidR="00E80F10">
        <w:tab/>
      </w:r>
      <w:r w:rsidR="00B776E0" w:rsidRPr="00145BB7">
        <w:t xml:space="preserve">standards achieved; whether Australian qualifications standards are </w:t>
      </w:r>
      <w:r w:rsidR="00E80F10">
        <w:br/>
      </w:r>
      <w:r w:rsidR="00E80F10">
        <w:tab/>
      </w:r>
      <w:r w:rsidR="00C5146B">
        <w:t>actually met</w:t>
      </w:r>
      <w:r w:rsidR="00B776E0" w:rsidRPr="00145BB7">
        <w:t xml:space="preserve"> given constraints on workplace training</w:t>
      </w:r>
      <w:bookmarkEnd w:id="625"/>
      <w:bookmarkEnd w:id="626"/>
      <w:bookmarkEnd w:id="627"/>
      <w:bookmarkEnd w:id="628"/>
      <w:bookmarkEnd w:id="629"/>
    </w:p>
    <w:p w14:paraId="20465EE2" w14:textId="77777777" w:rsidR="00B776E0" w:rsidRDefault="00B776E0" w:rsidP="00B776E0">
      <w:pPr>
        <w:rPr>
          <w:rFonts w:cs="Arial"/>
        </w:rPr>
      </w:pPr>
      <w:r w:rsidRPr="00467D5D">
        <w:rPr>
          <w:rFonts w:cs="Arial"/>
        </w:rPr>
        <w:t>From a quality perspective, APTC has performed well in skills development.</w:t>
      </w:r>
      <w:r>
        <w:rPr>
          <w:rFonts w:cs="Arial"/>
        </w:rPr>
        <w:t xml:space="preserve"> This is evidenced by the various approaches to quality assurance outlined below. APTC is not a Registered Training Organisation (RTO) in its own right under the Australian Skills Quality Authority (ASQA). The lead RTOs, Box Hill Institute and TAFE Queensland East Coast, are responsible for ongoing compliance with the Australian standards. In ensuring compliance, they require the full cooperation of APTC staff. APTC staff maintain quality requirements and are involved in compliance audits.</w:t>
      </w:r>
    </w:p>
    <w:p w14:paraId="46B2D061" w14:textId="604F9A57" w:rsidR="00B776E0" w:rsidRPr="00467D5D" w:rsidRDefault="00546F37" w:rsidP="00B776E0">
      <w:pPr>
        <w:rPr>
          <w:rFonts w:cs="Arial"/>
        </w:rPr>
      </w:pPr>
      <w:r w:rsidRPr="00546F37">
        <w:rPr>
          <w:rFonts w:cs="Arial"/>
          <w:b/>
          <w:i/>
        </w:rPr>
        <w:t xml:space="preserve">Standards for </w:t>
      </w:r>
      <w:r w:rsidR="00DE761D">
        <w:rPr>
          <w:rFonts w:cs="Arial"/>
          <w:b/>
          <w:i/>
        </w:rPr>
        <w:t>t</w:t>
      </w:r>
      <w:r w:rsidRPr="00546F37">
        <w:rPr>
          <w:rFonts w:cs="Arial"/>
          <w:b/>
          <w:i/>
        </w:rPr>
        <w:t xml:space="preserve">rainers and </w:t>
      </w:r>
      <w:r w:rsidR="00DE761D">
        <w:rPr>
          <w:rFonts w:cs="Arial"/>
          <w:b/>
          <w:i/>
        </w:rPr>
        <w:t>t</w:t>
      </w:r>
      <w:r w:rsidRPr="00546F37">
        <w:rPr>
          <w:rFonts w:cs="Arial"/>
          <w:b/>
          <w:i/>
        </w:rPr>
        <w:t>utors.</w:t>
      </w:r>
      <w:r w:rsidR="00B776E0">
        <w:rPr>
          <w:rFonts w:cs="Arial"/>
          <w:i/>
        </w:rPr>
        <w:t xml:space="preserve"> </w:t>
      </w:r>
      <w:r w:rsidR="00B776E0" w:rsidRPr="00467D5D">
        <w:rPr>
          <w:rFonts w:cs="Arial"/>
        </w:rPr>
        <w:t xml:space="preserve">Trainers and tutors are required to meet </w:t>
      </w:r>
      <w:r w:rsidR="00C36127" w:rsidRPr="00467D5D">
        <w:rPr>
          <w:rFonts w:cs="Arial"/>
        </w:rPr>
        <w:t>Standard</w:t>
      </w:r>
      <w:r w:rsidR="00C36127">
        <w:rPr>
          <w:rFonts w:cs="Arial"/>
        </w:rPr>
        <w:t> </w:t>
      </w:r>
      <w:r w:rsidR="00B776E0" w:rsidRPr="00467D5D">
        <w:rPr>
          <w:rFonts w:cs="Arial"/>
        </w:rPr>
        <w:t>15.4 of the Australian Standards for NVR Registered Training Organisations</w:t>
      </w:r>
      <w:r w:rsidR="00B776E0" w:rsidRPr="00467D5D">
        <w:rPr>
          <w:rStyle w:val="FootnoteReference"/>
          <w:rFonts w:cs="Arial"/>
        </w:rPr>
        <w:footnoteReference w:id="20"/>
      </w:r>
      <w:r w:rsidR="00B776E0" w:rsidRPr="00467D5D">
        <w:rPr>
          <w:rFonts w:cs="Arial"/>
        </w:rPr>
        <w:t xml:space="preserve"> in order to deliver training</w:t>
      </w:r>
      <w:r w:rsidR="00C5146B">
        <w:rPr>
          <w:rFonts w:cs="Arial"/>
        </w:rPr>
        <w:t>,</w:t>
      </w:r>
      <w:r w:rsidR="00B776E0" w:rsidRPr="00467D5D">
        <w:rPr>
          <w:rFonts w:cs="Arial"/>
        </w:rPr>
        <w:t xml:space="preserve"> and tutors must fully meet th</w:t>
      </w:r>
      <w:r w:rsidR="00C5146B">
        <w:rPr>
          <w:rFonts w:cs="Arial"/>
        </w:rPr>
        <w:t>is</w:t>
      </w:r>
      <w:r w:rsidR="00B776E0" w:rsidRPr="00467D5D">
        <w:rPr>
          <w:rFonts w:cs="Arial"/>
        </w:rPr>
        <w:t xml:space="preserve"> standard before converting to trainers. For tutors, this often involves upgrading both vocational and professional </w:t>
      </w:r>
      <w:r w:rsidR="00B776E0">
        <w:rPr>
          <w:rFonts w:cs="Arial"/>
        </w:rPr>
        <w:t xml:space="preserve">(Certificate IV in </w:t>
      </w:r>
      <w:r w:rsidR="00DA261D">
        <w:rPr>
          <w:rFonts w:cs="Arial"/>
        </w:rPr>
        <w:t xml:space="preserve">Training and </w:t>
      </w:r>
      <w:r w:rsidR="004D30B9">
        <w:rPr>
          <w:rFonts w:cs="Arial"/>
        </w:rPr>
        <w:t xml:space="preserve">Assessment </w:t>
      </w:r>
      <w:r w:rsidR="00DA261D">
        <w:rPr>
          <w:rFonts w:cs="Arial"/>
        </w:rPr>
        <w:t>(</w:t>
      </w:r>
      <w:r w:rsidR="00B776E0">
        <w:rPr>
          <w:rFonts w:cs="Arial"/>
        </w:rPr>
        <w:t>TAE</w:t>
      </w:r>
      <w:r w:rsidR="004D30B9" w:rsidRPr="004D30B9">
        <w:rPr>
          <w:rFonts w:cs="Arial"/>
        </w:rPr>
        <w:t>40110</w:t>
      </w:r>
      <w:r w:rsidR="00B776E0">
        <w:rPr>
          <w:rFonts w:cs="Arial"/>
        </w:rPr>
        <w:t>)</w:t>
      </w:r>
      <w:r w:rsidR="004410CB">
        <w:rPr>
          <w:rFonts w:cs="Arial"/>
        </w:rPr>
        <w:t>)</w:t>
      </w:r>
      <w:r w:rsidR="00B776E0">
        <w:rPr>
          <w:rFonts w:cs="Arial"/>
        </w:rPr>
        <w:t xml:space="preserve"> </w:t>
      </w:r>
      <w:r w:rsidR="00B776E0" w:rsidRPr="00467D5D">
        <w:rPr>
          <w:rFonts w:cs="Arial"/>
        </w:rPr>
        <w:t>qualifications, which takes time.</w:t>
      </w:r>
      <w:r w:rsidR="00B776E0" w:rsidRPr="00467D5D">
        <w:rPr>
          <w:rStyle w:val="FootnoteReference"/>
          <w:rFonts w:cs="Arial"/>
        </w:rPr>
        <w:footnoteReference w:id="21"/>
      </w:r>
      <w:r w:rsidR="00B776E0" w:rsidRPr="00467D5D">
        <w:rPr>
          <w:rFonts w:cs="Arial"/>
        </w:rPr>
        <w:t xml:space="preserve"> In addition, APTC encourages trainers to complete the Diploma of </w:t>
      </w:r>
      <w:r w:rsidR="00F27BE0">
        <w:rPr>
          <w:rFonts w:cs="Arial"/>
        </w:rPr>
        <w:t>Vocational Education and Training (</w:t>
      </w:r>
      <w:r w:rsidR="004D30B9" w:rsidRPr="004D30B9">
        <w:rPr>
          <w:rFonts w:cs="Arial"/>
        </w:rPr>
        <w:t>TAE50111</w:t>
      </w:r>
      <w:r w:rsidR="004D30B9">
        <w:rPr>
          <w:rFonts w:cs="Arial"/>
        </w:rPr>
        <w:t>)</w:t>
      </w:r>
      <w:r w:rsidR="00B776E0" w:rsidRPr="00467D5D">
        <w:rPr>
          <w:rFonts w:cs="Arial"/>
        </w:rPr>
        <w:t xml:space="preserve"> (one qualification level higher than the required standa</w:t>
      </w:r>
      <w:r w:rsidR="00943289">
        <w:rPr>
          <w:rFonts w:cs="Arial"/>
        </w:rPr>
        <w:t>rd) and makes this available on</w:t>
      </w:r>
      <w:r w:rsidR="00B776E0" w:rsidRPr="00467D5D">
        <w:rPr>
          <w:rFonts w:cs="Arial"/>
        </w:rPr>
        <w:t>line.</w:t>
      </w:r>
    </w:p>
    <w:p w14:paraId="54F0EFA1" w14:textId="16E76B61" w:rsidR="00B776E0" w:rsidRPr="00467D5D" w:rsidRDefault="00B776E0" w:rsidP="00B776E0">
      <w:pPr>
        <w:rPr>
          <w:rFonts w:cs="Arial"/>
        </w:rPr>
      </w:pPr>
      <w:r>
        <w:rPr>
          <w:rFonts w:cs="Arial"/>
        </w:rPr>
        <w:t>According to the surveys of trainers and tutors conducted by the evaluation team, all trainers responding had the Certificate IV in TAE and all tutors responding either had or were undertaking the Certificate IV in TAE, except for one ‘no response’</w:t>
      </w:r>
      <w:r w:rsidRPr="00DB3F84">
        <w:rPr>
          <w:rFonts w:cs="Arial"/>
        </w:rPr>
        <w:t xml:space="preserve">. (Annex </w:t>
      </w:r>
      <w:r w:rsidR="004410CB">
        <w:rPr>
          <w:rFonts w:cs="Arial"/>
        </w:rPr>
        <w:t xml:space="preserve">5 </w:t>
      </w:r>
      <w:r w:rsidR="006A201D">
        <w:rPr>
          <w:rFonts w:cs="Arial"/>
        </w:rPr>
        <w:t>–</w:t>
      </w:r>
      <w:r w:rsidRPr="00DB3F84">
        <w:rPr>
          <w:rFonts w:cs="Arial"/>
        </w:rPr>
        <w:t xml:space="preserve"> Staff).</w:t>
      </w:r>
    </w:p>
    <w:p w14:paraId="3A25DDE3" w14:textId="77777777" w:rsidR="00B776E0" w:rsidRDefault="00546F37" w:rsidP="00B776E0">
      <w:pPr>
        <w:rPr>
          <w:rFonts w:cs="Arial"/>
        </w:rPr>
      </w:pPr>
      <w:r w:rsidRPr="00546F37">
        <w:rPr>
          <w:rFonts w:cs="Arial"/>
          <w:b/>
          <w:i/>
        </w:rPr>
        <w:t>Meeting training package requirements.</w:t>
      </w:r>
      <w:r w:rsidR="00B776E0">
        <w:rPr>
          <w:rFonts w:cs="Arial"/>
          <w:i/>
        </w:rPr>
        <w:t xml:space="preserve"> </w:t>
      </w:r>
      <w:r w:rsidR="00B776E0" w:rsidRPr="00467D5D">
        <w:rPr>
          <w:rFonts w:cs="Arial"/>
        </w:rPr>
        <w:t>Considerable investment has been made to ensure that the facilities and equipment used for training meet the training package requirements for the qualification levels offered. These facilities were sighted during the field visits. Where the facilities standards cannot be met, the program is not offered.  For example, as a result of changes to the training package requirements for the Diploma of Early Childhood Education and Care, delivery of this program (formerly the Diploma of Children’s Services) will cease</w:t>
      </w:r>
      <w:r w:rsidR="00B776E0">
        <w:rPr>
          <w:rFonts w:cs="Arial"/>
        </w:rPr>
        <w:t xml:space="preserve">. </w:t>
      </w:r>
    </w:p>
    <w:p w14:paraId="59BE249B" w14:textId="77777777" w:rsidR="00B776E0" w:rsidRDefault="00546F37" w:rsidP="00B776E0">
      <w:pPr>
        <w:rPr>
          <w:rFonts w:cs="Arial"/>
        </w:rPr>
      </w:pPr>
      <w:r w:rsidRPr="00546F37">
        <w:rPr>
          <w:rFonts w:cs="Arial"/>
          <w:b/>
          <w:i/>
        </w:rPr>
        <w:t>Stakeholder feedback.</w:t>
      </w:r>
      <w:r w:rsidR="00B776E0">
        <w:rPr>
          <w:rFonts w:cs="Arial"/>
          <w:i/>
        </w:rPr>
        <w:t xml:space="preserve"> </w:t>
      </w:r>
      <w:r w:rsidR="00B776E0" w:rsidRPr="00467D5D">
        <w:rPr>
          <w:rFonts w:cs="Arial"/>
        </w:rPr>
        <w:t>There was constant and consistent f</w:t>
      </w:r>
      <w:r w:rsidR="00B776E0">
        <w:rPr>
          <w:rFonts w:cs="Arial"/>
        </w:rPr>
        <w:t xml:space="preserve">eedback during the field visits </w:t>
      </w:r>
      <w:r w:rsidR="00B776E0" w:rsidRPr="00467D5D">
        <w:rPr>
          <w:rFonts w:cs="Arial"/>
        </w:rPr>
        <w:t xml:space="preserve">that </w:t>
      </w:r>
      <w:r w:rsidR="00B776E0">
        <w:rPr>
          <w:rFonts w:cs="Arial"/>
        </w:rPr>
        <w:t xml:space="preserve">the quality offered by </w:t>
      </w:r>
      <w:r w:rsidR="00B776E0" w:rsidRPr="00467D5D">
        <w:rPr>
          <w:rFonts w:cs="Arial"/>
        </w:rPr>
        <w:t xml:space="preserve">APTC was </w:t>
      </w:r>
      <w:r w:rsidR="00B776E0">
        <w:rPr>
          <w:rFonts w:cs="Arial"/>
        </w:rPr>
        <w:t xml:space="preserve">highly regarded. </w:t>
      </w:r>
      <w:r w:rsidR="00B776E0" w:rsidRPr="00467D5D">
        <w:rPr>
          <w:rFonts w:cs="Arial"/>
        </w:rPr>
        <w:t xml:space="preserve">This feedback came from students, graduates, partner institutions, government agencies and employers alike. Comparisons were often made with local institutions with the view expressed that APTC </w:t>
      </w:r>
      <w:r w:rsidR="00B91CB5">
        <w:rPr>
          <w:rFonts w:cs="Arial"/>
        </w:rPr>
        <w:t xml:space="preserve">substantially </w:t>
      </w:r>
      <w:r w:rsidR="00B776E0" w:rsidRPr="00467D5D">
        <w:rPr>
          <w:rFonts w:cs="Arial"/>
        </w:rPr>
        <w:t>surpassed the quality offer</w:t>
      </w:r>
      <w:r w:rsidR="00B776E0">
        <w:rPr>
          <w:rFonts w:cs="Arial"/>
        </w:rPr>
        <w:t>ed</w:t>
      </w:r>
      <w:r w:rsidR="00B776E0" w:rsidRPr="00467D5D">
        <w:rPr>
          <w:rFonts w:cs="Arial"/>
        </w:rPr>
        <w:t xml:space="preserve"> locally.</w:t>
      </w:r>
      <w:r w:rsidR="00B776E0" w:rsidRPr="0010507E">
        <w:rPr>
          <w:rFonts w:cs="Arial"/>
        </w:rPr>
        <w:t xml:space="preserve"> </w:t>
      </w:r>
      <w:r w:rsidR="00B776E0" w:rsidRPr="00467D5D">
        <w:rPr>
          <w:rFonts w:cs="Arial"/>
        </w:rPr>
        <w:t xml:space="preserve">The quality of delivery is also likely to be a factor in the high completion rates referred to above. </w:t>
      </w:r>
    </w:p>
    <w:p w14:paraId="6E8F31A9" w14:textId="3FAE2966" w:rsidR="00B776E0" w:rsidRPr="00467D5D" w:rsidRDefault="00B776E0" w:rsidP="00B776E0">
      <w:pPr>
        <w:rPr>
          <w:rFonts w:cs="Arial"/>
        </w:rPr>
      </w:pPr>
      <w:r w:rsidRPr="00467D5D">
        <w:rPr>
          <w:rFonts w:cs="Arial"/>
        </w:rPr>
        <w:t>There were mixed views as to why</w:t>
      </w:r>
      <w:r>
        <w:rPr>
          <w:rFonts w:cs="Arial"/>
        </w:rPr>
        <w:t xml:space="preserve"> APTC delivers such high quality.</w:t>
      </w:r>
      <w:r w:rsidRPr="00467D5D">
        <w:rPr>
          <w:rFonts w:cs="Arial"/>
        </w:rPr>
        <w:t xml:space="preserve"> Some suggested that it was because APTC was far better resourced than local providers. Others took the view that the Australian qualification standards were more rigorous and more stringently adhered to. </w:t>
      </w:r>
      <w:r>
        <w:rPr>
          <w:rFonts w:cs="Arial"/>
        </w:rPr>
        <w:t>If student satisfaction can be regarded as an indicator of quality, it is noted that students are very satisfied with APTC. According to the student survey conducted by the evaluation team, 70</w:t>
      </w:r>
      <w:r w:rsidR="003172FD">
        <w:rPr>
          <w:rFonts w:cs="Arial"/>
        </w:rPr>
        <w:t xml:space="preserve"> per cent </w:t>
      </w:r>
      <w:r>
        <w:rPr>
          <w:rFonts w:cs="Arial"/>
        </w:rPr>
        <w:t>of s</w:t>
      </w:r>
      <w:r w:rsidRPr="006F5A16">
        <w:rPr>
          <w:rFonts w:cs="Arial"/>
        </w:rPr>
        <w:t xml:space="preserve">tudents </w:t>
      </w:r>
      <w:r>
        <w:rPr>
          <w:rFonts w:cs="Arial"/>
        </w:rPr>
        <w:t>were very satisfied and 23</w:t>
      </w:r>
      <w:r w:rsidR="003172FD">
        <w:rPr>
          <w:rFonts w:cs="Arial"/>
        </w:rPr>
        <w:t> per cent</w:t>
      </w:r>
      <w:r w:rsidR="003172FD" w:rsidRPr="006F5A16">
        <w:rPr>
          <w:rFonts w:cs="Arial"/>
        </w:rPr>
        <w:t xml:space="preserve"> </w:t>
      </w:r>
      <w:r w:rsidR="003172FD">
        <w:rPr>
          <w:rFonts w:cs="Arial"/>
        </w:rPr>
        <w:t xml:space="preserve">were </w:t>
      </w:r>
      <w:r w:rsidRPr="006F5A16">
        <w:rPr>
          <w:rFonts w:cs="Arial"/>
        </w:rPr>
        <w:t>satisfied.</w:t>
      </w:r>
      <w:r>
        <w:rPr>
          <w:rFonts w:cs="Arial"/>
        </w:rPr>
        <w:t xml:space="preserve"> </w:t>
      </w:r>
      <w:r w:rsidRPr="00DB3F84">
        <w:rPr>
          <w:rFonts w:cs="Arial"/>
        </w:rPr>
        <w:t xml:space="preserve">(Annex </w:t>
      </w:r>
      <w:r w:rsidR="00E1253D">
        <w:rPr>
          <w:rFonts w:cs="Arial"/>
        </w:rPr>
        <w:t xml:space="preserve">5 </w:t>
      </w:r>
      <w:r w:rsidRPr="00DB3F84">
        <w:rPr>
          <w:rFonts w:cs="Arial"/>
        </w:rPr>
        <w:t>– Students).</w:t>
      </w:r>
    </w:p>
    <w:p w14:paraId="06711B0E" w14:textId="5508935F" w:rsidR="00B776E0" w:rsidRPr="00467D5D" w:rsidRDefault="00546F37" w:rsidP="00B776E0">
      <w:pPr>
        <w:rPr>
          <w:rFonts w:cs="Arial"/>
        </w:rPr>
      </w:pPr>
      <w:r w:rsidRPr="00546F37">
        <w:rPr>
          <w:rFonts w:cs="Arial"/>
          <w:b/>
          <w:i/>
        </w:rPr>
        <w:t xml:space="preserve">Auditing for </w:t>
      </w:r>
      <w:r w:rsidR="003172FD">
        <w:rPr>
          <w:rFonts w:cs="Arial"/>
          <w:b/>
          <w:i/>
        </w:rPr>
        <w:t>q</w:t>
      </w:r>
      <w:r w:rsidRPr="00546F37">
        <w:rPr>
          <w:rFonts w:cs="Arial"/>
          <w:b/>
          <w:i/>
        </w:rPr>
        <w:t xml:space="preserve">uality </w:t>
      </w:r>
      <w:r w:rsidR="003172FD">
        <w:rPr>
          <w:rFonts w:cs="Arial"/>
          <w:b/>
          <w:i/>
        </w:rPr>
        <w:t>c</w:t>
      </w:r>
      <w:r w:rsidRPr="00546F37">
        <w:rPr>
          <w:rFonts w:cs="Arial"/>
          <w:b/>
          <w:i/>
        </w:rPr>
        <w:t>ompliance.</w:t>
      </w:r>
      <w:r w:rsidR="00B776E0">
        <w:rPr>
          <w:rFonts w:cs="Arial"/>
          <w:i/>
        </w:rPr>
        <w:t xml:space="preserve"> </w:t>
      </w:r>
      <w:r w:rsidR="00B776E0" w:rsidRPr="00467D5D">
        <w:rPr>
          <w:rFonts w:cs="Arial"/>
        </w:rPr>
        <w:t>In accordance with Australian standards, programs are audited on a regular basis. With two RTOs being responsible for program delivery, there are two approaches to quality assurance and auditing. Audits</w:t>
      </w:r>
      <w:r w:rsidR="00790E89">
        <w:rPr>
          <w:rFonts w:cs="Arial"/>
        </w:rPr>
        <w:t>, either full or partial,</w:t>
      </w:r>
      <w:r w:rsidR="00B776E0" w:rsidRPr="00467D5D">
        <w:rPr>
          <w:rFonts w:cs="Arial"/>
        </w:rPr>
        <w:t xml:space="preserve"> are conducted by a senior Australian representative of the RTO concerned</w:t>
      </w:r>
      <w:r w:rsidR="00B776E0" w:rsidRPr="00A4110E">
        <w:rPr>
          <w:rFonts w:cs="Arial"/>
        </w:rPr>
        <w:t xml:space="preserve">. Attachment 1 provides an overview of the </w:t>
      </w:r>
      <w:r w:rsidR="001F5811">
        <w:rPr>
          <w:rFonts w:cs="Arial"/>
        </w:rPr>
        <w:t>Stage II</w:t>
      </w:r>
      <w:r w:rsidR="00B776E0" w:rsidRPr="00A4110E">
        <w:rPr>
          <w:rFonts w:cs="Arial"/>
        </w:rPr>
        <w:t xml:space="preserve"> audit schedules for each RTO. This shows</w:t>
      </w:r>
      <w:r w:rsidR="00B776E0" w:rsidRPr="00467D5D">
        <w:rPr>
          <w:rFonts w:cs="Arial"/>
        </w:rPr>
        <w:t xml:space="preserve"> that by </w:t>
      </w:r>
      <w:r w:rsidR="00B776E0">
        <w:rPr>
          <w:rFonts w:cs="Arial"/>
        </w:rPr>
        <w:t xml:space="preserve">the </w:t>
      </w:r>
      <w:r w:rsidR="00B776E0" w:rsidRPr="00467D5D">
        <w:rPr>
          <w:rFonts w:cs="Arial"/>
        </w:rPr>
        <w:t xml:space="preserve">end </w:t>
      </w:r>
      <w:r w:rsidR="00B776E0">
        <w:rPr>
          <w:rFonts w:cs="Arial"/>
        </w:rPr>
        <w:t xml:space="preserve">of </w:t>
      </w:r>
      <w:r w:rsidR="00B776E0" w:rsidRPr="00467D5D">
        <w:rPr>
          <w:rFonts w:cs="Arial"/>
        </w:rPr>
        <w:t xml:space="preserve">August 2014, Box Hill Institute had conducted 19 audits and TAFE Queensland East Coast </w:t>
      </w:r>
      <w:r w:rsidR="006150DF">
        <w:rPr>
          <w:rFonts w:cs="Arial"/>
        </w:rPr>
        <w:t xml:space="preserve">had conducted </w:t>
      </w:r>
      <w:r w:rsidR="00B776E0" w:rsidRPr="00467D5D">
        <w:rPr>
          <w:rFonts w:cs="Arial"/>
        </w:rPr>
        <w:t>20</w:t>
      </w:r>
      <w:r w:rsidR="006150DF">
        <w:rPr>
          <w:rFonts w:cs="Arial"/>
        </w:rPr>
        <w:t xml:space="preserve"> audits</w:t>
      </w:r>
      <w:r w:rsidR="00B776E0" w:rsidRPr="00467D5D">
        <w:rPr>
          <w:rFonts w:cs="Arial"/>
        </w:rPr>
        <w:t>.</w:t>
      </w:r>
      <w:r w:rsidR="00B776E0">
        <w:rPr>
          <w:rFonts w:cs="Arial"/>
        </w:rPr>
        <w:t xml:space="preserve"> </w:t>
      </w:r>
      <w:r w:rsidR="00B776E0" w:rsidRPr="00131A95">
        <w:rPr>
          <w:rFonts w:cs="Arial"/>
        </w:rPr>
        <w:t>Surveys of trainers and tutors showed that 77</w:t>
      </w:r>
      <w:r w:rsidR="00777777">
        <w:rPr>
          <w:rFonts w:cs="Arial"/>
        </w:rPr>
        <w:t xml:space="preserve"> per cent</w:t>
      </w:r>
      <w:r w:rsidR="00777777" w:rsidRPr="00131A95">
        <w:rPr>
          <w:rFonts w:cs="Arial"/>
        </w:rPr>
        <w:t xml:space="preserve"> </w:t>
      </w:r>
      <w:r w:rsidR="00B776E0" w:rsidRPr="00131A95">
        <w:rPr>
          <w:rFonts w:cs="Arial"/>
        </w:rPr>
        <w:t>of responding trainers and 56</w:t>
      </w:r>
      <w:r w:rsidR="00777777">
        <w:rPr>
          <w:rFonts w:cs="Arial"/>
        </w:rPr>
        <w:t xml:space="preserve"> per cent</w:t>
      </w:r>
      <w:r w:rsidR="00777777" w:rsidRPr="00131A95">
        <w:rPr>
          <w:rFonts w:cs="Arial"/>
        </w:rPr>
        <w:t xml:space="preserve"> </w:t>
      </w:r>
      <w:r w:rsidR="00B776E0" w:rsidRPr="00131A95">
        <w:rPr>
          <w:rFonts w:cs="Arial"/>
        </w:rPr>
        <w:t>of responding tutors had experienced an audit.</w:t>
      </w:r>
      <w:r w:rsidR="00B776E0" w:rsidRPr="00467D5D">
        <w:rPr>
          <w:rFonts w:cs="Arial"/>
        </w:rPr>
        <w:t xml:space="preserve"> </w:t>
      </w:r>
      <w:r w:rsidR="00B776E0">
        <w:rPr>
          <w:rFonts w:cs="Arial"/>
        </w:rPr>
        <w:t>With respect to tutors, it is important to bear in mind that 89</w:t>
      </w:r>
      <w:r w:rsidR="00E1253D">
        <w:rPr>
          <w:rFonts w:cs="Arial"/>
        </w:rPr>
        <w:t> </w:t>
      </w:r>
      <w:r w:rsidR="00777777">
        <w:rPr>
          <w:rFonts w:cs="Arial"/>
        </w:rPr>
        <w:t xml:space="preserve">per cent </w:t>
      </w:r>
      <w:r w:rsidR="00B776E0">
        <w:rPr>
          <w:rFonts w:cs="Arial"/>
        </w:rPr>
        <w:t xml:space="preserve">of them had been with APTC for two years or less. (Annex </w:t>
      </w:r>
      <w:r w:rsidR="00E1253D">
        <w:rPr>
          <w:rFonts w:cs="Arial"/>
        </w:rPr>
        <w:t xml:space="preserve">5 </w:t>
      </w:r>
      <w:r w:rsidR="00B776E0">
        <w:rPr>
          <w:rFonts w:cs="Arial"/>
        </w:rPr>
        <w:t>–</w:t>
      </w:r>
      <w:r w:rsidR="00E1253D">
        <w:rPr>
          <w:rFonts w:cs="Arial"/>
        </w:rPr>
        <w:t xml:space="preserve"> </w:t>
      </w:r>
      <w:r w:rsidR="00B776E0">
        <w:rPr>
          <w:rFonts w:cs="Arial"/>
        </w:rPr>
        <w:t>Staff)</w:t>
      </w:r>
    </w:p>
    <w:p w14:paraId="3C27A8E6" w14:textId="343576B8" w:rsidR="00B776E0" w:rsidRPr="00467D5D" w:rsidRDefault="00B776E0" w:rsidP="00B776E0">
      <w:pPr>
        <w:rPr>
          <w:rFonts w:cs="Arial"/>
        </w:rPr>
      </w:pPr>
      <w:r w:rsidRPr="001D708E">
        <w:rPr>
          <w:rFonts w:cs="Arial"/>
        </w:rPr>
        <w:t>While it is not within the scope of this evaluation to conduct audits, a commentary on the results of a recent audit report of the Certificate IV in Training and Assessment in one</w:t>
      </w:r>
      <w:r>
        <w:rPr>
          <w:rFonts w:cs="Arial"/>
        </w:rPr>
        <w:t xml:space="preserve"> country gives a snapshot of the situation. Of the 31 standards/requirements applicable, APTC was compliant with 27. The non-compl</w:t>
      </w:r>
      <w:r w:rsidR="004D30B9">
        <w:rPr>
          <w:rFonts w:cs="Arial"/>
        </w:rPr>
        <w:t>ia</w:t>
      </w:r>
      <w:r>
        <w:rPr>
          <w:rFonts w:cs="Arial"/>
        </w:rPr>
        <w:t>nt areas related to</w:t>
      </w:r>
      <w:r w:rsidR="006E1470">
        <w:rPr>
          <w:rFonts w:cs="Arial"/>
        </w:rPr>
        <w:t>:</w:t>
      </w:r>
      <w:r>
        <w:rPr>
          <w:rFonts w:cs="Arial"/>
        </w:rPr>
        <w:t xml:space="preserve"> teacher vocational competence mapping; appropriate documentation of individual staff development plans to maintain vocational and professional currency; and the completion of a moderation and validation schedule. The 20-page audit report required rectification of these non-compliances within 10 working days.</w:t>
      </w:r>
      <w:r>
        <w:rPr>
          <w:rStyle w:val="FootnoteReference"/>
          <w:rFonts w:cs="Arial"/>
        </w:rPr>
        <w:footnoteReference w:id="22"/>
      </w:r>
    </w:p>
    <w:p w14:paraId="58875DF7" w14:textId="77777777" w:rsidR="00B776E0" w:rsidRPr="00467D5D" w:rsidRDefault="00B776E0" w:rsidP="00B776E0">
      <w:pPr>
        <w:rPr>
          <w:rFonts w:cs="Arial"/>
        </w:rPr>
      </w:pPr>
      <w:r w:rsidRPr="00467D5D">
        <w:rPr>
          <w:rFonts w:cs="Arial"/>
        </w:rPr>
        <w:t xml:space="preserve">The Australian Quality Standards Agency (ASQA) has indicated that it intends to conduct audits off-shore for the first time in 2015. By conducting regular audits, APTC is preparing for this eventuality. Failure to comply with audit requirements constitutes both </w:t>
      </w:r>
      <w:r>
        <w:rPr>
          <w:rFonts w:cs="Arial"/>
        </w:rPr>
        <w:t xml:space="preserve">serious </w:t>
      </w:r>
      <w:r w:rsidRPr="00467D5D">
        <w:rPr>
          <w:rFonts w:cs="Arial"/>
        </w:rPr>
        <w:t>reputational risk and risk of de-registration.</w:t>
      </w:r>
    </w:p>
    <w:p w14:paraId="5C2CA179" w14:textId="77777777" w:rsidR="00B776E0" w:rsidRDefault="00546F37" w:rsidP="00B776E0">
      <w:pPr>
        <w:rPr>
          <w:rFonts w:cs="Arial"/>
        </w:rPr>
      </w:pPr>
      <w:r w:rsidRPr="00546F37">
        <w:rPr>
          <w:rFonts w:cs="Arial"/>
          <w:b/>
          <w:i/>
        </w:rPr>
        <w:t>Qualification standards achieved.</w:t>
      </w:r>
      <w:r w:rsidR="00B776E0">
        <w:rPr>
          <w:rFonts w:cs="Arial"/>
          <w:i/>
        </w:rPr>
        <w:t xml:space="preserve"> </w:t>
      </w:r>
      <w:r w:rsidR="00B776E0" w:rsidRPr="00467D5D">
        <w:rPr>
          <w:rFonts w:cs="Arial"/>
        </w:rPr>
        <w:t xml:space="preserve">The Scope of Services requires APTC to deliver training at </w:t>
      </w:r>
      <w:r w:rsidR="003B311F">
        <w:rPr>
          <w:rFonts w:cs="Arial"/>
        </w:rPr>
        <w:t>C</w:t>
      </w:r>
      <w:r w:rsidR="003B311F" w:rsidRPr="00467D5D">
        <w:rPr>
          <w:rFonts w:cs="Arial"/>
        </w:rPr>
        <w:t xml:space="preserve">ertificate </w:t>
      </w:r>
      <w:r w:rsidR="00B776E0" w:rsidRPr="00467D5D">
        <w:rPr>
          <w:rFonts w:cs="Arial"/>
        </w:rPr>
        <w:t xml:space="preserve">level III and above. This is generally the case except where APTC </w:t>
      </w:r>
      <w:r w:rsidR="003B311F" w:rsidRPr="00467D5D">
        <w:rPr>
          <w:rFonts w:cs="Arial"/>
        </w:rPr>
        <w:t>i</w:t>
      </w:r>
      <w:r w:rsidR="003B311F">
        <w:rPr>
          <w:rFonts w:cs="Arial"/>
        </w:rPr>
        <w:t>s</w:t>
      </w:r>
      <w:r w:rsidR="003B311F" w:rsidRPr="00467D5D">
        <w:rPr>
          <w:rFonts w:cs="Arial"/>
        </w:rPr>
        <w:t xml:space="preserve"> </w:t>
      </w:r>
      <w:r w:rsidR="00B776E0" w:rsidRPr="00467D5D">
        <w:rPr>
          <w:rFonts w:cs="Arial"/>
        </w:rPr>
        <w:t xml:space="preserve">involved in joint delivery at </w:t>
      </w:r>
      <w:r w:rsidR="003B311F">
        <w:rPr>
          <w:rFonts w:cs="Arial"/>
        </w:rPr>
        <w:t>C</w:t>
      </w:r>
      <w:r w:rsidR="003B311F" w:rsidRPr="00467D5D">
        <w:rPr>
          <w:rFonts w:cs="Arial"/>
        </w:rPr>
        <w:t xml:space="preserve">ertificate </w:t>
      </w:r>
      <w:r w:rsidR="00B776E0" w:rsidRPr="00467D5D">
        <w:rPr>
          <w:rFonts w:cs="Arial"/>
        </w:rPr>
        <w:t>level II as a means to up</w:t>
      </w:r>
      <w:r w:rsidR="003B311F">
        <w:rPr>
          <w:rFonts w:cs="Arial"/>
        </w:rPr>
        <w:t>-</w:t>
      </w:r>
      <w:r w:rsidR="00B776E0" w:rsidRPr="00467D5D">
        <w:rPr>
          <w:rFonts w:cs="Arial"/>
        </w:rPr>
        <w:t xml:space="preserve">skill teachers and to provide a pathway for students to </w:t>
      </w:r>
      <w:r w:rsidR="003B311F">
        <w:rPr>
          <w:rFonts w:cs="Arial"/>
        </w:rPr>
        <w:t>C</w:t>
      </w:r>
      <w:r w:rsidR="003B311F" w:rsidRPr="00467D5D">
        <w:rPr>
          <w:rFonts w:cs="Arial"/>
        </w:rPr>
        <w:t xml:space="preserve">ertificate </w:t>
      </w:r>
      <w:r w:rsidR="00B776E0" w:rsidRPr="00467D5D">
        <w:rPr>
          <w:rFonts w:cs="Arial"/>
        </w:rPr>
        <w:t>level III, for example at Don Bosco Technical Institute</w:t>
      </w:r>
      <w:r w:rsidR="00B776E0">
        <w:rPr>
          <w:rFonts w:cs="Arial"/>
        </w:rPr>
        <w:t xml:space="preserve"> (DBTI) in the Solomon Islands</w:t>
      </w:r>
      <w:r w:rsidR="00B776E0" w:rsidRPr="00467D5D">
        <w:rPr>
          <w:rFonts w:cs="Arial"/>
        </w:rPr>
        <w:t xml:space="preserve"> and Vivekananda Technical Centre</w:t>
      </w:r>
      <w:r w:rsidR="00B776E0">
        <w:rPr>
          <w:rFonts w:cs="Arial"/>
        </w:rPr>
        <w:t xml:space="preserve"> (VTC) in Fiji</w:t>
      </w:r>
      <w:r w:rsidR="00B776E0" w:rsidRPr="00467D5D">
        <w:rPr>
          <w:rFonts w:cs="Arial"/>
        </w:rPr>
        <w:t xml:space="preserve">. </w:t>
      </w:r>
    </w:p>
    <w:p w14:paraId="373B8982" w14:textId="4CBBCF61" w:rsidR="00B776E0" w:rsidRPr="00467D5D" w:rsidRDefault="00B776E0" w:rsidP="00B776E0">
      <w:pPr>
        <w:rPr>
          <w:rFonts w:cs="Arial"/>
        </w:rPr>
      </w:pPr>
      <w:r>
        <w:rPr>
          <w:rFonts w:cs="Arial"/>
        </w:rPr>
        <w:t xml:space="preserve">Although there are some challenges with workplace training, it is </w:t>
      </w:r>
      <w:r w:rsidR="00790E89">
        <w:rPr>
          <w:rFonts w:cs="Arial"/>
        </w:rPr>
        <w:t xml:space="preserve">frequently </w:t>
      </w:r>
      <w:r>
        <w:rPr>
          <w:rFonts w:cs="Arial"/>
        </w:rPr>
        <w:t xml:space="preserve">built into the program design and therefore supported by APTC. Existing workers often have an automatic opportunity for work placement, while new industry entrants are more likely to need APTC support. There was little reference to the difficulties in finding work placement in the consultations or in the student surveys. </w:t>
      </w:r>
    </w:p>
    <w:p w14:paraId="0216FEF2" w14:textId="77777777" w:rsidR="00B776E0" w:rsidRPr="00467D5D" w:rsidRDefault="00546F37" w:rsidP="00B776E0">
      <w:pPr>
        <w:rPr>
          <w:rFonts w:cs="Arial"/>
        </w:rPr>
      </w:pPr>
      <w:r w:rsidRPr="00546F37">
        <w:rPr>
          <w:rFonts w:cs="Arial"/>
          <w:b/>
          <w:i/>
        </w:rPr>
        <w:t>Exposure to Australian standards.</w:t>
      </w:r>
      <w:r w:rsidR="00B776E0">
        <w:rPr>
          <w:rFonts w:cs="Arial"/>
          <w:i/>
        </w:rPr>
        <w:t xml:space="preserve"> </w:t>
      </w:r>
      <w:r w:rsidR="00B776E0" w:rsidRPr="00467D5D">
        <w:rPr>
          <w:rFonts w:cs="Arial"/>
        </w:rPr>
        <w:t xml:space="preserve">Exposure of tutors and students to workplaces that are equivalent to those in Australia is an area of some contention. This is related to debate as to whether </w:t>
      </w:r>
      <w:r w:rsidR="00B776E0">
        <w:rPr>
          <w:rFonts w:cs="Arial"/>
        </w:rPr>
        <w:t>Australian experience is</w:t>
      </w:r>
      <w:r w:rsidR="00B776E0" w:rsidRPr="00467D5D">
        <w:rPr>
          <w:rFonts w:cs="Arial"/>
        </w:rPr>
        <w:t xml:space="preserve"> essential in order to maintain compliance and whether local workplaces are of sufficient standard to ensure relevant current experience in the industry.</w:t>
      </w:r>
      <w:r w:rsidR="00B776E0">
        <w:rPr>
          <w:rFonts w:cs="Arial"/>
        </w:rPr>
        <w:t xml:space="preserve"> APTC commissioned e</w:t>
      </w:r>
      <w:r w:rsidR="00B776E0" w:rsidRPr="00467D5D">
        <w:rPr>
          <w:rFonts w:cs="Arial"/>
        </w:rPr>
        <w:t>xpert advice on how to resolve this debate</w:t>
      </w:r>
      <w:r w:rsidR="005974F9">
        <w:rPr>
          <w:rFonts w:cs="Arial"/>
        </w:rPr>
        <w:t>.</w:t>
      </w:r>
      <w:r w:rsidR="00B776E0" w:rsidRPr="00467D5D">
        <w:rPr>
          <w:rStyle w:val="FootnoteReference"/>
          <w:rFonts w:cs="Arial"/>
        </w:rPr>
        <w:footnoteReference w:id="23"/>
      </w:r>
      <w:r w:rsidR="00B776E0" w:rsidRPr="00467D5D">
        <w:rPr>
          <w:rFonts w:cs="Arial"/>
        </w:rPr>
        <w:t xml:space="preserve"> It states that the standards do not require experience across the whole industry, but that which is relevant to the qualification and that there is no explicit requirement that the current experience is specific to Australia. It also includes a range of suggested strategies for professional development that do not necessarily entail travel to Australia. Overall, it does not accept that industry experience in Australia is essential.</w:t>
      </w:r>
    </w:p>
    <w:p w14:paraId="473F3EAA" w14:textId="5A5A244D" w:rsidR="00B776E0" w:rsidRPr="00467D5D" w:rsidRDefault="00B776E0" w:rsidP="00B776E0">
      <w:pPr>
        <w:rPr>
          <w:rFonts w:cs="Arial"/>
        </w:rPr>
      </w:pPr>
      <w:r w:rsidRPr="00467D5D">
        <w:rPr>
          <w:rFonts w:cs="Arial"/>
        </w:rPr>
        <w:t>Nonetheless many national tutors and trainers are keen to gain experience in Australia as part of their professional development. According to the survey results</w:t>
      </w:r>
      <w:r>
        <w:rPr>
          <w:rFonts w:cs="Arial"/>
        </w:rPr>
        <w:t xml:space="preserve"> and as confirmed by the consultations</w:t>
      </w:r>
      <w:r w:rsidRPr="00131A95">
        <w:rPr>
          <w:rFonts w:cs="Arial"/>
        </w:rPr>
        <w:t xml:space="preserve">, tutors in particular saw lack of access to Australian experience as a major </w:t>
      </w:r>
      <w:r>
        <w:rPr>
          <w:rFonts w:cs="Arial"/>
        </w:rPr>
        <w:t>setback. It was also identified as</w:t>
      </w:r>
      <w:r w:rsidRPr="00131A95">
        <w:rPr>
          <w:rFonts w:cs="Arial"/>
        </w:rPr>
        <w:t xml:space="preserve"> an important means to improve the quality of delivery at APTC (</w:t>
      </w:r>
      <w:r>
        <w:rPr>
          <w:rFonts w:cs="Arial"/>
        </w:rPr>
        <w:t xml:space="preserve">Annex </w:t>
      </w:r>
      <w:r w:rsidR="00C27005">
        <w:rPr>
          <w:rFonts w:cs="Arial"/>
        </w:rPr>
        <w:t xml:space="preserve">5 </w:t>
      </w:r>
      <w:r>
        <w:rPr>
          <w:rFonts w:cs="Arial"/>
        </w:rPr>
        <w:t>– Staff).</w:t>
      </w:r>
      <w:r w:rsidRPr="00131A95">
        <w:rPr>
          <w:rFonts w:cs="Arial"/>
        </w:rPr>
        <w:t xml:space="preserve"> The </w:t>
      </w:r>
      <w:r>
        <w:rPr>
          <w:rFonts w:cs="Arial"/>
        </w:rPr>
        <w:t>evaluation team</w:t>
      </w:r>
      <w:r w:rsidRPr="00467D5D">
        <w:rPr>
          <w:rFonts w:cs="Arial"/>
        </w:rPr>
        <w:t xml:space="preserve"> was advised that to date, one month is the longest time any national has spent in Aust</w:t>
      </w:r>
      <w:r>
        <w:rPr>
          <w:rFonts w:cs="Arial"/>
        </w:rPr>
        <w:t xml:space="preserve">ralia. In the last two years, nine </w:t>
      </w:r>
      <w:r w:rsidRPr="00467D5D">
        <w:rPr>
          <w:rFonts w:cs="Arial"/>
        </w:rPr>
        <w:t xml:space="preserve">national trainers/tutors have gone to Australia from </w:t>
      </w:r>
      <w:r>
        <w:rPr>
          <w:rFonts w:cs="Arial"/>
        </w:rPr>
        <w:t xml:space="preserve">the School of Trades and </w:t>
      </w:r>
      <w:r w:rsidR="00D56278">
        <w:rPr>
          <w:rFonts w:cs="Arial"/>
        </w:rPr>
        <w:t xml:space="preserve">Technology </w:t>
      </w:r>
      <w:r>
        <w:rPr>
          <w:rFonts w:cs="Arial"/>
        </w:rPr>
        <w:t>(STT)</w:t>
      </w:r>
      <w:r w:rsidRPr="00467D5D">
        <w:rPr>
          <w:rFonts w:cs="Arial"/>
        </w:rPr>
        <w:t xml:space="preserve"> and</w:t>
      </w:r>
      <w:r>
        <w:rPr>
          <w:rFonts w:cs="Arial"/>
        </w:rPr>
        <w:t xml:space="preserve"> one national trainer from the School of Hospitality and Community Services (SHCS)</w:t>
      </w:r>
      <w:r w:rsidRPr="00467D5D">
        <w:rPr>
          <w:rFonts w:cs="Arial"/>
        </w:rPr>
        <w:t xml:space="preserve">. </w:t>
      </w:r>
      <w:r>
        <w:rPr>
          <w:rFonts w:cs="Arial"/>
        </w:rPr>
        <w:t xml:space="preserve">This compares with nine expatriate trainers from STT and two from SHCS. </w:t>
      </w:r>
      <w:r w:rsidRPr="00467D5D">
        <w:rPr>
          <w:rFonts w:cs="Arial"/>
        </w:rPr>
        <w:t xml:space="preserve">A recent example consisted of a total of nine days: three at an industry conference, three in the host </w:t>
      </w:r>
      <w:r w:rsidR="006953F7">
        <w:rPr>
          <w:rFonts w:cs="Arial"/>
        </w:rPr>
        <w:t>i</w:t>
      </w:r>
      <w:r w:rsidR="006953F7" w:rsidRPr="00467D5D">
        <w:rPr>
          <w:rFonts w:cs="Arial"/>
        </w:rPr>
        <w:t xml:space="preserve">nstitute </w:t>
      </w:r>
      <w:r w:rsidRPr="00467D5D">
        <w:rPr>
          <w:rFonts w:cs="Arial"/>
        </w:rPr>
        <w:t xml:space="preserve">and three visiting workplaces. Cost considerations are no doubt an element in the length of these visits. </w:t>
      </w:r>
      <w:r>
        <w:rPr>
          <w:rFonts w:cs="Arial"/>
        </w:rPr>
        <w:t xml:space="preserve"> </w:t>
      </w:r>
      <w:r w:rsidRPr="00467D5D">
        <w:rPr>
          <w:rFonts w:cs="Arial"/>
        </w:rPr>
        <w:t>One of the challenges is to identify opportunities for placement that do no</w:t>
      </w:r>
      <w:r w:rsidR="00943289">
        <w:rPr>
          <w:rFonts w:cs="Arial"/>
        </w:rPr>
        <w:t xml:space="preserve">t require travel to Australia. </w:t>
      </w:r>
      <w:r w:rsidRPr="00467D5D">
        <w:rPr>
          <w:rFonts w:cs="Arial"/>
        </w:rPr>
        <w:t>International companies operating in the Pacific are a possible option.</w:t>
      </w:r>
    </w:p>
    <w:p w14:paraId="6053D4CD" w14:textId="77777777" w:rsidR="00B776E0" w:rsidRDefault="00B776E0" w:rsidP="00B776E0">
      <w:pPr>
        <w:rPr>
          <w:rFonts w:cs="Arial"/>
        </w:rPr>
      </w:pPr>
      <w:r>
        <w:rPr>
          <w:rFonts w:cs="Arial"/>
        </w:rPr>
        <w:t>An interesting initiative has been the quality coaching program in Vanuatu, designed to assist the Vanuatu Institute of Technology in the introduction of quality policies and processes and the minimising of non-compliances. This was so successful that it was picked up by the Vanuatu TVET Sector Strengthening Project and will be used with rural training providers.</w:t>
      </w:r>
    </w:p>
    <w:p w14:paraId="0B17B38A" w14:textId="77777777" w:rsidR="003D355F" w:rsidRDefault="006E1733" w:rsidP="002028A6">
      <w:pPr>
        <w:pStyle w:val="Heading2"/>
      </w:pPr>
      <w:bookmarkStart w:id="630" w:name="_Toc274145122"/>
      <w:bookmarkStart w:id="631" w:name="_Toc274900507"/>
      <w:bookmarkStart w:id="632" w:name="_Toc274909888"/>
      <w:bookmarkStart w:id="633" w:name="_Toc278447904"/>
      <w:bookmarkStart w:id="634" w:name="_Toc278453377"/>
      <w:r>
        <w:t>1.3</w:t>
      </w:r>
      <w:r>
        <w:tab/>
      </w:r>
      <w:r w:rsidR="00B776E0" w:rsidRPr="00145BB7">
        <w:t>What are the main challenges faced by staff and students?</w:t>
      </w:r>
      <w:bookmarkEnd w:id="630"/>
      <w:bookmarkEnd w:id="631"/>
      <w:bookmarkEnd w:id="632"/>
      <w:bookmarkEnd w:id="633"/>
      <w:bookmarkEnd w:id="634"/>
    </w:p>
    <w:p w14:paraId="274F5A4D" w14:textId="77777777" w:rsidR="00B776E0" w:rsidRPr="00F40D52" w:rsidRDefault="00B776E0" w:rsidP="00B776E0">
      <w:pPr>
        <w:rPr>
          <w:rFonts w:cs="Arial"/>
        </w:rPr>
      </w:pPr>
      <w:r w:rsidRPr="00F40D52">
        <w:rPr>
          <w:rFonts w:cs="Arial"/>
        </w:rPr>
        <w:t>Stakeholder surveys of staff and students</w:t>
      </w:r>
      <w:r>
        <w:rPr>
          <w:rFonts w:cs="Arial"/>
        </w:rPr>
        <w:t xml:space="preserve"> show that they face considerable challenges. </w:t>
      </w:r>
    </w:p>
    <w:p w14:paraId="2A47F30C" w14:textId="6DC33953" w:rsidR="00B776E0" w:rsidRDefault="00B776E0" w:rsidP="00B776E0">
      <w:pPr>
        <w:rPr>
          <w:rFonts w:cs="Arial"/>
        </w:rPr>
      </w:pPr>
      <w:r w:rsidRPr="007F3797">
        <w:rPr>
          <w:rFonts w:cs="Arial"/>
        </w:rPr>
        <w:t xml:space="preserve">Trainers and tutors </w:t>
      </w:r>
      <w:r>
        <w:rPr>
          <w:rFonts w:cs="Arial"/>
        </w:rPr>
        <w:t xml:space="preserve">commented that they </w:t>
      </w:r>
      <w:r w:rsidRPr="007F3797">
        <w:rPr>
          <w:rFonts w:cs="Arial"/>
        </w:rPr>
        <w:t xml:space="preserve">face many of the same issues, particularly dealing with students who have </w:t>
      </w:r>
      <w:r>
        <w:rPr>
          <w:rFonts w:cs="Arial"/>
        </w:rPr>
        <w:t xml:space="preserve">insufficient </w:t>
      </w:r>
      <w:r w:rsidRPr="007F3797">
        <w:rPr>
          <w:rFonts w:cs="Arial"/>
        </w:rPr>
        <w:t>language</w:t>
      </w:r>
      <w:r>
        <w:rPr>
          <w:rFonts w:cs="Arial"/>
        </w:rPr>
        <w:t>,</w:t>
      </w:r>
      <w:r w:rsidRPr="007F3797">
        <w:rPr>
          <w:rFonts w:cs="Arial"/>
        </w:rPr>
        <w:t xml:space="preserve"> literacy and numeracy</w:t>
      </w:r>
      <w:r>
        <w:rPr>
          <w:rFonts w:cs="Arial"/>
        </w:rPr>
        <w:t xml:space="preserve"> (LLN) skills</w:t>
      </w:r>
      <w:r w:rsidRPr="007F3797">
        <w:rPr>
          <w:rFonts w:cs="Arial"/>
        </w:rPr>
        <w:t>, with students from different cultural backgrounds and with students’ different leaning styles.</w:t>
      </w:r>
      <w:r>
        <w:rPr>
          <w:rFonts w:cs="Arial"/>
        </w:rPr>
        <w:t xml:space="preserve"> </w:t>
      </w:r>
      <w:r w:rsidRPr="007F3797">
        <w:rPr>
          <w:rFonts w:cs="Arial"/>
        </w:rPr>
        <w:t>Both are concerned about time</w:t>
      </w:r>
      <w:r w:rsidR="00C27005">
        <w:rPr>
          <w:rFonts w:cs="Arial"/>
        </w:rPr>
        <w:t xml:space="preserve"> </w:t>
      </w:r>
      <w:r w:rsidRPr="007F3797">
        <w:rPr>
          <w:rFonts w:cs="Arial"/>
        </w:rPr>
        <w:t>frames for courses and the limitations of space and resources and both would like more Pacific-context learning resources.</w:t>
      </w:r>
    </w:p>
    <w:p w14:paraId="2543DA3E" w14:textId="5F25F713" w:rsidR="00B776E0" w:rsidRPr="007F3797" w:rsidRDefault="00B776E0" w:rsidP="00B776E0">
      <w:pPr>
        <w:rPr>
          <w:rFonts w:cs="Arial"/>
        </w:rPr>
      </w:pPr>
      <w:r w:rsidRPr="007F3797">
        <w:rPr>
          <w:rFonts w:cs="Arial"/>
        </w:rPr>
        <w:t xml:space="preserve">Both </w:t>
      </w:r>
      <w:r>
        <w:rPr>
          <w:rFonts w:cs="Arial"/>
        </w:rPr>
        <w:t>trainers and tutors considered</w:t>
      </w:r>
      <w:r w:rsidRPr="007F3797">
        <w:rPr>
          <w:rFonts w:cs="Arial"/>
        </w:rPr>
        <w:t xml:space="preserve"> that dealing with cultural diversity is an issue for students, which may well mean dealing with Australian</w:t>
      </w:r>
      <w:r w:rsidR="00C27005">
        <w:rPr>
          <w:rFonts w:cs="Arial"/>
        </w:rPr>
        <w:t>,</w:t>
      </w:r>
      <w:r w:rsidRPr="007F3797">
        <w:rPr>
          <w:rFonts w:cs="Arial"/>
        </w:rPr>
        <w:t xml:space="preserve"> as well as different Pacific</w:t>
      </w:r>
      <w:r w:rsidR="00C27005">
        <w:rPr>
          <w:rFonts w:cs="Arial"/>
        </w:rPr>
        <w:t>,</w:t>
      </w:r>
      <w:r w:rsidRPr="007F3797">
        <w:rPr>
          <w:rFonts w:cs="Arial"/>
        </w:rPr>
        <w:t xml:space="preserve"> cultures.</w:t>
      </w:r>
      <w:r>
        <w:rPr>
          <w:rFonts w:cs="Arial"/>
        </w:rPr>
        <w:t xml:space="preserve"> </w:t>
      </w:r>
      <w:r w:rsidRPr="007F3797">
        <w:rPr>
          <w:rFonts w:cs="Arial"/>
        </w:rPr>
        <w:t>Financial concerns, living conditions</w:t>
      </w:r>
      <w:r>
        <w:rPr>
          <w:rFonts w:cs="Arial"/>
        </w:rPr>
        <w:t xml:space="preserve">, lack </w:t>
      </w:r>
      <w:r w:rsidRPr="007F3797">
        <w:rPr>
          <w:rFonts w:cs="Arial"/>
        </w:rPr>
        <w:t xml:space="preserve">of social activities </w:t>
      </w:r>
      <w:r>
        <w:rPr>
          <w:rFonts w:cs="Arial"/>
        </w:rPr>
        <w:t>and homesickness were also identified as challenges</w:t>
      </w:r>
      <w:r w:rsidRPr="00421278">
        <w:rPr>
          <w:rFonts w:cs="Arial"/>
        </w:rPr>
        <w:t xml:space="preserve">. (Annex </w:t>
      </w:r>
      <w:r w:rsidR="00C27005">
        <w:rPr>
          <w:rFonts w:cs="Arial"/>
        </w:rPr>
        <w:t xml:space="preserve">5 </w:t>
      </w:r>
      <w:r w:rsidRPr="00421278">
        <w:rPr>
          <w:rFonts w:cs="Arial"/>
        </w:rPr>
        <w:t>– Staff)</w:t>
      </w:r>
    </w:p>
    <w:p w14:paraId="37184FEB" w14:textId="5A9C6682" w:rsidR="00B776E0" w:rsidRDefault="00B776E0" w:rsidP="00B776E0">
      <w:pPr>
        <w:rPr>
          <w:rFonts w:cs="Arial"/>
        </w:rPr>
      </w:pPr>
      <w:r>
        <w:rPr>
          <w:rFonts w:cs="Arial"/>
        </w:rPr>
        <w:t xml:space="preserve">This is consistent with what the students said themselves. </w:t>
      </w:r>
      <w:r w:rsidRPr="00F40D52">
        <w:rPr>
          <w:rFonts w:cs="Arial"/>
        </w:rPr>
        <w:t xml:space="preserve">Major difficulties </w:t>
      </w:r>
      <w:r w:rsidR="00C0213A">
        <w:rPr>
          <w:rFonts w:cs="Arial"/>
        </w:rPr>
        <w:t xml:space="preserve">they </w:t>
      </w:r>
      <w:r w:rsidRPr="00F40D52">
        <w:rPr>
          <w:rFonts w:cs="Arial"/>
        </w:rPr>
        <w:t xml:space="preserve">identified </w:t>
      </w:r>
      <w:r>
        <w:rPr>
          <w:rFonts w:cs="Arial"/>
        </w:rPr>
        <w:t>were</w:t>
      </w:r>
      <w:r w:rsidRPr="00F40D52">
        <w:rPr>
          <w:rFonts w:cs="Arial"/>
        </w:rPr>
        <w:t xml:space="preserve"> those related to study, </w:t>
      </w:r>
      <w:r>
        <w:rPr>
          <w:rFonts w:cs="Arial"/>
        </w:rPr>
        <w:t xml:space="preserve">such as </w:t>
      </w:r>
      <w:r w:rsidRPr="00F40D52">
        <w:rPr>
          <w:rFonts w:cs="Arial"/>
        </w:rPr>
        <w:t>access to and use of computers</w:t>
      </w:r>
      <w:r>
        <w:rPr>
          <w:rFonts w:cs="Arial"/>
        </w:rPr>
        <w:t xml:space="preserve"> and</w:t>
      </w:r>
      <w:r w:rsidRPr="00F40D52">
        <w:rPr>
          <w:rFonts w:cs="Arial"/>
        </w:rPr>
        <w:t xml:space="preserve"> problems with English</w:t>
      </w:r>
      <w:r w:rsidR="00342291">
        <w:rPr>
          <w:rFonts w:cs="Arial"/>
        </w:rPr>
        <w:t>,</w:t>
      </w:r>
      <w:r>
        <w:rPr>
          <w:rFonts w:cs="Arial"/>
        </w:rPr>
        <w:t xml:space="preserve"> as well as</w:t>
      </w:r>
      <w:r w:rsidRPr="00F40D52">
        <w:rPr>
          <w:rFonts w:cs="Arial"/>
        </w:rPr>
        <w:t xml:space="preserve"> </w:t>
      </w:r>
      <w:r>
        <w:rPr>
          <w:rFonts w:cs="Arial"/>
        </w:rPr>
        <w:t xml:space="preserve">insufficient time to complete </w:t>
      </w:r>
      <w:r w:rsidRPr="00F40D52">
        <w:rPr>
          <w:rFonts w:cs="Arial"/>
        </w:rPr>
        <w:t xml:space="preserve">the course and financial matters. These issues accounted for half of the issues listed by students. </w:t>
      </w:r>
    </w:p>
    <w:p w14:paraId="3ABECA94" w14:textId="0CF52A21" w:rsidR="00B776E0" w:rsidRPr="007D6A59" w:rsidRDefault="00B776E0" w:rsidP="00B776E0">
      <w:pPr>
        <w:rPr>
          <w:rFonts w:cs="Arial"/>
        </w:rPr>
      </w:pPr>
      <w:r w:rsidRPr="007D6A59">
        <w:rPr>
          <w:rFonts w:cs="Arial"/>
        </w:rPr>
        <w:t>Most students are full-time (83 per cent). Only just over one-in-three are in paid work while a student. Of those students in paid work before APTC, 60 per cent are not in paid work while a student. This suggests that most employers have stopped paying their employees while they are students</w:t>
      </w:r>
      <w:r>
        <w:rPr>
          <w:rFonts w:cs="Arial"/>
        </w:rPr>
        <w:t xml:space="preserve"> and accounts for the financial difficulties many of them face.</w:t>
      </w:r>
      <w:r w:rsidRPr="007D6A59">
        <w:rPr>
          <w:rFonts w:cs="Arial"/>
        </w:rPr>
        <w:t xml:space="preserve"> </w:t>
      </w:r>
      <w:r>
        <w:rPr>
          <w:rFonts w:cs="Arial"/>
        </w:rPr>
        <w:t>(</w:t>
      </w:r>
      <w:r w:rsidRPr="00421278">
        <w:rPr>
          <w:rFonts w:cs="Arial"/>
        </w:rPr>
        <w:t xml:space="preserve">Annex </w:t>
      </w:r>
      <w:r w:rsidR="002E4052">
        <w:rPr>
          <w:rFonts w:cs="Arial"/>
        </w:rPr>
        <w:t xml:space="preserve">5 </w:t>
      </w:r>
      <w:r w:rsidRPr="00421278">
        <w:rPr>
          <w:rFonts w:cs="Arial"/>
        </w:rPr>
        <w:t>– Students)</w:t>
      </w:r>
    </w:p>
    <w:p w14:paraId="446E724C" w14:textId="24C00AFE" w:rsidR="00B776E0" w:rsidRDefault="00B776E0" w:rsidP="00B776E0">
      <w:pPr>
        <w:rPr>
          <w:rFonts w:cs="Arial"/>
        </w:rPr>
      </w:pPr>
      <w:r w:rsidRPr="007F3797">
        <w:rPr>
          <w:rFonts w:cs="Arial"/>
        </w:rPr>
        <w:t xml:space="preserve">Trainers and tutors are united in their views on the ways students’ issues can be addressed with </w:t>
      </w:r>
      <w:r>
        <w:rPr>
          <w:rFonts w:cs="Arial"/>
        </w:rPr>
        <w:t xml:space="preserve">more </w:t>
      </w:r>
      <w:r w:rsidRPr="007F3797">
        <w:rPr>
          <w:rFonts w:cs="Arial"/>
        </w:rPr>
        <w:t>LLN support, provision of more study and social su</w:t>
      </w:r>
      <w:r w:rsidR="00336BB7">
        <w:rPr>
          <w:rFonts w:cs="Arial"/>
        </w:rPr>
        <w:t xml:space="preserve">pport and the extension of time </w:t>
      </w:r>
      <w:r w:rsidRPr="007F3797">
        <w:rPr>
          <w:rFonts w:cs="Arial"/>
        </w:rPr>
        <w:t xml:space="preserve">frames for </w:t>
      </w:r>
      <w:r>
        <w:rPr>
          <w:rFonts w:cs="Arial"/>
        </w:rPr>
        <w:t xml:space="preserve">the </w:t>
      </w:r>
      <w:r w:rsidRPr="007F3797">
        <w:rPr>
          <w:rFonts w:cs="Arial"/>
        </w:rPr>
        <w:t>course ranking in the three most mentioned suggestions for both groups.</w:t>
      </w:r>
      <w:r>
        <w:rPr>
          <w:rFonts w:cs="Arial"/>
        </w:rPr>
        <w:t xml:space="preserve"> </w:t>
      </w:r>
      <w:r w:rsidRPr="00FA1F47">
        <w:rPr>
          <w:rFonts w:cs="Arial"/>
        </w:rPr>
        <w:t>The provision of follow-up workshops for graduates, as well as pathways or access to higher level qualifications</w:t>
      </w:r>
      <w:r w:rsidR="00336BB7">
        <w:rPr>
          <w:rFonts w:cs="Arial"/>
        </w:rPr>
        <w:t>,</w:t>
      </w:r>
      <w:r w:rsidRPr="00FA1F47">
        <w:rPr>
          <w:rFonts w:cs="Arial"/>
        </w:rPr>
        <w:t xml:space="preserve"> </w:t>
      </w:r>
      <w:r>
        <w:rPr>
          <w:rFonts w:cs="Arial"/>
        </w:rPr>
        <w:t>were</w:t>
      </w:r>
      <w:r w:rsidRPr="00FA1F47">
        <w:rPr>
          <w:rFonts w:cs="Arial"/>
        </w:rPr>
        <w:t xml:space="preserve"> seen as ways to improve graduate outcomes.</w:t>
      </w:r>
    </w:p>
    <w:p w14:paraId="417583FE" w14:textId="79B3ACD5" w:rsidR="005B53BE" w:rsidRPr="005B53BE" w:rsidRDefault="005B53BE" w:rsidP="005B53BE">
      <w:pPr>
        <w:rPr>
          <w:rFonts w:cs="Arial"/>
        </w:rPr>
      </w:pPr>
      <w:r w:rsidRPr="005B53BE">
        <w:rPr>
          <w:rFonts w:cs="Arial"/>
        </w:rPr>
        <w:t>These challenges illustrate the reality and complexity of the student target group and the environment in which APTC operates</w:t>
      </w:r>
      <w:r w:rsidR="00B404C7">
        <w:rPr>
          <w:rFonts w:cs="Arial"/>
        </w:rPr>
        <w:t>; they</w:t>
      </w:r>
      <w:r w:rsidRPr="005B53BE">
        <w:rPr>
          <w:rFonts w:cs="Arial"/>
        </w:rPr>
        <w:t xml:space="preserve"> are likely to continue, despite concerted efforts by APTC through a range of support services to students discussed elsewhere in this report. </w:t>
      </w:r>
    </w:p>
    <w:p w14:paraId="09D8BCE4" w14:textId="77777777" w:rsidR="005B53BE" w:rsidRPr="00FA1F47" w:rsidRDefault="005B53BE" w:rsidP="00B776E0">
      <w:pPr>
        <w:rPr>
          <w:rFonts w:cs="Arial"/>
        </w:rPr>
      </w:pPr>
    </w:p>
    <w:p w14:paraId="5C23A1FA" w14:textId="6DBAA26B" w:rsidR="003D355F" w:rsidRDefault="006B6112" w:rsidP="002028A6">
      <w:pPr>
        <w:pStyle w:val="Heading2"/>
      </w:pPr>
      <w:bookmarkStart w:id="635" w:name="_Toc274145123"/>
      <w:bookmarkStart w:id="636" w:name="_Toc274900508"/>
      <w:bookmarkStart w:id="637" w:name="_Toc274909889"/>
      <w:bookmarkStart w:id="638" w:name="_Toc278447905"/>
      <w:bookmarkStart w:id="639" w:name="_Toc278453378"/>
      <w:r>
        <w:t>1.4</w:t>
      </w:r>
      <w:r>
        <w:tab/>
      </w:r>
      <w:r w:rsidR="00B776E0" w:rsidRPr="00145BB7">
        <w:t xml:space="preserve">To what extent has APTC effectively used different and flexible delivery </w:t>
      </w:r>
      <w:r w:rsidR="00106AAA">
        <w:br/>
      </w:r>
      <w:r w:rsidR="00106AAA">
        <w:tab/>
      </w:r>
      <w:r w:rsidR="00B776E0" w:rsidRPr="00145BB7">
        <w:t xml:space="preserve">methods in different parts of the Pacific, including distance learning, </w:t>
      </w:r>
      <w:r w:rsidR="00106AAA">
        <w:br/>
      </w:r>
      <w:r w:rsidR="00106AAA">
        <w:tab/>
      </w:r>
      <w:r w:rsidR="00B776E0" w:rsidRPr="00145BB7">
        <w:t>blended approaches and outreach?</w:t>
      </w:r>
      <w:bookmarkEnd w:id="635"/>
      <w:bookmarkEnd w:id="636"/>
      <w:bookmarkEnd w:id="637"/>
      <w:bookmarkEnd w:id="638"/>
      <w:bookmarkEnd w:id="639"/>
    </w:p>
    <w:p w14:paraId="5E09E1E3" w14:textId="7672703C" w:rsidR="00B776E0" w:rsidRPr="00467D5D" w:rsidRDefault="00B776E0" w:rsidP="00B776E0">
      <w:pPr>
        <w:rPr>
          <w:rFonts w:cs="Arial"/>
        </w:rPr>
      </w:pPr>
      <w:r w:rsidRPr="00F338C3">
        <w:rPr>
          <w:rFonts w:cs="Arial"/>
        </w:rPr>
        <w:t xml:space="preserve">Given the significant educational, technological and financial constraints that exist in this regard, APTC has only been able to make limited progress in implementing </w:t>
      </w:r>
      <w:r w:rsidR="00336BB7">
        <w:rPr>
          <w:rFonts w:cs="Arial"/>
        </w:rPr>
        <w:br/>
      </w:r>
      <w:r w:rsidRPr="00F338C3">
        <w:rPr>
          <w:rFonts w:cs="Arial"/>
        </w:rPr>
        <w:t>e-learning and blended learning but has otherwise implemented flexible and outreach delivery methods.</w:t>
      </w:r>
      <w:r>
        <w:rPr>
          <w:rFonts w:cs="Arial"/>
        </w:rPr>
        <w:t xml:space="preserve"> </w:t>
      </w:r>
    </w:p>
    <w:p w14:paraId="3C2BBB26" w14:textId="1F48B652" w:rsidR="00B776E0" w:rsidRPr="00467D5D" w:rsidRDefault="00546F37" w:rsidP="00B776E0">
      <w:pPr>
        <w:rPr>
          <w:rFonts w:cs="Arial"/>
        </w:rPr>
      </w:pPr>
      <w:r w:rsidRPr="00546F37">
        <w:rPr>
          <w:rFonts w:cs="Arial"/>
          <w:b/>
          <w:i/>
        </w:rPr>
        <w:t>E-</w:t>
      </w:r>
      <w:r w:rsidR="00EE0216">
        <w:rPr>
          <w:rFonts w:cs="Arial"/>
          <w:b/>
          <w:i/>
        </w:rPr>
        <w:t>l</w:t>
      </w:r>
      <w:r w:rsidRPr="00546F37">
        <w:rPr>
          <w:rFonts w:cs="Arial"/>
          <w:b/>
          <w:i/>
        </w:rPr>
        <w:t>earning/ Blended learning/ Distance learning.</w:t>
      </w:r>
      <w:r w:rsidR="00B776E0">
        <w:rPr>
          <w:rFonts w:cs="Arial"/>
          <w:i/>
        </w:rPr>
        <w:t xml:space="preserve"> </w:t>
      </w:r>
      <w:r w:rsidR="00B776E0" w:rsidRPr="00467D5D">
        <w:rPr>
          <w:rFonts w:cs="Arial"/>
        </w:rPr>
        <w:t xml:space="preserve">In the TVET/applied learning environment, where practical skills are to be assessed and training package requirements are to be met, there are limits to the extent to which distance and </w:t>
      </w:r>
      <w:r w:rsidR="00336BB7">
        <w:rPr>
          <w:rFonts w:cs="Arial"/>
        </w:rPr>
        <w:br/>
      </w:r>
      <w:r w:rsidR="00B776E0" w:rsidRPr="00467D5D">
        <w:rPr>
          <w:rFonts w:cs="Arial"/>
        </w:rPr>
        <w:t>e-learning approaches can be used. Although there is scope for the theoretical component of the course to be delivered online, practical, hands-on skills need the appropriate industry/workplace setting or its simulated version.</w:t>
      </w:r>
    </w:p>
    <w:p w14:paraId="74B77A0B" w14:textId="77777777" w:rsidR="00B776E0" w:rsidRPr="00467D5D" w:rsidRDefault="00B776E0" w:rsidP="00B776E0">
      <w:pPr>
        <w:rPr>
          <w:rFonts w:cs="Arial"/>
        </w:rPr>
      </w:pPr>
      <w:r>
        <w:rPr>
          <w:rFonts w:cs="Arial"/>
        </w:rPr>
        <w:t>Implementation of e-learning</w:t>
      </w:r>
      <w:r w:rsidRPr="00467D5D">
        <w:rPr>
          <w:rFonts w:cs="Arial"/>
        </w:rPr>
        <w:t xml:space="preserve"> is further constrained by the nature and age of the APTC student cohort – existing workers or new entrants</w:t>
      </w:r>
      <w:r>
        <w:rPr>
          <w:rFonts w:cs="Arial"/>
        </w:rPr>
        <w:t>. They</w:t>
      </w:r>
      <w:r w:rsidRPr="00467D5D">
        <w:rPr>
          <w:rFonts w:cs="Arial"/>
        </w:rPr>
        <w:t xml:space="preserve"> often </w:t>
      </w:r>
      <w:r>
        <w:rPr>
          <w:rFonts w:cs="Arial"/>
        </w:rPr>
        <w:t>have limited prior educational experience or have been away from formal training for some time and</w:t>
      </w:r>
      <w:r w:rsidRPr="00467D5D">
        <w:rPr>
          <w:rFonts w:cs="Arial"/>
        </w:rPr>
        <w:t xml:space="preserve"> </w:t>
      </w:r>
      <w:r>
        <w:rPr>
          <w:rFonts w:cs="Arial"/>
        </w:rPr>
        <w:t xml:space="preserve">they </w:t>
      </w:r>
      <w:r w:rsidRPr="00467D5D">
        <w:rPr>
          <w:rFonts w:cs="Arial"/>
        </w:rPr>
        <w:t xml:space="preserve">typically </w:t>
      </w:r>
      <w:r>
        <w:rPr>
          <w:rFonts w:cs="Arial"/>
        </w:rPr>
        <w:t>have</w:t>
      </w:r>
      <w:r w:rsidRPr="00467D5D">
        <w:rPr>
          <w:rFonts w:cs="Arial"/>
        </w:rPr>
        <w:t xml:space="preserve"> limited access to technology unless at an APTC campus.</w:t>
      </w:r>
    </w:p>
    <w:p w14:paraId="3DD1DEA6" w14:textId="0F025F11" w:rsidR="00B776E0" w:rsidRDefault="00B776E0" w:rsidP="00B776E0">
      <w:pPr>
        <w:rPr>
          <w:rFonts w:cs="Arial"/>
        </w:rPr>
      </w:pPr>
      <w:r w:rsidRPr="00467D5D">
        <w:rPr>
          <w:rFonts w:cs="Arial"/>
        </w:rPr>
        <w:t>A recent study provided details of internet penetration rates in the Pacific</w:t>
      </w:r>
      <w:r w:rsidR="00413CE5">
        <w:rPr>
          <w:rFonts w:cs="Arial"/>
        </w:rPr>
        <w:t>.</w:t>
      </w:r>
      <w:r w:rsidR="00336BB7">
        <w:rPr>
          <w:rFonts w:cs="Arial"/>
        </w:rPr>
        <w:t xml:space="preserve"> See Table 6.3 below. </w:t>
      </w:r>
    </w:p>
    <w:p w14:paraId="37575A73" w14:textId="77777777" w:rsidR="00B776E0" w:rsidRPr="00DD2B16" w:rsidRDefault="00B776E0" w:rsidP="00943289">
      <w:pPr>
        <w:pStyle w:val="Tableheading"/>
      </w:pPr>
      <w:bookmarkStart w:id="640" w:name="_Toc274146480"/>
      <w:bookmarkStart w:id="641" w:name="_Toc274915939"/>
      <w:bookmarkStart w:id="642" w:name="_Toc278446919"/>
      <w:r w:rsidRPr="00DD2B16">
        <w:t xml:space="preserve">Table </w:t>
      </w:r>
      <w:r w:rsidR="00413CE5">
        <w:t>6.</w:t>
      </w:r>
      <w:r w:rsidRPr="00DD2B16">
        <w:t xml:space="preserve">3: Internet </w:t>
      </w:r>
      <w:r w:rsidR="00943289">
        <w:t>p</w:t>
      </w:r>
      <w:r w:rsidRPr="00DD2B16">
        <w:t xml:space="preserve">enetration </w:t>
      </w:r>
      <w:r w:rsidR="00943289">
        <w:t>r</w:t>
      </w:r>
      <w:r w:rsidRPr="00DD2B16">
        <w:t>ates in the Pacific</w:t>
      </w:r>
      <w:bookmarkEnd w:id="640"/>
      <w:bookmarkEnd w:id="641"/>
      <w:bookmarkEnd w:id="642"/>
    </w:p>
    <w:tbl>
      <w:tblPr>
        <w:tblStyle w:val="TableGrid"/>
        <w:tblW w:w="72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18"/>
        <w:gridCol w:w="1842"/>
        <w:gridCol w:w="1560"/>
      </w:tblGrid>
      <w:tr w:rsidR="005135BD" w:rsidRPr="00943289" w14:paraId="03A55D60" w14:textId="77777777" w:rsidTr="005135BD">
        <w:trPr>
          <w:trHeight w:val="20"/>
        </w:trPr>
        <w:tc>
          <w:tcPr>
            <w:tcW w:w="2410" w:type="dxa"/>
            <w:shd w:val="clear" w:color="auto" w:fill="C5E0B3" w:themeFill="accent6" w:themeFillTint="66"/>
          </w:tcPr>
          <w:p w14:paraId="2D35C6F2" w14:textId="77777777" w:rsidR="00B776E0" w:rsidRPr="00943289" w:rsidRDefault="00B776E0" w:rsidP="00943289">
            <w:pPr>
              <w:spacing w:before="40" w:after="40"/>
              <w:rPr>
                <w:rFonts w:cs="Arial"/>
                <w:b/>
                <w:sz w:val="18"/>
              </w:rPr>
            </w:pPr>
            <w:r w:rsidRPr="00943289">
              <w:rPr>
                <w:rFonts w:cs="Arial"/>
                <w:b/>
                <w:sz w:val="18"/>
              </w:rPr>
              <w:t>Country</w:t>
            </w:r>
          </w:p>
        </w:tc>
        <w:tc>
          <w:tcPr>
            <w:tcW w:w="1418" w:type="dxa"/>
            <w:tcBorders>
              <w:right w:val="single" w:sz="4" w:space="0" w:color="A8D08D" w:themeColor="accent6" w:themeTint="99"/>
            </w:tcBorders>
            <w:shd w:val="clear" w:color="auto" w:fill="C5E0B3" w:themeFill="accent6" w:themeFillTint="66"/>
          </w:tcPr>
          <w:p w14:paraId="031DEB3D" w14:textId="77777777" w:rsidR="00B776E0" w:rsidRPr="00943289" w:rsidRDefault="00B776E0" w:rsidP="005135BD">
            <w:pPr>
              <w:spacing w:before="40" w:after="40"/>
              <w:jc w:val="center"/>
              <w:rPr>
                <w:rFonts w:cs="Arial"/>
                <w:b/>
                <w:sz w:val="18"/>
              </w:rPr>
            </w:pPr>
            <w:r w:rsidRPr="00943289">
              <w:rPr>
                <w:rFonts w:cs="Arial"/>
                <w:b/>
                <w:sz w:val="18"/>
              </w:rPr>
              <w:t>% population accessing the internet</w:t>
            </w:r>
          </w:p>
        </w:tc>
        <w:tc>
          <w:tcPr>
            <w:tcW w:w="1842" w:type="dxa"/>
            <w:tcBorders>
              <w:left w:val="single" w:sz="4" w:space="0" w:color="A8D08D" w:themeColor="accent6" w:themeTint="99"/>
            </w:tcBorders>
            <w:shd w:val="clear" w:color="auto" w:fill="C5E0B3" w:themeFill="accent6" w:themeFillTint="66"/>
          </w:tcPr>
          <w:p w14:paraId="2DD634EA" w14:textId="77777777" w:rsidR="00B776E0" w:rsidRPr="00943289" w:rsidRDefault="00B776E0" w:rsidP="00943289">
            <w:pPr>
              <w:spacing w:before="40" w:after="40"/>
              <w:rPr>
                <w:rFonts w:cs="Arial"/>
                <w:b/>
                <w:sz w:val="18"/>
              </w:rPr>
            </w:pPr>
            <w:r w:rsidRPr="00943289">
              <w:rPr>
                <w:rFonts w:cs="Arial"/>
                <w:b/>
                <w:sz w:val="18"/>
              </w:rPr>
              <w:t>Country</w:t>
            </w:r>
          </w:p>
        </w:tc>
        <w:tc>
          <w:tcPr>
            <w:tcW w:w="1560" w:type="dxa"/>
            <w:shd w:val="clear" w:color="auto" w:fill="C5E0B3" w:themeFill="accent6" w:themeFillTint="66"/>
          </w:tcPr>
          <w:p w14:paraId="0DB8BFDE" w14:textId="77777777" w:rsidR="00B776E0" w:rsidRPr="00943289" w:rsidRDefault="00B776E0" w:rsidP="00943289">
            <w:pPr>
              <w:spacing w:before="40" w:after="40"/>
              <w:jc w:val="center"/>
              <w:rPr>
                <w:rFonts w:cs="Arial"/>
                <w:b/>
                <w:sz w:val="18"/>
              </w:rPr>
            </w:pPr>
            <w:r w:rsidRPr="00943289">
              <w:rPr>
                <w:rFonts w:cs="Arial"/>
                <w:b/>
                <w:sz w:val="18"/>
              </w:rPr>
              <w:t>% population accessing the internet</w:t>
            </w:r>
          </w:p>
        </w:tc>
      </w:tr>
      <w:tr w:rsidR="005135BD" w:rsidRPr="00943289" w14:paraId="265F12B7" w14:textId="77777777" w:rsidTr="005135BD">
        <w:trPr>
          <w:trHeight w:val="20"/>
        </w:trPr>
        <w:tc>
          <w:tcPr>
            <w:tcW w:w="2410" w:type="dxa"/>
          </w:tcPr>
          <w:p w14:paraId="79FBE86A" w14:textId="77777777" w:rsidR="00B776E0" w:rsidRPr="00943289" w:rsidRDefault="00B776E0" w:rsidP="00943289">
            <w:pPr>
              <w:spacing w:before="40" w:after="40"/>
              <w:rPr>
                <w:rFonts w:cs="Arial"/>
                <w:sz w:val="18"/>
              </w:rPr>
            </w:pPr>
            <w:r w:rsidRPr="00943289">
              <w:rPr>
                <w:rFonts w:cs="Arial"/>
                <w:sz w:val="18"/>
              </w:rPr>
              <w:t>Cook Is</w:t>
            </w:r>
            <w:r w:rsidR="00413CE5">
              <w:rPr>
                <w:rFonts w:cs="Arial"/>
                <w:sz w:val="18"/>
              </w:rPr>
              <w:t>lands</w:t>
            </w:r>
          </w:p>
        </w:tc>
        <w:tc>
          <w:tcPr>
            <w:tcW w:w="1418" w:type="dxa"/>
            <w:tcBorders>
              <w:right w:val="single" w:sz="4" w:space="0" w:color="A8D08D" w:themeColor="accent6" w:themeTint="99"/>
            </w:tcBorders>
          </w:tcPr>
          <w:p w14:paraId="501021B8" w14:textId="77777777" w:rsidR="00B776E0" w:rsidRPr="00943289" w:rsidRDefault="00B776E0" w:rsidP="00943289">
            <w:pPr>
              <w:spacing w:before="40" w:after="40"/>
              <w:jc w:val="center"/>
              <w:rPr>
                <w:rFonts w:cs="Arial"/>
                <w:sz w:val="18"/>
              </w:rPr>
            </w:pPr>
            <w:r w:rsidRPr="00943289">
              <w:rPr>
                <w:rFonts w:cs="Arial"/>
                <w:sz w:val="18"/>
              </w:rPr>
              <w:t>Not available</w:t>
            </w:r>
          </w:p>
        </w:tc>
        <w:tc>
          <w:tcPr>
            <w:tcW w:w="1842" w:type="dxa"/>
            <w:tcBorders>
              <w:left w:val="single" w:sz="4" w:space="0" w:color="A8D08D" w:themeColor="accent6" w:themeTint="99"/>
            </w:tcBorders>
          </w:tcPr>
          <w:p w14:paraId="15EA6963" w14:textId="77777777" w:rsidR="00B776E0" w:rsidRPr="00943289" w:rsidRDefault="00B776E0" w:rsidP="00943289">
            <w:pPr>
              <w:spacing w:before="40" w:after="40"/>
              <w:rPr>
                <w:rFonts w:cs="Arial"/>
                <w:sz w:val="18"/>
              </w:rPr>
            </w:pPr>
            <w:r w:rsidRPr="00943289">
              <w:rPr>
                <w:rFonts w:cs="Arial"/>
                <w:sz w:val="18"/>
              </w:rPr>
              <w:t>Palau</w:t>
            </w:r>
          </w:p>
        </w:tc>
        <w:tc>
          <w:tcPr>
            <w:tcW w:w="1560" w:type="dxa"/>
          </w:tcPr>
          <w:p w14:paraId="5CD9B0C3" w14:textId="77777777" w:rsidR="00B776E0" w:rsidRPr="00943289" w:rsidRDefault="00B776E0" w:rsidP="00943289">
            <w:pPr>
              <w:spacing w:before="40" w:after="40"/>
              <w:jc w:val="center"/>
              <w:rPr>
                <w:rFonts w:cs="Arial"/>
                <w:sz w:val="18"/>
              </w:rPr>
            </w:pPr>
            <w:r w:rsidRPr="00943289">
              <w:rPr>
                <w:rFonts w:cs="Arial"/>
                <w:sz w:val="18"/>
              </w:rPr>
              <w:t>6</w:t>
            </w:r>
          </w:p>
        </w:tc>
      </w:tr>
      <w:tr w:rsidR="005135BD" w:rsidRPr="00943289" w14:paraId="2F092625" w14:textId="77777777" w:rsidTr="005135BD">
        <w:trPr>
          <w:trHeight w:val="20"/>
        </w:trPr>
        <w:tc>
          <w:tcPr>
            <w:tcW w:w="2410" w:type="dxa"/>
          </w:tcPr>
          <w:p w14:paraId="285DC335" w14:textId="77777777" w:rsidR="00B776E0" w:rsidRPr="00943289" w:rsidRDefault="00B776E0" w:rsidP="00943289">
            <w:pPr>
              <w:spacing w:before="40" w:after="40"/>
              <w:rPr>
                <w:rFonts w:cs="Arial"/>
                <w:sz w:val="18"/>
              </w:rPr>
            </w:pPr>
            <w:r w:rsidRPr="00943289">
              <w:rPr>
                <w:rFonts w:cs="Arial"/>
                <w:sz w:val="18"/>
              </w:rPr>
              <w:t>Fiji</w:t>
            </w:r>
          </w:p>
        </w:tc>
        <w:tc>
          <w:tcPr>
            <w:tcW w:w="1418" w:type="dxa"/>
            <w:tcBorders>
              <w:right w:val="single" w:sz="4" w:space="0" w:color="A8D08D" w:themeColor="accent6" w:themeTint="99"/>
            </w:tcBorders>
          </w:tcPr>
          <w:p w14:paraId="3016A218" w14:textId="77777777" w:rsidR="00B776E0" w:rsidRPr="00943289" w:rsidRDefault="00B776E0" w:rsidP="00943289">
            <w:pPr>
              <w:spacing w:before="40" w:after="40"/>
              <w:jc w:val="center"/>
              <w:rPr>
                <w:rFonts w:cs="Arial"/>
                <w:sz w:val="18"/>
              </w:rPr>
            </w:pPr>
            <w:r w:rsidRPr="00943289">
              <w:rPr>
                <w:rFonts w:cs="Arial"/>
                <w:sz w:val="18"/>
              </w:rPr>
              <w:t>28</w:t>
            </w:r>
          </w:p>
        </w:tc>
        <w:tc>
          <w:tcPr>
            <w:tcW w:w="1842" w:type="dxa"/>
            <w:tcBorders>
              <w:left w:val="single" w:sz="4" w:space="0" w:color="A8D08D" w:themeColor="accent6" w:themeTint="99"/>
            </w:tcBorders>
          </w:tcPr>
          <w:p w14:paraId="6F554463" w14:textId="77777777" w:rsidR="00B776E0" w:rsidRPr="00943289" w:rsidRDefault="00B776E0" w:rsidP="00943289">
            <w:pPr>
              <w:spacing w:before="40" w:after="40"/>
              <w:rPr>
                <w:rFonts w:cs="Arial"/>
                <w:sz w:val="18"/>
              </w:rPr>
            </w:pPr>
            <w:r w:rsidRPr="00943289">
              <w:rPr>
                <w:rFonts w:cs="Arial"/>
                <w:sz w:val="18"/>
              </w:rPr>
              <w:t>Papua New Guinea</w:t>
            </w:r>
          </w:p>
        </w:tc>
        <w:tc>
          <w:tcPr>
            <w:tcW w:w="1560" w:type="dxa"/>
          </w:tcPr>
          <w:p w14:paraId="352D89B8" w14:textId="77777777" w:rsidR="00B776E0" w:rsidRPr="00943289" w:rsidRDefault="00B776E0" w:rsidP="00943289">
            <w:pPr>
              <w:spacing w:before="40" w:after="40"/>
              <w:jc w:val="center"/>
              <w:rPr>
                <w:rFonts w:cs="Arial"/>
                <w:sz w:val="18"/>
              </w:rPr>
            </w:pPr>
            <w:r w:rsidRPr="00943289">
              <w:rPr>
                <w:rFonts w:cs="Arial"/>
                <w:sz w:val="18"/>
              </w:rPr>
              <w:t>2</w:t>
            </w:r>
          </w:p>
        </w:tc>
      </w:tr>
      <w:tr w:rsidR="005135BD" w:rsidRPr="00943289" w14:paraId="4FC9386D" w14:textId="77777777" w:rsidTr="005135BD">
        <w:trPr>
          <w:trHeight w:val="20"/>
        </w:trPr>
        <w:tc>
          <w:tcPr>
            <w:tcW w:w="2410" w:type="dxa"/>
          </w:tcPr>
          <w:p w14:paraId="0D092C2A" w14:textId="77777777" w:rsidR="00B776E0" w:rsidRPr="00943289" w:rsidRDefault="00B776E0" w:rsidP="00943289">
            <w:pPr>
              <w:spacing w:before="40" w:after="40"/>
              <w:rPr>
                <w:rFonts w:cs="Arial"/>
                <w:sz w:val="18"/>
              </w:rPr>
            </w:pPr>
            <w:r w:rsidRPr="00943289">
              <w:rPr>
                <w:rFonts w:cs="Arial"/>
                <w:sz w:val="18"/>
              </w:rPr>
              <w:t xml:space="preserve">Federated States of Micronesia </w:t>
            </w:r>
          </w:p>
        </w:tc>
        <w:tc>
          <w:tcPr>
            <w:tcW w:w="1418" w:type="dxa"/>
            <w:tcBorders>
              <w:right w:val="single" w:sz="4" w:space="0" w:color="A8D08D" w:themeColor="accent6" w:themeTint="99"/>
            </w:tcBorders>
          </w:tcPr>
          <w:p w14:paraId="33F00F1D" w14:textId="77777777" w:rsidR="00B776E0" w:rsidRPr="00943289" w:rsidRDefault="00B776E0" w:rsidP="00943289">
            <w:pPr>
              <w:spacing w:before="40" w:after="40"/>
              <w:jc w:val="center"/>
              <w:rPr>
                <w:rFonts w:cs="Arial"/>
                <w:sz w:val="18"/>
              </w:rPr>
            </w:pPr>
            <w:r w:rsidRPr="00943289">
              <w:rPr>
                <w:rFonts w:cs="Arial"/>
                <w:sz w:val="18"/>
              </w:rPr>
              <w:t>20</w:t>
            </w:r>
          </w:p>
        </w:tc>
        <w:tc>
          <w:tcPr>
            <w:tcW w:w="1842" w:type="dxa"/>
            <w:tcBorders>
              <w:left w:val="single" w:sz="4" w:space="0" w:color="A8D08D" w:themeColor="accent6" w:themeTint="99"/>
            </w:tcBorders>
          </w:tcPr>
          <w:p w14:paraId="1B80ACCB" w14:textId="77777777" w:rsidR="00B776E0" w:rsidRPr="00943289" w:rsidRDefault="00B776E0" w:rsidP="00943289">
            <w:pPr>
              <w:spacing w:before="40" w:after="40"/>
              <w:rPr>
                <w:rFonts w:cs="Arial"/>
                <w:sz w:val="18"/>
              </w:rPr>
            </w:pPr>
            <w:r w:rsidRPr="00943289">
              <w:rPr>
                <w:rFonts w:cs="Arial"/>
                <w:sz w:val="18"/>
              </w:rPr>
              <w:t>Samoa</w:t>
            </w:r>
          </w:p>
        </w:tc>
        <w:tc>
          <w:tcPr>
            <w:tcW w:w="1560" w:type="dxa"/>
          </w:tcPr>
          <w:p w14:paraId="3271B8BF" w14:textId="77777777" w:rsidR="00B776E0" w:rsidRPr="00943289" w:rsidRDefault="00B776E0" w:rsidP="00943289">
            <w:pPr>
              <w:spacing w:before="40" w:after="40"/>
              <w:jc w:val="center"/>
              <w:rPr>
                <w:rFonts w:cs="Arial"/>
                <w:sz w:val="18"/>
              </w:rPr>
            </w:pPr>
            <w:r w:rsidRPr="00943289">
              <w:rPr>
                <w:rFonts w:cs="Arial"/>
                <w:sz w:val="18"/>
              </w:rPr>
              <w:t>7</w:t>
            </w:r>
          </w:p>
        </w:tc>
      </w:tr>
      <w:tr w:rsidR="005135BD" w:rsidRPr="00943289" w14:paraId="42231173" w14:textId="77777777" w:rsidTr="005135BD">
        <w:trPr>
          <w:trHeight w:val="20"/>
        </w:trPr>
        <w:tc>
          <w:tcPr>
            <w:tcW w:w="2410" w:type="dxa"/>
          </w:tcPr>
          <w:p w14:paraId="75867A8C" w14:textId="77777777" w:rsidR="00B776E0" w:rsidRPr="00943289" w:rsidRDefault="00B776E0" w:rsidP="00943289">
            <w:pPr>
              <w:spacing w:before="40" w:after="40"/>
              <w:rPr>
                <w:rFonts w:cs="Arial"/>
                <w:sz w:val="18"/>
              </w:rPr>
            </w:pPr>
            <w:r w:rsidRPr="00943289">
              <w:rPr>
                <w:rFonts w:cs="Arial"/>
                <w:sz w:val="18"/>
              </w:rPr>
              <w:t>Kiribati</w:t>
            </w:r>
          </w:p>
        </w:tc>
        <w:tc>
          <w:tcPr>
            <w:tcW w:w="1418" w:type="dxa"/>
            <w:tcBorders>
              <w:right w:val="single" w:sz="4" w:space="0" w:color="A8D08D" w:themeColor="accent6" w:themeTint="99"/>
            </w:tcBorders>
          </w:tcPr>
          <w:p w14:paraId="43183B9B" w14:textId="77777777" w:rsidR="00B776E0" w:rsidRPr="00943289" w:rsidRDefault="00B776E0" w:rsidP="00943289">
            <w:pPr>
              <w:spacing w:before="40" w:after="40"/>
              <w:jc w:val="center"/>
              <w:rPr>
                <w:rFonts w:cs="Arial"/>
                <w:sz w:val="18"/>
              </w:rPr>
            </w:pPr>
            <w:r w:rsidRPr="00943289">
              <w:rPr>
                <w:rFonts w:cs="Arial"/>
                <w:sz w:val="18"/>
              </w:rPr>
              <w:t>10</w:t>
            </w:r>
          </w:p>
        </w:tc>
        <w:tc>
          <w:tcPr>
            <w:tcW w:w="1842" w:type="dxa"/>
            <w:tcBorders>
              <w:left w:val="single" w:sz="4" w:space="0" w:color="A8D08D" w:themeColor="accent6" w:themeTint="99"/>
            </w:tcBorders>
          </w:tcPr>
          <w:p w14:paraId="13B36EC5" w14:textId="77777777" w:rsidR="00B776E0" w:rsidRPr="00943289" w:rsidRDefault="00B776E0" w:rsidP="00943289">
            <w:pPr>
              <w:spacing w:before="40" w:after="40"/>
              <w:rPr>
                <w:rFonts w:cs="Arial"/>
                <w:sz w:val="18"/>
              </w:rPr>
            </w:pPr>
            <w:r w:rsidRPr="00943289">
              <w:rPr>
                <w:rFonts w:cs="Arial"/>
                <w:sz w:val="18"/>
              </w:rPr>
              <w:t>Solomon Islands</w:t>
            </w:r>
          </w:p>
        </w:tc>
        <w:tc>
          <w:tcPr>
            <w:tcW w:w="1560" w:type="dxa"/>
          </w:tcPr>
          <w:p w14:paraId="65AD3DA7" w14:textId="77777777" w:rsidR="00B776E0" w:rsidRPr="00943289" w:rsidRDefault="00B776E0" w:rsidP="00943289">
            <w:pPr>
              <w:spacing w:before="40" w:after="40"/>
              <w:jc w:val="center"/>
              <w:rPr>
                <w:rFonts w:cs="Arial"/>
                <w:sz w:val="18"/>
              </w:rPr>
            </w:pPr>
            <w:r w:rsidRPr="00943289">
              <w:rPr>
                <w:rFonts w:cs="Arial"/>
                <w:sz w:val="18"/>
              </w:rPr>
              <w:t>6</w:t>
            </w:r>
          </w:p>
        </w:tc>
      </w:tr>
      <w:tr w:rsidR="005135BD" w:rsidRPr="00943289" w14:paraId="4580AE2E" w14:textId="77777777" w:rsidTr="005135BD">
        <w:trPr>
          <w:trHeight w:val="20"/>
        </w:trPr>
        <w:tc>
          <w:tcPr>
            <w:tcW w:w="2410" w:type="dxa"/>
          </w:tcPr>
          <w:p w14:paraId="56614430" w14:textId="77777777" w:rsidR="00B776E0" w:rsidRPr="00943289" w:rsidRDefault="00B776E0" w:rsidP="00943289">
            <w:pPr>
              <w:spacing w:before="40" w:after="40"/>
              <w:rPr>
                <w:rFonts w:cs="Arial"/>
                <w:sz w:val="18"/>
              </w:rPr>
            </w:pPr>
            <w:r w:rsidRPr="00943289">
              <w:rPr>
                <w:rFonts w:cs="Arial"/>
                <w:sz w:val="18"/>
              </w:rPr>
              <w:t>Marshall Islands</w:t>
            </w:r>
          </w:p>
        </w:tc>
        <w:tc>
          <w:tcPr>
            <w:tcW w:w="1418" w:type="dxa"/>
            <w:tcBorders>
              <w:right w:val="single" w:sz="4" w:space="0" w:color="A8D08D" w:themeColor="accent6" w:themeTint="99"/>
            </w:tcBorders>
          </w:tcPr>
          <w:p w14:paraId="6C81D65A" w14:textId="77777777" w:rsidR="00B776E0" w:rsidRPr="00943289" w:rsidRDefault="00B776E0" w:rsidP="00943289">
            <w:pPr>
              <w:spacing w:before="40" w:after="40"/>
              <w:jc w:val="center"/>
              <w:rPr>
                <w:rFonts w:cs="Arial"/>
                <w:sz w:val="18"/>
              </w:rPr>
            </w:pPr>
            <w:r w:rsidRPr="00943289">
              <w:rPr>
                <w:rFonts w:cs="Arial"/>
                <w:sz w:val="18"/>
              </w:rPr>
              <w:t>3.5</w:t>
            </w:r>
          </w:p>
        </w:tc>
        <w:tc>
          <w:tcPr>
            <w:tcW w:w="1842" w:type="dxa"/>
            <w:tcBorders>
              <w:left w:val="single" w:sz="4" w:space="0" w:color="A8D08D" w:themeColor="accent6" w:themeTint="99"/>
            </w:tcBorders>
          </w:tcPr>
          <w:p w14:paraId="4C0930A2" w14:textId="77777777" w:rsidR="00B776E0" w:rsidRPr="00943289" w:rsidRDefault="00B776E0" w:rsidP="00943289">
            <w:pPr>
              <w:spacing w:before="40" w:after="40"/>
              <w:rPr>
                <w:rFonts w:cs="Arial"/>
                <w:sz w:val="18"/>
              </w:rPr>
            </w:pPr>
            <w:r w:rsidRPr="00943289">
              <w:rPr>
                <w:rFonts w:cs="Arial"/>
                <w:sz w:val="18"/>
              </w:rPr>
              <w:t>Tonga</w:t>
            </w:r>
          </w:p>
        </w:tc>
        <w:tc>
          <w:tcPr>
            <w:tcW w:w="1560" w:type="dxa"/>
          </w:tcPr>
          <w:p w14:paraId="179B8D19" w14:textId="77777777" w:rsidR="00B776E0" w:rsidRPr="00943289" w:rsidRDefault="00B776E0" w:rsidP="00943289">
            <w:pPr>
              <w:spacing w:before="40" w:after="40"/>
              <w:jc w:val="center"/>
              <w:rPr>
                <w:rFonts w:cs="Arial"/>
                <w:sz w:val="18"/>
              </w:rPr>
            </w:pPr>
            <w:r w:rsidRPr="00943289">
              <w:rPr>
                <w:rFonts w:cs="Arial"/>
                <w:sz w:val="18"/>
              </w:rPr>
              <w:t>12</w:t>
            </w:r>
          </w:p>
        </w:tc>
      </w:tr>
      <w:tr w:rsidR="005135BD" w:rsidRPr="00943289" w14:paraId="03A4F21F" w14:textId="77777777" w:rsidTr="005135BD">
        <w:trPr>
          <w:trHeight w:val="20"/>
        </w:trPr>
        <w:tc>
          <w:tcPr>
            <w:tcW w:w="2410" w:type="dxa"/>
          </w:tcPr>
          <w:p w14:paraId="74A6FA17" w14:textId="77777777" w:rsidR="00B776E0" w:rsidRPr="00943289" w:rsidRDefault="00B776E0" w:rsidP="00943289">
            <w:pPr>
              <w:spacing w:before="40" w:after="40"/>
              <w:rPr>
                <w:rFonts w:cs="Arial"/>
                <w:sz w:val="18"/>
              </w:rPr>
            </w:pPr>
            <w:r w:rsidRPr="00943289">
              <w:rPr>
                <w:rFonts w:cs="Arial"/>
                <w:sz w:val="18"/>
              </w:rPr>
              <w:t>Nauru</w:t>
            </w:r>
          </w:p>
        </w:tc>
        <w:tc>
          <w:tcPr>
            <w:tcW w:w="1418" w:type="dxa"/>
            <w:tcBorders>
              <w:right w:val="single" w:sz="4" w:space="0" w:color="A8D08D" w:themeColor="accent6" w:themeTint="99"/>
            </w:tcBorders>
          </w:tcPr>
          <w:p w14:paraId="44D54D53" w14:textId="77777777" w:rsidR="00B776E0" w:rsidRPr="00943289" w:rsidRDefault="00B776E0" w:rsidP="00943289">
            <w:pPr>
              <w:spacing w:before="40" w:after="40"/>
              <w:jc w:val="center"/>
              <w:rPr>
                <w:rFonts w:cs="Arial"/>
                <w:sz w:val="18"/>
              </w:rPr>
            </w:pPr>
            <w:r w:rsidRPr="00943289">
              <w:rPr>
                <w:rFonts w:cs="Arial"/>
                <w:sz w:val="18"/>
              </w:rPr>
              <w:t>6</w:t>
            </w:r>
          </w:p>
        </w:tc>
        <w:tc>
          <w:tcPr>
            <w:tcW w:w="1842" w:type="dxa"/>
            <w:tcBorders>
              <w:left w:val="single" w:sz="4" w:space="0" w:color="A8D08D" w:themeColor="accent6" w:themeTint="99"/>
            </w:tcBorders>
          </w:tcPr>
          <w:p w14:paraId="4604447D" w14:textId="77777777" w:rsidR="00B776E0" w:rsidRPr="00943289" w:rsidRDefault="00B776E0" w:rsidP="00943289">
            <w:pPr>
              <w:spacing w:before="40" w:after="40"/>
              <w:rPr>
                <w:rFonts w:cs="Arial"/>
                <w:sz w:val="18"/>
              </w:rPr>
            </w:pPr>
            <w:r w:rsidRPr="00943289">
              <w:rPr>
                <w:rFonts w:cs="Arial"/>
                <w:sz w:val="18"/>
              </w:rPr>
              <w:t>Tuvalu</w:t>
            </w:r>
          </w:p>
        </w:tc>
        <w:tc>
          <w:tcPr>
            <w:tcW w:w="1560" w:type="dxa"/>
          </w:tcPr>
          <w:p w14:paraId="2CC4595C" w14:textId="77777777" w:rsidR="00B776E0" w:rsidRPr="00943289" w:rsidRDefault="00B776E0" w:rsidP="00943289">
            <w:pPr>
              <w:spacing w:before="40" w:after="40"/>
              <w:jc w:val="center"/>
              <w:rPr>
                <w:rFonts w:cs="Arial"/>
                <w:sz w:val="18"/>
              </w:rPr>
            </w:pPr>
            <w:r w:rsidRPr="00943289">
              <w:rPr>
                <w:rFonts w:cs="Arial"/>
                <w:sz w:val="18"/>
              </w:rPr>
              <w:t>40</w:t>
            </w:r>
          </w:p>
        </w:tc>
      </w:tr>
      <w:tr w:rsidR="005135BD" w:rsidRPr="00943289" w14:paraId="732F90C7" w14:textId="77777777" w:rsidTr="005135BD">
        <w:trPr>
          <w:trHeight w:val="20"/>
        </w:trPr>
        <w:tc>
          <w:tcPr>
            <w:tcW w:w="2410" w:type="dxa"/>
            <w:tcBorders>
              <w:bottom w:val="single" w:sz="4" w:space="0" w:color="A8D08D" w:themeColor="accent6" w:themeTint="99"/>
            </w:tcBorders>
          </w:tcPr>
          <w:p w14:paraId="69E93E9D" w14:textId="77777777" w:rsidR="00B776E0" w:rsidRPr="00943289" w:rsidRDefault="00B776E0" w:rsidP="00943289">
            <w:pPr>
              <w:spacing w:before="40" w:after="40"/>
              <w:rPr>
                <w:rFonts w:cs="Arial"/>
                <w:sz w:val="18"/>
              </w:rPr>
            </w:pPr>
            <w:r w:rsidRPr="00943289">
              <w:rPr>
                <w:rFonts w:cs="Arial"/>
                <w:sz w:val="18"/>
              </w:rPr>
              <w:t>Niue</w:t>
            </w:r>
          </w:p>
        </w:tc>
        <w:tc>
          <w:tcPr>
            <w:tcW w:w="1418" w:type="dxa"/>
            <w:tcBorders>
              <w:bottom w:val="single" w:sz="4" w:space="0" w:color="A8D08D" w:themeColor="accent6" w:themeTint="99"/>
              <w:right w:val="single" w:sz="4" w:space="0" w:color="A8D08D" w:themeColor="accent6" w:themeTint="99"/>
            </w:tcBorders>
          </w:tcPr>
          <w:p w14:paraId="34140572" w14:textId="77777777" w:rsidR="00B776E0" w:rsidRPr="00943289" w:rsidRDefault="00B776E0" w:rsidP="00943289">
            <w:pPr>
              <w:spacing w:before="40" w:after="40"/>
              <w:jc w:val="center"/>
              <w:rPr>
                <w:rFonts w:cs="Arial"/>
                <w:sz w:val="18"/>
              </w:rPr>
            </w:pPr>
            <w:r w:rsidRPr="00943289">
              <w:rPr>
                <w:rFonts w:cs="Arial"/>
                <w:sz w:val="18"/>
              </w:rPr>
              <w:t>83</w:t>
            </w:r>
          </w:p>
        </w:tc>
        <w:tc>
          <w:tcPr>
            <w:tcW w:w="1842" w:type="dxa"/>
            <w:tcBorders>
              <w:left w:val="single" w:sz="4" w:space="0" w:color="A8D08D" w:themeColor="accent6" w:themeTint="99"/>
              <w:bottom w:val="single" w:sz="4" w:space="0" w:color="A8D08D" w:themeColor="accent6" w:themeTint="99"/>
            </w:tcBorders>
          </w:tcPr>
          <w:p w14:paraId="7F21BC47" w14:textId="77777777" w:rsidR="00B776E0" w:rsidRPr="00943289" w:rsidRDefault="00B776E0" w:rsidP="00943289">
            <w:pPr>
              <w:spacing w:before="40" w:after="40"/>
              <w:rPr>
                <w:rFonts w:cs="Arial"/>
                <w:sz w:val="18"/>
              </w:rPr>
            </w:pPr>
            <w:r w:rsidRPr="00943289">
              <w:rPr>
                <w:rFonts w:cs="Arial"/>
                <w:sz w:val="18"/>
              </w:rPr>
              <w:t>Vanuatu</w:t>
            </w:r>
          </w:p>
        </w:tc>
        <w:tc>
          <w:tcPr>
            <w:tcW w:w="1560" w:type="dxa"/>
            <w:tcBorders>
              <w:bottom w:val="single" w:sz="4" w:space="0" w:color="A8D08D" w:themeColor="accent6" w:themeTint="99"/>
            </w:tcBorders>
          </w:tcPr>
          <w:p w14:paraId="4C40F624" w14:textId="77777777" w:rsidR="00B776E0" w:rsidRPr="00943289" w:rsidRDefault="00B776E0" w:rsidP="00943289">
            <w:pPr>
              <w:spacing w:before="40" w:after="40"/>
              <w:jc w:val="center"/>
              <w:rPr>
                <w:rFonts w:cs="Arial"/>
                <w:sz w:val="18"/>
              </w:rPr>
            </w:pPr>
            <w:r w:rsidRPr="00943289">
              <w:rPr>
                <w:rFonts w:cs="Arial"/>
                <w:sz w:val="18"/>
              </w:rPr>
              <w:t>8</w:t>
            </w:r>
          </w:p>
        </w:tc>
      </w:tr>
    </w:tbl>
    <w:p w14:paraId="02D209FF" w14:textId="3592E6C3" w:rsidR="00B776E0" w:rsidRPr="009F1B02" w:rsidRDefault="005135BD" w:rsidP="00B776E0">
      <w:pPr>
        <w:rPr>
          <w:rFonts w:cs="Arial"/>
          <w:sz w:val="16"/>
          <w:szCs w:val="20"/>
        </w:rPr>
      </w:pPr>
      <w:r>
        <w:rPr>
          <w:rFonts w:cs="Arial"/>
          <w:sz w:val="16"/>
          <w:szCs w:val="20"/>
        </w:rPr>
        <w:br/>
      </w:r>
      <w:r w:rsidR="00B776E0" w:rsidRPr="00943289">
        <w:rPr>
          <w:rFonts w:cs="Arial"/>
          <w:sz w:val="16"/>
          <w:szCs w:val="20"/>
        </w:rPr>
        <w:t xml:space="preserve">Source: Pacific Media Assistance Scheme, 2013, Regional State of Media and Communication Report </w:t>
      </w:r>
      <w:hyperlink r:id="rId67" w:history="1">
        <w:r w:rsidR="00F86102" w:rsidRPr="00F86102">
          <w:rPr>
            <w:rStyle w:val="Hyperlink"/>
            <w:rFonts w:cs="Arial"/>
            <w:color w:val="auto"/>
            <w:sz w:val="16"/>
            <w:szCs w:val="20"/>
            <w:u w:val="none"/>
          </w:rPr>
          <w:t>http://www.pacmas.org/wp-content/uploads/2013/10/PACMAS-REGIONAL-REPORT_FINAL.pdf</w:t>
        </w:r>
      </w:hyperlink>
    </w:p>
    <w:p w14:paraId="4ED63E19" w14:textId="77777777" w:rsidR="00943289" w:rsidRDefault="00943289" w:rsidP="00B776E0">
      <w:pPr>
        <w:rPr>
          <w:rFonts w:cs="Arial"/>
        </w:rPr>
      </w:pPr>
    </w:p>
    <w:p w14:paraId="0C192359" w14:textId="4597D978" w:rsidR="00B776E0" w:rsidRPr="00467D5D" w:rsidRDefault="00B776E0" w:rsidP="00B776E0">
      <w:pPr>
        <w:rPr>
          <w:rFonts w:cs="Arial"/>
          <w:lang w:val="en-US"/>
        </w:rPr>
      </w:pPr>
      <w:r>
        <w:rPr>
          <w:rFonts w:cs="Arial"/>
        </w:rPr>
        <w:t>The variation in these rates means that over-reliance on e-learning is problematic. The</w:t>
      </w:r>
      <w:r w:rsidRPr="00467D5D">
        <w:rPr>
          <w:rFonts w:cs="Arial"/>
        </w:rPr>
        <w:t xml:space="preserve"> penetration rates are </w:t>
      </w:r>
      <w:r>
        <w:rPr>
          <w:rFonts w:cs="Arial"/>
        </w:rPr>
        <w:t xml:space="preserve">also </w:t>
      </w:r>
      <w:r w:rsidR="00943289">
        <w:rPr>
          <w:rFonts w:cs="Arial"/>
        </w:rPr>
        <w:t xml:space="preserve">subject to rapid change. </w:t>
      </w:r>
      <w:r w:rsidRPr="00467D5D">
        <w:rPr>
          <w:rFonts w:cs="Arial"/>
        </w:rPr>
        <w:t xml:space="preserve">The </w:t>
      </w:r>
      <w:r>
        <w:rPr>
          <w:rFonts w:cs="Arial"/>
        </w:rPr>
        <w:t>e</w:t>
      </w:r>
      <w:r w:rsidRPr="00467D5D">
        <w:rPr>
          <w:rFonts w:cs="Arial"/>
        </w:rPr>
        <w:t xml:space="preserve">valuation </w:t>
      </w:r>
      <w:r>
        <w:rPr>
          <w:rFonts w:cs="Arial"/>
        </w:rPr>
        <w:t>t</w:t>
      </w:r>
      <w:r w:rsidRPr="00467D5D">
        <w:rPr>
          <w:rFonts w:cs="Arial"/>
        </w:rPr>
        <w:t>eam was advised that the</w:t>
      </w:r>
      <w:r w:rsidRPr="00467D5D">
        <w:rPr>
          <w:rFonts w:cs="Arial"/>
          <w:lang w:val="en-US"/>
        </w:rPr>
        <w:t xml:space="preserve"> submarine optical fibre cable connecting Vanuatu with Suva, Fiji had resulted in drama</w:t>
      </w:r>
      <w:r w:rsidR="00943289">
        <w:rPr>
          <w:rFonts w:cs="Arial"/>
          <w:lang w:val="en-US"/>
        </w:rPr>
        <w:t xml:space="preserve">tic changes in internet speed. </w:t>
      </w:r>
      <w:r w:rsidRPr="00467D5D">
        <w:rPr>
          <w:rFonts w:cs="Arial"/>
          <w:lang w:val="en-US"/>
        </w:rPr>
        <w:t>However, this does not necessarily mean that students have access in their homes. Where there is good coverage</w:t>
      </w:r>
      <w:r w:rsidR="00136527">
        <w:rPr>
          <w:rFonts w:cs="Arial"/>
          <w:lang w:val="en-US"/>
        </w:rPr>
        <w:t>,</w:t>
      </w:r>
      <w:r w:rsidRPr="00467D5D">
        <w:rPr>
          <w:rFonts w:cs="Arial"/>
          <w:lang w:val="en-US"/>
        </w:rPr>
        <w:t xml:space="preserve"> there also needs to be </w:t>
      </w:r>
      <w:r>
        <w:rPr>
          <w:rFonts w:cs="Arial"/>
          <w:lang w:val="en-US"/>
        </w:rPr>
        <w:t>reliable</w:t>
      </w:r>
      <w:r w:rsidR="008D11F7">
        <w:rPr>
          <w:rFonts w:cs="Arial"/>
          <w:lang w:val="en-US"/>
        </w:rPr>
        <w:t xml:space="preserve"> end-</w:t>
      </w:r>
      <w:r w:rsidRPr="00467D5D">
        <w:rPr>
          <w:rFonts w:cs="Arial"/>
          <w:lang w:val="en-US"/>
        </w:rPr>
        <w:t xml:space="preserve">user support and media usage is still quite expensive. </w:t>
      </w:r>
    </w:p>
    <w:p w14:paraId="3B6DC4C8" w14:textId="77777777" w:rsidR="00B776E0" w:rsidRPr="00467D5D" w:rsidRDefault="00B776E0" w:rsidP="00B776E0">
      <w:pPr>
        <w:rPr>
          <w:rFonts w:cs="Arial"/>
          <w:lang w:val="en-US"/>
        </w:rPr>
      </w:pPr>
      <w:r w:rsidRPr="00467D5D">
        <w:rPr>
          <w:rFonts w:cs="Arial"/>
        </w:rPr>
        <w:t>APTC has offered blended/online delivery in qualifications that are not equipment-intensive,</w:t>
      </w:r>
      <w:r>
        <w:rPr>
          <w:rFonts w:cs="Arial"/>
        </w:rPr>
        <w:t xml:space="preserve"> but at this stage they appear to be limited to </w:t>
      </w:r>
      <w:r w:rsidRPr="00467D5D">
        <w:rPr>
          <w:rFonts w:cs="Arial"/>
        </w:rPr>
        <w:t>the Diploma of VET (for tutors) and Certificate IV in Business (for administrative staff).</w:t>
      </w:r>
      <w:r>
        <w:rPr>
          <w:rFonts w:cs="Arial"/>
        </w:rPr>
        <w:t xml:space="preserve"> </w:t>
      </w:r>
      <w:r w:rsidRPr="00467D5D">
        <w:rPr>
          <w:rFonts w:cs="Arial"/>
          <w:lang w:val="en-US"/>
        </w:rPr>
        <w:t>A program of introducing tablets into classrooms has also commenced, with approximately 100 in use at present. These are provided in sets of 20</w:t>
      </w:r>
      <w:r w:rsidR="004A1ECE">
        <w:rPr>
          <w:rFonts w:cs="Arial"/>
          <w:lang w:val="en-US"/>
        </w:rPr>
        <w:t xml:space="preserve"> to </w:t>
      </w:r>
      <w:r w:rsidRPr="00467D5D">
        <w:rPr>
          <w:rFonts w:cs="Arial"/>
          <w:lang w:val="en-US"/>
        </w:rPr>
        <w:t>24 and currently include one set for the Centre for Professional Development for fee-for-service training, one set for Early Childhood Education and Care in Fiji and one set each for Samoa and Vanuatu. Initial trials are proving positive</w:t>
      </w:r>
      <w:r>
        <w:rPr>
          <w:rFonts w:cs="Arial"/>
          <w:lang w:val="en-US"/>
        </w:rPr>
        <w:t xml:space="preserve"> and s</w:t>
      </w:r>
      <w:r w:rsidRPr="00467D5D">
        <w:rPr>
          <w:rFonts w:cs="Arial"/>
          <w:lang w:val="en-US"/>
        </w:rPr>
        <w:t xml:space="preserve">taff are beginning to develop their own materials online and to access off-the-shelf products, such as Futura e-learning resources in </w:t>
      </w:r>
      <w:r w:rsidR="00AC5D94">
        <w:rPr>
          <w:rFonts w:cs="Arial"/>
          <w:lang w:val="en-US"/>
        </w:rPr>
        <w:t>h</w:t>
      </w:r>
      <w:r w:rsidR="00AC5D94" w:rsidRPr="00467D5D">
        <w:rPr>
          <w:rFonts w:cs="Arial"/>
          <w:lang w:val="en-US"/>
        </w:rPr>
        <w:t>ospitality</w:t>
      </w:r>
      <w:r w:rsidRPr="00467D5D">
        <w:rPr>
          <w:rFonts w:cs="Arial"/>
          <w:lang w:val="en-US"/>
        </w:rPr>
        <w:t>.</w:t>
      </w:r>
      <w:r w:rsidRPr="00F338C3">
        <w:rPr>
          <w:rFonts w:cs="Arial"/>
          <w:lang w:val="en-US"/>
        </w:rPr>
        <w:t xml:space="preserve"> </w:t>
      </w:r>
      <w:r>
        <w:rPr>
          <w:rFonts w:cs="Arial"/>
          <w:lang w:val="en-US"/>
        </w:rPr>
        <w:t>However, there are no further funds available for purchase of additional tablets</w:t>
      </w:r>
      <w:r w:rsidRPr="00F338C3">
        <w:rPr>
          <w:rFonts w:cs="Arial"/>
          <w:lang w:val="en-US"/>
        </w:rPr>
        <w:t xml:space="preserve"> </w:t>
      </w:r>
      <w:r>
        <w:rPr>
          <w:rFonts w:cs="Arial"/>
          <w:lang w:val="en-US"/>
        </w:rPr>
        <w:t>at this stage</w:t>
      </w:r>
      <w:r w:rsidRPr="00467D5D">
        <w:rPr>
          <w:rFonts w:cs="Arial"/>
          <w:lang w:val="en-US"/>
        </w:rPr>
        <w:t>.</w:t>
      </w:r>
    </w:p>
    <w:p w14:paraId="7D22F003" w14:textId="77777777" w:rsidR="00B776E0" w:rsidRPr="00467D5D" w:rsidRDefault="00546F37" w:rsidP="00B776E0">
      <w:pPr>
        <w:rPr>
          <w:rFonts w:cs="Arial"/>
        </w:rPr>
      </w:pPr>
      <w:r w:rsidRPr="00546F37">
        <w:rPr>
          <w:rFonts w:cs="Arial"/>
          <w:b/>
          <w:i/>
        </w:rPr>
        <w:t>Flexible delivery and outreach.</w:t>
      </w:r>
      <w:r w:rsidR="00B776E0">
        <w:rPr>
          <w:rFonts w:cs="Arial"/>
          <w:i/>
        </w:rPr>
        <w:t xml:space="preserve"> </w:t>
      </w:r>
      <w:r w:rsidR="00B776E0" w:rsidRPr="00467D5D">
        <w:rPr>
          <w:rFonts w:cs="Arial"/>
        </w:rPr>
        <w:t>Apart from the electronic media, APTC has demonstrated a proactive approach to showcasing different and adaptable forms of training delivery as can be highlighted by the following examples</w:t>
      </w:r>
      <w:r w:rsidR="00635780">
        <w:rPr>
          <w:rFonts w:cs="Arial"/>
        </w:rPr>
        <w:t>.</w:t>
      </w:r>
      <w:r w:rsidR="00B776E0" w:rsidRPr="00467D5D">
        <w:rPr>
          <w:rFonts w:cs="Arial"/>
        </w:rPr>
        <w:t xml:space="preserve"> </w:t>
      </w:r>
    </w:p>
    <w:p w14:paraId="405EAE9B" w14:textId="77777777" w:rsidR="00B776E0" w:rsidRPr="00467D5D" w:rsidRDefault="00B776E0" w:rsidP="00260880">
      <w:pPr>
        <w:pStyle w:val="NormalWeb"/>
        <w:numPr>
          <w:ilvl w:val="0"/>
          <w:numId w:val="22"/>
        </w:numPr>
        <w:spacing w:before="0" w:after="120"/>
        <w:ind w:left="851" w:hanging="284"/>
        <w:rPr>
          <w:rFonts w:ascii="Arial" w:hAnsi="Arial" w:cs="Arial"/>
          <w:color w:val="000000"/>
          <w:sz w:val="22"/>
          <w:szCs w:val="22"/>
          <w:lang w:val="en-GB"/>
        </w:rPr>
      </w:pPr>
      <w:r w:rsidRPr="00467D5D">
        <w:rPr>
          <w:rFonts w:ascii="Arial" w:hAnsi="Arial" w:cs="Arial"/>
          <w:sz w:val="22"/>
          <w:szCs w:val="22"/>
        </w:rPr>
        <w:t xml:space="preserve">APTC partnered with </w:t>
      </w:r>
      <w:r w:rsidRPr="00467D5D">
        <w:rPr>
          <w:rFonts w:ascii="Arial" w:hAnsi="Arial" w:cs="Arial"/>
          <w:color w:val="000000"/>
          <w:sz w:val="22"/>
          <w:szCs w:val="22"/>
          <w:lang w:val="en-GB"/>
        </w:rPr>
        <w:t xml:space="preserve">the Samoa Adventist Disaster Relief Agency (ADRA) and the local community to build new cyclone resistant traditional shelters (fale) for 200 of the most severely affected families in Samoan villages following the devastation caused by Cyclone Evan in December 2012. The project involved the training of </w:t>
      </w:r>
      <w:r w:rsidR="00892460">
        <w:rPr>
          <w:rFonts w:ascii="Arial" w:hAnsi="Arial" w:cs="Arial"/>
          <w:color w:val="000000"/>
          <w:sz w:val="22"/>
          <w:szCs w:val="22"/>
          <w:lang w:val="en-GB"/>
        </w:rPr>
        <w:t>15</w:t>
      </w:r>
      <w:r w:rsidR="00892460" w:rsidRPr="00467D5D">
        <w:rPr>
          <w:rFonts w:ascii="Arial" w:hAnsi="Arial" w:cs="Arial"/>
          <w:color w:val="000000"/>
          <w:sz w:val="22"/>
          <w:szCs w:val="22"/>
          <w:lang w:val="en-GB"/>
        </w:rPr>
        <w:t xml:space="preserve"> </w:t>
      </w:r>
      <w:r w:rsidRPr="00467D5D">
        <w:rPr>
          <w:rFonts w:ascii="Arial" w:hAnsi="Arial" w:cs="Arial"/>
          <w:color w:val="000000"/>
          <w:sz w:val="22"/>
          <w:szCs w:val="22"/>
          <w:lang w:val="en-GB"/>
        </w:rPr>
        <w:t>young men and women from the devastated areas in a Certificate III in Carpentry. The APTC received a 2013 Pacific Human Rights Award for this work.</w:t>
      </w:r>
    </w:p>
    <w:p w14:paraId="0B5D528B" w14:textId="77777777" w:rsidR="00B776E0" w:rsidRPr="00467D5D" w:rsidRDefault="00B776E0" w:rsidP="00260880">
      <w:pPr>
        <w:pStyle w:val="ListParagraph"/>
        <w:numPr>
          <w:ilvl w:val="0"/>
          <w:numId w:val="22"/>
        </w:numPr>
        <w:ind w:left="851" w:hanging="284"/>
        <w:contextualSpacing w:val="0"/>
        <w:rPr>
          <w:rFonts w:cs="Arial"/>
        </w:rPr>
      </w:pPr>
      <w:r w:rsidRPr="00467D5D">
        <w:rPr>
          <w:rFonts w:cs="Arial"/>
        </w:rPr>
        <w:t>The Fiji Community Development Program identified relevant units from the Certificate IV in Community Development</w:t>
      </w:r>
      <w:r>
        <w:rPr>
          <w:rFonts w:cs="Arial"/>
        </w:rPr>
        <w:t xml:space="preserve"> for practising community development workers.</w:t>
      </w:r>
      <w:r w:rsidRPr="00467D5D">
        <w:rPr>
          <w:rFonts w:cs="Arial"/>
        </w:rPr>
        <w:t xml:space="preserve"> It was designed for students from all over the country, many from remote communities where they typically have no access to training at all and where there is little to no coordination of community development projects between villages. This DFAT-funded program was designed to both train workers in the field and to strengthen the organisations for which they work or volunteer. Students have a potential pathway to complete the qualification at APTC.</w:t>
      </w:r>
    </w:p>
    <w:p w14:paraId="163456FF" w14:textId="77777777" w:rsidR="00B776E0" w:rsidRPr="00467D5D" w:rsidRDefault="00B776E0" w:rsidP="00260880">
      <w:pPr>
        <w:pStyle w:val="ListParagraph"/>
        <w:numPr>
          <w:ilvl w:val="0"/>
          <w:numId w:val="22"/>
        </w:numPr>
        <w:ind w:left="851" w:hanging="284"/>
        <w:contextualSpacing w:val="0"/>
        <w:rPr>
          <w:rFonts w:cs="Arial"/>
        </w:rPr>
      </w:pPr>
      <w:r w:rsidRPr="00467D5D">
        <w:rPr>
          <w:rFonts w:cs="Arial"/>
        </w:rPr>
        <w:t>In Vanuatu, where APTC facilities are limited, hospitality training involves some use of the training restaurant owned by Vanuatu Institute of Technology but much of the training occurs in the workplace and very little in classrooms.</w:t>
      </w:r>
    </w:p>
    <w:p w14:paraId="70FA2676" w14:textId="5FABA71F" w:rsidR="003D355F" w:rsidRDefault="00680626" w:rsidP="002028A6">
      <w:pPr>
        <w:pStyle w:val="Heading2"/>
      </w:pPr>
      <w:bookmarkStart w:id="643" w:name="_Toc274900509"/>
      <w:bookmarkStart w:id="644" w:name="_Toc274909890"/>
      <w:bookmarkStart w:id="645" w:name="_Toc278447906"/>
      <w:bookmarkStart w:id="646" w:name="_Toc278453379"/>
      <w:r>
        <w:t>1.5</w:t>
      </w:r>
      <w:r w:rsidR="006B6112">
        <w:tab/>
      </w:r>
      <w:r w:rsidR="00B776E0" w:rsidRPr="00145BB7">
        <w:t xml:space="preserve">To what extent has APTC established articulation pathways both to and </w:t>
      </w:r>
      <w:r w:rsidR="001F5944">
        <w:br/>
      </w:r>
      <w:r w:rsidR="001F5944">
        <w:tab/>
      </w:r>
      <w:r w:rsidR="00B776E0" w:rsidRPr="00145BB7">
        <w:t>from the APTC, and to what extent are they being utilised and by whom</w:t>
      </w:r>
      <w:r w:rsidR="00B776E0">
        <w:t>?</w:t>
      </w:r>
      <w:bookmarkEnd w:id="643"/>
      <w:bookmarkEnd w:id="644"/>
      <w:bookmarkEnd w:id="645"/>
      <w:bookmarkEnd w:id="646"/>
    </w:p>
    <w:p w14:paraId="47A2750D" w14:textId="77777777" w:rsidR="00B776E0" w:rsidRPr="00467D5D" w:rsidRDefault="00B776E0" w:rsidP="00B776E0">
      <w:pPr>
        <w:rPr>
          <w:rFonts w:cs="Arial"/>
        </w:rPr>
      </w:pPr>
      <w:r w:rsidRPr="00467D5D">
        <w:rPr>
          <w:rFonts w:cs="Arial"/>
        </w:rPr>
        <w:t xml:space="preserve">APTC has made considerable progress in creating articulation pathways through partner </w:t>
      </w:r>
      <w:r>
        <w:rPr>
          <w:rFonts w:cs="Arial"/>
        </w:rPr>
        <w:t xml:space="preserve">institutions </w:t>
      </w:r>
      <w:r w:rsidRPr="00467D5D">
        <w:rPr>
          <w:rFonts w:cs="Arial"/>
        </w:rPr>
        <w:t>in the campus countries as well as in some non-campus countries. These include both pathways within the Australian Qualifications Framework and pathways to and from local qualification frameworks and Australian qualifications.</w:t>
      </w:r>
    </w:p>
    <w:p w14:paraId="3E715B0D" w14:textId="77777777" w:rsidR="003D355F" w:rsidRDefault="00546F37">
      <w:pPr>
        <w:spacing w:after="40"/>
        <w:rPr>
          <w:rFonts w:cs="Arial"/>
        </w:rPr>
      </w:pPr>
      <w:r w:rsidRPr="00546F37">
        <w:rPr>
          <w:rFonts w:cs="Arial"/>
          <w:b/>
          <w:i/>
        </w:rPr>
        <w:t>Partnerships and pathways.</w:t>
      </w:r>
      <w:r w:rsidR="00B776E0">
        <w:rPr>
          <w:rFonts w:cs="Arial"/>
          <w:i/>
        </w:rPr>
        <w:t xml:space="preserve"> </w:t>
      </w:r>
      <w:r w:rsidR="00B776E0" w:rsidRPr="00467D5D">
        <w:rPr>
          <w:rFonts w:cs="Arial"/>
        </w:rPr>
        <w:t>The following partnerships are in place in the campus countries</w:t>
      </w:r>
      <w:r w:rsidR="003237F1">
        <w:rPr>
          <w:rFonts w:cs="Arial"/>
        </w:rPr>
        <w:t>.</w:t>
      </w:r>
    </w:p>
    <w:p w14:paraId="1DBEC7B5" w14:textId="77777777" w:rsidR="003D355F" w:rsidRDefault="00B776E0">
      <w:pPr>
        <w:spacing w:after="20"/>
        <w:ind w:left="720"/>
        <w:rPr>
          <w:rFonts w:cs="Arial"/>
          <w:lang w:eastAsia="en-AU"/>
        </w:rPr>
      </w:pPr>
      <w:r w:rsidRPr="00467D5D">
        <w:rPr>
          <w:rFonts w:eastAsiaTheme="minorEastAsia" w:cs="Arial"/>
          <w:kern w:val="24"/>
          <w:lang w:eastAsia="en-AU"/>
        </w:rPr>
        <w:t>Fiji:</w:t>
      </w:r>
      <w:r w:rsidRPr="00467D5D">
        <w:rPr>
          <w:rFonts w:eastAsiaTheme="minorEastAsia" w:cs="Arial"/>
          <w:kern w:val="24"/>
          <w:lang w:eastAsia="en-AU"/>
        </w:rPr>
        <w:tab/>
        <w:t xml:space="preserve"> </w:t>
      </w:r>
      <w:r w:rsidRPr="00467D5D">
        <w:rPr>
          <w:rFonts w:eastAsiaTheme="minorEastAsia" w:cs="Arial"/>
          <w:kern w:val="24"/>
          <w:lang w:eastAsia="en-AU"/>
        </w:rPr>
        <w:tab/>
        <w:t xml:space="preserve">University of South Pacific (Fiji </w:t>
      </w:r>
      <w:r w:rsidR="007E3E15">
        <w:rPr>
          <w:rFonts w:eastAsiaTheme="minorEastAsia" w:cs="Arial"/>
          <w:kern w:val="24"/>
          <w:lang w:eastAsia="en-AU"/>
        </w:rPr>
        <w:t>–</w:t>
      </w:r>
      <w:r w:rsidRPr="00467D5D">
        <w:rPr>
          <w:rFonts w:eastAsiaTheme="minorEastAsia" w:cs="Arial"/>
          <w:kern w:val="24"/>
          <w:lang w:eastAsia="en-AU"/>
        </w:rPr>
        <w:t xml:space="preserve"> Regional)</w:t>
      </w:r>
    </w:p>
    <w:p w14:paraId="3B003742" w14:textId="77777777" w:rsidR="003D355F" w:rsidRDefault="00B776E0">
      <w:pPr>
        <w:spacing w:after="20"/>
        <w:ind w:left="1440" w:firstLine="720"/>
        <w:rPr>
          <w:rFonts w:cs="Arial"/>
          <w:lang w:eastAsia="en-AU"/>
        </w:rPr>
      </w:pPr>
      <w:r w:rsidRPr="00467D5D">
        <w:rPr>
          <w:rFonts w:eastAsiaTheme="minorEastAsia" w:cs="Arial"/>
          <w:kern w:val="24"/>
          <w:lang w:eastAsia="en-AU"/>
        </w:rPr>
        <w:t>Vivekananda Technical College (Fiji)</w:t>
      </w:r>
    </w:p>
    <w:p w14:paraId="1254A3EA" w14:textId="77777777" w:rsidR="003D355F" w:rsidRDefault="00B776E0">
      <w:pPr>
        <w:spacing w:after="20"/>
        <w:ind w:left="720"/>
        <w:rPr>
          <w:rFonts w:cs="Arial"/>
          <w:lang w:eastAsia="en-AU"/>
        </w:rPr>
      </w:pPr>
      <w:r w:rsidRPr="00467D5D">
        <w:rPr>
          <w:rFonts w:eastAsiaTheme="minorEastAsia" w:cs="Arial"/>
          <w:kern w:val="24"/>
          <w:lang w:eastAsia="en-AU"/>
        </w:rPr>
        <w:t>PNG:</w:t>
      </w:r>
      <w:r w:rsidRPr="00467D5D">
        <w:rPr>
          <w:rFonts w:eastAsiaTheme="minorEastAsia" w:cs="Arial"/>
          <w:kern w:val="24"/>
          <w:lang w:eastAsia="en-AU"/>
        </w:rPr>
        <w:tab/>
      </w:r>
      <w:r w:rsidRPr="00467D5D">
        <w:rPr>
          <w:rFonts w:eastAsiaTheme="minorEastAsia" w:cs="Arial"/>
          <w:kern w:val="24"/>
          <w:lang w:eastAsia="en-AU"/>
        </w:rPr>
        <w:tab/>
        <w:t xml:space="preserve">Port Moresby Technical College </w:t>
      </w:r>
    </w:p>
    <w:p w14:paraId="5420FFAE" w14:textId="77777777" w:rsidR="003D355F" w:rsidRDefault="00B776E0">
      <w:pPr>
        <w:spacing w:after="20"/>
        <w:ind w:left="720"/>
        <w:rPr>
          <w:rFonts w:cs="Arial"/>
          <w:lang w:eastAsia="en-AU"/>
        </w:rPr>
      </w:pPr>
      <w:r w:rsidRPr="00467D5D">
        <w:rPr>
          <w:rFonts w:eastAsiaTheme="minorEastAsia" w:cs="Arial"/>
          <w:kern w:val="24"/>
          <w:lang w:eastAsia="en-AU"/>
        </w:rPr>
        <w:t xml:space="preserve">Samoa: </w:t>
      </w:r>
      <w:r w:rsidRPr="00467D5D">
        <w:rPr>
          <w:rFonts w:eastAsiaTheme="minorEastAsia" w:cs="Arial"/>
          <w:kern w:val="24"/>
          <w:lang w:eastAsia="en-AU"/>
        </w:rPr>
        <w:tab/>
        <w:t xml:space="preserve">National University of Samoa </w:t>
      </w:r>
    </w:p>
    <w:p w14:paraId="10FD8E7B" w14:textId="77777777" w:rsidR="003D355F" w:rsidRDefault="00B776E0">
      <w:pPr>
        <w:spacing w:after="20"/>
        <w:ind w:left="720"/>
        <w:rPr>
          <w:rFonts w:cs="Arial"/>
          <w:lang w:eastAsia="en-AU"/>
        </w:rPr>
      </w:pPr>
      <w:r w:rsidRPr="00467D5D">
        <w:rPr>
          <w:rFonts w:eastAsiaTheme="minorEastAsia" w:cs="Arial"/>
          <w:kern w:val="24"/>
          <w:lang w:eastAsia="en-AU"/>
        </w:rPr>
        <w:t>Solomon Is:</w:t>
      </w:r>
      <w:r w:rsidRPr="00467D5D">
        <w:rPr>
          <w:rFonts w:eastAsiaTheme="minorEastAsia" w:cs="Arial"/>
          <w:kern w:val="24"/>
          <w:lang w:eastAsia="en-AU"/>
        </w:rPr>
        <w:tab/>
        <w:t>Don Bosco Technical College</w:t>
      </w:r>
    </w:p>
    <w:p w14:paraId="6A4FB71C" w14:textId="77777777" w:rsidR="00B776E0" w:rsidRPr="00467D5D" w:rsidRDefault="00B776E0" w:rsidP="00B776E0">
      <w:pPr>
        <w:ind w:left="720"/>
        <w:rPr>
          <w:rFonts w:cs="Arial"/>
          <w:lang w:eastAsia="en-AU"/>
        </w:rPr>
      </w:pPr>
      <w:r w:rsidRPr="00467D5D">
        <w:rPr>
          <w:rFonts w:eastAsiaTheme="minorEastAsia" w:cs="Arial"/>
          <w:kern w:val="24"/>
          <w:lang w:eastAsia="en-AU"/>
        </w:rPr>
        <w:t>Vanuatu:</w:t>
      </w:r>
      <w:r w:rsidRPr="00467D5D">
        <w:rPr>
          <w:rFonts w:eastAsiaTheme="minorEastAsia" w:cs="Arial"/>
          <w:kern w:val="24"/>
          <w:lang w:eastAsia="en-AU"/>
        </w:rPr>
        <w:tab/>
        <w:t xml:space="preserve">Vanuatu Institute of Technology </w:t>
      </w:r>
    </w:p>
    <w:p w14:paraId="0F309061" w14:textId="77777777" w:rsidR="003D355F" w:rsidRDefault="00B776E0">
      <w:pPr>
        <w:spacing w:after="40"/>
        <w:rPr>
          <w:rFonts w:cs="Arial"/>
        </w:rPr>
      </w:pPr>
      <w:r w:rsidRPr="00467D5D">
        <w:rPr>
          <w:rFonts w:cs="Arial"/>
        </w:rPr>
        <w:t>Three additional agreements are in place in non-campus countries</w:t>
      </w:r>
      <w:r w:rsidR="007E3E15">
        <w:rPr>
          <w:rFonts w:cs="Arial"/>
        </w:rPr>
        <w:t>.</w:t>
      </w:r>
    </w:p>
    <w:p w14:paraId="551F9F98" w14:textId="77777777" w:rsidR="003D355F" w:rsidRDefault="00B776E0">
      <w:pPr>
        <w:spacing w:after="20"/>
        <w:ind w:left="720"/>
        <w:rPr>
          <w:rFonts w:cs="Arial"/>
          <w:lang w:eastAsia="en-AU"/>
        </w:rPr>
      </w:pPr>
      <w:r w:rsidRPr="00467D5D">
        <w:rPr>
          <w:rFonts w:cs="Arial"/>
        </w:rPr>
        <w:t>Kiribati:</w:t>
      </w:r>
      <w:r w:rsidRPr="00467D5D">
        <w:rPr>
          <w:rFonts w:cs="Arial"/>
        </w:rPr>
        <w:tab/>
      </w:r>
      <w:r w:rsidRPr="00467D5D">
        <w:rPr>
          <w:rFonts w:eastAsiaTheme="minorEastAsia" w:cs="Arial"/>
          <w:kern w:val="24"/>
          <w:lang w:eastAsia="en-AU"/>
        </w:rPr>
        <w:t xml:space="preserve">Kiribati Institute of Technology </w:t>
      </w:r>
    </w:p>
    <w:p w14:paraId="393A7990" w14:textId="77777777" w:rsidR="003D355F" w:rsidRDefault="00B776E0">
      <w:pPr>
        <w:spacing w:after="20"/>
        <w:ind w:left="720"/>
        <w:rPr>
          <w:rFonts w:cs="Arial"/>
          <w:lang w:eastAsia="en-AU"/>
        </w:rPr>
      </w:pPr>
      <w:r w:rsidRPr="00467D5D">
        <w:rPr>
          <w:rFonts w:cs="Arial"/>
        </w:rPr>
        <w:t>Palau:</w:t>
      </w:r>
      <w:r w:rsidRPr="00467D5D">
        <w:rPr>
          <w:rFonts w:eastAsiaTheme="minorEastAsia" w:cs="Arial"/>
          <w:kern w:val="24"/>
          <w:lang w:eastAsia="en-AU"/>
        </w:rPr>
        <w:t xml:space="preserve"> </w:t>
      </w:r>
      <w:r w:rsidRPr="00467D5D">
        <w:rPr>
          <w:rFonts w:eastAsiaTheme="minorEastAsia" w:cs="Arial"/>
          <w:kern w:val="24"/>
          <w:lang w:eastAsia="en-AU"/>
        </w:rPr>
        <w:tab/>
      </w:r>
      <w:r w:rsidRPr="00467D5D">
        <w:rPr>
          <w:rFonts w:eastAsiaTheme="minorEastAsia" w:cs="Arial"/>
          <w:kern w:val="24"/>
          <w:lang w:eastAsia="en-AU"/>
        </w:rPr>
        <w:tab/>
        <w:t xml:space="preserve">Palau Community College </w:t>
      </w:r>
    </w:p>
    <w:p w14:paraId="13566002" w14:textId="77777777" w:rsidR="00B776E0" w:rsidRPr="00467D5D" w:rsidRDefault="00B776E0" w:rsidP="00B776E0">
      <w:pPr>
        <w:ind w:left="720"/>
        <w:rPr>
          <w:rFonts w:cs="Arial"/>
          <w:lang w:eastAsia="en-AU"/>
        </w:rPr>
      </w:pPr>
      <w:r w:rsidRPr="00467D5D">
        <w:rPr>
          <w:rFonts w:cs="Arial"/>
        </w:rPr>
        <w:t>Tonga:</w:t>
      </w:r>
      <w:r w:rsidRPr="00467D5D">
        <w:rPr>
          <w:rFonts w:eastAsiaTheme="minorEastAsia" w:cs="Arial"/>
          <w:kern w:val="24"/>
          <w:lang w:eastAsia="en-AU"/>
        </w:rPr>
        <w:t xml:space="preserve"> </w:t>
      </w:r>
      <w:r w:rsidRPr="00467D5D">
        <w:rPr>
          <w:rFonts w:eastAsiaTheme="minorEastAsia" w:cs="Arial"/>
          <w:kern w:val="24"/>
          <w:lang w:eastAsia="en-AU"/>
        </w:rPr>
        <w:tab/>
        <w:t>Ahpanilolo Training Institute (Tonga)</w:t>
      </w:r>
      <w:r w:rsidR="003A1C67">
        <w:rPr>
          <w:rFonts w:eastAsiaTheme="minorEastAsia" w:cs="Arial"/>
          <w:kern w:val="24"/>
          <w:lang w:eastAsia="en-AU"/>
        </w:rPr>
        <w:t>.</w:t>
      </w:r>
      <w:r w:rsidRPr="00467D5D">
        <w:rPr>
          <w:rStyle w:val="FootnoteReference"/>
          <w:rFonts w:eastAsiaTheme="minorEastAsia" w:cs="Arial"/>
          <w:kern w:val="24"/>
          <w:lang w:eastAsia="en-AU"/>
        </w:rPr>
        <w:footnoteReference w:id="24"/>
      </w:r>
    </w:p>
    <w:p w14:paraId="73ADE645" w14:textId="7CFA603C" w:rsidR="00B776E0" w:rsidRPr="00467D5D" w:rsidRDefault="00B776E0" w:rsidP="00B776E0">
      <w:pPr>
        <w:rPr>
          <w:rFonts w:cs="Arial"/>
        </w:rPr>
      </w:pPr>
      <w:r w:rsidRPr="00210783">
        <w:rPr>
          <w:rFonts w:cs="Arial"/>
        </w:rPr>
        <w:t xml:space="preserve">These partnerships are outlined in detail in </w:t>
      </w:r>
      <w:r w:rsidRPr="00DB3F84">
        <w:rPr>
          <w:rFonts w:cs="Arial"/>
        </w:rPr>
        <w:t xml:space="preserve">Attachment </w:t>
      </w:r>
      <w:r w:rsidR="002329AF">
        <w:rPr>
          <w:rFonts w:cs="Arial"/>
        </w:rPr>
        <w:t>3</w:t>
      </w:r>
      <w:r w:rsidRPr="00DB3F84">
        <w:rPr>
          <w:rFonts w:cs="Arial"/>
        </w:rPr>
        <w:t>.</w:t>
      </w:r>
    </w:p>
    <w:p w14:paraId="28023BD7" w14:textId="77777777" w:rsidR="007A26CF" w:rsidRDefault="007A26CF">
      <w:pPr>
        <w:spacing w:after="0"/>
        <w:rPr>
          <w:rFonts w:cs="Arial"/>
        </w:rPr>
      </w:pPr>
      <w:r>
        <w:rPr>
          <w:rFonts w:cs="Arial"/>
        </w:rPr>
        <w:br w:type="page"/>
      </w:r>
    </w:p>
    <w:p w14:paraId="7167D216" w14:textId="7F1371D0" w:rsidR="00B776E0" w:rsidRPr="00467D5D" w:rsidRDefault="00B776E0" w:rsidP="00B776E0">
      <w:pPr>
        <w:rPr>
          <w:rFonts w:cs="Arial"/>
        </w:rPr>
      </w:pPr>
      <w:r w:rsidRPr="00467D5D">
        <w:rPr>
          <w:rFonts w:cs="Arial"/>
        </w:rPr>
        <w:t>Examples of articulation pathways built into these agreements include</w:t>
      </w:r>
      <w:r w:rsidR="00846EFF">
        <w:rPr>
          <w:rFonts w:cs="Arial"/>
        </w:rPr>
        <w:t xml:space="preserve"> the following.</w:t>
      </w:r>
    </w:p>
    <w:p w14:paraId="36F37AEC" w14:textId="77777777" w:rsidR="00B776E0" w:rsidRPr="000E1767" w:rsidRDefault="00B776E0" w:rsidP="00260880">
      <w:pPr>
        <w:pStyle w:val="ListParagraph"/>
        <w:numPr>
          <w:ilvl w:val="0"/>
          <w:numId w:val="29"/>
        </w:numPr>
        <w:contextualSpacing w:val="0"/>
        <w:rPr>
          <w:rFonts w:cs="Arial"/>
        </w:rPr>
      </w:pPr>
      <w:r w:rsidRPr="000E1767">
        <w:rPr>
          <w:rFonts w:cs="Arial"/>
        </w:rPr>
        <w:t xml:space="preserve">The agreement with Vivekananda Technical Centre in </w:t>
      </w:r>
      <w:r w:rsidRPr="000E1767">
        <w:rPr>
          <w:rFonts w:cs="Arial"/>
          <w:b/>
        </w:rPr>
        <w:t xml:space="preserve">Fiji </w:t>
      </w:r>
      <w:r w:rsidRPr="000E1767">
        <w:rPr>
          <w:rFonts w:cs="Arial"/>
        </w:rPr>
        <w:t xml:space="preserve">involves mapping of the local qualification with the Australian qualification. Joint delivery </w:t>
      </w:r>
      <w:r>
        <w:rPr>
          <w:rFonts w:cs="Arial"/>
        </w:rPr>
        <w:t>of</w:t>
      </w:r>
      <w:r w:rsidRPr="000E1767">
        <w:rPr>
          <w:rFonts w:cs="Arial"/>
        </w:rPr>
        <w:t xml:space="preserve"> the Certificate II Hospitality and Certificate II in Automotive enables students to progress to </w:t>
      </w:r>
      <w:r w:rsidR="006D6710">
        <w:rPr>
          <w:rFonts w:cs="Arial"/>
        </w:rPr>
        <w:t>C</w:t>
      </w:r>
      <w:r w:rsidR="006D6710" w:rsidRPr="000E1767">
        <w:rPr>
          <w:rFonts w:cs="Arial"/>
        </w:rPr>
        <w:t xml:space="preserve">ertificate </w:t>
      </w:r>
      <w:r w:rsidRPr="000E1767">
        <w:rPr>
          <w:rFonts w:cs="Arial"/>
        </w:rPr>
        <w:t>level III at APTC.</w:t>
      </w:r>
    </w:p>
    <w:p w14:paraId="35BF7CFD" w14:textId="77777777" w:rsidR="00B776E0" w:rsidRPr="000E1767" w:rsidRDefault="00B776E0" w:rsidP="00260880">
      <w:pPr>
        <w:pStyle w:val="ListParagraph"/>
        <w:numPr>
          <w:ilvl w:val="0"/>
          <w:numId w:val="29"/>
        </w:numPr>
        <w:contextualSpacing w:val="0"/>
        <w:rPr>
          <w:rFonts w:cs="Arial"/>
        </w:rPr>
      </w:pPr>
      <w:r w:rsidRPr="000E1767">
        <w:rPr>
          <w:rFonts w:cs="Arial"/>
        </w:rPr>
        <w:t xml:space="preserve">The agreement with the University of the South Pacific (USP) </w:t>
      </w:r>
      <w:r w:rsidR="00546F37" w:rsidRPr="00546F37">
        <w:rPr>
          <w:rFonts w:cs="Arial"/>
        </w:rPr>
        <w:t>in</w:t>
      </w:r>
      <w:r w:rsidRPr="000E1767">
        <w:rPr>
          <w:rFonts w:cs="Arial"/>
          <w:b/>
        </w:rPr>
        <w:t xml:space="preserve"> Fiji</w:t>
      </w:r>
      <w:r w:rsidRPr="000E1767">
        <w:rPr>
          <w:rFonts w:cs="Arial"/>
        </w:rPr>
        <w:t xml:space="preserve"> incorporates the option of ‘dual badging’</w:t>
      </w:r>
      <w:r>
        <w:rPr>
          <w:rStyle w:val="FootnoteReference"/>
          <w:rFonts w:cs="Arial"/>
        </w:rPr>
        <w:footnoteReference w:id="25"/>
      </w:r>
      <w:r w:rsidRPr="000E1767">
        <w:rPr>
          <w:rFonts w:cs="Arial"/>
        </w:rPr>
        <w:t xml:space="preserve"> (USP and APTC) qualifications.</w:t>
      </w:r>
    </w:p>
    <w:p w14:paraId="0E2AB3CE" w14:textId="77777777" w:rsidR="00B776E0" w:rsidRPr="000E1767" w:rsidRDefault="00B776E0" w:rsidP="00260880">
      <w:pPr>
        <w:pStyle w:val="ListParagraph"/>
        <w:numPr>
          <w:ilvl w:val="0"/>
          <w:numId w:val="29"/>
        </w:numPr>
        <w:contextualSpacing w:val="0"/>
        <w:rPr>
          <w:rFonts w:cs="Arial"/>
        </w:rPr>
      </w:pPr>
      <w:r w:rsidRPr="000E1767">
        <w:rPr>
          <w:rFonts w:cs="Arial"/>
        </w:rPr>
        <w:t xml:space="preserve">In </w:t>
      </w:r>
      <w:r w:rsidRPr="000E1767">
        <w:rPr>
          <w:rFonts w:cs="Arial"/>
          <w:b/>
        </w:rPr>
        <w:t>Samoa</w:t>
      </w:r>
      <w:r w:rsidRPr="000E1767">
        <w:rPr>
          <w:rFonts w:cs="Arial"/>
        </w:rPr>
        <w:t xml:space="preserve">, the National University of Samoa (NUS) offers local </w:t>
      </w:r>
      <w:r w:rsidR="00E364A7">
        <w:rPr>
          <w:rFonts w:cs="Arial"/>
        </w:rPr>
        <w:t>C</w:t>
      </w:r>
      <w:r w:rsidR="00E364A7" w:rsidRPr="000E1767">
        <w:rPr>
          <w:rFonts w:cs="Arial"/>
        </w:rPr>
        <w:t>ertificate</w:t>
      </w:r>
      <w:r w:rsidR="00E364A7">
        <w:rPr>
          <w:rFonts w:cs="Arial"/>
        </w:rPr>
        <w:t xml:space="preserve"> </w:t>
      </w:r>
      <w:r w:rsidR="00FD521D">
        <w:rPr>
          <w:rFonts w:cs="Arial"/>
        </w:rPr>
        <w:t>level I and II qualifications.</w:t>
      </w:r>
      <w:r w:rsidRPr="000E1767">
        <w:rPr>
          <w:rFonts w:cs="Arial"/>
        </w:rPr>
        <w:t xml:space="preserve"> There is a pathway to </w:t>
      </w:r>
      <w:r w:rsidR="00E364A7">
        <w:rPr>
          <w:rFonts w:cs="Arial"/>
        </w:rPr>
        <w:t>C</w:t>
      </w:r>
      <w:r w:rsidR="00E364A7" w:rsidRPr="000E1767">
        <w:rPr>
          <w:rFonts w:cs="Arial"/>
        </w:rPr>
        <w:t xml:space="preserve">ertificate </w:t>
      </w:r>
      <w:r w:rsidRPr="000E1767">
        <w:rPr>
          <w:rFonts w:cs="Arial"/>
        </w:rPr>
        <w:t>level III at APTC.</w:t>
      </w:r>
    </w:p>
    <w:p w14:paraId="17409AAA" w14:textId="77777777" w:rsidR="00B776E0" w:rsidRPr="000E1767" w:rsidRDefault="00B776E0" w:rsidP="00260880">
      <w:pPr>
        <w:pStyle w:val="ListParagraph"/>
        <w:numPr>
          <w:ilvl w:val="0"/>
          <w:numId w:val="29"/>
        </w:numPr>
        <w:contextualSpacing w:val="0"/>
        <w:rPr>
          <w:rFonts w:cs="Arial"/>
        </w:rPr>
      </w:pPr>
      <w:r w:rsidRPr="000E1767">
        <w:rPr>
          <w:rFonts w:cs="Arial"/>
        </w:rPr>
        <w:t xml:space="preserve">Australian qualifications are offered at Kiribati Institute of Technology (KIT) in </w:t>
      </w:r>
      <w:r w:rsidRPr="000E1767">
        <w:rPr>
          <w:rFonts w:cs="Arial"/>
          <w:b/>
        </w:rPr>
        <w:t>Kiribati</w:t>
      </w:r>
      <w:r w:rsidR="00FD521D">
        <w:rPr>
          <w:rFonts w:cs="Arial"/>
        </w:rPr>
        <w:t xml:space="preserve">. </w:t>
      </w:r>
      <w:r w:rsidRPr="000E1767">
        <w:rPr>
          <w:rFonts w:cs="Arial"/>
        </w:rPr>
        <w:t xml:space="preserve">The agreement between KIT and APTC gives KIT students a pathway to </w:t>
      </w:r>
      <w:r w:rsidR="00AD3C4A">
        <w:rPr>
          <w:rFonts w:cs="Arial"/>
        </w:rPr>
        <w:t>C</w:t>
      </w:r>
      <w:r w:rsidR="00AD3C4A" w:rsidRPr="000E1767">
        <w:rPr>
          <w:rFonts w:cs="Arial"/>
        </w:rPr>
        <w:t xml:space="preserve">ertificate </w:t>
      </w:r>
      <w:r w:rsidRPr="000E1767">
        <w:rPr>
          <w:rFonts w:cs="Arial"/>
        </w:rPr>
        <w:t>level III at APTC. Two groups representing 31 young i-Kiribati have now completed this pathway.</w:t>
      </w:r>
    </w:p>
    <w:p w14:paraId="247A2169" w14:textId="77777777" w:rsidR="00B776E0" w:rsidRPr="000E1767" w:rsidRDefault="00B776E0" w:rsidP="00260880">
      <w:pPr>
        <w:pStyle w:val="ListParagraph"/>
        <w:numPr>
          <w:ilvl w:val="0"/>
          <w:numId w:val="29"/>
        </w:numPr>
        <w:contextualSpacing w:val="0"/>
        <w:rPr>
          <w:rFonts w:cs="Arial"/>
        </w:rPr>
      </w:pPr>
      <w:r>
        <w:rPr>
          <w:rFonts w:cs="Arial"/>
        </w:rPr>
        <w:t>J</w:t>
      </w:r>
      <w:r w:rsidRPr="000E1767">
        <w:rPr>
          <w:rFonts w:cs="Arial"/>
        </w:rPr>
        <w:t xml:space="preserve">oint delivery arrangements in the </w:t>
      </w:r>
      <w:r w:rsidRPr="000E1767">
        <w:rPr>
          <w:rFonts w:cs="Arial"/>
          <w:b/>
        </w:rPr>
        <w:t>Solomon Islands</w:t>
      </w:r>
      <w:r w:rsidRPr="000E1767">
        <w:rPr>
          <w:rFonts w:cs="Arial"/>
        </w:rPr>
        <w:t xml:space="preserve"> offer pathways for both tutors and students</w:t>
      </w:r>
      <w:r>
        <w:rPr>
          <w:rFonts w:cs="Arial"/>
        </w:rPr>
        <w:t>.</w:t>
      </w:r>
    </w:p>
    <w:p w14:paraId="7C606EB7" w14:textId="77777777" w:rsidR="00B776E0" w:rsidRPr="00467D5D" w:rsidRDefault="00B776E0" w:rsidP="00B776E0">
      <w:pPr>
        <w:rPr>
          <w:rFonts w:cs="Arial"/>
        </w:rPr>
      </w:pPr>
      <w:r w:rsidRPr="00467D5D">
        <w:rPr>
          <w:rFonts w:cs="Arial"/>
        </w:rPr>
        <w:t>There is also potential for pathways to be established from skill sets or units of competency to full qualifications. The Fiji Community Development Program is a case in point</w:t>
      </w:r>
      <w:r w:rsidR="008F5C05">
        <w:rPr>
          <w:rFonts w:cs="Arial"/>
        </w:rPr>
        <w:t>,</w:t>
      </w:r>
      <w:r>
        <w:rPr>
          <w:rFonts w:cs="Arial"/>
        </w:rPr>
        <w:t xml:space="preserve"> as is the skill set identified for administrative staff from the Certificate IV in Business. </w:t>
      </w:r>
      <w:r w:rsidRPr="00467D5D">
        <w:rPr>
          <w:rFonts w:cs="Arial"/>
        </w:rPr>
        <w:t>Pathways from APTC exist where local universities have subsequent qualifications, usually at Diploma level, or to Australian institutions.</w:t>
      </w:r>
    </w:p>
    <w:p w14:paraId="1A845DD1" w14:textId="77777777" w:rsidR="00B776E0" w:rsidRPr="00467D5D" w:rsidRDefault="00B776E0" w:rsidP="00B776E0">
      <w:pPr>
        <w:rPr>
          <w:rFonts w:cs="Arial"/>
          <w:i/>
        </w:rPr>
      </w:pPr>
      <w:r w:rsidRPr="00467D5D">
        <w:rPr>
          <w:rFonts w:cs="Arial"/>
        </w:rPr>
        <w:t xml:space="preserve">Instances of students taking advantage of pathways within APTC are likely to depend on being awarded a second scholarship, or a first scholarship if the initial training consisted of selected units of competency. The </w:t>
      </w:r>
      <w:r>
        <w:rPr>
          <w:rFonts w:cs="Arial"/>
        </w:rPr>
        <w:t>current</w:t>
      </w:r>
      <w:r w:rsidRPr="00467D5D">
        <w:rPr>
          <w:rFonts w:cs="Arial"/>
        </w:rPr>
        <w:t xml:space="preserve"> Scholarship Policy states that</w:t>
      </w:r>
      <w:r>
        <w:rPr>
          <w:rFonts w:cs="Arial"/>
        </w:rPr>
        <w:t xml:space="preserve"> a student may receive consecutive scholarships provided they meet certain conditions, including evidence of employer and trainer support and completion of at least one year’s employment in the relevant occupation.</w:t>
      </w:r>
      <w:r w:rsidRPr="00467D5D">
        <w:rPr>
          <w:rStyle w:val="FootnoteReference"/>
          <w:rFonts w:cs="Arial"/>
          <w:i/>
        </w:rPr>
        <w:footnoteReference w:id="26"/>
      </w:r>
    </w:p>
    <w:p w14:paraId="630FCDCD" w14:textId="77777777" w:rsidR="00905833" w:rsidRDefault="00546F37" w:rsidP="00B776E0">
      <w:pPr>
        <w:rPr>
          <w:rFonts w:eastAsiaTheme="minorEastAsia" w:cs="Arial"/>
        </w:rPr>
      </w:pPr>
      <w:r w:rsidRPr="00546F37">
        <w:rPr>
          <w:rFonts w:cs="Arial"/>
          <w:b/>
          <w:i/>
        </w:rPr>
        <w:t>National and Australian qualification pathways.</w:t>
      </w:r>
      <w:r w:rsidR="00B776E0">
        <w:rPr>
          <w:rFonts w:cs="Arial"/>
          <w:i/>
        </w:rPr>
        <w:t xml:space="preserve"> </w:t>
      </w:r>
      <w:r w:rsidR="00B776E0" w:rsidRPr="00467D5D">
        <w:rPr>
          <w:rFonts w:cs="Arial"/>
        </w:rPr>
        <w:t>Despite the many examples that exist of articulation pathways</w:t>
      </w:r>
      <w:r w:rsidR="00B776E0">
        <w:rPr>
          <w:rFonts w:cs="Arial"/>
        </w:rPr>
        <w:t>,</w:t>
      </w:r>
      <w:r w:rsidR="00B776E0" w:rsidRPr="00467D5D">
        <w:rPr>
          <w:rFonts w:cs="Arial"/>
        </w:rPr>
        <w:t xml:space="preserve"> APTC faces challenges and sensitivities in this area. </w:t>
      </w:r>
      <w:r w:rsidR="0017072A">
        <w:rPr>
          <w:rFonts w:eastAsiaTheme="minorEastAsia" w:cs="Arial"/>
        </w:rPr>
        <w:t>While</w:t>
      </w:r>
      <w:r w:rsidR="0017072A" w:rsidRPr="00467D5D">
        <w:rPr>
          <w:rFonts w:eastAsiaTheme="minorEastAsia" w:cs="Arial"/>
        </w:rPr>
        <w:t xml:space="preserve"> </w:t>
      </w:r>
      <w:r w:rsidR="00B776E0" w:rsidRPr="00467D5D">
        <w:rPr>
          <w:rFonts w:eastAsiaTheme="minorEastAsia" w:cs="Arial"/>
        </w:rPr>
        <w:t xml:space="preserve">many countries </w:t>
      </w:r>
      <w:r w:rsidR="0017072A">
        <w:rPr>
          <w:rFonts w:eastAsiaTheme="minorEastAsia" w:cs="Arial"/>
        </w:rPr>
        <w:t xml:space="preserve">are </w:t>
      </w:r>
      <w:r w:rsidR="00B776E0" w:rsidRPr="00467D5D">
        <w:rPr>
          <w:rFonts w:eastAsiaTheme="minorEastAsia" w:cs="Arial"/>
        </w:rPr>
        <w:t xml:space="preserve">using well-established international qualifications frameworks, including the Australian Qualifications Framework and the associated training packages as a basis for their own, there is sometimes an assumption that the qualifications are automatically equivalent, </w:t>
      </w:r>
      <w:r w:rsidR="0017072A">
        <w:rPr>
          <w:rFonts w:eastAsiaTheme="minorEastAsia" w:cs="Arial"/>
        </w:rPr>
        <w:t>but</w:t>
      </w:r>
      <w:r w:rsidR="0017072A" w:rsidRPr="00467D5D">
        <w:rPr>
          <w:rFonts w:eastAsiaTheme="minorEastAsia" w:cs="Arial"/>
        </w:rPr>
        <w:t xml:space="preserve"> </w:t>
      </w:r>
      <w:r w:rsidR="00B776E0" w:rsidRPr="00467D5D">
        <w:rPr>
          <w:rFonts w:eastAsiaTheme="minorEastAsia" w:cs="Arial"/>
        </w:rPr>
        <w:t xml:space="preserve">that is not necessarily the case. What exists on paper may </w:t>
      </w:r>
      <w:r w:rsidR="00B776E0">
        <w:rPr>
          <w:rFonts w:eastAsiaTheme="minorEastAsia" w:cs="Arial"/>
        </w:rPr>
        <w:t>not be translated into practice and a promise of pathways might be misleading.</w:t>
      </w:r>
      <w:r w:rsidR="00B776E0" w:rsidRPr="00467D5D">
        <w:rPr>
          <w:rFonts w:eastAsiaTheme="minorEastAsia" w:cs="Arial"/>
        </w:rPr>
        <w:t xml:space="preserve"> A Pacific expert working in the field and consulted during the field visits described this phenomenon as ‘academic drift and qualifications inflation’ and went on to elaborate that it can even be dangerous if lower level qualifications are removed and qualification ‘stepping stones’ are no longer in place for students. At the same time</w:t>
      </w:r>
      <w:r w:rsidR="001A0E2A">
        <w:rPr>
          <w:rFonts w:eastAsiaTheme="minorEastAsia" w:cs="Arial"/>
        </w:rPr>
        <w:t>,</w:t>
      </w:r>
      <w:r w:rsidR="00B776E0" w:rsidRPr="00467D5D">
        <w:rPr>
          <w:rFonts w:eastAsiaTheme="minorEastAsia" w:cs="Arial"/>
        </w:rPr>
        <w:t xml:space="preserve"> APTC can be accused of academic elitism if it challenges qualification parity. </w:t>
      </w:r>
    </w:p>
    <w:p w14:paraId="3AFEC848" w14:textId="77777777" w:rsidR="007A26CF" w:rsidRDefault="007A26CF">
      <w:pPr>
        <w:spacing w:after="0"/>
        <w:rPr>
          <w:rFonts w:eastAsiaTheme="minorEastAsia" w:cs="Arial"/>
        </w:rPr>
      </w:pPr>
      <w:r>
        <w:rPr>
          <w:rFonts w:eastAsiaTheme="minorEastAsia" w:cs="Arial"/>
        </w:rPr>
        <w:br w:type="page"/>
      </w:r>
    </w:p>
    <w:p w14:paraId="7057181F" w14:textId="78BE6392" w:rsidR="00B776E0" w:rsidRPr="00467D5D" w:rsidRDefault="00B776E0" w:rsidP="00E15C00">
      <w:pPr>
        <w:rPr>
          <w:rFonts w:eastAsiaTheme="minorEastAsia" w:cs="Arial"/>
        </w:rPr>
      </w:pPr>
      <w:r w:rsidRPr="00467D5D">
        <w:rPr>
          <w:rFonts w:eastAsiaTheme="minorEastAsia" w:cs="Arial"/>
        </w:rPr>
        <w:t>It is therefore important that APTC staff take every available opportunity to participate in the process of developing qualifications at system level in the relevant countries to facilitate pathways for students between the two qualification systems. To date this has occurred in ways such as:</w:t>
      </w:r>
    </w:p>
    <w:p w14:paraId="5845579E" w14:textId="77777777" w:rsidR="00B776E0" w:rsidRDefault="00B776E0" w:rsidP="00260880">
      <w:pPr>
        <w:pStyle w:val="ListParagraph"/>
        <w:numPr>
          <w:ilvl w:val="0"/>
          <w:numId w:val="24"/>
        </w:numPr>
        <w:ind w:left="850" w:hanging="425"/>
        <w:contextualSpacing w:val="0"/>
        <w:rPr>
          <w:rFonts w:eastAsiaTheme="minorEastAsia" w:cs="Arial"/>
        </w:rPr>
      </w:pPr>
      <w:r>
        <w:rPr>
          <w:rFonts w:eastAsiaTheme="minorEastAsia" w:cs="Arial"/>
        </w:rPr>
        <w:t>assisting with the development of qualifications frameworks</w:t>
      </w:r>
    </w:p>
    <w:p w14:paraId="773F3A10" w14:textId="77777777" w:rsidR="00B776E0" w:rsidRPr="00467D5D" w:rsidRDefault="00B776E0" w:rsidP="00260880">
      <w:pPr>
        <w:pStyle w:val="ListParagraph"/>
        <w:numPr>
          <w:ilvl w:val="0"/>
          <w:numId w:val="24"/>
        </w:numPr>
        <w:ind w:left="850" w:hanging="425"/>
        <w:contextualSpacing w:val="0"/>
        <w:rPr>
          <w:rFonts w:eastAsiaTheme="minorEastAsia" w:cs="Arial"/>
        </w:rPr>
      </w:pPr>
      <w:r w:rsidRPr="00467D5D">
        <w:rPr>
          <w:rFonts w:eastAsiaTheme="minorEastAsia" w:cs="Arial"/>
        </w:rPr>
        <w:t>mapping local and Australian qualifications</w:t>
      </w:r>
    </w:p>
    <w:p w14:paraId="4FA366B5" w14:textId="77777777" w:rsidR="00B776E0" w:rsidRPr="00467D5D" w:rsidRDefault="00B776E0" w:rsidP="00260880">
      <w:pPr>
        <w:pStyle w:val="ListParagraph"/>
        <w:numPr>
          <w:ilvl w:val="0"/>
          <w:numId w:val="24"/>
        </w:numPr>
        <w:ind w:left="850" w:hanging="425"/>
        <w:contextualSpacing w:val="0"/>
        <w:rPr>
          <w:rFonts w:eastAsiaTheme="minorEastAsia" w:cs="Arial"/>
        </w:rPr>
      </w:pPr>
      <w:r w:rsidRPr="00467D5D">
        <w:rPr>
          <w:rFonts w:eastAsiaTheme="minorEastAsia" w:cs="Arial"/>
        </w:rPr>
        <w:t>participating in industry sector advisory bodies developing standards</w:t>
      </w:r>
    </w:p>
    <w:p w14:paraId="4AA80100" w14:textId="2C4ADD8D" w:rsidR="00B776E0" w:rsidRPr="00467D5D" w:rsidRDefault="00B776E0" w:rsidP="00260880">
      <w:pPr>
        <w:pStyle w:val="ListParagraph"/>
        <w:numPr>
          <w:ilvl w:val="0"/>
          <w:numId w:val="24"/>
        </w:numPr>
        <w:ind w:left="850" w:hanging="425"/>
        <w:contextualSpacing w:val="0"/>
        <w:rPr>
          <w:rFonts w:eastAsiaTheme="minorEastAsia" w:cs="Arial"/>
        </w:rPr>
      </w:pPr>
      <w:r w:rsidRPr="00467D5D">
        <w:rPr>
          <w:rFonts w:eastAsiaTheme="minorEastAsia" w:cs="Arial"/>
        </w:rPr>
        <w:t>providing updates on industry trends and training package developments in Australia.</w:t>
      </w:r>
      <w:r>
        <w:rPr>
          <w:rFonts w:eastAsiaTheme="minorEastAsia" w:cs="Arial"/>
        </w:rPr>
        <w:t xml:space="preserve"> (Attachment </w:t>
      </w:r>
      <w:r w:rsidR="002329AF">
        <w:rPr>
          <w:rFonts w:eastAsiaTheme="minorEastAsia" w:cs="Arial"/>
        </w:rPr>
        <w:t>3</w:t>
      </w:r>
      <w:r>
        <w:rPr>
          <w:rFonts w:eastAsiaTheme="minorEastAsia" w:cs="Arial"/>
        </w:rPr>
        <w:t>)</w:t>
      </w:r>
    </w:p>
    <w:p w14:paraId="3E540941" w14:textId="2B36C7AB" w:rsidR="00A13A00" w:rsidRDefault="00A13A00" w:rsidP="00B776E0">
      <w:pPr>
        <w:rPr>
          <w:rFonts w:eastAsiaTheme="minorEastAsia" w:cs="Arial"/>
        </w:rPr>
      </w:pPr>
      <w:r w:rsidRPr="00A13A00">
        <w:rPr>
          <w:rFonts w:eastAsiaTheme="minorEastAsia" w:cs="Arial"/>
        </w:rPr>
        <w:t>As national qualifications frameworks are finalised and quality assurance practices are implemented</w:t>
      </w:r>
      <w:r w:rsidR="00947643">
        <w:rPr>
          <w:rFonts w:eastAsiaTheme="minorEastAsia" w:cs="Arial"/>
        </w:rPr>
        <w:t>,</w:t>
      </w:r>
      <w:r w:rsidRPr="00A13A00">
        <w:rPr>
          <w:rFonts w:eastAsiaTheme="minorEastAsia" w:cs="Arial"/>
        </w:rPr>
        <w:t xml:space="preserve"> this issue may prove to be less problematic, but the process is proving to be slow. In addition, the concept of a Pacific Qualifications Framework (PQF) has had the support of the Pacific Island countries and territories at Ministerial level for over a decade and the South Pacific Board for Educational Assessment (SPBEA) has had this role since 2009. However, although it is sometimes used as a reference point, the prospect of a PQF replacing national systems appears doubtful for the time being. The evaluation team was advised that individual countries value national sovereignty in this regard.</w:t>
      </w:r>
      <w:r w:rsidRPr="00A13A00">
        <w:rPr>
          <w:rStyle w:val="FootnoteReference"/>
          <w:rFonts w:eastAsiaTheme="minorEastAsia" w:cs="Arial"/>
        </w:rPr>
        <w:t xml:space="preserve"> </w:t>
      </w:r>
      <w:r>
        <w:rPr>
          <w:rStyle w:val="FootnoteReference"/>
          <w:rFonts w:eastAsiaTheme="minorEastAsia" w:cs="Arial"/>
        </w:rPr>
        <w:footnoteReference w:id="27"/>
      </w:r>
      <w:r w:rsidRPr="00467D5D">
        <w:rPr>
          <w:rFonts w:eastAsiaTheme="minorEastAsia" w:cs="Arial"/>
        </w:rPr>
        <w:t xml:space="preserve"> </w:t>
      </w:r>
      <w:r w:rsidRPr="00A13A00">
        <w:rPr>
          <w:rFonts w:eastAsiaTheme="minorEastAsia" w:cs="Arial"/>
        </w:rPr>
        <w:t xml:space="preserve"> </w:t>
      </w:r>
    </w:p>
    <w:p w14:paraId="3B9154D7" w14:textId="7E7B5C3B" w:rsidR="003D355F" w:rsidRDefault="00ED2C95" w:rsidP="002028A6">
      <w:pPr>
        <w:pStyle w:val="Heading2"/>
      </w:pPr>
      <w:bookmarkStart w:id="647" w:name="_Toc274900510"/>
      <w:bookmarkStart w:id="648" w:name="_Toc274909891"/>
      <w:bookmarkStart w:id="649" w:name="_Toc278447907"/>
      <w:bookmarkStart w:id="650" w:name="_Toc278453380"/>
      <w:r>
        <w:t>1.6</w:t>
      </w:r>
      <w:r w:rsidR="009D5F10">
        <w:tab/>
      </w:r>
      <w:r w:rsidR="00B776E0" w:rsidRPr="00145BB7">
        <w:t xml:space="preserve">To what extent has APTC catered for country characteristics in its </w:t>
      </w:r>
      <w:r w:rsidR="002162C3">
        <w:br/>
      </w:r>
      <w:r w:rsidR="002162C3">
        <w:tab/>
      </w:r>
      <w:r w:rsidR="00B776E0" w:rsidRPr="00145BB7">
        <w:t>regional program</w:t>
      </w:r>
      <w:r w:rsidR="00B776E0">
        <w:t>?</w:t>
      </w:r>
      <w:bookmarkEnd w:id="647"/>
      <w:bookmarkEnd w:id="648"/>
      <w:bookmarkEnd w:id="649"/>
      <w:bookmarkEnd w:id="650"/>
    </w:p>
    <w:p w14:paraId="51708FBA" w14:textId="4CE93A20" w:rsidR="00817BC6" w:rsidRDefault="00B776E0" w:rsidP="00B776E0">
      <w:pPr>
        <w:rPr>
          <w:rFonts w:cs="Arial"/>
        </w:rPr>
      </w:pPr>
      <w:r>
        <w:rPr>
          <w:rFonts w:cs="Arial"/>
        </w:rPr>
        <w:t xml:space="preserve">The APTC is a regional program and establishing it on a regional basis was understandably a high priority in Stages </w:t>
      </w:r>
      <w:r w:rsidR="007A26CF">
        <w:rPr>
          <w:rFonts w:cs="Arial"/>
        </w:rPr>
        <w:t>I</w:t>
      </w:r>
      <w:r>
        <w:rPr>
          <w:rFonts w:cs="Arial"/>
        </w:rPr>
        <w:t xml:space="preserve"> and </w:t>
      </w:r>
      <w:r w:rsidR="007A26CF">
        <w:rPr>
          <w:rFonts w:cs="Arial"/>
        </w:rPr>
        <w:t>II</w:t>
      </w:r>
      <w:r>
        <w:rPr>
          <w:rFonts w:cs="Arial"/>
        </w:rPr>
        <w:t>. However, as</w:t>
      </w:r>
      <w:r w:rsidRPr="006F0E87">
        <w:rPr>
          <w:rFonts w:cs="Arial"/>
        </w:rPr>
        <w:t xml:space="preserve"> the APTC matures</w:t>
      </w:r>
      <w:r w:rsidR="00712915">
        <w:rPr>
          <w:rFonts w:cs="Arial"/>
        </w:rPr>
        <w:t>,</w:t>
      </w:r>
      <w:r w:rsidRPr="006F0E87">
        <w:rPr>
          <w:rFonts w:cs="Arial"/>
        </w:rPr>
        <w:t xml:space="preserve"> the distinctive nature of each </w:t>
      </w:r>
      <w:r>
        <w:rPr>
          <w:rFonts w:cs="Arial"/>
        </w:rPr>
        <w:t xml:space="preserve">country is becoming more marked. This is </w:t>
      </w:r>
      <w:r w:rsidRPr="006F0E87">
        <w:rPr>
          <w:rFonts w:cs="Arial"/>
        </w:rPr>
        <w:t xml:space="preserve">based on the defining characteristics of </w:t>
      </w:r>
      <w:r>
        <w:rPr>
          <w:rFonts w:cs="Arial"/>
        </w:rPr>
        <w:t>each country’s</w:t>
      </w:r>
      <w:r w:rsidRPr="006F0E87">
        <w:rPr>
          <w:rFonts w:cs="Arial"/>
        </w:rPr>
        <w:t xml:space="preserve"> economy and industries, </w:t>
      </w:r>
      <w:r>
        <w:rPr>
          <w:rFonts w:cs="Arial"/>
        </w:rPr>
        <w:t xml:space="preserve">local </w:t>
      </w:r>
      <w:r w:rsidRPr="006F0E87">
        <w:rPr>
          <w:rFonts w:cs="Arial"/>
        </w:rPr>
        <w:t xml:space="preserve">TVET sector, </w:t>
      </w:r>
      <w:r w:rsidR="00712915">
        <w:rPr>
          <w:rFonts w:cs="Arial"/>
        </w:rPr>
        <w:t>g</w:t>
      </w:r>
      <w:r w:rsidR="00712915" w:rsidRPr="006F0E87">
        <w:rPr>
          <w:rFonts w:cs="Arial"/>
        </w:rPr>
        <w:t>overnment</w:t>
      </w:r>
      <w:r w:rsidRPr="006F0E87">
        <w:rPr>
          <w:rFonts w:cs="Arial"/>
        </w:rPr>
        <w:t>, culture and the training resources available as part of the APTC investment</w:t>
      </w:r>
      <w:r>
        <w:rPr>
          <w:rFonts w:cs="Arial"/>
        </w:rPr>
        <w:t xml:space="preserve">. It is also influenced by the length of time </w:t>
      </w:r>
      <w:r w:rsidR="00AE0C8D">
        <w:rPr>
          <w:rFonts w:cs="Arial"/>
        </w:rPr>
        <w:t>of</w:t>
      </w:r>
      <w:r>
        <w:rPr>
          <w:rFonts w:cs="Arial"/>
        </w:rPr>
        <w:t xml:space="preserve"> an Australian presence, both </w:t>
      </w:r>
      <w:r w:rsidR="00AE0C8D">
        <w:rPr>
          <w:rFonts w:cs="Arial"/>
        </w:rPr>
        <w:t>before</w:t>
      </w:r>
      <w:r>
        <w:rPr>
          <w:rFonts w:cs="Arial"/>
        </w:rPr>
        <w:t xml:space="preserve"> and following the establishment of APTC. </w:t>
      </w:r>
    </w:p>
    <w:p w14:paraId="6646A151" w14:textId="56191887" w:rsidR="00B776E0" w:rsidRDefault="00B776E0" w:rsidP="00B776E0">
      <w:pPr>
        <w:rPr>
          <w:rFonts w:cs="Arial"/>
        </w:rPr>
      </w:pPr>
      <w:r>
        <w:rPr>
          <w:rFonts w:cs="Arial"/>
        </w:rPr>
        <w:t xml:space="preserve">The distinctiveness is evident in the partnerships described in Attachment </w:t>
      </w:r>
      <w:r w:rsidR="002329AF">
        <w:rPr>
          <w:rFonts w:cs="Arial"/>
        </w:rPr>
        <w:t>3</w:t>
      </w:r>
      <w:r w:rsidR="00817BC6">
        <w:rPr>
          <w:rFonts w:cs="Arial"/>
        </w:rPr>
        <w:t>,</w:t>
      </w:r>
      <w:r>
        <w:rPr>
          <w:rFonts w:cs="Arial"/>
        </w:rPr>
        <w:t xml:space="preserve"> as well as the relationships with industry described in the Questionnaire Results Annex – Industry Engagement. As a result, the need for a greater focus on country-specific planning was evident. </w:t>
      </w:r>
      <w:r w:rsidR="00B16C7D" w:rsidRPr="00B16C7D">
        <w:rPr>
          <w:rFonts w:cs="Arial"/>
        </w:rPr>
        <w:t xml:space="preserve">This would entail individual strategic plans for the development of each country campus, based on its unique characteristics and potential and containing clear performance targets appropriate for the country campus concerned. </w:t>
      </w:r>
      <w:r>
        <w:rPr>
          <w:rFonts w:cs="Arial"/>
        </w:rPr>
        <w:t xml:space="preserve">Further, empowering each </w:t>
      </w:r>
      <w:r w:rsidR="00817BC6">
        <w:rPr>
          <w:rFonts w:cs="Arial"/>
        </w:rPr>
        <w:t xml:space="preserve">country </w:t>
      </w:r>
      <w:r>
        <w:rPr>
          <w:rFonts w:cs="Arial"/>
        </w:rPr>
        <w:t xml:space="preserve">campus, through greater levels of delegation to Country Managers is as an important next step in the evolution of APTC.  </w:t>
      </w:r>
    </w:p>
    <w:p w14:paraId="3EA79CF5" w14:textId="15FFCB55" w:rsidR="003D355F" w:rsidRDefault="00ED2C95" w:rsidP="002028A6">
      <w:pPr>
        <w:pStyle w:val="Heading1"/>
      </w:pPr>
      <w:bookmarkStart w:id="651" w:name="_Toc278447908"/>
      <w:bookmarkStart w:id="652" w:name="_Toc278453381"/>
      <w:r>
        <w:t>2</w:t>
      </w:r>
      <w:r w:rsidR="009D5F10">
        <w:tab/>
      </w:r>
      <w:r w:rsidR="00B776E0" w:rsidRPr="00DB07A6">
        <w:t>How closely attuned is APTC to industry and employers</w:t>
      </w:r>
      <w:r w:rsidR="00B776E0">
        <w:t>?</w:t>
      </w:r>
      <w:bookmarkEnd w:id="651"/>
      <w:bookmarkEnd w:id="652"/>
      <w:r w:rsidR="00B776E0" w:rsidRPr="00DB07A6">
        <w:t xml:space="preserve"> </w:t>
      </w:r>
    </w:p>
    <w:p w14:paraId="6EF56548" w14:textId="77777777" w:rsidR="00B00F27" w:rsidRDefault="00546F37" w:rsidP="00B776E0">
      <w:pPr>
        <w:rPr>
          <w:rFonts w:cs="Arial"/>
          <w:bCs/>
        </w:rPr>
      </w:pPr>
      <w:r w:rsidRPr="00546F37">
        <w:rPr>
          <w:rFonts w:cs="Arial"/>
          <w:b/>
          <w:bCs/>
          <w:i/>
        </w:rPr>
        <w:t>Overview.</w:t>
      </w:r>
      <w:r w:rsidRPr="00546F37">
        <w:rPr>
          <w:rFonts w:cs="Arial"/>
          <w:b/>
          <w:bCs/>
        </w:rPr>
        <w:t xml:space="preserve"> </w:t>
      </w:r>
      <w:r w:rsidR="00B776E0" w:rsidRPr="00821855">
        <w:rPr>
          <w:rFonts w:eastAsia="Calibri" w:cs="Arial"/>
          <w:bCs/>
        </w:rPr>
        <w:t xml:space="preserve">Little scope exists for industry to be involved in the governance of APTC, but </w:t>
      </w:r>
      <w:r w:rsidR="00C95812">
        <w:rPr>
          <w:rFonts w:eastAsia="Calibri" w:cs="Arial"/>
          <w:bCs/>
        </w:rPr>
        <w:t>–</w:t>
      </w:r>
      <w:r w:rsidR="00B776E0" w:rsidRPr="00821855">
        <w:rPr>
          <w:rFonts w:eastAsia="Calibri" w:cs="Arial"/>
          <w:bCs/>
        </w:rPr>
        <w:t xml:space="preserve"> mirroring the industry engagement practices of TVET institutions in Australia – extensive involvement with enterprises exists at </w:t>
      </w:r>
      <w:r w:rsidR="00B776E0">
        <w:rPr>
          <w:rFonts w:eastAsia="Calibri" w:cs="Arial"/>
          <w:bCs/>
        </w:rPr>
        <w:t xml:space="preserve">the level of program delivery. </w:t>
      </w:r>
      <w:r w:rsidR="00B776E0">
        <w:rPr>
          <w:rFonts w:cs="Arial"/>
          <w:bCs/>
        </w:rPr>
        <w:t xml:space="preserve">Only a limited number of formal partnerships with enterprises/industries are in place but APTC has hundreds of informal partnerships across at least </w:t>
      </w:r>
      <w:r w:rsidR="00937783">
        <w:rPr>
          <w:rFonts w:cs="Arial"/>
          <w:bCs/>
        </w:rPr>
        <w:t xml:space="preserve">10 </w:t>
      </w:r>
      <w:r w:rsidR="00B776E0">
        <w:rPr>
          <w:rFonts w:cs="Arial"/>
          <w:bCs/>
        </w:rPr>
        <w:t xml:space="preserve">countries. </w:t>
      </w:r>
    </w:p>
    <w:p w14:paraId="3F3D387F" w14:textId="042D1073" w:rsidR="00B776E0" w:rsidRPr="00821855" w:rsidRDefault="00B776E0" w:rsidP="00B776E0">
      <w:pPr>
        <w:rPr>
          <w:rFonts w:eastAsia="Calibri" w:cs="Arial"/>
          <w:bCs/>
        </w:rPr>
      </w:pPr>
      <w:r>
        <w:rPr>
          <w:rFonts w:cs="Arial"/>
          <w:bCs/>
        </w:rPr>
        <w:t>There are weaknesses in APTC’s approaches to monitoring and adjusting to labour market trends. A more rigorous approach is needed. Inconsistency in the effectiveness in the APTC-to-</w:t>
      </w:r>
      <w:r w:rsidR="00B00F27">
        <w:rPr>
          <w:rFonts w:cs="Arial"/>
          <w:bCs/>
        </w:rPr>
        <w:t>W</w:t>
      </w:r>
      <w:r>
        <w:rPr>
          <w:rFonts w:cs="Arial"/>
          <w:bCs/>
        </w:rPr>
        <w:t xml:space="preserve">ork program has prompted a review. Greater involvement in providing direct services to industry is limited by the capacity and/or willingness of enterprises to pay. </w:t>
      </w:r>
    </w:p>
    <w:p w14:paraId="5408CCCF" w14:textId="3C6EBE68" w:rsidR="003D355F" w:rsidRDefault="00AD0E6C" w:rsidP="002028A6">
      <w:pPr>
        <w:pStyle w:val="Heading2"/>
      </w:pPr>
      <w:bookmarkStart w:id="653" w:name="_Toc274145127"/>
      <w:bookmarkStart w:id="654" w:name="_Toc274900512"/>
      <w:bookmarkStart w:id="655" w:name="_Toc274909893"/>
      <w:bookmarkStart w:id="656" w:name="_Toc278447909"/>
      <w:bookmarkStart w:id="657" w:name="_Toc278453382"/>
      <w:r>
        <w:t>2</w:t>
      </w:r>
      <w:r w:rsidR="003974C9">
        <w:t>.1</w:t>
      </w:r>
      <w:r w:rsidR="003974C9">
        <w:tab/>
      </w:r>
      <w:r w:rsidR="00B776E0" w:rsidRPr="00DB07A6">
        <w:t xml:space="preserve">Organisationally, to what extent is industry is involved in APTC </w:t>
      </w:r>
      <w:r w:rsidR="002162C3">
        <w:br/>
      </w:r>
      <w:r w:rsidR="002162C3">
        <w:tab/>
      </w:r>
      <w:r w:rsidR="00B776E0" w:rsidRPr="00DB07A6">
        <w:t>functions, e.g. governance, tech</w:t>
      </w:r>
      <w:r w:rsidR="00DC62D4">
        <w:t>nical advice, provision of work</w:t>
      </w:r>
      <w:r w:rsidR="00B776E0" w:rsidRPr="00DB07A6">
        <w:t xml:space="preserve">places, </w:t>
      </w:r>
      <w:r w:rsidR="002162C3">
        <w:br/>
      </w:r>
      <w:r w:rsidR="002162C3">
        <w:tab/>
      </w:r>
      <w:r w:rsidR="00B776E0" w:rsidRPr="00DB07A6">
        <w:t>financing</w:t>
      </w:r>
      <w:bookmarkEnd w:id="653"/>
      <w:bookmarkEnd w:id="654"/>
      <w:bookmarkEnd w:id="655"/>
      <w:bookmarkEnd w:id="656"/>
      <w:bookmarkEnd w:id="657"/>
    </w:p>
    <w:p w14:paraId="70A6000E" w14:textId="2E0079A6" w:rsidR="00B776E0" w:rsidRPr="00467D5D" w:rsidRDefault="00B776E0" w:rsidP="00B776E0">
      <w:pPr>
        <w:rPr>
          <w:rFonts w:cs="Arial"/>
        </w:rPr>
      </w:pPr>
      <w:r>
        <w:rPr>
          <w:rFonts w:cs="Arial"/>
        </w:rPr>
        <w:t xml:space="preserve">The only way in which industry could play a role in governance of the APTC is through membership of the Advisory Group, but with the exception of the two places made available for Australian industry representatives on the </w:t>
      </w:r>
      <w:r w:rsidR="00B17EA4">
        <w:rPr>
          <w:rFonts w:cs="Arial"/>
        </w:rPr>
        <w:t>group</w:t>
      </w:r>
      <w:r>
        <w:rPr>
          <w:rFonts w:cs="Arial"/>
        </w:rPr>
        <w:t xml:space="preserve">, there is no requirement for the other members to come from industry. Of the eight countries represented on the Advisory Group at present, only three representatives are from the private sector, four are from </w:t>
      </w:r>
      <w:r w:rsidR="00B17EA4">
        <w:rPr>
          <w:rFonts w:cs="Arial"/>
        </w:rPr>
        <w:t xml:space="preserve">government </w:t>
      </w:r>
      <w:r>
        <w:rPr>
          <w:rFonts w:cs="Arial"/>
        </w:rPr>
        <w:t xml:space="preserve">departments/agencies and one is from another educational institution. </w:t>
      </w:r>
    </w:p>
    <w:p w14:paraId="2B5D17A4" w14:textId="77777777" w:rsidR="00B776E0" w:rsidRPr="00467D5D" w:rsidRDefault="00B776E0" w:rsidP="00B776E0">
      <w:pPr>
        <w:rPr>
          <w:rFonts w:cs="Arial"/>
        </w:rPr>
      </w:pPr>
      <w:r w:rsidRPr="00467D5D">
        <w:rPr>
          <w:rFonts w:cs="Arial"/>
        </w:rPr>
        <w:t xml:space="preserve">However, APTC has initiated industry engagement in many other aspects of its functions, particularly those related to program delivery. </w:t>
      </w:r>
    </w:p>
    <w:p w14:paraId="2D60C07A" w14:textId="77777777" w:rsidR="003D355F" w:rsidRDefault="00B776E0">
      <w:pPr>
        <w:rPr>
          <w:rFonts w:cs="Arial"/>
        </w:rPr>
      </w:pPr>
      <w:r w:rsidRPr="00467D5D">
        <w:rPr>
          <w:rFonts w:cs="Arial"/>
        </w:rPr>
        <w:t xml:space="preserve">The </w:t>
      </w:r>
      <w:r>
        <w:rPr>
          <w:rFonts w:cs="Arial"/>
        </w:rPr>
        <w:t xml:space="preserve">fact that the </w:t>
      </w:r>
      <w:r w:rsidRPr="00467D5D">
        <w:rPr>
          <w:rFonts w:cs="Arial"/>
        </w:rPr>
        <w:t xml:space="preserve">primary APTC student cohorts are existing workers and new industry entrants means that engagement with industry is integral to program delivery, with work placement built in to program design. The issue </w:t>
      </w:r>
      <w:r>
        <w:rPr>
          <w:rFonts w:cs="Arial"/>
        </w:rPr>
        <w:t>poses some barriers</w:t>
      </w:r>
      <w:r w:rsidRPr="00467D5D">
        <w:rPr>
          <w:rFonts w:cs="Arial"/>
        </w:rPr>
        <w:t xml:space="preserve"> in the Pacific where engagement by educational institutions with industry and enterprises has not been practised as a matter of course </w:t>
      </w:r>
      <w:r>
        <w:rPr>
          <w:rFonts w:cs="Arial"/>
        </w:rPr>
        <w:t xml:space="preserve">in the past </w:t>
      </w:r>
      <w:r w:rsidRPr="00467D5D">
        <w:rPr>
          <w:rFonts w:cs="Arial"/>
        </w:rPr>
        <w:t>and expectations from industry in this regard are therefore not high. APTC is to some extent forging new ground. In the Pacific, governments are major employers and also need to be considered as part of the industry engagement process.</w:t>
      </w:r>
    </w:p>
    <w:p w14:paraId="73C4D040" w14:textId="06347ED0" w:rsidR="00B776E0" w:rsidRPr="00467D5D" w:rsidRDefault="00B776E0" w:rsidP="00B776E0">
      <w:pPr>
        <w:rPr>
          <w:rFonts w:cs="Arial"/>
        </w:rPr>
      </w:pPr>
      <w:r w:rsidRPr="00467D5D">
        <w:rPr>
          <w:rFonts w:cs="Arial"/>
        </w:rPr>
        <w:t>Between June and August</w:t>
      </w:r>
      <w:r w:rsidR="00DC62D4">
        <w:rPr>
          <w:rFonts w:cs="Arial"/>
        </w:rPr>
        <w:t xml:space="preserve"> 2014</w:t>
      </w:r>
      <w:r w:rsidRPr="00467D5D">
        <w:rPr>
          <w:rFonts w:cs="Arial"/>
        </w:rPr>
        <w:t xml:space="preserve">, a questionnaire on industry engagement was completed by the then two </w:t>
      </w:r>
      <w:r w:rsidR="00AD0E6C" w:rsidRPr="00AD0E6C">
        <w:rPr>
          <w:rFonts w:cs="Arial"/>
        </w:rPr>
        <w:t>Country Managers for Fiji</w:t>
      </w:r>
      <w:r w:rsidR="00AD0E6C" w:rsidRPr="00AD0E6C" w:rsidDel="005C6EBF">
        <w:rPr>
          <w:rFonts w:cs="Arial"/>
        </w:rPr>
        <w:t xml:space="preserve"> </w:t>
      </w:r>
      <w:r w:rsidRPr="00467D5D">
        <w:rPr>
          <w:rFonts w:cs="Arial"/>
        </w:rPr>
        <w:t xml:space="preserve">(with joint responsibility </w:t>
      </w:r>
      <w:r w:rsidR="00AD0E6C" w:rsidRPr="00467D5D">
        <w:rPr>
          <w:rFonts w:cs="Arial"/>
        </w:rPr>
        <w:t>as School</w:t>
      </w:r>
      <w:r w:rsidR="00AD0E6C">
        <w:rPr>
          <w:rFonts w:cs="Arial"/>
        </w:rPr>
        <w:t xml:space="preserve"> Directors</w:t>
      </w:r>
      <w:r w:rsidRPr="00467D5D">
        <w:rPr>
          <w:rFonts w:cs="Arial"/>
        </w:rPr>
        <w:t>) and the Country Managers of Papua New Guinea, Samoa, Solomon Islands and Vanuatu. The results are</w:t>
      </w:r>
      <w:r>
        <w:rPr>
          <w:rFonts w:cs="Arial"/>
        </w:rPr>
        <w:t xml:space="preserve"> contained in </w:t>
      </w:r>
      <w:r w:rsidRPr="00A9466F">
        <w:rPr>
          <w:rFonts w:cs="Arial"/>
        </w:rPr>
        <w:t xml:space="preserve">the </w:t>
      </w:r>
      <w:r w:rsidR="00DC62D4">
        <w:rPr>
          <w:rFonts w:cs="Arial"/>
        </w:rPr>
        <w:t>Annex 5</w:t>
      </w:r>
      <w:r w:rsidRPr="00A9466F">
        <w:rPr>
          <w:rFonts w:cs="Arial"/>
        </w:rPr>
        <w:t xml:space="preserve"> – </w:t>
      </w:r>
      <w:r>
        <w:rPr>
          <w:rFonts w:cs="Arial"/>
        </w:rPr>
        <w:t>Industry Engagement.</w:t>
      </w:r>
      <w:r w:rsidRPr="00467D5D">
        <w:rPr>
          <w:rFonts w:cs="Arial"/>
        </w:rPr>
        <w:t xml:space="preserve"> There were 21 questions relating to the diverse forms of industry engagement practised by a typical TVET provider in Australia. These forms of industry engagement assume a demand-driven</w:t>
      </w:r>
      <w:r w:rsidR="000A70ED">
        <w:rPr>
          <w:rFonts w:cs="Arial"/>
        </w:rPr>
        <w:t>,</w:t>
      </w:r>
      <w:r w:rsidRPr="00467D5D">
        <w:rPr>
          <w:rFonts w:cs="Arial"/>
        </w:rPr>
        <w:t xml:space="preserve"> industry-led TVET system like Australia and so test the progress APTC has made in this regard. The</w:t>
      </w:r>
      <w:r>
        <w:rPr>
          <w:rFonts w:cs="Arial"/>
        </w:rPr>
        <w:t xml:space="preserve"> results showed</w:t>
      </w:r>
      <w:r w:rsidRPr="00467D5D">
        <w:rPr>
          <w:rFonts w:cs="Arial"/>
        </w:rPr>
        <w:t xml:space="preserve"> variations between countries, particularly the Solomon Is</w:t>
      </w:r>
      <w:r>
        <w:rPr>
          <w:rFonts w:cs="Arial"/>
        </w:rPr>
        <w:t>lands</w:t>
      </w:r>
      <w:r w:rsidRPr="00467D5D">
        <w:rPr>
          <w:rFonts w:cs="Arial"/>
        </w:rPr>
        <w:t xml:space="preserve"> where the partnership is relatively new</w:t>
      </w:r>
      <w:r>
        <w:rPr>
          <w:rFonts w:cs="Arial"/>
        </w:rPr>
        <w:t>, but still a strong level of overall engagement</w:t>
      </w:r>
      <w:r w:rsidRPr="00467D5D">
        <w:rPr>
          <w:rFonts w:cs="Arial"/>
        </w:rPr>
        <w:t>.</w:t>
      </w:r>
    </w:p>
    <w:p w14:paraId="3FE0D8A3" w14:textId="77777777" w:rsidR="005135BD" w:rsidRDefault="005135BD">
      <w:pPr>
        <w:spacing w:after="0"/>
        <w:rPr>
          <w:rFonts w:cs="Arial"/>
        </w:rPr>
      </w:pPr>
      <w:r>
        <w:rPr>
          <w:rFonts w:cs="Arial"/>
        </w:rPr>
        <w:br w:type="page"/>
      </w:r>
    </w:p>
    <w:p w14:paraId="60760F79" w14:textId="7D1C406F" w:rsidR="00B776E0" w:rsidRPr="00467D5D" w:rsidRDefault="00B776E0" w:rsidP="00B776E0">
      <w:pPr>
        <w:rPr>
          <w:rFonts w:cs="Arial"/>
        </w:rPr>
      </w:pPr>
      <w:r w:rsidRPr="00467D5D">
        <w:rPr>
          <w:rFonts w:cs="Arial"/>
        </w:rPr>
        <w:t>Salient features from the results of the questionnaire are as follows</w:t>
      </w:r>
      <w:r w:rsidR="005D45AF">
        <w:rPr>
          <w:rFonts w:cs="Arial"/>
        </w:rPr>
        <w:t>.</w:t>
      </w:r>
    </w:p>
    <w:p w14:paraId="2C3C8846" w14:textId="3E138CFC" w:rsidR="00B776E0" w:rsidRDefault="00B776E0" w:rsidP="00260880">
      <w:pPr>
        <w:numPr>
          <w:ilvl w:val="0"/>
          <w:numId w:val="25"/>
        </w:numPr>
        <w:rPr>
          <w:rFonts w:cs="Arial"/>
          <w:lang w:val="en-GB"/>
        </w:rPr>
      </w:pPr>
      <w:r>
        <w:rPr>
          <w:rFonts w:cs="Arial"/>
          <w:lang w:val="en-GB"/>
        </w:rPr>
        <w:t>Of the 21 forms of industry engagement listed</w:t>
      </w:r>
      <w:r w:rsidR="000A70ED">
        <w:rPr>
          <w:rFonts w:cs="Arial"/>
          <w:lang w:val="en-GB"/>
        </w:rPr>
        <w:t>,</w:t>
      </w:r>
      <w:r>
        <w:rPr>
          <w:rFonts w:cs="Arial"/>
          <w:lang w:val="en-GB"/>
        </w:rPr>
        <w:t xml:space="preserve"> only one was not applicable to APTC, namely employer/industry involvement in the selection of staff. This may change as more national staff are employed.</w:t>
      </w:r>
    </w:p>
    <w:p w14:paraId="2944ADD0" w14:textId="77777777" w:rsidR="00B776E0" w:rsidRPr="00467D5D" w:rsidRDefault="00B776E0" w:rsidP="00260880">
      <w:pPr>
        <w:pStyle w:val="ListParagraph"/>
        <w:numPr>
          <w:ilvl w:val="0"/>
          <w:numId w:val="25"/>
        </w:numPr>
        <w:contextualSpacing w:val="0"/>
        <w:rPr>
          <w:rFonts w:cs="Arial"/>
        </w:rPr>
      </w:pPr>
      <w:r w:rsidRPr="00467D5D">
        <w:rPr>
          <w:rFonts w:cs="Arial"/>
        </w:rPr>
        <w:t>In all countries, employers provide work placement and in all but the Solomon Is</w:t>
      </w:r>
      <w:r>
        <w:rPr>
          <w:rFonts w:cs="Arial"/>
        </w:rPr>
        <w:t>lands</w:t>
      </w:r>
      <w:r w:rsidRPr="00467D5D">
        <w:rPr>
          <w:rFonts w:cs="Arial"/>
        </w:rPr>
        <w:t xml:space="preserve"> which is</w:t>
      </w:r>
      <w:r>
        <w:rPr>
          <w:rFonts w:cs="Arial"/>
        </w:rPr>
        <w:t xml:space="preserve"> a </w:t>
      </w:r>
      <w:r w:rsidRPr="00467D5D">
        <w:rPr>
          <w:rFonts w:cs="Arial"/>
        </w:rPr>
        <w:t>fairly new</w:t>
      </w:r>
      <w:r>
        <w:rPr>
          <w:rFonts w:cs="Arial"/>
        </w:rPr>
        <w:t xml:space="preserve"> campus country</w:t>
      </w:r>
      <w:r w:rsidRPr="00467D5D">
        <w:rPr>
          <w:rFonts w:cs="Arial"/>
        </w:rPr>
        <w:t>, they provide live work projects for students.</w:t>
      </w:r>
    </w:p>
    <w:p w14:paraId="4ACCC9DF" w14:textId="77777777" w:rsidR="00B776E0" w:rsidRPr="00467D5D" w:rsidRDefault="00B776E0" w:rsidP="00260880">
      <w:pPr>
        <w:pStyle w:val="ListParagraph"/>
        <w:numPr>
          <w:ilvl w:val="0"/>
          <w:numId w:val="25"/>
        </w:numPr>
        <w:contextualSpacing w:val="0"/>
        <w:rPr>
          <w:rFonts w:cs="Arial"/>
        </w:rPr>
      </w:pPr>
      <w:r w:rsidRPr="00467D5D">
        <w:rPr>
          <w:rFonts w:cs="Arial"/>
        </w:rPr>
        <w:t>Employers have supported work placement for APTC tutors in three countries and for trainers in one.</w:t>
      </w:r>
    </w:p>
    <w:p w14:paraId="2D694A87" w14:textId="77777777" w:rsidR="00B776E0" w:rsidRPr="00467D5D" w:rsidRDefault="00B776E0" w:rsidP="00260880">
      <w:pPr>
        <w:pStyle w:val="ListParagraph"/>
        <w:numPr>
          <w:ilvl w:val="0"/>
          <w:numId w:val="25"/>
        </w:numPr>
        <w:contextualSpacing w:val="0"/>
        <w:rPr>
          <w:rFonts w:cs="Arial"/>
        </w:rPr>
      </w:pPr>
      <w:r w:rsidRPr="00467D5D">
        <w:rPr>
          <w:rFonts w:cs="Arial"/>
        </w:rPr>
        <w:t>In two countries, employers/enterprises have been involved in the assessment of students</w:t>
      </w:r>
      <w:r>
        <w:rPr>
          <w:rFonts w:cs="Arial"/>
        </w:rPr>
        <w:t>, mostly through verification of practical skills in workplace log-books.</w:t>
      </w:r>
      <w:r w:rsidRPr="00467D5D">
        <w:rPr>
          <w:rFonts w:cs="Arial"/>
        </w:rPr>
        <w:t xml:space="preserve"> </w:t>
      </w:r>
    </w:p>
    <w:p w14:paraId="3B5CE0B4" w14:textId="77777777" w:rsidR="00B776E0" w:rsidRPr="00467D5D" w:rsidRDefault="00B776E0" w:rsidP="00260880">
      <w:pPr>
        <w:pStyle w:val="ListParagraph"/>
        <w:numPr>
          <w:ilvl w:val="0"/>
          <w:numId w:val="25"/>
        </w:numPr>
        <w:contextualSpacing w:val="0"/>
        <w:rPr>
          <w:rFonts w:cs="Arial"/>
        </w:rPr>
      </w:pPr>
      <w:r w:rsidRPr="00467D5D">
        <w:rPr>
          <w:rFonts w:cs="Arial"/>
        </w:rPr>
        <w:t>There is extensive use of APTC facilities by industry for training, meetings and other events.</w:t>
      </w:r>
    </w:p>
    <w:p w14:paraId="7525340D" w14:textId="77777777" w:rsidR="00B776E0" w:rsidRPr="00467D5D" w:rsidRDefault="00B776E0" w:rsidP="00260880">
      <w:pPr>
        <w:pStyle w:val="ListParagraph"/>
        <w:numPr>
          <w:ilvl w:val="0"/>
          <w:numId w:val="25"/>
        </w:numPr>
        <w:contextualSpacing w:val="0"/>
        <w:rPr>
          <w:rFonts w:cs="Arial"/>
        </w:rPr>
      </w:pPr>
      <w:r w:rsidRPr="00467D5D">
        <w:rPr>
          <w:rFonts w:cs="Arial"/>
        </w:rPr>
        <w:t xml:space="preserve">APTC staff are involved in industry associations where they exist: Fiji (5), </w:t>
      </w:r>
      <w:r w:rsidR="005D45AF" w:rsidRPr="00467D5D">
        <w:rPr>
          <w:rFonts w:cs="Arial"/>
        </w:rPr>
        <w:t>PNG</w:t>
      </w:r>
      <w:r w:rsidR="005D45AF">
        <w:rPr>
          <w:rFonts w:cs="Arial"/>
        </w:rPr>
        <w:t> </w:t>
      </w:r>
      <w:r w:rsidRPr="00467D5D">
        <w:rPr>
          <w:rFonts w:cs="Arial"/>
        </w:rPr>
        <w:t xml:space="preserve">(2), Samoa (5) Solomon Islands (1) and Vanuatu (8). </w:t>
      </w:r>
    </w:p>
    <w:p w14:paraId="2F4ACEAF" w14:textId="77777777" w:rsidR="00B776E0" w:rsidRPr="00467D5D" w:rsidRDefault="00B776E0" w:rsidP="00B776E0">
      <w:pPr>
        <w:rPr>
          <w:rFonts w:cs="Arial"/>
        </w:rPr>
      </w:pPr>
      <w:r w:rsidRPr="00467D5D">
        <w:rPr>
          <w:rFonts w:cs="Arial"/>
        </w:rPr>
        <w:t xml:space="preserve">However, to date there are still only limited examples of industry contributing </w:t>
      </w:r>
      <w:r w:rsidR="00C64435">
        <w:rPr>
          <w:rFonts w:cs="Arial"/>
        </w:rPr>
        <w:t xml:space="preserve">to </w:t>
      </w:r>
      <w:r w:rsidRPr="00467D5D">
        <w:rPr>
          <w:rFonts w:cs="Arial"/>
        </w:rPr>
        <w:t>the cost of training</w:t>
      </w:r>
      <w:r>
        <w:rPr>
          <w:rFonts w:cs="Arial"/>
        </w:rPr>
        <w:t>,</w:t>
      </w:r>
      <w:r w:rsidRPr="00467D5D">
        <w:rPr>
          <w:rFonts w:cs="Arial"/>
        </w:rPr>
        <w:t xml:space="preserve"> with in-house or outsourced training for employees </w:t>
      </w:r>
      <w:r>
        <w:rPr>
          <w:rFonts w:cs="Arial"/>
        </w:rPr>
        <w:t xml:space="preserve">likely being </w:t>
      </w:r>
      <w:r w:rsidRPr="00467D5D">
        <w:rPr>
          <w:rFonts w:cs="Arial"/>
        </w:rPr>
        <w:t xml:space="preserve">beyond the </w:t>
      </w:r>
      <w:r>
        <w:rPr>
          <w:rFonts w:cs="Arial"/>
        </w:rPr>
        <w:t xml:space="preserve">financial </w:t>
      </w:r>
      <w:r w:rsidRPr="00467D5D">
        <w:rPr>
          <w:rFonts w:cs="Arial"/>
        </w:rPr>
        <w:t xml:space="preserve">capacity of many smaller companies.  </w:t>
      </w:r>
    </w:p>
    <w:p w14:paraId="63E7E212" w14:textId="77777777" w:rsidR="00B776E0" w:rsidRPr="00467D5D" w:rsidRDefault="00B776E0" w:rsidP="00B776E0">
      <w:pPr>
        <w:rPr>
          <w:rFonts w:cs="Arial"/>
        </w:rPr>
      </w:pPr>
      <w:r w:rsidRPr="00467D5D">
        <w:rPr>
          <w:rFonts w:cs="Arial"/>
        </w:rPr>
        <w:t xml:space="preserve">Recent work by APTC with the fashion industry </w:t>
      </w:r>
      <w:r>
        <w:rPr>
          <w:rFonts w:cs="Arial"/>
        </w:rPr>
        <w:t xml:space="preserve">to design a training qualification exemplifies </w:t>
      </w:r>
      <w:r w:rsidRPr="00467D5D">
        <w:rPr>
          <w:rFonts w:cs="Arial"/>
        </w:rPr>
        <w:t>APTC’s willingness to meet the demands of industry.</w:t>
      </w:r>
    </w:p>
    <w:p w14:paraId="51D8A5DA" w14:textId="77777777" w:rsidR="003D355F" w:rsidRDefault="00B776E0">
      <w:pPr>
        <w:rPr>
          <w:rFonts w:cs="Arial"/>
          <w:b/>
          <w:color w:val="76923C"/>
          <w:szCs w:val="22"/>
        </w:rPr>
      </w:pPr>
      <w:r w:rsidRPr="00467D5D">
        <w:rPr>
          <w:rFonts w:cs="Arial"/>
          <w:bCs/>
        </w:rPr>
        <w:t xml:space="preserve">APTC provided a list of companies and organisations with which it has informal partnerships. That is to say, there is no Memorandum of Understanding or other written agreement, but there is ongoing contact. These partnerships may not be in depth, but they represent a genuine association arising from </w:t>
      </w:r>
      <w:r w:rsidRPr="00467D5D">
        <w:rPr>
          <w:rFonts w:cs="Arial"/>
        </w:rPr>
        <w:t xml:space="preserve">sponsorship of employees to attend APTC, taking students on work placement, site visits, guest speakers and the like.  </w:t>
      </w:r>
    </w:p>
    <w:p w14:paraId="7F5F89D0" w14:textId="0A28B998" w:rsidR="00B776E0" w:rsidRPr="00467D5D" w:rsidRDefault="00B776E0" w:rsidP="00FD521D">
      <w:pPr>
        <w:pStyle w:val="Tableheading"/>
      </w:pPr>
      <w:bookmarkStart w:id="658" w:name="_Toc274146481"/>
      <w:bookmarkStart w:id="659" w:name="_Toc274915940"/>
      <w:bookmarkStart w:id="660" w:name="_Toc278446920"/>
      <w:r w:rsidRPr="00DD2B16">
        <w:t xml:space="preserve">Table </w:t>
      </w:r>
      <w:r w:rsidR="0043125F">
        <w:t>6.</w:t>
      </w:r>
      <w:r w:rsidRPr="00DD2B16">
        <w:t xml:space="preserve">4: APTC </w:t>
      </w:r>
      <w:r w:rsidR="0043125F">
        <w:t>i</w:t>
      </w:r>
      <w:r w:rsidR="0043125F" w:rsidRPr="00DD2B16">
        <w:t xml:space="preserve">nformal </w:t>
      </w:r>
      <w:r w:rsidR="0043125F">
        <w:t>i</w:t>
      </w:r>
      <w:r w:rsidR="0043125F" w:rsidRPr="00DD2B16">
        <w:t xml:space="preserve">ndustry </w:t>
      </w:r>
      <w:r w:rsidRPr="00DD2B16">
        <w:t>relationships</w:t>
      </w:r>
      <w:bookmarkEnd w:id="658"/>
      <w:bookmarkEnd w:id="659"/>
      <w:bookmarkEnd w:id="66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4"/>
        <w:gridCol w:w="1595"/>
        <w:gridCol w:w="1595"/>
        <w:gridCol w:w="1595"/>
      </w:tblGrid>
      <w:tr w:rsidR="005135BD" w:rsidRPr="00FD521D" w14:paraId="1696770C" w14:textId="77777777" w:rsidTr="005135BD">
        <w:tc>
          <w:tcPr>
            <w:tcW w:w="1594" w:type="dxa"/>
            <w:shd w:val="clear" w:color="auto" w:fill="C5E0B3" w:themeFill="accent6" w:themeFillTint="66"/>
          </w:tcPr>
          <w:p w14:paraId="0F36E6CD" w14:textId="77777777" w:rsidR="00B776E0" w:rsidRPr="00FD521D" w:rsidRDefault="00B776E0" w:rsidP="00FD521D">
            <w:pPr>
              <w:spacing w:before="40" w:after="40"/>
              <w:rPr>
                <w:rFonts w:cs="Arial"/>
                <w:b/>
                <w:sz w:val="18"/>
              </w:rPr>
            </w:pPr>
            <w:r w:rsidRPr="00FD521D">
              <w:rPr>
                <w:rFonts w:cs="Arial"/>
                <w:b/>
                <w:sz w:val="18"/>
              </w:rPr>
              <w:t>Country</w:t>
            </w:r>
          </w:p>
        </w:tc>
        <w:tc>
          <w:tcPr>
            <w:tcW w:w="1595" w:type="dxa"/>
            <w:tcBorders>
              <w:right w:val="single" w:sz="4" w:space="0" w:color="A8D08D" w:themeColor="accent6" w:themeTint="99"/>
            </w:tcBorders>
            <w:shd w:val="clear" w:color="auto" w:fill="C5E0B3" w:themeFill="accent6" w:themeFillTint="66"/>
          </w:tcPr>
          <w:p w14:paraId="4841123A" w14:textId="77777777" w:rsidR="00B776E0" w:rsidRPr="00FD521D" w:rsidRDefault="00B776E0" w:rsidP="00D33DE4">
            <w:pPr>
              <w:spacing w:before="40" w:after="40"/>
              <w:jc w:val="center"/>
              <w:rPr>
                <w:rFonts w:cs="Arial"/>
                <w:b/>
                <w:sz w:val="18"/>
              </w:rPr>
            </w:pPr>
            <w:r w:rsidRPr="00FD521D">
              <w:rPr>
                <w:rFonts w:cs="Arial"/>
                <w:b/>
                <w:sz w:val="18"/>
              </w:rPr>
              <w:t xml:space="preserve">No. </w:t>
            </w:r>
            <w:r w:rsidR="00D33DE4">
              <w:rPr>
                <w:rFonts w:cs="Arial"/>
                <w:b/>
                <w:sz w:val="18"/>
              </w:rPr>
              <w:t>of i</w:t>
            </w:r>
            <w:r w:rsidR="00D33DE4" w:rsidRPr="00FD521D">
              <w:rPr>
                <w:rFonts w:cs="Arial"/>
                <w:b/>
                <w:sz w:val="18"/>
              </w:rPr>
              <w:t xml:space="preserve">nformal </w:t>
            </w:r>
            <w:r w:rsidR="00D33DE4">
              <w:rPr>
                <w:rFonts w:cs="Arial"/>
                <w:b/>
                <w:sz w:val="18"/>
              </w:rPr>
              <w:t>i</w:t>
            </w:r>
            <w:r w:rsidR="00D33DE4" w:rsidRPr="00FD521D">
              <w:rPr>
                <w:rFonts w:cs="Arial"/>
                <w:b/>
                <w:sz w:val="18"/>
              </w:rPr>
              <w:t xml:space="preserve">ndustry </w:t>
            </w:r>
            <w:r w:rsidR="00D33DE4">
              <w:rPr>
                <w:rFonts w:cs="Arial"/>
                <w:b/>
                <w:sz w:val="18"/>
              </w:rPr>
              <w:t>r</w:t>
            </w:r>
            <w:r w:rsidR="00D33DE4" w:rsidRPr="00FD521D">
              <w:rPr>
                <w:rFonts w:cs="Arial"/>
                <w:b/>
                <w:sz w:val="18"/>
              </w:rPr>
              <w:t>elationships</w:t>
            </w:r>
          </w:p>
        </w:tc>
        <w:tc>
          <w:tcPr>
            <w:tcW w:w="1595" w:type="dxa"/>
            <w:tcBorders>
              <w:left w:val="single" w:sz="4" w:space="0" w:color="A8D08D" w:themeColor="accent6" w:themeTint="99"/>
            </w:tcBorders>
            <w:shd w:val="clear" w:color="auto" w:fill="C5E0B3" w:themeFill="accent6" w:themeFillTint="66"/>
          </w:tcPr>
          <w:p w14:paraId="0365070D" w14:textId="77777777" w:rsidR="00B776E0" w:rsidRPr="00FD521D" w:rsidRDefault="00B776E0" w:rsidP="00FD521D">
            <w:pPr>
              <w:spacing w:before="40" w:after="40"/>
              <w:rPr>
                <w:rFonts w:cs="Arial"/>
                <w:b/>
                <w:sz w:val="18"/>
              </w:rPr>
            </w:pPr>
            <w:r w:rsidRPr="00FD521D">
              <w:rPr>
                <w:rFonts w:cs="Arial"/>
                <w:b/>
                <w:sz w:val="18"/>
              </w:rPr>
              <w:t>Country</w:t>
            </w:r>
          </w:p>
        </w:tc>
        <w:tc>
          <w:tcPr>
            <w:tcW w:w="1595" w:type="dxa"/>
            <w:shd w:val="clear" w:color="auto" w:fill="C5E0B3" w:themeFill="accent6" w:themeFillTint="66"/>
          </w:tcPr>
          <w:p w14:paraId="55CC383E" w14:textId="77777777" w:rsidR="00B776E0" w:rsidRPr="00FD521D" w:rsidRDefault="00B776E0" w:rsidP="00D33DE4">
            <w:pPr>
              <w:spacing w:before="40" w:after="40"/>
              <w:jc w:val="center"/>
              <w:rPr>
                <w:rFonts w:cs="Arial"/>
                <w:b/>
                <w:sz w:val="18"/>
              </w:rPr>
            </w:pPr>
            <w:r w:rsidRPr="00FD521D">
              <w:rPr>
                <w:rFonts w:cs="Arial"/>
                <w:b/>
                <w:sz w:val="18"/>
              </w:rPr>
              <w:t xml:space="preserve">No. </w:t>
            </w:r>
            <w:r w:rsidR="00D33DE4">
              <w:rPr>
                <w:rFonts w:cs="Arial"/>
                <w:b/>
                <w:sz w:val="18"/>
              </w:rPr>
              <w:t>of i</w:t>
            </w:r>
            <w:r w:rsidR="00D33DE4" w:rsidRPr="00FD521D">
              <w:rPr>
                <w:rFonts w:cs="Arial"/>
                <w:b/>
                <w:sz w:val="18"/>
              </w:rPr>
              <w:t xml:space="preserve">nformal </w:t>
            </w:r>
            <w:r w:rsidR="00D33DE4">
              <w:rPr>
                <w:rFonts w:cs="Arial"/>
                <w:b/>
                <w:sz w:val="18"/>
              </w:rPr>
              <w:t>i</w:t>
            </w:r>
            <w:r w:rsidR="00D33DE4" w:rsidRPr="00FD521D">
              <w:rPr>
                <w:rFonts w:cs="Arial"/>
                <w:b/>
                <w:sz w:val="18"/>
              </w:rPr>
              <w:t xml:space="preserve">ndustry </w:t>
            </w:r>
            <w:r w:rsidR="00D33DE4">
              <w:rPr>
                <w:rFonts w:cs="Arial"/>
                <w:b/>
                <w:sz w:val="18"/>
              </w:rPr>
              <w:t>r</w:t>
            </w:r>
            <w:r w:rsidR="00D33DE4" w:rsidRPr="00FD521D">
              <w:rPr>
                <w:rFonts w:cs="Arial"/>
                <w:b/>
                <w:sz w:val="18"/>
              </w:rPr>
              <w:t>elationships</w:t>
            </w:r>
          </w:p>
        </w:tc>
      </w:tr>
      <w:tr w:rsidR="005135BD" w:rsidRPr="00FD521D" w14:paraId="59DAD4BE" w14:textId="77777777" w:rsidTr="005135BD">
        <w:tc>
          <w:tcPr>
            <w:tcW w:w="1594" w:type="dxa"/>
          </w:tcPr>
          <w:p w14:paraId="2561B6A4" w14:textId="77777777" w:rsidR="00B776E0" w:rsidRPr="00FD521D" w:rsidRDefault="00B776E0" w:rsidP="00FD521D">
            <w:pPr>
              <w:spacing w:before="40" w:after="40"/>
              <w:rPr>
                <w:rFonts w:cs="Arial"/>
                <w:sz w:val="18"/>
              </w:rPr>
            </w:pPr>
            <w:r w:rsidRPr="00FD521D">
              <w:rPr>
                <w:rFonts w:cs="Arial"/>
                <w:sz w:val="18"/>
              </w:rPr>
              <w:t>Fiji</w:t>
            </w:r>
          </w:p>
        </w:tc>
        <w:tc>
          <w:tcPr>
            <w:tcW w:w="1595" w:type="dxa"/>
            <w:tcBorders>
              <w:right w:val="single" w:sz="4" w:space="0" w:color="A8D08D" w:themeColor="accent6" w:themeTint="99"/>
            </w:tcBorders>
          </w:tcPr>
          <w:p w14:paraId="30A87CA8" w14:textId="77777777" w:rsidR="00B776E0" w:rsidRPr="00FD521D" w:rsidRDefault="00B776E0" w:rsidP="00FD521D">
            <w:pPr>
              <w:spacing w:before="40" w:after="40"/>
              <w:jc w:val="center"/>
              <w:rPr>
                <w:rFonts w:cs="Arial"/>
                <w:sz w:val="18"/>
              </w:rPr>
            </w:pPr>
            <w:r w:rsidRPr="00FD521D">
              <w:rPr>
                <w:rFonts w:cs="Arial"/>
                <w:sz w:val="18"/>
              </w:rPr>
              <w:t>128</w:t>
            </w:r>
          </w:p>
        </w:tc>
        <w:tc>
          <w:tcPr>
            <w:tcW w:w="1595" w:type="dxa"/>
            <w:tcBorders>
              <w:left w:val="single" w:sz="4" w:space="0" w:color="A8D08D" w:themeColor="accent6" w:themeTint="99"/>
            </w:tcBorders>
          </w:tcPr>
          <w:p w14:paraId="4AC31305" w14:textId="77777777" w:rsidR="00B776E0" w:rsidRPr="00FD521D" w:rsidRDefault="00B776E0" w:rsidP="00FD521D">
            <w:pPr>
              <w:spacing w:before="40" w:after="40"/>
              <w:rPr>
                <w:rFonts w:cs="Arial"/>
                <w:sz w:val="18"/>
              </w:rPr>
            </w:pPr>
            <w:r w:rsidRPr="00FD521D">
              <w:rPr>
                <w:rFonts w:cs="Arial"/>
                <w:sz w:val="18"/>
              </w:rPr>
              <w:t>Samoa</w:t>
            </w:r>
          </w:p>
        </w:tc>
        <w:tc>
          <w:tcPr>
            <w:tcW w:w="1595" w:type="dxa"/>
          </w:tcPr>
          <w:p w14:paraId="38BD866D" w14:textId="77777777" w:rsidR="00B776E0" w:rsidRPr="00FD521D" w:rsidRDefault="00B776E0" w:rsidP="00FD521D">
            <w:pPr>
              <w:spacing w:before="40" w:after="40"/>
              <w:jc w:val="center"/>
              <w:rPr>
                <w:rFonts w:cs="Arial"/>
                <w:sz w:val="18"/>
              </w:rPr>
            </w:pPr>
            <w:r w:rsidRPr="00FD521D">
              <w:rPr>
                <w:rFonts w:cs="Arial"/>
                <w:sz w:val="18"/>
              </w:rPr>
              <w:t>110</w:t>
            </w:r>
          </w:p>
        </w:tc>
      </w:tr>
      <w:tr w:rsidR="005135BD" w:rsidRPr="00FD521D" w14:paraId="6B62E48B" w14:textId="77777777" w:rsidTr="005135BD">
        <w:tc>
          <w:tcPr>
            <w:tcW w:w="1594" w:type="dxa"/>
          </w:tcPr>
          <w:p w14:paraId="3B20725D" w14:textId="77777777" w:rsidR="00B776E0" w:rsidRPr="00FD521D" w:rsidRDefault="00B776E0" w:rsidP="00FD521D">
            <w:pPr>
              <w:spacing w:before="40" w:after="40"/>
              <w:rPr>
                <w:rFonts w:cs="Arial"/>
                <w:sz w:val="18"/>
              </w:rPr>
            </w:pPr>
            <w:r w:rsidRPr="00FD521D">
              <w:rPr>
                <w:rFonts w:cs="Arial"/>
                <w:sz w:val="18"/>
              </w:rPr>
              <w:t>Kiribati</w:t>
            </w:r>
          </w:p>
        </w:tc>
        <w:tc>
          <w:tcPr>
            <w:tcW w:w="1595" w:type="dxa"/>
            <w:tcBorders>
              <w:right w:val="single" w:sz="4" w:space="0" w:color="A8D08D" w:themeColor="accent6" w:themeTint="99"/>
            </w:tcBorders>
          </w:tcPr>
          <w:p w14:paraId="66D01E7E" w14:textId="77777777" w:rsidR="00B776E0" w:rsidRPr="00FD521D" w:rsidRDefault="00B776E0" w:rsidP="00FD521D">
            <w:pPr>
              <w:spacing w:before="40" w:after="40"/>
              <w:jc w:val="center"/>
              <w:rPr>
                <w:rFonts w:cs="Arial"/>
                <w:sz w:val="18"/>
              </w:rPr>
            </w:pPr>
            <w:r w:rsidRPr="00FD521D">
              <w:rPr>
                <w:rFonts w:cs="Arial"/>
                <w:sz w:val="18"/>
              </w:rPr>
              <w:t>20</w:t>
            </w:r>
          </w:p>
        </w:tc>
        <w:tc>
          <w:tcPr>
            <w:tcW w:w="1595" w:type="dxa"/>
            <w:tcBorders>
              <w:left w:val="single" w:sz="4" w:space="0" w:color="A8D08D" w:themeColor="accent6" w:themeTint="99"/>
            </w:tcBorders>
          </w:tcPr>
          <w:p w14:paraId="592EB744" w14:textId="77777777" w:rsidR="00B776E0" w:rsidRPr="00FD521D" w:rsidRDefault="00B776E0" w:rsidP="00FD521D">
            <w:pPr>
              <w:spacing w:before="40" w:after="40"/>
              <w:rPr>
                <w:rFonts w:cs="Arial"/>
                <w:sz w:val="18"/>
              </w:rPr>
            </w:pPr>
            <w:r w:rsidRPr="00FD521D">
              <w:rPr>
                <w:rFonts w:cs="Arial"/>
                <w:sz w:val="18"/>
              </w:rPr>
              <w:t>Solomon Is</w:t>
            </w:r>
            <w:r w:rsidR="00E1775E">
              <w:rPr>
                <w:rFonts w:cs="Arial"/>
                <w:sz w:val="18"/>
              </w:rPr>
              <w:t>lands</w:t>
            </w:r>
          </w:p>
        </w:tc>
        <w:tc>
          <w:tcPr>
            <w:tcW w:w="1595" w:type="dxa"/>
          </w:tcPr>
          <w:p w14:paraId="70399054" w14:textId="77777777" w:rsidR="00B776E0" w:rsidRPr="00FD521D" w:rsidRDefault="00B776E0" w:rsidP="00FD521D">
            <w:pPr>
              <w:spacing w:before="40" w:after="40"/>
              <w:jc w:val="center"/>
              <w:rPr>
                <w:rFonts w:cs="Arial"/>
                <w:sz w:val="18"/>
              </w:rPr>
            </w:pPr>
            <w:r w:rsidRPr="00FD521D">
              <w:rPr>
                <w:rFonts w:cs="Arial"/>
                <w:sz w:val="18"/>
              </w:rPr>
              <w:t xml:space="preserve">  74</w:t>
            </w:r>
          </w:p>
        </w:tc>
      </w:tr>
      <w:tr w:rsidR="005135BD" w:rsidRPr="00FD521D" w14:paraId="4F631814" w14:textId="77777777" w:rsidTr="005135BD">
        <w:tc>
          <w:tcPr>
            <w:tcW w:w="1594" w:type="dxa"/>
          </w:tcPr>
          <w:p w14:paraId="4BE6966A" w14:textId="77777777" w:rsidR="00B776E0" w:rsidRPr="00FD521D" w:rsidRDefault="00B776E0" w:rsidP="00FD521D">
            <w:pPr>
              <w:spacing w:before="40" w:after="40"/>
              <w:rPr>
                <w:rFonts w:cs="Arial"/>
                <w:sz w:val="18"/>
              </w:rPr>
            </w:pPr>
            <w:r w:rsidRPr="00FD521D">
              <w:rPr>
                <w:rFonts w:cs="Arial"/>
                <w:sz w:val="18"/>
              </w:rPr>
              <w:t>Nauru</w:t>
            </w:r>
          </w:p>
        </w:tc>
        <w:tc>
          <w:tcPr>
            <w:tcW w:w="1595" w:type="dxa"/>
            <w:tcBorders>
              <w:right w:val="single" w:sz="4" w:space="0" w:color="A8D08D" w:themeColor="accent6" w:themeTint="99"/>
            </w:tcBorders>
          </w:tcPr>
          <w:p w14:paraId="68254C54" w14:textId="77777777" w:rsidR="00B776E0" w:rsidRPr="00FD521D" w:rsidRDefault="00B776E0" w:rsidP="00FD521D">
            <w:pPr>
              <w:spacing w:before="40" w:after="40"/>
              <w:jc w:val="center"/>
              <w:rPr>
                <w:rFonts w:cs="Arial"/>
                <w:sz w:val="18"/>
              </w:rPr>
            </w:pPr>
            <w:r w:rsidRPr="00FD521D">
              <w:rPr>
                <w:rFonts w:cs="Arial"/>
                <w:sz w:val="18"/>
              </w:rPr>
              <w:t xml:space="preserve">  3</w:t>
            </w:r>
          </w:p>
        </w:tc>
        <w:tc>
          <w:tcPr>
            <w:tcW w:w="1595" w:type="dxa"/>
            <w:tcBorders>
              <w:left w:val="single" w:sz="4" w:space="0" w:color="A8D08D" w:themeColor="accent6" w:themeTint="99"/>
            </w:tcBorders>
          </w:tcPr>
          <w:p w14:paraId="79EE1AF6" w14:textId="77777777" w:rsidR="00B776E0" w:rsidRPr="00FD521D" w:rsidRDefault="00B776E0" w:rsidP="00FD521D">
            <w:pPr>
              <w:spacing w:before="40" w:after="40"/>
              <w:rPr>
                <w:rFonts w:cs="Arial"/>
                <w:sz w:val="18"/>
              </w:rPr>
            </w:pPr>
            <w:r w:rsidRPr="00FD521D">
              <w:rPr>
                <w:rFonts w:cs="Arial"/>
                <w:sz w:val="18"/>
              </w:rPr>
              <w:t>Tonga</w:t>
            </w:r>
          </w:p>
        </w:tc>
        <w:tc>
          <w:tcPr>
            <w:tcW w:w="1595" w:type="dxa"/>
          </w:tcPr>
          <w:p w14:paraId="3E8D5783" w14:textId="77777777" w:rsidR="00B776E0" w:rsidRPr="00FD521D" w:rsidRDefault="00B776E0" w:rsidP="00FD521D">
            <w:pPr>
              <w:spacing w:before="40" w:after="40"/>
              <w:jc w:val="center"/>
              <w:rPr>
                <w:rFonts w:cs="Arial"/>
                <w:sz w:val="18"/>
              </w:rPr>
            </w:pPr>
            <w:r w:rsidRPr="00FD521D">
              <w:rPr>
                <w:rFonts w:cs="Arial"/>
                <w:sz w:val="18"/>
              </w:rPr>
              <w:t xml:space="preserve">  17</w:t>
            </w:r>
          </w:p>
        </w:tc>
      </w:tr>
      <w:tr w:rsidR="005135BD" w:rsidRPr="00FD521D" w14:paraId="061E40C9" w14:textId="77777777" w:rsidTr="005135BD">
        <w:tc>
          <w:tcPr>
            <w:tcW w:w="1594" w:type="dxa"/>
          </w:tcPr>
          <w:p w14:paraId="279F88CA" w14:textId="77777777" w:rsidR="00B776E0" w:rsidRPr="00FD521D" w:rsidRDefault="00B776E0" w:rsidP="00FD521D">
            <w:pPr>
              <w:spacing w:before="40" w:after="40"/>
              <w:rPr>
                <w:rFonts w:cs="Arial"/>
                <w:sz w:val="18"/>
              </w:rPr>
            </w:pPr>
            <w:r w:rsidRPr="00FD521D">
              <w:rPr>
                <w:rFonts w:cs="Arial"/>
                <w:sz w:val="18"/>
              </w:rPr>
              <w:t>Niue</w:t>
            </w:r>
          </w:p>
        </w:tc>
        <w:tc>
          <w:tcPr>
            <w:tcW w:w="1595" w:type="dxa"/>
            <w:tcBorders>
              <w:right w:val="single" w:sz="4" w:space="0" w:color="A8D08D" w:themeColor="accent6" w:themeTint="99"/>
            </w:tcBorders>
          </w:tcPr>
          <w:p w14:paraId="2E4F78D6" w14:textId="77777777" w:rsidR="00B776E0" w:rsidRPr="00FD521D" w:rsidRDefault="00B776E0" w:rsidP="00FD521D">
            <w:pPr>
              <w:spacing w:before="40" w:after="40"/>
              <w:jc w:val="center"/>
              <w:rPr>
                <w:rFonts w:cs="Arial"/>
                <w:sz w:val="18"/>
              </w:rPr>
            </w:pPr>
            <w:r w:rsidRPr="00FD521D">
              <w:rPr>
                <w:rFonts w:cs="Arial"/>
                <w:sz w:val="18"/>
              </w:rPr>
              <w:t xml:space="preserve">  1</w:t>
            </w:r>
          </w:p>
        </w:tc>
        <w:tc>
          <w:tcPr>
            <w:tcW w:w="1595" w:type="dxa"/>
            <w:tcBorders>
              <w:left w:val="single" w:sz="4" w:space="0" w:color="A8D08D" w:themeColor="accent6" w:themeTint="99"/>
            </w:tcBorders>
          </w:tcPr>
          <w:p w14:paraId="39DB8036" w14:textId="77777777" w:rsidR="00B776E0" w:rsidRPr="00FD521D" w:rsidRDefault="00B776E0" w:rsidP="00FD521D">
            <w:pPr>
              <w:spacing w:before="40" w:after="40"/>
              <w:rPr>
                <w:rFonts w:cs="Arial"/>
                <w:sz w:val="18"/>
              </w:rPr>
            </w:pPr>
            <w:r w:rsidRPr="00FD521D">
              <w:rPr>
                <w:rFonts w:cs="Arial"/>
                <w:sz w:val="18"/>
              </w:rPr>
              <w:t>Tuvalu</w:t>
            </w:r>
          </w:p>
        </w:tc>
        <w:tc>
          <w:tcPr>
            <w:tcW w:w="1595" w:type="dxa"/>
          </w:tcPr>
          <w:p w14:paraId="34D2629F" w14:textId="77777777" w:rsidR="00B776E0" w:rsidRPr="00FD521D" w:rsidRDefault="00B776E0" w:rsidP="00FD521D">
            <w:pPr>
              <w:spacing w:before="40" w:after="40"/>
              <w:jc w:val="center"/>
              <w:rPr>
                <w:rFonts w:cs="Arial"/>
                <w:sz w:val="18"/>
              </w:rPr>
            </w:pPr>
            <w:r w:rsidRPr="00FD521D">
              <w:rPr>
                <w:rFonts w:cs="Arial"/>
                <w:sz w:val="18"/>
              </w:rPr>
              <w:t xml:space="preserve">  10</w:t>
            </w:r>
          </w:p>
        </w:tc>
      </w:tr>
      <w:tr w:rsidR="005135BD" w:rsidRPr="00FD521D" w14:paraId="4C4B8E17" w14:textId="77777777" w:rsidTr="005135BD">
        <w:tc>
          <w:tcPr>
            <w:tcW w:w="1594" w:type="dxa"/>
            <w:tcBorders>
              <w:bottom w:val="single" w:sz="4" w:space="0" w:color="A8D08D" w:themeColor="accent6" w:themeTint="99"/>
            </w:tcBorders>
          </w:tcPr>
          <w:p w14:paraId="51A81C63" w14:textId="77777777" w:rsidR="00B776E0" w:rsidRPr="00FD521D" w:rsidRDefault="00B776E0" w:rsidP="00FD521D">
            <w:pPr>
              <w:spacing w:before="40" w:after="40"/>
              <w:rPr>
                <w:rFonts w:cs="Arial"/>
                <w:sz w:val="18"/>
              </w:rPr>
            </w:pPr>
            <w:r w:rsidRPr="00FD521D">
              <w:rPr>
                <w:rFonts w:cs="Arial"/>
                <w:sz w:val="18"/>
              </w:rPr>
              <w:t>PNG</w:t>
            </w:r>
          </w:p>
        </w:tc>
        <w:tc>
          <w:tcPr>
            <w:tcW w:w="1595" w:type="dxa"/>
            <w:tcBorders>
              <w:bottom w:val="single" w:sz="4" w:space="0" w:color="A8D08D" w:themeColor="accent6" w:themeTint="99"/>
              <w:right w:val="single" w:sz="4" w:space="0" w:color="A8D08D" w:themeColor="accent6" w:themeTint="99"/>
            </w:tcBorders>
          </w:tcPr>
          <w:p w14:paraId="3955D2BD" w14:textId="77777777" w:rsidR="00B776E0" w:rsidRPr="00FD521D" w:rsidRDefault="00B776E0" w:rsidP="00FD521D">
            <w:pPr>
              <w:spacing w:before="40" w:after="40"/>
              <w:jc w:val="center"/>
              <w:rPr>
                <w:rFonts w:cs="Arial"/>
                <w:sz w:val="18"/>
              </w:rPr>
            </w:pPr>
            <w:r w:rsidRPr="00FD521D">
              <w:rPr>
                <w:rFonts w:cs="Arial"/>
                <w:sz w:val="18"/>
              </w:rPr>
              <w:t>32</w:t>
            </w:r>
          </w:p>
        </w:tc>
        <w:tc>
          <w:tcPr>
            <w:tcW w:w="1595" w:type="dxa"/>
            <w:tcBorders>
              <w:left w:val="single" w:sz="4" w:space="0" w:color="A8D08D" w:themeColor="accent6" w:themeTint="99"/>
              <w:bottom w:val="single" w:sz="4" w:space="0" w:color="A8D08D" w:themeColor="accent6" w:themeTint="99"/>
            </w:tcBorders>
          </w:tcPr>
          <w:p w14:paraId="2C826F28" w14:textId="77777777" w:rsidR="00B776E0" w:rsidRPr="00FD521D" w:rsidRDefault="00B776E0" w:rsidP="00FD521D">
            <w:pPr>
              <w:spacing w:before="40" w:after="40"/>
              <w:rPr>
                <w:rFonts w:cs="Arial"/>
                <w:sz w:val="18"/>
              </w:rPr>
            </w:pPr>
            <w:r w:rsidRPr="00FD521D">
              <w:rPr>
                <w:rFonts w:cs="Arial"/>
                <w:sz w:val="18"/>
              </w:rPr>
              <w:t>Vanuatu</w:t>
            </w:r>
          </w:p>
        </w:tc>
        <w:tc>
          <w:tcPr>
            <w:tcW w:w="1595" w:type="dxa"/>
            <w:tcBorders>
              <w:bottom w:val="single" w:sz="4" w:space="0" w:color="A8D08D" w:themeColor="accent6" w:themeTint="99"/>
            </w:tcBorders>
          </w:tcPr>
          <w:p w14:paraId="22EF2AD9" w14:textId="77777777" w:rsidR="00B776E0" w:rsidRPr="00FD521D" w:rsidRDefault="00B776E0" w:rsidP="00FD521D">
            <w:pPr>
              <w:spacing w:before="40" w:after="40"/>
              <w:jc w:val="center"/>
              <w:rPr>
                <w:rFonts w:cs="Arial"/>
                <w:sz w:val="18"/>
              </w:rPr>
            </w:pPr>
            <w:r w:rsidRPr="00FD521D">
              <w:rPr>
                <w:rFonts w:cs="Arial"/>
                <w:sz w:val="18"/>
              </w:rPr>
              <w:t xml:space="preserve">  49</w:t>
            </w:r>
          </w:p>
        </w:tc>
      </w:tr>
    </w:tbl>
    <w:p w14:paraId="0996D83C" w14:textId="2650DDCA" w:rsidR="00B776E0" w:rsidRPr="00260692" w:rsidRDefault="005135BD" w:rsidP="00B776E0">
      <w:pPr>
        <w:rPr>
          <w:rFonts w:cs="Arial"/>
          <w:sz w:val="16"/>
          <w:szCs w:val="16"/>
        </w:rPr>
      </w:pPr>
      <w:r>
        <w:rPr>
          <w:rFonts w:cs="Arial"/>
          <w:sz w:val="16"/>
        </w:rPr>
        <w:br/>
      </w:r>
      <w:r w:rsidR="00546F37" w:rsidRPr="00260692">
        <w:rPr>
          <w:rFonts w:cs="Arial"/>
          <w:sz w:val="16"/>
          <w:szCs w:val="16"/>
        </w:rPr>
        <w:t xml:space="preserve">Source: </w:t>
      </w:r>
      <w:r w:rsidR="00260692" w:rsidRPr="00260692">
        <w:rPr>
          <w:rFonts w:cs="Arial"/>
          <w:sz w:val="16"/>
          <w:szCs w:val="16"/>
        </w:rPr>
        <w:t>APTC Industry Partnerships List 16.07.14</w:t>
      </w:r>
    </w:p>
    <w:p w14:paraId="7AF21B08" w14:textId="77777777" w:rsidR="00FD521D" w:rsidRDefault="00FD521D" w:rsidP="00B776E0">
      <w:pPr>
        <w:ind w:left="720" w:hanging="720"/>
        <w:rPr>
          <w:rFonts w:cs="Arial"/>
          <w:b/>
          <w:bCs/>
          <w:color w:val="76923C"/>
        </w:rPr>
      </w:pPr>
    </w:p>
    <w:p w14:paraId="0ABD2F5E" w14:textId="77777777" w:rsidR="005135BD" w:rsidRDefault="005135BD">
      <w:pPr>
        <w:spacing w:after="0"/>
        <w:rPr>
          <w:rFonts w:cs="Arial"/>
          <w:b/>
          <w:bCs/>
          <w:color w:val="76923C"/>
          <w:szCs w:val="28"/>
        </w:rPr>
      </w:pPr>
      <w:bookmarkStart w:id="661" w:name="_Toc274145128"/>
      <w:bookmarkStart w:id="662" w:name="_Toc274900513"/>
      <w:bookmarkStart w:id="663" w:name="_Toc274909894"/>
      <w:bookmarkStart w:id="664" w:name="_Toc278447910"/>
      <w:bookmarkStart w:id="665" w:name="_Toc278453383"/>
      <w:r>
        <w:br w:type="page"/>
      </w:r>
    </w:p>
    <w:p w14:paraId="35040CAD" w14:textId="4E115A2C" w:rsidR="003D355F" w:rsidRDefault="00AD0E6C" w:rsidP="002028A6">
      <w:pPr>
        <w:pStyle w:val="Heading2"/>
      </w:pPr>
      <w:r>
        <w:t>2</w:t>
      </w:r>
      <w:r w:rsidR="003974C9">
        <w:t>.2</w:t>
      </w:r>
      <w:r w:rsidR="003974C9">
        <w:tab/>
      </w:r>
      <w:r w:rsidR="00B776E0" w:rsidRPr="00DB07A6">
        <w:t xml:space="preserve">What are the systems used by APTC to monitor and adjust to labour </w:t>
      </w:r>
      <w:r w:rsidR="0027413A">
        <w:br/>
      </w:r>
      <w:r w:rsidR="0027413A">
        <w:tab/>
      </w:r>
      <w:r w:rsidR="00B776E0" w:rsidRPr="00DB07A6">
        <w:t xml:space="preserve">market trends, and </w:t>
      </w:r>
      <w:r w:rsidR="00B776E0">
        <w:t>how</w:t>
      </w:r>
      <w:r w:rsidR="00B776E0" w:rsidRPr="00DB07A6">
        <w:t xml:space="preserve"> effective</w:t>
      </w:r>
      <w:r w:rsidR="00B776E0">
        <w:t xml:space="preserve"> are they</w:t>
      </w:r>
      <w:r w:rsidR="00B776E0" w:rsidRPr="00DB07A6">
        <w:t xml:space="preserve">, including the Labour Market </w:t>
      </w:r>
      <w:r w:rsidR="0027413A">
        <w:br/>
      </w:r>
      <w:r w:rsidR="0027413A">
        <w:tab/>
      </w:r>
      <w:r w:rsidR="00B776E0" w:rsidRPr="00DB07A6">
        <w:t>Analysis Action Plan?</w:t>
      </w:r>
      <w:bookmarkEnd w:id="661"/>
      <w:bookmarkEnd w:id="662"/>
      <w:bookmarkEnd w:id="663"/>
      <w:bookmarkEnd w:id="664"/>
      <w:bookmarkEnd w:id="665"/>
      <w:r w:rsidR="00B776E0" w:rsidRPr="00DB07A6">
        <w:t xml:space="preserve">  </w:t>
      </w:r>
    </w:p>
    <w:p w14:paraId="77670B9B" w14:textId="77777777" w:rsidR="00B776E0" w:rsidRDefault="00B776E0" w:rsidP="00B776E0">
      <w:pPr>
        <w:rPr>
          <w:rFonts w:cs="Arial"/>
          <w:lang w:eastAsia="zh-CN"/>
        </w:rPr>
      </w:pPr>
      <w:r>
        <w:rPr>
          <w:rFonts w:cs="Arial"/>
          <w:lang w:eastAsia="zh-CN"/>
        </w:rPr>
        <w:t>There are weaknesses and inconsistencies in APTC’s approaches to monitoring and adjusting to labour market trends through the Labour Market Analysis process and weaknesses in the APTC Environmental Scan</w:t>
      </w:r>
      <w:r w:rsidR="00E57A95">
        <w:rPr>
          <w:rFonts w:cs="Arial"/>
          <w:lang w:eastAsia="zh-CN"/>
        </w:rPr>
        <w:t>.</w:t>
      </w:r>
      <w:r>
        <w:rPr>
          <w:rStyle w:val="FootnoteReference"/>
          <w:rFonts w:cs="Arial"/>
          <w:lang w:eastAsia="zh-CN"/>
        </w:rPr>
        <w:footnoteReference w:id="28"/>
      </w:r>
    </w:p>
    <w:p w14:paraId="47353371" w14:textId="77777777" w:rsidR="00B776E0" w:rsidRPr="00467D5D" w:rsidRDefault="00B776E0" w:rsidP="00B776E0">
      <w:pPr>
        <w:rPr>
          <w:rFonts w:cs="Arial"/>
          <w:lang w:eastAsia="zh-CN"/>
        </w:rPr>
      </w:pPr>
      <w:r w:rsidRPr="00467D5D">
        <w:rPr>
          <w:rFonts w:cs="Arial"/>
          <w:lang w:eastAsia="zh-CN"/>
        </w:rPr>
        <w:t>The Stage II Design Document required APTC’s Annual Training Profile to provide ‘a rationale for the proposed courses and explanation of the expected outputs and development benefits</w:t>
      </w:r>
      <w:r w:rsidR="00821833">
        <w:rPr>
          <w:rFonts w:cs="Arial"/>
          <w:lang w:eastAsia="zh-CN"/>
        </w:rPr>
        <w:t>’</w:t>
      </w:r>
      <w:r w:rsidRPr="00467D5D">
        <w:rPr>
          <w:rFonts w:cs="Arial"/>
          <w:lang w:eastAsia="zh-CN"/>
        </w:rPr>
        <w:t>. The Annual Training Profile was to include, among other things, a description of the ‘evidence of sufficient industry demand’.</w:t>
      </w:r>
      <w:r w:rsidRPr="00467D5D">
        <w:rPr>
          <w:rStyle w:val="FootnoteReference"/>
          <w:rFonts w:cs="Arial"/>
          <w:lang w:eastAsia="zh-CN"/>
        </w:rPr>
        <w:footnoteReference w:id="29"/>
      </w:r>
    </w:p>
    <w:p w14:paraId="5F0352E3" w14:textId="77777777" w:rsidR="00B776E0" w:rsidRPr="00467D5D" w:rsidRDefault="00B776E0" w:rsidP="00B776E0">
      <w:pPr>
        <w:rPr>
          <w:rFonts w:eastAsia="Arial" w:cs="Arial"/>
          <w:lang w:eastAsia="zh-CN"/>
        </w:rPr>
      </w:pPr>
      <w:r w:rsidRPr="00467D5D">
        <w:rPr>
          <w:rFonts w:cs="Arial"/>
          <w:lang w:eastAsia="zh-CN"/>
        </w:rPr>
        <w:t>The APTC’s 2012</w:t>
      </w:r>
      <w:r w:rsidR="00821833">
        <w:rPr>
          <w:rFonts w:cs="Arial"/>
          <w:lang w:eastAsia="zh-CN"/>
        </w:rPr>
        <w:t>–</w:t>
      </w:r>
      <w:r w:rsidRPr="00467D5D">
        <w:rPr>
          <w:rFonts w:cs="Arial"/>
          <w:lang w:eastAsia="zh-CN"/>
        </w:rPr>
        <w:t>13 Annual Report describes the information and evidence used to compile its demand-driven training profile. Missing from this evidence is information from the APTC tracer surveys of graduates about the employment outcomes for specific qualifications</w:t>
      </w:r>
      <w:r>
        <w:rPr>
          <w:rFonts w:cs="Arial"/>
          <w:lang w:eastAsia="zh-CN"/>
        </w:rPr>
        <w:t xml:space="preserve"> and other</w:t>
      </w:r>
      <w:r w:rsidRPr="00467D5D">
        <w:rPr>
          <w:rFonts w:cs="Arial"/>
          <w:lang w:eastAsia="zh-CN"/>
        </w:rPr>
        <w:t xml:space="preserve"> information on skill shortages in the Pacific</w:t>
      </w:r>
      <w:r w:rsidR="00F61606">
        <w:rPr>
          <w:rFonts w:cs="Arial"/>
          <w:lang w:eastAsia="zh-CN"/>
        </w:rPr>
        <w:t>,</w:t>
      </w:r>
      <w:r w:rsidRPr="00467D5D">
        <w:rPr>
          <w:rFonts w:cs="Arial"/>
          <w:lang w:eastAsia="zh-CN"/>
        </w:rPr>
        <w:t xml:space="preserve"> such as the occupations of foreign workers and census data on the extent of post-school qualifications of job</w:t>
      </w:r>
      <w:r w:rsidR="00F61606">
        <w:rPr>
          <w:rFonts w:cs="Arial"/>
          <w:lang w:eastAsia="zh-CN"/>
        </w:rPr>
        <w:t>-</w:t>
      </w:r>
      <w:r w:rsidRPr="00467D5D">
        <w:rPr>
          <w:rFonts w:cs="Arial"/>
          <w:lang w:eastAsia="zh-CN"/>
        </w:rPr>
        <w:t xml:space="preserve">holders in relevant occupations. </w:t>
      </w:r>
    </w:p>
    <w:p w14:paraId="1D8FAA54" w14:textId="77777777" w:rsidR="00B776E0" w:rsidRDefault="00B776E0" w:rsidP="00B776E0">
      <w:pPr>
        <w:rPr>
          <w:rFonts w:cs="Arial"/>
          <w:lang w:eastAsia="zh-CN"/>
        </w:rPr>
      </w:pPr>
      <w:r w:rsidRPr="00467D5D">
        <w:rPr>
          <w:rFonts w:cs="Arial"/>
          <w:lang w:eastAsia="zh-CN"/>
        </w:rPr>
        <w:t>The 2011 Annual Report noted that the same training programs offered in the School of Trades and Technology, as specified in the Second Stage Request for Tender,</w:t>
      </w:r>
      <w:r>
        <w:rPr>
          <w:rFonts w:cs="Arial"/>
          <w:lang w:eastAsia="zh-CN"/>
        </w:rPr>
        <w:t xml:space="preserve"> continued to be offered. With few</w:t>
      </w:r>
      <w:r w:rsidRPr="00467D5D">
        <w:rPr>
          <w:rFonts w:cs="Arial"/>
          <w:lang w:eastAsia="zh-CN"/>
        </w:rPr>
        <w:t xml:space="preserve"> exceptions</w:t>
      </w:r>
      <w:r>
        <w:rPr>
          <w:rFonts w:cs="Arial"/>
          <w:lang w:eastAsia="zh-CN"/>
        </w:rPr>
        <w:t>, the</w:t>
      </w:r>
      <w:r w:rsidRPr="00467D5D">
        <w:rPr>
          <w:rFonts w:cs="Arial"/>
          <w:lang w:eastAsia="zh-CN"/>
        </w:rPr>
        <w:t xml:space="preserve"> same training programs continued in 2013</w:t>
      </w:r>
      <w:r w:rsidR="00515819">
        <w:rPr>
          <w:rFonts w:cs="Arial"/>
          <w:lang w:eastAsia="zh-CN"/>
        </w:rPr>
        <w:t>–</w:t>
      </w:r>
      <w:r w:rsidRPr="00467D5D">
        <w:rPr>
          <w:rFonts w:cs="Arial"/>
          <w:lang w:eastAsia="zh-CN"/>
        </w:rPr>
        <w:t>14 and are proposed for 2014</w:t>
      </w:r>
      <w:r w:rsidR="00515819">
        <w:rPr>
          <w:rFonts w:cs="Arial"/>
          <w:lang w:eastAsia="zh-CN"/>
        </w:rPr>
        <w:t>–</w:t>
      </w:r>
      <w:r w:rsidRPr="00467D5D">
        <w:rPr>
          <w:rFonts w:cs="Arial"/>
          <w:lang w:eastAsia="zh-CN"/>
        </w:rPr>
        <w:t>15</w:t>
      </w:r>
      <w:r>
        <w:rPr>
          <w:rFonts w:cs="Arial"/>
          <w:lang w:eastAsia="zh-CN"/>
        </w:rPr>
        <w:t xml:space="preserve">. </w:t>
      </w:r>
      <w:r w:rsidRPr="00467D5D">
        <w:rPr>
          <w:rFonts w:cs="Arial"/>
          <w:lang w:eastAsia="zh-CN"/>
        </w:rPr>
        <w:t xml:space="preserve">The delivery of the Certificate III in Automotive Mechanical Technology was stopped in Samoa, initially justified as an efficiency measure: delivering the program from one site rather than two. However, after protests from the Government of Samoa, this decision was justified by a survey of the skill needs of automotive repairers. </w:t>
      </w:r>
    </w:p>
    <w:p w14:paraId="2B862684" w14:textId="77777777" w:rsidR="00B776E0" w:rsidRPr="00467D5D" w:rsidRDefault="00B776E0" w:rsidP="00B776E0">
      <w:pPr>
        <w:rPr>
          <w:rFonts w:cs="Arial"/>
          <w:lang w:eastAsia="zh-CN"/>
        </w:rPr>
      </w:pPr>
      <w:r w:rsidRPr="00467D5D">
        <w:rPr>
          <w:rFonts w:cs="Arial"/>
          <w:lang w:eastAsia="zh-CN"/>
        </w:rPr>
        <w:t xml:space="preserve">In contrast, the training programs in the School of Hospitality and Community Services have changed over time, with additional programs and programs offered at higher levels. However, no evidence of ‘sufficient industry demand’ is presented to justify the introduction of these certificates. In </w:t>
      </w:r>
      <w:r>
        <w:rPr>
          <w:rFonts w:cs="Arial"/>
          <w:lang w:eastAsia="zh-CN"/>
        </w:rPr>
        <w:t>H</w:t>
      </w:r>
      <w:r w:rsidRPr="00467D5D">
        <w:rPr>
          <w:rFonts w:cs="Arial"/>
          <w:lang w:eastAsia="zh-CN"/>
        </w:rPr>
        <w:t>ospitality, a number of new certificates were also added in 2012. The only evidence of sufficient industry demand is piecemeal, based on requests from two employers in two countries.</w:t>
      </w:r>
      <w:r w:rsidRPr="00467D5D">
        <w:rPr>
          <w:rStyle w:val="FootnoteReference"/>
          <w:rFonts w:cs="Arial"/>
          <w:lang w:eastAsia="zh-CN"/>
        </w:rPr>
        <w:footnoteReference w:id="30"/>
      </w:r>
      <w:r w:rsidRPr="00467D5D">
        <w:rPr>
          <w:rFonts w:cs="Arial"/>
          <w:lang w:eastAsia="zh-CN"/>
        </w:rPr>
        <w:t xml:space="preserve"> </w:t>
      </w:r>
    </w:p>
    <w:p w14:paraId="5480732A" w14:textId="77777777" w:rsidR="00B776E0" w:rsidRPr="00467D5D" w:rsidRDefault="00B776E0" w:rsidP="00B776E0">
      <w:pPr>
        <w:rPr>
          <w:rFonts w:cs="Arial"/>
          <w:lang w:eastAsia="zh-CN"/>
        </w:rPr>
      </w:pPr>
      <w:r w:rsidRPr="00467D5D">
        <w:rPr>
          <w:rFonts w:cs="Arial"/>
          <w:lang w:eastAsia="zh-CN"/>
        </w:rPr>
        <w:t>New courses in Community Services were commenced in Semester 1, 2013</w:t>
      </w:r>
      <w:r>
        <w:rPr>
          <w:rFonts w:cs="Arial"/>
          <w:lang w:eastAsia="zh-CN"/>
        </w:rPr>
        <w:t>.</w:t>
      </w:r>
      <w:r w:rsidRPr="00467D5D">
        <w:rPr>
          <w:rFonts w:cs="Arial"/>
          <w:lang w:eastAsia="zh-CN"/>
        </w:rPr>
        <w:t xml:space="preserve"> In the most recent Annual Report, however, these courses have been halted, with the reason given that ‘</w:t>
      </w:r>
      <w:r>
        <w:rPr>
          <w:rFonts w:cs="Arial"/>
          <w:lang w:eastAsia="zh-CN"/>
        </w:rPr>
        <w:t>d</w:t>
      </w:r>
      <w:r w:rsidRPr="00467D5D">
        <w:rPr>
          <w:rFonts w:cs="Arial"/>
          <w:lang w:eastAsia="zh-CN"/>
        </w:rPr>
        <w:t xml:space="preserve">emand for this qualification has peaked’. No other evidence is presented so it is not clear whether this refers to the social demand (from applicants to APTC) or to industry demand. </w:t>
      </w:r>
    </w:p>
    <w:p w14:paraId="5ECEEA99" w14:textId="77777777" w:rsidR="00B776E0" w:rsidRPr="00467D5D" w:rsidRDefault="00B776E0" w:rsidP="00B776E0">
      <w:pPr>
        <w:rPr>
          <w:rFonts w:cs="Arial"/>
          <w:lang w:eastAsia="zh-CN"/>
        </w:rPr>
      </w:pPr>
      <w:r w:rsidRPr="00467D5D">
        <w:rPr>
          <w:rFonts w:cs="Arial"/>
          <w:lang w:eastAsia="zh-CN"/>
        </w:rPr>
        <w:t xml:space="preserve">No training programs were cancelled in </w:t>
      </w:r>
      <w:r>
        <w:rPr>
          <w:rFonts w:cs="Arial"/>
          <w:lang w:eastAsia="zh-CN"/>
        </w:rPr>
        <w:t xml:space="preserve">the </w:t>
      </w:r>
      <w:r w:rsidRPr="00467D5D">
        <w:rPr>
          <w:rFonts w:cs="Arial"/>
          <w:lang w:eastAsia="zh-CN"/>
        </w:rPr>
        <w:t>2013</w:t>
      </w:r>
      <w:r w:rsidR="000A5752">
        <w:rPr>
          <w:rFonts w:cs="Arial"/>
          <w:lang w:eastAsia="zh-CN"/>
        </w:rPr>
        <w:t>–</w:t>
      </w:r>
      <w:r w:rsidRPr="00467D5D">
        <w:rPr>
          <w:rFonts w:cs="Arial"/>
          <w:lang w:eastAsia="zh-CN"/>
        </w:rPr>
        <w:t xml:space="preserve">14 training profile but eight programs </w:t>
      </w:r>
      <w:r>
        <w:rPr>
          <w:rFonts w:cs="Arial"/>
          <w:lang w:eastAsia="zh-CN"/>
        </w:rPr>
        <w:t xml:space="preserve">were </w:t>
      </w:r>
      <w:r w:rsidRPr="00467D5D">
        <w:rPr>
          <w:rFonts w:cs="Arial"/>
          <w:lang w:eastAsia="zh-CN"/>
        </w:rPr>
        <w:t>withdrawn from the 2014</w:t>
      </w:r>
      <w:r w:rsidR="000A5752">
        <w:rPr>
          <w:rFonts w:cs="Arial"/>
          <w:lang w:eastAsia="zh-CN"/>
        </w:rPr>
        <w:t>–</w:t>
      </w:r>
      <w:r w:rsidRPr="00467D5D">
        <w:rPr>
          <w:rFonts w:cs="Arial"/>
          <w:lang w:eastAsia="zh-CN"/>
        </w:rPr>
        <w:t>2015 training profile. Only one of the programs not delivered listed a reason for withdrawal related to employment outcomes.</w:t>
      </w:r>
      <w:r w:rsidRPr="00467D5D">
        <w:rPr>
          <w:rStyle w:val="FootnoteReference"/>
          <w:rFonts w:cs="Arial"/>
          <w:lang w:eastAsia="zh-CN"/>
        </w:rPr>
        <w:footnoteReference w:id="31"/>
      </w:r>
      <w:r w:rsidRPr="00467D5D">
        <w:rPr>
          <w:rFonts w:cs="Arial"/>
          <w:lang w:eastAsia="zh-CN"/>
        </w:rPr>
        <w:t xml:space="preserve"> </w:t>
      </w:r>
    </w:p>
    <w:p w14:paraId="430ACF57" w14:textId="77777777" w:rsidR="00B776E0" w:rsidRPr="00467D5D" w:rsidRDefault="00B776E0" w:rsidP="00B776E0">
      <w:pPr>
        <w:rPr>
          <w:rFonts w:cs="Arial"/>
          <w:lang w:eastAsia="en-GB" w:bidi="en-GB"/>
        </w:rPr>
      </w:pPr>
      <w:r>
        <w:rPr>
          <w:rFonts w:cs="Arial"/>
        </w:rPr>
        <w:t>F</w:t>
      </w:r>
      <w:r w:rsidRPr="00467D5D">
        <w:rPr>
          <w:rFonts w:cs="Arial"/>
        </w:rPr>
        <w:t xml:space="preserve">easibility studies have been commissioned by APTC into setting up a campus in Solomon Islands, </w:t>
      </w:r>
      <w:r>
        <w:rPr>
          <w:rFonts w:cs="Arial"/>
        </w:rPr>
        <w:t>a</w:t>
      </w:r>
      <w:r w:rsidRPr="00467D5D">
        <w:rPr>
          <w:rFonts w:cs="Arial"/>
        </w:rPr>
        <w:t xml:space="preserve"> school of tourism and hospitality in Palau and a scoping report on the training needs of Fiji’s T</w:t>
      </w:r>
      <w:r>
        <w:rPr>
          <w:rFonts w:cs="Arial"/>
        </w:rPr>
        <w:t>extiles Clothing and Footwear (T</w:t>
      </w:r>
      <w:r w:rsidRPr="00467D5D">
        <w:rPr>
          <w:rFonts w:cs="Arial"/>
        </w:rPr>
        <w:t>CF</w:t>
      </w:r>
      <w:r>
        <w:rPr>
          <w:rFonts w:cs="Arial"/>
        </w:rPr>
        <w:t>)</w:t>
      </w:r>
      <w:r w:rsidRPr="00467D5D">
        <w:rPr>
          <w:rFonts w:cs="Arial"/>
        </w:rPr>
        <w:t xml:space="preserve"> industry and its emerging fashion sector. However</w:t>
      </w:r>
      <w:r w:rsidR="00A425DE">
        <w:rPr>
          <w:rFonts w:cs="Arial"/>
        </w:rPr>
        <w:t>,</w:t>
      </w:r>
      <w:r w:rsidRPr="00467D5D">
        <w:rPr>
          <w:rFonts w:cs="Arial"/>
        </w:rPr>
        <w:t xml:space="preserve"> none of these reports make</w:t>
      </w:r>
      <w:r>
        <w:rPr>
          <w:rFonts w:cs="Arial"/>
        </w:rPr>
        <w:t>s</w:t>
      </w:r>
      <w:r w:rsidRPr="00467D5D">
        <w:rPr>
          <w:rFonts w:cs="Arial"/>
        </w:rPr>
        <w:t xml:space="preserve"> use of systematic evidence of economic demand such as census data on occupations. </w:t>
      </w:r>
    </w:p>
    <w:p w14:paraId="10C11BB1" w14:textId="3C352B3A" w:rsidR="00B776E0" w:rsidRPr="00467D5D" w:rsidRDefault="00B776E0" w:rsidP="00B776E0">
      <w:pPr>
        <w:rPr>
          <w:rFonts w:cs="Arial"/>
          <w:lang w:eastAsia="zh-CN"/>
        </w:rPr>
      </w:pPr>
      <w:r>
        <w:rPr>
          <w:rFonts w:cs="Arial"/>
          <w:lang w:eastAsia="zh-CN"/>
        </w:rPr>
        <w:t xml:space="preserve">APTC </w:t>
      </w:r>
      <w:r w:rsidRPr="00467D5D">
        <w:rPr>
          <w:rFonts w:cs="Arial"/>
          <w:lang w:eastAsia="zh-CN"/>
        </w:rPr>
        <w:t xml:space="preserve">Advisory </w:t>
      </w:r>
      <w:r>
        <w:rPr>
          <w:rFonts w:cs="Arial"/>
          <w:lang w:eastAsia="zh-CN"/>
        </w:rPr>
        <w:t>G</w:t>
      </w:r>
      <w:r w:rsidRPr="00467D5D">
        <w:rPr>
          <w:rFonts w:cs="Arial"/>
          <w:lang w:eastAsia="zh-CN"/>
        </w:rPr>
        <w:t xml:space="preserve">roup members </w:t>
      </w:r>
      <w:r>
        <w:rPr>
          <w:rFonts w:cs="Arial"/>
          <w:lang w:eastAsia="zh-CN"/>
        </w:rPr>
        <w:t xml:space="preserve">have </w:t>
      </w:r>
      <w:r w:rsidRPr="00467D5D">
        <w:rPr>
          <w:rFonts w:cs="Arial"/>
          <w:lang w:eastAsia="zh-CN"/>
        </w:rPr>
        <w:t xml:space="preserve">requested the results of employment tracer studies and suggested work permit approvals as a good single source of labour market information. </w:t>
      </w:r>
      <w:r>
        <w:rPr>
          <w:rFonts w:cs="Arial"/>
          <w:lang w:eastAsia="zh-CN"/>
        </w:rPr>
        <w:t>O</w:t>
      </w:r>
      <w:r w:rsidRPr="00467D5D">
        <w:rPr>
          <w:rFonts w:cs="Arial"/>
          <w:lang w:eastAsia="zh-CN"/>
        </w:rPr>
        <w:t>ther suggestion</w:t>
      </w:r>
      <w:r>
        <w:rPr>
          <w:rFonts w:cs="Arial"/>
          <w:lang w:eastAsia="zh-CN"/>
        </w:rPr>
        <w:t xml:space="preserve">s were </w:t>
      </w:r>
      <w:r w:rsidRPr="00467D5D">
        <w:rPr>
          <w:rFonts w:cs="Arial"/>
          <w:lang w:eastAsia="zh-CN"/>
        </w:rPr>
        <w:t>to ‘map where existing information is currently located: focus to be first in-country, national, regional and then international’</w:t>
      </w:r>
      <w:r>
        <w:rPr>
          <w:rFonts w:cs="Arial"/>
          <w:lang w:eastAsia="zh-CN"/>
        </w:rPr>
        <w:t xml:space="preserve"> and quarterly analysis of </w:t>
      </w:r>
      <w:r w:rsidRPr="00467D5D">
        <w:rPr>
          <w:rFonts w:cs="Arial"/>
          <w:lang w:eastAsia="zh-CN"/>
        </w:rPr>
        <w:t>labour market data to show when courses should be put on hold and what courses continue to be relevant. However, available minutes for Advisory Group meetings in Po</w:t>
      </w:r>
      <w:r w:rsidR="00F770CA">
        <w:rPr>
          <w:rFonts w:cs="Arial"/>
          <w:lang w:eastAsia="zh-CN"/>
        </w:rPr>
        <w:t>rt Moresby (2013) and Port Vila</w:t>
      </w:r>
      <w:r w:rsidRPr="00467D5D">
        <w:rPr>
          <w:rFonts w:cs="Arial"/>
          <w:lang w:eastAsia="zh-CN"/>
        </w:rPr>
        <w:t xml:space="preserve"> </w:t>
      </w:r>
      <w:r>
        <w:rPr>
          <w:rFonts w:cs="Arial"/>
          <w:lang w:eastAsia="zh-CN"/>
        </w:rPr>
        <w:t>(</w:t>
      </w:r>
      <w:r w:rsidRPr="00467D5D">
        <w:rPr>
          <w:rFonts w:cs="Arial"/>
          <w:lang w:eastAsia="zh-CN"/>
        </w:rPr>
        <w:t>2014</w:t>
      </w:r>
      <w:r>
        <w:rPr>
          <w:rFonts w:cs="Arial"/>
          <w:lang w:eastAsia="zh-CN"/>
        </w:rPr>
        <w:t>)</w:t>
      </w:r>
      <w:r w:rsidRPr="00467D5D">
        <w:rPr>
          <w:rFonts w:cs="Arial"/>
          <w:lang w:eastAsia="zh-CN"/>
        </w:rPr>
        <w:t xml:space="preserve"> show no evidence that systematic labour market information was presented at the meetings or discussed as an issue. </w:t>
      </w:r>
    </w:p>
    <w:p w14:paraId="2B504ABB" w14:textId="77777777" w:rsidR="00B776E0" w:rsidRPr="00DB07A6" w:rsidRDefault="00AD0E6C" w:rsidP="00FD521D">
      <w:pPr>
        <w:rPr>
          <w:rFonts w:eastAsia="Arial"/>
          <w:lang w:eastAsia="zh-CN"/>
        </w:rPr>
      </w:pPr>
      <w:r w:rsidRPr="00950268">
        <w:rPr>
          <w:b/>
          <w:i/>
          <w:lang w:eastAsia="zh-CN"/>
        </w:rPr>
        <w:t>APTC Environmental Scan (eScan) 2014</w:t>
      </w:r>
      <w:r>
        <w:rPr>
          <w:lang w:eastAsia="zh-CN"/>
        </w:rPr>
        <w:t xml:space="preserve">. </w:t>
      </w:r>
      <w:r w:rsidR="00B776E0" w:rsidRPr="00DB07A6">
        <w:rPr>
          <w:lang w:eastAsia="zh-CN"/>
        </w:rPr>
        <w:t>The APTC eScan developed in 2013 and early 2014 provides a base for: ‘detecting economic, social and political trends and events important to APTC; defining the threats, opportunities or changes for APTC implied by the trends and events; and promotes forward thinking and highlights areas for action’.</w:t>
      </w:r>
      <w:r w:rsidR="00B776E0" w:rsidRPr="00DB07A6">
        <w:rPr>
          <w:rStyle w:val="FootnoteReference"/>
          <w:szCs w:val="22"/>
          <w:lang w:eastAsia="zh-CN"/>
        </w:rPr>
        <w:footnoteReference w:id="32"/>
      </w:r>
      <w:r w:rsidR="00B776E0" w:rsidRPr="00DB07A6">
        <w:rPr>
          <w:lang w:eastAsia="zh-CN"/>
        </w:rPr>
        <w:t xml:space="preserve"> </w:t>
      </w:r>
    </w:p>
    <w:p w14:paraId="424FAA05" w14:textId="77777777" w:rsidR="00B776E0" w:rsidRDefault="00B776E0" w:rsidP="00B776E0">
      <w:pPr>
        <w:rPr>
          <w:rFonts w:cs="Arial"/>
          <w:lang w:eastAsia="zh-CN"/>
        </w:rPr>
      </w:pPr>
      <w:r>
        <w:rPr>
          <w:rFonts w:cs="Arial"/>
          <w:lang w:eastAsia="zh-CN"/>
        </w:rPr>
        <w:t>There are some weaknesses in the eScan as outlined below</w:t>
      </w:r>
      <w:r w:rsidR="00425100">
        <w:rPr>
          <w:rFonts w:cs="Arial"/>
          <w:lang w:eastAsia="zh-CN"/>
        </w:rPr>
        <w:t>.</w:t>
      </w:r>
    </w:p>
    <w:p w14:paraId="053A639A" w14:textId="77777777" w:rsidR="00B776E0" w:rsidRPr="00576659" w:rsidRDefault="00B776E0" w:rsidP="00260880">
      <w:pPr>
        <w:pStyle w:val="ListParagraph"/>
        <w:numPr>
          <w:ilvl w:val="0"/>
          <w:numId w:val="31"/>
        </w:numPr>
        <w:contextualSpacing w:val="0"/>
        <w:rPr>
          <w:rFonts w:cs="Arial"/>
          <w:lang w:eastAsia="zh-CN"/>
        </w:rPr>
      </w:pPr>
      <w:r w:rsidRPr="00576659">
        <w:rPr>
          <w:rFonts w:cs="Arial"/>
          <w:lang w:eastAsia="zh-CN"/>
        </w:rPr>
        <w:t>It does not present a statistical profile on any country from a census or a large national survey of employment by relevant occupations and highest level of completed education</w:t>
      </w:r>
      <w:r>
        <w:rPr>
          <w:rFonts w:cs="Arial"/>
          <w:lang w:eastAsia="zh-CN"/>
        </w:rPr>
        <w:t>.</w:t>
      </w:r>
    </w:p>
    <w:p w14:paraId="2C0BBFFF" w14:textId="77777777" w:rsidR="00B776E0" w:rsidRPr="00576659" w:rsidRDefault="00B776E0" w:rsidP="00260880">
      <w:pPr>
        <w:pStyle w:val="ListParagraph"/>
        <w:numPr>
          <w:ilvl w:val="0"/>
          <w:numId w:val="31"/>
        </w:numPr>
        <w:contextualSpacing w:val="0"/>
        <w:rPr>
          <w:rFonts w:cs="Arial"/>
          <w:lang w:eastAsia="zh-CN"/>
        </w:rPr>
      </w:pPr>
      <w:r w:rsidRPr="00576659">
        <w:rPr>
          <w:rFonts w:cs="Arial"/>
          <w:lang w:eastAsia="zh-CN"/>
        </w:rPr>
        <w:t xml:space="preserve">There is no information about skill shortages in any Pacific country or </w:t>
      </w:r>
      <w:r w:rsidR="006749DE" w:rsidRPr="00576659">
        <w:rPr>
          <w:rFonts w:cs="Arial"/>
          <w:lang w:eastAsia="zh-CN"/>
        </w:rPr>
        <w:t>New</w:t>
      </w:r>
      <w:r w:rsidR="006749DE">
        <w:rPr>
          <w:rFonts w:cs="Arial"/>
          <w:lang w:eastAsia="zh-CN"/>
        </w:rPr>
        <w:t> </w:t>
      </w:r>
      <w:r w:rsidRPr="00576659">
        <w:rPr>
          <w:rFonts w:cs="Arial"/>
          <w:lang w:eastAsia="zh-CN"/>
        </w:rPr>
        <w:t>Zealand.</w:t>
      </w:r>
    </w:p>
    <w:p w14:paraId="59D16430" w14:textId="77777777" w:rsidR="00B776E0" w:rsidRPr="00576659" w:rsidRDefault="00B776E0" w:rsidP="00260880">
      <w:pPr>
        <w:pStyle w:val="ListParagraph"/>
        <w:numPr>
          <w:ilvl w:val="0"/>
          <w:numId w:val="31"/>
        </w:numPr>
        <w:contextualSpacing w:val="0"/>
        <w:rPr>
          <w:rFonts w:cs="Arial"/>
          <w:lang w:eastAsia="zh-CN"/>
        </w:rPr>
      </w:pPr>
      <w:r w:rsidRPr="00576659">
        <w:rPr>
          <w:rFonts w:cs="Arial"/>
          <w:lang w:eastAsia="zh-CN"/>
        </w:rPr>
        <w:t>Opportunities to develop a simple measure of occupations in-demand have been missed</w:t>
      </w:r>
      <w:r>
        <w:rPr>
          <w:rFonts w:cs="Arial"/>
          <w:lang w:eastAsia="zh-CN"/>
        </w:rPr>
        <w:t>,</w:t>
      </w:r>
      <w:r w:rsidRPr="00576659">
        <w:rPr>
          <w:rFonts w:cs="Arial"/>
          <w:lang w:eastAsia="zh-CN"/>
        </w:rPr>
        <w:t xml:space="preserve"> for example by collecting data on job vacancies over time from job advertisements in newspapers, on the radio and in a government gazette to produce a job opportunity index or use of information from work permits about the occupations of foreign workers. </w:t>
      </w:r>
    </w:p>
    <w:p w14:paraId="50FD7B60" w14:textId="77777777" w:rsidR="00B776E0" w:rsidRPr="00576659" w:rsidRDefault="00B776E0" w:rsidP="00260880">
      <w:pPr>
        <w:pStyle w:val="ListParagraph"/>
        <w:numPr>
          <w:ilvl w:val="0"/>
          <w:numId w:val="31"/>
        </w:numPr>
        <w:contextualSpacing w:val="0"/>
        <w:rPr>
          <w:rFonts w:cs="Arial"/>
          <w:lang w:eastAsia="zh-CN"/>
        </w:rPr>
      </w:pPr>
      <w:r w:rsidRPr="00576659">
        <w:rPr>
          <w:rFonts w:cs="Arial"/>
          <w:lang w:eastAsia="zh-CN"/>
        </w:rPr>
        <w:t>In the case of Australia, the eScan refers to the existence of Skilled Occupation List (SOL) but not to the more relevant Consolidated Sponsored Occupation List (CSOL),</w:t>
      </w:r>
      <w:r w:rsidRPr="00467D5D">
        <w:rPr>
          <w:rStyle w:val="FootnoteReference"/>
          <w:rFonts w:cs="Arial"/>
          <w:lang w:eastAsia="zh-CN"/>
        </w:rPr>
        <w:footnoteReference w:id="33"/>
      </w:r>
      <w:r w:rsidRPr="00576659">
        <w:rPr>
          <w:rFonts w:cs="Arial"/>
          <w:lang w:eastAsia="zh-CN"/>
        </w:rPr>
        <w:t xml:space="preserve"> a much more extensive list which focuses on current employer demand for skills. </w:t>
      </w:r>
    </w:p>
    <w:p w14:paraId="2772E7F8" w14:textId="77777777" w:rsidR="00B776E0" w:rsidRPr="00576659" w:rsidRDefault="00B776E0" w:rsidP="00260880">
      <w:pPr>
        <w:pStyle w:val="ListParagraph"/>
        <w:numPr>
          <w:ilvl w:val="0"/>
          <w:numId w:val="31"/>
        </w:numPr>
        <w:contextualSpacing w:val="0"/>
        <w:rPr>
          <w:rFonts w:cs="Arial"/>
          <w:lang w:eastAsia="zh-CN"/>
        </w:rPr>
      </w:pPr>
      <w:r w:rsidRPr="00576659">
        <w:rPr>
          <w:rFonts w:cs="Arial"/>
          <w:lang w:eastAsia="zh-CN"/>
        </w:rPr>
        <w:t xml:space="preserve">It does not refer to the form of skilled migrant entry to Australia most likely to appeal to APTC graduates </w:t>
      </w:r>
      <w:r w:rsidR="006749DE">
        <w:rPr>
          <w:rFonts w:cs="Arial"/>
          <w:lang w:eastAsia="zh-CN"/>
        </w:rPr>
        <w:t>–</w:t>
      </w:r>
      <w:r w:rsidRPr="00576659">
        <w:rPr>
          <w:rFonts w:cs="Arial"/>
          <w:lang w:eastAsia="zh-CN"/>
        </w:rPr>
        <w:t xml:space="preserve"> the Temporary Work (Skilled) visa (subclass 457),</w:t>
      </w:r>
      <w:r w:rsidRPr="00467D5D">
        <w:rPr>
          <w:rStyle w:val="FootnoteReference"/>
          <w:rFonts w:cs="Arial"/>
          <w:lang w:eastAsia="zh-CN"/>
        </w:rPr>
        <w:footnoteReference w:id="34"/>
      </w:r>
      <w:r w:rsidRPr="00576659">
        <w:rPr>
          <w:rFonts w:cs="Arial"/>
          <w:lang w:eastAsia="zh-CN"/>
        </w:rPr>
        <w:t xml:space="preserve"> which permits a skilled worker to work in their nominated occupation for an approved employer for up to four years. </w:t>
      </w:r>
    </w:p>
    <w:p w14:paraId="7E39E39D" w14:textId="77777777" w:rsidR="00B776E0" w:rsidRDefault="00B776E0" w:rsidP="00B776E0">
      <w:pPr>
        <w:rPr>
          <w:rFonts w:cs="Arial"/>
          <w:lang w:eastAsia="zh-CN"/>
        </w:rPr>
      </w:pPr>
      <w:r w:rsidRPr="00467D5D">
        <w:rPr>
          <w:rFonts w:cs="Arial"/>
          <w:lang w:eastAsia="zh-CN"/>
        </w:rPr>
        <w:t>APTC documents lack a</w:t>
      </w:r>
      <w:r>
        <w:rPr>
          <w:rFonts w:cs="Arial"/>
          <w:lang w:eastAsia="zh-CN"/>
        </w:rPr>
        <w:t>n</w:t>
      </w:r>
      <w:r w:rsidRPr="00467D5D">
        <w:rPr>
          <w:rFonts w:cs="Arial"/>
          <w:lang w:eastAsia="zh-CN"/>
        </w:rPr>
        <w:t xml:space="preserve"> understanding about occupations and the qualification level required to be eligible for skilled migrant entry to Australia</w:t>
      </w:r>
      <w:r>
        <w:rPr>
          <w:rFonts w:cs="Arial"/>
          <w:lang w:eastAsia="zh-CN"/>
        </w:rPr>
        <w:t xml:space="preserve"> as </w:t>
      </w:r>
      <w:r w:rsidRPr="00467D5D">
        <w:rPr>
          <w:rFonts w:cs="Arial"/>
          <w:lang w:eastAsia="zh-CN"/>
        </w:rPr>
        <w:t xml:space="preserve">is evident in the information provided on the APTC website about the launch of a pilot training program in </w:t>
      </w:r>
      <w:r>
        <w:rPr>
          <w:rFonts w:cs="Arial"/>
          <w:lang w:eastAsia="zh-CN"/>
        </w:rPr>
        <w:t>the Certificate III in Aged Care</w:t>
      </w:r>
      <w:r w:rsidRPr="00467D5D">
        <w:rPr>
          <w:rFonts w:cs="Arial"/>
          <w:lang w:eastAsia="zh-CN"/>
        </w:rPr>
        <w:t xml:space="preserve"> in Tonga.</w:t>
      </w:r>
      <w:r w:rsidRPr="00467D5D">
        <w:rPr>
          <w:rStyle w:val="FootnoteReference"/>
          <w:rFonts w:cs="Arial"/>
          <w:lang w:eastAsia="zh-CN"/>
        </w:rPr>
        <w:footnoteReference w:id="35"/>
      </w:r>
      <w:r w:rsidRPr="00467D5D">
        <w:rPr>
          <w:rFonts w:cs="Arial"/>
          <w:lang w:eastAsia="zh-CN"/>
        </w:rPr>
        <w:t xml:space="preserve"> The news story notes </w:t>
      </w:r>
      <w:r>
        <w:rPr>
          <w:rFonts w:cs="Arial"/>
          <w:lang w:eastAsia="zh-CN"/>
        </w:rPr>
        <w:t>that</w:t>
      </w:r>
      <w:r w:rsidR="00567B25">
        <w:rPr>
          <w:rFonts w:cs="Arial"/>
          <w:lang w:eastAsia="zh-CN"/>
        </w:rPr>
        <w:t>:</w:t>
      </w:r>
      <w:r w:rsidRPr="00467D5D">
        <w:rPr>
          <w:rFonts w:cs="Arial"/>
          <w:lang w:eastAsia="zh-CN"/>
        </w:rPr>
        <w:t xml:space="preserve"> ‘The pilot program in Tonga is an example of a targeted approach to supporting labour mobility of Pacific Islanders who graduate from APTC’. </w:t>
      </w:r>
      <w:r>
        <w:rPr>
          <w:rFonts w:cs="Arial"/>
          <w:lang w:eastAsia="zh-CN"/>
        </w:rPr>
        <w:t>H</w:t>
      </w:r>
      <w:r w:rsidRPr="00467D5D">
        <w:rPr>
          <w:rFonts w:cs="Arial"/>
          <w:lang w:eastAsia="zh-CN"/>
        </w:rPr>
        <w:t xml:space="preserve">owever, the story does not mention that the eligible qualification to gain entry to Australia to work as a residential care worker is a </w:t>
      </w:r>
      <w:r>
        <w:rPr>
          <w:rFonts w:cs="Arial"/>
          <w:lang w:eastAsia="zh-CN"/>
        </w:rPr>
        <w:t>D</w:t>
      </w:r>
      <w:r w:rsidRPr="00467D5D">
        <w:rPr>
          <w:rFonts w:cs="Arial"/>
          <w:lang w:eastAsia="zh-CN"/>
        </w:rPr>
        <w:t>iploma.</w:t>
      </w:r>
    </w:p>
    <w:p w14:paraId="0DDE0C07" w14:textId="77777777" w:rsidR="00B776E0" w:rsidRPr="00467D5D" w:rsidRDefault="00B776E0" w:rsidP="00B776E0">
      <w:pPr>
        <w:rPr>
          <w:rFonts w:cs="Arial"/>
          <w:lang w:eastAsia="zh-CN"/>
        </w:rPr>
      </w:pPr>
      <w:r>
        <w:rPr>
          <w:rFonts w:cs="Arial"/>
          <w:lang w:eastAsia="zh-CN"/>
        </w:rPr>
        <w:t>Addressing the issues outlined above requires resources and expertise that may not be currently available. APTC should be appropriately resourced to</w:t>
      </w:r>
      <w:r w:rsidRPr="00467D5D">
        <w:rPr>
          <w:rFonts w:cs="Arial"/>
          <w:lang w:eastAsia="zh-CN"/>
        </w:rPr>
        <w:t xml:space="preserve"> </w:t>
      </w:r>
      <w:r>
        <w:rPr>
          <w:rFonts w:cs="Arial"/>
          <w:lang w:eastAsia="zh-CN"/>
        </w:rPr>
        <w:t>undertake proper labour market analysis as a basis for determining and adjusting its training plan.</w:t>
      </w:r>
    </w:p>
    <w:p w14:paraId="1A80241D" w14:textId="3436C59F" w:rsidR="003D355F" w:rsidRDefault="00327DE9" w:rsidP="0027413A">
      <w:pPr>
        <w:pStyle w:val="Heading2"/>
        <w:ind w:left="720" w:hanging="720"/>
      </w:pPr>
      <w:bookmarkStart w:id="666" w:name="_Toc274145130"/>
      <w:bookmarkStart w:id="667" w:name="_Toc274900514"/>
      <w:bookmarkStart w:id="668" w:name="_Toc274909895"/>
      <w:bookmarkStart w:id="669" w:name="_Toc278447911"/>
      <w:bookmarkStart w:id="670" w:name="_Toc278453384"/>
      <w:r>
        <w:t>2</w:t>
      </w:r>
      <w:r w:rsidR="00094443">
        <w:t>.3</w:t>
      </w:r>
      <w:r w:rsidR="00094443">
        <w:tab/>
      </w:r>
      <w:r w:rsidR="00B776E0" w:rsidRPr="00DB07A6">
        <w:t xml:space="preserve">How many formal industry partnerships have been established and </w:t>
      </w:r>
      <w:r w:rsidR="0027413A">
        <w:br/>
      </w:r>
      <w:r w:rsidR="00B776E0" w:rsidRPr="00DB07A6">
        <w:t>how effective are they?</w:t>
      </w:r>
      <w:bookmarkEnd w:id="666"/>
      <w:bookmarkEnd w:id="667"/>
      <w:bookmarkEnd w:id="668"/>
      <w:bookmarkEnd w:id="669"/>
      <w:bookmarkEnd w:id="670"/>
      <w:r w:rsidR="00B776E0" w:rsidRPr="00DB07A6">
        <w:t xml:space="preserve"> </w:t>
      </w:r>
    </w:p>
    <w:p w14:paraId="40F62F85" w14:textId="77777777" w:rsidR="00B776E0" w:rsidRDefault="00B776E0" w:rsidP="00B776E0">
      <w:pPr>
        <w:rPr>
          <w:rFonts w:cs="Arial"/>
        </w:rPr>
      </w:pPr>
      <w:r>
        <w:rPr>
          <w:rFonts w:cs="Arial"/>
        </w:rPr>
        <w:t>The establishment of formal industry partnerships has been limited to date.</w:t>
      </w:r>
    </w:p>
    <w:p w14:paraId="3F89E9FE" w14:textId="26FC0FFB" w:rsidR="00B776E0" w:rsidRDefault="00B776E0" w:rsidP="00B776E0">
      <w:pPr>
        <w:rPr>
          <w:rFonts w:cs="Arial"/>
        </w:rPr>
      </w:pPr>
      <w:r>
        <w:rPr>
          <w:rFonts w:cs="Arial"/>
        </w:rPr>
        <w:t>These partnerships fall within the ambit of the APTC Commercialisation Strategy, ideally classified as Sector 1 covering large enterprises and multinationals, but can also be Sector 2 for small to medium enterprises (APTC Commercialisation Strategy, p.</w:t>
      </w:r>
      <w:r w:rsidR="00D12BE6">
        <w:rPr>
          <w:rFonts w:cs="Arial"/>
        </w:rPr>
        <w:t> </w:t>
      </w:r>
      <w:r>
        <w:rPr>
          <w:rFonts w:cs="Arial"/>
        </w:rPr>
        <w:t xml:space="preserve">2). They contribute to the achievement of one of the targets set as part of the </w:t>
      </w:r>
      <w:r w:rsidR="001F5811">
        <w:rPr>
          <w:rFonts w:cs="Arial"/>
        </w:rPr>
        <w:t>Stage</w:t>
      </w:r>
      <w:r w:rsidR="00F770CA">
        <w:rPr>
          <w:rFonts w:cs="Arial"/>
        </w:rPr>
        <w:t> </w:t>
      </w:r>
      <w:r w:rsidR="001F5811">
        <w:rPr>
          <w:rFonts w:cs="Arial"/>
        </w:rPr>
        <w:t>II</w:t>
      </w:r>
      <w:r>
        <w:rPr>
          <w:rFonts w:cs="Arial"/>
        </w:rPr>
        <w:t xml:space="preserve"> contract, namely AUD500,000 profit on fee-for service activity.</w:t>
      </w:r>
    </w:p>
    <w:p w14:paraId="28E28599" w14:textId="2EFDD857" w:rsidR="00B776E0" w:rsidRDefault="00B776E0" w:rsidP="00B776E0">
      <w:pPr>
        <w:rPr>
          <w:rFonts w:cs="Arial"/>
        </w:rPr>
      </w:pPr>
      <w:r>
        <w:rPr>
          <w:rFonts w:cs="Arial"/>
        </w:rPr>
        <w:t>As the Commercialisation Strategy did not become operational until February 2013</w:t>
      </w:r>
      <w:r w:rsidR="00096D18">
        <w:rPr>
          <w:rFonts w:cs="Arial"/>
        </w:rPr>
        <w:t>,</w:t>
      </w:r>
      <w:r>
        <w:rPr>
          <w:rFonts w:cs="Arial"/>
        </w:rPr>
        <w:t xml:space="preserve"> it is not surprising that the AUD280,000 achievement by August 2014 was behind target. </w:t>
      </w:r>
      <w:r w:rsidR="00B16C7D" w:rsidRPr="00B16C7D">
        <w:rPr>
          <w:rFonts w:cs="Arial"/>
        </w:rPr>
        <w:t>Recent developments</w:t>
      </w:r>
      <w:r w:rsidR="00B16C7D">
        <w:rPr>
          <w:rStyle w:val="FootnoteReference"/>
          <w:rFonts w:cs="Arial"/>
        </w:rPr>
        <w:footnoteReference w:id="36"/>
      </w:r>
      <w:r w:rsidR="00B16C7D" w:rsidRPr="00B16C7D">
        <w:rPr>
          <w:rFonts w:cs="Arial"/>
        </w:rPr>
        <w:t xml:space="preserve"> give some cause for optimism that the target could be reached.</w:t>
      </w:r>
      <w:r>
        <w:rPr>
          <w:rFonts w:cs="Arial"/>
        </w:rPr>
        <w:t xml:space="preserve"> </w:t>
      </w:r>
    </w:p>
    <w:p w14:paraId="152C0DA2" w14:textId="77777777" w:rsidR="00B776E0" w:rsidRDefault="00B776E0" w:rsidP="00B776E0">
      <w:pPr>
        <w:rPr>
          <w:rFonts w:cs="Arial"/>
        </w:rPr>
      </w:pPr>
      <w:r w:rsidRPr="00592C88">
        <w:rPr>
          <w:rFonts w:cs="Arial"/>
        </w:rPr>
        <w:t xml:space="preserve">As at July 2014, the APTC </w:t>
      </w:r>
      <w:r>
        <w:rPr>
          <w:rFonts w:cs="Arial"/>
        </w:rPr>
        <w:t>P</w:t>
      </w:r>
      <w:r w:rsidRPr="00592C88">
        <w:rPr>
          <w:rFonts w:cs="Arial"/>
        </w:rPr>
        <w:t xml:space="preserve">artnerships </w:t>
      </w:r>
      <w:r>
        <w:rPr>
          <w:rFonts w:cs="Arial"/>
        </w:rPr>
        <w:t>L</w:t>
      </w:r>
      <w:r w:rsidRPr="00592C88">
        <w:rPr>
          <w:rFonts w:cs="Arial"/>
        </w:rPr>
        <w:t>ist</w:t>
      </w:r>
      <w:r>
        <w:rPr>
          <w:rStyle w:val="FootnoteReference"/>
          <w:rFonts w:cs="Arial"/>
        </w:rPr>
        <w:footnoteReference w:id="37"/>
      </w:r>
      <w:r w:rsidRPr="00592C88">
        <w:rPr>
          <w:rFonts w:cs="Arial"/>
        </w:rPr>
        <w:t xml:space="preserve"> cites eight active formal industry partnerships</w:t>
      </w:r>
      <w:r>
        <w:rPr>
          <w:rFonts w:cs="Arial"/>
        </w:rPr>
        <w:t xml:space="preserve"> operating under Memoranda of Agreement</w:t>
      </w:r>
      <w:r w:rsidRPr="00592C88">
        <w:rPr>
          <w:rFonts w:cs="Arial"/>
        </w:rPr>
        <w:t>: two in PNG and one in each of the Solomon Islands, Vanuatu, Marshall Islands, Tonga, Samoa and Fiji. A ninth partnership is under negotiation in Fiji.</w:t>
      </w:r>
      <w:r>
        <w:rPr>
          <w:rFonts w:cs="Arial"/>
        </w:rPr>
        <w:t xml:space="preserve"> On closer inspection, two of the eight are with educational institutions and two with Education Ministries.</w:t>
      </w:r>
    </w:p>
    <w:p w14:paraId="2EB352F0" w14:textId="77777777" w:rsidR="00AC26C9" w:rsidRDefault="00327DE9">
      <w:pPr>
        <w:spacing w:after="0"/>
        <w:rPr>
          <w:rFonts w:cs="Arial"/>
        </w:rPr>
      </w:pPr>
      <w:r w:rsidRPr="00327DE9">
        <w:rPr>
          <w:rFonts w:cs="Arial"/>
        </w:rPr>
        <w:t>The Tanoa Group of Hotels is an example of an early formal partnership.</w:t>
      </w:r>
    </w:p>
    <w:p w14:paraId="6E7590FD" w14:textId="77777777" w:rsidR="00AC26C9" w:rsidRDefault="00AC26C9">
      <w:pPr>
        <w:spacing w:after="0"/>
        <w:rPr>
          <w:rFonts w:cs="Arial"/>
        </w:rPr>
      </w:pPr>
    </w:p>
    <w:p w14:paraId="5613CB87" w14:textId="757040DF" w:rsidR="003D355F" w:rsidRDefault="003D355F">
      <w:pPr>
        <w:spacing w:after="0"/>
        <w:rPr>
          <w:rFonts w:cs="Arial"/>
          <w:sz w:val="12"/>
        </w:rPr>
      </w:pPr>
    </w:p>
    <w:p w14:paraId="5073E56A" w14:textId="77777777" w:rsidR="00B776E0" w:rsidRPr="00FD521D" w:rsidRDefault="00B776E0" w:rsidP="00AC26C9">
      <w:pPr>
        <w:pStyle w:val="PlainText"/>
        <w:shd w:val="clear" w:color="auto" w:fill="E2EFD9" w:themeFill="accent6" w:themeFillTint="33"/>
        <w:spacing w:after="120"/>
        <w:rPr>
          <w:rFonts w:ascii="Arial" w:hAnsi="Arial" w:cs="Arial"/>
          <w:b/>
        </w:rPr>
      </w:pPr>
      <w:r w:rsidRPr="00FD521D">
        <w:rPr>
          <w:rFonts w:ascii="Arial" w:hAnsi="Arial" w:cs="Arial"/>
          <w:b/>
        </w:rPr>
        <w:t>Tanoa Group of Hotels, Fiji</w:t>
      </w:r>
    </w:p>
    <w:p w14:paraId="0934F884" w14:textId="77777777" w:rsidR="00B776E0" w:rsidRPr="00C7756A" w:rsidRDefault="00B776E0" w:rsidP="00AC26C9">
      <w:pPr>
        <w:pStyle w:val="PlainText"/>
        <w:shd w:val="clear" w:color="auto" w:fill="E2EFD9" w:themeFill="accent6" w:themeFillTint="33"/>
        <w:spacing w:after="120"/>
        <w:rPr>
          <w:rFonts w:ascii="Arial" w:hAnsi="Arial" w:cs="Arial"/>
        </w:rPr>
      </w:pPr>
      <w:r>
        <w:rPr>
          <w:rFonts w:ascii="Arial" w:hAnsi="Arial" w:cs="Arial"/>
        </w:rPr>
        <w:t>F</w:t>
      </w:r>
      <w:r w:rsidRPr="00C7756A">
        <w:rPr>
          <w:rFonts w:ascii="Arial" w:hAnsi="Arial" w:cs="Arial"/>
        </w:rPr>
        <w:t xml:space="preserve">ollowing a series of negotiations, a Memorandum of Agreement was signed with the Tanoa Group of Hotels in 2009. It lasted for </w:t>
      </w:r>
      <w:r>
        <w:rPr>
          <w:rFonts w:ascii="Arial" w:hAnsi="Arial" w:cs="Arial"/>
        </w:rPr>
        <w:t>five and a half</w:t>
      </w:r>
      <w:r w:rsidRPr="00C7756A">
        <w:rPr>
          <w:rFonts w:ascii="Arial" w:hAnsi="Arial" w:cs="Arial"/>
        </w:rPr>
        <w:t xml:space="preserve"> years and covered two distinct areas </w:t>
      </w:r>
      <w:r w:rsidR="00D508BA">
        <w:rPr>
          <w:rFonts w:ascii="Arial" w:hAnsi="Arial" w:cs="Arial"/>
        </w:rPr>
        <w:t>–</w:t>
      </w:r>
      <w:r w:rsidRPr="00C7756A">
        <w:rPr>
          <w:rFonts w:ascii="Arial" w:hAnsi="Arial" w:cs="Arial"/>
        </w:rPr>
        <w:t xml:space="preserve"> d</w:t>
      </w:r>
      <w:r w:rsidRPr="00C7756A">
        <w:rPr>
          <w:rFonts w:ascii="Arial" w:hAnsi="Arial" w:cs="Arial"/>
          <w:bCs/>
        </w:rPr>
        <w:t xml:space="preserve">evelopment of a </w:t>
      </w:r>
      <w:r w:rsidR="00D508BA" w:rsidRPr="00C7756A">
        <w:rPr>
          <w:rFonts w:ascii="Arial" w:hAnsi="Arial" w:cs="Arial"/>
          <w:bCs/>
        </w:rPr>
        <w:t>work</w:t>
      </w:r>
      <w:r w:rsidR="00D508BA">
        <w:rPr>
          <w:rFonts w:ascii="Arial" w:hAnsi="Arial" w:cs="Arial"/>
          <w:bCs/>
        </w:rPr>
        <w:t>-</w:t>
      </w:r>
      <w:r w:rsidRPr="00C7756A">
        <w:rPr>
          <w:rFonts w:ascii="Arial" w:hAnsi="Arial" w:cs="Arial"/>
          <w:bCs/>
        </w:rPr>
        <w:t>based training model for APTC and the provision of student accommodation. Ultimately</w:t>
      </w:r>
      <w:r w:rsidR="00C714D7">
        <w:rPr>
          <w:rFonts w:ascii="Arial" w:hAnsi="Arial" w:cs="Arial"/>
          <w:bCs/>
        </w:rPr>
        <w:t>,</w:t>
      </w:r>
      <w:r w:rsidRPr="00C7756A">
        <w:rPr>
          <w:rFonts w:ascii="Arial" w:hAnsi="Arial" w:cs="Arial"/>
          <w:bCs/>
        </w:rPr>
        <w:t xml:space="preserve"> the work-based training model did not meet APTC’s expectations on a range of criteria related to delivery of the training package. </w:t>
      </w:r>
      <w:r>
        <w:rPr>
          <w:rFonts w:ascii="Arial" w:hAnsi="Arial" w:cs="Arial"/>
          <w:bCs/>
        </w:rPr>
        <w:t>Some of the reasons for this</w:t>
      </w:r>
      <w:r w:rsidRPr="00C7756A">
        <w:rPr>
          <w:rFonts w:ascii="Arial" w:hAnsi="Arial" w:cs="Arial"/>
          <w:bCs/>
        </w:rPr>
        <w:t xml:space="preserve"> </w:t>
      </w:r>
      <w:r>
        <w:rPr>
          <w:rFonts w:ascii="Arial" w:hAnsi="Arial" w:cs="Arial"/>
          <w:bCs/>
        </w:rPr>
        <w:t>included less work experience opportunities for students than anticipated, facilities limitations and isolation of the premises.</w:t>
      </w:r>
    </w:p>
    <w:p w14:paraId="502E8DBC" w14:textId="77777777" w:rsidR="00B776E0" w:rsidRDefault="00B776E0" w:rsidP="00AC26C9">
      <w:pPr>
        <w:pStyle w:val="PlainText"/>
        <w:shd w:val="clear" w:color="auto" w:fill="E2EFD9" w:themeFill="accent6" w:themeFillTint="33"/>
        <w:spacing w:after="120"/>
        <w:rPr>
          <w:rFonts w:ascii="Arial" w:hAnsi="Arial" w:cs="Arial"/>
          <w:bCs/>
        </w:rPr>
      </w:pPr>
      <w:r w:rsidRPr="00C7756A">
        <w:rPr>
          <w:rFonts w:ascii="Arial" w:hAnsi="Arial" w:cs="Arial"/>
          <w:bCs/>
        </w:rPr>
        <w:t>In the meantime</w:t>
      </w:r>
      <w:r w:rsidR="004407FC">
        <w:rPr>
          <w:rFonts w:ascii="Arial" w:hAnsi="Arial" w:cs="Arial"/>
          <w:bCs/>
        </w:rPr>
        <w:t>,</w:t>
      </w:r>
      <w:r w:rsidRPr="00C7756A">
        <w:rPr>
          <w:rFonts w:ascii="Arial" w:hAnsi="Arial" w:cs="Arial"/>
          <w:bCs/>
        </w:rPr>
        <w:t xml:space="preserve"> approximately 380 APTC students studied and lived at</w:t>
      </w:r>
      <w:r w:rsidRPr="00C7756A">
        <w:rPr>
          <w:rFonts w:ascii="Arial" w:hAnsi="Arial" w:cs="Arial"/>
        </w:rPr>
        <w:t xml:space="preserve"> the Tanoa Rakira</w:t>
      </w:r>
      <w:r w:rsidR="00FD521D">
        <w:rPr>
          <w:rFonts w:ascii="Arial" w:hAnsi="Arial" w:cs="Arial"/>
        </w:rPr>
        <w:t xml:space="preserve">ki, in the north of Viti Levu. </w:t>
      </w:r>
      <w:r w:rsidRPr="00C7756A">
        <w:rPr>
          <w:rFonts w:ascii="Arial" w:hAnsi="Arial" w:cs="Arial"/>
        </w:rPr>
        <w:t>For the most part</w:t>
      </w:r>
      <w:r w:rsidR="004407FC">
        <w:rPr>
          <w:rFonts w:ascii="Arial" w:hAnsi="Arial" w:cs="Arial"/>
        </w:rPr>
        <w:t>,</w:t>
      </w:r>
      <w:r w:rsidRPr="00C7756A">
        <w:rPr>
          <w:rFonts w:ascii="Arial" w:hAnsi="Arial" w:cs="Arial"/>
        </w:rPr>
        <w:t xml:space="preserve"> the relationship was a positive one despite </w:t>
      </w:r>
      <w:r>
        <w:rPr>
          <w:rFonts w:ascii="Arial" w:hAnsi="Arial" w:cs="Arial"/>
        </w:rPr>
        <w:t xml:space="preserve">the </w:t>
      </w:r>
      <w:r w:rsidRPr="00C7756A">
        <w:rPr>
          <w:rFonts w:ascii="Arial" w:hAnsi="Arial" w:cs="Arial"/>
        </w:rPr>
        <w:t>ongoing concerns.</w:t>
      </w:r>
      <w:r>
        <w:rPr>
          <w:rFonts w:ascii="Arial" w:hAnsi="Arial" w:cs="Arial"/>
        </w:rPr>
        <w:t xml:space="preserve"> </w:t>
      </w:r>
      <w:r w:rsidRPr="00C7756A">
        <w:rPr>
          <w:rFonts w:ascii="Arial" w:hAnsi="Arial" w:cs="Arial"/>
          <w:bCs/>
        </w:rPr>
        <w:t xml:space="preserve">The arrangement for student accommodation </w:t>
      </w:r>
      <w:r w:rsidRPr="00C7756A">
        <w:rPr>
          <w:rFonts w:ascii="Arial" w:hAnsi="Arial" w:cs="Arial"/>
        </w:rPr>
        <w:t xml:space="preserve">saw approximately 35 APTC students per semester living in self-catering accommodation at the Tanoa Skylodge in Nadi. Both arrangements </w:t>
      </w:r>
      <w:r w:rsidRPr="00C7756A">
        <w:rPr>
          <w:rFonts w:ascii="Arial" w:hAnsi="Arial" w:cs="Arial"/>
          <w:bCs/>
        </w:rPr>
        <w:t>ceased as a result of the School of Health and Community Services relocation</w:t>
      </w:r>
      <w:r>
        <w:rPr>
          <w:rFonts w:ascii="Arial" w:hAnsi="Arial" w:cs="Arial"/>
          <w:bCs/>
        </w:rPr>
        <w:t xml:space="preserve"> to Suva.</w:t>
      </w:r>
    </w:p>
    <w:p w14:paraId="25003E77" w14:textId="77777777" w:rsidR="00B776E0" w:rsidRPr="00FD521D" w:rsidRDefault="00B776E0" w:rsidP="00AC26C9">
      <w:pPr>
        <w:pStyle w:val="PlainText"/>
        <w:shd w:val="clear" w:color="auto" w:fill="E2EFD9" w:themeFill="accent6" w:themeFillTint="33"/>
        <w:spacing w:after="120"/>
        <w:rPr>
          <w:rFonts w:ascii="Arial" w:hAnsi="Arial" w:cs="Arial"/>
          <w:sz w:val="18"/>
          <w:lang w:eastAsia="zh-CN"/>
        </w:rPr>
      </w:pPr>
      <w:r w:rsidRPr="00FD521D">
        <w:rPr>
          <w:rFonts w:ascii="Arial" w:hAnsi="Arial" w:cs="Arial"/>
          <w:bCs/>
          <w:sz w:val="18"/>
        </w:rPr>
        <w:t>Source: APTC</w:t>
      </w:r>
    </w:p>
    <w:p w14:paraId="1569148E" w14:textId="77777777" w:rsidR="00B776E0" w:rsidRDefault="00B776E0" w:rsidP="00B776E0">
      <w:pPr>
        <w:rPr>
          <w:rFonts w:cs="Arial"/>
        </w:rPr>
      </w:pPr>
      <w:r>
        <w:rPr>
          <w:rFonts w:cs="Arial"/>
        </w:rPr>
        <w:t>Of more recent interest are three partnerships, progressively being formalised:</w:t>
      </w:r>
    </w:p>
    <w:p w14:paraId="7B463D56" w14:textId="77777777" w:rsidR="003D355F" w:rsidRDefault="00B776E0" w:rsidP="00260880">
      <w:pPr>
        <w:pStyle w:val="ListParagraph"/>
        <w:numPr>
          <w:ilvl w:val="0"/>
          <w:numId w:val="21"/>
        </w:numPr>
        <w:spacing w:after="40"/>
        <w:ind w:left="714" w:hanging="357"/>
        <w:contextualSpacing w:val="0"/>
        <w:rPr>
          <w:rFonts w:cs="Arial"/>
        </w:rPr>
      </w:pPr>
      <w:r w:rsidRPr="00290708">
        <w:rPr>
          <w:rFonts w:cs="Arial"/>
        </w:rPr>
        <w:t>Fashion Industry, Fiji</w:t>
      </w:r>
    </w:p>
    <w:p w14:paraId="50ABFD75" w14:textId="77777777" w:rsidR="003D355F" w:rsidRDefault="00B776E0" w:rsidP="00260880">
      <w:pPr>
        <w:pStyle w:val="ListParagraph"/>
        <w:numPr>
          <w:ilvl w:val="0"/>
          <w:numId w:val="21"/>
        </w:numPr>
        <w:spacing w:after="40"/>
        <w:ind w:left="714" w:hanging="357"/>
        <w:contextualSpacing w:val="0"/>
        <w:rPr>
          <w:rFonts w:cs="Arial"/>
        </w:rPr>
      </w:pPr>
      <w:r w:rsidRPr="00290708">
        <w:rPr>
          <w:rFonts w:cs="Arial"/>
        </w:rPr>
        <w:t>Hospitality Industry, PNG</w:t>
      </w:r>
    </w:p>
    <w:p w14:paraId="71275D06" w14:textId="77777777" w:rsidR="00B776E0" w:rsidRDefault="00B776E0" w:rsidP="00260880">
      <w:pPr>
        <w:pStyle w:val="ListParagraph"/>
        <w:numPr>
          <w:ilvl w:val="0"/>
          <w:numId w:val="21"/>
        </w:numPr>
        <w:contextualSpacing w:val="0"/>
        <w:rPr>
          <w:rFonts w:cs="Arial"/>
        </w:rPr>
      </w:pPr>
      <w:r>
        <w:rPr>
          <w:rFonts w:cs="Arial"/>
        </w:rPr>
        <w:t xml:space="preserve">Cruise </w:t>
      </w:r>
      <w:r w:rsidRPr="00290708">
        <w:rPr>
          <w:rFonts w:cs="Arial"/>
        </w:rPr>
        <w:t>Tourism Industry, Vanuatu</w:t>
      </w:r>
      <w:r w:rsidR="00FE4214">
        <w:rPr>
          <w:rFonts w:cs="Arial"/>
        </w:rPr>
        <w:t>.</w:t>
      </w:r>
    </w:p>
    <w:p w14:paraId="0E28A220" w14:textId="2F481BFE" w:rsidR="00AC26C9" w:rsidRDefault="00AC26C9">
      <w:pPr>
        <w:spacing w:after="0"/>
        <w:rPr>
          <w:rFonts w:cs="Arial"/>
        </w:rPr>
      </w:pPr>
      <w:r>
        <w:rPr>
          <w:rFonts w:cs="Arial"/>
        </w:rPr>
        <w:br w:type="page"/>
      </w:r>
    </w:p>
    <w:p w14:paraId="7C66B044" w14:textId="77777777" w:rsidR="003D355F" w:rsidRDefault="003D355F">
      <w:pPr>
        <w:spacing w:after="0"/>
        <w:rPr>
          <w:rFonts w:cs="Arial"/>
        </w:rPr>
      </w:pPr>
    </w:p>
    <w:p w14:paraId="47E04B50" w14:textId="77777777" w:rsidR="00B776E0" w:rsidRPr="00FD521D" w:rsidRDefault="00B776E0" w:rsidP="00AC26C9">
      <w:pPr>
        <w:shd w:val="clear" w:color="auto" w:fill="E2EFD9" w:themeFill="accent6" w:themeFillTint="33"/>
        <w:rPr>
          <w:rFonts w:cs="Arial"/>
          <w:b/>
        </w:rPr>
      </w:pPr>
      <w:r w:rsidRPr="00FD521D">
        <w:rPr>
          <w:rFonts w:cs="Arial"/>
          <w:b/>
        </w:rPr>
        <w:t>Textile Clothing and Footwear Council (TCFC), Fiji</w:t>
      </w:r>
    </w:p>
    <w:p w14:paraId="02B623EB" w14:textId="77777777" w:rsidR="00B776E0" w:rsidRPr="009D7BA9" w:rsidRDefault="00B776E0" w:rsidP="00AC26C9">
      <w:pPr>
        <w:pStyle w:val="NormalWeb"/>
        <w:shd w:val="clear" w:color="auto" w:fill="E2EFD9" w:themeFill="accent6" w:themeFillTint="33"/>
        <w:spacing w:before="0" w:after="120"/>
        <w:rPr>
          <w:rFonts w:ascii="Arial" w:hAnsi="Arial" w:cs="Arial"/>
          <w:color w:val="000000"/>
          <w:sz w:val="22"/>
          <w:szCs w:val="22"/>
          <w:lang w:val="en-GB"/>
        </w:rPr>
      </w:pPr>
      <w:r>
        <w:rPr>
          <w:rFonts w:ascii="Arial" w:hAnsi="Arial" w:cs="Arial"/>
          <w:color w:val="000000"/>
          <w:sz w:val="22"/>
          <w:szCs w:val="22"/>
          <w:lang w:val="en-GB"/>
        </w:rPr>
        <w:t>A</w:t>
      </w:r>
      <w:r w:rsidR="00FD521D">
        <w:rPr>
          <w:rFonts w:ascii="Arial" w:hAnsi="Arial" w:cs="Arial"/>
          <w:color w:val="000000"/>
          <w:sz w:val="22"/>
          <w:szCs w:val="22"/>
          <w:lang w:val="en-GB"/>
        </w:rPr>
        <w:t xml:space="preserve"> seven-</w:t>
      </w:r>
      <w:r w:rsidRPr="009D7BA9">
        <w:rPr>
          <w:rFonts w:ascii="Arial" w:hAnsi="Arial" w:cs="Arial"/>
          <w:color w:val="000000"/>
          <w:sz w:val="22"/>
          <w:szCs w:val="22"/>
          <w:lang w:val="en-GB"/>
        </w:rPr>
        <w:t xml:space="preserve">month pilot program </w:t>
      </w:r>
      <w:r>
        <w:rPr>
          <w:rFonts w:ascii="Arial" w:hAnsi="Arial" w:cs="Arial"/>
          <w:color w:val="000000"/>
          <w:sz w:val="22"/>
          <w:szCs w:val="22"/>
          <w:lang w:val="en-GB"/>
        </w:rPr>
        <w:t xml:space="preserve">for the </w:t>
      </w:r>
      <w:r w:rsidR="00C73FC9">
        <w:rPr>
          <w:rFonts w:ascii="Arial" w:hAnsi="Arial" w:cs="Arial"/>
          <w:color w:val="000000"/>
          <w:sz w:val="22"/>
          <w:szCs w:val="22"/>
          <w:lang w:val="en-GB"/>
        </w:rPr>
        <w:t xml:space="preserve">fashion </w:t>
      </w:r>
      <w:r>
        <w:rPr>
          <w:rFonts w:ascii="Arial" w:hAnsi="Arial" w:cs="Arial"/>
          <w:color w:val="000000"/>
          <w:sz w:val="22"/>
          <w:szCs w:val="22"/>
          <w:lang w:val="en-GB"/>
        </w:rPr>
        <w:t>industry</w:t>
      </w:r>
      <w:r w:rsidRPr="009D7BA9">
        <w:rPr>
          <w:rFonts w:ascii="Arial" w:hAnsi="Arial" w:cs="Arial"/>
          <w:color w:val="000000"/>
          <w:sz w:val="22"/>
          <w:szCs w:val="22"/>
          <w:lang w:val="en-GB"/>
        </w:rPr>
        <w:t xml:space="preserve"> began in March 2014 in Suva</w:t>
      </w:r>
      <w:r>
        <w:rPr>
          <w:rFonts w:ascii="Arial" w:hAnsi="Arial" w:cs="Arial"/>
          <w:color w:val="000000"/>
          <w:sz w:val="22"/>
          <w:szCs w:val="22"/>
          <w:lang w:val="en-GB"/>
        </w:rPr>
        <w:t xml:space="preserve"> in partnership with the </w:t>
      </w:r>
      <w:r w:rsidRPr="009D7BA9">
        <w:rPr>
          <w:rFonts w:ascii="Arial" w:hAnsi="Arial" w:cs="Arial"/>
          <w:color w:val="000000"/>
          <w:sz w:val="22"/>
          <w:szCs w:val="22"/>
          <w:lang w:val="en-GB"/>
        </w:rPr>
        <w:t>Textile Clothing and Footwear Council of Fiji</w:t>
      </w:r>
      <w:r>
        <w:rPr>
          <w:rFonts w:ascii="Arial" w:hAnsi="Arial" w:cs="Arial"/>
          <w:color w:val="000000"/>
          <w:sz w:val="22"/>
          <w:szCs w:val="22"/>
          <w:lang w:val="en-GB"/>
        </w:rPr>
        <w:t>. It involves the</w:t>
      </w:r>
      <w:r w:rsidRPr="009D7BA9">
        <w:rPr>
          <w:rFonts w:ascii="Arial" w:hAnsi="Arial" w:cs="Arial"/>
          <w:color w:val="000000"/>
          <w:sz w:val="22"/>
          <w:szCs w:val="22"/>
          <w:lang w:val="en-GB"/>
        </w:rPr>
        <w:t xml:space="preserve"> introduction of the Certificate III in Applied Fashion Design and Technology in response to the </w:t>
      </w:r>
      <w:r>
        <w:rPr>
          <w:rFonts w:ascii="Arial" w:hAnsi="Arial" w:cs="Arial"/>
          <w:color w:val="000000"/>
          <w:sz w:val="22"/>
          <w:szCs w:val="22"/>
          <w:lang w:val="en-GB"/>
        </w:rPr>
        <w:t xml:space="preserve">industry’s advice on the </w:t>
      </w:r>
      <w:r w:rsidRPr="009D7BA9">
        <w:rPr>
          <w:rFonts w:ascii="Arial" w:hAnsi="Arial" w:cs="Arial"/>
          <w:color w:val="000000"/>
          <w:sz w:val="22"/>
          <w:szCs w:val="22"/>
          <w:lang w:val="en-GB"/>
        </w:rPr>
        <w:t xml:space="preserve">growing demand for technical skills for the garment manufacturing and fashion industry in </w:t>
      </w:r>
      <w:r>
        <w:rPr>
          <w:rFonts w:ascii="Arial" w:hAnsi="Arial" w:cs="Arial"/>
          <w:color w:val="000000"/>
          <w:sz w:val="22"/>
          <w:szCs w:val="22"/>
          <w:lang w:val="en-GB"/>
        </w:rPr>
        <w:t>the country.</w:t>
      </w:r>
    </w:p>
    <w:p w14:paraId="208C9868" w14:textId="77777777" w:rsidR="00B776E0" w:rsidRDefault="00B776E0" w:rsidP="00AC26C9">
      <w:pPr>
        <w:pStyle w:val="NormalWeb"/>
        <w:shd w:val="clear" w:color="auto" w:fill="E2EFD9" w:themeFill="accent6" w:themeFillTint="33"/>
        <w:spacing w:before="0" w:after="120"/>
        <w:rPr>
          <w:rFonts w:ascii="Arial" w:hAnsi="Arial" w:cs="Arial"/>
          <w:color w:val="000000"/>
          <w:sz w:val="22"/>
          <w:szCs w:val="22"/>
          <w:lang w:val="en-GB"/>
        </w:rPr>
      </w:pPr>
      <w:r>
        <w:rPr>
          <w:rFonts w:ascii="Arial" w:hAnsi="Arial" w:cs="Arial"/>
          <w:color w:val="000000"/>
          <w:sz w:val="22"/>
          <w:szCs w:val="22"/>
          <w:lang w:val="en-GB"/>
        </w:rPr>
        <w:t>During the field visits</w:t>
      </w:r>
      <w:r w:rsidR="00F82530">
        <w:rPr>
          <w:rFonts w:ascii="Arial" w:hAnsi="Arial" w:cs="Arial"/>
          <w:color w:val="000000"/>
          <w:sz w:val="22"/>
          <w:szCs w:val="22"/>
          <w:lang w:val="en-GB"/>
        </w:rPr>
        <w:t>,</w:t>
      </w:r>
      <w:r>
        <w:rPr>
          <w:rFonts w:ascii="Arial" w:hAnsi="Arial" w:cs="Arial"/>
          <w:color w:val="000000"/>
          <w:sz w:val="22"/>
          <w:szCs w:val="22"/>
          <w:lang w:val="en-GB"/>
        </w:rPr>
        <w:t xml:space="preserve"> the evaluation team met with representatives from the industry, who were clearly impressed with the responsiveness of APTC to addressing the lack of skills in the industry and identifying their training requirements. One of the representatives from the TCFC stated: ‘If needs be, we will go down on our hands and knees and beg to continue the course in the future’. </w:t>
      </w:r>
    </w:p>
    <w:p w14:paraId="4CBFA3CD" w14:textId="77777777" w:rsidR="00B776E0" w:rsidRPr="00FD521D" w:rsidRDefault="00B776E0" w:rsidP="00AC26C9">
      <w:pPr>
        <w:pStyle w:val="NormalWeb"/>
        <w:shd w:val="clear" w:color="auto" w:fill="E2EFD9" w:themeFill="accent6" w:themeFillTint="33"/>
        <w:spacing w:before="0" w:after="120"/>
        <w:jc w:val="both"/>
        <w:rPr>
          <w:rFonts w:ascii="Arial" w:hAnsi="Arial" w:cs="Arial"/>
          <w:color w:val="000000"/>
          <w:sz w:val="18"/>
          <w:szCs w:val="22"/>
          <w:lang w:val="en-GB"/>
        </w:rPr>
      </w:pPr>
      <w:r w:rsidRPr="00FD521D">
        <w:rPr>
          <w:rFonts w:ascii="Arial" w:hAnsi="Arial" w:cs="Arial"/>
          <w:color w:val="000000"/>
          <w:sz w:val="18"/>
          <w:szCs w:val="22"/>
          <w:lang w:val="en-GB"/>
        </w:rPr>
        <w:t>Source: APTC and field visit consultations</w:t>
      </w:r>
    </w:p>
    <w:p w14:paraId="6EFBCE08" w14:textId="77777777" w:rsidR="003D355F" w:rsidRDefault="003D355F">
      <w:pPr>
        <w:pStyle w:val="NormalWeb"/>
        <w:spacing w:before="0"/>
        <w:jc w:val="both"/>
        <w:rPr>
          <w:rFonts w:ascii="Arial" w:hAnsi="Arial" w:cs="Arial"/>
          <w:i/>
          <w:color w:val="000000"/>
          <w:sz w:val="22"/>
          <w:szCs w:val="22"/>
          <w:lang w:val="en-GB"/>
        </w:rPr>
      </w:pPr>
    </w:p>
    <w:p w14:paraId="4D1BEB96" w14:textId="77777777" w:rsidR="00B776E0" w:rsidRPr="00FD521D" w:rsidRDefault="00B776E0" w:rsidP="00AC26C9">
      <w:pPr>
        <w:pStyle w:val="NormalWeb"/>
        <w:shd w:val="clear" w:color="auto" w:fill="E2EFD9" w:themeFill="accent6" w:themeFillTint="33"/>
        <w:spacing w:before="0" w:after="120"/>
        <w:jc w:val="both"/>
        <w:rPr>
          <w:rFonts w:ascii="Arial" w:hAnsi="Arial" w:cs="Arial"/>
          <w:b/>
        </w:rPr>
      </w:pPr>
      <w:r w:rsidRPr="00FD521D">
        <w:rPr>
          <w:rFonts w:ascii="Arial" w:hAnsi="Arial" w:cs="Arial"/>
          <w:b/>
          <w:color w:val="000000"/>
          <w:sz w:val="22"/>
          <w:szCs w:val="22"/>
          <w:lang w:val="en-GB"/>
        </w:rPr>
        <w:t>Coral Sea Hotels, PNG</w:t>
      </w:r>
    </w:p>
    <w:p w14:paraId="4329BBE0" w14:textId="5B43A479" w:rsidR="00B776E0" w:rsidRDefault="00B776E0" w:rsidP="00AC26C9">
      <w:pPr>
        <w:shd w:val="clear" w:color="auto" w:fill="E2EFD9" w:themeFill="accent6" w:themeFillTint="33"/>
        <w:rPr>
          <w:rFonts w:cs="Arial"/>
        </w:rPr>
      </w:pPr>
      <w:r>
        <w:rPr>
          <w:rFonts w:cs="Arial"/>
        </w:rPr>
        <w:t xml:space="preserve">A partnership with Coral Sea Hotels in PNG is significant because it involves eight hotels across the country: Port Moresby (3), Lae (2), Goroka (1), Mt Hagen (1) and Madang (1). This hotel group is sending 150 students to APTC to undertake Certificate III in Hospitality – 90 in Food </w:t>
      </w:r>
      <w:r w:rsidR="00D30750">
        <w:rPr>
          <w:rFonts w:cs="Arial"/>
        </w:rPr>
        <w:t xml:space="preserve">and </w:t>
      </w:r>
      <w:r>
        <w:rPr>
          <w:rFonts w:cs="Arial"/>
        </w:rPr>
        <w:t xml:space="preserve">Beverage and 60 in Commercial Cookery </w:t>
      </w:r>
      <w:r w:rsidR="00D30750">
        <w:rPr>
          <w:rFonts w:cs="Arial"/>
        </w:rPr>
        <w:t>–</w:t>
      </w:r>
      <w:r>
        <w:rPr>
          <w:rFonts w:cs="Arial"/>
        </w:rPr>
        <w:t xml:space="preserve"> paying for their wages while in the course</w:t>
      </w:r>
      <w:r w:rsidR="00D30750">
        <w:rPr>
          <w:rFonts w:cs="Arial"/>
        </w:rPr>
        <w:t>,</w:t>
      </w:r>
      <w:r>
        <w:rPr>
          <w:rFonts w:cs="Arial"/>
        </w:rPr>
        <w:t xml:space="preserve"> as well as travel costs, board and lodging and a contribution to the tuition fee. During the field visits, the evaluation team was advised by executives of Coral Sea Hotels that this investment had paid off in retention of staff, service levels and skill levels and was vastly superior to the in-house on-the-job training that occurred previously. Specifically, of the 60 who have already completed the course, no-one has left. Usually there is a 40</w:t>
      </w:r>
      <w:r w:rsidR="00A4654B">
        <w:rPr>
          <w:rFonts w:cs="Arial"/>
        </w:rPr>
        <w:t xml:space="preserve">+ per cent </w:t>
      </w:r>
      <w:r>
        <w:rPr>
          <w:rFonts w:cs="Arial"/>
        </w:rPr>
        <w:t>annual turnover rate of staff but this has been reduced to 10</w:t>
      </w:r>
      <w:r w:rsidR="00A4654B">
        <w:rPr>
          <w:rFonts w:cs="Arial"/>
        </w:rPr>
        <w:t xml:space="preserve"> per cent </w:t>
      </w:r>
      <w:r>
        <w:rPr>
          <w:rFonts w:cs="Arial"/>
        </w:rPr>
        <w:t xml:space="preserve">and staff morale has increased. The company intends to maintain the same level of training through APTC in 2015 and then </w:t>
      </w:r>
      <w:r w:rsidR="00F770CA">
        <w:rPr>
          <w:rFonts w:cs="Arial"/>
        </w:rPr>
        <w:br/>
      </w:r>
      <w:r>
        <w:rPr>
          <w:rFonts w:cs="Arial"/>
        </w:rPr>
        <w:t>re-assess the situation in light of circumstances in the industry.</w:t>
      </w:r>
    </w:p>
    <w:p w14:paraId="331946CF" w14:textId="77777777" w:rsidR="00B776E0" w:rsidRPr="00FD521D" w:rsidRDefault="00B776E0" w:rsidP="00AC26C9">
      <w:pPr>
        <w:shd w:val="clear" w:color="auto" w:fill="E2EFD9" w:themeFill="accent6" w:themeFillTint="33"/>
        <w:rPr>
          <w:rFonts w:cs="Arial"/>
          <w:sz w:val="18"/>
        </w:rPr>
      </w:pPr>
      <w:r w:rsidRPr="00FD521D">
        <w:rPr>
          <w:rFonts w:cs="Arial"/>
          <w:sz w:val="18"/>
        </w:rPr>
        <w:t>Source: Interview with General Manager, Coral Sea Hotels</w:t>
      </w:r>
    </w:p>
    <w:p w14:paraId="6BBE4325" w14:textId="77777777" w:rsidR="00B776E0" w:rsidRDefault="00B776E0" w:rsidP="00B776E0">
      <w:pPr>
        <w:rPr>
          <w:rFonts w:cs="Arial"/>
          <w:b/>
          <w:lang w:eastAsia="zh-CN"/>
        </w:rPr>
      </w:pPr>
    </w:p>
    <w:p w14:paraId="7D22DB5F" w14:textId="77777777" w:rsidR="00B776E0" w:rsidRPr="00FD521D" w:rsidRDefault="00B776E0" w:rsidP="00AC26C9">
      <w:pPr>
        <w:shd w:val="clear" w:color="auto" w:fill="E2EFD9" w:themeFill="accent6" w:themeFillTint="33"/>
        <w:rPr>
          <w:rFonts w:cs="Arial"/>
          <w:b/>
          <w:lang w:eastAsia="zh-CN"/>
        </w:rPr>
      </w:pPr>
      <w:r w:rsidRPr="00FD521D">
        <w:rPr>
          <w:rFonts w:cs="Arial"/>
          <w:b/>
          <w:lang w:eastAsia="zh-CN"/>
        </w:rPr>
        <w:t>Carnival Australia, Vanuatu</w:t>
      </w:r>
    </w:p>
    <w:p w14:paraId="3D46D24F" w14:textId="77777777" w:rsidR="00B776E0" w:rsidRDefault="00B776E0" w:rsidP="00AC26C9">
      <w:pPr>
        <w:shd w:val="clear" w:color="auto" w:fill="E2EFD9" w:themeFill="accent6" w:themeFillTint="33"/>
        <w:rPr>
          <w:rFonts w:cs="Arial"/>
          <w:lang w:eastAsia="zh-CN"/>
        </w:rPr>
      </w:pPr>
      <w:r>
        <w:rPr>
          <w:rFonts w:cs="Arial"/>
          <w:lang w:eastAsia="zh-CN"/>
        </w:rPr>
        <w:t>At the time of the field visits</w:t>
      </w:r>
      <w:r w:rsidR="00155718">
        <w:rPr>
          <w:rFonts w:cs="Arial"/>
          <w:lang w:eastAsia="zh-CN"/>
        </w:rPr>
        <w:t>,</w:t>
      </w:r>
      <w:r>
        <w:rPr>
          <w:rFonts w:cs="Arial"/>
          <w:lang w:eastAsia="zh-CN"/>
        </w:rPr>
        <w:t xml:space="preserve"> a promising concept paper and indicative proposal for a Pilot Work Readiness Program had been prepared by APTC for Carnival Australia in response to their need for work</w:t>
      </w:r>
      <w:r w:rsidR="00155718">
        <w:rPr>
          <w:rFonts w:cs="Arial"/>
          <w:lang w:eastAsia="zh-CN"/>
        </w:rPr>
        <w:t>-</w:t>
      </w:r>
      <w:r>
        <w:rPr>
          <w:rFonts w:cs="Arial"/>
          <w:lang w:eastAsia="zh-CN"/>
        </w:rPr>
        <w:t xml:space="preserve">ready employees in the growing </w:t>
      </w:r>
      <w:r w:rsidR="00155718">
        <w:rPr>
          <w:rFonts w:cs="Arial"/>
          <w:lang w:eastAsia="zh-CN"/>
        </w:rPr>
        <w:t xml:space="preserve">cruise tourism </w:t>
      </w:r>
      <w:r>
        <w:rPr>
          <w:rFonts w:cs="Arial"/>
          <w:lang w:eastAsia="zh-CN"/>
        </w:rPr>
        <w:t>industry. If successful, it would train at least 150 prospective staff in relevant units from the Hospitality and Tourism training package. If a successful pilot is completed, the challenge for the continuation of the program will be the level of co-contribution involved.</w:t>
      </w:r>
    </w:p>
    <w:p w14:paraId="60FEF1D8" w14:textId="77777777" w:rsidR="00B776E0" w:rsidRPr="00FD521D" w:rsidRDefault="00B776E0" w:rsidP="00AC26C9">
      <w:pPr>
        <w:shd w:val="clear" w:color="auto" w:fill="E2EFD9" w:themeFill="accent6" w:themeFillTint="33"/>
        <w:rPr>
          <w:rFonts w:cs="Arial"/>
          <w:sz w:val="18"/>
          <w:lang w:eastAsia="zh-CN"/>
        </w:rPr>
      </w:pPr>
      <w:r w:rsidRPr="00FD521D">
        <w:rPr>
          <w:rFonts w:cs="Arial"/>
          <w:sz w:val="18"/>
          <w:lang w:eastAsia="zh-CN"/>
        </w:rPr>
        <w:t>Source: APTC Concept Paper and Indicative Proposal: Carnival Australia Work Readiness Program</w:t>
      </w:r>
    </w:p>
    <w:p w14:paraId="2F90E0CF" w14:textId="77777777" w:rsidR="00B776E0" w:rsidRDefault="00B776E0" w:rsidP="00B776E0">
      <w:pPr>
        <w:ind w:left="720" w:hanging="720"/>
        <w:rPr>
          <w:rFonts w:cs="Arial"/>
          <w:b/>
          <w:bCs/>
          <w:color w:val="76923C"/>
        </w:rPr>
      </w:pPr>
    </w:p>
    <w:p w14:paraId="640D29E8" w14:textId="01D21B39" w:rsidR="003D355F" w:rsidRDefault="00327DE9" w:rsidP="002028A6">
      <w:pPr>
        <w:pStyle w:val="Heading2"/>
      </w:pPr>
      <w:bookmarkStart w:id="671" w:name="_Toc274145131"/>
      <w:bookmarkStart w:id="672" w:name="_Toc274900515"/>
      <w:bookmarkStart w:id="673" w:name="_Toc274909896"/>
      <w:bookmarkStart w:id="674" w:name="_Toc278447912"/>
      <w:bookmarkStart w:id="675" w:name="_Toc278453385"/>
      <w:r>
        <w:t>2</w:t>
      </w:r>
      <w:r w:rsidR="00934DBA">
        <w:t>.</w:t>
      </w:r>
      <w:r w:rsidR="007D3158">
        <w:t>4</w:t>
      </w:r>
      <w:r w:rsidR="00934DBA">
        <w:tab/>
      </w:r>
      <w:r w:rsidR="00B776E0">
        <w:t xml:space="preserve">How effective are </w:t>
      </w:r>
      <w:r w:rsidR="00B776E0" w:rsidRPr="00DB07A6">
        <w:t>APTC’s school-to-work schemes, e.g. ‘APTC-to-</w:t>
      </w:r>
      <w:r w:rsidR="00F7315C">
        <w:t>W</w:t>
      </w:r>
      <w:r w:rsidR="00B776E0" w:rsidRPr="00DB07A6">
        <w:t xml:space="preserve">ork’ </w:t>
      </w:r>
      <w:r w:rsidR="00F7315C">
        <w:br/>
      </w:r>
      <w:r w:rsidR="00F7315C">
        <w:tab/>
      </w:r>
      <w:r w:rsidR="00B776E0" w:rsidRPr="00DB07A6">
        <w:t>and employer reintegration plans.</w:t>
      </w:r>
      <w:bookmarkEnd w:id="671"/>
      <w:bookmarkEnd w:id="672"/>
      <w:bookmarkEnd w:id="673"/>
      <w:bookmarkEnd w:id="674"/>
      <w:bookmarkEnd w:id="675"/>
    </w:p>
    <w:p w14:paraId="680D98C6" w14:textId="7B4C5264" w:rsidR="00B776E0" w:rsidRDefault="00546F37" w:rsidP="00B776E0">
      <w:pPr>
        <w:rPr>
          <w:rFonts w:cs="Arial"/>
        </w:rPr>
      </w:pPr>
      <w:r w:rsidRPr="00546F37">
        <w:rPr>
          <w:rFonts w:cs="Arial"/>
          <w:b/>
          <w:i/>
        </w:rPr>
        <w:t>APTC-to-</w:t>
      </w:r>
      <w:r w:rsidR="00D735B4">
        <w:rPr>
          <w:rFonts w:cs="Arial"/>
          <w:b/>
          <w:i/>
        </w:rPr>
        <w:t>W</w:t>
      </w:r>
      <w:r w:rsidRPr="00546F37">
        <w:rPr>
          <w:rFonts w:cs="Arial"/>
          <w:b/>
          <w:i/>
        </w:rPr>
        <w:t>ork.</w:t>
      </w:r>
      <w:r w:rsidR="00B776E0">
        <w:rPr>
          <w:rFonts w:cs="Arial"/>
          <w:i/>
        </w:rPr>
        <w:t xml:space="preserve"> </w:t>
      </w:r>
      <w:r w:rsidR="00B776E0">
        <w:rPr>
          <w:rFonts w:cs="Arial"/>
        </w:rPr>
        <w:t>APTC’s school-to-work schemes vary in their effectiveness. The evaluation team observed some excellent work, but this was not consistently the case across all countries. This is acknowledged by APTC in its current review of the program.</w:t>
      </w:r>
    </w:p>
    <w:p w14:paraId="6CAAC88E" w14:textId="2B41C950" w:rsidR="00B776E0" w:rsidRPr="00467D5D" w:rsidRDefault="00B776E0" w:rsidP="00B776E0">
      <w:pPr>
        <w:rPr>
          <w:rFonts w:cs="Arial"/>
          <w:kern w:val="2"/>
          <w:lang w:val="en-GB" w:eastAsia="en-GB" w:bidi="en-GB"/>
        </w:rPr>
      </w:pPr>
      <w:r w:rsidRPr="00467D5D">
        <w:rPr>
          <w:rFonts w:cs="Arial"/>
        </w:rPr>
        <w:t>The 2013</w:t>
      </w:r>
      <w:r w:rsidR="007A759D">
        <w:rPr>
          <w:rFonts w:cs="Arial"/>
        </w:rPr>
        <w:t>–</w:t>
      </w:r>
      <w:r w:rsidRPr="00467D5D">
        <w:rPr>
          <w:rFonts w:cs="Arial"/>
        </w:rPr>
        <w:t>14 Annual Report and Plan notes that the APTC-to-</w:t>
      </w:r>
      <w:r w:rsidR="00D735B4">
        <w:rPr>
          <w:rFonts w:cs="Arial"/>
        </w:rPr>
        <w:t>W</w:t>
      </w:r>
      <w:r w:rsidR="001F258B" w:rsidRPr="00467D5D">
        <w:rPr>
          <w:rFonts w:cs="Arial"/>
        </w:rPr>
        <w:t xml:space="preserve">ork </w:t>
      </w:r>
      <w:r w:rsidRPr="00467D5D">
        <w:rPr>
          <w:rFonts w:cs="Arial"/>
        </w:rPr>
        <w:t>program provides training in a number of industry work ready skills</w:t>
      </w:r>
      <w:r>
        <w:rPr>
          <w:rFonts w:cs="Arial"/>
        </w:rPr>
        <w:t xml:space="preserve">. These include communication, team-building, problem-solving, technology, planning and organising </w:t>
      </w:r>
      <w:r w:rsidRPr="00467D5D">
        <w:rPr>
          <w:rFonts w:cs="Arial"/>
        </w:rPr>
        <w:t xml:space="preserve">to help students to move from training to work. The program also helps students to prepare a </w:t>
      </w:r>
      <w:r>
        <w:rPr>
          <w:rFonts w:cs="Arial"/>
        </w:rPr>
        <w:t>resume</w:t>
      </w:r>
      <w:r w:rsidRPr="00467D5D">
        <w:rPr>
          <w:rFonts w:cs="Arial"/>
        </w:rPr>
        <w:t xml:space="preserve">, identifies employment opportunities, and helps them to apply for jobs and to develop interview skills. Students are also </w:t>
      </w:r>
      <w:r>
        <w:rPr>
          <w:rFonts w:cs="Arial"/>
        </w:rPr>
        <w:t xml:space="preserve">supposed to receive assistance </w:t>
      </w:r>
      <w:r w:rsidRPr="00467D5D">
        <w:rPr>
          <w:rFonts w:cs="Arial"/>
        </w:rPr>
        <w:t>with introducing new skills into the workplace, starting a new business and developing a business proposal.</w:t>
      </w:r>
      <w:r>
        <w:rPr>
          <w:rFonts w:cs="Arial"/>
        </w:rPr>
        <w:t xml:space="preserve"> Each country campus has an APTC-to-</w:t>
      </w:r>
      <w:r w:rsidR="00C05A04">
        <w:rPr>
          <w:rFonts w:cs="Arial"/>
        </w:rPr>
        <w:t>W</w:t>
      </w:r>
      <w:r>
        <w:rPr>
          <w:rFonts w:cs="Arial"/>
        </w:rPr>
        <w:t>ork tutor to carry out this role.</w:t>
      </w:r>
      <w:r w:rsidRPr="000C1161">
        <w:rPr>
          <w:rFonts w:cs="Arial"/>
        </w:rPr>
        <w:t xml:space="preserve"> </w:t>
      </w:r>
      <w:r w:rsidRPr="00467D5D">
        <w:rPr>
          <w:rFonts w:cs="Arial"/>
        </w:rPr>
        <w:t>This is done by designing a specific training program and delivering classes as part of the normal timetable</w:t>
      </w:r>
      <w:r>
        <w:rPr>
          <w:rFonts w:cs="Arial"/>
        </w:rPr>
        <w:t xml:space="preserve">. </w:t>
      </w:r>
    </w:p>
    <w:p w14:paraId="6EDCED9D" w14:textId="77777777" w:rsidR="00B776E0" w:rsidRPr="00467D5D" w:rsidRDefault="00B776E0" w:rsidP="00B776E0">
      <w:pPr>
        <w:rPr>
          <w:rFonts w:cs="Arial"/>
        </w:rPr>
      </w:pPr>
      <w:r w:rsidRPr="00467D5D">
        <w:rPr>
          <w:rFonts w:cs="Arial"/>
        </w:rPr>
        <w:t xml:space="preserve">The Stage II Scope of Services identifies the goals of the program as: ‘to improve employment rates and productivity’. Specifically, the program is to show students how to identify employment opportunities and to help them apply for work ‘domestically and overseas’ (Para 5.21). It is clear from feedback from APTC students that information on overseas job opportunities was not provided. This </w:t>
      </w:r>
      <w:r>
        <w:rPr>
          <w:rFonts w:cs="Arial"/>
        </w:rPr>
        <w:t xml:space="preserve">aspect will be addressed in the review of the program. </w:t>
      </w:r>
    </w:p>
    <w:p w14:paraId="2C948DF5" w14:textId="216F8551" w:rsidR="00B776E0" w:rsidRDefault="00B776E0" w:rsidP="00B776E0">
      <w:pPr>
        <w:rPr>
          <w:rFonts w:cs="Arial"/>
        </w:rPr>
      </w:pPr>
      <w:r w:rsidRPr="00467D5D">
        <w:rPr>
          <w:rFonts w:cs="Arial"/>
        </w:rPr>
        <w:t>A</w:t>
      </w:r>
      <w:r>
        <w:rPr>
          <w:rFonts w:cs="Arial"/>
        </w:rPr>
        <w:t xml:space="preserve">nother </w:t>
      </w:r>
      <w:r w:rsidRPr="00467D5D">
        <w:rPr>
          <w:rFonts w:cs="Arial"/>
        </w:rPr>
        <w:t xml:space="preserve">key role for the </w:t>
      </w:r>
      <w:r>
        <w:rPr>
          <w:rFonts w:cs="Arial"/>
        </w:rPr>
        <w:t>APTC-to-</w:t>
      </w:r>
      <w:r w:rsidR="00C05A04">
        <w:rPr>
          <w:rFonts w:cs="Arial"/>
        </w:rPr>
        <w:t>W</w:t>
      </w:r>
      <w:r w:rsidR="003D6AD1">
        <w:rPr>
          <w:rFonts w:cs="Arial"/>
        </w:rPr>
        <w:t xml:space="preserve">ork </w:t>
      </w:r>
      <w:r w:rsidRPr="00467D5D">
        <w:rPr>
          <w:rFonts w:cs="Arial"/>
        </w:rPr>
        <w:t xml:space="preserve">tutor is to organise work placements for students who are not in employment. They may be new industry entrants who were unemployed when they applied or </w:t>
      </w:r>
      <w:r>
        <w:rPr>
          <w:rFonts w:cs="Arial"/>
        </w:rPr>
        <w:t xml:space="preserve">those </w:t>
      </w:r>
      <w:r w:rsidRPr="00467D5D">
        <w:rPr>
          <w:rFonts w:cs="Arial"/>
        </w:rPr>
        <w:t>who left their employer to undertake the course at APTC. Existing workers with five or more years of experience may be either sponsored by their employer and will return to their employer after graduation</w:t>
      </w:r>
      <w:r>
        <w:rPr>
          <w:rFonts w:cs="Arial"/>
        </w:rPr>
        <w:t xml:space="preserve"> or</w:t>
      </w:r>
      <w:r w:rsidRPr="00467D5D">
        <w:rPr>
          <w:rFonts w:cs="Arial"/>
        </w:rPr>
        <w:t xml:space="preserve"> they may have lost their job when they were accepted to do the APTC course. Those students in trade programs not in employment need extended work placements between blocks of classroom training</w:t>
      </w:r>
      <w:r>
        <w:rPr>
          <w:rFonts w:cs="Arial"/>
        </w:rPr>
        <w:t xml:space="preserve"> which </w:t>
      </w:r>
      <w:r w:rsidRPr="00467D5D">
        <w:rPr>
          <w:rFonts w:cs="Arial"/>
        </w:rPr>
        <w:t>require</w:t>
      </w:r>
      <w:r>
        <w:rPr>
          <w:rFonts w:cs="Arial"/>
        </w:rPr>
        <w:t>s</w:t>
      </w:r>
      <w:r w:rsidRPr="00467D5D">
        <w:rPr>
          <w:rFonts w:cs="Arial"/>
        </w:rPr>
        <w:t xml:space="preserve"> finding employers who are willing to take on students during their training</w:t>
      </w:r>
      <w:r>
        <w:rPr>
          <w:rFonts w:cs="Arial"/>
        </w:rPr>
        <w:t xml:space="preserve"> and ideally </w:t>
      </w:r>
      <w:r w:rsidRPr="00467D5D">
        <w:rPr>
          <w:rFonts w:cs="Arial"/>
        </w:rPr>
        <w:t xml:space="preserve">looking to employ </w:t>
      </w:r>
      <w:r>
        <w:rPr>
          <w:rFonts w:cs="Arial"/>
        </w:rPr>
        <w:t>a</w:t>
      </w:r>
      <w:r w:rsidRPr="00467D5D">
        <w:rPr>
          <w:rFonts w:cs="Arial"/>
        </w:rPr>
        <w:t xml:space="preserve"> student after graduation. Finding suitable work placements requires making contact with</w:t>
      </w:r>
      <w:r w:rsidR="003D6AD1">
        <w:rPr>
          <w:rFonts w:cs="Arial"/>
        </w:rPr>
        <w:t>,</w:t>
      </w:r>
      <w:r w:rsidRPr="00467D5D">
        <w:rPr>
          <w:rFonts w:cs="Arial"/>
        </w:rPr>
        <w:t xml:space="preserve"> and keeping a database of</w:t>
      </w:r>
      <w:r w:rsidR="003D6AD1">
        <w:rPr>
          <w:rFonts w:cs="Arial"/>
        </w:rPr>
        <w:t>,</w:t>
      </w:r>
      <w:r w:rsidRPr="00467D5D">
        <w:rPr>
          <w:rFonts w:cs="Arial"/>
        </w:rPr>
        <w:t xml:space="preserve"> employers who are willing to provide work placements. </w:t>
      </w:r>
      <w:r>
        <w:rPr>
          <w:rFonts w:cs="Arial"/>
        </w:rPr>
        <w:t xml:space="preserve">The role is therefore quite demanding and requires the incumbent to work independently. </w:t>
      </w:r>
    </w:p>
    <w:p w14:paraId="5A16B576" w14:textId="77777777" w:rsidR="00B776E0" w:rsidRPr="00467D5D" w:rsidRDefault="00B776E0" w:rsidP="00B776E0">
      <w:pPr>
        <w:rPr>
          <w:rFonts w:cs="Arial"/>
        </w:rPr>
      </w:pPr>
      <w:r>
        <w:rPr>
          <w:rFonts w:cs="Arial"/>
        </w:rPr>
        <w:t xml:space="preserve">During the field visits it was not possible to have individual interviews with APTC-to-work tutors in all countries and so it is impossible to generalise about the effectiveness of the work being done. However, the excellent work being done in PNG stood out as exceptional and the fact that a review is being undertaken confirms the initial assessment by the evaluation team that there is room for improvement. </w:t>
      </w:r>
    </w:p>
    <w:p w14:paraId="0A14FD36" w14:textId="4E5A3DEE" w:rsidR="00B776E0" w:rsidRPr="007C76FE" w:rsidRDefault="00327DE9" w:rsidP="00FF2722">
      <w:pPr>
        <w:rPr>
          <w:rFonts w:eastAsia="Arial"/>
        </w:rPr>
      </w:pPr>
      <w:r w:rsidRPr="00950268">
        <w:rPr>
          <w:b/>
          <w:i/>
        </w:rPr>
        <w:t>Employee re-integration plans</w:t>
      </w:r>
      <w:r>
        <w:t>.</w:t>
      </w:r>
      <w:r w:rsidRPr="00327DE9">
        <w:t xml:space="preserve"> </w:t>
      </w:r>
      <w:r w:rsidR="00B776E0" w:rsidRPr="007C76FE">
        <w:t>The Scope of Services required the contractor to trial the development of Reintegration Plans with selected partners and other large employers and their employees. Reintegration Plans were, in the context of providing flexible course delivery, to identify and promote effectiveness of APTC training. They were to do this by showing how the student’s training was being utilised in the workplace, to work out the student’s career path and how the training would improve business productivity or otherwise contribute to the business objectives of their employing organisation. The contractor was asked to follow up with employers/</w:t>
      </w:r>
      <w:r w:rsidR="00C05A04">
        <w:t xml:space="preserve"> </w:t>
      </w:r>
      <w:r w:rsidR="00B776E0" w:rsidRPr="007C76FE">
        <w:t xml:space="preserve">graduates after six months to assess whether the employment/productivity objectives were achieved. </w:t>
      </w:r>
    </w:p>
    <w:p w14:paraId="6242B5AA" w14:textId="77777777" w:rsidR="00B776E0" w:rsidRPr="00467D5D" w:rsidRDefault="00B776E0" w:rsidP="00B776E0">
      <w:pPr>
        <w:rPr>
          <w:rFonts w:cs="Arial"/>
        </w:rPr>
      </w:pPr>
      <w:r>
        <w:rPr>
          <w:rFonts w:cs="Arial"/>
        </w:rPr>
        <w:t>A</w:t>
      </w:r>
      <w:r w:rsidRPr="00467D5D">
        <w:rPr>
          <w:rFonts w:cs="Arial"/>
        </w:rPr>
        <w:t xml:space="preserve"> shortcoming of APTC’s management of the evaluation process is its failure to collect systematic information on the impact of APTC training on the productivity of enterprises. The </w:t>
      </w:r>
      <w:r>
        <w:rPr>
          <w:rFonts w:cs="Arial"/>
        </w:rPr>
        <w:t xml:space="preserve">Employee </w:t>
      </w:r>
      <w:r w:rsidRPr="00467D5D">
        <w:rPr>
          <w:rFonts w:cs="Arial"/>
        </w:rPr>
        <w:t>Reintegration Plans, as specified in the Scope of Services, offered a good opportunity to work with employers to collect this information on how APTC training benefits productivity. However, the plans were not implemented beyond a small trial</w:t>
      </w:r>
      <w:r>
        <w:rPr>
          <w:rFonts w:cs="Arial"/>
        </w:rPr>
        <w:t>.</w:t>
      </w:r>
      <w:r w:rsidRPr="00467D5D">
        <w:rPr>
          <w:rFonts w:cs="Arial"/>
        </w:rPr>
        <w:t xml:space="preserve"> </w:t>
      </w:r>
    </w:p>
    <w:p w14:paraId="34402BAD" w14:textId="77777777" w:rsidR="00B776E0" w:rsidRPr="00467D5D" w:rsidRDefault="00B776E0" w:rsidP="00B776E0">
      <w:pPr>
        <w:rPr>
          <w:rFonts w:cs="Arial"/>
        </w:rPr>
      </w:pPr>
      <w:r w:rsidRPr="00467D5D">
        <w:rPr>
          <w:rFonts w:cs="Arial"/>
        </w:rPr>
        <w:t xml:space="preserve">APTC conducted a trial of Reintegration Plans involving 44 students and their managers/employers and reported on it in 2012. The pilot narrowed considerably the scope of the Reintegration Plans and what information they could produce, as envisaged in the Scope of Services. Students were asked to respond to a limited set of questions. </w:t>
      </w:r>
      <w:r>
        <w:rPr>
          <w:rFonts w:cs="Arial"/>
        </w:rPr>
        <w:t xml:space="preserve">Employers were not involved </w:t>
      </w:r>
      <w:r w:rsidRPr="00467D5D">
        <w:rPr>
          <w:rFonts w:cs="Arial"/>
        </w:rPr>
        <w:t xml:space="preserve">in the design of instruments so that they could see benefit in the exercise. The report on the trial recommended against continuing the exercise because ‘the administration of this small pilot by APTC with students and their employers proved time-consuming and onerous for the APTC staff involved’. </w:t>
      </w:r>
      <w:r>
        <w:rPr>
          <w:rFonts w:cs="Arial"/>
        </w:rPr>
        <w:t xml:space="preserve">The accompanying claim that </w:t>
      </w:r>
      <w:r w:rsidRPr="00467D5D">
        <w:rPr>
          <w:rFonts w:cs="Arial"/>
        </w:rPr>
        <w:t>surveys of APTC graduates and employers would serve the same purpose</w:t>
      </w:r>
      <w:r>
        <w:rPr>
          <w:rFonts w:cs="Arial"/>
        </w:rPr>
        <w:t xml:space="preserve"> is not supported. Detailed analysis of APTC’s impact on productivity in the workplace remains important and should not be abandoned. </w:t>
      </w:r>
    </w:p>
    <w:p w14:paraId="1CD85B6D" w14:textId="3AD1F70E" w:rsidR="003D355F" w:rsidRDefault="00F84643" w:rsidP="00F7315C">
      <w:pPr>
        <w:pStyle w:val="Heading2"/>
        <w:ind w:left="720" w:hanging="720"/>
      </w:pPr>
      <w:bookmarkStart w:id="676" w:name="_Toc274145133"/>
      <w:bookmarkStart w:id="677" w:name="_Toc274900516"/>
      <w:bookmarkStart w:id="678" w:name="_Toc274909897"/>
      <w:bookmarkStart w:id="679" w:name="_Toc278447913"/>
      <w:bookmarkStart w:id="680" w:name="_Toc278453386"/>
      <w:r>
        <w:t>2</w:t>
      </w:r>
      <w:r w:rsidR="00C94DC3">
        <w:t>.5</w:t>
      </w:r>
      <w:r w:rsidR="00C22369">
        <w:tab/>
      </w:r>
      <w:r w:rsidR="00B776E0">
        <w:t xml:space="preserve">To what </w:t>
      </w:r>
      <w:r w:rsidR="00B776E0" w:rsidRPr="00284847">
        <w:t xml:space="preserve">extent </w:t>
      </w:r>
      <w:r w:rsidR="00B776E0">
        <w:t>does</w:t>
      </w:r>
      <w:r w:rsidR="00B776E0" w:rsidRPr="00284847">
        <w:t xml:space="preserve"> APTC provide direct services to industry, </w:t>
      </w:r>
      <w:r w:rsidR="00375EA8">
        <w:br/>
      </w:r>
      <w:r w:rsidR="00B776E0" w:rsidRPr="00284847">
        <w:t>e.g. employee upgrading?</w:t>
      </w:r>
      <w:bookmarkEnd w:id="676"/>
      <w:bookmarkEnd w:id="677"/>
      <w:bookmarkEnd w:id="678"/>
      <w:bookmarkEnd w:id="679"/>
      <w:bookmarkEnd w:id="680"/>
    </w:p>
    <w:p w14:paraId="33381454" w14:textId="77777777" w:rsidR="00B776E0" w:rsidRDefault="00B776E0" w:rsidP="00B776E0">
      <w:pPr>
        <w:rPr>
          <w:rFonts w:cs="Arial"/>
        </w:rPr>
      </w:pPr>
      <w:r w:rsidRPr="00CA63B8">
        <w:rPr>
          <w:rFonts w:cs="Arial"/>
        </w:rPr>
        <w:t>APTC has the capacity to provide direc</w:t>
      </w:r>
      <w:r>
        <w:rPr>
          <w:rFonts w:cs="Arial"/>
        </w:rPr>
        <w:t>t training services to industry as outlined in examples already cited above. However, teaching staff generally have full teaching loads and any new programs would require additional staff or overtime payment. As more tutors convert to trainers, this may be less of a problem. More significantly, many l</w:t>
      </w:r>
      <w:r w:rsidRPr="00CA63B8">
        <w:rPr>
          <w:rFonts w:cs="Arial"/>
        </w:rPr>
        <w:t>ocal enterprises have limited capacity to pay for training of staff</w:t>
      </w:r>
      <w:r>
        <w:rPr>
          <w:rFonts w:cs="Arial"/>
        </w:rPr>
        <w:t xml:space="preserve">. </w:t>
      </w:r>
      <w:r w:rsidRPr="00CA63B8">
        <w:rPr>
          <w:rFonts w:cs="Arial"/>
        </w:rPr>
        <w:t xml:space="preserve">Because of the age cohort of APTC scholarship recipients and the availability of scholarships, training for enterprises tends to happen in this way. </w:t>
      </w:r>
      <w:r>
        <w:rPr>
          <w:rFonts w:cs="Arial"/>
        </w:rPr>
        <w:t>While there</w:t>
      </w:r>
      <w:r w:rsidRPr="00066992">
        <w:rPr>
          <w:rFonts w:cs="Arial"/>
        </w:rPr>
        <w:t xml:space="preserve"> is scope to introduce co-contribution arrangements with industry and this has commenced</w:t>
      </w:r>
      <w:r>
        <w:rPr>
          <w:rFonts w:cs="Arial"/>
        </w:rPr>
        <w:t xml:space="preserve">, expectations about the availability of scholarships are difficult to reverse once they are in place. </w:t>
      </w:r>
    </w:p>
    <w:p w14:paraId="0970A90B" w14:textId="0A852E79" w:rsidR="00B776E0" w:rsidRDefault="00B776E0" w:rsidP="00B776E0">
      <w:pPr>
        <w:rPr>
          <w:rFonts w:cs="Arial"/>
        </w:rPr>
      </w:pPr>
      <w:r>
        <w:rPr>
          <w:rFonts w:cs="Arial"/>
        </w:rPr>
        <w:t>The example of Boroko Motors in PNG illustrates the complexity of this issue.</w:t>
      </w:r>
      <w:r w:rsidR="00AC26C9">
        <w:rPr>
          <w:rFonts w:cs="Arial"/>
        </w:rPr>
        <w:br/>
      </w:r>
    </w:p>
    <w:p w14:paraId="3FD5E1D5" w14:textId="77777777" w:rsidR="00B776E0" w:rsidRPr="0052555C" w:rsidRDefault="00B776E0" w:rsidP="00AC26C9">
      <w:pPr>
        <w:shd w:val="clear" w:color="auto" w:fill="E2EFD9" w:themeFill="accent6" w:themeFillTint="33"/>
        <w:rPr>
          <w:rFonts w:cs="Arial"/>
          <w:b/>
        </w:rPr>
      </w:pPr>
      <w:r w:rsidRPr="0052555C">
        <w:rPr>
          <w:rFonts w:cs="Arial"/>
          <w:b/>
        </w:rPr>
        <w:t xml:space="preserve">Boroko Motors, </w:t>
      </w:r>
      <w:r w:rsidR="00957F24" w:rsidRPr="0052555C">
        <w:rPr>
          <w:rFonts w:cs="Arial"/>
          <w:b/>
        </w:rPr>
        <w:t>P</w:t>
      </w:r>
      <w:r w:rsidR="00957F24">
        <w:rPr>
          <w:rFonts w:cs="Arial"/>
          <w:b/>
        </w:rPr>
        <w:t>apua New Guinea</w:t>
      </w:r>
    </w:p>
    <w:p w14:paraId="0B458AC3" w14:textId="77777777" w:rsidR="00B776E0" w:rsidRPr="00066992" w:rsidRDefault="00B776E0" w:rsidP="00AC26C9">
      <w:pPr>
        <w:shd w:val="clear" w:color="auto" w:fill="E2EFD9" w:themeFill="accent6" w:themeFillTint="33"/>
        <w:rPr>
          <w:rFonts w:cs="Arial"/>
        </w:rPr>
      </w:pPr>
      <w:r w:rsidRPr="00066992">
        <w:rPr>
          <w:rFonts w:cs="Arial"/>
        </w:rPr>
        <w:t>Boroko Motors has a strong commitment to training and advised that it invests approximately five times the amount on training spent by other companies in the industry in PNG.</w:t>
      </w:r>
      <w:r>
        <w:rPr>
          <w:rFonts w:cs="Arial"/>
        </w:rPr>
        <w:t xml:space="preserve"> The company</w:t>
      </w:r>
      <w:r w:rsidRPr="00066992">
        <w:rPr>
          <w:rFonts w:cs="Arial"/>
        </w:rPr>
        <w:t xml:space="preserve"> and APTC enjoyed a very productive relationship in </w:t>
      </w:r>
      <w:r w:rsidR="001F5811">
        <w:rPr>
          <w:rFonts w:cs="Arial"/>
        </w:rPr>
        <w:t>Stage I</w:t>
      </w:r>
      <w:r w:rsidRPr="00066992">
        <w:rPr>
          <w:rFonts w:cs="Arial"/>
        </w:rPr>
        <w:t xml:space="preserve"> and Boroko Motors supported APTC unreservedly. Prior to this, in-house training had been fragmented and unstructured so the APTC option was seen as a welcome development and an important step forward.  </w:t>
      </w:r>
    </w:p>
    <w:p w14:paraId="05E92147" w14:textId="77777777" w:rsidR="00B776E0" w:rsidRPr="00066992" w:rsidRDefault="00B776E0" w:rsidP="00AC26C9">
      <w:pPr>
        <w:shd w:val="clear" w:color="auto" w:fill="E2EFD9" w:themeFill="accent6" w:themeFillTint="33"/>
        <w:rPr>
          <w:rFonts w:cs="Arial"/>
        </w:rPr>
      </w:pPr>
      <w:r w:rsidRPr="00066992">
        <w:rPr>
          <w:rFonts w:cs="Arial"/>
        </w:rPr>
        <w:t xml:space="preserve">At the beginning of APTC </w:t>
      </w:r>
      <w:r w:rsidR="001F5811">
        <w:rPr>
          <w:rFonts w:cs="Arial"/>
        </w:rPr>
        <w:t>Stage II</w:t>
      </w:r>
      <w:r w:rsidRPr="00066992">
        <w:rPr>
          <w:rFonts w:cs="Arial"/>
        </w:rPr>
        <w:t xml:space="preserve">, </w:t>
      </w:r>
      <w:r>
        <w:rPr>
          <w:rFonts w:cs="Arial"/>
        </w:rPr>
        <w:t>there was considerable turnover of APTC trainers causing disruption in the availability of staff to conduct the training.</w:t>
      </w:r>
      <w:r w:rsidRPr="00066992">
        <w:rPr>
          <w:rFonts w:cs="Arial"/>
        </w:rPr>
        <w:t xml:space="preserve"> In addition, in response to fee-for-service targets in the new </w:t>
      </w:r>
      <w:r w:rsidR="001F5811">
        <w:rPr>
          <w:rFonts w:cs="Arial"/>
        </w:rPr>
        <w:t>Stage II</w:t>
      </w:r>
      <w:r w:rsidRPr="00066992">
        <w:rPr>
          <w:rFonts w:cs="Arial"/>
        </w:rPr>
        <w:t xml:space="preserve"> APTC contract, there was a move to a policy of providing enterprise training on a full cost recovery basis. Suddenly the cost to Boroko Motors of using APTC as its training arm escalated to the extent that two dedicated full-time </w:t>
      </w:r>
      <w:r>
        <w:rPr>
          <w:rFonts w:cs="Arial"/>
        </w:rPr>
        <w:t xml:space="preserve">locally-employed </w:t>
      </w:r>
      <w:r w:rsidRPr="00066992">
        <w:rPr>
          <w:rFonts w:cs="Arial"/>
        </w:rPr>
        <w:t xml:space="preserve">expatriate trainers could be hired for the same cost. Filling the positions at APTC also took time causing frustration and interruptions with Boroko Motors’ training program.  </w:t>
      </w:r>
    </w:p>
    <w:p w14:paraId="5BAE4A60" w14:textId="77777777" w:rsidR="00B776E0" w:rsidRDefault="00B776E0" w:rsidP="00AC26C9">
      <w:pPr>
        <w:shd w:val="clear" w:color="auto" w:fill="E2EFD9" w:themeFill="accent6" w:themeFillTint="33"/>
        <w:rPr>
          <w:rFonts w:cs="Arial"/>
        </w:rPr>
      </w:pPr>
      <w:r w:rsidRPr="00066992">
        <w:rPr>
          <w:rFonts w:cs="Arial"/>
        </w:rPr>
        <w:t xml:space="preserve">These factors caused the partnership between APTC and Boroko Motors to come to an end </w:t>
      </w:r>
      <w:r>
        <w:rPr>
          <w:rFonts w:cs="Arial"/>
        </w:rPr>
        <w:t xml:space="preserve">early in </w:t>
      </w:r>
      <w:r w:rsidR="001F5811">
        <w:rPr>
          <w:rFonts w:cs="Arial"/>
        </w:rPr>
        <w:t>Stage II</w:t>
      </w:r>
      <w:r>
        <w:rPr>
          <w:rFonts w:cs="Arial"/>
        </w:rPr>
        <w:t xml:space="preserve"> </w:t>
      </w:r>
      <w:r w:rsidRPr="00066992">
        <w:rPr>
          <w:rFonts w:cs="Arial"/>
        </w:rPr>
        <w:t>with Boroko Motors establishing its own in-house training capability.</w:t>
      </w:r>
      <w:r>
        <w:rPr>
          <w:rFonts w:cs="Arial"/>
        </w:rPr>
        <w:t xml:space="preserve"> I</w:t>
      </w:r>
      <w:r w:rsidRPr="00066992">
        <w:rPr>
          <w:rFonts w:cs="Arial"/>
        </w:rPr>
        <w:t>f the issue of the cost of training could be resolved</w:t>
      </w:r>
      <w:r w:rsidR="001525D5">
        <w:rPr>
          <w:rFonts w:cs="Arial"/>
        </w:rPr>
        <w:t>,</w:t>
      </w:r>
      <w:r w:rsidRPr="00066992">
        <w:rPr>
          <w:rFonts w:cs="Arial"/>
        </w:rPr>
        <w:t xml:space="preserve"> Boroko Motors would resume the partnership immediately</w:t>
      </w:r>
      <w:r>
        <w:rPr>
          <w:rFonts w:cs="Arial"/>
        </w:rPr>
        <w:t xml:space="preserve"> as</w:t>
      </w:r>
      <w:r w:rsidRPr="00066992">
        <w:rPr>
          <w:rFonts w:cs="Arial"/>
        </w:rPr>
        <w:t xml:space="preserve"> </w:t>
      </w:r>
      <w:r>
        <w:rPr>
          <w:rFonts w:cs="Arial"/>
        </w:rPr>
        <w:t>t</w:t>
      </w:r>
      <w:r w:rsidRPr="00066992">
        <w:rPr>
          <w:rFonts w:cs="Arial"/>
        </w:rPr>
        <w:t xml:space="preserve">raining is not </w:t>
      </w:r>
      <w:r>
        <w:rPr>
          <w:rFonts w:cs="Arial"/>
        </w:rPr>
        <w:t>considered to be part of the</w:t>
      </w:r>
      <w:r w:rsidRPr="00066992">
        <w:rPr>
          <w:rFonts w:cs="Arial"/>
        </w:rPr>
        <w:t xml:space="preserve"> core business and the quality and expertise offered by APTC is highly valued.</w:t>
      </w:r>
      <w:r>
        <w:rPr>
          <w:rFonts w:cs="Arial"/>
        </w:rPr>
        <w:t xml:space="preserve"> This would require APTC to re-negotiate the arrangement with Boroko Motors and reach agreement on co-contribution.</w:t>
      </w:r>
    </w:p>
    <w:p w14:paraId="48683DCF" w14:textId="3F309B6B" w:rsidR="00B776E0" w:rsidRPr="0052555C" w:rsidRDefault="00B776E0" w:rsidP="00AC26C9">
      <w:pPr>
        <w:shd w:val="clear" w:color="auto" w:fill="E2EFD9" w:themeFill="accent6" w:themeFillTint="33"/>
        <w:rPr>
          <w:rFonts w:cs="Arial"/>
          <w:sz w:val="18"/>
        </w:rPr>
      </w:pPr>
      <w:r w:rsidRPr="0052555C">
        <w:rPr>
          <w:rFonts w:cs="Arial"/>
          <w:sz w:val="18"/>
        </w:rPr>
        <w:t xml:space="preserve">Source: Evaluation team interview with Boroko Motors </w:t>
      </w:r>
      <w:r w:rsidR="00241316">
        <w:rPr>
          <w:rFonts w:cs="Arial"/>
          <w:sz w:val="18"/>
        </w:rPr>
        <w:t>e</w:t>
      </w:r>
      <w:r w:rsidRPr="0052555C">
        <w:rPr>
          <w:rFonts w:cs="Arial"/>
          <w:sz w:val="18"/>
        </w:rPr>
        <w:t>xecutives</w:t>
      </w:r>
    </w:p>
    <w:p w14:paraId="62180E7B" w14:textId="77777777" w:rsidR="0052555C" w:rsidRDefault="0052555C" w:rsidP="00B776E0">
      <w:pPr>
        <w:rPr>
          <w:rFonts w:cs="Arial"/>
        </w:rPr>
      </w:pPr>
    </w:p>
    <w:p w14:paraId="4FF06E2F" w14:textId="77777777" w:rsidR="00B776E0" w:rsidRPr="00CA63B8" w:rsidRDefault="00B776E0" w:rsidP="00B776E0">
      <w:pPr>
        <w:rPr>
          <w:rFonts w:cs="Arial"/>
        </w:rPr>
      </w:pPr>
      <w:r w:rsidRPr="00CA63B8">
        <w:rPr>
          <w:rFonts w:cs="Arial"/>
        </w:rPr>
        <w:t>APTC has been contracted to provide staff training for employees of government departments but this is usually donor funded.</w:t>
      </w:r>
    </w:p>
    <w:p w14:paraId="3C4DE84E" w14:textId="6E87893D" w:rsidR="00FE6ED3" w:rsidRDefault="00B776E0" w:rsidP="00AC26C9">
      <w:pPr>
        <w:rPr>
          <w:rFonts w:cs="Arial"/>
        </w:rPr>
      </w:pPr>
      <w:r>
        <w:rPr>
          <w:rFonts w:cs="Arial"/>
        </w:rPr>
        <w:t>The evaluation team was advised of several instances where o</w:t>
      </w:r>
      <w:r w:rsidRPr="00CA63B8">
        <w:rPr>
          <w:rFonts w:cs="Arial"/>
        </w:rPr>
        <w:t>lder workers trained by APTC influence</w:t>
      </w:r>
      <w:r>
        <w:rPr>
          <w:rFonts w:cs="Arial"/>
        </w:rPr>
        <w:t>d</w:t>
      </w:r>
      <w:r w:rsidRPr="00CA63B8">
        <w:rPr>
          <w:rFonts w:cs="Arial"/>
        </w:rPr>
        <w:t xml:space="preserve"> younger workers</w:t>
      </w:r>
      <w:r>
        <w:rPr>
          <w:rFonts w:cs="Arial"/>
        </w:rPr>
        <w:t xml:space="preserve"> on their return to the workplace. A documented example of this is the case of an APTC graduate from the Certificate III in Engineering in Fiji who used the skills he learnt in the course to improve the productivity of the 100</w:t>
      </w:r>
      <w:r w:rsidR="001525D5">
        <w:rPr>
          <w:rFonts w:cs="Arial"/>
        </w:rPr>
        <w:t>+</w:t>
      </w:r>
      <w:r>
        <w:rPr>
          <w:rFonts w:cs="Arial"/>
        </w:rPr>
        <w:t xml:space="preserve"> staff he supervises, particularly in relation to time management and accountability. He has also introduced international workplace health and safety standards and improved environmental work practices.</w:t>
      </w:r>
      <w:r>
        <w:rPr>
          <w:rStyle w:val="FootnoteReference"/>
          <w:rFonts w:cs="Arial"/>
        </w:rPr>
        <w:footnoteReference w:id="38"/>
      </w:r>
      <w:r>
        <w:rPr>
          <w:rFonts w:cs="Arial"/>
        </w:rPr>
        <w:t xml:space="preserve"> These benefits are indirect but if replicated by multiple graduates represent an important contribution by APTC to workplace productivity. </w:t>
      </w:r>
    </w:p>
    <w:p w14:paraId="0D5CF4FB" w14:textId="77777777" w:rsidR="00FE6ED3" w:rsidRPr="008E7579" w:rsidRDefault="00FE6ED3" w:rsidP="00B776E0">
      <w:pPr>
        <w:rPr>
          <w:rFonts w:cs="Arial"/>
          <w:sz w:val="2"/>
        </w:rPr>
      </w:pPr>
    </w:p>
    <w:p w14:paraId="3ACE253C" w14:textId="23FFB439" w:rsidR="003D355F" w:rsidRDefault="00F84643" w:rsidP="002028A6">
      <w:pPr>
        <w:pStyle w:val="Heading1"/>
      </w:pPr>
      <w:bookmarkStart w:id="681" w:name="_Toc278447914"/>
      <w:bookmarkStart w:id="682" w:name="_Toc278453387"/>
      <w:r>
        <w:t>3</w:t>
      </w:r>
      <w:r w:rsidR="006C1230">
        <w:tab/>
      </w:r>
      <w:r w:rsidR="00B776E0" w:rsidRPr="00284847">
        <w:t xml:space="preserve">How equitable is the provision of APTC </w:t>
      </w:r>
      <w:r w:rsidR="0052555C">
        <w:t>s</w:t>
      </w:r>
      <w:r w:rsidR="00B776E0" w:rsidRPr="00284847">
        <w:t>ervices?</w:t>
      </w:r>
      <w:bookmarkEnd w:id="681"/>
      <w:bookmarkEnd w:id="682"/>
    </w:p>
    <w:p w14:paraId="11773E99" w14:textId="686A15CF" w:rsidR="00B776E0" w:rsidRPr="008E7579" w:rsidRDefault="00B776E0" w:rsidP="000668BA">
      <w:pPr>
        <w:pStyle w:val="ListParagraph"/>
        <w:numPr>
          <w:ilvl w:val="0"/>
          <w:numId w:val="70"/>
        </w:numPr>
        <w:rPr>
          <w:b/>
          <w:color w:val="76923C"/>
        </w:rPr>
      </w:pPr>
      <w:r w:rsidRPr="008E7579">
        <w:rPr>
          <w:b/>
          <w:color w:val="76923C"/>
        </w:rPr>
        <w:t xml:space="preserve">geographically (especially non-campus, small island states), </w:t>
      </w:r>
      <w:r w:rsidR="008335AD">
        <w:rPr>
          <w:b/>
          <w:color w:val="76923C"/>
        </w:rPr>
        <w:br/>
      </w:r>
      <w:r w:rsidRPr="008E7579">
        <w:rPr>
          <w:b/>
          <w:color w:val="76923C"/>
        </w:rPr>
        <w:t>by gender, by urban/rural location, family income and by disability</w:t>
      </w:r>
    </w:p>
    <w:p w14:paraId="26A93838" w14:textId="6347B3A3" w:rsidR="00B776E0" w:rsidRPr="008E7579" w:rsidRDefault="00B776E0" w:rsidP="000668BA">
      <w:pPr>
        <w:pStyle w:val="ListParagraph"/>
        <w:numPr>
          <w:ilvl w:val="0"/>
          <w:numId w:val="70"/>
        </w:numPr>
        <w:rPr>
          <w:b/>
          <w:color w:val="76923C"/>
        </w:rPr>
      </w:pPr>
      <w:r w:rsidRPr="008E7579">
        <w:rPr>
          <w:b/>
          <w:color w:val="76923C"/>
        </w:rPr>
        <w:t xml:space="preserve">minimising barriers to learning (for all students, but in particular </w:t>
      </w:r>
      <w:r w:rsidR="00FE6ED3">
        <w:rPr>
          <w:b/>
          <w:color w:val="76923C"/>
        </w:rPr>
        <w:br/>
      </w:r>
      <w:r w:rsidRPr="008E7579">
        <w:rPr>
          <w:b/>
          <w:color w:val="76923C"/>
        </w:rPr>
        <w:t>for women studying in non-traditional areas and for people with a disability)</w:t>
      </w:r>
    </w:p>
    <w:p w14:paraId="44DE7E81" w14:textId="50C3685A" w:rsidR="00B776E0" w:rsidRPr="008E7579" w:rsidRDefault="00B776E0" w:rsidP="000668BA">
      <w:pPr>
        <w:pStyle w:val="ListParagraph"/>
        <w:numPr>
          <w:ilvl w:val="0"/>
          <w:numId w:val="70"/>
        </w:numPr>
        <w:rPr>
          <w:b/>
          <w:color w:val="76923C"/>
        </w:rPr>
      </w:pPr>
      <w:r w:rsidRPr="008E7579">
        <w:rPr>
          <w:b/>
          <w:color w:val="76923C"/>
        </w:rPr>
        <w:t xml:space="preserve">effectiveness of bridging programs and ELLN in promoting </w:t>
      </w:r>
      <w:r w:rsidR="00FE6ED3">
        <w:rPr>
          <w:b/>
          <w:color w:val="76923C"/>
        </w:rPr>
        <w:br/>
      </w:r>
      <w:r w:rsidRPr="008E7579">
        <w:rPr>
          <w:b/>
          <w:color w:val="76923C"/>
        </w:rPr>
        <w:t>greater equity</w:t>
      </w:r>
    </w:p>
    <w:p w14:paraId="169F7554" w14:textId="77777777" w:rsidR="00B776E0" w:rsidRDefault="00546F37" w:rsidP="00B776E0">
      <w:pPr>
        <w:rPr>
          <w:rFonts w:cs="Arial"/>
        </w:rPr>
      </w:pPr>
      <w:r w:rsidRPr="00546F37">
        <w:rPr>
          <w:rFonts w:cs="Arial"/>
          <w:b/>
          <w:i/>
        </w:rPr>
        <w:t>Overview.</w:t>
      </w:r>
      <w:r w:rsidR="00B776E0">
        <w:rPr>
          <w:rFonts w:cs="Arial"/>
          <w:i/>
        </w:rPr>
        <w:t xml:space="preserve"> </w:t>
      </w:r>
      <w:r w:rsidR="00B776E0" w:rsidRPr="00467D5D">
        <w:rPr>
          <w:rFonts w:cs="Arial"/>
        </w:rPr>
        <w:t xml:space="preserve">APTC appears to have been largely successful in satisfying equity goals, with some exceptions. It uniquely provides second chance opportunities for workers to upgrade skills.  </w:t>
      </w:r>
    </w:p>
    <w:p w14:paraId="7E64E271" w14:textId="3B767D0D" w:rsidR="00B776E0" w:rsidRPr="00467D5D" w:rsidRDefault="00B776E0" w:rsidP="00B776E0">
      <w:pPr>
        <w:rPr>
          <w:rFonts w:cs="Arial"/>
        </w:rPr>
      </w:pPr>
      <w:r w:rsidRPr="00467D5D">
        <w:rPr>
          <w:rFonts w:cs="Arial"/>
        </w:rPr>
        <w:t>No data are collected on income level of those admitted, but location can be used as a proxy. Two campus countries – PNG and Samoa</w:t>
      </w:r>
      <w:r w:rsidR="00F352D6">
        <w:rPr>
          <w:rFonts w:cs="Arial"/>
        </w:rPr>
        <w:t xml:space="preserve"> –</w:t>
      </w:r>
      <w:r w:rsidRPr="00467D5D">
        <w:rPr>
          <w:rFonts w:cs="Arial"/>
        </w:rPr>
        <w:t xml:space="preserve"> do particularly well in enrolling students from remote and rural areas. Applicants from small island states tend to be well covered in proportion to their populations. However, PNG is well below the norm for enrolment in relation to population, and Solomon Islands scores low on the same index. This points to the importance of expansion of service delivery for nationals of those two countries. Females make up over 40</w:t>
      </w:r>
      <w:r w:rsidR="009F15F8">
        <w:rPr>
          <w:rFonts w:cs="Arial"/>
        </w:rPr>
        <w:t xml:space="preserve"> per cent</w:t>
      </w:r>
      <w:r w:rsidR="009F15F8" w:rsidRPr="00467D5D">
        <w:rPr>
          <w:rFonts w:cs="Arial"/>
        </w:rPr>
        <w:t xml:space="preserve"> </w:t>
      </w:r>
      <w:r w:rsidRPr="00467D5D">
        <w:rPr>
          <w:rFonts w:cs="Arial"/>
        </w:rPr>
        <w:t>of enrolments</w:t>
      </w:r>
      <w:r w:rsidR="0029400E">
        <w:rPr>
          <w:rFonts w:cs="Arial"/>
        </w:rPr>
        <w:t xml:space="preserve">. They </w:t>
      </w:r>
      <w:r w:rsidRPr="00467D5D">
        <w:rPr>
          <w:rFonts w:cs="Arial"/>
        </w:rPr>
        <w:t>tend to be concentrated in non-trade areas</w:t>
      </w:r>
      <w:r w:rsidR="0029400E">
        <w:rPr>
          <w:rFonts w:cs="Arial"/>
        </w:rPr>
        <w:t xml:space="preserve">, but APTC has achieved significant female enrolment in three </w:t>
      </w:r>
      <w:r w:rsidR="00D7200F">
        <w:rPr>
          <w:rFonts w:cs="Arial"/>
        </w:rPr>
        <w:t xml:space="preserve">non-traditional </w:t>
      </w:r>
      <w:r w:rsidR="0029400E">
        <w:rPr>
          <w:rFonts w:cs="Arial"/>
        </w:rPr>
        <w:t>trades: commercial cookery,</w:t>
      </w:r>
      <w:r w:rsidR="00D7200F" w:rsidRPr="00D7200F">
        <w:rPr>
          <w:rFonts w:cs="Arial"/>
          <w:szCs w:val="22"/>
        </w:rPr>
        <w:t xml:space="preserve"> </w:t>
      </w:r>
      <w:r w:rsidR="00D7200F" w:rsidRPr="00D7200F">
        <w:rPr>
          <w:rFonts w:cs="Arial"/>
        </w:rPr>
        <w:t>painting and decoration, and wall and floor tiling</w:t>
      </w:r>
      <w:r w:rsidRPr="00467D5D">
        <w:rPr>
          <w:rFonts w:cs="Arial"/>
        </w:rPr>
        <w:t>. Two qualifications in disability have enrolled more than 150 students</w:t>
      </w:r>
      <w:r w:rsidR="0029400E">
        <w:rPr>
          <w:rFonts w:cs="Arial"/>
        </w:rPr>
        <w:t>. O</w:t>
      </w:r>
      <w:r w:rsidRPr="00467D5D">
        <w:rPr>
          <w:rFonts w:cs="Arial"/>
        </w:rPr>
        <w:t>nly 0.6</w:t>
      </w:r>
      <w:r w:rsidR="009F15F8">
        <w:rPr>
          <w:rFonts w:cs="Arial"/>
        </w:rPr>
        <w:t xml:space="preserve"> per cent</w:t>
      </w:r>
      <w:r w:rsidR="009F15F8" w:rsidRPr="00467D5D">
        <w:rPr>
          <w:rFonts w:cs="Arial"/>
        </w:rPr>
        <w:t xml:space="preserve"> </w:t>
      </w:r>
      <w:r w:rsidRPr="00467D5D">
        <w:rPr>
          <w:rFonts w:cs="Arial"/>
        </w:rPr>
        <w:t>of APTC students are disabled</w:t>
      </w:r>
      <w:r w:rsidR="0029400E">
        <w:rPr>
          <w:rFonts w:cs="Arial"/>
        </w:rPr>
        <w:t xml:space="preserve">, but it is difficult to assess this level </w:t>
      </w:r>
      <w:r w:rsidR="00FF6970">
        <w:rPr>
          <w:rFonts w:cs="Arial"/>
        </w:rPr>
        <w:t xml:space="preserve">of performance </w:t>
      </w:r>
      <w:r w:rsidR="0029400E">
        <w:rPr>
          <w:rFonts w:cs="Arial"/>
        </w:rPr>
        <w:t>in the absence of norms and comparators</w:t>
      </w:r>
      <w:r w:rsidRPr="00467D5D">
        <w:rPr>
          <w:rFonts w:cs="Arial"/>
        </w:rPr>
        <w:t xml:space="preserve">. </w:t>
      </w:r>
    </w:p>
    <w:p w14:paraId="7F4FFB76" w14:textId="77777777" w:rsidR="00B776E0" w:rsidRPr="00467D5D" w:rsidRDefault="00B776E0" w:rsidP="00B776E0">
      <w:pPr>
        <w:rPr>
          <w:rFonts w:cs="Arial"/>
        </w:rPr>
      </w:pPr>
      <w:r w:rsidRPr="00467D5D">
        <w:rPr>
          <w:rFonts w:cs="Arial"/>
        </w:rPr>
        <w:t xml:space="preserve">APTC reports that: </w:t>
      </w:r>
      <w:r w:rsidR="00E267A2">
        <w:rPr>
          <w:rFonts w:cs="Arial"/>
        </w:rPr>
        <w:t>‘</w:t>
      </w:r>
      <w:r w:rsidRPr="00467D5D">
        <w:rPr>
          <w:rFonts w:cs="Arial"/>
        </w:rPr>
        <w:t>The course profile sets enrolment targets for gender, especially in non-traditional disciplines, and under-represented locations. In particular, the allocation of scholarship places to target populations is an effective tool for ensuring equity of access to programs</w:t>
      </w:r>
      <w:r w:rsidR="00E267A2">
        <w:rPr>
          <w:rFonts w:cs="Arial"/>
        </w:rPr>
        <w:t>’</w:t>
      </w:r>
      <w:r w:rsidRPr="00467D5D">
        <w:rPr>
          <w:rFonts w:cs="Arial"/>
        </w:rPr>
        <w:t>.</w:t>
      </w:r>
      <w:r w:rsidRPr="00467D5D">
        <w:rPr>
          <w:rStyle w:val="FootnoteReference"/>
          <w:rFonts w:cs="Arial"/>
        </w:rPr>
        <w:footnoteReference w:id="39"/>
      </w:r>
      <w:r w:rsidRPr="00467D5D">
        <w:rPr>
          <w:rFonts w:cs="Arial"/>
        </w:rPr>
        <w:t xml:space="preserve"> </w:t>
      </w:r>
    </w:p>
    <w:p w14:paraId="3A6EEC28" w14:textId="77777777" w:rsidR="00B776E0" w:rsidRPr="00467D5D" w:rsidRDefault="00546F37" w:rsidP="00B776E0">
      <w:pPr>
        <w:rPr>
          <w:rFonts w:cs="Arial"/>
        </w:rPr>
      </w:pPr>
      <w:r w:rsidRPr="00546F37">
        <w:rPr>
          <w:rFonts w:cs="Arial"/>
          <w:b/>
          <w:i/>
        </w:rPr>
        <w:t>Opportunity.</w:t>
      </w:r>
      <w:r w:rsidR="00B776E0" w:rsidRPr="00467D5D">
        <w:rPr>
          <w:rFonts w:cs="Arial"/>
        </w:rPr>
        <w:t xml:space="preserve"> </w:t>
      </w:r>
      <w:r w:rsidR="00B776E0">
        <w:rPr>
          <w:rFonts w:cs="Arial"/>
        </w:rPr>
        <w:t>A distinguishing feature of</w:t>
      </w:r>
      <w:r w:rsidR="00B776E0" w:rsidRPr="00467D5D">
        <w:rPr>
          <w:rFonts w:cs="Arial"/>
        </w:rPr>
        <w:t xml:space="preserve"> APTC from other organisations is that it provides a second chance for adults who have finished or dropped out of education. </w:t>
      </w:r>
      <w:r w:rsidR="00D97505">
        <w:rPr>
          <w:rFonts w:cs="Arial"/>
        </w:rPr>
        <w:t>Recognition of Prior Learning (</w:t>
      </w:r>
      <w:r w:rsidR="00B776E0" w:rsidRPr="00467D5D">
        <w:rPr>
          <w:rFonts w:cs="Arial"/>
        </w:rPr>
        <w:t>RPL</w:t>
      </w:r>
      <w:r w:rsidR="00D97505">
        <w:rPr>
          <w:rFonts w:cs="Arial"/>
        </w:rPr>
        <w:t>)</w:t>
      </w:r>
      <w:r w:rsidR="00B776E0" w:rsidRPr="00467D5D">
        <w:rPr>
          <w:rFonts w:cs="Arial"/>
        </w:rPr>
        <w:t xml:space="preserve"> is an essential avenue for working people to gain access to APTC qualifications. Applicants must pass basic literacy and numeracy tests, but prior educational qualifications do not factor into admissions.  </w:t>
      </w:r>
    </w:p>
    <w:p w14:paraId="4C6691F9" w14:textId="77777777" w:rsidR="00B776E0" w:rsidRPr="00467D5D" w:rsidRDefault="00546F37" w:rsidP="00B776E0">
      <w:pPr>
        <w:rPr>
          <w:rFonts w:cs="Arial"/>
        </w:rPr>
      </w:pPr>
      <w:r w:rsidRPr="00546F37">
        <w:rPr>
          <w:rFonts w:cs="Arial"/>
          <w:b/>
          <w:i/>
        </w:rPr>
        <w:t>Income and location.</w:t>
      </w:r>
      <w:r w:rsidR="00B776E0" w:rsidRPr="00467D5D">
        <w:rPr>
          <w:rFonts w:cs="Arial"/>
        </w:rPr>
        <w:t xml:space="preserve"> APTC determined it was not feasible to collect information on family income on entrants. A proxy for income </w:t>
      </w:r>
      <w:r w:rsidR="00B776E0">
        <w:rPr>
          <w:rFonts w:cs="Arial"/>
        </w:rPr>
        <w:t>could be</w:t>
      </w:r>
      <w:r w:rsidR="00B776E0" w:rsidRPr="00467D5D">
        <w:rPr>
          <w:rFonts w:cs="Arial"/>
        </w:rPr>
        <w:t xml:space="preserve"> urban-rural location. Students from remote and rural areas are likely to be from lower income families. A majority of students in PNG and Samoa come from remote and rural locations. In contrast, about </w:t>
      </w:r>
      <w:r w:rsidR="00301C7B" w:rsidRPr="00467D5D">
        <w:rPr>
          <w:rFonts w:cs="Arial"/>
        </w:rPr>
        <w:t>three</w:t>
      </w:r>
      <w:r w:rsidR="00301C7B">
        <w:rPr>
          <w:rFonts w:cs="Arial"/>
        </w:rPr>
        <w:t>-</w:t>
      </w:r>
      <w:r w:rsidR="00B776E0" w:rsidRPr="00467D5D">
        <w:rPr>
          <w:rFonts w:cs="Arial"/>
        </w:rPr>
        <w:t>fourths of students in Fiji and Vanuatu are local, i.e. from urban areas.</w:t>
      </w:r>
      <w:r w:rsidR="00B776E0" w:rsidRPr="00467D5D">
        <w:rPr>
          <w:rStyle w:val="FootnoteReference"/>
          <w:rFonts w:cs="Arial"/>
        </w:rPr>
        <w:footnoteReference w:id="40"/>
      </w:r>
    </w:p>
    <w:p w14:paraId="47F9C9F8" w14:textId="77777777" w:rsidR="00AC26C9" w:rsidRDefault="00AC26C9">
      <w:pPr>
        <w:spacing w:after="0"/>
        <w:rPr>
          <w:rFonts w:cs="Arial"/>
          <w:b/>
          <w:color w:val="76923C"/>
          <w:szCs w:val="22"/>
        </w:rPr>
      </w:pPr>
      <w:bookmarkStart w:id="683" w:name="_Toc274146482"/>
      <w:bookmarkStart w:id="684" w:name="_Toc274915941"/>
      <w:bookmarkStart w:id="685" w:name="_Toc278446921"/>
      <w:r>
        <w:br w:type="page"/>
      </w:r>
    </w:p>
    <w:p w14:paraId="15FAD653" w14:textId="60A8D4D5" w:rsidR="00B776E0" w:rsidRPr="00DD2B16" w:rsidRDefault="00B776E0" w:rsidP="0052555C">
      <w:pPr>
        <w:pStyle w:val="Tableheading"/>
      </w:pPr>
      <w:r w:rsidRPr="00DD2B16">
        <w:t xml:space="preserve">Table </w:t>
      </w:r>
      <w:r w:rsidR="00E0666B">
        <w:t>6.</w:t>
      </w:r>
      <w:r w:rsidRPr="00DD2B16">
        <w:t xml:space="preserve">5: Cumulative </w:t>
      </w:r>
      <w:r w:rsidR="0052555C">
        <w:t>e</w:t>
      </w:r>
      <w:r w:rsidRPr="00DD2B16">
        <w:t xml:space="preserve">ntrants by </w:t>
      </w:r>
      <w:r w:rsidR="0052555C">
        <w:t>c</w:t>
      </w:r>
      <w:r w:rsidRPr="00DD2B16">
        <w:t xml:space="preserve">itizenship and </w:t>
      </w:r>
      <w:r w:rsidR="0052555C">
        <w:t>l</w:t>
      </w:r>
      <w:r w:rsidRPr="00DD2B16">
        <w:t>ocation</w:t>
      </w:r>
      <w:bookmarkEnd w:id="683"/>
      <w:bookmarkEnd w:id="684"/>
      <w:bookmarkEnd w:id="68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8"/>
        <w:gridCol w:w="1155"/>
        <w:gridCol w:w="1156"/>
        <w:gridCol w:w="1156"/>
      </w:tblGrid>
      <w:tr w:rsidR="00B776E0" w:rsidRPr="0052555C" w14:paraId="6127B094" w14:textId="77777777" w:rsidTr="0064287F">
        <w:trPr>
          <w:trHeight w:val="297"/>
        </w:trPr>
        <w:tc>
          <w:tcPr>
            <w:tcW w:w="1778" w:type="dxa"/>
            <w:shd w:val="clear" w:color="auto" w:fill="C2D69B"/>
            <w:noWrap/>
          </w:tcPr>
          <w:p w14:paraId="52FCF1F6" w14:textId="77777777" w:rsidR="00B776E0" w:rsidRPr="0052555C" w:rsidRDefault="00B776E0" w:rsidP="0052555C">
            <w:pPr>
              <w:spacing w:before="40" w:after="40"/>
              <w:rPr>
                <w:rFonts w:cs="Arial"/>
                <w:b/>
                <w:sz w:val="18"/>
              </w:rPr>
            </w:pPr>
            <w:r w:rsidRPr="0052555C">
              <w:rPr>
                <w:rFonts w:cs="Arial"/>
                <w:b/>
                <w:sz w:val="18"/>
              </w:rPr>
              <w:t>Citizenship</w:t>
            </w:r>
          </w:p>
        </w:tc>
        <w:tc>
          <w:tcPr>
            <w:tcW w:w="1155" w:type="dxa"/>
            <w:shd w:val="clear" w:color="auto" w:fill="C2D69B"/>
            <w:noWrap/>
          </w:tcPr>
          <w:p w14:paraId="4CDB52F7" w14:textId="172DA925" w:rsidR="00B776E0" w:rsidRPr="0052555C" w:rsidRDefault="00B776E0" w:rsidP="0064287F">
            <w:pPr>
              <w:spacing w:before="40" w:after="40"/>
              <w:jc w:val="right"/>
              <w:rPr>
                <w:rFonts w:cs="Arial"/>
                <w:b/>
                <w:sz w:val="18"/>
              </w:rPr>
            </w:pPr>
            <w:r w:rsidRPr="0052555C">
              <w:rPr>
                <w:rFonts w:cs="Arial"/>
                <w:b/>
                <w:sz w:val="18"/>
              </w:rPr>
              <w:t>Local</w:t>
            </w:r>
            <w:r w:rsidR="0064287F">
              <w:rPr>
                <w:rFonts w:cs="Arial"/>
                <w:b/>
                <w:sz w:val="18"/>
              </w:rPr>
              <w:t xml:space="preserve"> %</w:t>
            </w:r>
          </w:p>
        </w:tc>
        <w:tc>
          <w:tcPr>
            <w:tcW w:w="1156" w:type="dxa"/>
            <w:shd w:val="clear" w:color="auto" w:fill="C2D69B"/>
            <w:noWrap/>
          </w:tcPr>
          <w:p w14:paraId="150ABD74" w14:textId="29C05C6A" w:rsidR="00B776E0" w:rsidRPr="0052555C" w:rsidRDefault="00B776E0" w:rsidP="0064287F">
            <w:pPr>
              <w:spacing w:before="40" w:after="40"/>
              <w:jc w:val="right"/>
              <w:rPr>
                <w:rFonts w:cs="Arial"/>
                <w:b/>
                <w:sz w:val="18"/>
              </w:rPr>
            </w:pPr>
            <w:r w:rsidRPr="0052555C">
              <w:rPr>
                <w:rFonts w:cs="Arial"/>
                <w:b/>
                <w:sz w:val="18"/>
              </w:rPr>
              <w:t>Remote</w:t>
            </w:r>
            <w:r w:rsidR="0064287F">
              <w:rPr>
                <w:rFonts w:cs="Arial"/>
                <w:b/>
                <w:sz w:val="18"/>
              </w:rPr>
              <w:t xml:space="preserve"> %</w:t>
            </w:r>
          </w:p>
        </w:tc>
        <w:tc>
          <w:tcPr>
            <w:tcW w:w="1156" w:type="dxa"/>
            <w:shd w:val="clear" w:color="auto" w:fill="C2D69B"/>
            <w:noWrap/>
          </w:tcPr>
          <w:p w14:paraId="5812B7F2" w14:textId="53A60CEC" w:rsidR="00B776E0" w:rsidRPr="0052555C" w:rsidRDefault="00B776E0" w:rsidP="0064287F">
            <w:pPr>
              <w:spacing w:before="40" w:after="40"/>
              <w:jc w:val="right"/>
              <w:rPr>
                <w:rFonts w:cs="Arial"/>
                <w:b/>
                <w:sz w:val="18"/>
              </w:rPr>
            </w:pPr>
            <w:r w:rsidRPr="0052555C">
              <w:rPr>
                <w:rFonts w:cs="Arial"/>
                <w:b/>
                <w:sz w:val="18"/>
              </w:rPr>
              <w:t>Rural</w:t>
            </w:r>
            <w:r w:rsidR="0064287F">
              <w:rPr>
                <w:rFonts w:cs="Arial"/>
                <w:b/>
                <w:sz w:val="18"/>
              </w:rPr>
              <w:t xml:space="preserve"> %</w:t>
            </w:r>
          </w:p>
        </w:tc>
      </w:tr>
      <w:tr w:rsidR="00B776E0" w:rsidRPr="0052555C" w14:paraId="266737EE" w14:textId="77777777" w:rsidTr="0064287F">
        <w:trPr>
          <w:trHeight w:val="297"/>
        </w:trPr>
        <w:tc>
          <w:tcPr>
            <w:tcW w:w="1778" w:type="dxa"/>
            <w:noWrap/>
          </w:tcPr>
          <w:p w14:paraId="4AAE0CA9" w14:textId="77777777" w:rsidR="00B776E0" w:rsidRPr="0052555C" w:rsidRDefault="00B776E0" w:rsidP="0052555C">
            <w:pPr>
              <w:spacing w:before="40" w:after="40"/>
              <w:rPr>
                <w:rFonts w:cs="Arial"/>
                <w:sz w:val="18"/>
              </w:rPr>
            </w:pPr>
            <w:r w:rsidRPr="0052555C">
              <w:rPr>
                <w:rFonts w:cs="Arial"/>
                <w:sz w:val="18"/>
              </w:rPr>
              <w:t>Fiji</w:t>
            </w:r>
          </w:p>
        </w:tc>
        <w:tc>
          <w:tcPr>
            <w:tcW w:w="1155" w:type="dxa"/>
            <w:noWrap/>
          </w:tcPr>
          <w:p w14:paraId="122882A5" w14:textId="5DCF8BC5" w:rsidR="00B776E0" w:rsidRPr="0052555C" w:rsidRDefault="0064287F" w:rsidP="0064287F">
            <w:pPr>
              <w:spacing w:before="40" w:after="40"/>
              <w:jc w:val="right"/>
              <w:rPr>
                <w:rFonts w:cs="Arial"/>
                <w:sz w:val="18"/>
              </w:rPr>
            </w:pPr>
            <w:r>
              <w:rPr>
                <w:rFonts w:cs="Arial"/>
                <w:sz w:val="18"/>
              </w:rPr>
              <w:t>75</w:t>
            </w:r>
          </w:p>
        </w:tc>
        <w:tc>
          <w:tcPr>
            <w:tcW w:w="1156" w:type="dxa"/>
            <w:noWrap/>
          </w:tcPr>
          <w:p w14:paraId="37289FDA" w14:textId="34EB5500" w:rsidR="00B776E0" w:rsidRPr="0052555C" w:rsidRDefault="0064287F" w:rsidP="0064287F">
            <w:pPr>
              <w:spacing w:before="40" w:after="40"/>
              <w:jc w:val="right"/>
              <w:rPr>
                <w:rFonts w:cs="Arial"/>
                <w:sz w:val="18"/>
              </w:rPr>
            </w:pPr>
            <w:r>
              <w:rPr>
                <w:rFonts w:cs="Arial"/>
                <w:sz w:val="18"/>
              </w:rPr>
              <w:t>10</w:t>
            </w:r>
          </w:p>
        </w:tc>
        <w:tc>
          <w:tcPr>
            <w:tcW w:w="1156" w:type="dxa"/>
            <w:noWrap/>
          </w:tcPr>
          <w:p w14:paraId="2C89329B" w14:textId="409F23A1" w:rsidR="00B776E0" w:rsidRPr="0052555C" w:rsidRDefault="0064287F" w:rsidP="0064287F">
            <w:pPr>
              <w:spacing w:before="40" w:after="40"/>
              <w:jc w:val="right"/>
              <w:rPr>
                <w:rFonts w:cs="Arial"/>
                <w:sz w:val="18"/>
              </w:rPr>
            </w:pPr>
            <w:r>
              <w:rPr>
                <w:rFonts w:cs="Arial"/>
                <w:sz w:val="18"/>
              </w:rPr>
              <w:t>15</w:t>
            </w:r>
          </w:p>
        </w:tc>
      </w:tr>
      <w:tr w:rsidR="00B776E0" w:rsidRPr="0052555C" w14:paraId="2740B4F4" w14:textId="77777777" w:rsidTr="0064287F">
        <w:trPr>
          <w:trHeight w:val="297"/>
        </w:trPr>
        <w:tc>
          <w:tcPr>
            <w:tcW w:w="1778" w:type="dxa"/>
            <w:noWrap/>
          </w:tcPr>
          <w:p w14:paraId="60D97435" w14:textId="77777777" w:rsidR="00B776E0" w:rsidRPr="0052555C" w:rsidRDefault="00B776E0" w:rsidP="0052555C">
            <w:pPr>
              <w:spacing w:before="40" w:after="40"/>
              <w:rPr>
                <w:rFonts w:cs="Arial"/>
                <w:sz w:val="18"/>
              </w:rPr>
            </w:pPr>
            <w:r w:rsidRPr="0052555C">
              <w:rPr>
                <w:rFonts w:cs="Arial"/>
                <w:sz w:val="18"/>
              </w:rPr>
              <w:t>Papua New Guinea</w:t>
            </w:r>
          </w:p>
        </w:tc>
        <w:tc>
          <w:tcPr>
            <w:tcW w:w="1155" w:type="dxa"/>
            <w:noWrap/>
          </w:tcPr>
          <w:p w14:paraId="114C11CA" w14:textId="5AE3254E" w:rsidR="00B776E0" w:rsidRPr="0052555C" w:rsidRDefault="0064287F" w:rsidP="0064287F">
            <w:pPr>
              <w:spacing w:before="40" w:after="40"/>
              <w:jc w:val="right"/>
              <w:rPr>
                <w:rFonts w:cs="Arial"/>
                <w:sz w:val="18"/>
              </w:rPr>
            </w:pPr>
            <w:r>
              <w:rPr>
                <w:rFonts w:cs="Arial"/>
                <w:sz w:val="18"/>
              </w:rPr>
              <w:t>47</w:t>
            </w:r>
          </w:p>
        </w:tc>
        <w:tc>
          <w:tcPr>
            <w:tcW w:w="1156" w:type="dxa"/>
            <w:noWrap/>
          </w:tcPr>
          <w:p w14:paraId="2E532184" w14:textId="0B24AC56" w:rsidR="00B776E0" w:rsidRPr="0052555C" w:rsidRDefault="0064287F" w:rsidP="0064287F">
            <w:pPr>
              <w:spacing w:before="40" w:after="40"/>
              <w:jc w:val="right"/>
              <w:rPr>
                <w:rFonts w:cs="Arial"/>
                <w:sz w:val="18"/>
              </w:rPr>
            </w:pPr>
            <w:r>
              <w:rPr>
                <w:rFonts w:cs="Arial"/>
                <w:sz w:val="18"/>
              </w:rPr>
              <w:t>19</w:t>
            </w:r>
          </w:p>
        </w:tc>
        <w:tc>
          <w:tcPr>
            <w:tcW w:w="1156" w:type="dxa"/>
            <w:noWrap/>
          </w:tcPr>
          <w:p w14:paraId="46398218" w14:textId="48209B36" w:rsidR="00B776E0" w:rsidRPr="0052555C" w:rsidRDefault="0064287F" w:rsidP="0064287F">
            <w:pPr>
              <w:spacing w:before="40" w:after="40"/>
              <w:jc w:val="right"/>
              <w:rPr>
                <w:rFonts w:cs="Arial"/>
                <w:sz w:val="18"/>
              </w:rPr>
            </w:pPr>
            <w:r>
              <w:rPr>
                <w:rFonts w:cs="Arial"/>
                <w:sz w:val="18"/>
              </w:rPr>
              <w:t>34</w:t>
            </w:r>
          </w:p>
        </w:tc>
      </w:tr>
      <w:tr w:rsidR="00B776E0" w:rsidRPr="0052555C" w14:paraId="662A68CD" w14:textId="77777777" w:rsidTr="0064287F">
        <w:trPr>
          <w:trHeight w:val="297"/>
        </w:trPr>
        <w:tc>
          <w:tcPr>
            <w:tcW w:w="1778" w:type="dxa"/>
            <w:noWrap/>
          </w:tcPr>
          <w:p w14:paraId="786AAD22" w14:textId="77777777" w:rsidR="00B776E0" w:rsidRPr="0052555C" w:rsidRDefault="00B776E0" w:rsidP="0052555C">
            <w:pPr>
              <w:spacing w:before="40" w:after="40"/>
              <w:rPr>
                <w:rFonts w:cs="Arial"/>
                <w:sz w:val="18"/>
              </w:rPr>
            </w:pPr>
            <w:r w:rsidRPr="0052555C">
              <w:rPr>
                <w:rFonts w:cs="Arial"/>
                <w:sz w:val="18"/>
              </w:rPr>
              <w:t>Samoa</w:t>
            </w:r>
          </w:p>
        </w:tc>
        <w:tc>
          <w:tcPr>
            <w:tcW w:w="1155" w:type="dxa"/>
            <w:noWrap/>
          </w:tcPr>
          <w:p w14:paraId="2F80EFE8" w14:textId="426A7047" w:rsidR="00B776E0" w:rsidRPr="0052555C" w:rsidRDefault="0064287F" w:rsidP="0064287F">
            <w:pPr>
              <w:spacing w:before="40" w:after="40"/>
              <w:jc w:val="right"/>
              <w:rPr>
                <w:rFonts w:cs="Arial"/>
                <w:sz w:val="18"/>
              </w:rPr>
            </w:pPr>
            <w:r>
              <w:rPr>
                <w:rFonts w:cs="Arial"/>
                <w:sz w:val="18"/>
              </w:rPr>
              <w:t>28</w:t>
            </w:r>
          </w:p>
        </w:tc>
        <w:tc>
          <w:tcPr>
            <w:tcW w:w="1156" w:type="dxa"/>
            <w:noWrap/>
          </w:tcPr>
          <w:p w14:paraId="0080692F" w14:textId="64FDBFD8" w:rsidR="00B776E0" w:rsidRPr="0052555C" w:rsidRDefault="0064287F" w:rsidP="0064287F">
            <w:pPr>
              <w:spacing w:before="40" w:after="40"/>
              <w:jc w:val="right"/>
              <w:rPr>
                <w:rFonts w:cs="Arial"/>
                <w:sz w:val="18"/>
              </w:rPr>
            </w:pPr>
            <w:r>
              <w:rPr>
                <w:rFonts w:cs="Arial"/>
                <w:sz w:val="18"/>
              </w:rPr>
              <w:t>23</w:t>
            </w:r>
          </w:p>
        </w:tc>
        <w:tc>
          <w:tcPr>
            <w:tcW w:w="1156" w:type="dxa"/>
            <w:noWrap/>
          </w:tcPr>
          <w:p w14:paraId="594FD1A4" w14:textId="641036A0" w:rsidR="00B776E0" w:rsidRPr="0052555C" w:rsidRDefault="0064287F" w:rsidP="0064287F">
            <w:pPr>
              <w:spacing w:before="40" w:after="40"/>
              <w:jc w:val="right"/>
              <w:rPr>
                <w:rFonts w:cs="Arial"/>
                <w:sz w:val="18"/>
              </w:rPr>
            </w:pPr>
            <w:r>
              <w:rPr>
                <w:rFonts w:cs="Arial"/>
                <w:sz w:val="18"/>
              </w:rPr>
              <w:t>49</w:t>
            </w:r>
          </w:p>
        </w:tc>
      </w:tr>
      <w:tr w:rsidR="00B776E0" w:rsidRPr="0052555C" w14:paraId="6F85238E" w14:textId="77777777" w:rsidTr="0064287F">
        <w:trPr>
          <w:trHeight w:val="297"/>
        </w:trPr>
        <w:tc>
          <w:tcPr>
            <w:tcW w:w="1778" w:type="dxa"/>
            <w:tcBorders>
              <w:bottom w:val="single" w:sz="4" w:space="0" w:color="A8D08D" w:themeColor="accent6" w:themeTint="99"/>
            </w:tcBorders>
            <w:noWrap/>
          </w:tcPr>
          <w:p w14:paraId="04037F2E" w14:textId="77777777" w:rsidR="00B776E0" w:rsidRPr="0052555C" w:rsidRDefault="00B776E0" w:rsidP="0052555C">
            <w:pPr>
              <w:spacing w:before="40" w:after="40"/>
              <w:rPr>
                <w:rFonts w:cs="Arial"/>
                <w:sz w:val="18"/>
              </w:rPr>
            </w:pPr>
            <w:r w:rsidRPr="0052555C">
              <w:rPr>
                <w:rFonts w:cs="Arial"/>
                <w:sz w:val="18"/>
              </w:rPr>
              <w:t>Vanuatu</w:t>
            </w:r>
          </w:p>
        </w:tc>
        <w:tc>
          <w:tcPr>
            <w:tcW w:w="1155" w:type="dxa"/>
            <w:tcBorders>
              <w:bottom w:val="single" w:sz="4" w:space="0" w:color="A8D08D" w:themeColor="accent6" w:themeTint="99"/>
            </w:tcBorders>
            <w:noWrap/>
          </w:tcPr>
          <w:p w14:paraId="1532C11C" w14:textId="38020298" w:rsidR="00B776E0" w:rsidRPr="0052555C" w:rsidRDefault="0064287F" w:rsidP="0064287F">
            <w:pPr>
              <w:spacing w:before="40" w:after="40"/>
              <w:jc w:val="right"/>
              <w:rPr>
                <w:rFonts w:cs="Arial"/>
                <w:sz w:val="18"/>
              </w:rPr>
            </w:pPr>
            <w:r>
              <w:rPr>
                <w:rFonts w:cs="Arial"/>
                <w:sz w:val="18"/>
              </w:rPr>
              <w:t>71</w:t>
            </w:r>
          </w:p>
        </w:tc>
        <w:tc>
          <w:tcPr>
            <w:tcW w:w="1156" w:type="dxa"/>
            <w:tcBorders>
              <w:bottom w:val="single" w:sz="4" w:space="0" w:color="A8D08D" w:themeColor="accent6" w:themeTint="99"/>
            </w:tcBorders>
            <w:noWrap/>
          </w:tcPr>
          <w:p w14:paraId="572707E4" w14:textId="55475E06" w:rsidR="00B776E0" w:rsidRPr="0052555C" w:rsidRDefault="0064287F" w:rsidP="0064287F">
            <w:pPr>
              <w:spacing w:before="40" w:after="40"/>
              <w:jc w:val="right"/>
              <w:rPr>
                <w:rFonts w:cs="Arial"/>
                <w:sz w:val="18"/>
              </w:rPr>
            </w:pPr>
            <w:r>
              <w:rPr>
                <w:rFonts w:cs="Arial"/>
                <w:sz w:val="18"/>
              </w:rPr>
              <w:t>28</w:t>
            </w:r>
          </w:p>
        </w:tc>
        <w:tc>
          <w:tcPr>
            <w:tcW w:w="1156" w:type="dxa"/>
            <w:tcBorders>
              <w:bottom w:val="single" w:sz="4" w:space="0" w:color="A8D08D" w:themeColor="accent6" w:themeTint="99"/>
            </w:tcBorders>
            <w:noWrap/>
          </w:tcPr>
          <w:p w14:paraId="0F66A2ED" w14:textId="450EF947" w:rsidR="00B776E0" w:rsidRPr="0052555C" w:rsidRDefault="0064287F" w:rsidP="0064287F">
            <w:pPr>
              <w:spacing w:before="40" w:after="40"/>
              <w:jc w:val="right"/>
              <w:rPr>
                <w:rFonts w:cs="Arial"/>
                <w:sz w:val="18"/>
              </w:rPr>
            </w:pPr>
            <w:r>
              <w:rPr>
                <w:rFonts w:cs="Arial"/>
                <w:sz w:val="18"/>
              </w:rPr>
              <w:t>1</w:t>
            </w:r>
          </w:p>
        </w:tc>
      </w:tr>
    </w:tbl>
    <w:p w14:paraId="61B1E709" w14:textId="7A16B56C" w:rsidR="00B776E0" w:rsidRPr="0052555C" w:rsidRDefault="0064287F" w:rsidP="00B776E0">
      <w:pPr>
        <w:rPr>
          <w:rFonts w:cs="Arial"/>
          <w:sz w:val="16"/>
          <w:szCs w:val="20"/>
        </w:rPr>
      </w:pPr>
      <w:r>
        <w:rPr>
          <w:rFonts w:cs="Arial"/>
          <w:sz w:val="18"/>
        </w:rPr>
        <w:br/>
      </w:r>
      <w:r w:rsidR="00B776E0" w:rsidRPr="0052555C">
        <w:rPr>
          <w:rFonts w:cs="Arial"/>
          <w:sz w:val="18"/>
        </w:rPr>
        <w:t>Source: APTC</w:t>
      </w:r>
      <w:r w:rsidR="00B776E0" w:rsidRPr="0052555C">
        <w:rPr>
          <w:rFonts w:cs="Arial"/>
          <w:sz w:val="18"/>
        </w:rPr>
        <w:br/>
      </w:r>
      <w:r w:rsidR="00B776E0" w:rsidRPr="0052555C">
        <w:rPr>
          <w:rFonts w:cs="Arial"/>
          <w:sz w:val="16"/>
          <w:szCs w:val="20"/>
        </w:rPr>
        <w:t>Local</w:t>
      </w:r>
      <w:r w:rsidR="0052555C">
        <w:rPr>
          <w:rFonts w:cs="Arial"/>
          <w:sz w:val="16"/>
          <w:szCs w:val="20"/>
        </w:rPr>
        <w:t xml:space="preserve"> </w:t>
      </w:r>
      <w:r w:rsidR="00B776E0" w:rsidRPr="0052555C">
        <w:rPr>
          <w:rFonts w:cs="Arial"/>
          <w:sz w:val="16"/>
          <w:szCs w:val="20"/>
        </w:rPr>
        <w:t xml:space="preserve">= someone who is close enough to the campus of study not to require accommodation, although most local students receive a daily stipend to cover transport costs. </w:t>
      </w:r>
      <w:r w:rsidR="00B776E0" w:rsidRPr="0052555C">
        <w:rPr>
          <w:rFonts w:cs="Arial"/>
          <w:sz w:val="16"/>
          <w:szCs w:val="20"/>
        </w:rPr>
        <w:br/>
        <w:t>Remote</w:t>
      </w:r>
      <w:r w:rsidR="0052555C">
        <w:rPr>
          <w:rFonts w:cs="Arial"/>
          <w:sz w:val="16"/>
          <w:szCs w:val="20"/>
        </w:rPr>
        <w:t xml:space="preserve"> </w:t>
      </w:r>
      <w:r w:rsidR="00B776E0" w:rsidRPr="0052555C">
        <w:rPr>
          <w:rFonts w:cs="Arial"/>
          <w:sz w:val="16"/>
          <w:szCs w:val="20"/>
        </w:rPr>
        <w:t>= full time students, from campus countries, who live/work in remote locations and need extra support to relocate to an APTC campus within the campus county</w:t>
      </w:r>
      <w:r w:rsidR="008335AD">
        <w:rPr>
          <w:rFonts w:cs="Arial"/>
          <w:sz w:val="16"/>
          <w:szCs w:val="20"/>
        </w:rPr>
        <w:t xml:space="preserve"> or</w:t>
      </w:r>
      <w:r w:rsidR="00B776E0" w:rsidRPr="0052555C">
        <w:rPr>
          <w:rFonts w:cs="Arial"/>
          <w:sz w:val="16"/>
          <w:szCs w:val="20"/>
        </w:rPr>
        <w:t xml:space="preserve"> </w:t>
      </w:r>
      <w:r w:rsidR="0052555C">
        <w:rPr>
          <w:rFonts w:cs="Arial"/>
          <w:sz w:val="16"/>
          <w:szCs w:val="20"/>
        </w:rPr>
        <w:t>f</w:t>
      </w:r>
      <w:r w:rsidR="00B776E0" w:rsidRPr="0052555C">
        <w:rPr>
          <w:rFonts w:cs="Arial"/>
          <w:sz w:val="16"/>
          <w:szCs w:val="20"/>
        </w:rPr>
        <w:t>rom another country.</w:t>
      </w:r>
    </w:p>
    <w:p w14:paraId="00F92634" w14:textId="3841F07A" w:rsidR="00B776E0" w:rsidRPr="00952BE7" w:rsidRDefault="00546F37" w:rsidP="00952BE7">
      <w:pPr>
        <w:rPr>
          <w:rFonts w:cs="Arial"/>
        </w:rPr>
      </w:pPr>
      <w:r w:rsidRPr="00546F37">
        <w:rPr>
          <w:rFonts w:cs="Arial"/>
          <w:b/>
          <w:i/>
        </w:rPr>
        <w:t>Nationality.</w:t>
      </w:r>
      <w:r w:rsidR="00B776E0" w:rsidRPr="00467D5D">
        <w:rPr>
          <w:rFonts w:cs="Arial"/>
          <w:b/>
        </w:rPr>
        <w:t xml:space="preserve"> </w:t>
      </w:r>
      <w:r w:rsidR="00E361F7" w:rsidRPr="00467D5D">
        <w:rPr>
          <w:rFonts w:cs="Arial"/>
        </w:rPr>
        <w:t>APTC has encouraged participation by small island states</w:t>
      </w:r>
      <w:r w:rsidR="00E361F7">
        <w:rPr>
          <w:rFonts w:cs="Arial"/>
        </w:rPr>
        <w:t xml:space="preserve"> (SIS) and a</w:t>
      </w:r>
      <w:r w:rsidR="00B776E0" w:rsidRPr="00467D5D">
        <w:rPr>
          <w:rFonts w:cs="Arial"/>
        </w:rPr>
        <w:t xml:space="preserve">pplicants from </w:t>
      </w:r>
      <w:r w:rsidR="00E361F7">
        <w:rPr>
          <w:rFonts w:cs="Arial"/>
        </w:rPr>
        <w:t xml:space="preserve">SIS </w:t>
      </w:r>
      <w:r w:rsidR="00B776E0" w:rsidRPr="00467D5D">
        <w:rPr>
          <w:rFonts w:cs="Arial"/>
        </w:rPr>
        <w:t xml:space="preserve">receive preferential treatment in the selection process. </w:t>
      </w:r>
      <w:r w:rsidR="00B07925">
        <w:rPr>
          <w:rFonts w:cs="Arial"/>
        </w:rPr>
        <w:t xml:space="preserve">To </w:t>
      </w:r>
      <w:r w:rsidR="00A91CEF">
        <w:rPr>
          <w:rFonts w:cs="Arial"/>
        </w:rPr>
        <w:br/>
      </w:r>
      <w:r w:rsidR="00B07925">
        <w:rPr>
          <w:rFonts w:cs="Arial"/>
        </w:rPr>
        <w:t>mid-2014</w:t>
      </w:r>
      <w:r w:rsidR="00E75263">
        <w:rPr>
          <w:rFonts w:cs="Arial"/>
        </w:rPr>
        <w:t>,</w:t>
      </w:r>
      <w:r w:rsidR="00B07925">
        <w:rPr>
          <w:rFonts w:cs="Arial"/>
        </w:rPr>
        <w:t xml:space="preserve"> </w:t>
      </w:r>
      <w:r w:rsidR="00E361F7">
        <w:rPr>
          <w:rFonts w:cs="Arial"/>
        </w:rPr>
        <w:t xml:space="preserve">over </w:t>
      </w:r>
      <w:r w:rsidR="00E75263">
        <w:rPr>
          <w:rFonts w:cs="Arial"/>
        </w:rPr>
        <w:t>10</w:t>
      </w:r>
      <w:r w:rsidR="00E361F7">
        <w:rPr>
          <w:rFonts w:cs="Arial"/>
        </w:rPr>
        <w:t xml:space="preserve"> per cent of total APTC enrolment (</w:t>
      </w:r>
      <w:r w:rsidR="00B07925">
        <w:rPr>
          <w:rFonts w:cs="Arial"/>
        </w:rPr>
        <w:t>890 students</w:t>
      </w:r>
      <w:r w:rsidR="00E361F7">
        <w:rPr>
          <w:rFonts w:cs="Arial"/>
        </w:rPr>
        <w:t xml:space="preserve">) came from </w:t>
      </w:r>
      <w:r w:rsidR="00B07925">
        <w:rPr>
          <w:rFonts w:cs="Arial"/>
        </w:rPr>
        <w:t>SIS</w:t>
      </w:r>
      <w:r w:rsidR="009A14A6">
        <w:rPr>
          <w:rFonts w:cs="Arial"/>
        </w:rPr>
        <w:t xml:space="preserve"> and would </w:t>
      </w:r>
      <w:r w:rsidR="00B07925">
        <w:rPr>
          <w:rFonts w:cs="Arial"/>
        </w:rPr>
        <w:t xml:space="preserve">otherwise not have had the opportunity to </w:t>
      </w:r>
      <w:r w:rsidR="00E361F7">
        <w:rPr>
          <w:rFonts w:cs="Arial"/>
        </w:rPr>
        <w:t xml:space="preserve">undergo skills training at </w:t>
      </w:r>
      <w:r w:rsidR="00E75263">
        <w:rPr>
          <w:rFonts w:cs="Arial"/>
        </w:rPr>
        <w:t>C</w:t>
      </w:r>
      <w:r w:rsidR="00E361F7">
        <w:rPr>
          <w:rFonts w:cs="Arial"/>
        </w:rPr>
        <w:t xml:space="preserve">ertificate III and above. </w:t>
      </w:r>
      <w:r w:rsidR="00952BE7" w:rsidRPr="00467D5D">
        <w:rPr>
          <w:rFonts w:cs="Arial"/>
        </w:rPr>
        <w:t>Given the relatively small populations, except for Kiribati, attendance tends to be highly skewed. However, small island states in the northern part of the Pacific tend to be under</w:t>
      </w:r>
      <w:r w:rsidR="00952BE7">
        <w:rPr>
          <w:rFonts w:cs="Arial"/>
        </w:rPr>
        <w:t>-</w:t>
      </w:r>
      <w:r w:rsidR="00952BE7" w:rsidRPr="00467D5D">
        <w:rPr>
          <w:rFonts w:cs="Arial"/>
        </w:rPr>
        <w:t xml:space="preserve">represented, including Palau, RMI and FSM. A recent course was delivered in Palau. </w:t>
      </w:r>
    </w:p>
    <w:p w14:paraId="713B5BE0" w14:textId="4B558532" w:rsidR="00B776E0" w:rsidRPr="00DD2B16" w:rsidRDefault="00B776E0" w:rsidP="0052555C">
      <w:pPr>
        <w:pStyle w:val="Tableheading"/>
      </w:pPr>
      <w:bookmarkStart w:id="686" w:name="_Toc274146483"/>
      <w:bookmarkStart w:id="687" w:name="_Toc274915942"/>
      <w:bookmarkStart w:id="688" w:name="_Toc278446922"/>
      <w:r w:rsidRPr="00DD2B16">
        <w:t xml:space="preserve">Table </w:t>
      </w:r>
      <w:r w:rsidR="00BC1685">
        <w:t>6.</w:t>
      </w:r>
      <w:r w:rsidRPr="00DD2B16">
        <w:t xml:space="preserve">6: Geographical </w:t>
      </w:r>
      <w:r w:rsidR="0052555C">
        <w:t>i</w:t>
      </w:r>
      <w:r w:rsidRPr="00DD2B16">
        <w:t xml:space="preserve">ndex on </w:t>
      </w:r>
      <w:r w:rsidR="0052555C">
        <w:t>s</w:t>
      </w:r>
      <w:r w:rsidRPr="00DD2B16">
        <w:t xml:space="preserve">tudent </w:t>
      </w:r>
      <w:r w:rsidR="0052555C">
        <w:t>p</w:t>
      </w:r>
      <w:r w:rsidRPr="00DD2B16">
        <w:t xml:space="preserve">articipation by </w:t>
      </w:r>
      <w:r w:rsidR="0052555C">
        <w:t>n</w:t>
      </w:r>
      <w:r w:rsidRPr="00DD2B16">
        <w:t>ationality</w:t>
      </w:r>
      <w:bookmarkEnd w:id="686"/>
      <w:bookmarkEnd w:id="687"/>
      <w:bookmarkEnd w:id="688"/>
    </w:p>
    <w:tbl>
      <w:tblPr>
        <w:tblStyle w:val="TableGrid"/>
        <w:tblW w:w="680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2030"/>
        <w:gridCol w:w="1682"/>
        <w:gridCol w:w="62"/>
        <w:gridCol w:w="1893"/>
      </w:tblGrid>
      <w:tr w:rsidR="0064287F" w:rsidRPr="0052555C" w14:paraId="65EB8F5C" w14:textId="77777777" w:rsidTr="007B4BBE">
        <w:tc>
          <w:tcPr>
            <w:tcW w:w="3119" w:type="dxa"/>
            <w:gridSpan w:val="2"/>
            <w:tcBorders>
              <w:right w:val="single" w:sz="4" w:space="0" w:color="A8D08D" w:themeColor="accent6" w:themeTint="99"/>
            </w:tcBorders>
            <w:shd w:val="clear" w:color="auto" w:fill="C2D69B"/>
          </w:tcPr>
          <w:p w14:paraId="0D40890E" w14:textId="77777777" w:rsidR="00B776E0" w:rsidRPr="0052555C" w:rsidRDefault="00B776E0" w:rsidP="00A93971">
            <w:pPr>
              <w:spacing w:before="40" w:after="40"/>
              <w:jc w:val="center"/>
              <w:rPr>
                <w:rFonts w:cs="Arial"/>
                <w:b/>
                <w:sz w:val="18"/>
              </w:rPr>
            </w:pPr>
            <w:r w:rsidRPr="0052555C">
              <w:rPr>
                <w:rFonts w:cs="Arial"/>
                <w:b/>
                <w:sz w:val="18"/>
              </w:rPr>
              <w:t xml:space="preserve">Campus </w:t>
            </w:r>
            <w:r w:rsidR="00A93971">
              <w:rPr>
                <w:rFonts w:cs="Arial"/>
                <w:b/>
                <w:sz w:val="18"/>
              </w:rPr>
              <w:t>c</w:t>
            </w:r>
            <w:r w:rsidR="00A93971" w:rsidRPr="0052555C">
              <w:rPr>
                <w:rFonts w:cs="Arial"/>
                <w:b/>
                <w:sz w:val="18"/>
              </w:rPr>
              <w:t>ountry</w:t>
            </w:r>
          </w:p>
        </w:tc>
        <w:tc>
          <w:tcPr>
            <w:tcW w:w="3685" w:type="dxa"/>
            <w:gridSpan w:val="3"/>
            <w:tcBorders>
              <w:left w:val="single" w:sz="4" w:space="0" w:color="A8D08D" w:themeColor="accent6" w:themeTint="99"/>
            </w:tcBorders>
            <w:shd w:val="clear" w:color="auto" w:fill="C2D69B"/>
          </w:tcPr>
          <w:p w14:paraId="7FD693A8" w14:textId="1A6DF98F" w:rsidR="00B776E0" w:rsidRPr="0052555C" w:rsidRDefault="00464521" w:rsidP="00A93971">
            <w:pPr>
              <w:spacing w:before="40" w:after="40"/>
              <w:jc w:val="center"/>
              <w:rPr>
                <w:rFonts w:cs="Arial"/>
                <w:b/>
                <w:sz w:val="18"/>
              </w:rPr>
            </w:pPr>
            <w:r>
              <w:rPr>
                <w:rFonts w:cs="Arial"/>
                <w:b/>
                <w:sz w:val="18"/>
              </w:rPr>
              <w:t>Non-campus country</w:t>
            </w:r>
          </w:p>
        </w:tc>
      </w:tr>
      <w:tr w:rsidR="0064287F" w:rsidRPr="00A91CEF" w14:paraId="6162F25E" w14:textId="77777777" w:rsidTr="00A91CEF">
        <w:tc>
          <w:tcPr>
            <w:tcW w:w="0" w:type="auto"/>
            <w:shd w:val="clear" w:color="auto" w:fill="E2EFD9" w:themeFill="accent6" w:themeFillTint="33"/>
          </w:tcPr>
          <w:p w14:paraId="18E7BC07" w14:textId="77777777" w:rsidR="00B776E0" w:rsidRPr="00A91CEF" w:rsidRDefault="00B776E0" w:rsidP="0052555C">
            <w:pPr>
              <w:spacing w:before="40" w:after="40"/>
              <w:jc w:val="center"/>
              <w:rPr>
                <w:rFonts w:cs="Arial"/>
                <w:b/>
                <w:sz w:val="18"/>
              </w:rPr>
            </w:pPr>
            <w:r w:rsidRPr="00A91CEF">
              <w:rPr>
                <w:rFonts w:cs="Arial"/>
                <w:b/>
                <w:sz w:val="18"/>
              </w:rPr>
              <w:t>Nationality</w:t>
            </w:r>
          </w:p>
        </w:tc>
        <w:tc>
          <w:tcPr>
            <w:tcW w:w="2062" w:type="dxa"/>
            <w:tcBorders>
              <w:right w:val="single" w:sz="4" w:space="0" w:color="A8D08D" w:themeColor="accent6" w:themeTint="99"/>
            </w:tcBorders>
            <w:shd w:val="clear" w:color="auto" w:fill="E2EFD9" w:themeFill="accent6" w:themeFillTint="33"/>
          </w:tcPr>
          <w:p w14:paraId="0D2518D6" w14:textId="77777777" w:rsidR="00B776E0" w:rsidRPr="00A91CEF" w:rsidRDefault="00B776E0" w:rsidP="0052555C">
            <w:pPr>
              <w:spacing w:before="40" w:after="40"/>
              <w:jc w:val="center"/>
              <w:rPr>
                <w:rFonts w:cs="Arial"/>
                <w:b/>
                <w:sz w:val="18"/>
              </w:rPr>
            </w:pPr>
            <w:r w:rsidRPr="00A91CEF">
              <w:rPr>
                <w:rFonts w:cs="Arial"/>
                <w:b/>
                <w:sz w:val="18"/>
              </w:rPr>
              <w:t>Enrolment per 1000 population in country</w:t>
            </w:r>
          </w:p>
        </w:tc>
        <w:tc>
          <w:tcPr>
            <w:tcW w:w="1701" w:type="dxa"/>
            <w:tcBorders>
              <w:left w:val="single" w:sz="4" w:space="0" w:color="A8D08D" w:themeColor="accent6" w:themeTint="99"/>
            </w:tcBorders>
            <w:shd w:val="clear" w:color="auto" w:fill="E2EFD9" w:themeFill="accent6" w:themeFillTint="33"/>
          </w:tcPr>
          <w:p w14:paraId="6336775F" w14:textId="77777777" w:rsidR="00B776E0" w:rsidRPr="00A91CEF" w:rsidRDefault="00B776E0" w:rsidP="0052555C">
            <w:pPr>
              <w:spacing w:before="40" w:after="40"/>
              <w:jc w:val="center"/>
              <w:rPr>
                <w:rFonts w:cs="Arial"/>
                <w:b/>
                <w:sz w:val="18"/>
              </w:rPr>
            </w:pPr>
            <w:r w:rsidRPr="00A91CEF">
              <w:rPr>
                <w:rFonts w:cs="Arial"/>
                <w:b/>
                <w:sz w:val="18"/>
              </w:rPr>
              <w:t>Nationality</w:t>
            </w:r>
          </w:p>
        </w:tc>
        <w:tc>
          <w:tcPr>
            <w:tcW w:w="1984" w:type="dxa"/>
            <w:gridSpan w:val="2"/>
            <w:shd w:val="clear" w:color="auto" w:fill="E2EFD9" w:themeFill="accent6" w:themeFillTint="33"/>
          </w:tcPr>
          <w:p w14:paraId="3B8E691B" w14:textId="77777777" w:rsidR="00B776E0" w:rsidRPr="00A91CEF" w:rsidRDefault="00B776E0" w:rsidP="0052555C">
            <w:pPr>
              <w:spacing w:before="40" w:after="40"/>
              <w:jc w:val="center"/>
              <w:rPr>
                <w:rFonts w:cs="Arial"/>
                <w:b/>
                <w:sz w:val="18"/>
              </w:rPr>
            </w:pPr>
            <w:r w:rsidRPr="00A91CEF">
              <w:rPr>
                <w:rFonts w:cs="Arial"/>
                <w:b/>
                <w:sz w:val="18"/>
              </w:rPr>
              <w:t>Enrolment per 1000 population in country</w:t>
            </w:r>
          </w:p>
        </w:tc>
      </w:tr>
      <w:tr w:rsidR="0064287F" w:rsidRPr="0052555C" w14:paraId="03460B14" w14:textId="77777777" w:rsidTr="007B4BBE">
        <w:tc>
          <w:tcPr>
            <w:tcW w:w="0" w:type="auto"/>
          </w:tcPr>
          <w:p w14:paraId="2BF8FDE1" w14:textId="77777777" w:rsidR="00B776E0" w:rsidRPr="0052555C" w:rsidRDefault="00B776E0" w:rsidP="0052555C">
            <w:pPr>
              <w:spacing w:before="40" w:after="40"/>
              <w:rPr>
                <w:rFonts w:cs="Arial"/>
                <w:sz w:val="18"/>
              </w:rPr>
            </w:pPr>
            <w:r w:rsidRPr="0052555C">
              <w:rPr>
                <w:rFonts w:cs="Arial"/>
                <w:sz w:val="18"/>
              </w:rPr>
              <w:t>Samoa</w:t>
            </w:r>
          </w:p>
        </w:tc>
        <w:tc>
          <w:tcPr>
            <w:tcW w:w="2062" w:type="dxa"/>
            <w:tcBorders>
              <w:right w:val="single" w:sz="4" w:space="0" w:color="A8D08D" w:themeColor="accent6" w:themeTint="99"/>
            </w:tcBorders>
          </w:tcPr>
          <w:p w14:paraId="0A3072A3" w14:textId="77777777" w:rsidR="00B776E0" w:rsidRPr="0052555C" w:rsidRDefault="00B776E0" w:rsidP="0052555C">
            <w:pPr>
              <w:spacing w:before="40" w:after="40"/>
              <w:jc w:val="center"/>
              <w:rPr>
                <w:rFonts w:cs="Arial"/>
                <w:sz w:val="18"/>
              </w:rPr>
            </w:pPr>
            <w:r w:rsidRPr="0052555C">
              <w:rPr>
                <w:rFonts w:cs="Arial"/>
                <w:sz w:val="18"/>
              </w:rPr>
              <w:t>5.5</w:t>
            </w:r>
          </w:p>
        </w:tc>
        <w:tc>
          <w:tcPr>
            <w:tcW w:w="1701" w:type="dxa"/>
            <w:tcBorders>
              <w:left w:val="single" w:sz="4" w:space="0" w:color="A8D08D" w:themeColor="accent6" w:themeTint="99"/>
            </w:tcBorders>
          </w:tcPr>
          <w:p w14:paraId="7FAA9F24" w14:textId="77777777" w:rsidR="00B776E0" w:rsidRPr="0052555C" w:rsidRDefault="00B776E0" w:rsidP="0052555C">
            <w:pPr>
              <w:spacing w:before="40" w:after="40"/>
              <w:rPr>
                <w:rFonts w:cs="Arial"/>
                <w:sz w:val="18"/>
              </w:rPr>
            </w:pPr>
            <w:r w:rsidRPr="0052555C">
              <w:rPr>
                <w:rFonts w:cs="Arial"/>
                <w:sz w:val="18"/>
              </w:rPr>
              <w:t>Niue</w:t>
            </w:r>
          </w:p>
        </w:tc>
        <w:tc>
          <w:tcPr>
            <w:tcW w:w="1984" w:type="dxa"/>
            <w:gridSpan w:val="2"/>
          </w:tcPr>
          <w:p w14:paraId="4FA836AB" w14:textId="77777777" w:rsidR="00B776E0" w:rsidRPr="0052555C" w:rsidRDefault="00B776E0" w:rsidP="0052555C">
            <w:pPr>
              <w:spacing w:before="40" w:after="40"/>
              <w:jc w:val="center"/>
              <w:rPr>
                <w:rFonts w:cs="Arial"/>
                <w:sz w:val="18"/>
              </w:rPr>
            </w:pPr>
            <w:r w:rsidRPr="0052555C">
              <w:rPr>
                <w:rFonts w:cs="Arial"/>
                <w:sz w:val="18"/>
              </w:rPr>
              <w:t>13.3</w:t>
            </w:r>
          </w:p>
        </w:tc>
      </w:tr>
      <w:tr w:rsidR="0064287F" w:rsidRPr="0052555C" w14:paraId="37C8D446" w14:textId="77777777" w:rsidTr="007B4BBE">
        <w:tc>
          <w:tcPr>
            <w:tcW w:w="0" w:type="auto"/>
          </w:tcPr>
          <w:p w14:paraId="3123A049" w14:textId="77777777" w:rsidR="00B776E0" w:rsidRPr="0052555C" w:rsidRDefault="00B776E0" w:rsidP="0052555C">
            <w:pPr>
              <w:spacing w:before="40" w:after="40"/>
              <w:rPr>
                <w:rFonts w:cs="Arial"/>
                <w:sz w:val="18"/>
              </w:rPr>
            </w:pPr>
            <w:r w:rsidRPr="0052555C">
              <w:rPr>
                <w:rFonts w:cs="Arial"/>
                <w:sz w:val="18"/>
              </w:rPr>
              <w:t>Vanuatu</w:t>
            </w:r>
          </w:p>
        </w:tc>
        <w:tc>
          <w:tcPr>
            <w:tcW w:w="2062" w:type="dxa"/>
            <w:tcBorders>
              <w:right w:val="single" w:sz="4" w:space="0" w:color="A8D08D" w:themeColor="accent6" w:themeTint="99"/>
            </w:tcBorders>
          </w:tcPr>
          <w:p w14:paraId="3EC8D5D5" w14:textId="77777777" w:rsidR="00B776E0" w:rsidRPr="0052555C" w:rsidRDefault="00B776E0" w:rsidP="0052555C">
            <w:pPr>
              <w:spacing w:before="40" w:after="40"/>
              <w:jc w:val="center"/>
              <w:rPr>
                <w:rFonts w:cs="Arial"/>
                <w:sz w:val="18"/>
              </w:rPr>
            </w:pPr>
            <w:r w:rsidRPr="0052555C">
              <w:rPr>
                <w:rFonts w:cs="Arial"/>
                <w:sz w:val="18"/>
              </w:rPr>
              <w:t>5.1</w:t>
            </w:r>
          </w:p>
        </w:tc>
        <w:tc>
          <w:tcPr>
            <w:tcW w:w="1701" w:type="dxa"/>
            <w:tcBorders>
              <w:left w:val="single" w:sz="4" w:space="0" w:color="A8D08D" w:themeColor="accent6" w:themeTint="99"/>
            </w:tcBorders>
          </w:tcPr>
          <w:p w14:paraId="39C01788" w14:textId="77777777" w:rsidR="00B776E0" w:rsidRPr="0052555C" w:rsidRDefault="00B776E0" w:rsidP="0052555C">
            <w:pPr>
              <w:spacing w:before="40" w:after="40"/>
              <w:rPr>
                <w:rFonts w:cs="Arial"/>
                <w:sz w:val="18"/>
              </w:rPr>
            </w:pPr>
            <w:r w:rsidRPr="0052555C">
              <w:rPr>
                <w:rFonts w:cs="Arial"/>
                <w:sz w:val="18"/>
              </w:rPr>
              <w:t>Tuvalu</w:t>
            </w:r>
          </w:p>
        </w:tc>
        <w:tc>
          <w:tcPr>
            <w:tcW w:w="1984" w:type="dxa"/>
            <w:gridSpan w:val="2"/>
          </w:tcPr>
          <w:p w14:paraId="19539D5E" w14:textId="77777777" w:rsidR="00B776E0" w:rsidRPr="0052555C" w:rsidRDefault="00B776E0" w:rsidP="0052555C">
            <w:pPr>
              <w:spacing w:before="40" w:after="40"/>
              <w:jc w:val="center"/>
              <w:rPr>
                <w:rFonts w:cs="Arial"/>
                <w:sz w:val="18"/>
              </w:rPr>
            </w:pPr>
            <w:r w:rsidRPr="0052555C">
              <w:rPr>
                <w:rFonts w:cs="Arial"/>
                <w:sz w:val="18"/>
              </w:rPr>
              <w:t>7.7</w:t>
            </w:r>
          </w:p>
        </w:tc>
      </w:tr>
      <w:tr w:rsidR="0064287F" w:rsidRPr="0052555C" w14:paraId="7E7E3311" w14:textId="77777777" w:rsidTr="007B4BBE">
        <w:tc>
          <w:tcPr>
            <w:tcW w:w="0" w:type="auto"/>
          </w:tcPr>
          <w:p w14:paraId="2E8452F4" w14:textId="77777777" w:rsidR="00B776E0" w:rsidRPr="0052555C" w:rsidRDefault="00B776E0" w:rsidP="0052555C">
            <w:pPr>
              <w:spacing w:before="40" w:after="40"/>
              <w:rPr>
                <w:rFonts w:cs="Arial"/>
                <w:sz w:val="18"/>
              </w:rPr>
            </w:pPr>
            <w:r w:rsidRPr="0052555C">
              <w:rPr>
                <w:rFonts w:cs="Arial"/>
                <w:sz w:val="18"/>
              </w:rPr>
              <w:t>Fiji</w:t>
            </w:r>
          </w:p>
        </w:tc>
        <w:tc>
          <w:tcPr>
            <w:tcW w:w="2062" w:type="dxa"/>
            <w:tcBorders>
              <w:right w:val="single" w:sz="4" w:space="0" w:color="A8D08D" w:themeColor="accent6" w:themeTint="99"/>
            </w:tcBorders>
          </w:tcPr>
          <w:p w14:paraId="256F2618" w14:textId="77777777" w:rsidR="00B776E0" w:rsidRPr="0052555C" w:rsidRDefault="00B776E0" w:rsidP="0052555C">
            <w:pPr>
              <w:spacing w:before="40" w:after="40"/>
              <w:jc w:val="center"/>
              <w:rPr>
                <w:rFonts w:cs="Arial"/>
                <w:sz w:val="18"/>
              </w:rPr>
            </w:pPr>
            <w:r w:rsidRPr="0052555C">
              <w:rPr>
                <w:rFonts w:cs="Arial"/>
                <w:sz w:val="18"/>
              </w:rPr>
              <w:t>3.1</w:t>
            </w:r>
          </w:p>
        </w:tc>
        <w:tc>
          <w:tcPr>
            <w:tcW w:w="1701" w:type="dxa"/>
            <w:tcBorders>
              <w:left w:val="single" w:sz="4" w:space="0" w:color="A8D08D" w:themeColor="accent6" w:themeTint="99"/>
            </w:tcBorders>
          </w:tcPr>
          <w:p w14:paraId="34153D30" w14:textId="77777777" w:rsidR="00B776E0" w:rsidRPr="0052555C" w:rsidRDefault="00B776E0" w:rsidP="0052555C">
            <w:pPr>
              <w:spacing w:before="40" w:after="40"/>
              <w:rPr>
                <w:rFonts w:cs="Arial"/>
                <w:sz w:val="18"/>
              </w:rPr>
            </w:pPr>
            <w:r w:rsidRPr="0052555C">
              <w:rPr>
                <w:rFonts w:cs="Arial"/>
                <w:sz w:val="18"/>
              </w:rPr>
              <w:t>Nauru</w:t>
            </w:r>
          </w:p>
        </w:tc>
        <w:tc>
          <w:tcPr>
            <w:tcW w:w="1984" w:type="dxa"/>
            <w:gridSpan w:val="2"/>
          </w:tcPr>
          <w:p w14:paraId="2DD92571" w14:textId="77777777" w:rsidR="00B776E0" w:rsidRPr="0052555C" w:rsidRDefault="00B776E0" w:rsidP="0052555C">
            <w:pPr>
              <w:spacing w:before="40" w:after="40"/>
              <w:jc w:val="center"/>
              <w:rPr>
                <w:rFonts w:cs="Arial"/>
                <w:sz w:val="18"/>
              </w:rPr>
            </w:pPr>
            <w:r w:rsidRPr="0052555C">
              <w:rPr>
                <w:rFonts w:cs="Arial"/>
                <w:sz w:val="18"/>
              </w:rPr>
              <w:t>6.7</w:t>
            </w:r>
          </w:p>
        </w:tc>
      </w:tr>
      <w:tr w:rsidR="0064287F" w:rsidRPr="0052555C" w14:paraId="2EA584CD" w14:textId="77777777" w:rsidTr="007B4BBE">
        <w:tc>
          <w:tcPr>
            <w:tcW w:w="0" w:type="auto"/>
          </w:tcPr>
          <w:p w14:paraId="4A7A1D45" w14:textId="77777777" w:rsidR="00B776E0" w:rsidRPr="0052555C" w:rsidRDefault="00B776E0" w:rsidP="0052555C">
            <w:pPr>
              <w:spacing w:before="40" w:after="40"/>
              <w:rPr>
                <w:rFonts w:cs="Arial"/>
                <w:sz w:val="18"/>
              </w:rPr>
            </w:pPr>
            <w:r w:rsidRPr="0052555C">
              <w:rPr>
                <w:rFonts w:cs="Arial"/>
                <w:sz w:val="18"/>
              </w:rPr>
              <w:t>Solomon Islands</w:t>
            </w:r>
          </w:p>
        </w:tc>
        <w:tc>
          <w:tcPr>
            <w:tcW w:w="2062" w:type="dxa"/>
            <w:tcBorders>
              <w:right w:val="single" w:sz="4" w:space="0" w:color="A8D08D" w:themeColor="accent6" w:themeTint="99"/>
            </w:tcBorders>
          </w:tcPr>
          <w:p w14:paraId="49C1B0EA" w14:textId="77777777" w:rsidR="00B776E0" w:rsidRPr="0052555C" w:rsidRDefault="00B776E0" w:rsidP="0052555C">
            <w:pPr>
              <w:spacing w:before="40" w:after="40"/>
              <w:jc w:val="center"/>
              <w:rPr>
                <w:rFonts w:cs="Arial"/>
                <w:sz w:val="18"/>
              </w:rPr>
            </w:pPr>
            <w:r w:rsidRPr="0052555C">
              <w:rPr>
                <w:rFonts w:cs="Arial"/>
                <w:sz w:val="18"/>
              </w:rPr>
              <w:t>1.5</w:t>
            </w:r>
          </w:p>
        </w:tc>
        <w:tc>
          <w:tcPr>
            <w:tcW w:w="1701" w:type="dxa"/>
            <w:tcBorders>
              <w:left w:val="single" w:sz="4" w:space="0" w:color="A8D08D" w:themeColor="accent6" w:themeTint="99"/>
            </w:tcBorders>
          </w:tcPr>
          <w:p w14:paraId="26ACDA79" w14:textId="77777777" w:rsidR="00B776E0" w:rsidRPr="0052555C" w:rsidRDefault="00B776E0" w:rsidP="0052555C">
            <w:pPr>
              <w:spacing w:before="40" w:after="40"/>
              <w:rPr>
                <w:rFonts w:cs="Arial"/>
                <w:sz w:val="18"/>
              </w:rPr>
            </w:pPr>
            <w:r w:rsidRPr="0052555C">
              <w:rPr>
                <w:rFonts w:cs="Arial"/>
                <w:sz w:val="18"/>
              </w:rPr>
              <w:t>Tonga</w:t>
            </w:r>
          </w:p>
        </w:tc>
        <w:tc>
          <w:tcPr>
            <w:tcW w:w="1984" w:type="dxa"/>
            <w:gridSpan w:val="2"/>
          </w:tcPr>
          <w:p w14:paraId="50462926" w14:textId="77777777" w:rsidR="00B776E0" w:rsidRPr="0052555C" w:rsidRDefault="00B776E0" w:rsidP="0052555C">
            <w:pPr>
              <w:spacing w:before="40" w:after="40"/>
              <w:jc w:val="center"/>
              <w:rPr>
                <w:rFonts w:cs="Arial"/>
                <w:sz w:val="18"/>
              </w:rPr>
            </w:pPr>
            <w:r w:rsidRPr="0052555C">
              <w:rPr>
                <w:rFonts w:cs="Arial"/>
                <w:sz w:val="18"/>
              </w:rPr>
              <w:t>3.2</w:t>
            </w:r>
          </w:p>
        </w:tc>
      </w:tr>
      <w:tr w:rsidR="0064287F" w:rsidRPr="0052555C" w14:paraId="1BD9F6AB" w14:textId="77777777" w:rsidTr="006E232B">
        <w:tc>
          <w:tcPr>
            <w:tcW w:w="3119" w:type="dxa"/>
            <w:gridSpan w:val="2"/>
            <w:tcBorders>
              <w:right w:val="single" w:sz="4" w:space="0" w:color="A8D08D" w:themeColor="accent6" w:themeTint="99"/>
            </w:tcBorders>
            <w:shd w:val="clear" w:color="auto" w:fill="E2EFD9" w:themeFill="accent6" w:themeFillTint="33"/>
          </w:tcPr>
          <w:p w14:paraId="1EE478D4" w14:textId="0CC25102" w:rsidR="00B776E0" w:rsidRPr="0052555C" w:rsidRDefault="00B776E0" w:rsidP="0052555C">
            <w:pPr>
              <w:spacing w:before="40" w:after="40"/>
              <w:rPr>
                <w:rFonts w:cs="Arial"/>
                <w:sz w:val="18"/>
              </w:rPr>
            </w:pPr>
            <w:r w:rsidRPr="0052555C">
              <w:rPr>
                <w:rFonts w:cs="Arial"/>
                <w:sz w:val="18"/>
              </w:rPr>
              <w:t xml:space="preserve">Average all </w:t>
            </w:r>
            <w:r w:rsidR="007B4BBE">
              <w:rPr>
                <w:rFonts w:cs="Arial"/>
                <w:sz w:val="18"/>
              </w:rPr>
              <w:br/>
            </w:r>
            <w:r w:rsidRPr="0052555C">
              <w:rPr>
                <w:rFonts w:cs="Arial"/>
                <w:sz w:val="18"/>
              </w:rPr>
              <w:t xml:space="preserve">countries:                </w:t>
            </w:r>
            <w:r w:rsidR="007B4BBE">
              <w:rPr>
                <w:rFonts w:cs="Arial"/>
                <w:sz w:val="18"/>
              </w:rPr>
              <w:t xml:space="preserve">     </w:t>
            </w:r>
            <w:r w:rsidRPr="0052555C">
              <w:rPr>
                <w:rFonts w:cs="Arial"/>
                <w:sz w:val="18"/>
              </w:rPr>
              <w:t>0.9</w:t>
            </w:r>
          </w:p>
        </w:tc>
        <w:tc>
          <w:tcPr>
            <w:tcW w:w="1701" w:type="dxa"/>
            <w:tcBorders>
              <w:left w:val="single" w:sz="4" w:space="0" w:color="A8D08D" w:themeColor="accent6" w:themeTint="99"/>
            </w:tcBorders>
          </w:tcPr>
          <w:p w14:paraId="3DFC1403" w14:textId="77777777" w:rsidR="00B776E0" w:rsidRPr="0052555C" w:rsidRDefault="00B776E0" w:rsidP="0052555C">
            <w:pPr>
              <w:spacing w:before="40" w:after="40"/>
              <w:rPr>
                <w:rFonts w:cs="Arial"/>
                <w:sz w:val="18"/>
              </w:rPr>
            </w:pPr>
            <w:r w:rsidRPr="0052555C">
              <w:rPr>
                <w:rFonts w:cs="Arial"/>
                <w:sz w:val="18"/>
              </w:rPr>
              <w:t>Kiribati</w:t>
            </w:r>
          </w:p>
        </w:tc>
        <w:tc>
          <w:tcPr>
            <w:tcW w:w="1984" w:type="dxa"/>
            <w:gridSpan w:val="2"/>
          </w:tcPr>
          <w:p w14:paraId="0A989D5F" w14:textId="77777777" w:rsidR="00B776E0" w:rsidRPr="0052555C" w:rsidRDefault="00B776E0" w:rsidP="0052555C">
            <w:pPr>
              <w:spacing w:before="40" w:after="40"/>
              <w:jc w:val="center"/>
              <w:rPr>
                <w:rFonts w:cs="Arial"/>
                <w:sz w:val="18"/>
              </w:rPr>
            </w:pPr>
            <w:r w:rsidRPr="0052555C">
              <w:rPr>
                <w:rFonts w:cs="Arial"/>
                <w:sz w:val="18"/>
              </w:rPr>
              <w:t>2.5</w:t>
            </w:r>
          </w:p>
        </w:tc>
      </w:tr>
      <w:tr w:rsidR="0064287F" w:rsidRPr="0052555C" w14:paraId="6D9808FF" w14:textId="77777777" w:rsidTr="007B4BBE">
        <w:tc>
          <w:tcPr>
            <w:tcW w:w="0" w:type="auto"/>
          </w:tcPr>
          <w:p w14:paraId="13D8B798" w14:textId="77777777" w:rsidR="00B776E0" w:rsidRPr="0052555C" w:rsidRDefault="00B776E0" w:rsidP="0052555C">
            <w:pPr>
              <w:spacing w:before="40" w:after="40"/>
              <w:rPr>
                <w:rFonts w:cs="Arial"/>
                <w:sz w:val="18"/>
              </w:rPr>
            </w:pPr>
            <w:r w:rsidRPr="0052555C">
              <w:rPr>
                <w:rFonts w:cs="Arial"/>
                <w:sz w:val="18"/>
              </w:rPr>
              <w:t>PNG</w:t>
            </w:r>
          </w:p>
        </w:tc>
        <w:tc>
          <w:tcPr>
            <w:tcW w:w="2062" w:type="dxa"/>
            <w:tcBorders>
              <w:right w:val="single" w:sz="4" w:space="0" w:color="A8D08D" w:themeColor="accent6" w:themeTint="99"/>
            </w:tcBorders>
          </w:tcPr>
          <w:p w14:paraId="7C0801E8" w14:textId="77777777" w:rsidR="00B776E0" w:rsidRPr="0052555C" w:rsidRDefault="00B776E0" w:rsidP="0052555C">
            <w:pPr>
              <w:spacing w:before="40" w:after="40"/>
              <w:jc w:val="center"/>
              <w:rPr>
                <w:rFonts w:cs="Arial"/>
                <w:sz w:val="18"/>
              </w:rPr>
            </w:pPr>
            <w:r w:rsidRPr="0052555C">
              <w:rPr>
                <w:rFonts w:cs="Arial"/>
                <w:sz w:val="18"/>
              </w:rPr>
              <w:t>0.3</w:t>
            </w:r>
          </w:p>
        </w:tc>
        <w:tc>
          <w:tcPr>
            <w:tcW w:w="1701" w:type="dxa"/>
            <w:tcBorders>
              <w:left w:val="single" w:sz="4" w:space="0" w:color="A8D08D" w:themeColor="accent6" w:themeTint="99"/>
            </w:tcBorders>
          </w:tcPr>
          <w:p w14:paraId="5A3E0A41" w14:textId="77777777" w:rsidR="00B776E0" w:rsidRPr="0052555C" w:rsidRDefault="00B776E0" w:rsidP="0052555C">
            <w:pPr>
              <w:spacing w:before="40" w:after="40"/>
              <w:rPr>
                <w:rFonts w:cs="Arial"/>
                <w:sz w:val="18"/>
              </w:rPr>
            </w:pPr>
            <w:r w:rsidRPr="0052555C">
              <w:rPr>
                <w:rFonts w:cs="Arial"/>
                <w:sz w:val="18"/>
              </w:rPr>
              <w:t>Palau</w:t>
            </w:r>
          </w:p>
        </w:tc>
        <w:tc>
          <w:tcPr>
            <w:tcW w:w="1984" w:type="dxa"/>
            <w:gridSpan w:val="2"/>
          </w:tcPr>
          <w:p w14:paraId="191C4BE3" w14:textId="77777777" w:rsidR="00B776E0" w:rsidRPr="0052555C" w:rsidRDefault="00B776E0" w:rsidP="0052555C">
            <w:pPr>
              <w:spacing w:before="40" w:after="40"/>
              <w:jc w:val="center"/>
              <w:rPr>
                <w:rFonts w:cs="Arial"/>
                <w:sz w:val="18"/>
              </w:rPr>
            </w:pPr>
            <w:r w:rsidRPr="0052555C">
              <w:rPr>
                <w:rFonts w:cs="Arial"/>
                <w:sz w:val="18"/>
              </w:rPr>
              <w:t>1.5</w:t>
            </w:r>
          </w:p>
        </w:tc>
      </w:tr>
      <w:tr w:rsidR="0064287F" w:rsidRPr="0052555C" w14:paraId="5813EA24" w14:textId="77777777" w:rsidTr="006E232B">
        <w:tc>
          <w:tcPr>
            <w:tcW w:w="0" w:type="auto"/>
          </w:tcPr>
          <w:p w14:paraId="7C9E0E0D" w14:textId="77777777" w:rsidR="00B776E0" w:rsidRPr="0052555C" w:rsidRDefault="00B776E0" w:rsidP="0052555C">
            <w:pPr>
              <w:spacing w:before="40" w:after="40"/>
              <w:rPr>
                <w:rFonts w:cs="Arial"/>
                <w:sz w:val="18"/>
              </w:rPr>
            </w:pPr>
          </w:p>
        </w:tc>
        <w:tc>
          <w:tcPr>
            <w:tcW w:w="2062" w:type="dxa"/>
            <w:tcBorders>
              <w:right w:val="single" w:sz="4" w:space="0" w:color="A8D08D" w:themeColor="accent6" w:themeTint="99"/>
            </w:tcBorders>
          </w:tcPr>
          <w:p w14:paraId="568E0CD2" w14:textId="77777777" w:rsidR="00B776E0" w:rsidRPr="0052555C" w:rsidRDefault="00B776E0" w:rsidP="0052555C">
            <w:pPr>
              <w:spacing w:before="40" w:after="40"/>
              <w:jc w:val="center"/>
              <w:rPr>
                <w:rFonts w:cs="Arial"/>
                <w:sz w:val="18"/>
              </w:rPr>
            </w:pPr>
          </w:p>
        </w:tc>
        <w:tc>
          <w:tcPr>
            <w:tcW w:w="3685" w:type="dxa"/>
            <w:gridSpan w:val="3"/>
            <w:tcBorders>
              <w:left w:val="single" w:sz="4" w:space="0" w:color="A8D08D" w:themeColor="accent6" w:themeTint="99"/>
            </w:tcBorders>
            <w:shd w:val="clear" w:color="auto" w:fill="E2EFD9" w:themeFill="accent6" w:themeFillTint="33"/>
          </w:tcPr>
          <w:p w14:paraId="228EB71F" w14:textId="64B4C819" w:rsidR="00B776E0" w:rsidRPr="0052555C" w:rsidRDefault="00B776E0" w:rsidP="0052555C">
            <w:pPr>
              <w:spacing w:before="40" w:after="40"/>
              <w:rPr>
                <w:rFonts w:cs="Arial"/>
                <w:sz w:val="18"/>
              </w:rPr>
            </w:pPr>
            <w:r w:rsidRPr="0052555C">
              <w:rPr>
                <w:rFonts w:cs="Arial"/>
                <w:sz w:val="18"/>
              </w:rPr>
              <w:t xml:space="preserve">Average all countries:     </w:t>
            </w:r>
            <w:r w:rsidR="007B4BBE">
              <w:rPr>
                <w:rFonts w:cs="Arial"/>
                <w:sz w:val="18"/>
              </w:rPr>
              <w:t xml:space="preserve">          </w:t>
            </w:r>
            <w:r w:rsidRPr="0052555C">
              <w:rPr>
                <w:rFonts w:cs="Arial"/>
                <w:sz w:val="18"/>
              </w:rPr>
              <w:t>0.9</w:t>
            </w:r>
          </w:p>
        </w:tc>
      </w:tr>
      <w:tr w:rsidR="0064287F" w:rsidRPr="0052555C" w14:paraId="6E1BEC00" w14:textId="77777777" w:rsidTr="007B4BBE">
        <w:tc>
          <w:tcPr>
            <w:tcW w:w="0" w:type="auto"/>
          </w:tcPr>
          <w:p w14:paraId="0F0A44AB" w14:textId="77777777" w:rsidR="00B776E0" w:rsidRPr="0052555C" w:rsidRDefault="00B776E0" w:rsidP="0052555C">
            <w:pPr>
              <w:spacing w:before="40" w:after="40"/>
              <w:rPr>
                <w:rFonts w:cs="Arial"/>
                <w:sz w:val="18"/>
              </w:rPr>
            </w:pPr>
          </w:p>
        </w:tc>
        <w:tc>
          <w:tcPr>
            <w:tcW w:w="2062" w:type="dxa"/>
            <w:tcBorders>
              <w:right w:val="single" w:sz="4" w:space="0" w:color="A8D08D" w:themeColor="accent6" w:themeTint="99"/>
            </w:tcBorders>
          </w:tcPr>
          <w:p w14:paraId="17F90294" w14:textId="77777777" w:rsidR="00B776E0" w:rsidRPr="0052555C" w:rsidRDefault="00B776E0" w:rsidP="0052555C">
            <w:pPr>
              <w:spacing w:before="40" w:after="40"/>
              <w:jc w:val="center"/>
              <w:rPr>
                <w:rFonts w:cs="Arial"/>
                <w:sz w:val="18"/>
              </w:rPr>
            </w:pPr>
          </w:p>
        </w:tc>
        <w:tc>
          <w:tcPr>
            <w:tcW w:w="1764" w:type="dxa"/>
            <w:gridSpan w:val="2"/>
            <w:tcBorders>
              <w:left w:val="single" w:sz="4" w:space="0" w:color="A8D08D" w:themeColor="accent6" w:themeTint="99"/>
            </w:tcBorders>
          </w:tcPr>
          <w:p w14:paraId="46E4B2EB" w14:textId="77777777" w:rsidR="00B776E0" w:rsidRPr="0052555C" w:rsidRDefault="00B776E0" w:rsidP="0052555C">
            <w:pPr>
              <w:spacing w:before="40" w:after="40"/>
              <w:rPr>
                <w:rFonts w:cs="Arial"/>
                <w:sz w:val="18"/>
              </w:rPr>
            </w:pPr>
            <w:r w:rsidRPr="0052555C">
              <w:rPr>
                <w:rFonts w:cs="Arial"/>
                <w:sz w:val="18"/>
              </w:rPr>
              <w:t>RMI</w:t>
            </w:r>
          </w:p>
        </w:tc>
        <w:tc>
          <w:tcPr>
            <w:tcW w:w="1921" w:type="dxa"/>
          </w:tcPr>
          <w:p w14:paraId="4EB0C254" w14:textId="77777777" w:rsidR="00B776E0" w:rsidRPr="0052555C" w:rsidRDefault="00B776E0" w:rsidP="0052555C">
            <w:pPr>
              <w:spacing w:before="40" w:after="40"/>
              <w:jc w:val="center"/>
              <w:rPr>
                <w:rFonts w:cs="Arial"/>
                <w:sz w:val="18"/>
              </w:rPr>
            </w:pPr>
            <w:r w:rsidRPr="0052555C">
              <w:rPr>
                <w:rFonts w:cs="Arial"/>
                <w:sz w:val="18"/>
              </w:rPr>
              <w:t>0.7</w:t>
            </w:r>
          </w:p>
        </w:tc>
      </w:tr>
      <w:tr w:rsidR="0064287F" w:rsidRPr="0052555C" w14:paraId="6AF28AB0" w14:textId="77777777" w:rsidTr="007B4BBE">
        <w:tc>
          <w:tcPr>
            <w:tcW w:w="0" w:type="auto"/>
          </w:tcPr>
          <w:p w14:paraId="4039B3E3" w14:textId="77777777" w:rsidR="00B776E0" w:rsidRPr="0052555C" w:rsidRDefault="00B776E0" w:rsidP="0052555C">
            <w:pPr>
              <w:spacing w:before="40" w:after="40"/>
              <w:rPr>
                <w:rFonts w:cs="Arial"/>
                <w:sz w:val="18"/>
              </w:rPr>
            </w:pPr>
          </w:p>
        </w:tc>
        <w:tc>
          <w:tcPr>
            <w:tcW w:w="2062" w:type="dxa"/>
            <w:tcBorders>
              <w:right w:val="single" w:sz="4" w:space="0" w:color="A8D08D" w:themeColor="accent6" w:themeTint="99"/>
            </w:tcBorders>
          </w:tcPr>
          <w:p w14:paraId="00B6D6EC" w14:textId="77777777" w:rsidR="00B776E0" w:rsidRPr="0052555C" w:rsidRDefault="00B776E0" w:rsidP="0052555C">
            <w:pPr>
              <w:spacing w:before="40" w:after="40"/>
              <w:jc w:val="center"/>
              <w:rPr>
                <w:rFonts w:cs="Arial"/>
                <w:sz w:val="18"/>
              </w:rPr>
            </w:pPr>
          </w:p>
        </w:tc>
        <w:tc>
          <w:tcPr>
            <w:tcW w:w="1764" w:type="dxa"/>
            <w:gridSpan w:val="2"/>
            <w:tcBorders>
              <w:left w:val="single" w:sz="4" w:space="0" w:color="A8D08D" w:themeColor="accent6" w:themeTint="99"/>
            </w:tcBorders>
          </w:tcPr>
          <w:p w14:paraId="015FCBD8" w14:textId="77777777" w:rsidR="00B776E0" w:rsidRPr="0052555C" w:rsidRDefault="00B776E0" w:rsidP="0052555C">
            <w:pPr>
              <w:spacing w:before="40" w:after="40"/>
              <w:rPr>
                <w:rFonts w:cs="Arial"/>
                <w:sz w:val="18"/>
              </w:rPr>
            </w:pPr>
            <w:r w:rsidRPr="0052555C">
              <w:rPr>
                <w:rFonts w:cs="Arial"/>
                <w:sz w:val="18"/>
              </w:rPr>
              <w:t>Cook Islands</w:t>
            </w:r>
          </w:p>
        </w:tc>
        <w:tc>
          <w:tcPr>
            <w:tcW w:w="1921" w:type="dxa"/>
          </w:tcPr>
          <w:p w14:paraId="531BC21C" w14:textId="77777777" w:rsidR="00B776E0" w:rsidRPr="0052555C" w:rsidRDefault="00B776E0" w:rsidP="0052555C">
            <w:pPr>
              <w:spacing w:before="40" w:after="40"/>
              <w:jc w:val="center"/>
              <w:rPr>
                <w:rFonts w:cs="Arial"/>
                <w:sz w:val="18"/>
              </w:rPr>
            </w:pPr>
            <w:r w:rsidRPr="0052555C">
              <w:rPr>
                <w:rFonts w:cs="Arial"/>
                <w:sz w:val="18"/>
              </w:rPr>
              <w:t>0.1</w:t>
            </w:r>
          </w:p>
        </w:tc>
      </w:tr>
      <w:tr w:rsidR="0064287F" w:rsidRPr="0052555C" w14:paraId="7F021EB9" w14:textId="77777777" w:rsidTr="007B4BBE">
        <w:tc>
          <w:tcPr>
            <w:tcW w:w="0" w:type="auto"/>
            <w:tcBorders>
              <w:bottom w:val="single" w:sz="4" w:space="0" w:color="A8D08D" w:themeColor="accent6" w:themeTint="99"/>
            </w:tcBorders>
          </w:tcPr>
          <w:p w14:paraId="75BF83B6" w14:textId="77777777" w:rsidR="00B776E0" w:rsidRPr="0052555C" w:rsidRDefault="00B776E0" w:rsidP="0052555C">
            <w:pPr>
              <w:spacing w:before="40" w:after="40"/>
              <w:rPr>
                <w:rFonts w:cs="Arial"/>
                <w:sz w:val="18"/>
              </w:rPr>
            </w:pPr>
          </w:p>
        </w:tc>
        <w:tc>
          <w:tcPr>
            <w:tcW w:w="2062" w:type="dxa"/>
            <w:tcBorders>
              <w:bottom w:val="single" w:sz="4" w:space="0" w:color="A8D08D" w:themeColor="accent6" w:themeTint="99"/>
              <w:right w:val="single" w:sz="4" w:space="0" w:color="A8D08D" w:themeColor="accent6" w:themeTint="99"/>
            </w:tcBorders>
          </w:tcPr>
          <w:p w14:paraId="4F2CCE09" w14:textId="77777777" w:rsidR="00B776E0" w:rsidRPr="0052555C" w:rsidRDefault="00B776E0" w:rsidP="0052555C">
            <w:pPr>
              <w:spacing w:before="40" w:after="40"/>
              <w:jc w:val="center"/>
              <w:rPr>
                <w:rFonts w:cs="Arial"/>
                <w:sz w:val="18"/>
              </w:rPr>
            </w:pPr>
          </w:p>
        </w:tc>
        <w:tc>
          <w:tcPr>
            <w:tcW w:w="1764" w:type="dxa"/>
            <w:gridSpan w:val="2"/>
            <w:tcBorders>
              <w:left w:val="single" w:sz="4" w:space="0" w:color="A8D08D" w:themeColor="accent6" w:themeTint="99"/>
              <w:bottom w:val="single" w:sz="4" w:space="0" w:color="A8D08D" w:themeColor="accent6" w:themeTint="99"/>
            </w:tcBorders>
          </w:tcPr>
          <w:p w14:paraId="04E8FEEC" w14:textId="77777777" w:rsidR="00B776E0" w:rsidRPr="0052555C" w:rsidRDefault="00B776E0" w:rsidP="0052555C">
            <w:pPr>
              <w:spacing w:before="40" w:after="40"/>
              <w:rPr>
                <w:rFonts w:cs="Arial"/>
                <w:sz w:val="18"/>
              </w:rPr>
            </w:pPr>
            <w:r w:rsidRPr="0052555C">
              <w:rPr>
                <w:rFonts w:cs="Arial"/>
                <w:sz w:val="18"/>
              </w:rPr>
              <w:t>FSM</w:t>
            </w:r>
          </w:p>
        </w:tc>
        <w:tc>
          <w:tcPr>
            <w:tcW w:w="1921" w:type="dxa"/>
            <w:tcBorders>
              <w:bottom w:val="single" w:sz="4" w:space="0" w:color="A8D08D" w:themeColor="accent6" w:themeTint="99"/>
            </w:tcBorders>
          </w:tcPr>
          <w:p w14:paraId="79885A6E" w14:textId="77777777" w:rsidR="00B776E0" w:rsidRPr="0052555C" w:rsidRDefault="00B776E0" w:rsidP="0052555C">
            <w:pPr>
              <w:spacing w:before="40" w:after="40"/>
              <w:jc w:val="center"/>
              <w:rPr>
                <w:rFonts w:cs="Arial"/>
                <w:sz w:val="18"/>
              </w:rPr>
            </w:pPr>
            <w:r w:rsidRPr="0052555C">
              <w:rPr>
                <w:rFonts w:cs="Arial"/>
                <w:sz w:val="18"/>
              </w:rPr>
              <w:t>0</w:t>
            </w:r>
          </w:p>
        </w:tc>
      </w:tr>
    </w:tbl>
    <w:p w14:paraId="0F61ADA6" w14:textId="29AB0089" w:rsidR="00B776E0" w:rsidRPr="0052555C" w:rsidRDefault="007B4BBE" w:rsidP="00B776E0">
      <w:pPr>
        <w:rPr>
          <w:rFonts w:cs="Arial"/>
          <w:sz w:val="16"/>
          <w:szCs w:val="20"/>
        </w:rPr>
      </w:pPr>
      <w:r>
        <w:rPr>
          <w:rFonts w:cs="Arial"/>
          <w:sz w:val="16"/>
          <w:szCs w:val="20"/>
        </w:rPr>
        <w:br/>
      </w:r>
      <w:r w:rsidR="00B776E0" w:rsidRPr="0052555C">
        <w:rPr>
          <w:rFonts w:cs="Arial"/>
          <w:sz w:val="16"/>
          <w:szCs w:val="20"/>
        </w:rPr>
        <w:t xml:space="preserve">Source: APTC data and World Bank Development Indicators for population estimates. </w:t>
      </w:r>
      <w:r>
        <w:rPr>
          <w:rFonts w:cs="Arial"/>
          <w:sz w:val="16"/>
          <w:szCs w:val="20"/>
        </w:rPr>
        <w:br/>
      </w:r>
      <w:r w:rsidR="00B776E0" w:rsidRPr="0052555C">
        <w:rPr>
          <w:rFonts w:cs="Arial"/>
          <w:sz w:val="16"/>
          <w:szCs w:val="20"/>
        </w:rPr>
        <w:t xml:space="preserve">Enrolment is cumulative from 2007 to June 2014.  </w:t>
      </w:r>
    </w:p>
    <w:p w14:paraId="314F7852" w14:textId="54B35767" w:rsidR="00B776E0" w:rsidRPr="00467D5D" w:rsidRDefault="00AE6265" w:rsidP="00B776E0">
      <w:pPr>
        <w:rPr>
          <w:rFonts w:cs="Arial"/>
        </w:rPr>
      </w:pPr>
      <w:r>
        <w:rPr>
          <w:rFonts w:cs="Arial"/>
        </w:rPr>
        <w:t xml:space="preserve">PNG citizens accounted for 22 per cent of cumulative enrolment up to mid-2014 </w:t>
      </w:r>
      <w:r w:rsidR="00A91CEF">
        <w:rPr>
          <w:rFonts w:cs="Arial"/>
        </w:rPr>
        <w:br/>
      </w:r>
      <w:r>
        <w:rPr>
          <w:rFonts w:cs="Arial"/>
        </w:rPr>
        <w:t xml:space="preserve">(1895 students out of a total enrolment of 8715. Annex 4, Figure 4.1.1). This was second only to Fiji with 30 per cent of total enrolment. However, enrolment of PNG nationals was low in relation to total population. </w:t>
      </w:r>
      <w:r w:rsidR="00B776E0" w:rsidRPr="00467D5D">
        <w:rPr>
          <w:rFonts w:cs="Arial"/>
        </w:rPr>
        <w:t xml:space="preserve">PNG stands as an outlier </w:t>
      </w:r>
      <w:r w:rsidR="00B776E0">
        <w:rPr>
          <w:rFonts w:cs="Arial"/>
        </w:rPr>
        <w:t xml:space="preserve">among campus countries </w:t>
      </w:r>
      <w:r w:rsidR="00B776E0" w:rsidRPr="00467D5D">
        <w:rPr>
          <w:rFonts w:cs="Arial"/>
        </w:rPr>
        <w:t>in low enrolments related to population, only 0.3 students cumulatively per thousand population</w:t>
      </w:r>
      <w:r>
        <w:rPr>
          <w:rFonts w:cs="Arial"/>
        </w:rPr>
        <w:t xml:space="preserve"> (Annex 4, Figure 4.1.2)</w:t>
      </w:r>
      <w:r w:rsidR="00B776E0" w:rsidRPr="00467D5D">
        <w:rPr>
          <w:rFonts w:cs="Arial"/>
        </w:rPr>
        <w:t xml:space="preserve">. </w:t>
      </w:r>
      <w:r>
        <w:rPr>
          <w:rFonts w:cs="Arial"/>
        </w:rPr>
        <w:t xml:space="preserve">Several factors account </w:t>
      </w:r>
      <w:r w:rsidR="0054411C">
        <w:rPr>
          <w:rFonts w:cs="Arial"/>
        </w:rPr>
        <w:t xml:space="preserve">for this, including low enrolment targets </w:t>
      </w:r>
      <w:r w:rsidR="002951AF">
        <w:rPr>
          <w:rFonts w:cs="Arial"/>
        </w:rPr>
        <w:t xml:space="preserve">for PNG </w:t>
      </w:r>
      <w:r w:rsidR="0054411C">
        <w:rPr>
          <w:rFonts w:cs="Arial"/>
        </w:rPr>
        <w:t>in Stage I and the slow start of programs</w:t>
      </w:r>
      <w:r w:rsidR="002951AF">
        <w:rPr>
          <w:rStyle w:val="FootnoteReference"/>
          <w:rFonts w:cs="Arial"/>
        </w:rPr>
        <w:footnoteReference w:id="41"/>
      </w:r>
      <w:r w:rsidR="0054411C">
        <w:rPr>
          <w:rFonts w:cs="Arial"/>
        </w:rPr>
        <w:t xml:space="preserve"> </w:t>
      </w:r>
      <w:r w:rsidR="002951AF">
        <w:rPr>
          <w:rFonts w:cs="Arial"/>
        </w:rPr>
        <w:t xml:space="preserve">at the PNG campus </w:t>
      </w:r>
      <w:r w:rsidR="0054411C">
        <w:rPr>
          <w:rFonts w:cs="Arial"/>
        </w:rPr>
        <w:t xml:space="preserve">in </w:t>
      </w:r>
      <w:r w:rsidR="002951AF">
        <w:rPr>
          <w:rFonts w:cs="Arial"/>
        </w:rPr>
        <w:t xml:space="preserve">Stage II </w:t>
      </w:r>
      <w:r w:rsidR="0054411C">
        <w:rPr>
          <w:rFonts w:cs="Arial"/>
        </w:rPr>
        <w:t>owing to staff attrition fro</w:t>
      </w:r>
      <w:r w:rsidR="002951AF">
        <w:rPr>
          <w:rFonts w:cs="Arial"/>
        </w:rPr>
        <w:t xml:space="preserve">m changes in terms of employment </w:t>
      </w:r>
      <w:r w:rsidR="0054411C">
        <w:rPr>
          <w:rFonts w:cs="Arial"/>
        </w:rPr>
        <w:t>(Annex</w:t>
      </w:r>
      <w:r w:rsidR="007B4BBE">
        <w:rPr>
          <w:rFonts w:cs="Arial"/>
        </w:rPr>
        <w:t> </w:t>
      </w:r>
      <w:r w:rsidR="0054411C">
        <w:rPr>
          <w:rFonts w:cs="Arial"/>
        </w:rPr>
        <w:t xml:space="preserve">4, </w:t>
      </w:r>
      <w:r w:rsidR="002951AF">
        <w:rPr>
          <w:rFonts w:cs="Arial"/>
        </w:rPr>
        <w:t xml:space="preserve">Section 4.4). </w:t>
      </w:r>
      <w:r w:rsidR="00E75263">
        <w:rPr>
          <w:rFonts w:cs="Arial"/>
        </w:rPr>
        <w:t xml:space="preserve">The </w:t>
      </w:r>
      <w:r w:rsidR="00B776E0" w:rsidRPr="00467D5D">
        <w:rPr>
          <w:rFonts w:cs="Arial"/>
        </w:rPr>
        <w:t xml:space="preserve">Solomon Islands also </w:t>
      </w:r>
      <w:r w:rsidR="00970EB6">
        <w:rPr>
          <w:rFonts w:cs="Arial"/>
        </w:rPr>
        <w:t xml:space="preserve">ranks low on geographical equity </w:t>
      </w:r>
      <w:r w:rsidR="00B776E0" w:rsidRPr="00467D5D">
        <w:rPr>
          <w:rFonts w:cs="Arial"/>
        </w:rPr>
        <w:t>at 1.5 students per thousand population</w:t>
      </w:r>
      <w:r w:rsidR="00970EB6">
        <w:rPr>
          <w:rFonts w:cs="Arial"/>
        </w:rPr>
        <w:t xml:space="preserve">. Factors responsible include weak supply of trainees and, until recently, lack of </w:t>
      </w:r>
      <w:r w:rsidR="00C3510E">
        <w:rPr>
          <w:rFonts w:cs="Arial"/>
        </w:rPr>
        <w:t xml:space="preserve">APTC </w:t>
      </w:r>
      <w:r w:rsidR="00970EB6">
        <w:rPr>
          <w:rFonts w:cs="Arial"/>
        </w:rPr>
        <w:t>training within country.</w:t>
      </w:r>
      <w:r w:rsidR="00B776E0" w:rsidRPr="00467D5D">
        <w:rPr>
          <w:rFonts w:cs="Arial"/>
        </w:rPr>
        <w:t xml:space="preserve"> Th</w:t>
      </w:r>
      <w:r w:rsidR="00970EB6">
        <w:rPr>
          <w:rFonts w:cs="Arial"/>
        </w:rPr>
        <w:t>ese facts</w:t>
      </w:r>
      <w:r w:rsidR="00B776E0" w:rsidRPr="00467D5D">
        <w:rPr>
          <w:rFonts w:cs="Arial"/>
        </w:rPr>
        <w:t xml:space="preserve"> point to the importance of expanding opportunities in the two campus countries. </w:t>
      </w:r>
    </w:p>
    <w:p w14:paraId="50C7B269" w14:textId="77777777" w:rsidR="00B776E0" w:rsidRDefault="00B776E0" w:rsidP="00B776E0">
      <w:pPr>
        <w:rPr>
          <w:rFonts w:cs="Arial"/>
        </w:rPr>
      </w:pPr>
      <w:r w:rsidRPr="00467D5D">
        <w:rPr>
          <w:rFonts w:cs="Arial"/>
        </w:rPr>
        <w:t>APTC has stated that applicants from SIS countries are given preference. T</w:t>
      </w:r>
      <w:r>
        <w:rPr>
          <w:rFonts w:cs="Arial"/>
        </w:rPr>
        <w:t xml:space="preserve">able </w:t>
      </w:r>
      <w:r w:rsidR="00654F28">
        <w:rPr>
          <w:rFonts w:cs="Arial"/>
        </w:rPr>
        <w:t>6.</w:t>
      </w:r>
      <w:r>
        <w:rPr>
          <w:rFonts w:cs="Arial"/>
        </w:rPr>
        <w:t>7</w:t>
      </w:r>
      <w:r w:rsidRPr="00467D5D">
        <w:rPr>
          <w:rFonts w:cs="Arial"/>
        </w:rPr>
        <w:t xml:space="preserve"> shows the relative shares of applicants who obtain scholarships by country. The rate of awards varies substantially both for nationals from campus countries and SIS. This may reflect qualifications of applicants as well as need. About half the Samoan applicants received scholarships, compared with just over a third for PNG and Vanuatu.</w:t>
      </w:r>
    </w:p>
    <w:p w14:paraId="18145112" w14:textId="506CC155" w:rsidR="00B776E0" w:rsidRPr="00467D5D" w:rsidRDefault="00B776E0" w:rsidP="00B776E0">
      <w:pPr>
        <w:rPr>
          <w:rFonts w:cs="Arial"/>
        </w:rPr>
      </w:pPr>
      <w:r w:rsidRPr="00467D5D">
        <w:rPr>
          <w:rFonts w:cs="Arial"/>
        </w:rPr>
        <w:t>Cumulative completion rates for SIS were generally higher than for the campus countries</w:t>
      </w:r>
      <w:r w:rsidR="00CD11DB">
        <w:rPr>
          <w:rFonts w:cs="Arial"/>
        </w:rPr>
        <w:t xml:space="preserve"> – </w:t>
      </w:r>
      <w:r w:rsidRPr="00467D5D">
        <w:rPr>
          <w:rFonts w:cs="Arial"/>
        </w:rPr>
        <w:t>ranging from 92</w:t>
      </w:r>
      <w:r w:rsidR="00CD11DB">
        <w:rPr>
          <w:rFonts w:cs="Arial"/>
        </w:rPr>
        <w:t xml:space="preserve"> per cent</w:t>
      </w:r>
      <w:r w:rsidR="00CD11DB" w:rsidRPr="00467D5D">
        <w:rPr>
          <w:rFonts w:cs="Arial"/>
        </w:rPr>
        <w:t xml:space="preserve"> </w:t>
      </w:r>
      <w:r w:rsidRPr="00467D5D">
        <w:rPr>
          <w:rFonts w:cs="Arial"/>
        </w:rPr>
        <w:t>for Kiribati nationals to 100</w:t>
      </w:r>
      <w:r w:rsidR="001A5A17">
        <w:rPr>
          <w:rFonts w:cs="Arial"/>
        </w:rPr>
        <w:t xml:space="preserve"> per cent</w:t>
      </w:r>
      <w:r w:rsidR="001A5A17" w:rsidRPr="00467D5D">
        <w:rPr>
          <w:rFonts w:cs="Arial"/>
        </w:rPr>
        <w:t xml:space="preserve"> </w:t>
      </w:r>
      <w:r w:rsidRPr="00467D5D">
        <w:rPr>
          <w:rFonts w:cs="Arial"/>
        </w:rPr>
        <w:t>for RMI and Nauru versus 88</w:t>
      </w:r>
      <w:r w:rsidR="001A5A17">
        <w:rPr>
          <w:rFonts w:cs="Arial"/>
        </w:rPr>
        <w:t xml:space="preserve"> per cent</w:t>
      </w:r>
      <w:r w:rsidR="001A5A17" w:rsidRPr="00467D5D">
        <w:rPr>
          <w:rFonts w:cs="Arial"/>
        </w:rPr>
        <w:t xml:space="preserve"> </w:t>
      </w:r>
      <w:r w:rsidRPr="00467D5D">
        <w:rPr>
          <w:rFonts w:cs="Arial"/>
        </w:rPr>
        <w:t>and 89</w:t>
      </w:r>
      <w:r w:rsidR="001A5A17">
        <w:rPr>
          <w:rFonts w:cs="Arial"/>
        </w:rPr>
        <w:t xml:space="preserve"> per cent</w:t>
      </w:r>
      <w:r w:rsidR="001A5A17" w:rsidRPr="00467D5D">
        <w:rPr>
          <w:rFonts w:cs="Arial"/>
        </w:rPr>
        <w:t xml:space="preserve"> </w:t>
      </w:r>
      <w:r w:rsidRPr="00467D5D">
        <w:rPr>
          <w:rFonts w:cs="Arial"/>
        </w:rPr>
        <w:t>for Vanuatu and PNG. (</w:t>
      </w:r>
      <w:r w:rsidR="00866E65">
        <w:rPr>
          <w:rFonts w:cs="Arial"/>
        </w:rPr>
        <w:t>Annex 4, Table</w:t>
      </w:r>
      <w:r w:rsidR="00C12644">
        <w:rPr>
          <w:rFonts w:cs="Arial"/>
        </w:rPr>
        <w:t> </w:t>
      </w:r>
      <w:r w:rsidRPr="00467D5D">
        <w:rPr>
          <w:rFonts w:cs="Arial"/>
        </w:rPr>
        <w:t>5.2.1b)</w:t>
      </w:r>
    </w:p>
    <w:p w14:paraId="10B224CF" w14:textId="3975B367" w:rsidR="00B776E0" w:rsidRPr="00DD2B16" w:rsidRDefault="00B776E0" w:rsidP="007B4BBE">
      <w:pPr>
        <w:pStyle w:val="Tableheading"/>
      </w:pPr>
      <w:bookmarkStart w:id="689" w:name="_Toc274146484"/>
      <w:bookmarkStart w:id="690" w:name="_Toc274915943"/>
      <w:r w:rsidRPr="00DD2B16">
        <w:t xml:space="preserve">Table </w:t>
      </w:r>
      <w:r w:rsidR="00C12644">
        <w:t>6.</w:t>
      </w:r>
      <w:r w:rsidRPr="00DD2B16">
        <w:t xml:space="preserve">7: Scholarship </w:t>
      </w:r>
      <w:r w:rsidR="0052555C">
        <w:t>a</w:t>
      </w:r>
      <w:r w:rsidRPr="00DD2B16">
        <w:t xml:space="preserve">wards as a </w:t>
      </w:r>
      <w:r w:rsidR="0052555C">
        <w:t>p</w:t>
      </w:r>
      <w:r w:rsidRPr="00DD2B16">
        <w:t xml:space="preserve">ercentage of </w:t>
      </w:r>
      <w:r w:rsidR="0052555C">
        <w:t>a</w:t>
      </w:r>
      <w:r w:rsidRPr="00DD2B16">
        <w:t>pplicants</w:t>
      </w:r>
      <w:bookmarkEnd w:id="689"/>
      <w:bookmarkEnd w:id="690"/>
    </w:p>
    <w:tbl>
      <w:tblPr>
        <w:tblStyle w:val="TableGrid"/>
        <w:tblW w:w="60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276"/>
        <w:gridCol w:w="1843"/>
      </w:tblGrid>
      <w:tr w:rsidR="007B4BBE" w:rsidRPr="0052555C" w14:paraId="7B73D7F7" w14:textId="77777777" w:rsidTr="007B4BBE">
        <w:tc>
          <w:tcPr>
            <w:tcW w:w="2977" w:type="dxa"/>
            <w:gridSpan w:val="2"/>
            <w:tcBorders>
              <w:right w:val="single" w:sz="4" w:space="0" w:color="A8D08D" w:themeColor="accent6" w:themeTint="99"/>
            </w:tcBorders>
            <w:shd w:val="clear" w:color="auto" w:fill="C2D69B"/>
          </w:tcPr>
          <w:p w14:paraId="1D3AC9C1" w14:textId="77777777" w:rsidR="00B776E0" w:rsidRPr="0052555C" w:rsidRDefault="00B776E0" w:rsidP="0052555C">
            <w:pPr>
              <w:spacing w:before="40" w:after="40"/>
              <w:jc w:val="center"/>
              <w:rPr>
                <w:rFonts w:cs="Arial"/>
                <w:b/>
                <w:sz w:val="18"/>
              </w:rPr>
            </w:pPr>
            <w:r w:rsidRPr="0052555C">
              <w:rPr>
                <w:rFonts w:cs="Arial"/>
                <w:b/>
                <w:sz w:val="18"/>
              </w:rPr>
              <w:t xml:space="preserve">Campus </w:t>
            </w:r>
            <w:r w:rsidR="0052555C" w:rsidRPr="0052555C">
              <w:rPr>
                <w:rFonts w:cs="Arial"/>
                <w:b/>
                <w:sz w:val="18"/>
              </w:rPr>
              <w:t>c</w:t>
            </w:r>
            <w:r w:rsidRPr="0052555C">
              <w:rPr>
                <w:rFonts w:cs="Arial"/>
                <w:b/>
                <w:sz w:val="18"/>
              </w:rPr>
              <w:t>ountry</w:t>
            </w:r>
          </w:p>
        </w:tc>
        <w:tc>
          <w:tcPr>
            <w:tcW w:w="3119" w:type="dxa"/>
            <w:gridSpan w:val="2"/>
            <w:tcBorders>
              <w:left w:val="single" w:sz="4" w:space="0" w:color="A8D08D" w:themeColor="accent6" w:themeTint="99"/>
            </w:tcBorders>
            <w:shd w:val="clear" w:color="auto" w:fill="C2D69B"/>
          </w:tcPr>
          <w:p w14:paraId="735ABF8F" w14:textId="6C6C7B4C" w:rsidR="00B776E0" w:rsidRPr="0052555C" w:rsidRDefault="00464521" w:rsidP="00517203">
            <w:pPr>
              <w:spacing w:before="40" w:after="40"/>
              <w:jc w:val="center"/>
              <w:rPr>
                <w:rFonts w:cs="Arial"/>
                <w:b/>
                <w:sz w:val="18"/>
              </w:rPr>
            </w:pPr>
            <w:r>
              <w:rPr>
                <w:rFonts w:cs="Arial"/>
                <w:b/>
                <w:sz w:val="18"/>
              </w:rPr>
              <w:t>Non-campus country</w:t>
            </w:r>
          </w:p>
        </w:tc>
      </w:tr>
      <w:tr w:rsidR="007B4BBE" w:rsidRPr="007B4BBE" w14:paraId="1197019D" w14:textId="77777777" w:rsidTr="00A91CEF">
        <w:tc>
          <w:tcPr>
            <w:tcW w:w="1276" w:type="dxa"/>
            <w:shd w:val="clear" w:color="auto" w:fill="E2EFD9" w:themeFill="accent6" w:themeFillTint="33"/>
          </w:tcPr>
          <w:p w14:paraId="26312B39" w14:textId="77777777" w:rsidR="00B776E0" w:rsidRPr="007B4BBE" w:rsidRDefault="00B776E0" w:rsidP="007B4BBE">
            <w:pPr>
              <w:spacing w:before="40" w:after="40"/>
              <w:rPr>
                <w:rFonts w:cs="Arial"/>
                <w:b/>
                <w:sz w:val="18"/>
              </w:rPr>
            </w:pPr>
            <w:r w:rsidRPr="007B4BBE">
              <w:rPr>
                <w:rFonts w:cs="Arial"/>
                <w:b/>
                <w:sz w:val="18"/>
              </w:rPr>
              <w:t>Nationality</w:t>
            </w:r>
          </w:p>
        </w:tc>
        <w:tc>
          <w:tcPr>
            <w:tcW w:w="1701" w:type="dxa"/>
            <w:tcBorders>
              <w:right w:val="single" w:sz="4" w:space="0" w:color="A8D08D" w:themeColor="accent6" w:themeTint="99"/>
            </w:tcBorders>
            <w:shd w:val="clear" w:color="auto" w:fill="E2EFD9" w:themeFill="accent6" w:themeFillTint="33"/>
          </w:tcPr>
          <w:p w14:paraId="4753F35D" w14:textId="77777777" w:rsidR="00B776E0" w:rsidRPr="007B4BBE" w:rsidRDefault="00B776E0" w:rsidP="0052555C">
            <w:pPr>
              <w:spacing w:before="40" w:after="40"/>
              <w:jc w:val="center"/>
              <w:rPr>
                <w:rFonts w:cs="Arial"/>
                <w:b/>
                <w:sz w:val="18"/>
              </w:rPr>
            </w:pPr>
            <w:r w:rsidRPr="007B4BBE">
              <w:rPr>
                <w:rFonts w:cs="Arial"/>
                <w:b/>
                <w:sz w:val="18"/>
              </w:rPr>
              <w:t>Scholarship awards as a % of applicants</w:t>
            </w:r>
          </w:p>
        </w:tc>
        <w:tc>
          <w:tcPr>
            <w:tcW w:w="1276" w:type="dxa"/>
            <w:tcBorders>
              <w:left w:val="single" w:sz="4" w:space="0" w:color="A8D08D" w:themeColor="accent6" w:themeTint="99"/>
            </w:tcBorders>
            <w:shd w:val="clear" w:color="auto" w:fill="E2EFD9" w:themeFill="accent6" w:themeFillTint="33"/>
          </w:tcPr>
          <w:p w14:paraId="7AABFF76" w14:textId="77777777" w:rsidR="00B776E0" w:rsidRPr="007B4BBE" w:rsidRDefault="00B776E0" w:rsidP="007B4BBE">
            <w:pPr>
              <w:spacing w:before="40" w:after="40"/>
              <w:rPr>
                <w:rFonts w:cs="Arial"/>
                <w:b/>
                <w:sz w:val="18"/>
              </w:rPr>
            </w:pPr>
            <w:r w:rsidRPr="007B4BBE">
              <w:rPr>
                <w:rFonts w:cs="Arial"/>
                <w:b/>
                <w:sz w:val="18"/>
              </w:rPr>
              <w:t>Nationality</w:t>
            </w:r>
          </w:p>
        </w:tc>
        <w:tc>
          <w:tcPr>
            <w:tcW w:w="1843" w:type="dxa"/>
            <w:shd w:val="clear" w:color="auto" w:fill="E2EFD9" w:themeFill="accent6" w:themeFillTint="33"/>
          </w:tcPr>
          <w:p w14:paraId="3374596A" w14:textId="77777777" w:rsidR="00B776E0" w:rsidRPr="007B4BBE" w:rsidRDefault="00B776E0" w:rsidP="0052555C">
            <w:pPr>
              <w:spacing w:before="40" w:after="40"/>
              <w:jc w:val="center"/>
              <w:rPr>
                <w:rFonts w:cs="Arial"/>
                <w:b/>
                <w:sz w:val="18"/>
              </w:rPr>
            </w:pPr>
            <w:r w:rsidRPr="007B4BBE">
              <w:rPr>
                <w:rFonts w:cs="Arial"/>
                <w:b/>
                <w:sz w:val="18"/>
              </w:rPr>
              <w:t>Scholarship awards as a % of applicants</w:t>
            </w:r>
          </w:p>
        </w:tc>
      </w:tr>
      <w:tr w:rsidR="007B4BBE" w:rsidRPr="0052555C" w14:paraId="168F7E20" w14:textId="77777777" w:rsidTr="007B4BBE">
        <w:tc>
          <w:tcPr>
            <w:tcW w:w="1276" w:type="dxa"/>
          </w:tcPr>
          <w:p w14:paraId="6925B029" w14:textId="77777777" w:rsidR="00B776E0" w:rsidRPr="0052555C" w:rsidRDefault="00B776E0" w:rsidP="0052555C">
            <w:pPr>
              <w:spacing w:before="40" w:after="40"/>
              <w:rPr>
                <w:rFonts w:cs="Arial"/>
                <w:sz w:val="18"/>
              </w:rPr>
            </w:pPr>
            <w:r w:rsidRPr="0052555C">
              <w:rPr>
                <w:rFonts w:cs="Arial"/>
                <w:sz w:val="18"/>
              </w:rPr>
              <w:t>Samoa</w:t>
            </w:r>
          </w:p>
        </w:tc>
        <w:tc>
          <w:tcPr>
            <w:tcW w:w="1701" w:type="dxa"/>
            <w:tcBorders>
              <w:right w:val="single" w:sz="4" w:space="0" w:color="A8D08D" w:themeColor="accent6" w:themeTint="99"/>
            </w:tcBorders>
          </w:tcPr>
          <w:p w14:paraId="65E403B6" w14:textId="77777777" w:rsidR="00B776E0" w:rsidRPr="0052555C" w:rsidRDefault="00B776E0" w:rsidP="0052555C">
            <w:pPr>
              <w:spacing w:before="40" w:after="40"/>
              <w:jc w:val="center"/>
              <w:rPr>
                <w:rFonts w:cs="Arial"/>
                <w:sz w:val="18"/>
              </w:rPr>
            </w:pPr>
            <w:r w:rsidRPr="0052555C">
              <w:rPr>
                <w:rFonts w:cs="Arial"/>
                <w:sz w:val="18"/>
              </w:rPr>
              <w:t>48</w:t>
            </w:r>
          </w:p>
        </w:tc>
        <w:tc>
          <w:tcPr>
            <w:tcW w:w="1276" w:type="dxa"/>
            <w:tcBorders>
              <w:left w:val="single" w:sz="4" w:space="0" w:color="A8D08D" w:themeColor="accent6" w:themeTint="99"/>
            </w:tcBorders>
          </w:tcPr>
          <w:p w14:paraId="776F4FC1" w14:textId="77777777" w:rsidR="00B776E0" w:rsidRPr="0052555C" w:rsidRDefault="00B776E0" w:rsidP="0052555C">
            <w:pPr>
              <w:spacing w:before="40" w:after="40"/>
              <w:rPr>
                <w:rFonts w:cs="Arial"/>
                <w:sz w:val="18"/>
              </w:rPr>
            </w:pPr>
            <w:r w:rsidRPr="0052555C">
              <w:rPr>
                <w:rFonts w:cs="Arial"/>
                <w:sz w:val="18"/>
              </w:rPr>
              <w:t>Niue</w:t>
            </w:r>
          </w:p>
        </w:tc>
        <w:tc>
          <w:tcPr>
            <w:tcW w:w="1843" w:type="dxa"/>
          </w:tcPr>
          <w:p w14:paraId="04539BDF" w14:textId="77777777" w:rsidR="00B776E0" w:rsidRPr="0052555C" w:rsidRDefault="00B776E0" w:rsidP="0052555C">
            <w:pPr>
              <w:spacing w:before="40" w:after="40"/>
              <w:jc w:val="center"/>
              <w:rPr>
                <w:rFonts w:cs="Arial"/>
                <w:sz w:val="18"/>
              </w:rPr>
            </w:pPr>
            <w:r w:rsidRPr="0052555C">
              <w:rPr>
                <w:rFonts w:cs="Arial"/>
                <w:sz w:val="18"/>
              </w:rPr>
              <w:t>58</w:t>
            </w:r>
          </w:p>
        </w:tc>
      </w:tr>
      <w:tr w:rsidR="007B4BBE" w:rsidRPr="0052555C" w14:paraId="053022F6" w14:textId="77777777" w:rsidTr="007B4BBE">
        <w:tc>
          <w:tcPr>
            <w:tcW w:w="1276" w:type="dxa"/>
          </w:tcPr>
          <w:p w14:paraId="19E64960" w14:textId="77777777" w:rsidR="00B776E0" w:rsidRPr="0052555C" w:rsidRDefault="00B776E0" w:rsidP="0052555C">
            <w:pPr>
              <w:spacing w:before="40" w:after="40"/>
              <w:rPr>
                <w:rFonts w:cs="Arial"/>
                <w:sz w:val="18"/>
              </w:rPr>
            </w:pPr>
            <w:r w:rsidRPr="0052555C">
              <w:rPr>
                <w:rFonts w:cs="Arial"/>
                <w:sz w:val="18"/>
              </w:rPr>
              <w:t>Fiji</w:t>
            </w:r>
          </w:p>
        </w:tc>
        <w:tc>
          <w:tcPr>
            <w:tcW w:w="1701" w:type="dxa"/>
            <w:tcBorders>
              <w:right w:val="single" w:sz="4" w:space="0" w:color="A8D08D" w:themeColor="accent6" w:themeTint="99"/>
            </w:tcBorders>
          </w:tcPr>
          <w:p w14:paraId="3299A0BF" w14:textId="77777777" w:rsidR="00B776E0" w:rsidRPr="0052555C" w:rsidRDefault="00B776E0" w:rsidP="0052555C">
            <w:pPr>
              <w:spacing w:before="40" w:after="40"/>
              <w:jc w:val="center"/>
              <w:rPr>
                <w:rFonts w:cs="Arial"/>
                <w:sz w:val="18"/>
              </w:rPr>
            </w:pPr>
            <w:r w:rsidRPr="0052555C">
              <w:rPr>
                <w:rFonts w:cs="Arial"/>
                <w:sz w:val="18"/>
              </w:rPr>
              <w:t>40</w:t>
            </w:r>
          </w:p>
        </w:tc>
        <w:tc>
          <w:tcPr>
            <w:tcW w:w="1276" w:type="dxa"/>
            <w:tcBorders>
              <w:left w:val="single" w:sz="4" w:space="0" w:color="A8D08D" w:themeColor="accent6" w:themeTint="99"/>
            </w:tcBorders>
          </w:tcPr>
          <w:p w14:paraId="4AB8940E" w14:textId="77777777" w:rsidR="00B776E0" w:rsidRPr="0052555C" w:rsidRDefault="00B776E0" w:rsidP="0052555C">
            <w:pPr>
              <w:spacing w:before="40" w:after="40"/>
              <w:rPr>
                <w:rFonts w:cs="Arial"/>
                <w:sz w:val="18"/>
              </w:rPr>
            </w:pPr>
            <w:r w:rsidRPr="0052555C">
              <w:rPr>
                <w:rFonts w:cs="Arial"/>
                <w:sz w:val="18"/>
              </w:rPr>
              <w:t xml:space="preserve">Tonga </w:t>
            </w:r>
          </w:p>
        </w:tc>
        <w:tc>
          <w:tcPr>
            <w:tcW w:w="1843" w:type="dxa"/>
          </w:tcPr>
          <w:p w14:paraId="2614C0AB" w14:textId="77777777" w:rsidR="00B776E0" w:rsidRPr="0052555C" w:rsidRDefault="00B776E0" w:rsidP="0052555C">
            <w:pPr>
              <w:spacing w:before="40" w:after="40"/>
              <w:jc w:val="center"/>
              <w:rPr>
                <w:rFonts w:cs="Arial"/>
                <w:sz w:val="18"/>
              </w:rPr>
            </w:pPr>
            <w:r w:rsidRPr="0052555C">
              <w:rPr>
                <w:rFonts w:cs="Arial"/>
                <w:sz w:val="18"/>
              </w:rPr>
              <w:t>46</w:t>
            </w:r>
          </w:p>
        </w:tc>
      </w:tr>
      <w:tr w:rsidR="007B4BBE" w:rsidRPr="0052555C" w14:paraId="1E240979" w14:textId="77777777" w:rsidTr="007B4BBE">
        <w:tc>
          <w:tcPr>
            <w:tcW w:w="1276" w:type="dxa"/>
            <w:shd w:val="clear" w:color="auto" w:fill="E2EFD9" w:themeFill="accent6" w:themeFillTint="33"/>
          </w:tcPr>
          <w:p w14:paraId="22B9EBBF" w14:textId="77777777" w:rsidR="00B776E0" w:rsidRPr="0052555C" w:rsidRDefault="00B776E0" w:rsidP="0052555C">
            <w:pPr>
              <w:spacing w:before="40" w:after="40"/>
              <w:rPr>
                <w:rFonts w:cs="Arial"/>
                <w:sz w:val="18"/>
              </w:rPr>
            </w:pPr>
            <w:r w:rsidRPr="0052555C">
              <w:rPr>
                <w:rFonts w:cs="Arial"/>
                <w:sz w:val="18"/>
              </w:rPr>
              <w:t>Average all countries</w:t>
            </w:r>
          </w:p>
        </w:tc>
        <w:tc>
          <w:tcPr>
            <w:tcW w:w="1701" w:type="dxa"/>
            <w:tcBorders>
              <w:right w:val="single" w:sz="4" w:space="0" w:color="A8D08D" w:themeColor="accent6" w:themeTint="99"/>
            </w:tcBorders>
            <w:shd w:val="clear" w:color="auto" w:fill="E2EFD9" w:themeFill="accent6" w:themeFillTint="33"/>
          </w:tcPr>
          <w:p w14:paraId="5195B097" w14:textId="77777777" w:rsidR="00B776E0" w:rsidRPr="0052555C" w:rsidRDefault="00B776E0" w:rsidP="0052555C">
            <w:pPr>
              <w:spacing w:before="40" w:after="40"/>
              <w:jc w:val="center"/>
              <w:rPr>
                <w:rFonts w:cs="Arial"/>
                <w:sz w:val="18"/>
              </w:rPr>
            </w:pPr>
            <w:r w:rsidRPr="0052555C">
              <w:rPr>
                <w:rFonts w:cs="Arial"/>
                <w:sz w:val="18"/>
              </w:rPr>
              <w:t>39</w:t>
            </w:r>
          </w:p>
        </w:tc>
        <w:tc>
          <w:tcPr>
            <w:tcW w:w="1276" w:type="dxa"/>
            <w:tcBorders>
              <w:left w:val="single" w:sz="4" w:space="0" w:color="A8D08D" w:themeColor="accent6" w:themeTint="99"/>
            </w:tcBorders>
          </w:tcPr>
          <w:p w14:paraId="76A45F27" w14:textId="77777777" w:rsidR="00B776E0" w:rsidRPr="0052555C" w:rsidRDefault="00B776E0" w:rsidP="0052555C">
            <w:pPr>
              <w:spacing w:before="40" w:after="40"/>
              <w:rPr>
                <w:rFonts w:cs="Arial"/>
                <w:sz w:val="18"/>
              </w:rPr>
            </w:pPr>
            <w:r w:rsidRPr="0052555C">
              <w:rPr>
                <w:rFonts w:cs="Arial"/>
                <w:sz w:val="18"/>
              </w:rPr>
              <w:t>Tuvalu</w:t>
            </w:r>
          </w:p>
        </w:tc>
        <w:tc>
          <w:tcPr>
            <w:tcW w:w="1843" w:type="dxa"/>
          </w:tcPr>
          <w:p w14:paraId="1AE35441" w14:textId="77777777" w:rsidR="00B776E0" w:rsidRPr="0052555C" w:rsidRDefault="00B776E0" w:rsidP="0052555C">
            <w:pPr>
              <w:spacing w:before="40" w:after="40"/>
              <w:jc w:val="center"/>
              <w:rPr>
                <w:rFonts w:cs="Arial"/>
                <w:sz w:val="18"/>
              </w:rPr>
            </w:pPr>
            <w:r w:rsidRPr="0052555C">
              <w:rPr>
                <w:rFonts w:cs="Arial"/>
                <w:sz w:val="18"/>
              </w:rPr>
              <w:t>43</w:t>
            </w:r>
          </w:p>
        </w:tc>
      </w:tr>
      <w:tr w:rsidR="007B4BBE" w:rsidRPr="0052555C" w14:paraId="05EBD5DA" w14:textId="77777777" w:rsidTr="007B4BBE">
        <w:tc>
          <w:tcPr>
            <w:tcW w:w="1276" w:type="dxa"/>
            <w:shd w:val="clear" w:color="auto" w:fill="auto"/>
          </w:tcPr>
          <w:p w14:paraId="678C21D9" w14:textId="77777777" w:rsidR="00B776E0" w:rsidRPr="0052555C" w:rsidRDefault="00B776E0" w:rsidP="0052555C">
            <w:pPr>
              <w:spacing w:before="40" w:after="40"/>
              <w:rPr>
                <w:rFonts w:cs="Arial"/>
                <w:sz w:val="18"/>
              </w:rPr>
            </w:pPr>
            <w:r w:rsidRPr="0052555C">
              <w:rPr>
                <w:rFonts w:cs="Arial"/>
                <w:sz w:val="18"/>
              </w:rPr>
              <w:t xml:space="preserve">Solomon Islands </w:t>
            </w:r>
          </w:p>
        </w:tc>
        <w:tc>
          <w:tcPr>
            <w:tcW w:w="1701" w:type="dxa"/>
            <w:tcBorders>
              <w:right w:val="single" w:sz="4" w:space="0" w:color="A8D08D" w:themeColor="accent6" w:themeTint="99"/>
            </w:tcBorders>
            <w:shd w:val="clear" w:color="auto" w:fill="auto"/>
          </w:tcPr>
          <w:p w14:paraId="05FB7932" w14:textId="77777777" w:rsidR="00B776E0" w:rsidRPr="0052555C" w:rsidRDefault="00B776E0" w:rsidP="0052555C">
            <w:pPr>
              <w:spacing w:before="40" w:after="40"/>
              <w:jc w:val="center"/>
              <w:rPr>
                <w:rFonts w:cs="Arial"/>
                <w:sz w:val="18"/>
              </w:rPr>
            </w:pPr>
            <w:r w:rsidRPr="0052555C">
              <w:rPr>
                <w:rFonts w:cs="Arial"/>
                <w:sz w:val="18"/>
              </w:rPr>
              <w:t>37</w:t>
            </w:r>
          </w:p>
        </w:tc>
        <w:tc>
          <w:tcPr>
            <w:tcW w:w="1276" w:type="dxa"/>
            <w:tcBorders>
              <w:left w:val="single" w:sz="4" w:space="0" w:color="A8D08D" w:themeColor="accent6" w:themeTint="99"/>
            </w:tcBorders>
          </w:tcPr>
          <w:p w14:paraId="1B653434" w14:textId="77777777" w:rsidR="00B776E0" w:rsidRPr="0052555C" w:rsidRDefault="00B776E0" w:rsidP="0052555C">
            <w:pPr>
              <w:spacing w:before="40" w:after="40"/>
              <w:rPr>
                <w:rFonts w:cs="Arial"/>
                <w:sz w:val="18"/>
              </w:rPr>
            </w:pPr>
            <w:r w:rsidRPr="0052555C">
              <w:rPr>
                <w:rFonts w:cs="Arial"/>
                <w:sz w:val="18"/>
              </w:rPr>
              <w:t xml:space="preserve">RMI </w:t>
            </w:r>
          </w:p>
        </w:tc>
        <w:tc>
          <w:tcPr>
            <w:tcW w:w="1843" w:type="dxa"/>
          </w:tcPr>
          <w:p w14:paraId="14907BD8" w14:textId="77777777" w:rsidR="00B776E0" w:rsidRPr="0052555C" w:rsidRDefault="00B776E0" w:rsidP="0052555C">
            <w:pPr>
              <w:spacing w:before="40" w:after="40"/>
              <w:jc w:val="center"/>
              <w:rPr>
                <w:rFonts w:cs="Arial"/>
                <w:sz w:val="18"/>
              </w:rPr>
            </w:pPr>
            <w:r w:rsidRPr="0052555C">
              <w:rPr>
                <w:rFonts w:cs="Arial"/>
                <w:sz w:val="18"/>
              </w:rPr>
              <w:t>43</w:t>
            </w:r>
          </w:p>
        </w:tc>
      </w:tr>
      <w:tr w:rsidR="007B4BBE" w:rsidRPr="0052555C" w14:paraId="783E37F0" w14:textId="77777777" w:rsidTr="007B4BBE">
        <w:tc>
          <w:tcPr>
            <w:tcW w:w="1276" w:type="dxa"/>
          </w:tcPr>
          <w:p w14:paraId="4377D181" w14:textId="77777777" w:rsidR="00B776E0" w:rsidRPr="0052555C" w:rsidRDefault="00B776E0" w:rsidP="0052555C">
            <w:pPr>
              <w:spacing w:before="40" w:after="40"/>
              <w:rPr>
                <w:rFonts w:cs="Arial"/>
                <w:sz w:val="18"/>
              </w:rPr>
            </w:pPr>
            <w:r w:rsidRPr="0052555C">
              <w:rPr>
                <w:rFonts w:cs="Arial"/>
                <w:sz w:val="18"/>
              </w:rPr>
              <w:t>PNG</w:t>
            </w:r>
          </w:p>
        </w:tc>
        <w:tc>
          <w:tcPr>
            <w:tcW w:w="1701" w:type="dxa"/>
            <w:tcBorders>
              <w:right w:val="single" w:sz="4" w:space="0" w:color="A8D08D" w:themeColor="accent6" w:themeTint="99"/>
            </w:tcBorders>
          </w:tcPr>
          <w:p w14:paraId="66AD1C60" w14:textId="77777777" w:rsidR="00B776E0" w:rsidRPr="0052555C" w:rsidRDefault="00B776E0" w:rsidP="0052555C">
            <w:pPr>
              <w:spacing w:before="40" w:after="40"/>
              <w:jc w:val="center"/>
              <w:rPr>
                <w:rFonts w:cs="Arial"/>
                <w:sz w:val="18"/>
              </w:rPr>
            </w:pPr>
            <w:r w:rsidRPr="0052555C">
              <w:rPr>
                <w:rFonts w:cs="Arial"/>
                <w:sz w:val="18"/>
              </w:rPr>
              <w:t>36</w:t>
            </w:r>
          </w:p>
        </w:tc>
        <w:tc>
          <w:tcPr>
            <w:tcW w:w="1276" w:type="dxa"/>
            <w:tcBorders>
              <w:left w:val="single" w:sz="4" w:space="0" w:color="A8D08D" w:themeColor="accent6" w:themeTint="99"/>
            </w:tcBorders>
            <w:shd w:val="clear" w:color="auto" w:fill="E2EFD9" w:themeFill="accent6" w:themeFillTint="33"/>
          </w:tcPr>
          <w:p w14:paraId="1A2678E7" w14:textId="77777777" w:rsidR="00B776E0" w:rsidRPr="0052555C" w:rsidRDefault="00B776E0" w:rsidP="0052555C">
            <w:pPr>
              <w:spacing w:before="40" w:after="40"/>
              <w:rPr>
                <w:rFonts w:cs="Arial"/>
                <w:sz w:val="18"/>
              </w:rPr>
            </w:pPr>
            <w:r w:rsidRPr="0052555C">
              <w:rPr>
                <w:rFonts w:cs="Arial"/>
                <w:sz w:val="18"/>
              </w:rPr>
              <w:t>Average all countries</w:t>
            </w:r>
          </w:p>
        </w:tc>
        <w:tc>
          <w:tcPr>
            <w:tcW w:w="1843" w:type="dxa"/>
            <w:shd w:val="clear" w:color="auto" w:fill="E2EFD9" w:themeFill="accent6" w:themeFillTint="33"/>
          </w:tcPr>
          <w:p w14:paraId="50F8EA38" w14:textId="77777777" w:rsidR="00B776E0" w:rsidRPr="0052555C" w:rsidRDefault="00B776E0" w:rsidP="0052555C">
            <w:pPr>
              <w:spacing w:before="40" w:after="40"/>
              <w:jc w:val="center"/>
              <w:rPr>
                <w:rFonts w:cs="Arial"/>
                <w:sz w:val="18"/>
              </w:rPr>
            </w:pPr>
            <w:r w:rsidRPr="0052555C">
              <w:rPr>
                <w:rFonts w:cs="Arial"/>
                <w:sz w:val="18"/>
              </w:rPr>
              <w:t>39</w:t>
            </w:r>
          </w:p>
        </w:tc>
      </w:tr>
      <w:tr w:rsidR="007B4BBE" w:rsidRPr="0052555C" w14:paraId="592124CF" w14:textId="77777777" w:rsidTr="007B4BBE">
        <w:tc>
          <w:tcPr>
            <w:tcW w:w="1276" w:type="dxa"/>
            <w:shd w:val="clear" w:color="auto" w:fill="auto"/>
          </w:tcPr>
          <w:p w14:paraId="05F4EAFA" w14:textId="77777777" w:rsidR="00B776E0" w:rsidRPr="0052555C" w:rsidRDefault="00B776E0" w:rsidP="0052555C">
            <w:pPr>
              <w:spacing w:before="40" w:after="40"/>
              <w:rPr>
                <w:rFonts w:cs="Arial"/>
                <w:sz w:val="18"/>
              </w:rPr>
            </w:pPr>
            <w:r w:rsidRPr="0052555C">
              <w:rPr>
                <w:rFonts w:cs="Arial"/>
                <w:sz w:val="18"/>
              </w:rPr>
              <w:t xml:space="preserve">Vanuatu </w:t>
            </w:r>
          </w:p>
        </w:tc>
        <w:tc>
          <w:tcPr>
            <w:tcW w:w="1701" w:type="dxa"/>
            <w:tcBorders>
              <w:right w:val="single" w:sz="4" w:space="0" w:color="A8D08D" w:themeColor="accent6" w:themeTint="99"/>
            </w:tcBorders>
            <w:shd w:val="clear" w:color="auto" w:fill="auto"/>
          </w:tcPr>
          <w:p w14:paraId="1FE724CE" w14:textId="77777777" w:rsidR="00B776E0" w:rsidRPr="0052555C" w:rsidRDefault="00B776E0" w:rsidP="0052555C">
            <w:pPr>
              <w:spacing w:before="40" w:after="40"/>
              <w:jc w:val="center"/>
              <w:rPr>
                <w:rFonts w:cs="Arial"/>
                <w:sz w:val="18"/>
              </w:rPr>
            </w:pPr>
            <w:r w:rsidRPr="0052555C">
              <w:rPr>
                <w:rFonts w:cs="Arial"/>
                <w:sz w:val="18"/>
              </w:rPr>
              <w:t>34</w:t>
            </w:r>
          </w:p>
        </w:tc>
        <w:tc>
          <w:tcPr>
            <w:tcW w:w="1276" w:type="dxa"/>
            <w:tcBorders>
              <w:left w:val="single" w:sz="4" w:space="0" w:color="A8D08D" w:themeColor="accent6" w:themeTint="99"/>
            </w:tcBorders>
          </w:tcPr>
          <w:p w14:paraId="017BBE38" w14:textId="77777777" w:rsidR="00B776E0" w:rsidRPr="0052555C" w:rsidRDefault="00B776E0" w:rsidP="0052555C">
            <w:pPr>
              <w:spacing w:before="40" w:after="40"/>
              <w:rPr>
                <w:rFonts w:cs="Arial"/>
                <w:sz w:val="18"/>
              </w:rPr>
            </w:pPr>
            <w:r w:rsidRPr="0052555C">
              <w:rPr>
                <w:rFonts w:cs="Arial"/>
                <w:sz w:val="18"/>
              </w:rPr>
              <w:t>Nauru</w:t>
            </w:r>
          </w:p>
        </w:tc>
        <w:tc>
          <w:tcPr>
            <w:tcW w:w="1843" w:type="dxa"/>
          </w:tcPr>
          <w:p w14:paraId="033D137C" w14:textId="77777777" w:rsidR="00B776E0" w:rsidRPr="0052555C" w:rsidRDefault="00B776E0" w:rsidP="0052555C">
            <w:pPr>
              <w:spacing w:before="40" w:after="40"/>
              <w:jc w:val="center"/>
              <w:rPr>
                <w:rFonts w:cs="Arial"/>
                <w:sz w:val="18"/>
              </w:rPr>
            </w:pPr>
            <w:r w:rsidRPr="0052555C">
              <w:rPr>
                <w:rFonts w:cs="Arial"/>
                <w:sz w:val="18"/>
              </w:rPr>
              <w:t>38</w:t>
            </w:r>
          </w:p>
        </w:tc>
      </w:tr>
      <w:tr w:rsidR="007B4BBE" w:rsidRPr="0052555C" w14:paraId="6883196E" w14:textId="77777777" w:rsidTr="007B4BBE">
        <w:tc>
          <w:tcPr>
            <w:tcW w:w="1276" w:type="dxa"/>
          </w:tcPr>
          <w:p w14:paraId="678DF758" w14:textId="77777777" w:rsidR="00B776E0" w:rsidRPr="0052555C" w:rsidRDefault="00B776E0" w:rsidP="0052555C">
            <w:pPr>
              <w:spacing w:before="40" w:after="40"/>
              <w:rPr>
                <w:rFonts w:cs="Arial"/>
                <w:sz w:val="18"/>
              </w:rPr>
            </w:pPr>
          </w:p>
        </w:tc>
        <w:tc>
          <w:tcPr>
            <w:tcW w:w="1701" w:type="dxa"/>
            <w:tcBorders>
              <w:right w:val="single" w:sz="4" w:space="0" w:color="A8D08D" w:themeColor="accent6" w:themeTint="99"/>
            </w:tcBorders>
          </w:tcPr>
          <w:p w14:paraId="4C56C9E7" w14:textId="77777777" w:rsidR="00B776E0" w:rsidRPr="0052555C" w:rsidRDefault="00B776E0" w:rsidP="0052555C">
            <w:pPr>
              <w:spacing w:before="40" w:after="40"/>
              <w:jc w:val="center"/>
              <w:rPr>
                <w:rFonts w:cs="Arial"/>
                <w:sz w:val="18"/>
              </w:rPr>
            </w:pPr>
          </w:p>
        </w:tc>
        <w:tc>
          <w:tcPr>
            <w:tcW w:w="1276" w:type="dxa"/>
            <w:tcBorders>
              <w:left w:val="single" w:sz="4" w:space="0" w:color="A8D08D" w:themeColor="accent6" w:themeTint="99"/>
            </w:tcBorders>
          </w:tcPr>
          <w:p w14:paraId="388C8214" w14:textId="77777777" w:rsidR="00B776E0" w:rsidRPr="0052555C" w:rsidRDefault="00B776E0" w:rsidP="0052555C">
            <w:pPr>
              <w:spacing w:before="40" w:after="40"/>
              <w:rPr>
                <w:rFonts w:cs="Arial"/>
                <w:sz w:val="18"/>
              </w:rPr>
            </w:pPr>
            <w:r w:rsidRPr="0052555C">
              <w:rPr>
                <w:rFonts w:cs="Arial"/>
                <w:sz w:val="18"/>
              </w:rPr>
              <w:t>Kiribati</w:t>
            </w:r>
          </w:p>
        </w:tc>
        <w:tc>
          <w:tcPr>
            <w:tcW w:w="1843" w:type="dxa"/>
          </w:tcPr>
          <w:p w14:paraId="016706F8" w14:textId="77777777" w:rsidR="00B776E0" w:rsidRPr="0052555C" w:rsidRDefault="00B776E0" w:rsidP="0052555C">
            <w:pPr>
              <w:spacing w:before="40" w:after="40"/>
              <w:jc w:val="center"/>
              <w:rPr>
                <w:rFonts w:cs="Arial"/>
                <w:sz w:val="18"/>
              </w:rPr>
            </w:pPr>
            <w:r w:rsidRPr="0052555C">
              <w:rPr>
                <w:rFonts w:cs="Arial"/>
                <w:sz w:val="18"/>
              </w:rPr>
              <w:t>34</w:t>
            </w:r>
          </w:p>
        </w:tc>
      </w:tr>
      <w:tr w:rsidR="007B4BBE" w:rsidRPr="0052555C" w14:paraId="14EB2BE3" w14:textId="77777777" w:rsidTr="007B4BBE">
        <w:tc>
          <w:tcPr>
            <w:tcW w:w="1276" w:type="dxa"/>
          </w:tcPr>
          <w:p w14:paraId="087379CA" w14:textId="77777777" w:rsidR="00B776E0" w:rsidRPr="0052555C" w:rsidRDefault="00B776E0" w:rsidP="0052555C">
            <w:pPr>
              <w:spacing w:before="40" w:after="40"/>
              <w:rPr>
                <w:rFonts w:cs="Arial"/>
                <w:sz w:val="18"/>
              </w:rPr>
            </w:pPr>
          </w:p>
        </w:tc>
        <w:tc>
          <w:tcPr>
            <w:tcW w:w="1701" w:type="dxa"/>
            <w:tcBorders>
              <w:right w:val="single" w:sz="4" w:space="0" w:color="A8D08D" w:themeColor="accent6" w:themeTint="99"/>
            </w:tcBorders>
          </w:tcPr>
          <w:p w14:paraId="5113FDBE" w14:textId="77777777" w:rsidR="00B776E0" w:rsidRPr="0052555C" w:rsidRDefault="00B776E0" w:rsidP="0052555C">
            <w:pPr>
              <w:spacing w:before="40" w:after="40"/>
              <w:jc w:val="center"/>
              <w:rPr>
                <w:rFonts w:cs="Arial"/>
                <w:sz w:val="18"/>
              </w:rPr>
            </w:pPr>
          </w:p>
        </w:tc>
        <w:tc>
          <w:tcPr>
            <w:tcW w:w="1276" w:type="dxa"/>
            <w:tcBorders>
              <w:left w:val="single" w:sz="4" w:space="0" w:color="A8D08D" w:themeColor="accent6" w:themeTint="99"/>
            </w:tcBorders>
            <w:shd w:val="clear" w:color="auto" w:fill="auto"/>
          </w:tcPr>
          <w:p w14:paraId="06FA472E" w14:textId="77777777" w:rsidR="00B776E0" w:rsidRPr="0052555C" w:rsidRDefault="00B776E0" w:rsidP="0052555C">
            <w:pPr>
              <w:spacing w:before="40" w:after="40"/>
              <w:rPr>
                <w:rFonts w:cs="Arial"/>
                <w:sz w:val="18"/>
              </w:rPr>
            </w:pPr>
            <w:r w:rsidRPr="0052555C">
              <w:rPr>
                <w:rFonts w:cs="Arial"/>
                <w:sz w:val="18"/>
              </w:rPr>
              <w:t>Palau</w:t>
            </w:r>
          </w:p>
        </w:tc>
        <w:tc>
          <w:tcPr>
            <w:tcW w:w="1843" w:type="dxa"/>
            <w:shd w:val="clear" w:color="auto" w:fill="auto"/>
          </w:tcPr>
          <w:p w14:paraId="4A896B6E" w14:textId="77777777" w:rsidR="00B776E0" w:rsidRPr="0052555C" w:rsidRDefault="00B776E0" w:rsidP="0052555C">
            <w:pPr>
              <w:spacing w:before="40" w:after="40"/>
              <w:jc w:val="center"/>
              <w:rPr>
                <w:rFonts w:cs="Arial"/>
                <w:sz w:val="18"/>
              </w:rPr>
            </w:pPr>
            <w:r w:rsidRPr="0052555C">
              <w:rPr>
                <w:rFonts w:cs="Arial"/>
                <w:sz w:val="18"/>
              </w:rPr>
              <w:t>33</w:t>
            </w:r>
          </w:p>
        </w:tc>
      </w:tr>
      <w:tr w:rsidR="007B4BBE" w:rsidRPr="0052555C" w14:paraId="3EAF48EC" w14:textId="77777777" w:rsidTr="007B4BBE">
        <w:tc>
          <w:tcPr>
            <w:tcW w:w="1276" w:type="dxa"/>
            <w:tcBorders>
              <w:bottom w:val="single" w:sz="4" w:space="0" w:color="A8D08D" w:themeColor="accent6" w:themeTint="99"/>
            </w:tcBorders>
          </w:tcPr>
          <w:p w14:paraId="1CFF5D89" w14:textId="77777777" w:rsidR="00B776E0" w:rsidRPr="0052555C" w:rsidRDefault="00B776E0" w:rsidP="0052555C">
            <w:pPr>
              <w:spacing w:before="40" w:after="40"/>
              <w:rPr>
                <w:rFonts w:cs="Arial"/>
                <w:sz w:val="18"/>
              </w:rPr>
            </w:pPr>
          </w:p>
        </w:tc>
        <w:tc>
          <w:tcPr>
            <w:tcW w:w="1701" w:type="dxa"/>
            <w:tcBorders>
              <w:bottom w:val="single" w:sz="4" w:space="0" w:color="A8D08D" w:themeColor="accent6" w:themeTint="99"/>
              <w:right w:val="single" w:sz="4" w:space="0" w:color="A8D08D" w:themeColor="accent6" w:themeTint="99"/>
            </w:tcBorders>
          </w:tcPr>
          <w:p w14:paraId="0BB421D8" w14:textId="77777777" w:rsidR="00B776E0" w:rsidRPr="0052555C" w:rsidRDefault="00B776E0" w:rsidP="0052555C">
            <w:pPr>
              <w:spacing w:before="40" w:after="40"/>
              <w:jc w:val="center"/>
              <w:rPr>
                <w:rFonts w:cs="Arial"/>
                <w:sz w:val="18"/>
              </w:rPr>
            </w:pPr>
          </w:p>
        </w:tc>
        <w:tc>
          <w:tcPr>
            <w:tcW w:w="1276" w:type="dxa"/>
            <w:tcBorders>
              <w:left w:val="single" w:sz="4" w:space="0" w:color="A8D08D" w:themeColor="accent6" w:themeTint="99"/>
              <w:bottom w:val="single" w:sz="4" w:space="0" w:color="A8D08D" w:themeColor="accent6" w:themeTint="99"/>
            </w:tcBorders>
          </w:tcPr>
          <w:p w14:paraId="1883237A" w14:textId="77777777" w:rsidR="00B776E0" w:rsidRPr="0052555C" w:rsidRDefault="00B776E0" w:rsidP="0052555C">
            <w:pPr>
              <w:spacing w:before="40" w:after="40"/>
              <w:rPr>
                <w:rFonts w:cs="Arial"/>
                <w:sz w:val="18"/>
              </w:rPr>
            </w:pPr>
            <w:r w:rsidRPr="0052555C">
              <w:rPr>
                <w:rFonts w:cs="Arial"/>
                <w:sz w:val="18"/>
              </w:rPr>
              <w:t>FSM</w:t>
            </w:r>
          </w:p>
        </w:tc>
        <w:tc>
          <w:tcPr>
            <w:tcW w:w="1843" w:type="dxa"/>
            <w:tcBorders>
              <w:bottom w:val="single" w:sz="4" w:space="0" w:color="A8D08D" w:themeColor="accent6" w:themeTint="99"/>
            </w:tcBorders>
          </w:tcPr>
          <w:p w14:paraId="79F4C826" w14:textId="77777777" w:rsidR="00B776E0" w:rsidRPr="0052555C" w:rsidRDefault="00B776E0" w:rsidP="0052555C">
            <w:pPr>
              <w:spacing w:before="40" w:after="40"/>
              <w:jc w:val="center"/>
              <w:rPr>
                <w:rFonts w:cs="Arial"/>
                <w:sz w:val="18"/>
              </w:rPr>
            </w:pPr>
            <w:r w:rsidRPr="0052555C">
              <w:rPr>
                <w:rFonts w:cs="Arial"/>
                <w:sz w:val="18"/>
              </w:rPr>
              <w:t>21</w:t>
            </w:r>
          </w:p>
        </w:tc>
      </w:tr>
    </w:tbl>
    <w:p w14:paraId="658D6DF5" w14:textId="04C81998" w:rsidR="00B776E0" w:rsidRPr="008B7680" w:rsidRDefault="007B4BBE" w:rsidP="00B776E0">
      <w:pPr>
        <w:rPr>
          <w:rFonts w:cs="Arial"/>
          <w:sz w:val="16"/>
        </w:rPr>
      </w:pPr>
      <w:r>
        <w:rPr>
          <w:rFonts w:cs="Arial"/>
          <w:sz w:val="16"/>
        </w:rPr>
        <w:br/>
      </w:r>
      <w:r w:rsidR="00546F37" w:rsidRPr="00546F37">
        <w:rPr>
          <w:rFonts w:cs="Arial"/>
          <w:sz w:val="16"/>
        </w:rPr>
        <w:t>Source: APTC data</w:t>
      </w:r>
    </w:p>
    <w:p w14:paraId="7DC0433D" w14:textId="283DC71E" w:rsidR="0052555C" w:rsidRPr="000859B4" w:rsidRDefault="00F80B76" w:rsidP="00B776E0">
      <w:pPr>
        <w:rPr>
          <w:rFonts w:cs="Arial"/>
        </w:rPr>
      </w:pPr>
      <w:r>
        <w:rPr>
          <w:rFonts w:cs="Arial"/>
        </w:rPr>
        <w:t xml:space="preserve">Among campus countries, the below-average rate of scholarship awards for Solomon Islands and PNG indicates a </w:t>
      </w:r>
      <w:r w:rsidR="00A162BF">
        <w:rPr>
          <w:rFonts w:cs="Arial"/>
        </w:rPr>
        <w:t xml:space="preserve">comparatively </w:t>
      </w:r>
      <w:r>
        <w:rPr>
          <w:rFonts w:cs="Arial"/>
        </w:rPr>
        <w:t>weak pool of candidates.</w:t>
      </w:r>
    </w:p>
    <w:p w14:paraId="4FBFDB35" w14:textId="1693BD7E" w:rsidR="002329AF" w:rsidRPr="000859B4" w:rsidRDefault="00546F37" w:rsidP="002329AF">
      <w:pPr>
        <w:rPr>
          <w:rFonts w:cs="Arial"/>
        </w:rPr>
      </w:pPr>
      <w:r w:rsidRPr="00546F37">
        <w:rPr>
          <w:rFonts w:cs="Arial"/>
          <w:b/>
          <w:i/>
        </w:rPr>
        <w:t>Bridg</w:t>
      </w:r>
      <w:r w:rsidR="002329AF">
        <w:rPr>
          <w:rFonts w:cs="Arial"/>
          <w:b/>
          <w:i/>
        </w:rPr>
        <w:t>ing</w:t>
      </w:r>
      <w:r w:rsidRPr="00546F37">
        <w:rPr>
          <w:rFonts w:cs="Arial"/>
          <w:b/>
          <w:i/>
        </w:rPr>
        <w:t xml:space="preserve"> and LLN.</w:t>
      </w:r>
      <w:r w:rsidR="00B776E0" w:rsidRPr="00467D5D">
        <w:rPr>
          <w:rFonts w:cs="Arial"/>
          <w:b/>
        </w:rPr>
        <w:t xml:space="preserve"> </w:t>
      </w:r>
      <w:r w:rsidR="00B776E0" w:rsidRPr="00467D5D">
        <w:rPr>
          <w:rFonts w:cs="Arial"/>
        </w:rPr>
        <w:t>The APTC program has shifted from seeking to improve the skills of potential applicants prior to application (e.g. as piloted in KIT and USP MI in 2012)</w:t>
      </w:r>
      <w:r w:rsidR="00B776E0" w:rsidRPr="00467D5D">
        <w:rPr>
          <w:rStyle w:val="FootnoteReference"/>
          <w:rFonts w:cs="Arial"/>
        </w:rPr>
        <w:footnoteReference w:id="42"/>
      </w:r>
      <w:r w:rsidR="00B776E0" w:rsidRPr="00467D5D">
        <w:rPr>
          <w:rFonts w:cs="Arial"/>
        </w:rPr>
        <w:t xml:space="preserve"> to an integrated model. The integrated model is based on the finding that adults learn LLN best in a context, i.e. as part of the vocational training and development.</w:t>
      </w:r>
      <w:r w:rsidR="00B776E0" w:rsidRPr="00467D5D">
        <w:rPr>
          <w:rStyle w:val="FootnoteReference"/>
          <w:rFonts w:cs="Arial"/>
        </w:rPr>
        <w:footnoteReference w:id="43"/>
      </w:r>
      <w:r w:rsidR="00B776E0" w:rsidRPr="00467D5D">
        <w:rPr>
          <w:rFonts w:cs="Arial"/>
        </w:rPr>
        <w:t xml:space="preserve"> So the emphasis, rather than on bridging, is now on upgrading the LLN skills of trainees after admission and during training.</w:t>
      </w:r>
      <w:r w:rsidR="0029400E">
        <w:rPr>
          <w:rFonts w:cs="Arial"/>
        </w:rPr>
        <w:t xml:space="preserve"> </w:t>
      </w:r>
      <w:r w:rsidR="002329AF" w:rsidRPr="000859B4">
        <w:rPr>
          <w:rFonts w:cs="Arial"/>
        </w:rPr>
        <w:t>Students are supported during training by Learning Support Facilitators (LSF) who work alongside the vocational trainers to deliver the integrated LLN program. One LSF is based in each of Vanuatu, PNG, Samoa and the Solomon Islands</w:t>
      </w:r>
      <w:r w:rsidR="008A6F83">
        <w:rPr>
          <w:rFonts w:cs="Arial"/>
        </w:rPr>
        <w:t>,</w:t>
      </w:r>
      <w:r w:rsidR="002329AF" w:rsidRPr="000859B4">
        <w:rPr>
          <w:rFonts w:cs="Arial"/>
        </w:rPr>
        <w:t xml:space="preserve"> while two are located in Fiji.</w:t>
      </w:r>
    </w:p>
    <w:p w14:paraId="53E0894C" w14:textId="3CD94C30" w:rsidR="00B776E0" w:rsidRPr="002F38D1" w:rsidRDefault="002329AF" w:rsidP="002329AF">
      <w:pPr>
        <w:rPr>
          <w:rFonts w:cs="Arial"/>
        </w:rPr>
      </w:pPr>
      <w:r w:rsidRPr="000859B4">
        <w:rPr>
          <w:rFonts w:cs="Arial"/>
        </w:rPr>
        <w:t xml:space="preserve">This approach is consistent with current practice in Australia. The initial LLN assessment scores are aligned to the Australian Core Skills Framework </w:t>
      </w:r>
      <w:r w:rsidR="008A6F83">
        <w:rPr>
          <w:rFonts w:cs="Arial"/>
        </w:rPr>
        <w:t>–</w:t>
      </w:r>
      <w:r w:rsidRPr="000859B4">
        <w:rPr>
          <w:rFonts w:cs="Arial"/>
        </w:rPr>
        <w:t xml:space="preserve"> </w:t>
      </w:r>
      <w:r w:rsidRPr="000859B4">
        <w:rPr>
          <w:rFonts w:cs="Arial"/>
          <w:szCs w:val="22"/>
          <w:lang w:val="en" w:eastAsia="en-AU"/>
        </w:rPr>
        <w:t xml:space="preserve">a comprehensive diagnostic tool designed to assist LLN practitioners describe an individual’s performance in the five core skills of learning, reading, writing, oral communication and numeracy. This ensures that LLN support is </w:t>
      </w:r>
      <w:r w:rsidR="00FC5D67">
        <w:rPr>
          <w:rFonts w:cs="Arial"/>
          <w:szCs w:val="22"/>
          <w:lang w:val="en" w:eastAsia="en-AU"/>
        </w:rPr>
        <w:t xml:space="preserve">tailored to individual student needs </w:t>
      </w:r>
      <w:r w:rsidRPr="000859B4">
        <w:rPr>
          <w:rFonts w:cs="Arial"/>
          <w:szCs w:val="22"/>
          <w:lang w:val="en" w:eastAsia="en-AU"/>
        </w:rPr>
        <w:t>and available at the commencement of each class.</w:t>
      </w:r>
      <w:r w:rsidRPr="002F38D1">
        <w:t xml:space="preserve"> </w:t>
      </w:r>
      <w:r w:rsidRPr="000859B4">
        <w:rPr>
          <w:rFonts w:cs="Arial"/>
          <w:szCs w:val="22"/>
          <w:lang w:val="en" w:eastAsia="en-AU"/>
        </w:rPr>
        <w:t>High overall completion rates to strict standards attest to the success of the LLN program.</w:t>
      </w:r>
    </w:p>
    <w:p w14:paraId="67FFF027" w14:textId="6E9B3B73" w:rsidR="0029400E" w:rsidRDefault="00546F37" w:rsidP="00B776E0">
      <w:pPr>
        <w:rPr>
          <w:rFonts w:cs="Arial"/>
          <w:i/>
        </w:rPr>
      </w:pPr>
      <w:r w:rsidRPr="00546F37">
        <w:rPr>
          <w:rFonts w:cs="Arial"/>
          <w:b/>
          <w:i/>
        </w:rPr>
        <w:t>Gender.</w:t>
      </w:r>
      <w:r w:rsidR="0029400E" w:rsidRPr="0029400E">
        <w:rPr>
          <w:rFonts w:cs="Arial"/>
        </w:rPr>
        <w:t xml:space="preserve"> </w:t>
      </w:r>
      <w:r w:rsidR="0027238D">
        <w:rPr>
          <w:rFonts w:cs="Arial"/>
        </w:rPr>
        <w:t xml:space="preserve">APTC has stated that it </w:t>
      </w:r>
      <w:r w:rsidR="0029400E">
        <w:rPr>
          <w:rFonts w:cs="Arial"/>
        </w:rPr>
        <w:t>‘</w:t>
      </w:r>
      <w:r w:rsidR="0029400E" w:rsidRPr="00467D5D">
        <w:rPr>
          <w:rFonts w:cs="Arial"/>
        </w:rPr>
        <w:t>continues to…employ gender sensitive student recruitment practices, and model best-practice in marketing initiatives. Images depicting women and men in non-traditional trades are displayed on the APTC website, in advertising, and in official APTC brochures. The course profile sets enrolment targets for gender, especially in non-traditional disciplines, and under-represented locations. In particular, the allocation of scholarship places to target populations is an effective tool for ensuring equity of access to programs.</w:t>
      </w:r>
      <w:r w:rsidR="0029400E">
        <w:rPr>
          <w:rFonts w:cs="Arial"/>
        </w:rPr>
        <w:t>’</w:t>
      </w:r>
      <w:r w:rsidR="0029400E" w:rsidRPr="00467D5D">
        <w:rPr>
          <w:rStyle w:val="FootnoteReference"/>
          <w:rFonts w:cs="Arial"/>
        </w:rPr>
        <w:footnoteReference w:id="44"/>
      </w:r>
      <w:r w:rsidR="00B776E0" w:rsidRPr="00467D5D">
        <w:rPr>
          <w:rFonts w:cs="Arial"/>
          <w:i/>
        </w:rPr>
        <w:t xml:space="preserve"> </w:t>
      </w:r>
    </w:p>
    <w:p w14:paraId="6800187A" w14:textId="6196B84F" w:rsidR="00B776E0" w:rsidRPr="00467D5D" w:rsidRDefault="0033789E" w:rsidP="00B776E0">
      <w:pPr>
        <w:rPr>
          <w:rFonts w:cs="Arial"/>
          <w:b/>
        </w:rPr>
      </w:pPr>
      <w:r w:rsidRPr="000859B4">
        <w:rPr>
          <w:rFonts w:cs="Arial"/>
          <w:b/>
          <w:i/>
        </w:rPr>
        <w:t>Enrolment</w:t>
      </w:r>
      <w:r w:rsidR="0027238D" w:rsidRPr="000859B4">
        <w:rPr>
          <w:rFonts w:cs="Arial"/>
          <w:b/>
          <w:i/>
        </w:rPr>
        <w:t>s</w:t>
      </w:r>
      <w:r w:rsidRPr="000859B4">
        <w:rPr>
          <w:rFonts w:cs="Arial"/>
          <w:b/>
          <w:i/>
        </w:rPr>
        <w:t>.</w:t>
      </w:r>
      <w:r>
        <w:rPr>
          <w:rFonts w:cs="Arial"/>
          <w:i/>
        </w:rPr>
        <w:t xml:space="preserve"> </w:t>
      </w:r>
      <w:r w:rsidR="00B776E0" w:rsidRPr="00467D5D">
        <w:rPr>
          <w:rFonts w:cs="Arial"/>
        </w:rPr>
        <w:t>The training of women tends to be constrained by family responsibilities that make it difficult for women to attend training in other countries. Still, females accounted for 38</w:t>
      </w:r>
      <w:r w:rsidR="00025BA7">
        <w:rPr>
          <w:rFonts w:cs="Arial"/>
        </w:rPr>
        <w:t xml:space="preserve"> per cent</w:t>
      </w:r>
      <w:r w:rsidR="00025BA7" w:rsidRPr="00467D5D">
        <w:rPr>
          <w:rFonts w:cs="Arial"/>
        </w:rPr>
        <w:t xml:space="preserve"> </w:t>
      </w:r>
      <w:r w:rsidR="00B776E0" w:rsidRPr="00467D5D">
        <w:rPr>
          <w:rFonts w:cs="Arial"/>
        </w:rPr>
        <w:t>of enrolments and 42</w:t>
      </w:r>
      <w:r w:rsidR="00025BA7">
        <w:rPr>
          <w:rFonts w:cs="Arial"/>
        </w:rPr>
        <w:t xml:space="preserve"> per cent</w:t>
      </w:r>
      <w:r w:rsidR="00025BA7" w:rsidRPr="00467D5D">
        <w:rPr>
          <w:rFonts w:cs="Arial"/>
        </w:rPr>
        <w:t xml:space="preserve"> </w:t>
      </w:r>
      <w:r w:rsidR="00B776E0" w:rsidRPr="00467D5D">
        <w:rPr>
          <w:rFonts w:cs="Arial"/>
        </w:rPr>
        <w:t xml:space="preserve">of graduates to date, with the female shares of both higher in Stage </w:t>
      </w:r>
      <w:r w:rsidR="00B83DBA">
        <w:rPr>
          <w:rFonts w:cs="Arial"/>
        </w:rPr>
        <w:t>II</w:t>
      </w:r>
      <w:r w:rsidR="004D75CE" w:rsidRPr="00467D5D">
        <w:rPr>
          <w:rFonts w:cs="Arial"/>
        </w:rPr>
        <w:t xml:space="preserve"> </w:t>
      </w:r>
      <w:r w:rsidR="00B776E0" w:rsidRPr="00467D5D">
        <w:rPr>
          <w:rFonts w:cs="Arial"/>
        </w:rPr>
        <w:t xml:space="preserve">than Stage </w:t>
      </w:r>
      <w:r w:rsidR="00B83DBA">
        <w:rPr>
          <w:rFonts w:cs="Arial"/>
        </w:rPr>
        <w:t>I</w:t>
      </w:r>
      <w:r w:rsidR="00B776E0" w:rsidRPr="00467D5D">
        <w:rPr>
          <w:rFonts w:cs="Arial"/>
        </w:rPr>
        <w:t xml:space="preserve">. Females accounted for only </w:t>
      </w:r>
      <w:r w:rsidR="008A6F83" w:rsidRPr="00467D5D">
        <w:rPr>
          <w:rFonts w:cs="Arial"/>
        </w:rPr>
        <w:t>24</w:t>
      </w:r>
      <w:r w:rsidR="008A6F83">
        <w:rPr>
          <w:rFonts w:cs="Arial"/>
        </w:rPr>
        <w:t> </w:t>
      </w:r>
      <w:r w:rsidR="004D75CE">
        <w:rPr>
          <w:rFonts w:cs="Arial"/>
        </w:rPr>
        <w:t>per cent</w:t>
      </w:r>
      <w:r w:rsidR="004D75CE" w:rsidRPr="00467D5D">
        <w:rPr>
          <w:rFonts w:cs="Arial"/>
        </w:rPr>
        <w:t xml:space="preserve"> </w:t>
      </w:r>
      <w:r w:rsidR="00B776E0" w:rsidRPr="00467D5D">
        <w:rPr>
          <w:rFonts w:cs="Arial"/>
        </w:rPr>
        <w:t>of the recorded non-completions. Overall, females recorded a 6 percentage point higher completion rate than males, 93</w:t>
      </w:r>
      <w:r w:rsidR="008E3168">
        <w:rPr>
          <w:rFonts w:cs="Arial"/>
        </w:rPr>
        <w:t xml:space="preserve"> per cent</w:t>
      </w:r>
      <w:r w:rsidR="008E3168" w:rsidRPr="00467D5D">
        <w:rPr>
          <w:rFonts w:cs="Arial"/>
        </w:rPr>
        <w:t xml:space="preserve"> </w:t>
      </w:r>
      <w:r w:rsidR="00B776E0" w:rsidRPr="00467D5D">
        <w:rPr>
          <w:rFonts w:cs="Arial"/>
        </w:rPr>
        <w:t>compared to 87</w:t>
      </w:r>
      <w:r w:rsidR="008E3168">
        <w:rPr>
          <w:rFonts w:cs="Arial"/>
        </w:rPr>
        <w:t xml:space="preserve"> per cent</w:t>
      </w:r>
      <w:r w:rsidR="008E3168" w:rsidRPr="00467D5D">
        <w:rPr>
          <w:rFonts w:cs="Arial"/>
        </w:rPr>
        <w:t xml:space="preserve">, </w:t>
      </w:r>
      <w:r w:rsidR="00B776E0" w:rsidRPr="00467D5D">
        <w:rPr>
          <w:rFonts w:cs="Arial"/>
        </w:rPr>
        <w:t xml:space="preserve">respectively. (Annex </w:t>
      </w:r>
      <w:r w:rsidR="00BF443F">
        <w:rPr>
          <w:rFonts w:cs="Arial"/>
        </w:rPr>
        <w:t xml:space="preserve">4, </w:t>
      </w:r>
      <w:r w:rsidR="00B776E0" w:rsidRPr="00467D5D">
        <w:rPr>
          <w:rFonts w:cs="Arial"/>
        </w:rPr>
        <w:t>Table 5.2.1a)</w:t>
      </w:r>
    </w:p>
    <w:p w14:paraId="43B4204F" w14:textId="6E299AD1" w:rsidR="0069557C" w:rsidRDefault="00B776E0" w:rsidP="00B776E0">
      <w:pPr>
        <w:rPr>
          <w:rFonts w:cs="Arial"/>
        </w:rPr>
      </w:pPr>
      <w:r w:rsidRPr="00467D5D">
        <w:rPr>
          <w:rFonts w:cs="Arial"/>
        </w:rPr>
        <w:t>Female students and graduates are highly concentrated in the non-trade areas, although some small inroads are being made in non-traditional occupations (e.g., tiling). Females make up about half the enrolments in the SCHS, but only a quarter of STT trainees. By training package</w:t>
      </w:r>
      <w:r>
        <w:rPr>
          <w:rFonts w:cs="Arial"/>
        </w:rPr>
        <w:t>,</w:t>
      </w:r>
      <w:r w:rsidRPr="00467D5D">
        <w:rPr>
          <w:rFonts w:cs="Arial"/>
        </w:rPr>
        <w:t xml:space="preserve"> females account for the majority of cumulative students in tourism and hospitality (56</w:t>
      </w:r>
      <w:r w:rsidR="00986026">
        <w:rPr>
          <w:rFonts w:cs="Arial"/>
        </w:rPr>
        <w:t xml:space="preserve"> per cent</w:t>
      </w:r>
      <w:r w:rsidR="00986026" w:rsidRPr="00467D5D">
        <w:rPr>
          <w:rFonts w:cs="Arial"/>
        </w:rPr>
        <w:t xml:space="preserve">), </w:t>
      </w:r>
      <w:r w:rsidRPr="00467D5D">
        <w:rPr>
          <w:rFonts w:cs="Arial"/>
        </w:rPr>
        <w:t>health (65</w:t>
      </w:r>
      <w:r w:rsidR="00986026">
        <w:rPr>
          <w:rFonts w:cs="Arial"/>
        </w:rPr>
        <w:t xml:space="preserve"> per cent</w:t>
      </w:r>
      <w:r w:rsidR="00986026" w:rsidRPr="00467D5D">
        <w:rPr>
          <w:rFonts w:cs="Arial"/>
        </w:rPr>
        <w:t xml:space="preserve">), </w:t>
      </w:r>
      <w:r w:rsidRPr="00467D5D">
        <w:rPr>
          <w:rFonts w:cs="Arial"/>
        </w:rPr>
        <w:t>and community services (85</w:t>
      </w:r>
      <w:r w:rsidR="00986026">
        <w:rPr>
          <w:rFonts w:cs="Arial"/>
        </w:rPr>
        <w:t xml:space="preserve"> per cent</w:t>
      </w:r>
      <w:r w:rsidR="00986026" w:rsidRPr="00467D5D">
        <w:rPr>
          <w:rFonts w:cs="Arial"/>
        </w:rPr>
        <w:t xml:space="preserve">). </w:t>
      </w:r>
      <w:r w:rsidRPr="00467D5D">
        <w:rPr>
          <w:rFonts w:cs="Arial"/>
        </w:rPr>
        <w:t>In STT, females made up 15</w:t>
      </w:r>
      <w:r w:rsidR="005C09FF">
        <w:rPr>
          <w:rFonts w:cs="Arial"/>
        </w:rPr>
        <w:t xml:space="preserve"> per cent</w:t>
      </w:r>
      <w:r w:rsidR="005C09FF" w:rsidRPr="00467D5D">
        <w:rPr>
          <w:rFonts w:cs="Arial"/>
        </w:rPr>
        <w:t xml:space="preserve"> </w:t>
      </w:r>
      <w:r w:rsidRPr="00467D5D">
        <w:rPr>
          <w:rFonts w:cs="Arial"/>
        </w:rPr>
        <w:t>of enrolments in construction/plumbing and 77</w:t>
      </w:r>
      <w:r w:rsidR="0039164B">
        <w:rPr>
          <w:rFonts w:cs="Arial"/>
        </w:rPr>
        <w:t xml:space="preserve"> per cent</w:t>
      </w:r>
      <w:r w:rsidR="0039164B" w:rsidRPr="00467D5D">
        <w:rPr>
          <w:rFonts w:cs="Arial"/>
        </w:rPr>
        <w:t xml:space="preserve"> </w:t>
      </w:r>
      <w:r w:rsidRPr="00467D5D">
        <w:rPr>
          <w:rFonts w:cs="Arial"/>
        </w:rPr>
        <w:t>in textiles and clothing, but only about 2</w:t>
      </w:r>
      <w:r w:rsidR="0039164B">
        <w:rPr>
          <w:rFonts w:cs="Arial"/>
        </w:rPr>
        <w:t> per cent</w:t>
      </w:r>
      <w:r w:rsidR="0039164B" w:rsidRPr="00467D5D">
        <w:rPr>
          <w:rFonts w:cs="Arial"/>
        </w:rPr>
        <w:t xml:space="preserve"> </w:t>
      </w:r>
      <w:r w:rsidRPr="00467D5D">
        <w:rPr>
          <w:rFonts w:cs="Arial"/>
        </w:rPr>
        <w:t xml:space="preserve">in electro-technology, metal/machining and automotive. </w:t>
      </w:r>
      <w:r w:rsidR="0029400E" w:rsidRPr="00467D5D">
        <w:rPr>
          <w:rFonts w:cs="Arial"/>
        </w:rPr>
        <w:t>(Annex</w:t>
      </w:r>
      <w:r w:rsidR="0029400E">
        <w:rPr>
          <w:rFonts w:cs="Arial"/>
        </w:rPr>
        <w:t xml:space="preserve"> 4</w:t>
      </w:r>
      <w:r w:rsidR="0029400E" w:rsidRPr="00467D5D">
        <w:rPr>
          <w:rFonts w:cs="Arial"/>
        </w:rPr>
        <w:t>, Figure 4.3.4</w:t>
      </w:r>
      <w:r w:rsidR="0029400E">
        <w:rPr>
          <w:rFonts w:cs="Arial"/>
        </w:rPr>
        <w:t xml:space="preserve">) </w:t>
      </w:r>
      <w:r>
        <w:rPr>
          <w:rFonts w:cs="Arial"/>
        </w:rPr>
        <w:t>Since APTC recruits mainly existing workers from the trades, the gender distribution of enrolments reflects the prevailing gender distribution in the occupations in the labour market.</w:t>
      </w:r>
    </w:p>
    <w:p w14:paraId="66B7E16D" w14:textId="4D254840" w:rsidR="00B776E0" w:rsidRPr="00467D5D" w:rsidRDefault="0069557C" w:rsidP="00B776E0">
      <w:pPr>
        <w:rPr>
          <w:rFonts w:cs="Arial"/>
        </w:rPr>
      </w:pPr>
      <w:r>
        <w:rPr>
          <w:rFonts w:cs="Arial"/>
        </w:rPr>
        <w:t xml:space="preserve">APTC has achieved success in enrolling women in non-traditional occupations </w:t>
      </w:r>
      <w:r>
        <w:rPr>
          <w:rFonts w:cs="Arial"/>
          <w:szCs w:val="22"/>
        </w:rPr>
        <w:t xml:space="preserve">in two areas: commercial cookery and construction. In construction, women have made inroads in two new qualifications for the Pacific – painting and decoration, and wall and floor tiling. Females constituted 34 per cent of total enrolments to mid-2014 in commercial cookery, 43 per cent in painting/decorating and 40 per cent in wall and floor tiling. </w:t>
      </w:r>
      <w:r>
        <w:rPr>
          <w:rFonts w:cs="Arial"/>
        </w:rPr>
        <w:t>(Annex 4,</w:t>
      </w:r>
      <w:r w:rsidR="005860C9">
        <w:rPr>
          <w:rFonts w:cs="Arial"/>
        </w:rPr>
        <w:t xml:space="preserve"> Table 4.3.1</w:t>
      </w:r>
      <w:r w:rsidR="00B776E0" w:rsidRPr="00467D5D">
        <w:rPr>
          <w:rFonts w:cs="Arial"/>
        </w:rPr>
        <w:t xml:space="preserve">).    </w:t>
      </w:r>
    </w:p>
    <w:p w14:paraId="75626349" w14:textId="7A08A423" w:rsidR="0027238D" w:rsidRPr="0027238D" w:rsidRDefault="0027238D" w:rsidP="0027238D">
      <w:pPr>
        <w:rPr>
          <w:rFonts w:cs="Arial"/>
        </w:rPr>
      </w:pPr>
      <w:r w:rsidRPr="000859B4">
        <w:rPr>
          <w:rFonts w:cs="Arial"/>
          <w:b/>
          <w:i/>
        </w:rPr>
        <w:t>Graduates.</w:t>
      </w:r>
      <w:r w:rsidRPr="0027238D">
        <w:rPr>
          <w:rFonts w:cs="Arial"/>
          <w:i/>
        </w:rPr>
        <w:t xml:space="preserve"> </w:t>
      </w:r>
      <w:r w:rsidRPr="0027238D">
        <w:rPr>
          <w:rFonts w:cs="Arial"/>
        </w:rPr>
        <w:t xml:space="preserve">Little information exists on the outcomes of APTC training for female graduates. The annual APTC tracer surveys have not recorded </w:t>
      </w:r>
      <w:r>
        <w:rPr>
          <w:rFonts w:cs="Arial"/>
        </w:rPr>
        <w:t xml:space="preserve">gender </w:t>
      </w:r>
      <w:r w:rsidRPr="0027238D">
        <w:rPr>
          <w:rFonts w:cs="Arial"/>
        </w:rPr>
        <w:t xml:space="preserve">at </w:t>
      </w:r>
      <w:r w:rsidR="00FC5D67" w:rsidRPr="0027238D">
        <w:rPr>
          <w:rFonts w:cs="Arial"/>
        </w:rPr>
        <w:t>all,</w:t>
      </w:r>
      <w:r w:rsidR="00FC5D67">
        <w:rPr>
          <w:rFonts w:cs="Arial"/>
        </w:rPr>
        <w:t xml:space="preserve"> </w:t>
      </w:r>
      <w:r w:rsidR="00FC5D67" w:rsidRPr="00FC5D67">
        <w:rPr>
          <w:rFonts w:cs="Arial"/>
        </w:rPr>
        <w:t xml:space="preserve">or they have not collected information on the occupations of the respondents </w:t>
      </w:r>
      <w:r w:rsidRPr="0027238D">
        <w:rPr>
          <w:rFonts w:cs="Arial"/>
        </w:rPr>
        <w:t xml:space="preserve">consistently. APTC </w:t>
      </w:r>
      <w:r w:rsidR="008B6C7E">
        <w:rPr>
          <w:rFonts w:cs="Arial"/>
        </w:rPr>
        <w:t xml:space="preserve">tracer surveys </w:t>
      </w:r>
      <w:r w:rsidRPr="0027238D">
        <w:rPr>
          <w:rFonts w:cs="Arial"/>
        </w:rPr>
        <w:t>did not report employment rates by qualification</w:t>
      </w:r>
      <w:r w:rsidR="00CE06AB">
        <w:rPr>
          <w:rFonts w:cs="Arial"/>
        </w:rPr>
        <w:t>,</w:t>
      </w:r>
      <w:r w:rsidRPr="0027238D">
        <w:rPr>
          <w:rFonts w:cs="Arial"/>
        </w:rPr>
        <w:t xml:space="preserve"> let alone occupation and gender. No information was collected on earnings.</w:t>
      </w:r>
      <w:r w:rsidR="008B6C7E">
        <w:rPr>
          <w:rFonts w:cs="Arial"/>
        </w:rPr>
        <w:t xml:space="preserve"> Lack of robust tracer information on graduates</w:t>
      </w:r>
      <w:r w:rsidR="00903A6E">
        <w:rPr>
          <w:rFonts w:cs="Arial"/>
        </w:rPr>
        <w:t>, including females,</w:t>
      </w:r>
      <w:r w:rsidR="008B6C7E">
        <w:rPr>
          <w:rFonts w:cs="Arial"/>
        </w:rPr>
        <w:t xml:space="preserve"> is a serious impediment to identification of outcomes.</w:t>
      </w:r>
    </w:p>
    <w:p w14:paraId="5A87E16D" w14:textId="718C5225" w:rsidR="0027238D" w:rsidRPr="0027238D" w:rsidRDefault="005A71A2" w:rsidP="0027238D">
      <w:pPr>
        <w:rPr>
          <w:rFonts w:cs="Arial"/>
        </w:rPr>
      </w:pPr>
      <w:r>
        <w:rPr>
          <w:rFonts w:cs="Arial"/>
        </w:rPr>
        <w:t xml:space="preserve">The little </w:t>
      </w:r>
      <w:r w:rsidR="002F38D1">
        <w:rPr>
          <w:rFonts w:cs="Arial"/>
        </w:rPr>
        <w:t xml:space="preserve">available </w:t>
      </w:r>
      <w:r>
        <w:rPr>
          <w:rFonts w:cs="Arial"/>
        </w:rPr>
        <w:t xml:space="preserve">information suggests mixed results. </w:t>
      </w:r>
      <w:r w:rsidR="007B2D44">
        <w:rPr>
          <w:rFonts w:cs="Arial"/>
        </w:rPr>
        <w:t xml:space="preserve">Some </w:t>
      </w:r>
      <w:r w:rsidR="0027238D" w:rsidRPr="0027238D">
        <w:rPr>
          <w:rFonts w:cs="Arial"/>
        </w:rPr>
        <w:t xml:space="preserve">aggregate information can be gleaned from </w:t>
      </w:r>
      <w:r w:rsidR="00FC5D67">
        <w:rPr>
          <w:rFonts w:cs="Arial"/>
        </w:rPr>
        <w:t xml:space="preserve">the </w:t>
      </w:r>
      <w:r w:rsidR="0027238D" w:rsidRPr="0027238D">
        <w:rPr>
          <w:rFonts w:cs="Arial"/>
        </w:rPr>
        <w:t xml:space="preserve">NCVER </w:t>
      </w:r>
      <w:r w:rsidR="0027238D">
        <w:rPr>
          <w:rFonts w:cs="Arial"/>
        </w:rPr>
        <w:t>survey of Stage I</w:t>
      </w:r>
      <w:r w:rsidR="0027238D" w:rsidRPr="0027238D">
        <w:rPr>
          <w:rFonts w:cs="Arial"/>
        </w:rPr>
        <w:t xml:space="preserve"> APTC graduates</w:t>
      </w:r>
      <w:r w:rsidR="0027238D">
        <w:rPr>
          <w:rFonts w:cs="Arial"/>
        </w:rPr>
        <w:t xml:space="preserve">. </w:t>
      </w:r>
      <w:r w:rsidR="0027238D" w:rsidRPr="0027238D">
        <w:rPr>
          <w:rFonts w:cs="Arial"/>
        </w:rPr>
        <w:t>These results suggest that females have benefited in some ways proportionately more than males from APTC training. The employment rate for males was slightly higher (97</w:t>
      </w:r>
      <w:r w:rsidR="00670444">
        <w:rPr>
          <w:rFonts w:cs="Arial"/>
        </w:rPr>
        <w:t> </w:t>
      </w:r>
      <w:r w:rsidR="0027238D" w:rsidRPr="0027238D">
        <w:rPr>
          <w:rFonts w:cs="Arial"/>
        </w:rPr>
        <w:t xml:space="preserve">per cent) than females (95 per cent.) Still, female graduates were more likely </w:t>
      </w:r>
      <w:r w:rsidR="00FC5D67" w:rsidRPr="00FC5D67">
        <w:rPr>
          <w:rFonts w:cs="Arial"/>
        </w:rPr>
        <w:t>than males to say that they had benefited in some way from their APTC qualification</w:t>
      </w:r>
      <w:r w:rsidR="00FC5D67">
        <w:rPr>
          <w:rFonts w:cs="Arial"/>
        </w:rPr>
        <w:t xml:space="preserve">. </w:t>
      </w:r>
      <w:r w:rsidR="0027238D" w:rsidRPr="0027238D">
        <w:rPr>
          <w:rFonts w:cs="Arial"/>
        </w:rPr>
        <w:t>Some 96 per cent of female APTC graduates said they received a benefit, compared with 87</w:t>
      </w:r>
      <w:r w:rsidR="00670444">
        <w:rPr>
          <w:rFonts w:cs="Arial"/>
        </w:rPr>
        <w:t> </w:t>
      </w:r>
      <w:r w:rsidR="0027238D" w:rsidRPr="0027238D">
        <w:rPr>
          <w:rFonts w:cs="Arial"/>
        </w:rPr>
        <w:t xml:space="preserve">per cent of male graduates. These benefits ranged from getting a job, setting up their own business, </w:t>
      </w:r>
      <w:r w:rsidR="000C277F">
        <w:rPr>
          <w:rFonts w:cs="Arial"/>
        </w:rPr>
        <w:t xml:space="preserve">to </w:t>
      </w:r>
      <w:r w:rsidR="0027238D" w:rsidRPr="0027238D">
        <w:rPr>
          <w:rFonts w:cs="Arial"/>
        </w:rPr>
        <w:t>getting a promotion or an increase in earnings.</w:t>
      </w:r>
      <w:r w:rsidR="0027238D" w:rsidRPr="0027238D">
        <w:rPr>
          <w:rFonts w:cs="Arial"/>
          <w:szCs w:val="16"/>
          <w:vertAlign w:val="superscript"/>
          <w:lang w:val="sv-SE" w:eastAsia="sv-SE"/>
        </w:rPr>
        <w:footnoteReference w:id="45"/>
      </w:r>
      <w:r w:rsidR="0027238D" w:rsidRPr="0027238D">
        <w:rPr>
          <w:rFonts w:cs="Arial"/>
        </w:rPr>
        <w:t xml:space="preserve"> </w:t>
      </w:r>
    </w:p>
    <w:p w14:paraId="29E000D2" w14:textId="1E0C9A58" w:rsidR="0027238D" w:rsidRPr="0027238D" w:rsidRDefault="0027238D" w:rsidP="0027238D">
      <w:pPr>
        <w:rPr>
          <w:rFonts w:cs="Arial"/>
        </w:rPr>
      </w:pPr>
      <w:r w:rsidRPr="0027238D">
        <w:rPr>
          <w:rFonts w:cs="Arial"/>
        </w:rPr>
        <w:t xml:space="preserve">According to further analysis of the same survey, nearly half (46 per cent) </w:t>
      </w:r>
      <w:r w:rsidR="007B2D44">
        <w:rPr>
          <w:rFonts w:cs="Arial"/>
        </w:rPr>
        <w:t xml:space="preserve">of </w:t>
      </w:r>
      <w:r w:rsidRPr="0027238D">
        <w:rPr>
          <w:rFonts w:cs="Arial"/>
        </w:rPr>
        <w:t>APTC graduates have remained with the same employer as before train</w:t>
      </w:r>
      <w:r w:rsidR="007B2D44">
        <w:rPr>
          <w:rFonts w:cs="Arial"/>
        </w:rPr>
        <w:t xml:space="preserve">ing. </w:t>
      </w:r>
      <w:r w:rsidRPr="0027238D">
        <w:rPr>
          <w:rFonts w:cs="Arial"/>
        </w:rPr>
        <w:t>More female than male graduates still with the same employer had gained a promotion or increased status at work (68 per cent and 56 per cent</w:t>
      </w:r>
      <w:r>
        <w:rPr>
          <w:rFonts w:cs="Arial"/>
        </w:rPr>
        <w:t>,</w:t>
      </w:r>
      <w:r w:rsidR="004539F0">
        <w:rPr>
          <w:rFonts w:cs="Arial"/>
        </w:rPr>
        <w:t xml:space="preserve"> respectively.) </w:t>
      </w:r>
      <w:r w:rsidRPr="0027238D">
        <w:rPr>
          <w:rFonts w:cs="Arial"/>
        </w:rPr>
        <w:t>Female graduates still with the same employer had benefited just as much as (even slightly more than) male graduates in increased earnings (64 per</w:t>
      </w:r>
      <w:r w:rsidR="00670444">
        <w:rPr>
          <w:rFonts w:cs="Arial"/>
        </w:rPr>
        <w:t xml:space="preserve"> </w:t>
      </w:r>
      <w:r w:rsidRPr="0027238D">
        <w:rPr>
          <w:rFonts w:cs="Arial"/>
        </w:rPr>
        <w:t xml:space="preserve">cent and 61 per cent, respectively.) </w:t>
      </w:r>
    </w:p>
    <w:p w14:paraId="118C3330" w14:textId="1A6EBE51" w:rsidR="0027238D" w:rsidRPr="0027238D" w:rsidRDefault="0027238D" w:rsidP="0027238D">
      <w:pPr>
        <w:spacing w:after="200"/>
        <w:rPr>
          <w:rFonts w:ascii="Calibri" w:eastAsia="Calibri" w:hAnsi="Calibri"/>
          <w:szCs w:val="22"/>
        </w:rPr>
      </w:pPr>
      <w:r w:rsidRPr="0027238D">
        <w:rPr>
          <w:rFonts w:cs="Arial"/>
        </w:rPr>
        <w:t xml:space="preserve">Stage I female graduates </w:t>
      </w:r>
      <w:r w:rsidRPr="000859B4">
        <w:rPr>
          <w:rFonts w:cs="Arial"/>
          <w:i/>
        </w:rPr>
        <w:t>not</w:t>
      </w:r>
      <w:r w:rsidRPr="0027238D">
        <w:rPr>
          <w:rFonts w:cs="Arial"/>
        </w:rPr>
        <w:t xml:space="preserve"> with the same employer were much more likely to say that APTC training helped them to get their current job compared with male graduates. Just over half of female graduates (54 per cent) said that their APTC training had helped them to get their current job compared with just over one</w:t>
      </w:r>
      <w:r w:rsidR="004539F0">
        <w:rPr>
          <w:rFonts w:cs="Arial"/>
        </w:rPr>
        <w:t>-</w:t>
      </w:r>
      <w:r w:rsidRPr="0027238D">
        <w:rPr>
          <w:rFonts w:cs="Arial"/>
        </w:rPr>
        <w:t>third of male graduates (37 per cent.) For female graduates in the trades-based qualifications, this was a particularly important benefit, with 63 per cent saying their APTC training had helped to get their current job compared with 39 per</w:t>
      </w:r>
      <w:r w:rsidR="00824394">
        <w:rPr>
          <w:rFonts w:cs="Arial"/>
        </w:rPr>
        <w:t xml:space="preserve"> </w:t>
      </w:r>
      <w:r w:rsidRPr="0027238D">
        <w:rPr>
          <w:rFonts w:cs="Arial"/>
        </w:rPr>
        <w:t xml:space="preserve">cent for male graduates. </w:t>
      </w:r>
      <w:r>
        <w:rPr>
          <w:rFonts w:cs="Arial"/>
        </w:rPr>
        <w:t xml:space="preserve">(Source: Evaluation team </w:t>
      </w:r>
      <w:r w:rsidRPr="0027238D">
        <w:rPr>
          <w:rFonts w:cs="Arial"/>
        </w:rPr>
        <w:t>analysis of the survey data</w:t>
      </w:r>
      <w:r>
        <w:rPr>
          <w:rFonts w:cs="Arial"/>
        </w:rPr>
        <w:t>)</w:t>
      </w:r>
      <w:r w:rsidRPr="0027238D">
        <w:rPr>
          <w:rFonts w:cs="Arial"/>
        </w:rPr>
        <w:t xml:space="preserve">. </w:t>
      </w:r>
    </w:p>
    <w:p w14:paraId="13D64885" w14:textId="642A58D0" w:rsidR="00824394" w:rsidRDefault="007B2D44" w:rsidP="00B776E0">
      <w:pPr>
        <w:rPr>
          <w:rFonts w:cs="Arial"/>
        </w:rPr>
      </w:pPr>
      <w:r>
        <w:rPr>
          <w:rFonts w:cs="Arial"/>
        </w:rPr>
        <w:t>F</w:t>
      </w:r>
      <w:r w:rsidR="00903A6E">
        <w:rPr>
          <w:rFonts w:cs="Arial"/>
        </w:rPr>
        <w:t xml:space="preserve">emale graduates tend to be concentrated in qualifications and occupations that have higher rates of unemployment. </w:t>
      </w:r>
      <w:r w:rsidR="005B7A3A">
        <w:rPr>
          <w:rFonts w:cs="Arial"/>
        </w:rPr>
        <w:t>For example, women account for 81 per cent of enrolments in community services (</w:t>
      </w:r>
      <w:r w:rsidR="00EB0838">
        <w:rPr>
          <w:rFonts w:cs="Arial"/>
        </w:rPr>
        <w:t xml:space="preserve">Annex 4, </w:t>
      </w:r>
      <w:r w:rsidR="005B7A3A">
        <w:rPr>
          <w:rFonts w:cs="Arial"/>
        </w:rPr>
        <w:t>Figure 4.3.4), but the evaluation team survey found relatively high unemployment rates in youth work, children’s services</w:t>
      </w:r>
      <w:r>
        <w:rPr>
          <w:rFonts w:cs="Arial"/>
        </w:rPr>
        <w:t>,</w:t>
      </w:r>
      <w:r w:rsidR="005B7A3A">
        <w:rPr>
          <w:rFonts w:cs="Arial"/>
        </w:rPr>
        <w:t xml:space="preserve"> and home and aged care (</w:t>
      </w:r>
      <w:r w:rsidR="00DF21B2">
        <w:rPr>
          <w:rFonts w:cs="Arial"/>
        </w:rPr>
        <w:t xml:space="preserve">Annex 8, </w:t>
      </w:r>
      <w:r w:rsidR="005B7A3A">
        <w:rPr>
          <w:rFonts w:cs="Arial"/>
        </w:rPr>
        <w:t xml:space="preserve">Table 8.3). </w:t>
      </w:r>
      <w:r w:rsidR="005A71A2">
        <w:rPr>
          <w:rFonts w:cs="Arial"/>
        </w:rPr>
        <w:t xml:space="preserve">Several </w:t>
      </w:r>
      <w:r>
        <w:rPr>
          <w:rFonts w:cs="Arial"/>
        </w:rPr>
        <w:t xml:space="preserve">female </w:t>
      </w:r>
      <w:r w:rsidR="005A71A2" w:rsidRPr="005A71A2">
        <w:rPr>
          <w:rFonts w:cs="Arial"/>
        </w:rPr>
        <w:t xml:space="preserve">graduates in the focus groups </w:t>
      </w:r>
      <w:r w:rsidR="005A71A2">
        <w:rPr>
          <w:rFonts w:cs="Arial"/>
        </w:rPr>
        <w:t xml:space="preserve">stated </w:t>
      </w:r>
      <w:r w:rsidR="005A71A2" w:rsidRPr="005A71A2">
        <w:rPr>
          <w:rFonts w:cs="Arial"/>
        </w:rPr>
        <w:t xml:space="preserve">that they were strictly speaking unemployed, </w:t>
      </w:r>
      <w:r w:rsidR="005A71A2">
        <w:rPr>
          <w:rFonts w:cs="Arial"/>
        </w:rPr>
        <w:t xml:space="preserve">but </w:t>
      </w:r>
      <w:r w:rsidR="005A71A2" w:rsidRPr="005A71A2">
        <w:rPr>
          <w:rFonts w:cs="Arial"/>
        </w:rPr>
        <w:t>they had commenced or resumed volunteer work in their communities which was contributing to the strengthening of those communities. Much of this involved working with churches or NGOs and was considered by the graduates to be a successful outcome.</w:t>
      </w:r>
      <w:r w:rsidR="005B7A3A">
        <w:rPr>
          <w:rFonts w:cs="Arial"/>
        </w:rPr>
        <w:t xml:space="preserve"> </w:t>
      </w:r>
      <w:r w:rsidR="00903A6E">
        <w:rPr>
          <w:rFonts w:cs="Arial"/>
        </w:rPr>
        <w:t xml:space="preserve"> </w:t>
      </w:r>
    </w:p>
    <w:p w14:paraId="12843B76" w14:textId="60EC1B2C" w:rsidR="00B776E0" w:rsidRDefault="00546F37" w:rsidP="00B776E0">
      <w:pPr>
        <w:rPr>
          <w:rFonts w:cs="Arial"/>
        </w:rPr>
      </w:pPr>
      <w:r w:rsidRPr="00546F37">
        <w:rPr>
          <w:rFonts w:cs="Arial"/>
          <w:b/>
          <w:i/>
        </w:rPr>
        <w:t>Special needs.</w:t>
      </w:r>
      <w:r w:rsidR="00B776E0" w:rsidRPr="00E06236">
        <w:rPr>
          <w:rFonts w:cs="Arial"/>
          <w:b/>
        </w:rPr>
        <w:t xml:space="preserve"> </w:t>
      </w:r>
      <w:r w:rsidR="00BA44AC">
        <w:rPr>
          <w:rFonts w:cs="Arial"/>
        </w:rPr>
        <w:t>One question for the evaluation is: h</w:t>
      </w:r>
      <w:r w:rsidR="00BA44AC" w:rsidRPr="00BA44AC">
        <w:rPr>
          <w:rFonts w:cs="Arial"/>
        </w:rPr>
        <w:t>ow effectively has APTC minimised barriers to learning</w:t>
      </w:r>
      <w:r w:rsidR="00BA44AC">
        <w:rPr>
          <w:rFonts w:cs="Arial"/>
        </w:rPr>
        <w:t>…</w:t>
      </w:r>
      <w:r w:rsidR="00BA44AC" w:rsidRPr="00BA44AC">
        <w:rPr>
          <w:rFonts w:cs="Arial"/>
        </w:rPr>
        <w:t>in particular</w:t>
      </w:r>
      <w:r w:rsidR="00BA44AC">
        <w:rPr>
          <w:rFonts w:cs="Arial"/>
        </w:rPr>
        <w:t>…</w:t>
      </w:r>
      <w:r w:rsidR="00BA44AC" w:rsidRPr="00BA44AC">
        <w:rPr>
          <w:rFonts w:cs="Arial"/>
        </w:rPr>
        <w:t xml:space="preserve">for people with a disability? </w:t>
      </w:r>
      <w:r w:rsidR="00BA44AC">
        <w:rPr>
          <w:rFonts w:cs="Arial"/>
        </w:rPr>
        <w:t xml:space="preserve">(Annex 3). </w:t>
      </w:r>
      <w:r w:rsidR="00B776E0" w:rsidRPr="00467D5D">
        <w:rPr>
          <w:rFonts w:cs="Arial"/>
        </w:rPr>
        <w:t>Applicants with special needs receive preferential treatment in the selection process. APTC has introduced two certificate programs</w:t>
      </w:r>
      <w:r w:rsidR="00A26FCA">
        <w:rPr>
          <w:rFonts w:cs="Arial"/>
        </w:rPr>
        <w:t xml:space="preserve"> </w:t>
      </w:r>
      <w:r w:rsidR="00B776E0" w:rsidRPr="00467D5D">
        <w:rPr>
          <w:rFonts w:cs="Arial"/>
        </w:rPr>
        <w:t>– Certificate III and Certificate IV in Disability</w:t>
      </w:r>
      <w:r w:rsidR="00E06236">
        <w:rPr>
          <w:rFonts w:cs="Arial"/>
        </w:rPr>
        <w:t xml:space="preserve"> </w:t>
      </w:r>
      <w:r w:rsidR="00E06236" w:rsidRPr="00467D5D">
        <w:rPr>
          <w:rFonts w:cs="Arial"/>
        </w:rPr>
        <w:t xml:space="preserve">– </w:t>
      </w:r>
      <w:r w:rsidR="007B2D44" w:rsidRPr="007B2D44">
        <w:rPr>
          <w:rFonts w:cs="Arial"/>
        </w:rPr>
        <w:t xml:space="preserve">that did not exist previously </w:t>
      </w:r>
      <w:r w:rsidR="007B2D44">
        <w:rPr>
          <w:rFonts w:cs="Arial"/>
        </w:rPr>
        <w:t xml:space="preserve">and </w:t>
      </w:r>
      <w:r w:rsidR="00B776E0" w:rsidRPr="00467D5D">
        <w:rPr>
          <w:rFonts w:cs="Arial"/>
        </w:rPr>
        <w:t xml:space="preserve">that train </w:t>
      </w:r>
      <w:r w:rsidR="007B2D44">
        <w:rPr>
          <w:rFonts w:cs="Arial"/>
        </w:rPr>
        <w:t xml:space="preserve">students to work with </w:t>
      </w:r>
      <w:r w:rsidR="00B776E0" w:rsidRPr="00467D5D">
        <w:rPr>
          <w:rFonts w:cs="Arial"/>
        </w:rPr>
        <w:t>people with disabilit</w:t>
      </w:r>
      <w:r w:rsidR="007B2D44">
        <w:rPr>
          <w:rFonts w:cs="Arial"/>
        </w:rPr>
        <w:t>ies.</w:t>
      </w:r>
      <w:r w:rsidR="00B776E0" w:rsidRPr="00467D5D">
        <w:rPr>
          <w:rFonts w:cs="Arial"/>
        </w:rPr>
        <w:t xml:space="preserve"> Some 156 students have enrolled in the two courses. However, </w:t>
      </w:r>
      <w:r w:rsidR="00D43B2F">
        <w:rPr>
          <w:rFonts w:cs="Arial"/>
        </w:rPr>
        <w:t xml:space="preserve">APTC has enrolled only 56 </w:t>
      </w:r>
      <w:r w:rsidR="00B776E0" w:rsidRPr="00467D5D">
        <w:rPr>
          <w:rFonts w:cs="Arial"/>
        </w:rPr>
        <w:t>students with special needs</w:t>
      </w:r>
      <w:r w:rsidR="00D43B2F">
        <w:rPr>
          <w:rFonts w:cs="Arial"/>
        </w:rPr>
        <w:t xml:space="preserve">, </w:t>
      </w:r>
      <w:r w:rsidR="008E7BA9">
        <w:rPr>
          <w:rFonts w:cs="Arial"/>
        </w:rPr>
        <w:t xml:space="preserve">just </w:t>
      </w:r>
      <w:r w:rsidR="00B776E0" w:rsidRPr="00467D5D">
        <w:rPr>
          <w:rFonts w:cs="Arial"/>
        </w:rPr>
        <w:t>0.6</w:t>
      </w:r>
      <w:r w:rsidR="00CE7D48">
        <w:rPr>
          <w:rFonts w:cs="Arial"/>
        </w:rPr>
        <w:t xml:space="preserve"> per cent</w:t>
      </w:r>
      <w:r w:rsidR="00CE7D48" w:rsidRPr="00467D5D">
        <w:rPr>
          <w:rFonts w:cs="Arial"/>
        </w:rPr>
        <w:t xml:space="preserve"> </w:t>
      </w:r>
      <w:r w:rsidR="00B776E0" w:rsidRPr="00467D5D">
        <w:rPr>
          <w:rFonts w:cs="Arial"/>
        </w:rPr>
        <w:t>of cumulative enrolments.</w:t>
      </w:r>
      <w:r w:rsidR="008E7BA9">
        <w:rPr>
          <w:rFonts w:cs="Arial"/>
        </w:rPr>
        <w:t xml:space="preserve"> </w:t>
      </w:r>
      <w:r w:rsidR="00C0022B">
        <w:rPr>
          <w:rFonts w:cs="Arial"/>
        </w:rPr>
        <w:t>On the surface</w:t>
      </w:r>
      <w:r w:rsidR="00824394">
        <w:rPr>
          <w:rFonts w:cs="Arial"/>
        </w:rPr>
        <w:t>,</w:t>
      </w:r>
      <w:r w:rsidR="00C0022B">
        <w:rPr>
          <w:rFonts w:cs="Arial"/>
        </w:rPr>
        <w:t xml:space="preserve"> this level of enrolment of students with disabilities seems low.</w:t>
      </w:r>
      <w:r w:rsidR="00D43B2F" w:rsidRPr="00D43B2F">
        <w:rPr>
          <w:rFonts w:cs="Arial"/>
          <w:szCs w:val="16"/>
          <w:vertAlign w:val="superscript"/>
          <w:lang w:val="sv-SE" w:eastAsia="sv-SE"/>
        </w:rPr>
        <w:footnoteReference w:id="46"/>
      </w:r>
      <w:r w:rsidR="00C0022B">
        <w:rPr>
          <w:rFonts w:cs="Arial"/>
        </w:rPr>
        <w:t xml:space="preserve"> However, i</w:t>
      </w:r>
      <w:r w:rsidR="008E7BA9">
        <w:rPr>
          <w:rFonts w:cs="Arial"/>
        </w:rPr>
        <w:t xml:space="preserve">t is not possible to assess </w:t>
      </w:r>
      <w:r w:rsidR="00C0022B">
        <w:rPr>
          <w:rFonts w:cs="Arial"/>
        </w:rPr>
        <w:t xml:space="preserve">the adequacy of </w:t>
      </w:r>
      <w:r w:rsidR="008E7BA9">
        <w:rPr>
          <w:rFonts w:cs="Arial"/>
        </w:rPr>
        <w:t>this level of performance in the absence of norms and comparators.</w:t>
      </w:r>
      <w:r w:rsidR="00BA44AC">
        <w:rPr>
          <w:rFonts w:cs="Arial"/>
        </w:rPr>
        <w:t xml:space="preserve"> Thus, it is not possible to assess how effectively ATPC has minimised barriers to learning for the disabled.</w:t>
      </w:r>
    </w:p>
    <w:p w14:paraId="1D9C4946" w14:textId="563893D8" w:rsidR="00C0022B" w:rsidRDefault="00C0022B" w:rsidP="00B776E0">
      <w:pPr>
        <w:rPr>
          <w:rFonts w:cs="Arial"/>
        </w:rPr>
      </w:pPr>
      <w:r>
        <w:rPr>
          <w:rFonts w:cs="Arial"/>
        </w:rPr>
        <w:t>The APTC tracer survey of graduates found that 89.3 per cent of those surveyed with a disability were employed compared with 96.1 per cent of those without a disability. However, more persons with disabilities (96.6 per cent) reported having received an employment benefit from APTC training than those without a disability (90.3 per cent).</w:t>
      </w:r>
      <w:r w:rsidR="00100794">
        <w:rPr>
          <w:rFonts w:cs="Arial"/>
        </w:rPr>
        <w:t xml:space="preserve"> In addition, </w:t>
      </w:r>
      <w:r w:rsidR="00100794">
        <w:rPr>
          <w:rFonts w:cs="Arial"/>
          <w:lang w:val="en-GB"/>
        </w:rPr>
        <w:t>mo</w:t>
      </w:r>
      <w:r w:rsidR="00100794" w:rsidRPr="00100794">
        <w:rPr>
          <w:rFonts w:cs="Arial"/>
          <w:lang w:val="en-GB"/>
        </w:rPr>
        <w:t>st gr</w:t>
      </w:r>
      <w:r w:rsidR="00100794">
        <w:rPr>
          <w:rFonts w:cs="Arial"/>
          <w:lang w:val="en-GB"/>
        </w:rPr>
        <w:t>aduates with a disability (93.1 per cent</w:t>
      </w:r>
      <w:r w:rsidR="00100794" w:rsidRPr="00100794">
        <w:rPr>
          <w:rFonts w:cs="Arial"/>
          <w:lang w:val="en-GB"/>
        </w:rPr>
        <w:t>) reported a sense of achievement from their training</w:t>
      </w:r>
      <w:r w:rsidR="00100794">
        <w:rPr>
          <w:rFonts w:cs="Arial"/>
          <w:lang w:val="en-GB"/>
        </w:rPr>
        <w:t xml:space="preserve">. They </w:t>
      </w:r>
      <w:r w:rsidR="00100794" w:rsidRPr="00100794">
        <w:rPr>
          <w:rFonts w:cs="Arial"/>
          <w:lang w:val="en-GB"/>
        </w:rPr>
        <w:t>were more likely to cite g</w:t>
      </w:r>
      <w:r w:rsidR="00100794">
        <w:rPr>
          <w:rFonts w:cs="Arial"/>
          <w:lang w:val="en-GB"/>
        </w:rPr>
        <w:t>etting into further study (37.9 per cent</w:t>
      </w:r>
      <w:r w:rsidR="00100794" w:rsidRPr="00100794">
        <w:rPr>
          <w:rFonts w:cs="Arial"/>
          <w:lang w:val="en-GB"/>
        </w:rPr>
        <w:t>) and being seen as a ro</w:t>
      </w:r>
      <w:r w:rsidR="00100794">
        <w:rPr>
          <w:rFonts w:cs="Arial"/>
          <w:lang w:val="en-GB"/>
        </w:rPr>
        <w:t>le model in the community (86.2 per cent</w:t>
      </w:r>
      <w:r w:rsidR="00100794" w:rsidRPr="00100794">
        <w:rPr>
          <w:rFonts w:cs="Arial"/>
          <w:lang w:val="en-GB"/>
        </w:rPr>
        <w:t>) than t</w:t>
      </w:r>
      <w:r w:rsidR="00100794">
        <w:rPr>
          <w:rFonts w:cs="Arial"/>
          <w:lang w:val="en-GB"/>
        </w:rPr>
        <w:t>hose without a disability (18.2 per cent and 63.9 per cent</w:t>
      </w:r>
      <w:r w:rsidR="00100794" w:rsidRPr="00100794">
        <w:rPr>
          <w:rFonts w:cs="Arial"/>
          <w:lang w:val="en-GB"/>
        </w:rPr>
        <w:t>, respectively).</w:t>
      </w:r>
      <w:r w:rsidR="00100794" w:rsidRPr="00100794">
        <w:rPr>
          <w:rStyle w:val="FootnoteReference"/>
          <w:rFonts w:cs="Arial"/>
        </w:rPr>
        <w:t xml:space="preserve"> </w:t>
      </w:r>
      <w:r w:rsidR="00100794">
        <w:rPr>
          <w:rStyle w:val="FootnoteReference"/>
          <w:rFonts w:cs="Arial"/>
        </w:rPr>
        <w:footnoteReference w:id="47"/>
      </w:r>
      <w:r w:rsidR="00100794" w:rsidRPr="00100794">
        <w:rPr>
          <w:rFonts w:cs="Arial"/>
          <w:lang w:val="en-GB"/>
        </w:rPr>
        <w:t xml:space="preserve"> </w:t>
      </w:r>
      <w:r>
        <w:rPr>
          <w:rFonts w:cs="Arial"/>
        </w:rPr>
        <w:t xml:space="preserve"> </w:t>
      </w:r>
    </w:p>
    <w:p w14:paraId="75E9EA11" w14:textId="18C2F212" w:rsidR="003D355F" w:rsidRDefault="00506A16" w:rsidP="002028A6">
      <w:pPr>
        <w:pStyle w:val="Heading1"/>
      </w:pPr>
      <w:bookmarkStart w:id="691" w:name="_Toc278447915"/>
      <w:bookmarkStart w:id="692" w:name="_Toc278453388"/>
      <w:r>
        <w:t>4</w:t>
      </w:r>
      <w:r w:rsidR="008F0B2F">
        <w:tab/>
      </w:r>
      <w:r w:rsidR="00B776E0" w:rsidRPr="008E1D64">
        <w:t>To what extent have the governance and management arrangements facilitated or impeded APTC’s operations?</w:t>
      </w:r>
      <w:bookmarkEnd w:id="691"/>
      <w:bookmarkEnd w:id="692"/>
    </w:p>
    <w:p w14:paraId="3EC64FFD" w14:textId="5E852C52" w:rsidR="00B776E0" w:rsidRPr="008E1D64" w:rsidRDefault="00B776E0" w:rsidP="00B776E0">
      <w:pPr>
        <w:rPr>
          <w:rFonts w:cs="Arial"/>
          <w:bCs/>
        </w:rPr>
      </w:pPr>
      <w:r>
        <w:rPr>
          <w:rFonts w:cs="Arial"/>
          <w:bCs/>
        </w:rPr>
        <w:t>The governance and management arrangements have impeded</w:t>
      </w:r>
      <w:r w:rsidR="00962859">
        <w:rPr>
          <w:rFonts w:cs="Arial"/>
          <w:bCs/>
        </w:rPr>
        <w:t>,</w:t>
      </w:r>
      <w:r>
        <w:rPr>
          <w:rFonts w:cs="Arial"/>
          <w:bCs/>
        </w:rPr>
        <w:t xml:space="preserve"> rather than facilitated</w:t>
      </w:r>
      <w:r w:rsidR="00962859">
        <w:rPr>
          <w:rFonts w:cs="Arial"/>
          <w:bCs/>
        </w:rPr>
        <w:t>,</w:t>
      </w:r>
      <w:r>
        <w:rPr>
          <w:rFonts w:cs="Arial"/>
          <w:bCs/>
        </w:rPr>
        <w:t xml:space="preserve"> APTC’s operations. There are inefficiencies and duplication in the consortium arrangements and the organisational structure, which need to be addressed. A shift to a country-based approach to advisory mechanisms would better position APTC for the future than the current Advisory Group arrangements.</w:t>
      </w:r>
    </w:p>
    <w:p w14:paraId="196462E4" w14:textId="1C42252F" w:rsidR="003D355F" w:rsidRDefault="00506A16" w:rsidP="002028A6">
      <w:pPr>
        <w:pStyle w:val="Heading3"/>
      </w:pPr>
      <w:bookmarkStart w:id="693" w:name="_Toc274145136"/>
      <w:bookmarkStart w:id="694" w:name="_Toc274900519"/>
      <w:bookmarkStart w:id="695" w:name="_Toc274909900"/>
      <w:bookmarkStart w:id="696" w:name="_Toc278447916"/>
      <w:bookmarkStart w:id="697" w:name="_Toc278453389"/>
      <w:r>
        <w:t xml:space="preserve">4.1 </w:t>
      </w:r>
      <w:r w:rsidR="00F7315C">
        <w:tab/>
      </w:r>
      <w:r w:rsidR="00B776E0">
        <w:t xml:space="preserve">Consortium arrangements – </w:t>
      </w:r>
      <w:r w:rsidR="00B776E0" w:rsidRPr="008E1D64">
        <w:t xml:space="preserve">What is the impact of the three member consortium on the effectiveness and efficiency of the operations </w:t>
      </w:r>
      <w:r w:rsidR="00AD133F">
        <w:br/>
      </w:r>
      <w:r w:rsidR="00B776E0" w:rsidRPr="008E1D64">
        <w:t>of the APTC</w:t>
      </w:r>
      <w:r w:rsidR="00AE5B5E">
        <w:t>?</w:t>
      </w:r>
      <w:bookmarkEnd w:id="693"/>
      <w:bookmarkEnd w:id="694"/>
      <w:bookmarkEnd w:id="695"/>
      <w:bookmarkEnd w:id="696"/>
      <w:bookmarkEnd w:id="697"/>
    </w:p>
    <w:p w14:paraId="3B32753C" w14:textId="77777777" w:rsidR="00B776E0" w:rsidRDefault="00B776E0" w:rsidP="00B776E0">
      <w:pPr>
        <w:pBdr>
          <w:top w:val="none" w:sz="0" w:space="0" w:color="000000"/>
          <w:left w:val="none" w:sz="0" w:space="0" w:color="000000"/>
          <w:bottom w:val="none" w:sz="0" w:space="0" w:color="000000"/>
          <w:right w:val="none" w:sz="0" w:space="0" w:color="000000"/>
          <w:between w:val="none" w:sz="0" w:space="0" w:color="000000"/>
        </w:pBdr>
        <w:rPr>
          <w:rFonts w:cs="Arial"/>
        </w:rPr>
      </w:pPr>
      <w:r>
        <w:rPr>
          <w:rFonts w:cs="Arial"/>
          <w:lang w:eastAsia="zh-CN"/>
        </w:rPr>
        <w:t>T</w:t>
      </w:r>
      <w:r w:rsidRPr="00CA63B8">
        <w:rPr>
          <w:rFonts w:cs="Arial"/>
          <w:lang w:eastAsia="zh-CN"/>
        </w:rPr>
        <w:t xml:space="preserve">he </w:t>
      </w:r>
      <w:r w:rsidR="001F5811">
        <w:rPr>
          <w:rFonts w:cs="Arial"/>
          <w:lang w:eastAsia="zh-CN"/>
        </w:rPr>
        <w:t>Stage II</w:t>
      </w:r>
      <w:r w:rsidRPr="00CA63B8">
        <w:rPr>
          <w:rFonts w:cs="Arial"/>
          <w:lang w:eastAsia="zh-CN"/>
        </w:rPr>
        <w:t xml:space="preserve"> Scope of Services </w:t>
      </w:r>
      <w:r>
        <w:rPr>
          <w:rFonts w:cs="Arial"/>
          <w:lang w:eastAsia="zh-CN"/>
        </w:rPr>
        <w:t xml:space="preserve">stated </w:t>
      </w:r>
      <w:r w:rsidRPr="00CA63B8">
        <w:rPr>
          <w:rFonts w:cs="Arial"/>
          <w:lang w:eastAsia="zh-CN"/>
        </w:rPr>
        <w:t>that APTC would adopt a ‘whole-of-</w:t>
      </w:r>
      <w:r w:rsidR="004C57B4">
        <w:rPr>
          <w:rFonts w:cs="Arial"/>
          <w:lang w:eastAsia="zh-CN"/>
        </w:rPr>
        <w:t>c</w:t>
      </w:r>
      <w:r w:rsidR="004C57B4" w:rsidRPr="00CA63B8">
        <w:rPr>
          <w:rFonts w:cs="Arial"/>
          <w:lang w:eastAsia="zh-CN"/>
        </w:rPr>
        <w:t xml:space="preserve">ollege </w:t>
      </w:r>
      <w:r w:rsidRPr="00CA63B8">
        <w:rPr>
          <w:rFonts w:cs="Arial"/>
          <w:lang w:eastAsia="zh-CN"/>
        </w:rPr>
        <w:t>model’</w:t>
      </w:r>
      <w:r>
        <w:rPr>
          <w:rFonts w:cs="Arial"/>
          <w:lang w:eastAsia="zh-CN"/>
        </w:rPr>
        <w:t>.</w:t>
      </w:r>
      <w:r>
        <w:rPr>
          <w:rStyle w:val="FootnoteReference"/>
          <w:rFonts w:cs="Arial"/>
          <w:lang w:eastAsia="zh-CN"/>
        </w:rPr>
        <w:footnoteReference w:id="48"/>
      </w:r>
      <w:r>
        <w:rPr>
          <w:rFonts w:cs="Arial"/>
          <w:lang w:eastAsia="zh-CN"/>
        </w:rPr>
        <w:t xml:space="preserve">  However</w:t>
      </w:r>
      <w:r w:rsidRPr="00CA63B8">
        <w:rPr>
          <w:rFonts w:cs="Arial"/>
          <w:lang w:eastAsia="zh-CN"/>
        </w:rPr>
        <w:t xml:space="preserve">, </w:t>
      </w:r>
      <w:r>
        <w:rPr>
          <w:rFonts w:cs="Arial"/>
          <w:lang w:eastAsia="zh-CN"/>
        </w:rPr>
        <w:t xml:space="preserve">the consortium arrangements are cumbersome and inefficient. </w:t>
      </w:r>
      <w:r>
        <w:rPr>
          <w:rFonts w:cs="Arial"/>
        </w:rPr>
        <w:t xml:space="preserve">The consortium consists of three entities, TAFE Queensland (formerly South Coast Institute of TAFE) as the lead contractor, Box Hill Institute in Victoria and GRM International.  This has involved duplication of functions and personnel, affecting both administrative and educational functions.  </w:t>
      </w:r>
    </w:p>
    <w:p w14:paraId="19C83F50" w14:textId="0384FA93" w:rsidR="00B776E0" w:rsidRPr="00CA63B8" w:rsidRDefault="00B776E0" w:rsidP="00B776E0">
      <w:pPr>
        <w:rPr>
          <w:rFonts w:eastAsia="Calibri" w:cs="Arial"/>
          <w:lang w:eastAsia="zh-CN"/>
        </w:rPr>
      </w:pPr>
      <w:r>
        <w:rPr>
          <w:rFonts w:cs="Arial"/>
        </w:rPr>
        <w:t>Administratively, each has responsibilities for employment</w:t>
      </w:r>
      <w:r w:rsidR="00506A16" w:rsidRPr="00506A16">
        <w:rPr>
          <w:rFonts w:cs="Arial"/>
        </w:rPr>
        <w:t>: TAFE Queensland East Coast for STT staff; Box Hill Institute for SHCS staff, TAE trainers and national staff (administrative and tutors); and GRM International for short</w:t>
      </w:r>
      <w:r w:rsidR="001269E9">
        <w:rPr>
          <w:rFonts w:cs="Arial"/>
        </w:rPr>
        <w:t>-</w:t>
      </w:r>
      <w:r w:rsidR="00506A16" w:rsidRPr="00506A16">
        <w:rPr>
          <w:rFonts w:cs="Arial"/>
        </w:rPr>
        <w:t>term advisers.</w:t>
      </w:r>
      <w:r w:rsidR="00D059A3">
        <w:rPr>
          <w:rFonts w:cs="Arial"/>
        </w:rPr>
        <w:t xml:space="preserve"> </w:t>
      </w:r>
      <w:r>
        <w:rPr>
          <w:rFonts w:cs="Arial"/>
        </w:rPr>
        <w:t xml:space="preserve">This means that there are three different employment arrangements and three sets of staff to manage them, along with the </w:t>
      </w:r>
      <w:r w:rsidR="00A6003D">
        <w:rPr>
          <w:rFonts w:cs="Arial"/>
        </w:rPr>
        <w:t xml:space="preserve">human resource </w:t>
      </w:r>
      <w:r>
        <w:rPr>
          <w:rFonts w:cs="Arial"/>
        </w:rPr>
        <w:t xml:space="preserve">(HR) function based in Nadi. </w:t>
      </w:r>
      <w:r w:rsidRPr="00CA63B8">
        <w:rPr>
          <w:rFonts w:cs="Arial"/>
        </w:rPr>
        <w:t xml:space="preserve">Employment terms and conditions </w:t>
      </w:r>
      <w:r w:rsidR="008B685B">
        <w:rPr>
          <w:rFonts w:cs="Arial"/>
        </w:rPr>
        <w:t xml:space="preserve">for expatriate trainers </w:t>
      </w:r>
      <w:r w:rsidRPr="00CA63B8">
        <w:rPr>
          <w:rFonts w:cs="Arial"/>
        </w:rPr>
        <w:t>are modifications of Australian industrial awards rather than purpose-designed for APTC circumstances.</w:t>
      </w:r>
      <w:r>
        <w:rPr>
          <w:rFonts w:cs="Arial"/>
        </w:rPr>
        <w:t xml:space="preserve"> As well as being inefficient and costly, inconsistency in employment arrangements has been the cause of tension among staff as they compare the two different se</w:t>
      </w:r>
      <w:r w:rsidR="00AD133F">
        <w:rPr>
          <w:rFonts w:cs="Arial"/>
        </w:rPr>
        <w:t xml:space="preserve">ts of conditions and benefits. </w:t>
      </w:r>
      <w:r>
        <w:rPr>
          <w:rFonts w:cs="Arial"/>
        </w:rPr>
        <w:t xml:space="preserve">As employees of different organisations, they are accountable to these organisations and not directly to the APTC CEO. This invites staff to </w:t>
      </w:r>
      <w:r w:rsidRPr="00CA63B8">
        <w:rPr>
          <w:rFonts w:cs="Arial"/>
        </w:rPr>
        <w:t xml:space="preserve">regard themselves as employees of the employing body rather than </w:t>
      </w:r>
      <w:r>
        <w:rPr>
          <w:rFonts w:cs="Arial"/>
        </w:rPr>
        <w:t>of</w:t>
      </w:r>
      <w:r w:rsidRPr="00CA63B8">
        <w:rPr>
          <w:rFonts w:cs="Arial"/>
        </w:rPr>
        <w:t xml:space="preserve"> APTC</w:t>
      </w:r>
      <w:r>
        <w:rPr>
          <w:rFonts w:cs="Arial"/>
        </w:rPr>
        <w:t xml:space="preserve"> – an undesirable split in loyalties. The evaluation team was even advised that differences in employment conditions had hampered the appointment of national HR staff in Nadi because the arrangements were too complex to expect a national to administer and therefore too risky to contemplate. Similar duplication exists for other administrative functions. Perceptions by some staff that the administration is ‘top-heavy’ is in part a result of the duplication of staffing required to maintain these inefficiencies. </w:t>
      </w:r>
      <w:r>
        <w:rPr>
          <w:rFonts w:eastAsia="Calibri" w:cs="Arial"/>
          <w:lang w:eastAsia="zh-CN"/>
        </w:rPr>
        <w:t>T</w:t>
      </w:r>
      <w:r w:rsidRPr="00CA63B8">
        <w:rPr>
          <w:rFonts w:eastAsia="Calibri" w:cs="Arial"/>
          <w:lang w:eastAsia="zh-CN"/>
        </w:rPr>
        <w:t xml:space="preserve">here </w:t>
      </w:r>
      <w:r>
        <w:rPr>
          <w:rFonts w:eastAsia="Calibri" w:cs="Arial"/>
          <w:lang w:eastAsia="zh-CN"/>
        </w:rPr>
        <w:t>sh</w:t>
      </w:r>
      <w:r w:rsidRPr="00CA63B8">
        <w:rPr>
          <w:rFonts w:eastAsia="Calibri" w:cs="Arial"/>
          <w:lang w:eastAsia="zh-CN"/>
        </w:rPr>
        <w:t xml:space="preserve">ould be one </w:t>
      </w:r>
      <w:r>
        <w:rPr>
          <w:rFonts w:eastAsia="Calibri" w:cs="Arial"/>
          <w:lang w:eastAsia="zh-CN"/>
        </w:rPr>
        <w:t xml:space="preserve">employer </w:t>
      </w:r>
      <w:r w:rsidRPr="00CA63B8">
        <w:rPr>
          <w:rFonts w:eastAsia="Calibri" w:cs="Arial"/>
          <w:lang w:eastAsia="zh-CN"/>
        </w:rPr>
        <w:t>and one line of accountability, with the CEO having full accountability for managing performance</w:t>
      </w:r>
      <w:r>
        <w:rPr>
          <w:rFonts w:eastAsia="Calibri" w:cs="Arial"/>
          <w:lang w:eastAsia="zh-CN"/>
        </w:rPr>
        <w:t xml:space="preserve">. </w:t>
      </w:r>
    </w:p>
    <w:p w14:paraId="3231A29A" w14:textId="77777777" w:rsidR="00B776E0" w:rsidRDefault="00B776E0" w:rsidP="00B776E0">
      <w:pPr>
        <w:rPr>
          <w:rFonts w:cs="Arial"/>
        </w:rPr>
      </w:pPr>
      <w:r>
        <w:rPr>
          <w:rFonts w:cs="Arial"/>
        </w:rPr>
        <w:t xml:space="preserve">From an educational perspective, since both </w:t>
      </w:r>
      <w:r w:rsidRPr="00CA63B8">
        <w:rPr>
          <w:rFonts w:cs="Arial"/>
        </w:rPr>
        <w:t xml:space="preserve">RTOs have all programs </w:t>
      </w:r>
      <w:r>
        <w:rPr>
          <w:rFonts w:cs="Arial"/>
        </w:rPr>
        <w:t xml:space="preserve">currently and likely to be delivered </w:t>
      </w:r>
      <w:r w:rsidRPr="00CA63B8">
        <w:rPr>
          <w:rFonts w:cs="Arial"/>
        </w:rPr>
        <w:t>by the APTC on their scope of registration</w:t>
      </w:r>
      <w:r>
        <w:rPr>
          <w:rFonts w:cs="Arial"/>
        </w:rPr>
        <w:t xml:space="preserve">, </w:t>
      </w:r>
      <w:r w:rsidRPr="00CA63B8">
        <w:rPr>
          <w:rFonts w:cs="Arial"/>
        </w:rPr>
        <w:t xml:space="preserve">there is no </w:t>
      </w:r>
      <w:r>
        <w:rPr>
          <w:rFonts w:cs="Arial"/>
        </w:rPr>
        <w:t xml:space="preserve">longer a </w:t>
      </w:r>
      <w:r w:rsidRPr="00CA63B8">
        <w:rPr>
          <w:rFonts w:cs="Arial"/>
        </w:rPr>
        <w:t xml:space="preserve">necessity to have two RTOs involved. </w:t>
      </w:r>
      <w:r>
        <w:rPr>
          <w:rFonts w:cs="Arial"/>
        </w:rPr>
        <w:t>Moreover, duplication also occurs in quality assurance. Each of the two institutes has its own arrangements for quality compliance and auditing, neither of which was custom-made for APTC purposes. These different approaches need to be understood in each country and implemented accordingly. With the Australian Skills Quality Authority announcing that it intends to conduct off-shore audits in 2014, streamlining of the quality and compliance arrangements has become essential. There should be a single quality management system, designed to meet APTC requirements and a single and coordinated approach to quality compliance and auditing.</w:t>
      </w:r>
    </w:p>
    <w:p w14:paraId="3537ACD0" w14:textId="6395EEC9" w:rsidR="00B776E0" w:rsidRDefault="00B776E0" w:rsidP="00B776E0">
      <w:pPr>
        <w:rPr>
          <w:rFonts w:cs="Arial"/>
        </w:rPr>
      </w:pPr>
      <w:r>
        <w:rPr>
          <w:rFonts w:cs="Arial"/>
        </w:rPr>
        <w:t xml:space="preserve">Consortium members have worked diligently to harmonise these areas of duplication. Much has been achieved. However, </w:t>
      </w:r>
      <w:r w:rsidRPr="004F7361">
        <w:rPr>
          <w:rFonts w:cs="Arial"/>
        </w:rPr>
        <w:t xml:space="preserve">differences remain </w:t>
      </w:r>
      <w:r>
        <w:rPr>
          <w:rFonts w:cs="Arial"/>
        </w:rPr>
        <w:t xml:space="preserve">even towards the end of </w:t>
      </w:r>
      <w:r w:rsidR="001F5811">
        <w:rPr>
          <w:rFonts w:cs="Arial"/>
        </w:rPr>
        <w:t>Stage II</w:t>
      </w:r>
      <w:r>
        <w:rPr>
          <w:rFonts w:cs="Arial"/>
        </w:rPr>
        <w:t>. This has required goodwill and extensive time and effort that might have been better spent in other more productive and future</w:t>
      </w:r>
      <w:r w:rsidR="00D33130">
        <w:rPr>
          <w:rFonts w:cs="Arial"/>
        </w:rPr>
        <w:t>-</w:t>
      </w:r>
      <w:r>
        <w:rPr>
          <w:rFonts w:cs="Arial"/>
        </w:rPr>
        <w:t xml:space="preserve">oriented activities. Addressing these inefficiencies is imperative as the APTC matures and positions itself for the future. </w:t>
      </w:r>
    </w:p>
    <w:p w14:paraId="3611E60D" w14:textId="507C1AA3" w:rsidR="00506A16" w:rsidRDefault="00506A16" w:rsidP="00B776E0">
      <w:pPr>
        <w:rPr>
          <w:rFonts w:cs="Arial"/>
        </w:rPr>
      </w:pPr>
      <w:r w:rsidRPr="00506A16">
        <w:rPr>
          <w:rFonts w:cs="Arial"/>
        </w:rPr>
        <w:t>Importantly, APTC can achieve significant cost efficiencies by separating the education function (under the responsibility of an RTO) from the administrative/employment function (under the responsibility of a different agent).</w:t>
      </w:r>
      <w:r>
        <w:rPr>
          <w:rFonts w:cs="Arial"/>
        </w:rPr>
        <w:t xml:space="preserve"> </w:t>
      </w:r>
      <w:r w:rsidRPr="00506A16">
        <w:rPr>
          <w:rFonts w:cs="Arial"/>
        </w:rPr>
        <w:t xml:space="preserve">For example, separating the administrative/employer function from the education function of an RTO has the advantage of being able to develop employment terms and conditions specifically </w:t>
      </w:r>
      <w:r>
        <w:rPr>
          <w:rFonts w:cs="Arial"/>
        </w:rPr>
        <w:t xml:space="preserve">for </w:t>
      </w:r>
      <w:r w:rsidRPr="00506A16">
        <w:rPr>
          <w:rFonts w:cs="Arial"/>
        </w:rPr>
        <w:t xml:space="preserve">APTC’s requirements without being </w:t>
      </w:r>
      <w:r w:rsidR="00842825">
        <w:rPr>
          <w:rFonts w:cs="Arial"/>
        </w:rPr>
        <w:t xml:space="preserve">constrained by </w:t>
      </w:r>
      <w:r w:rsidRPr="00506A16">
        <w:rPr>
          <w:rFonts w:cs="Arial"/>
        </w:rPr>
        <w:t>Australian TAFE terms and conditions.</w:t>
      </w:r>
      <w:r>
        <w:rPr>
          <w:rFonts w:cs="Arial"/>
        </w:rPr>
        <w:t xml:space="preserve"> </w:t>
      </w:r>
      <w:r w:rsidR="00FA3F61" w:rsidRPr="00FA3F61">
        <w:rPr>
          <w:rFonts w:cs="Arial"/>
        </w:rPr>
        <w:t xml:space="preserve">This could also be achieved through a sub-contracting arrangement. </w:t>
      </w:r>
      <w:r w:rsidRPr="00506A16">
        <w:rPr>
          <w:rFonts w:cs="Arial"/>
        </w:rPr>
        <w:t>Such a separation would see the two parties focusing on their core business.</w:t>
      </w:r>
    </w:p>
    <w:p w14:paraId="67B36187" w14:textId="5209A011" w:rsidR="003D355F" w:rsidRDefault="00506A16" w:rsidP="002028A6">
      <w:pPr>
        <w:pStyle w:val="Heading3"/>
      </w:pPr>
      <w:bookmarkStart w:id="698" w:name="_Toc274145137"/>
      <w:bookmarkStart w:id="699" w:name="_Toc274900520"/>
      <w:bookmarkStart w:id="700" w:name="_Toc274909901"/>
      <w:bookmarkStart w:id="701" w:name="_Toc278447917"/>
      <w:bookmarkStart w:id="702" w:name="_Toc278453390"/>
      <w:r>
        <w:t xml:space="preserve">4.2 </w:t>
      </w:r>
      <w:r w:rsidR="00F7315C">
        <w:tab/>
      </w:r>
      <w:r w:rsidR="00B776E0" w:rsidRPr="008E1D64">
        <w:t>Advisory Group – How does the membership and role of the Advisory Group contribute to the impact of the APTC?</w:t>
      </w:r>
      <w:bookmarkEnd w:id="698"/>
      <w:bookmarkEnd w:id="699"/>
      <w:bookmarkEnd w:id="700"/>
      <w:bookmarkEnd w:id="701"/>
      <w:bookmarkEnd w:id="702"/>
    </w:p>
    <w:p w14:paraId="67B16BF4" w14:textId="77777777" w:rsidR="00B776E0" w:rsidRDefault="00B776E0" w:rsidP="00B776E0">
      <w:pPr>
        <w:rPr>
          <w:rFonts w:cs="Arial"/>
        </w:rPr>
      </w:pPr>
      <w:r>
        <w:rPr>
          <w:rFonts w:cs="Arial"/>
        </w:rPr>
        <w:t xml:space="preserve">The structure and nature of the APTC Advisory Group limits its impact, compared with alternatives. </w:t>
      </w:r>
    </w:p>
    <w:p w14:paraId="1C876FC5" w14:textId="09F69407" w:rsidR="00B776E0" w:rsidRDefault="00B776E0" w:rsidP="00B776E0">
      <w:pPr>
        <w:rPr>
          <w:rFonts w:cs="Arial"/>
        </w:rPr>
      </w:pPr>
      <w:r>
        <w:rPr>
          <w:rFonts w:cs="Arial"/>
        </w:rPr>
        <w:t xml:space="preserve">The current </w:t>
      </w:r>
      <w:r w:rsidR="002B34FF">
        <w:rPr>
          <w:rFonts w:cs="Arial"/>
        </w:rPr>
        <w:t xml:space="preserve">group </w:t>
      </w:r>
      <w:r>
        <w:rPr>
          <w:rFonts w:cs="Arial"/>
        </w:rPr>
        <w:t xml:space="preserve">has representatives from each country campus and three </w:t>
      </w:r>
      <w:r w:rsidR="00D33130">
        <w:rPr>
          <w:rFonts w:cs="Arial"/>
        </w:rPr>
        <w:br/>
      </w:r>
      <w:r>
        <w:rPr>
          <w:rFonts w:cs="Arial"/>
        </w:rPr>
        <w:t>non-campus countries. Typically</w:t>
      </w:r>
      <w:r w:rsidR="00F0743A">
        <w:rPr>
          <w:rFonts w:cs="Arial"/>
        </w:rPr>
        <w:t>,</w:t>
      </w:r>
      <w:r>
        <w:rPr>
          <w:rFonts w:cs="Arial"/>
        </w:rPr>
        <w:t xml:space="preserve"> they are stakeholders chosen for their connections with and support for the APTC. Additional members are two industry representatives from Australia. The </w:t>
      </w:r>
      <w:r w:rsidR="00F0743A">
        <w:rPr>
          <w:rFonts w:cs="Arial"/>
        </w:rPr>
        <w:t xml:space="preserve">group </w:t>
      </w:r>
      <w:r>
        <w:rPr>
          <w:rFonts w:cs="Arial"/>
        </w:rPr>
        <w:t xml:space="preserve">is chaired by the Minister Counsellor, Regional Pacific Aid, Australian Aid based in Fiji, who also determines the agenda.  </w:t>
      </w:r>
    </w:p>
    <w:p w14:paraId="12D7A346" w14:textId="77777777" w:rsidR="00B776E0" w:rsidRDefault="00B776E0" w:rsidP="00B776E0">
      <w:pPr>
        <w:rPr>
          <w:rFonts w:cs="Arial"/>
        </w:rPr>
      </w:pPr>
      <w:r w:rsidRPr="00CA63B8">
        <w:rPr>
          <w:rFonts w:cs="Arial"/>
        </w:rPr>
        <w:t xml:space="preserve">Recommendation 12 of the </w:t>
      </w:r>
      <w:r>
        <w:rPr>
          <w:rFonts w:cs="Arial"/>
        </w:rPr>
        <w:t>M</w:t>
      </w:r>
      <w:r w:rsidRPr="00CA63B8">
        <w:rPr>
          <w:rFonts w:cs="Arial"/>
        </w:rPr>
        <w:t>id-</w:t>
      </w:r>
      <w:r>
        <w:rPr>
          <w:rFonts w:cs="Arial"/>
        </w:rPr>
        <w:t>T</w:t>
      </w:r>
      <w:r w:rsidRPr="00CA63B8">
        <w:rPr>
          <w:rFonts w:cs="Arial"/>
        </w:rPr>
        <w:t xml:space="preserve">erm </w:t>
      </w:r>
      <w:r>
        <w:rPr>
          <w:rFonts w:cs="Arial"/>
        </w:rPr>
        <w:t>R</w:t>
      </w:r>
      <w:r w:rsidRPr="00CA63B8">
        <w:rPr>
          <w:rFonts w:cs="Arial"/>
        </w:rPr>
        <w:t>eview</w:t>
      </w:r>
      <w:r>
        <w:rPr>
          <w:rStyle w:val="FootnoteReference"/>
          <w:rFonts w:cs="Arial"/>
        </w:rPr>
        <w:footnoteReference w:id="49"/>
      </w:r>
      <w:r w:rsidRPr="00CA63B8">
        <w:rPr>
          <w:rFonts w:cs="Arial"/>
        </w:rPr>
        <w:t xml:space="preserve"> proposed that the strategic role and contribution of the APTC Advisory Group be strengthened. This was taken up in the </w:t>
      </w:r>
      <w:r w:rsidR="001F5811">
        <w:rPr>
          <w:rFonts w:cs="Arial"/>
        </w:rPr>
        <w:t>Stage II</w:t>
      </w:r>
      <w:r w:rsidRPr="00CA63B8">
        <w:rPr>
          <w:rFonts w:cs="Arial"/>
        </w:rPr>
        <w:t xml:space="preserve"> design with a redefinition of the Advisory Group’s purpose to reflect a greater role in strategy, advocacy and performance monitoring and a proposal for the chair’s role to be assumed by a regional or industry representative.</w:t>
      </w:r>
    </w:p>
    <w:p w14:paraId="759F6B93" w14:textId="19B29DC8" w:rsidR="00B776E0" w:rsidRDefault="002A0859" w:rsidP="00B776E0">
      <w:pPr>
        <w:rPr>
          <w:rFonts w:cs="Arial"/>
        </w:rPr>
      </w:pPr>
      <w:r>
        <w:rPr>
          <w:rFonts w:cs="Arial"/>
        </w:rPr>
        <w:t>According to</w:t>
      </w:r>
      <w:r w:rsidR="00B776E0" w:rsidRPr="00CA63B8">
        <w:rPr>
          <w:rFonts w:cs="Arial"/>
        </w:rPr>
        <w:t xml:space="preserve"> stakeholders</w:t>
      </w:r>
      <w:r w:rsidR="00A87C0B">
        <w:rPr>
          <w:rFonts w:cs="Arial"/>
        </w:rPr>
        <w:t>,</w:t>
      </w:r>
      <w:r w:rsidR="00B776E0" w:rsidRPr="00CA63B8">
        <w:rPr>
          <w:rFonts w:cs="Arial"/>
        </w:rPr>
        <w:t xml:space="preserve"> </w:t>
      </w:r>
      <w:r>
        <w:rPr>
          <w:rFonts w:cs="Arial"/>
        </w:rPr>
        <w:t>(</w:t>
      </w:r>
      <w:r w:rsidR="00B776E0" w:rsidRPr="00CA63B8">
        <w:rPr>
          <w:rFonts w:cs="Arial"/>
        </w:rPr>
        <w:t xml:space="preserve">including </w:t>
      </w:r>
      <w:r>
        <w:rPr>
          <w:rFonts w:cs="Arial"/>
        </w:rPr>
        <w:t xml:space="preserve">advice from </w:t>
      </w:r>
      <w:r w:rsidR="00B776E0">
        <w:rPr>
          <w:rFonts w:cs="Arial"/>
        </w:rPr>
        <w:t xml:space="preserve">the four </w:t>
      </w:r>
      <w:r w:rsidR="00B776E0" w:rsidRPr="00CA63B8">
        <w:rPr>
          <w:rFonts w:cs="Arial"/>
        </w:rPr>
        <w:t>members of the Advisory Group</w:t>
      </w:r>
      <w:r w:rsidR="00B776E0">
        <w:rPr>
          <w:rFonts w:cs="Arial"/>
        </w:rPr>
        <w:t xml:space="preserve"> </w:t>
      </w:r>
      <w:r w:rsidR="00543F34">
        <w:rPr>
          <w:rFonts w:cs="Arial"/>
        </w:rPr>
        <w:t xml:space="preserve">that </w:t>
      </w:r>
      <w:r w:rsidR="00B776E0">
        <w:rPr>
          <w:rFonts w:cs="Arial"/>
        </w:rPr>
        <w:t xml:space="preserve">the evaluation team </w:t>
      </w:r>
      <w:r>
        <w:rPr>
          <w:rFonts w:cs="Arial"/>
        </w:rPr>
        <w:t>met)</w:t>
      </w:r>
      <w:r w:rsidR="00A87C0B">
        <w:rPr>
          <w:rFonts w:cs="Arial"/>
        </w:rPr>
        <w:t xml:space="preserve"> </w:t>
      </w:r>
      <w:r w:rsidR="00A87C0B" w:rsidRPr="00CA63B8">
        <w:rPr>
          <w:rFonts w:cs="Arial"/>
        </w:rPr>
        <w:t xml:space="preserve">the </w:t>
      </w:r>
      <w:r w:rsidR="00A87C0B">
        <w:rPr>
          <w:rFonts w:cs="Arial"/>
        </w:rPr>
        <w:t xml:space="preserve">main role of the </w:t>
      </w:r>
      <w:r w:rsidR="00A87C0B" w:rsidRPr="00CA63B8">
        <w:rPr>
          <w:rFonts w:cs="Arial"/>
        </w:rPr>
        <w:t xml:space="preserve">Advisory Group </w:t>
      </w:r>
      <w:r w:rsidR="00A87C0B">
        <w:rPr>
          <w:rFonts w:cs="Arial"/>
        </w:rPr>
        <w:t>is</w:t>
      </w:r>
      <w:r w:rsidR="00A87C0B" w:rsidRPr="00CA63B8">
        <w:rPr>
          <w:rFonts w:cs="Arial"/>
        </w:rPr>
        <w:t xml:space="preserve"> as a stakeholder communication forum</w:t>
      </w:r>
      <w:r w:rsidR="00B776E0" w:rsidRPr="00CA63B8">
        <w:rPr>
          <w:rFonts w:cs="Arial"/>
        </w:rPr>
        <w:t xml:space="preserve">. </w:t>
      </w:r>
      <w:r w:rsidR="00631770">
        <w:rPr>
          <w:rFonts w:cs="Arial"/>
        </w:rPr>
        <w:t>The group</w:t>
      </w:r>
      <w:r w:rsidR="00B776E0" w:rsidRPr="00CA63B8">
        <w:rPr>
          <w:rFonts w:cs="Arial"/>
        </w:rPr>
        <w:t xml:space="preserve"> provides a vehicle for consultation on </w:t>
      </w:r>
      <w:r w:rsidR="00B776E0">
        <w:rPr>
          <w:rFonts w:cs="Arial"/>
        </w:rPr>
        <w:t>projects</w:t>
      </w:r>
      <w:r w:rsidR="00B776E0" w:rsidRPr="00CA63B8">
        <w:rPr>
          <w:rFonts w:cs="Arial"/>
        </w:rPr>
        <w:t xml:space="preserve"> such as the Environmental Scan or the Annual Plan to ensure that all major aspects have been appropriately addressed. The Country Reports keep members up-to-date with developments in other countries and the Australian representatives provide useful information on industry training and trends in Australia.</w:t>
      </w:r>
      <w:r w:rsidR="00B776E0">
        <w:rPr>
          <w:rFonts w:cs="Arial"/>
        </w:rPr>
        <w:t xml:space="preserve"> </w:t>
      </w:r>
    </w:p>
    <w:p w14:paraId="7FEEDA9D" w14:textId="77777777" w:rsidR="00B776E0" w:rsidRDefault="00B776E0" w:rsidP="00B776E0">
      <w:pPr>
        <w:rPr>
          <w:rFonts w:cs="Arial"/>
        </w:rPr>
      </w:pPr>
      <w:r>
        <w:rPr>
          <w:rFonts w:cs="Arial"/>
        </w:rPr>
        <w:t xml:space="preserve">However, the more strategic role envisaged for the Advisory Group in </w:t>
      </w:r>
      <w:r w:rsidR="001F5811">
        <w:rPr>
          <w:rFonts w:cs="Arial"/>
        </w:rPr>
        <w:t>Stage II</w:t>
      </w:r>
      <w:r>
        <w:rPr>
          <w:rFonts w:cs="Arial"/>
        </w:rPr>
        <w:t xml:space="preserve"> has not eventuated. </w:t>
      </w:r>
      <w:r w:rsidRPr="00CA63B8">
        <w:rPr>
          <w:rFonts w:cs="Arial"/>
        </w:rPr>
        <w:t xml:space="preserve">Reasons cited include </w:t>
      </w:r>
      <w:r>
        <w:rPr>
          <w:rFonts w:cs="Arial"/>
        </w:rPr>
        <w:t>infrequent meetings,</w:t>
      </w:r>
      <w:r w:rsidRPr="00CA63B8">
        <w:rPr>
          <w:rFonts w:cs="Arial"/>
        </w:rPr>
        <w:t xml:space="preserve"> turnover in membership and </w:t>
      </w:r>
      <w:r>
        <w:rPr>
          <w:rFonts w:cs="Arial"/>
        </w:rPr>
        <w:t xml:space="preserve">incomplete </w:t>
      </w:r>
      <w:r w:rsidRPr="00CA63B8">
        <w:rPr>
          <w:rFonts w:cs="Arial"/>
        </w:rPr>
        <w:t>countr</w:t>
      </w:r>
      <w:r>
        <w:rPr>
          <w:rFonts w:cs="Arial"/>
        </w:rPr>
        <w:t xml:space="preserve">y representation. Lack of clear dissemination mechanisms further limits its impact. </w:t>
      </w:r>
      <w:r w:rsidRPr="00CA63B8">
        <w:rPr>
          <w:rFonts w:cs="Arial"/>
        </w:rPr>
        <w:t>In addition, the Consortium Board is ultimately accountable to DFAT as the client and there is ongoing contract management</w:t>
      </w:r>
      <w:r>
        <w:rPr>
          <w:rFonts w:cs="Arial"/>
        </w:rPr>
        <w:t>. This means that there is little genuine scope for an Advisory Board of this nature to exercise a strategic role in APTC operations.</w:t>
      </w:r>
      <w:r w:rsidRPr="00CA63B8">
        <w:rPr>
          <w:rFonts w:cs="Arial"/>
        </w:rPr>
        <w:t xml:space="preserve"> </w:t>
      </w:r>
    </w:p>
    <w:p w14:paraId="0945AEC0" w14:textId="77777777" w:rsidR="00B776E0" w:rsidRDefault="00B776E0" w:rsidP="00B776E0">
      <w:pPr>
        <w:rPr>
          <w:rFonts w:cs="Arial"/>
        </w:rPr>
      </w:pPr>
      <w:r>
        <w:rPr>
          <w:rFonts w:cs="Arial"/>
        </w:rPr>
        <w:t>As highlighted earlier, a</w:t>
      </w:r>
      <w:r w:rsidRPr="00D46A8D">
        <w:rPr>
          <w:rFonts w:cs="Arial"/>
        </w:rPr>
        <w:t xml:space="preserve"> greater focus on the distinctiveness of each country </w:t>
      </w:r>
      <w:r>
        <w:rPr>
          <w:rFonts w:cs="Arial"/>
        </w:rPr>
        <w:t>would</w:t>
      </w:r>
      <w:r w:rsidRPr="00D46A8D">
        <w:rPr>
          <w:rFonts w:cs="Arial"/>
        </w:rPr>
        <w:t xml:space="preserve"> be more appropriate in future. This points to the desirability of a country level approach to an advisory mechanism</w:t>
      </w:r>
      <w:r>
        <w:rPr>
          <w:rFonts w:cs="Arial"/>
        </w:rPr>
        <w:t xml:space="preserve">. </w:t>
      </w:r>
    </w:p>
    <w:p w14:paraId="514DBD03" w14:textId="3F76E857" w:rsidR="00B776E0" w:rsidRDefault="00B776E0" w:rsidP="00B776E0">
      <w:pPr>
        <w:rPr>
          <w:rFonts w:cs="Arial"/>
        </w:rPr>
      </w:pPr>
      <w:r>
        <w:rPr>
          <w:rFonts w:cs="Arial"/>
        </w:rPr>
        <w:t>U</w:t>
      </w:r>
      <w:r w:rsidRPr="00861ADF">
        <w:rPr>
          <w:rFonts w:cs="Arial"/>
        </w:rPr>
        <w:t>nder new DFAT arrangements, the responsibi</w:t>
      </w:r>
      <w:r w:rsidR="00C82A40">
        <w:rPr>
          <w:rFonts w:cs="Arial"/>
        </w:rPr>
        <w:t xml:space="preserve">lity for the APTC will shift </w:t>
      </w:r>
      <w:r w:rsidRPr="00861ADF">
        <w:rPr>
          <w:rFonts w:cs="Arial"/>
        </w:rPr>
        <w:t xml:space="preserve">from Fiji to Canberra. </w:t>
      </w:r>
      <w:r>
        <w:rPr>
          <w:rFonts w:cs="Arial"/>
        </w:rPr>
        <w:t>This in itself may require a different approach to an advisory mechanisms but it would also</w:t>
      </w:r>
      <w:r w:rsidRPr="00861ADF">
        <w:rPr>
          <w:rFonts w:cs="Arial"/>
        </w:rPr>
        <w:t xml:space="preserve"> open up the way for greater involvement of DFAT officers in the APTC at country level and promote integration with the bi-lateral programs</w:t>
      </w:r>
      <w:r>
        <w:rPr>
          <w:rFonts w:cs="Arial"/>
        </w:rPr>
        <w:t>, through actively involving DFAT in a country-based advisory mechanism.</w:t>
      </w:r>
    </w:p>
    <w:p w14:paraId="2E58FDF3" w14:textId="77777777" w:rsidR="00B776E0" w:rsidRDefault="00B776E0" w:rsidP="00F7315C">
      <w:pPr>
        <w:spacing w:after="40"/>
        <w:rPr>
          <w:rFonts w:cs="Arial"/>
        </w:rPr>
      </w:pPr>
      <w:r>
        <w:rPr>
          <w:rFonts w:cs="Arial"/>
        </w:rPr>
        <w:t>It is therefore proposed that a consultative forum be established at country level with the following features:</w:t>
      </w:r>
    </w:p>
    <w:p w14:paraId="27130F4C" w14:textId="77777777" w:rsidR="00B776E0" w:rsidRPr="005A0650" w:rsidRDefault="00B776E0" w:rsidP="00F7315C">
      <w:pPr>
        <w:pStyle w:val="ListParagraph"/>
        <w:numPr>
          <w:ilvl w:val="0"/>
          <w:numId w:val="37"/>
        </w:numPr>
        <w:spacing w:after="40"/>
        <w:contextualSpacing w:val="0"/>
        <w:rPr>
          <w:rFonts w:cs="Arial"/>
        </w:rPr>
      </w:pPr>
      <w:r w:rsidRPr="005A0650">
        <w:rPr>
          <w:rFonts w:cs="Arial"/>
        </w:rPr>
        <w:t>a small membership, in the order of 5</w:t>
      </w:r>
      <w:r w:rsidR="008A405D">
        <w:rPr>
          <w:rFonts w:cs="Arial"/>
        </w:rPr>
        <w:t>–</w:t>
      </w:r>
      <w:r w:rsidRPr="005A0650">
        <w:rPr>
          <w:rFonts w:cs="Arial"/>
        </w:rPr>
        <w:t xml:space="preserve">7 </w:t>
      </w:r>
      <w:r w:rsidR="008A405D">
        <w:rPr>
          <w:rFonts w:cs="Arial"/>
        </w:rPr>
        <w:t>members</w:t>
      </w:r>
    </w:p>
    <w:p w14:paraId="213E9D0B" w14:textId="77777777" w:rsidR="00B776E0" w:rsidRPr="005A0650" w:rsidRDefault="00B776E0" w:rsidP="00F7315C">
      <w:pPr>
        <w:pStyle w:val="ListParagraph"/>
        <w:numPr>
          <w:ilvl w:val="0"/>
          <w:numId w:val="37"/>
        </w:numPr>
        <w:spacing w:after="40"/>
        <w:contextualSpacing w:val="0"/>
        <w:rPr>
          <w:rFonts w:cs="Arial"/>
        </w:rPr>
      </w:pPr>
      <w:r w:rsidRPr="005A0650">
        <w:rPr>
          <w:rFonts w:cs="Arial"/>
        </w:rPr>
        <w:t>members appointed by the local DFAT office in consultation with the Country Manager</w:t>
      </w:r>
    </w:p>
    <w:p w14:paraId="7A1B7EF1" w14:textId="77777777" w:rsidR="00B776E0" w:rsidRPr="005A0650" w:rsidRDefault="00B776E0" w:rsidP="00F7315C">
      <w:pPr>
        <w:pStyle w:val="ListParagraph"/>
        <w:numPr>
          <w:ilvl w:val="0"/>
          <w:numId w:val="37"/>
        </w:numPr>
        <w:spacing w:after="40"/>
        <w:contextualSpacing w:val="0"/>
        <w:rPr>
          <w:rFonts w:cs="Arial"/>
        </w:rPr>
      </w:pPr>
      <w:r w:rsidRPr="005A0650">
        <w:rPr>
          <w:rFonts w:cs="Arial"/>
        </w:rPr>
        <w:t>membership comprising at least 50</w:t>
      </w:r>
      <w:r w:rsidR="001A469C">
        <w:rPr>
          <w:rFonts w:cs="Arial"/>
        </w:rPr>
        <w:t xml:space="preserve"> per cent</w:t>
      </w:r>
      <w:r w:rsidR="001A469C" w:rsidRPr="005A0650">
        <w:rPr>
          <w:rFonts w:cs="Arial"/>
        </w:rPr>
        <w:t xml:space="preserve"> </w:t>
      </w:r>
      <w:r w:rsidRPr="005A0650">
        <w:rPr>
          <w:rFonts w:cs="Arial"/>
        </w:rPr>
        <w:t>private industry and/or industry association members</w:t>
      </w:r>
    </w:p>
    <w:p w14:paraId="0BE1DC7D" w14:textId="77777777" w:rsidR="00B776E0" w:rsidRPr="005A0650" w:rsidRDefault="00B776E0" w:rsidP="00F7315C">
      <w:pPr>
        <w:pStyle w:val="ListParagraph"/>
        <w:numPr>
          <w:ilvl w:val="0"/>
          <w:numId w:val="37"/>
        </w:numPr>
        <w:spacing w:after="40"/>
        <w:contextualSpacing w:val="0"/>
        <w:rPr>
          <w:rFonts w:cs="Arial"/>
        </w:rPr>
      </w:pPr>
      <w:r w:rsidRPr="005A0650">
        <w:rPr>
          <w:rFonts w:cs="Arial"/>
        </w:rPr>
        <w:t>an Industry Chairperson</w:t>
      </w:r>
    </w:p>
    <w:p w14:paraId="72D4617A" w14:textId="77777777" w:rsidR="00B776E0" w:rsidRPr="005A0650" w:rsidRDefault="00B776E0" w:rsidP="00F7315C">
      <w:pPr>
        <w:pStyle w:val="ListParagraph"/>
        <w:numPr>
          <w:ilvl w:val="0"/>
          <w:numId w:val="37"/>
        </w:numPr>
        <w:spacing w:after="40"/>
        <w:contextualSpacing w:val="0"/>
        <w:rPr>
          <w:rFonts w:cs="Arial"/>
        </w:rPr>
      </w:pPr>
      <w:r>
        <w:rPr>
          <w:rFonts w:cs="Arial"/>
        </w:rPr>
        <w:t xml:space="preserve">one </w:t>
      </w:r>
      <w:r w:rsidRPr="005A0650">
        <w:rPr>
          <w:rFonts w:cs="Arial"/>
        </w:rPr>
        <w:t xml:space="preserve">DFAT representative to </w:t>
      </w:r>
      <w:r>
        <w:rPr>
          <w:rFonts w:cs="Arial"/>
        </w:rPr>
        <w:t>have observer status</w:t>
      </w:r>
    </w:p>
    <w:p w14:paraId="58AC7CC1" w14:textId="77777777" w:rsidR="00B776E0" w:rsidRPr="005A0650" w:rsidRDefault="00B776E0" w:rsidP="00F7315C">
      <w:pPr>
        <w:pStyle w:val="ListParagraph"/>
        <w:numPr>
          <w:ilvl w:val="0"/>
          <w:numId w:val="37"/>
        </w:numPr>
        <w:spacing w:after="40"/>
        <w:contextualSpacing w:val="0"/>
        <w:rPr>
          <w:rFonts w:cs="Arial"/>
        </w:rPr>
      </w:pPr>
      <w:r w:rsidRPr="005A0650">
        <w:rPr>
          <w:rFonts w:cs="Arial"/>
        </w:rPr>
        <w:t xml:space="preserve">Country </w:t>
      </w:r>
      <w:r>
        <w:rPr>
          <w:rFonts w:cs="Arial"/>
        </w:rPr>
        <w:t>M</w:t>
      </w:r>
      <w:r w:rsidRPr="005A0650">
        <w:rPr>
          <w:rFonts w:cs="Arial"/>
        </w:rPr>
        <w:t xml:space="preserve">anager to </w:t>
      </w:r>
      <w:r>
        <w:rPr>
          <w:rFonts w:cs="Arial"/>
        </w:rPr>
        <w:t xml:space="preserve">have </w:t>
      </w:r>
      <w:r w:rsidRPr="005A0650">
        <w:rPr>
          <w:rFonts w:cs="Arial"/>
        </w:rPr>
        <w:t>observer</w:t>
      </w:r>
      <w:r>
        <w:rPr>
          <w:rFonts w:cs="Arial"/>
        </w:rPr>
        <w:t xml:space="preserve"> status</w:t>
      </w:r>
    </w:p>
    <w:p w14:paraId="6C3AE6A1" w14:textId="77777777" w:rsidR="00B776E0" w:rsidRDefault="00B776E0" w:rsidP="00F7315C">
      <w:pPr>
        <w:pStyle w:val="ListParagraph"/>
        <w:numPr>
          <w:ilvl w:val="0"/>
          <w:numId w:val="37"/>
        </w:numPr>
        <w:spacing w:after="40"/>
        <w:contextualSpacing w:val="0"/>
        <w:rPr>
          <w:rFonts w:cs="Arial"/>
        </w:rPr>
      </w:pPr>
      <w:r w:rsidRPr="005A0650">
        <w:rPr>
          <w:rFonts w:cs="Arial"/>
        </w:rPr>
        <w:t xml:space="preserve">meetings </w:t>
      </w:r>
      <w:r>
        <w:rPr>
          <w:rFonts w:cs="Arial"/>
        </w:rPr>
        <w:t xml:space="preserve">to be </w:t>
      </w:r>
      <w:r w:rsidRPr="005A0650">
        <w:rPr>
          <w:rFonts w:cs="Arial"/>
        </w:rPr>
        <w:t>held four times per year</w:t>
      </w:r>
    </w:p>
    <w:p w14:paraId="2AAEAB9F" w14:textId="77777777" w:rsidR="00B776E0" w:rsidRDefault="00B776E0" w:rsidP="00260880">
      <w:pPr>
        <w:pStyle w:val="ListParagraph"/>
        <w:numPr>
          <w:ilvl w:val="0"/>
          <w:numId w:val="37"/>
        </w:numPr>
        <w:contextualSpacing w:val="0"/>
        <w:rPr>
          <w:rFonts w:cs="Arial"/>
        </w:rPr>
      </w:pPr>
      <w:r>
        <w:rPr>
          <w:rFonts w:cs="Arial"/>
        </w:rPr>
        <w:t>consideration of a modest sitting fee for members.</w:t>
      </w:r>
    </w:p>
    <w:p w14:paraId="09FAB36E" w14:textId="77777777" w:rsidR="00B776E0" w:rsidRDefault="00B776E0" w:rsidP="00F7315C">
      <w:pPr>
        <w:spacing w:after="40"/>
        <w:rPr>
          <w:rFonts w:cs="Arial"/>
        </w:rPr>
      </w:pPr>
      <w:r>
        <w:rPr>
          <w:rFonts w:cs="Arial"/>
        </w:rPr>
        <w:t xml:space="preserve">The terms of reference for such a forum might include: </w:t>
      </w:r>
    </w:p>
    <w:p w14:paraId="71C22D11" w14:textId="77777777" w:rsidR="00B776E0" w:rsidRDefault="00B776E0" w:rsidP="00F7315C">
      <w:pPr>
        <w:pStyle w:val="ListParagraph"/>
        <w:numPr>
          <w:ilvl w:val="0"/>
          <w:numId w:val="39"/>
        </w:numPr>
        <w:spacing w:after="40"/>
        <w:contextualSpacing w:val="0"/>
        <w:rPr>
          <w:rFonts w:cs="Arial"/>
        </w:rPr>
      </w:pPr>
      <w:r>
        <w:rPr>
          <w:rFonts w:cs="Arial"/>
        </w:rPr>
        <w:t>providing input into the Country Strategic Plan</w:t>
      </w:r>
    </w:p>
    <w:p w14:paraId="4147E886" w14:textId="77777777" w:rsidR="00B776E0" w:rsidRPr="004E5654" w:rsidRDefault="00B776E0" w:rsidP="00F7315C">
      <w:pPr>
        <w:pStyle w:val="ListParagraph"/>
        <w:numPr>
          <w:ilvl w:val="0"/>
          <w:numId w:val="39"/>
        </w:numPr>
        <w:spacing w:after="40"/>
        <w:contextualSpacing w:val="0"/>
        <w:rPr>
          <w:rFonts w:cs="Arial"/>
        </w:rPr>
      </w:pPr>
      <w:r>
        <w:rPr>
          <w:rFonts w:cs="Arial"/>
        </w:rPr>
        <w:t xml:space="preserve">sourcing/providing ongoing </w:t>
      </w:r>
      <w:r w:rsidRPr="004E5654">
        <w:rPr>
          <w:rFonts w:cs="Arial"/>
        </w:rPr>
        <w:t xml:space="preserve">advice on industry trends </w:t>
      </w:r>
      <w:r>
        <w:rPr>
          <w:rFonts w:cs="Arial"/>
        </w:rPr>
        <w:t>and local industry intelligence</w:t>
      </w:r>
    </w:p>
    <w:p w14:paraId="7EB0468D" w14:textId="77777777" w:rsidR="00B776E0" w:rsidRPr="004E5654" w:rsidRDefault="00B776E0" w:rsidP="00F7315C">
      <w:pPr>
        <w:pStyle w:val="ListParagraph"/>
        <w:numPr>
          <w:ilvl w:val="0"/>
          <w:numId w:val="39"/>
        </w:numPr>
        <w:spacing w:after="40"/>
        <w:contextualSpacing w:val="0"/>
        <w:rPr>
          <w:rFonts w:cs="Arial"/>
        </w:rPr>
      </w:pPr>
      <w:r>
        <w:rPr>
          <w:rFonts w:cs="Arial"/>
        </w:rPr>
        <w:t xml:space="preserve">providing </w:t>
      </w:r>
      <w:r w:rsidRPr="004E5654">
        <w:rPr>
          <w:rFonts w:cs="Arial"/>
        </w:rPr>
        <w:t xml:space="preserve">feedback on </w:t>
      </w:r>
      <w:r>
        <w:rPr>
          <w:rFonts w:cs="Arial"/>
        </w:rPr>
        <w:t xml:space="preserve">the quality and relevance of </w:t>
      </w:r>
      <w:r w:rsidRPr="004E5654">
        <w:rPr>
          <w:rFonts w:cs="Arial"/>
        </w:rPr>
        <w:t>APTC training</w:t>
      </w:r>
    </w:p>
    <w:p w14:paraId="4B8F8250" w14:textId="77777777" w:rsidR="00B776E0" w:rsidRDefault="00B776E0" w:rsidP="00260880">
      <w:pPr>
        <w:pStyle w:val="ListParagraph"/>
        <w:numPr>
          <w:ilvl w:val="0"/>
          <w:numId w:val="39"/>
        </w:numPr>
        <w:contextualSpacing w:val="0"/>
        <w:rPr>
          <w:rFonts w:cs="Arial"/>
        </w:rPr>
      </w:pPr>
      <w:r w:rsidRPr="0062545A">
        <w:rPr>
          <w:rFonts w:cs="Arial"/>
        </w:rPr>
        <w:t>advoca</w:t>
      </w:r>
      <w:r>
        <w:rPr>
          <w:rFonts w:cs="Arial"/>
        </w:rPr>
        <w:t>ting</w:t>
      </w:r>
      <w:r w:rsidRPr="0062545A">
        <w:rPr>
          <w:rFonts w:cs="Arial"/>
        </w:rPr>
        <w:t xml:space="preserve"> for the APTC with industry and government in the country</w:t>
      </w:r>
      <w:r>
        <w:rPr>
          <w:rFonts w:cs="Arial"/>
        </w:rPr>
        <w:t xml:space="preserve"> and disseminating information about the APTC at country level.</w:t>
      </w:r>
    </w:p>
    <w:p w14:paraId="5B8710E6" w14:textId="77777777" w:rsidR="00B776E0" w:rsidRDefault="00B776E0" w:rsidP="00B776E0">
      <w:pPr>
        <w:rPr>
          <w:rFonts w:cs="Arial"/>
        </w:rPr>
      </w:pPr>
      <w:r>
        <w:rPr>
          <w:rFonts w:cs="Arial"/>
        </w:rPr>
        <w:t>The</w:t>
      </w:r>
      <w:r w:rsidRPr="009E7FD2">
        <w:rPr>
          <w:rFonts w:cs="Arial"/>
        </w:rPr>
        <w:t xml:space="preserve"> </w:t>
      </w:r>
      <w:r w:rsidRPr="00861ADF">
        <w:rPr>
          <w:rFonts w:cs="Arial"/>
        </w:rPr>
        <w:t xml:space="preserve">APTC is looking to move away from its current reliance on scholarships and to market its services to industry on a fee-paying basis. A </w:t>
      </w:r>
      <w:r>
        <w:rPr>
          <w:rFonts w:cs="Arial"/>
        </w:rPr>
        <w:t>c</w:t>
      </w:r>
      <w:r w:rsidRPr="00861ADF">
        <w:rPr>
          <w:rFonts w:cs="Arial"/>
        </w:rPr>
        <w:t xml:space="preserve">onsultative forum at country level would assist this process. </w:t>
      </w:r>
      <w:r>
        <w:rPr>
          <w:rFonts w:cs="Arial"/>
        </w:rPr>
        <w:t>With each country becoming increasingly distinctive, it would</w:t>
      </w:r>
      <w:r w:rsidRPr="00861ADF">
        <w:rPr>
          <w:rFonts w:cs="Arial"/>
        </w:rPr>
        <w:t xml:space="preserve"> also support </w:t>
      </w:r>
      <w:r>
        <w:rPr>
          <w:rFonts w:cs="Arial"/>
        </w:rPr>
        <w:t xml:space="preserve">a </w:t>
      </w:r>
      <w:r w:rsidRPr="00861ADF">
        <w:rPr>
          <w:rFonts w:cs="Arial"/>
        </w:rPr>
        <w:t xml:space="preserve">country-specific approach </w:t>
      </w:r>
      <w:r>
        <w:rPr>
          <w:rFonts w:cs="Arial"/>
        </w:rPr>
        <w:t xml:space="preserve">to strategic planning and development. </w:t>
      </w:r>
    </w:p>
    <w:p w14:paraId="67A03F96" w14:textId="77777777" w:rsidR="00B776E0" w:rsidRDefault="00B776E0" w:rsidP="00F7315C">
      <w:pPr>
        <w:spacing w:after="40"/>
        <w:rPr>
          <w:rFonts w:cs="Arial"/>
        </w:rPr>
      </w:pPr>
      <w:r>
        <w:rPr>
          <w:rFonts w:cs="Arial"/>
        </w:rPr>
        <w:t>Were such</w:t>
      </w:r>
      <w:r w:rsidRPr="00861ADF">
        <w:rPr>
          <w:rFonts w:cs="Arial"/>
        </w:rPr>
        <w:t xml:space="preserve"> country-based consultative forums </w:t>
      </w:r>
      <w:r>
        <w:rPr>
          <w:rFonts w:cs="Arial"/>
        </w:rPr>
        <w:t xml:space="preserve">to be </w:t>
      </w:r>
      <w:r w:rsidRPr="00861ADF">
        <w:rPr>
          <w:rFonts w:cs="Arial"/>
        </w:rPr>
        <w:t xml:space="preserve">established, there would be </w:t>
      </w:r>
      <w:r>
        <w:rPr>
          <w:rFonts w:cs="Arial"/>
        </w:rPr>
        <w:t>a field from which to draw</w:t>
      </w:r>
      <w:r w:rsidRPr="00861ADF">
        <w:rPr>
          <w:rFonts w:cs="Arial"/>
        </w:rPr>
        <w:t xml:space="preserve"> membership </w:t>
      </w:r>
      <w:r>
        <w:rPr>
          <w:rFonts w:cs="Arial"/>
        </w:rPr>
        <w:t>of</w:t>
      </w:r>
      <w:r w:rsidRPr="00861ADF">
        <w:rPr>
          <w:rFonts w:cs="Arial"/>
        </w:rPr>
        <w:t xml:space="preserve"> a new Pacific consultative forum</w:t>
      </w:r>
      <w:r>
        <w:rPr>
          <w:rFonts w:cs="Arial"/>
        </w:rPr>
        <w:t>. Membership could include:</w:t>
      </w:r>
    </w:p>
    <w:p w14:paraId="09B45D40" w14:textId="77777777" w:rsidR="00B776E0" w:rsidRDefault="00C56D52" w:rsidP="00F7315C">
      <w:pPr>
        <w:pStyle w:val="ListParagraph"/>
        <w:numPr>
          <w:ilvl w:val="0"/>
          <w:numId w:val="38"/>
        </w:numPr>
        <w:spacing w:after="40"/>
        <w:contextualSpacing w:val="0"/>
        <w:rPr>
          <w:rFonts w:cs="Arial"/>
        </w:rPr>
      </w:pPr>
      <w:r>
        <w:rPr>
          <w:rFonts w:cs="Arial"/>
        </w:rPr>
        <w:t xml:space="preserve">the </w:t>
      </w:r>
      <w:r w:rsidR="00B776E0">
        <w:rPr>
          <w:rFonts w:cs="Arial"/>
        </w:rPr>
        <w:t>Chairs of each Country Consultative Forum, rotating as Chairperson</w:t>
      </w:r>
    </w:p>
    <w:p w14:paraId="676A081C" w14:textId="77777777" w:rsidR="00B776E0" w:rsidRDefault="00C56D52" w:rsidP="00F7315C">
      <w:pPr>
        <w:pStyle w:val="ListParagraph"/>
        <w:numPr>
          <w:ilvl w:val="0"/>
          <w:numId w:val="38"/>
        </w:numPr>
        <w:spacing w:after="40"/>
        <w:contextualSpacing w:val="0"/>
        <w:rPr>
          <w:rFonts w:cs="Arial"/>
        </w:rPr>
      </w:pPr>
      <w:r>
        <w:rPr>
          <w:rFonts w:cs="Arial"/>
        </w:rPr>
        <w:t xml:space="preserve">a </w:t>
      </w:r>
      <w:r w:rsidR="00B776E0">
        <w:rPr>
          <w:rFonts w:cs="Arial"/>
        </w:rPr>
        <w:t>government representative from each Country Consultative Forum</w:t>
      </w:r>
    </w:p>
    <w:p w14:paraId="69C60C49" w14:textId="77777777" w:rsidR="00B776E0" w:rsidRDefault="00C56D52" w:rsidP="00F7315C">
      <w:pPr>
        <w:pStyle w:val="ListParagraph"/>
        <w:numPr>
          <w:ilvl w:val="0"/>
          <w:numId w:val="38"/>
        </w:numPr>
        <w:spacing w:after="40"/>
        <w:contextualSpacing w:val="0"/>
        <w:rPr>
          <w:rFonts w:cs="Arial"/>
        </w:rPr>
      </w:pPr>
      <w:r>
        <w:rPr>
          <w:rFonts w:cs="Arial"/>
        </w:rPr>
        <w:t xml:space="preserve">the </w:t>
      </w:r>
      <w:r w:rsidR="00B776E0">
        <w:rPr>
          <w:rFonts w:cs="Arial"/>
        </w:rPr>
        <w:t>CEO, APTC</w:t>
      </w:r>
    </w:p>
    <w:p w14:paraId="6DD23EDC" w14:textId="77777777" w:rsidR="00B776E0" w:rsidRDefault="00C56D52" w:rsidP="00F7315C">
      <w:pPr>
        <w:pStyle w:val="ListParagraph"/>
        <w:numPr>
          <w:ilvl w:val="0"/>
          <w:numId w:val="38"/>
        </w:numPr>
        <w:spacing w:after="40"/>
        <w:contextualSpacing w:val="0"/>
        <w:rPr>
          <w:rFonts w:cs="Arial"/>
        </w:rPr>
      </w:pPr>
      <w:r>
        <w:rPr>
          <w:rFonts w:cs="Arial"/>
        </w:rPr>
        <w:t xml:space="preserve">a </w:t>
      </w:r>
      <w:r w:rsidR="00B776E0">
        <w:rPr>
          <w:rFonts w:cs="Arial"/>
        </w:rPr>
        <w:t>representative from the managing contractor</w:t>
      </w:r>
    </w:p>
    <w:p w14:paraId="35C25ECE" w14:textId="77777777" w:rsidR="00B776E0" w:rsidRDefault="00C56D52" w:rsidP="00F7315C">
      <w:pPr>
        <w:pStyle w:val="ListParagraph"/>
        <w:numPr>
          <w:ilvl w:val="0"/>
          <w:numId w:val="38"/>
        </w:numPr>
        <w:spacing w:after="40"/>
        <w:contextualSpacing w:val="0"/>
        <w:rPr>
          <w:rFonts w:cs="Arial"/>
        </w:rPr>
      </w:pPr>
      <w:r>
        <w:rPr>
          <w:rFonts w:cs="Arial"/>
        </w:rPr>
        <w:t xml:space="preserve">up </w:t>
      </w:r>
      <w:r w:rsidR="00B776E0">
        <w:rPr>
          <w:rFonts w:cs="Arial"/>
        </w:rPr>
        <w:t>to 2 co-opted members as agreed by the Consultative Forum (e.g. from Australia or other Pacific countries)</w:t>
      </w:r>
    </w:p>
    <w:p w14:paraId="7CBBD96D" w14:textId="77777777" w:rsidR="00B776E0" w:rsidRPr="00D03DFF" w:rsidRDefault="00C56D52" w:rsidP="00F7315C">
      <w:pPr>
        <w:pStyle w:val="ListParagraph"/>
        <w:numPr>
          <w:ilvl w:val="0"/>
          <w:numId w:val="38"/>
        </w:numPr>
        <w:spacing w:after="40"/>
        <w:contextualSpacing w:val="0"/>
        <w:rPr>
          <w:rFonts w:cs="Arial"/>
        </w:rPr>
      </w:pPr>
      <w:r>
        <w:rPr>
          <w:rFonts w:cs="Arial"/>
        </w:rPr>
        <w:t>m</w:t>
      </w:r>
      <w:r w:rsidRPr="00D03DFF">
        <w:rPr>
          <w:rFonts w:cs="Arial"/>
        </w:rPr>
        <w:t xml:space="preserve">eetings </w:t>
      </w:r>
      <w:r w:rsidR="00B776E0" w:rsidRPr="00D03DFF">
        <w:rPr>
          <w:rFonts w:cs="Arial"/>
        </w:rPr>
        <w:t xml:space="preserve">to be held twice per annum in rotating countries </w:t>
      </w:r>
    </w:p>
    <w:p w14:paraId="4D912D92" w14:textId="77777777" w:rsidR="00B776E0" w:rsidRDefault="00B776E0" w:rsidP="00260880">
      <w:pPr>
        <w:pStyle w:val="ListParagraph"/>
        <w:numPr>
          <w:ilvl w:val="0"/>
          <w:numId w:val="38"/>
        </w:numPr>
        <w:contextualSpacing w:val="0"/>
        <w:rPr>
          <w:rFonts w:cs="Arial"/>
        </w:rPr>
      </w:pPr>
      <w:r w:rsidRPr="00D03DFF">
        <w:rPr>
          <w:rFonts w:cs="Arial"/>
        </w:rPr>
        <w:t>Country Managers and local DFAT representatives would have observer status.</w:t>
      </w:r>
    </w:p>
    <w:p w14:paraId="4988CEC9" w14:textId="00297E38" w:rsidR="00B776E0" w:rsidRDefault="00B776E0" w:rsidP="00B776E0">
      <w:pPr>
        <w:rPr>
          <w:rFonts w:cs="Arial"/>
        </w:rPr>
      </w:pPr>
      <w:r>
        <w:rPr>
          <w:rFonts w:cs="Arial"/>
        </w:rPr>
        <w:t>These new arrangements recognise the evolution of the APTC.</w:t>
      </w:r>
    </w:p>
    <w:p w14:paraId="3B9541E7" w14:textId="77777777" w:rsidR="00C82A40" w:rsidRDefault="00C82A40">
      <w:pPr>
        <w:spacing w:after="0"/>
        <w:rPr>
          <w:rFonts w:cs="Arial"/>
          <w:b/>
          <w:bCs/>
          <w:color w:val="76923C"/>
          <w:szCs w:val="28"/>
        </w:rPr>
      </w:pPr>
      <w:bookmarkStart w:id="703" w:name="_Toc274900521"/>
      <w:bookmarkStart w:id="704" w:name="_Toc274909902"/>
      <w:bookmarkStart w:id="705" w:name="_Toc278447918"/>
      <w:bookmarkStart w:id="706" w:name="_Toc278453391"/>
      <w:r>
        <w:br w:type="page"/>
      </w:r>
    </w:p>
    <w:p w14:paraId="2071D11C" w14:textId="02095883" w:rsidR="003D355F" w:rsidRDefault="00BD5D1F" w:rsidP="002028A6">
      <w:pPr>
        <w:pStyle w:val="Heading2"/>
      </w:pPr>
      <w:r>
        <w:t xml:space="preserve">4.3 </w:t>
      </w:r>
      <w:r w:rsidR="00A128AC">
        <w:tab/>
      </w:r>
      <w:r w:rsidR="00B776E0" w:rsidRPr="008E1D64">
        <w:t xml:space="preserve">Organisational structure – </w:t>
      </w:r>
      <w:r w:rsidR="00B776E0">
        <w:t>H</w:t>
      </w:r>
      <w:r w:rsidR="00B776E0" w:rsidRPr="008E1D64">
        <w:t xml:space="preserve">ow well </w:t>
      </w:r>
      <w:r w:rsidR="00B776E0">
        <w:t xml:space="preserve">does </w:t>
      </w:r>
      <w:r w:rsidR="00B776E0" w:rsidRPr="008E1D64">
        <w:t xml:space="preserve">the organisational structure </w:t>
      </w:r>
      <w:r w:rsidR="00A128AC">
        <w:br/>
      </w:r>
      <w:r w:rsidR="00A128AC">
        <w:tab/>
      </w:r>
      <w:r w:rsidR="00B776E0" w:rsidRPr="008E1D64">
        <w:t>support the operational requirements of the APTC</w:t>
      </w:r>
      <w:r w:rsidR="00B776E0">
        <w:t>?</w:t>
      </w:r>
      <w:bookmarkEnd w:id="703"/>
      <w:bookmarkEnd w:id="704"/>
      <w:bookmarkEnd w:id="705"/>
      <w:bookmarkEnd w:id="706"/>
    </w:p>
    <w:p w14:paraId="496FDBB7" w14:textId="538CA201" w:rsidR="00B776E0" w:rsidRPr="00354483" w:rsidRDefault="00B776E0" w:rsidP="00B776E0">
      <w:pPr>
        <w:rPr>
          <w:rFonts w:cs="Arial"/>
        </w:rPr>
      </w:pPr>
      <w:r w:rsidRPr="00354483">
        <w:rPr>
          <w:rFonts w:cs="Arial"/>
        </w:rPr>
        <w:t>The organisational structure reflects the consortium arrangements and exhibits the associated inefficiencies. It re</w:t>
      </w:r>
      <w:r w:rsidR="00A75A54">
        <w:rPr>
          <w:rFonts w:cs="Arial"/>
        </w:rPr>
        <w:t>veals</w:t>
      </w:r>
      <w:r w:rsidRPr="00354483">
        <w:rPr>
          <w:rFonts w:cs="Arial"/>
        </w:rPr>
        <w:t xml:space="preserve"> </w:t>
      </w:r>
      <w:r>
        <w:rPr>
          <w:rFonts w:cs="Arial"/>
        </w:rPr>
        <w:t xml:space="preserve">the </w:t>
      </w:r>
      <w:r w:rsidRPr="00354483">
        <w:rPr>
          <w:rFonts w:cs="Arial"/>
        </w:rPr>
        <w:t xml:space="preserve">high number of corporate/administrative staff required to </w:t>
      </w:r>
      <w:r>
        <w:rPr>
          <w:rFonts w:cs="Arial"/>
        </w:rPr>
        <w:t xml:space="preserve">maintain </w:t>
      </w:r>
      <w:r w:rsidRPr="00354483">
        <w:rPr>
          <w:rFonts w:cs="Arial"/>
        </w:rPr>
        <w:t>reporting lines to two institutes</w:t>
      </w:r>
      <w:r>
        <w:rPr>
          <w:rFonts w:cs="Arial"/>
        </w:rPr>
        <w:t xml:space="preserve">, compared with what would be required with one RTO. </w:t>
      </w:r>
      <w:r w:rsidRPr="00354483">
        <w:rPr>
          <w:rFonts w:cs="Arial"/>
        </w:rPr>
        <w:t>As a result, the structure has elements of duplication and confusion</w:t>
      </w:r>
      <w:r>
        <w:rPr>
          <w:rFonts w:cs="Arial"/>
        </w:rPr>
        <w:t xml:space="preserve"> and is top-heavy</w:t>
      </w:r>
      <w:r w:rsidRPr="00354483">
        <w:rPr>
          <w:rFonts w:cs="Arial"/>
        </w:rPr>
        <w:t xml:space="preserve">. </w:t>
      </w:r>
    </w:p>
    <w:p w14:paraId="634CCC54" w14:textId="552FE6B7" w:rsidR="00B776E0" w:rsidRPr="00354483" w:rsidRDefault="00B776E0" w:rsidP="00B776E0">
      <w:pPr>
        <w:rPr>
          <w:rFonts w:cs="Arial"/>
        </w:rPr>
      </w:pPr>
      <w:r w:rsidRPr="00354483">
        <w:rPr>
          <w:rFonts w:cs="Arial"/>
        </w:rPr>
        <w:t>At the time of the field visits</w:t>
      </w:r>
      <w:r w:rsidR="00570AEC">
        <w:rPr>
          <w:rFonts w:cs="Arial"/>
        </w:rPr>
        <w:t>,</w:t>
      </w:r>
      <w:r w:rsidRPr="00354483">
        <w:rPr>
          <w:rFonts w:cs="Arial"/>
        </w:rPr>
        <w:t xml:space="preserve"> there were two School Directors with coverage of the programs offered by the two </w:t>
      </w:r>
      <w:r w:rsidR="00A07AAF">
        <w:rPr>
          <w:rFonts w:cs="Arial"/>
        </w:rPr>
        <w:t>i</w:t>
      </w:r>
      <w:r w:rsidR="00A07AAF" w:rsidRPr="00354483">
        <w:rPr>
          <w:rFonts w:cs="Arial"/>
        </w:rPr>
        <w:t>nstitutes</w:t>
      </w:r>
      <w:r>
        <w:rPr>
          <w:rFonts w:cs="Arial"/>
        </w:rPr>
        <w:t>. O</w:t>
      </w:r>
      <w:r w:rsidRPr="00354483">
        <w:rPr>
          <w:rFonts w:cs="Arial"/>
        </w:rPr>
        <w:t xml:space="preserve">ne Director </w:t>
      </w:r>
      <w:r>
        <w:rPr>
          <w:rFonts w:cs="Arial"/>
        </w:rPr>
        <w:t>in charge of all aspects of teaching and learning</w:t>
      </w:r>
      <w:r w:rsidRPr="00354483">
        <w:rPr>
          <w:rFonts w:cs="Arial"/>
        </w:rPr>
        <w:t xml:space="preserve">, possibly at Deputy CEO </w:t>
      </w:r>
      <w:r>
        <w:rPr>
          <w:rFonts w:cs="Arial"/>
        </w:rPr>
        <w:t>level,</w:t>
      </w:r>
      <w:r w:rsidRPr="00354483">
        <w:rPr>
          <w:rFonts w:cs="Arial"/>
        </w:rPr>
        <w:t xml:space="preserve"> would be more typical for an organisation of APTC’s size. </w:t>
      </w:r>
      <w:r>
        <w:rPr>
          <w:rFonts w:cs="Arial"/>
        </w:rPr>
        <w:t>T</w:t>
      </w:r>
      <w:r w:rsidRPr="00354483">
        <w:rPr>
          <w:rFonts w:cs="Arial"/>
        </w:rPr>
        <w:t xml:space="preserve">he fact that the two share the role of Country Manager Fiji bears this point out. However, it confuses the skills ideally required for each position and necessitates both positions being based in Fiji. </w:t>
      </w:r>
      <w:r>
        <w:rPr>
          <w:rFonts w:cs="Arial"/>
        </w:rPr>
        <w:t>It means that there</w:t>
      </w:r>
      <w:r w:rsidRPr="00354483">
        <w:rPr>
          <w:rFonts w:cs="Arial"/>
        </w:rPr>
        <w:t xml:space="preserve"> is no single point of educational leadership at the second level of the organisation</w:t>
      </w:r>
      <w:r>
        <w:rPr>
          <w:rFonts w:cs="Arial"/>
        </w:rPr>
        <w:t xml:space="preserve">. There is also no single Fiji </w:t>
      </w:r>
      <w:r w:rsidR="00CE7E3B">
        <w:rPr>
          <w:rFonts w:cs="Arial"/>
        </w:rPr>
        <w:t xml:space="preserve">Country Manager </w:t>
      </w:r>
      <w:r w:rsidRPr="00354483">
        <w:rPr>
          <w:rFonts w:cs="Arial"/>
        </w:rPr>
        <w:t>– an undesirable situation when the operations in Fiji are dispersed. In the other countries where a single Country Manager</w:t>
      </w:r>
      <w:r>
        <w:rPr>
          <w:rFonts w:cs="Arial"/>
        </w:rPr>
        <w:t xml:space="preserve"> exist</w:t>
      </w:r>
      <w:r w:rsidR="00A75A54">
        <w:rPr>
          <w:rFonts w:cs="Arial"/>
        </w:rPr>
        <w:t>s</w:t>
      </w:r>
      <w:r w:rsidRPr="00354483">
        <w:rPr>
          <w:rFonts w:cs="Arial"/>
        </w:rPr>
        <w:t xml:space="preserve">, they have achieved considerable profile and standing among </w:t>
      </w:r>
      <w:r>
        <w:rPr>
          <w:rFonts w:cs="Arial"/>
        </w:rPr>
        <w:t xml:space="preserve">and </w:t>
      </w:r>
      <w:r w:rsidRPr="00354483">
        <w:rPr>
          <w:rFonts w:cs="Arial"/>
        </w:rPr>
        <w:t>across the stakeholders.</w:t>
      </w:r>
    </w:p>
    <w:p w14:paraId="14478BFC" w14:textId="77777777" w:rsidR="00B776E0" w:rsidRPr="00354483" w:rsidRDefault="00B776E0" w:rsidP="00B776E0">
      <w:pPr>
        <w:rPr>
          <w:rFonts w:cs="Arial"/>
        </w:rPr>
      </w:pPr>
      <w:r w:rsidRPr="00354483">
        <w:rPr>
          <w:rFonts w:cs="Arial"/>
        </w:rPr>
        <w:t xml:space="preserve">At the Australian end, there are two Service Managers with RTO teams of </w:t>
      </w:r>
      <w:r w:rsidR="00A863B7">
        <w:rPr>
          <w:rFonts w:cs="Arial"/>
        </w:rPr>
        <w:t>five to six</w:t>
      </w:r>
      <w:r w:rsidRPr="00354483">
        <w:rPr>
          <w:rFonts w:cs="Arial"/>
        </w:rPr>
        <w:t xml:space="preserve"> </w:t>
      </w:r>
      <w:r>
        <w:rPr>
          <w:rFonts w:cs="Arial"/>
        </w:rPr>
        <w:t xml:space="preserve">staff </w:t>
      </w:r>
      <w:r w:rsidRPr="00354483">
        <w:rPr>
          <w:rFonts w:cs="Arial"/>
        </w:rPr>
        <w:t>in each</w:t>
      </w:r>
      <w:r>
        <w:rPr>
          <w:rFonts w:cs="Arial"/>
        </w:rPr>
        <w:t>.</w:t>
      </w:r>
      <w:r w:rsidRPr="00354483">
        <w:rPr>
          <w:rFonts w:cs="Arial"/>
        </w:rPr>
        <w:t xml:space="preserve"> </w:t>
      </w:r>
      <w:r>
        <w:rPr>
          <w:rFonts w:cs="Arial"/>
        </w:rPr>
        <w:t xml:space="preserve">The two teams provide </w:t>
      </w:r>
      <w:r w:rsidRPr="00354483">
        <w:rPr>
          <w:rFonts w:cs="Arial"/>
        </w:rPr>
        <w:t>parallel support functions</w:t>
      </w:r>
      <w:r>
        <w:rPr>
          <w:rFonts w:cs="Arial"/>
        </w:rPr>
        <w:t xml:space="preserve"> such as </w:t>
      </w:r>
      <w:r w:rsidRPr="00354483">
        <w:rPr>
          <w:rFonts w:cs="Arial"/>
        </w:rPr>
        <w:t xml:space="preserve">human resource management, student administration and finances, including recruitment, mobilisation, travel, payroll, etc. </w:t>
      </w:r>
      <w:r>
        <w:rPr>
          <w:rFonts w:cs="Arial"/>
        </w:rPr>
        <w:t>GRM</w:t>
      </w:r>
      <w:r w:rsidRPr="00354483">
        <w:rPr>
          <w:rFonts w:cs="Arial"/>
        </w:rPr>
        <w:t xml:space="preserve"> also has some responsibility for these functions as they relate to </w:t>
      </w:r>
      <w:r w:rsidR="009956AC" w:rsidRPr="00354483">
        <w:rPr>
          <w:rFonts w:cs="Arial"/>
        </w:rPr>
        <w:t>short</w:t>
      </w:r>
      <w:r w:rsidR="009956AC">
        <w:rPr>
          <w:rFonts w:cs="Arial"/>
        </w:rPr>
        <w:t>-</w:t>
      </w:r>
      <w:r w:rsidRPr="00354483">
        <w:rPr>
          <w:rFonts w:cs="Arial"/>
        </w:rPr>
        <w:t xml:space="preserve">term advisers. </w:t>
      </w:r>
      <w:r>
        <w:rPr>
          <w:rFonts w:cs="Arial"/>
        </w:rPr>
        <w:t xml:space="preserve">Potentially </w:t>
      </w:r>
      <w:r w:rsidR="009956AC">
        <w:rPr>
          <w:rFonts w:cs="Arial"/>
        </w:rPr>
        <w:t>four to six</w:t>
      </w:r>
      <w:r>
        <w:rPr>
          <w:rFonts w:cs="Arial"/>
        </w:rPr>
        <w:t xml:space="preserve"> staff positions could be saved by eliminating this duplication. T</w:t>
      </w:r>
      <w:r w:rsidRPr="00354483">
        <w:rPr>
          <w:rFonts w:cs="Arial"/>
        </w:rPr>
        <w:t xml:space="preserve">his potential has already been identified </w:t>
      </w:r>
      <w:r>
        <w:rPr>
          <w:rFonts w:cs="Arial"/>
        </w:rPr>
        <w:t xml:space="preserve">by the consortium </w:t>
      </w:r>
      <w:r w:rsidRPr="00354483">
        <w:rPr>
          <w:rFonts w:cs="Arial"/>
        </w:rPr>
        <w:t>and some steps are being taken to enact change.</w:t>
      </w:r>
      <w:r>
        <w:rPr>
          <w:rFonts w:cs="Arial"/>
        </w:rPr>
        <w:t xml:space="preserve"> However, this is overdue.</w:t>
      </w:r>
    </w:p>
    <w:p w14:paraId="17D1F161" w14:textId="7FF56BDA" w:rsidR="00B776E0" w:rsidRPr="00354483" w:rsidRDefault="00B776E0" w:rsidP="00B776E0">
      <w:pPr>
        <w:rPr>
          <w:rFonts w:cs="Arial"/>
        </w:rPr>
      </w:pPr>
      <w:r w:rsidRPr="00354483">
        <w:rPr>
          <w:rFonts w:cs="Arial"/>
        </w:rPr>
        <w:t xml:space="preserve">There was a range of reasons for locating the APTC Head Office in </w:t>
      </w:r>
      <w:r w:rsidR="004A01AF">
        <w:rPr>
          <w:rFonts w:cs="Arial"/>
        </w:rPr>
        <w:t xml:space="preserve">Nadi </w:t>
      </w:r>
      <w:r w:rsidRPr="00354483">
        <w:rPr>
          <w:rFonts w:cs="Arial"/>
        </w:rPr>
        <w:t>during the establishment phase, including proximity to Nadi airport. There were also programs located at the western end of Viti Levu. However, this is no longer the case</w:t>
      </w:r>
      <w:r>
        <w:rPr>
          <w:rFonts w:cs="Arial"/>
        </w:rPr>
        <w:t>. T</w:t>
      </w:r>
      <w:r w:rsidRPr="00354483">
        <w:rPr>
          <w:rFonts w:cs="Arial"/>
        </w:rPr>
        <w:t xml:space="preserve">he opportunity presents itself to consolidate the </w:t>
      </w:r>
      <w:r>
        <w:rPr>
          <w:rFonts w:cs="Arial"/>
        </w:rPr>
        <w:t xml:space="preserve">administration </w:t>
      </w:r>
      <w:r w:rsidRPr="00354483">
        <w:rPr>
          <w:rFonts w:cs="Arial"/>
        </w:rPr>
        <w:t xml:space="preserve">of APTC in one centre. Continuation in Nadi isolates the Head Office from the rest of the Fiji operations. Savings and cost implications of </w:t>
      </w:r>
      <w:r>
        <w:rPr>
          <w:rFonts w:cs="Arial"/>
        </w:rPr>
        <w:t xml:space="preserve">office consolidation </w:t>
      </w:r>
      <w:r w:rsidRPr="00354483">
        <w:rPr>
          <w:rFonts w:cs="Arial"/>
        </w:rPr>
        <w:t>would need to be considered.</w:t>
      </w:r>
    </w:p>
    <w:p w14:paraId="6C25DDDE" w14:textId="05378E4C" w:rsidR="00B776E0" w:rsidRPr="0052555C" w:rsidRDefault="00B776E0" w:rsidP="00B776E0">
      <w:pPr>
        <w:rPr>
          <w:rFonts w:cs="Arial"/>
        </w:rPr>
      </w:pPr>
      <w:r w:rsidRPr="00712770">
        <w:rPr>
          <w:rFonts w:cs="Arial"/>
        </w:rPr>
        <w:t>Maintaining Australian staff to carry out administrative/corporate functions at the APTC headquarters in Nadi is costly</w:t>
      </w:r>
      <w:r>
        <w:rPr>
          <w:rFonts w:cs="Arial"/>
        </w:rPr>
        <w:t>. T</w:t>
      </w:r>
      <w:r w:rsidRPr="00712770">
        <w:rPr>
          <w:rFonts w:cs="Arial"/>
        </w:rPr>
        <w:t xml:space="preserve">here are no national staff at senior level and only two out of the current seven at manager level. </w:t>
      </w:r>
      <w:r>
        <w:rPr>
          <w:rFonts w:cs="Arial"/>
        </w:rPr>
        <w:t>T</w:t>
      </w:r>
      <w:r w:rsidRPr="00712770">
        <w:rPr>
          <w:rFonts w:cs="Arial"/>
        </w:rPr>
        <w:t xml:space="preserve">hese positions </w:t>
      </w:r>
      <w:r>
        <w:rPr>
          <w:rFonts w:cs="Arial"/>
        </w:rPr>
        <w:t xml:space="preserve">should be reviewed </w:t>
      </w:r>
      <w:r w:rsidRPr="00712770">
        <w:rPr>
          <w:rFonts w:cs="Arial"/>
        </w:rPr>
        <w:t xml:space="preserve">with the aim of ascertaining whether the functions might more cost-effectively be carried out in Australia </w:t>
      </w:r>
      <w:r>
        <w:rPr>
          <w:rFonts w:cs="Arial"/>
        </w:rPr>
        <w:t xml:space="preserve">(where staff allowances would be much less) </w:t>
      </w:r>
      <w:r w:rsidRPr="00712770">
        <w:rPr>
          <w:rFonts w:cs="Arial"/>
        </w:rPr>
        <w:t>or by employing national staff</w:t>
      </w:r>
      <w:r w:rsidR="000E7C22">
        <w:rPr>
          <w:rFonts w:cs="Arial"/>
        </w:rPr>
        <w:t>,</w:t>
      </w:r>
      <w:r w:rsidR="000E7C22" w:rsidRPr="00712770">
        <w:rPr>
          <w:rFonts w:cs="Arial"/>
        </w:rPr>
        <w:t xml:space="preserve"> </w:t>
      </w:r>
      <w:r w:rsidR="000E7C22">
        <w:rPr>
          <w:rFonts w:cs="Arial"/>
        </w:rPr>
        <w:t>i</w:t>
      </w:r>
      <w:r w:rsidR="000E7C22" w:rsidRPr="00712770">
        <w:rPr>
          <w:rFonts w:cs="Arial"/>
        </w:rPr>
        <w:t xml:space="preserve">n </w:t>
      </w:r>
      <w:r w:rsidRPr="00712770">
        <w:rPr>
          <w:rFonts w:cs="Arial"/>
        </w:rPr>
        <w:t>the same way as tutors are mentored to become trainers</w:t>
      </w:r>
      <w:r>
        <w:rPr>
          <w:rFonts w:cs="Arial"/>
        </w:rPr>
        <w:t>. W</w:t>
      </w:r>
      <w:r w:rsidRPr="00712770">
        <w:rPr>
          <w:rFonts w:cs="Arial"/>
        </w:rPr>
        <w:t>herever practicable</w:t>
      </w:r>
      <w:r w:rsidR="000E7C22">
        <w:rPr>
          <w:rFonts w:cs="Arial"/>
        </w:rPr>
        <w:t>,</w:t>
      </w:r>
      <w:r w:rsidRPr="00712770">
        <w:rPr>
          <w:rFonts w:cs="Arial"/>
        </w:rPr>
        <w:t xml:space="preserve"> national staff </w:t>
      </w:r>
      <w:r w:rsidR="004A01AF">
        <w:rPr>
          <w:rFonts w:cs="Arial"/>
        </w:rPr>
        <w:t>with</w:t>
      </w:r>
      <w:r w:rsidRPr="00712770">
        <w:rPr>
          <w:rFonts w:cs="Arial"/>
        </w:rPr>
        <w:t xml:space="preserve"> administrative functions might be mentored to assume responsibility in their respective areas. </w:t>
      </w:r>
    </w:p>
    <w:p w14:paraId="7DA71183" w14:textId="77777777" w:rsidR="00C82A40" w:rsidRDefault="00C82A40">
      <w:pPr>
        <w:spacing w:after="0"/>
        <w:rPr>
          <w:rFonts w:cs="Arial"/>
          <w:b/>
          <w:bCs/>
          <w:color w:val="76923C"/>
          <w:sz w:val="24"/>
          <w:szCs w:val="28"/>
        </w:rPr>
      </w:pPr>
      <w:bookmarkStart w:id="707" w:name="_Toc278447919"/>
      <w:bookmarkStart w:id="708" w:name="_Toc278453392"/>
      <w:r>
        <w:br w:type="page"/>
      </w:r>
    </w:p>
    <w:p w14:paraId="03BD805E" w14:textId="680E0A1E" w:rsidR="00B776E0" w:rsidRPr="008E1D64" w:rsidRDefault="004A01AF" w:rsidP="002028A6">
      <w:pPr>
        <w:pStyle w:val="Heading1"/>
      </w:pPr>
      <w:r>
        <w:t xml:space="preserve">5  </w:t>
      </w:r>
      <w:r w:rsidR="00FE3F97">
        <w:tab/>
      </w:r>
      <w:r w:rsidR="00B776E0" w:rsidRPr="008E1D64">
        <w:t xml:space="preserve">What are the main constraints on, and opportunities for, further </w:t>
      </w:r>
      <w:r w:rsidR="00FE3F97">
        <w:br/>
      </w:r>
      <w:r w:rsidR="00B776E0" w:rsidRPr="008E1D64">
        <w:t>development of APTC capacity for skills development?</w:t>
      </w:r>
      <w:bookmarkEnd w:id="707"/>
      <w:bookmarkEnd w:id="708"/>
    </w:p>
    <w:p w14:paraId="17F24D39" w14:textId="29B2D8F7" w:rsidR="00B776E0" w:rsidRDefault="00546F37" w:rsidP="00B776E0">
      <w:pPr>
        <w:rPr>
          <w:rFonts w:cs="Arial"/>
        </w:rPr>
      </w:pPr>
      <w:r w:rsidRPr="00546F37">
        <w:rPr>
          <w:rFonts w:cs="Arial"/>
          <w:b/>
          <w:i/>
        </w:rPr>
        <w:t>Overview.</w:t>
      </w:r>
      <w:r w:rsidR="00B776E0">
        <w:rPr>
          <w:rFonts w:cs="Arial"/>
        </w:rPr>
        <w:t xml:space="preserve"> Critical constraints and opportunities for further development of APTC capacity for skills development can be summarised as follows</w:t>
      </w:r>
      <w:r w:rsidR="00944790">
        <w:rPr>
          <w:rFonts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5"/>
      </w:tblGrid>
      <w:tr w:rsidR="00A75A54" w:rsidRPr="00944790" w14:paraId="6E946DE6" w14:textId="77777777" w:rsidTr="000859B4">
        <w:tc>
          <w:tcPr>
            <w:tcW w:w="4244" w:type="dxa"/>
            <w:shd w:val="clear" w:color="auto" w:fill="E2EFD9" w:themeFill="accent6" w:themeFillTint="33"/>
          </w:tcPr>
          <w:p w14:paraId="4B204DD6" w14:textId="77777777" w:rsidR="00A75A54" w:rsidRPr="000859B4" w:rsidRDefault="00A75A54" w:rsidP="00C75BB9">
            <w:pPr>
              <w:spacing w:before="40" w:after="40"/>
              <w:rPr>
                <w:rFonts w:cs="Arial"/>
                <w:b/>
                <w:sz w:val="20"/>
                <w:szCs w:val="18"/>
              </w:rPr>
            </w:pPr>
            <w:r w:rsidRPr="000859B4">
              <w:rPr>
                <w:rFonts w:cs="Arial"/>
                <w:b/>
                <w:sz w:val="20"/>
                <w:szCs w:val="18"/>
              </w:rPr>
              <w:t>Constraints</w:t>
            </w:r>
          </w:p>
        </w:tc>
        <w:tc>
          <w:tcPr>
            <w:tcW w:w="4245" w:type="dxa"/>
            <w:shd w:val="clear" w:color="auto" w:fill="E2EFD9" w:themeFill="accent6" w:themeFillTint="33"/>
          </w:tcPr>
          <w:p w14:paraId="3156EB7A" w14:textId="77777777" w:rsidR="00A75A54" w:rsidRPr="000859B4" w:rsidRDefault="00A75A54" w:rsidP="00C75BB9">
            <w:pPr>
              <w:spacing w:before="40" w:after="40"/>
              <w:rPr>
                <w:rFonts w:cs="Arial"/>
                <w:b/>
                <w:sz w:val="20"/>
                <w:szCs w:val="18"/>
              </w:rPr>
            </w:pPr>
            <w:r w:rsidRPr="000859B4">
              <w:rPr>
                <w:rFonts w:cs="Arial"/>
                <w:b/>
                <w:sz w:val="20"/>
                <w:szCs w:val="18"/>
              </w:rPr>
              <w:t>Opportunities</w:t>
            </w:r>
          </w:p>
        </w:tc>
      </w:tr>
      <w:tr w:rsidR="00A75A54" w:rsidRPr="00944790" w14:paraId="152D252A" w14:textId="77777777" w:rsidTr="000859B4">
        <w:tc>
          <w:tcPr>
            <w:tcW w:w="4244" w:type="dxa"/>
          </w:tcPr>
          <w:p w14:paraId="4F4914CD" w14:textId="7CADB32D" w:rsidR="00A75A54" w:rsidRPr="000859B4" w:rsidRDefault="00C82A40" w:rsidP="00A75A54">
            <w:pPr>
              <w:numPr>
                <w:ilvl w:val="0"/>
                <w:numId w:val="31"/>
              </w:numPr>
              <w:spacing w:after="80"/>
              <w:ind w:left="313" w:hanging="313"/>
              <w:rPr>
                <w:rFonts w:cs="Arial"/>
                <w:sz w:val="18"/>
                <w:szCs w:val="18"/>
              </w:rPr>
            </w:pPr>
            <w:r>
              <w:rPr>
                <w:rFonts w:cs="Arial"/>
                <w:sz w:val="18"/>
                <w:szCs w:val="18"/>
              </w:rPr>
              <w:t>L</w:t>
            </w:r>
            <w:r w:rsidR="00A75A54" w:rsidRPr="000859B4">
              <w:rPr>
                <w:rFonts w:cs="Arial"/>
                <w:sz w:val="18"/>
                <w:szCs w:val="18"/>
              </w:rPr>
              <w:t>ack of a long-term vision for APTC in the Pacific and the ability to plan for the future</w:t>
            </w:r>
          </w:p>
        </w:tc>
        <w:tc>
          <w:tcPr>
            <w:tcW w:w="4245" w:type="dxa"/>
            <w:shd w:val="clear" w:color="auto" w:fill="E2EFD9" w:themeFill="accent6" w:themeFillTint="33"/>
          </w:tcPr>
          <w:p w14:paraId="41AFED3D" w14:textId="17C5B1E5" w:rsidR="00A75A54" w:rsidRPr="000859B4" w:rsidRDefault="00C82A40" w:rsidP="00A75A54">
            <w:pPr>
              <w:numPr>
                <w:ilvl w:val="0"/>
                <w:numId w:val="31"/>
              </w:numPr>
              <w:ind w:left="321" w:hanging="283"/>
              <w:contextualSpacing/>
              <w:rPr>
                <w:rFonts w:cs="Arial"/>
                <w:sz w:val="18"/>
                <w:szCs w:val="18"/>
              </w:rPr>
            </w:pPr>
            <w:r>
              <w:rPr>
                <w:rFonts w:cs="Arial"/>
                <w:sz w:val="18"/>
                <w:szCs w:val="18"/>
              </w:rPr>
              <w:t>C</w:t>
            </w:r>
            <w:r w:rsidR="00A75A54" w:rsidRPr="000859B4">
              <w:rPr>
                <w:rFonts w:cs="Arial"/>
                <w:sz w:val="18"/>
                <w:szCs w:val="18"/>
              </w:rPr>
              <w:t>larity for both APTC, DFAT and other stakeholders about what constitutes success for APTC</w:t>
            </w:r>
          </w:p>
        </w:tc>
      </w:tr>
      <w:tr w:rsidR="00A75A54" w:rsidRPr="00944790" w14:paraId="5E5DE4EC" w14:textId="77777777" w:rsidTr="000859B4">
        <w:tc>
          <w:tcPr>
            <w:tcW w:w="4244" w:type="dxa"/>
          </w:tcPr>
          <w:p w14:paraId="7FF7743A" w14:textId="0E35A21C" w:rsidR="00A75A54" w:rsidRPr="000859B4" w:rsidRDefault="00C82A40" w:rsidP="00A75A54">
            <w:pPr>
              <w:numPr>
                <w:ilvl w:val="0"/>
                <w:numId w:val="31"/>
              </w:numPr>
              <w:spacing w:after="80"/>
              <w:ind w:left="313" w:hanging="284"/>
              <w:rPr>
                <w:rFonts w:cs="Arial"/>
                <w:sz w:val="18"/>
                <w:szCs w:val="18"/>
              </w:rPr>
            </w:pPr>
            <w:r>
              <w:rPr>
                <w:rFonts w:cs="Arial"/>
                <w:sz w:val="18"/>
                <w:szCs w:val="18"/>
              </w:rPr>
              <w:t>T</w:t>
            </w:r>
            <w:r w:rsidR="00A75A54" w:rsidRPr="000859B4">
              <w:rPr>
                <w:rFonts w:cs="Arial"/>
                <w:sz w:val="18"/>
                <w:szCs w:val="18"/>
              </w:rPr>
              <w:t>he contractual requirement to deliver full qualifications</w:t>
            </w:r>
          </w:p>
        </w:tc>
        <w:tc>
          <w:tcPr>
            <w:tcW w:w="4245" w:type="dxa"/>
            <w:shd w:val="clear" w:color="auto" w:fill="E2EFD9" w:themeFill="accent6" w:themeFillTint="33"/>
          </w:tcPr>
          <w:p w14:paraId="5332C935" w14:textId="273B6ACE" w:rsidR="00A75A54" w:rsidRPr="000859B4" w:rsidRDefault="00C82A40" w:rsidP="00A75A54">
            <w:pPr>
              <w:numPr>
                <w:ilvl w:val="0"/>
                <w:numId w:val="31"/>
              </w:numPr>
              <w:ind w:left="321" w:hanging="321"/>
              <w:contextualSpacing/>
              <w:rPr>
                <w:rFonts w:cs="Arial"/>
                <w:sz w:val="18"/>
                <w:szCs w:val="18"/>
              </w:rPr>
            </w:pPr>
            <w:r>
              <w:rPr>
                <w:rFonts w:cs="Arial"/>
                <w:sz w:val="18"/>
                <w:szCs w:val="18"/>
              </w:rPr>
              <w:t>M</w:t>
            </w:r>
            <w:r w:rsidR="00A75A54" w:rsidRPr="000859B4">
              <w:rPr>
                <w:rFonts w:cs="Arial"/>
                <w:sz w:val="18"/>
                <w:szCs w:val="18"/>
              </w:rPr>
              <w:t>ore flexible programs such as skill sets and accredited short courses</w:t>
            </w:r>
          </w:p>
        </w:tc>
      </w:tr>
      <w:tr w:rsidR="00A75A54" w:rsidRPr="00944790" w14:paraId="313C2470" w14:textId="77777777" w:rsidTr="000859B4">
        <w:tc>
          <w:tcPr>
            <w:tcW w:w="4244" w:type="dxa"/>
          </w:tcPr>
          <w:p w14:paraId="53241670" w14:textId="0F7EC62E" w:rsidR="00A75A54" w:rsidRPr="000859B4" w:rsidRDefault="00C82A40" w:rsidP="00A75A54">
            <w:pPr>
              <w:numPr>
                <w:ilvl w:val="0"/>
                <w:numId w:val="31"/>
              </w:numPr>
              <w:spacing w:after="80"/>
              <w:ind w:left="313" w:hanging="313"/>
              <w:rPr>
                <w:rFonts w:cs="Arial"/>
                <w:sz w:val="18"/>
                <w:szCs w:val="18"/>
              </w:rPr>
            </w:pPr>
            <w:r>
              <w:rPr>
                <w:rFonts w:cs="Arial"/>
                <w:sz w:val="18"/>
                <w:szCs w:val="18"/>
              </w:rPr>
              <w:t>T</w:t>
            </w:r>
            <w:r w:rsidR="00A75A54" w:rsidRPr="000859B4">
              <w:rPr>
                <w:rFonts w:cs="Arial"/>
                <w:sz w:val="18"/>
                <w:szCs w:val="18"/>
              </w:rPr>
              <w:t xml:space="preserve">he need to generate more of its own revenue by encouraging greater co-contribution to the cost of training by individuals, employers, donors and Pacific governments </w:t>
            </w:r>
          </w:p>
        </w:tc>
        <w:tc>
          <w:tcPr>
            <w:tcW w:w="4245" w:type="dxa"/>
            <w:shd w:val="clear" w:color="auto" w:fill="E2EFD9" w:themeFill="accent6" w:themeFillTint="33"/>
          </w:tcPr>
          <w:p w14:paraId="2A7DA553" w14:textId="37215D74" w:rsidR="00A75A54" w:rsidRPr="000859B4" w:rsidRDefault="00C82A40" w:rsidP="00A75A54">
            <w:pPr>
              <w:numPr>
                <w:ilvl w:val="0"/>
                <w:numId w:val="31"/>
              </w:numPr>
              <w:ind w:left="321" w:hanging="283"/>
              <w:contextualSpacing/>
              <w:rPr>
                <w:rFonts w:cs="Arial"/>
                <w:sz w:val="18"/>
                <w:szCs w:val="18"/>
              </w:rPr>
            </w:pPr>
            <w:r>
              <w:rPr>
                <w:rFonts w:cs="Arial"/>
                <w:sz w:val="18"/>
                <w:szCs w:val="18"/>
              </w:rPr>
              <w:t>O</w:t>
            </w:r>
            <w:r w:rsidR="00A75A54" w:rsidRPr="000859B4">
              <w:rPr>
                <w:rFonts w:cs="Arial"/>
                <w:sz w:val="18"/>
                <w:szCs w:val="18"/>
              </w:rPr>
              <w:t>vercoming the reputation of being a scholarship college</w:t>
            </w:r>
          </w:p>
        </w:tc>
      </w:tr>
      <w:tr w:rsidR="00A75A54" w:rsidRPr="00944790" w14:paraId="01108588" w14:textId="77777777" w:rsidTr="000859B4">
        <w:tc>
          <w:tcPr>
            <w:tcW w:w="4244" w:type="dxa"/>
          </w:tcPr>
          <w:p w14:paraId="6B4EBADF" w14:textId="580EFEE0" w:rsidR="00A75A54" w:rsidRPr="000859B4" w:rsidRDefault="00C82A40" w:rsidP="00A75A54">
            <w:pPr>
              <w:numPr>
                <w:ilvl w:val="0"/>
                <w:numId w:val="31"/>
              </w:numPr>
              <w:spacing w:after="80"/>
              <w:ind w:left="313" w:hanging="313"/>
              <w:rPr>
                <w:rFonts w:cs="Arial"/>
                <w:sz w:val="18"/>
                <w:szCs w:val="18"/>
              </w:rPr>
            </w:pPr>
            <w:r>
              <w:rPr>
                <w:rFonts w:cs="Arial"/>
                <w:sz w:val="18"/>
                <w:szCs w:val="18"/>
              </w:rPr>
              <w:t>E</w:t>
            </w:r>
            <w:r w:rsidR="00A75A54" w:rsidRPr="000859B4">
              <w:rPr>
                <w:rFonts w:cs="Arial"/>
                <w:sz w:val="18"/>
                <w:szCs w:val="18"/>
              </w:rPr>
              <w:t xml:space="preserve">limination of cost inefficiencies in organisation and management </w:t>
            </w:r>
          </w:p>
        </w:tc>
        <w:tc>
          <w:tcPr>
            <w:tcW w:w="4245" w:type="dxa"/>
            <w:shd w:val="clear" w:color="auto" w:fill="E2EFD9" w:themeFill="accent6" w:themeFillTint="33"/>
          </w:tcPr>
          <w:p w14:paraId="4663E337" w14:textId="3E3E34B4" w:rsidR="00A75A54" w:rsidRPr="000859B4" w:rsidRDefault="00C82A40" w:rsidP="00A75A54">
            <w:pPr>
              <w:numPr>
                <w:ilvl w:val="0"/>
                <w:numId w:val="31"/>
              </w:numPr>
              <w:ind w:left="321" w:hanging="321"/>
              <w:contextualSpacing/>
              <w:rPr>
                <w:rFonts w:cs="Arial"/>
                <w:sz w:val="18"/>
                <w:szCs w:val="18"/>
              </w:rPr>
            </w:pPr>
            <w:r>
              <w:rPr>
                <w:rFonts w:cs="Arial"/>
                <w:sz w:val="18"/>
                <w:szCs w:val="18"/>
              </w:rPr>
              <w:t>M</w:t>
            </w:r>
            <w:r w:rsidR="00A75A54" w:rsidRPr="000859B4">
              <w:rPr>
                <w:rFonts w:cs="Arial"/>
                <w:sz w:val="18"/>
                <w:szCs w:val="18"/>
              </w:rPr>
              <w:t>ore streamlined operations and availability of more resources for delivery</w:t>
            </w:r>
          </w:p>
        </w:tc>
      </w:tr>
      <w:tr w:rsidR="00A75A54" w:rsidRPr="00944790" w14:paraId="41334806" w14:textId="77777777" w:rsidTr="000859B4">
        <w:tc>
          <w:tcPr>
            <w:tcW w:w="4244" w:type="dxa"/>
          </w:tcPr>
          <w:p w14:paraId="71DF6FFF" w14:textId="15368721" w:rsidR="00A75A54" w:rsidRPr="000859B4" w:rsidRDefault="00C82A40" w:rsidP="00A75A54">
            <w:pPr>
              <w:numPr>
                <w:ilvl w:val="0"/>
                <w:numId w:val="31"/>
              </w:numPr>
              <w:spacing w:after="80"/>
              <w:ind w:left="313" w:hanging="313"/>
              <w:rPr>
                <w:rFonts w:cs="Arial"/>
                <w:sz w:val="18"/>
                <w:szCs w:val="18"/>
              </w:rPr>
            </w:pPr>
            <w:r>
              <w:rPr>
                <w:rFonts w:cs="Arial"/>
                <w:sz w:val="18"/>
                <w:szCs w:val="18"/>
              </w:rPr>
              <w:t>O</w:t>
            </w:r>
            <w:r w:rsidR="00A75A54" w:rsidRPr="000859B4">
              <w:rPr>
                <w:rFonts w:cs="Arial"/>
                <w:sz w:val="18"/>
                <w:szCs w:val="18"/>
              </w:rPr>
              <w:t xml:space="preserve">vercoming pockets of entrenched opposition </w:t>
            </w:r>
          </w:p>
        </w:tc>
        <w:tc>
          <w:tcPr>
            <w:tcW w:w="4245" w:type="dxa"/>
            <w:shd w:val="clear" w:color="auto" w:fill="E2EFD9" w:themeFill="accent6" w:themeFillTint="33"/>
          </w:tcPr>
          <w:p w14:paraId="23D86F51" w14:textId="78063085" w:rsidR="00A75A54" w:rsidRPr="000859B4" w:rsidRDefault="00C82A40" w:rsidP="00A75A54">
            <w:pPr>
              <w:numPr>
                <w:ilvl w:val="0"/>
                <w:numId w:val="31"/>
              </w:numPr>
              <w:ind w:left="321" w:hanging="283"/>
              <w:contextualSpacing/>
              <w:rPr>
                <w:rFonts w:cs="Arial"/>
                <w:sz w:val="18"/>
                <w:szCs w:val="18"/>
              </w:rPr>
            </w:pPr>
            <w:r>
              <w:rPr>
                <w:rFonts w:cs="Arial"/>
                <w:sz w:val="18"/>
                <w:szCs w:val="18"/>
              </w:rPr>
              <w:t>D</w:t>
            </w:r>
            <w:r w:rsidR="00A75A54" w:rsidRPr="000859B4">
              <w:rPr>
                <w:rFonts w:cs="Arial"/>
                <w:sz w:val="18"/>
                <w:szCs w:val="18"/>
              </w:rPr>
              <w:t>evelopment of partnerships with local institutions of best fit</w:t>
            </w:r>
          </w:p>
        </w:tc>
      </w:tr>
      <w:tr w:rsidR="00A75A54" w:rsidRPr="00944790" w14:paraId="202476A0" w14:textId="77777777" w:rsidTr="000859B4">
        <w:tc>
          <w:tcPr>
            <w:tcW w:w="4244" w:type="dxa"/>
          </w:tcPr>
          <w:p w14:paraId="675EE099" w14:textId="35774940" w:rsidR="00A75A54" w:rsidRPr="000859B4" w:rsidRDefault="00C82A40" w:rsidP="00A75A54">
            <w:pPr>
              <w:numPr>
                <w:ilvl w:val="0"/>
                <w:numId w:val="31"/>
              </w:numPr>
              <w:spacing w:after="80"/>
              <w:ind w:left="313" w:hanging="313"/>
              <w:rPr>
                <w:rFonts w:cs="Arial"/>
                <w:sz w:val="18"/>
                <w:szCs w:val="18"/>
              </w:rPr>
            </w:pPr>
            <w:r>
              <w:rPr>
                <w:rFonts w:cs="Arial"/>
                <w:sz w:val="18"/>
                <w:szCs w:val="18"/>
              </w:rPr>
              <w:t>P</w:t>
            </w:r>
            <w:r w:rsidR="00A75A54" w:rsidRPr="000859B4">
              <w:rPr>
                <w:rFonts w:cs="Arial"/>
                <w:sz w:val="18"/>
                <w:szCs w:val="18"/>
              </w:rPr>
              <w:t>ursuing the nationalisation of trainers and other staff while at the same time addressing the associated risks of quality deterioration if national trainers are not properly supported</w:t>
            </w:r>
          </w:p>
        </w:tc>
        <w:tc>
          <w:tcPr>
            <w:tcW w:w="4245" w:type="dxa"/>
            <w:shd w:val="clear" w:color="auto" w:fill="E2EFD9" w:themeFill="accent6" w:themeFillTint="33"/>
          </w:tcPr>
          <w:p w14:paraId="3DDB464B" w14:textId="73B7941A" w:rsidR="00A75A54" w:rsidRPr="000859B4" w:rsidRDefault="00C82A40" w:rsidP="00A75A54">
            <w:pPr>
              <w:numPr>
                <w:ilvl w:val="0"/>
                <w:numId w:val="31"/>
              </w:numPr>
              <w:ind w:left="326" w:hanging="283"/>
              <w:contextualSpacing/>
              <w:rPr>
                <w:rFonts w:cs="Arial"/>
                <w:sz w:val="18"/>
                <w:szCs w:val="18"/>
              </w:rPr>
            </w:pPr>
            <w:r>
              <w:rPr>
                <w:rFonts w:cs="Arial"/>
                <w:sz w:val="18"/>
                <w:szCs w:val="18"/>
              </w:rPr>
              <w:t>E</w:t>
            </w:r>
            <w:r w:rsidR="00A75A54" w:rsidRPr="000859B4">
              <w:rPr>
                <w:rFonts w:cs="Arial"/>
                <w:sz w:val="18"/>
                <w:szCs w:val="18"/>
              </w:rPr>
              <w:t>ducational and financial benefits from capability-building of national staff and reduced reliance on national trainers</w:t>
            </w:r>
          </w:p>
        </w:tc>
      </w:tr>
      <w:tr w:rsidR="00A75A54" w:rsidRPr="00944790" w14:paraId="3B768DE6" w14:textId="77777777" w:rsidTr="000859B4">
        <w:tc>
          <w:tcPr>
            <w:tcW w:w="4244" w:type="dxa"/>
          </w:tcPr>
          <w:p w14:paraId="31E7A7A0" w14:textId="681CF925" w:rsidR="00A75A54" w:rsidRPr="000859B4" w:rsidRDefault="00C82A40" w:rsidP="00A75A54">
            <w:pPr>
              <w:numPr>
                <w:ilvl w:val="0"/>
                <w:numId w:val="31"/>
              </w:numPr>
              <w:spacing w:after="80"/>
              <w:ind w:left="313" w:hanging="313"/>
              <w:rPr>
                <w:rFonts w:cs="Arial"/>
                <w:sz w:val="18"/>
                <w:szCs w:val="18"/>
              </w:rPr>
            </w:pPr>
            <w:r>
              <w:rPr>
                <w:rFonts w:cs="Arial"/>
                <w:sz w:val="18"/>
                <w:szCs w:val="18"/>
              </w:rPr>
              <w:t>A</w:t>
            </w:r>
            <w:r w:rsidR="00A75A54" w:rsidRPr="000859B4">
              <w:rPr>
                <w:rFonts w:cs="Arial"/>
                <w:sz w:val="18"/>
                <w:szCs w:val="18"/>
              </w:rPr>
              <w:t>ttracting staff t</w:t>
            </w:r>
            <w:r>
              <w:rPr>
                <w:rFonts w:cs="Arial"/>
                <w:sz w:val="18"/>
                <w:szCs w:val="18"/>
              </w:rPr>
              <w:t>o work in less secure countries</w:t>
            </w:r>
          </w:p>
        </w:tc>
        <w:tc>
          <w:tcPr>
            <w:tcW w:w="4245" w:type="dxa"/>
            <w:shd w:val="clear" w:color="auto" w:fill="E2EFD9" w:themeFill="accent6" w:themeFillTint="33"/>
          </w:tcPr>
          <w:p w14:paraId="1F167440" w14:textId="3E4CDE0E" w:rsidR="00A75A54" w:rsidRPr="000859B4" w:rsidRDefault="00C82A40" w:rsidP="00A75A54">
            <w:pPr>
              <w:numPr>
                <w:ilvl w:val="0"/>
                <w:numId w:val="31"/>
              </w:numPr>
              <w:ind w:left="321" w:hanging="321"/>
              <w:contextualSpacing/>
              <w:rPr>
                <w:rFonts w:cs="Arial"/>
                <w:sz w:val="18"/>
                <w:szCs w:val="18"/>
              </w:rPr>
            </w:pPr>
            <w:r>
              <w:rPr>
                <w:rFonts w:cs="Arial"/>
                <w:sz w:val="18"/>
                <w:szCs w:val="18"/>
              </w:rPr>
              <w:t>G</w:t>
            </w:r>
            <w:r w:rsidR="00A75A54" w:rsidRPr="000859B4">
              <w:rPr>
                <w:rFonts w:cs="Arial"/>
                <w:sz w:val="18"/>
                <w:szCs w:val="18"/>
              </w:rPr>
              <w:t>reater staffing and program stability and improved outcomes</w:t>
            </w:r>
          </w:p>
        </w:tc>
      </w:tr>
    </w:tbl>
    <w:p w14:paraId="5221FC20" w14:textId="2AD4BB69" w:rsidR="00B776E0" w:rsidRPr="006E232B" w:rsidRDefault="00B776E0" w:rsidP="006E232B">
      <w:pPr>
        <w:spacing w:after="80"/>
        <w:rPr>
          <w:rFonts w:cs="Arial"/>
        </w:rPr>
      </w:pPr>
    </w:p>
    <w:p w14:paraId="7CD23F06" w14:textId="69A07D53" w:rsidR="003D355F" w:rsidRDefault="00CF1DCE" w:rsidP="002028A6">
      <w:pPr>
        <w:pStyle w:val="Heading2"/>
      </w:pPr>
      <w:bookmarkStart w:id="709" w:name="_Toc274145140"/>
      <w:bookmarkStart w:id="710" w:name="_Toc274909904"/>
      <w:bookmarkStart w:id="711" w:name="_Toc278447920"/>
      <w:bookmarkStart w:id="712" w:name="_Toc278453393"/>
      <w:r>
        <w:t>5</w:t>
      </w:r>
      <w:r w:rsidR="00454521">
        <w:t>.1</w:t>
      </w:r>
      <w:r w:rsidR="00454521">
        <w:tab/>
      </w:r>
      <w:r w:rsidR="00B776E0" w:rsidRPr="00167765">
        <w:t>Lack of a long</w:t>
      </w:r>
      <w:r w:rsidR="0052555C">
        <w:t>-</w:t>
      </w:r>
      <w:r w:rsidR="00B776E0" w:rsidRPr="00167765">
        <w:t xml:space="preserve">term vision for APTC </w:t>
      </w:r>
      <w:r>
        <w:t xml:space="preserve">role in the Pacific </w:t>
      </w:r>
      <w:r w:rsidR="00B776E0" w:rsidRPr="00167765">
        <w:t xml:space="preserve">and the ability to </w:t>
      </w:r>
      <w:r w:rsidR="00FE3F97">
        <w:br/>
      </w:r>
      <w:r w:rsidR="00FE3F97">
        <w:tab/>
      </w:r>
      <w:r w:rsidR="00B776E0" w:rsidRPr="00167765">
        <w:t>plan for the future</w:t>
      </w:r>
      <w:bookmarkEnd w:id="709"/>
      <w:bookmarkEnd w:id="710"/>
      <w:bookmarkEnd w:id="711"/>
      <w:bookmarkEnd w:id="712"/>
    </w:p>
    <w:p w14:paraId="28C8BC7F" w14:textId="77777777" w:rsidR="00B776E0" w:rsidRPr="001257DB" w:rsidRDefault="00B776E0" w:rsidP="00B776E0">
      <w:pPr>
        <w:rPr>
          <w:rFonts w:eastAsiaTheme="minorEastAsia" w:cs="Arial"/>
        </w:rPr>
      </w:pPr>
      <w:r w:rsidRPr="001257DB">
        <w:rPr>
          <w:rFonts w:eastAsiaTheme="minorEastAsia" w:cs="Arial"/>
        </w:rPr>
        <w:t xml:space="preserve">In its consultations across the five country campuses, the </w:t>
      </w:r>
      <w:r>
        <w:rPr>
          <w:rFonts w:eastAsiaTheme="minorEastAsia" w:cs="Arial"/>
        </w:rPr>
        <w:t>evaluation team</w:t>
      </w:r>
      <w:r w:rsidRPr="001257DB">
        <w:rPr>
          <w:rFonts w:eastAsiaTheme="minorEastAsia" w:cs="Arial"/>
        </w:rPr>
        <w:t xml:space="preserve"> was impressed by the level of agreement among all stakeholders about the value and impact of the APTC and the importance of it continuing. </w:t>
      </w:r>
      <w:r>
        <w:rPr>
          <w:rFonts w:eastAsiaTheme="minorEastAsia" w:cs="Arial"/>
        </w:rPr>
        <w:t>In fact</w:t>
      </w:r>
      <w:r w:rsidR="008657BE">
        <w:rPr>
          <w:rFonts w:eastAsiaTheme="minorEastAsia" w:cs="Arial"/>
        </w:rPr>
        <w:t>,</w:t>
      </w:r>
      <w:r>
        <w:rPr>
          <w:rFonts w:eastAsiaTheme="minorEastAsia" w:cs="Arial"/>
        </w:rPr>
        <w:t xml:space="preserve"> it was often stated that it would not be feasible to discontinue APTC at this stage. </w:t>
      </w:r>
      <w:r w:rsidRPr="001257DB">
        <w:rPr>
          <w:rFonts w:eastAsiaTheme="minorEastAsia" w:cs="Arial"/>
        </w:rPr>
        <w:t>However, lack of clarity about the longevity and future role of APTC in the Pacific was also noted.</w:t>
      </w:r>
      <w:r>
        <w:rPr>
          <w:rFonts w:eastAsiaTheme="minorEastAsia" w:cs="Arial"/>
        </w:rPr>
        <w:t xml:space="preserve"> </w:t>
      </w:r>
      <w:r w:rsidRPr="001257DB">
        <w:rPr>
          <w:rFonts w:eastAsiaTheme="minorEastAsia" w:cs="Arial"/>
        </w:rPr>
        <w:t>Of necessity the APTC consortium works to the four</w:t>
      </w:r>
      <w:r w:rsidR="0090772C">
        <w:rPr>
          <w:rFonts w:eastAsiaTheme="minorEastAsia" w:cs="Arial"/>
        </w:rPr>
        <w:t>-</w:t>
      </w:r>
      <w:r w:rsidRPr="001257DB">
        <w:rPr>
          <w:rFonts w:eastAsiaTheme="minorEastAsia" w:cs="Arial"/>
        </w:rPr>
        <w:t>year cycle of the contract. This militates against anything m</w:t>
      </w:r>
      <w:r w:rsidR="0090772C">
        <w:rPr>
          <w:rFonts w:eastAsiaTheme="minorEastAsia" w:cs="Arial"/>
        </w:rPr>
        <w:t xml:space="preserve">ore than </w:t>
      </w:r>
      <w:r w:rsidR="008657BE">
        <w:rPr>
          <w:rFonts w:eastAsiaTheme="minorEastAsia" w:cs="Arial"/>
        </w:rPr>
        <w:t>medium-</w:t>
      </w:r>
      <w:r w:rsidR="0090772C">
        <w:rPr>
          <w:rFonts w:eastAsiaTheme="minorEastAsia" w:cs="Arial"/>
        </w:rPr>
        <w:t>term planning. Another four-</w:t>
      </w:r>
      <w:r w:rsidRPr="001257DB">
        <w:rPr>
          <w:rFonts w:eastAsiaTheme="minorEastAsia" w:cs="Arial"/>
        </w:rPr>
        <w:t>year cycle, regardless of the contract</w:t>
      </w:r>
      <w:r>
        <w:rPr>
          <w:rFonts w:eastAsiaTheme="minorEastAsia" w:cs="Arial"/>
        </w:rPr>
        <w:t>ing arrangements</w:t>
      </w:r>
      <w:r w:rsidRPr="001257DB">
        <w:rPr>
          <w:rFonts w:eastAsiaTheme="minorEastAsia" w:cs="Arial"/>
        </w:rPr>
        <w:t xml:space="preserve">, would simply repeat this situation.  </w:t>
      </w:r>
    </w:p>
    <w:p w14:paraId="37F41C98" w14:textId="77777777" w:rsidR="00B776E0" w:rsidRPr="001257DB" w:rsidRDefault="00B776E0" w:rsidP="00B776E0">
      <w:pPr>
        <w:rPr>
          <w:rFonts w:eastAsiaTheme="minorEastAsia" w:cs="Arial"/>
        </w:rPr>
      </w:pPr>
      <w:r w:rsidRPr="001257DB">
        <w:rPr>
          <w:rFonts w:eastAsiaTheme="minorEastAsia" w:cs="Arial"/>
        </w:rPr>
        <w:t xml:space="preserve">Country-based DFAT offices appear to be supportive of the APTC arising out of positive experience and anecdotal information about it locally. They generally support its continuation, in some cases without setting any time limits. Because it is a regional program and they have no real control over it, the relationship between DFAT </w:t>
      </w:r>
      <w:r>
        <w:rPr>
          <w:rFonts w:eastAsiaTheme="minorEastAsia" w:cs="Arial"/>
        </w:rPr>
        <w:t xml:space="preserve">country offices </w:t>
      </w:r>
      <w:r w:rsidRPr="001257DB">
        <w:rPr>
          <w:rFonts w:eastAsiaTheme="minorEastAsia" w:cs="Arial"/>
        </w:rPr>
        <w:t xml:space="preserve">and APTC is typically at ‘arm’s length’ and there is no imperative to give anything more than brief consideration to APTC’s future. This situation is not conducive to effective long-term, holistic planning for the Australian aid program at country level and optimal synergy with bilateral programs. </w:t>
      </w:r>
    </w:p>
    <w:p w14:paraId="2AF9BF7F" w14:textId="0640807B" w:rsidR="00CF1DCE" w:rsidRPr="00CF1DCE" w:rsidRDefault="00B776E0" w:rsidP="00CF1DCE">
      <w:pPr>
        <w:rPr>
          <w:rFonts w:cs="Arial"/>
          <w:b/>
          <w:bCs/>
          <w:color w:val="76923C"/>
          <w:szCs w:val="28"/>
        </w:rPr>
      </w:pPr>
      <w:r w:rsidRPr="001257DB">
        <w:rPr>
          <w:rFonts w:eastAsiaTheme="minorEastAsia" w:cs="Arial"/>
        </w:rPr>
        <w:t xml:space="preserve">As </w:t>
      </w:r>
      <w:r w:rsidR="001F5811">
        <w:rPr>
          <w:rFonts w:eastAsiaTheme="minorEastAsia" w:cs="Arial"/>
        </w:rPr>
        <w:t>Stage II</w:t>
      </w:r>
      <w:r w:rsidRPr="001257DB">
        <w:rPr>
          <w:rFonts w:eastAsiaTheme="minorEastAsia" w:cs="Arial"/>
        </w:rPr>
        <w:t xml:space="preserve"> draws to an end, it is timely for </w:t>
      </w:r>
      <w:r>
        <w:rPr>
          <w:rFonts w:eastAsiaTheme="minorEastAsia" w:cs="Arial"/>
        </w:rPr>
        <w:t xml:space="preserve">the Australian Government to articulate its long-term vision for </w:t>
      </w:r>
      <w:r w:rsidRPr="001257DB">
        <w:rPr>
          <w:rFonts w:eastAsiaTheme="minorEastAsia" w:cs="Arial"/>
        </w:rPr>
        <w:t xml:space="preserve">the APTC </w:t>
      </w:r>
      <w:r>
        <w:rPr>
          <w:rFonts w:eastAsiaTheme="minorEastAsia" w:cs="Arial"/>
        </w:rPr>
        <w:t>as a basis for strategic planning</w:t>
      </w:r>
      <w:r w:rsidR="00CF1DCE">
        <w:rPr>
          <w:rFonts w:eastAsiaTheme="minorEastAsia" w:cs="Arial"/>
        </w:rPr>
        <w:t xml:space="preserve"> </w:t>
      </w:r>
      <w:r w:rsidR="00CF1DCE" w:rsidRPr="00CF1DCE">
        <w:rPr>
          <w:rFonts w:cs="Arial"/>
        </w:rPr>
        <w:t xml:space="preserve">and to engage and consult with other stakeholders, such as donors and Pacific </w:t>
      </w:r>
      <w:r w:rsidR="006457AC">
        <w:rPr>
          <w:rFonts w:cs="Arial"/>
        </w:rPr>
        <w:t>g</w:t>
      </w:r>
      <w:r w:rsidR="00CF1DCE" w:rsidRPr="00CF1DCE">
        <w:rPr>
          <w:rFonts w:cs="Arial"/>
        </w:rPr>
        <w:t>overnments, about this vision.</w:t>
      </w:r>
      <w:r w:rsidR="00CF1DCE" w:rsidRPr="00CF1DCE">
        <w:rPr>
          <w:rFonts w:cs="Arial"/>
          <w:b/>
          <w:bCs/>
          <w:color w:val="76923C"/>
          <w:szCs w:val="28"/>
        </w:rPr>
        <w:t xml:space="preserve"> </w:t>
      </w:r>
    </w:p>
    <w:p w14:paraId="30D1E596" w14:textId="77777777" w:rsidR="003A11D2" w:rsidRDefault="003A11D2">
      <w:pPr>
        <w:spacing w:after="0"/>
        <w:rPr>
          <w:rFonts w:cs="Arial"/>
          <w:b/>
          <w:bCs/>
          <w:color w:val="76923C"/>
          <w:szCs w:val="28"/>
        </w:rPr>
      </w:pPr>
      <w:bookmarkStart w:id="713" w:name="_Toc274909905"/>
      <w:bookmarkStart w:id="714" w:name="_Toc278447921"/>
      <w:bookmarkStart w:id="715" w:name="_Toc278453394"/>
      <w:r>
        <w:br w:type="page"/>
      </w:r>
    </w:p>
    <w:p w14:paraId="4A344187" w14:textId="6A433EEC" w:rsidR="00CF1DCE" w:rsidRPr="00CF1DCE" w:rsidRDefault="00CF1DCE" w:rsidP="00604E49">
      <w:pPr>
        <w:pStyle w:val="Heading2"/>
      </w:pPr>
      <w:r w:rsidRPr="00CF1DCE">
        <w:t xml:space="preserve">5.2 </w:t>
      </w:r>
      <w:r w:rsidRPr="00CF1DCE">
        <w:tab/>
        <w:t>The contractual requirement to deliver full qualifications</w:t>
      </w:r>
      <w:bookmarkEnd w:id="713"/>
      <w:bookmarkEnd w:id="714"/>
      <w:bookmarkEnd w:id="715"/>
    </w:p>
    <w:p w14:paraId="37AA4031" w14:textId="31B433F3" w:rsidR="00CF1DCE" w:rsidRPr="00CF1DCE" w:rsidRDefault="00CF1DCE" w:rsidP="00CF1DCE">
      <w:pPr>
        <w:rPr>
          <w:rFonts w:cs="Arial"/>
        </w:rPr>
      </w:pPr>
      <w:r w:rsidRPr="00CF1DCE">
        <w:t>The APTC model of delivering full qualifications assumes that this is what is required by all students and their employers and implies a rigidity of approach. It means that students must be released from the workplace for long enough to complete the training and has</w:t>
      </w:r>
      <w:r w:rsidR="00C3198C">
        <w:t>,</w:t>
      </w:r>
      <w:r w:rsidRPr="00CF1DCE">
        <w:t xml:space="preserve"> in some cases</w:t>
      </w:r>
      <w:r w:rsidR="00C3198C">
        <w:t>,</w:t>
      </w:r>
      <w:r w:rsidRPr="00CF1DCE">
        <w:t xml:space="preserve"> meant that students must resign </w:t>
      </w:r>
      <w:r w:rsidR="00B9729E">
        <w:t>from their jobs</w:t>
      </w:r>
      <w:r w:rsidRPr="00CF1DCE">
        <w:t xml:space="preserve"> to take up a scholarship. It does not assist the process of encouraging employers to contribute to the cost of training because they may only require certain skills. A move to more flexible forms of training</w:t>
      </w:r>
      <w:r w:rsidR="00C3198C">
        <w:t>,</w:t>
      </w:r>
      <w:r w:rsidRPr="00CF1DCE">
        <w:t xml:space="preserve"> such as skill sets</w:t>
      </w:r>
      <w:r w:rsidR="00C3198C">
        <w:t>,</w:t>
      </w:r>
      <w:r w:rsidRPr="00CF1DCE">
        <w:t xml:space="preserve"> is likely to appeal to employers.</w:t>
      </w:r>
    </w:p>
    <w:p w14:paraId="196D7B29" w14:textId="2970DD53" w:rsidR="00B776E0" w:rsidRPr="001257DB" w:rsidRDefault="00CF1DCE" w:rsidP="002028A6">
      <w:pPr>
        <w:pStyle w:val="Heading2"/>
      </w:pPr>
      <w:bookmarkStart w:id="716" w:name="_Toc274909906"/>
      <w:bookmarkStart w:id="717" w:name="_Toc278447922"/>
      <w:bookmarkStart w:id="718" w:name="_Toc278453395"/>
      <w:r w:rsidRPr="00CF1DCE">
        <w:t>5.3</w:t>
      </w:r>
      <w:r w:rsidRPr="00CF1DCE">
        <w:tab/>
        <w:t xml:space="preserve">The need to generate more of its own revenue by encouraging greater </w:t>
      </w:r>
      <w:r w:rsidR="00604E49">
        <w:br/>
      </w:r>
      <w:r w:rsidR="00604E49">
        <w:tab/>
      </w:r>
      <w:r w:rsidRPr="00CF1DCE">
        <w:t xml:space="preserve">co-contribution to the cost of training by individuals, employers, donors </w:t>
      </w:r>
      <w:r w:rsidR="00604E49">
        <w:br/>
      </w:r>
      <w:r w:rsidR="00604E49">
        <w:tab/>
      </w:r>
      <w:r w:rsidRPr="00CF1DCE">
        <w:t xml:space="preserve">and Pacific governments and so overcome the reputation of being a </w:t>
      </w:r>
      <w:r w:rsidR="00604E49">
        <w:br/>
      </w:r>
      <w:r w:rsidR="00604E49">
        <w:tab/>
      </w:r>
      <w:r w:rsidRPr="00CF1DCE">
        <w:t>scholarship college</w:t>
      </w:r>
      <w:bookmarkEnd w:id="716"/>
      <w:bookmarkEnd w:id="717"/>
      <w:bookmarkEnd w:id="718"/>
    </w:p>
    <w:p w14:paraId="4BF362C1" w14:textId="67300490" w:rsidR="00B776E0" w:rsidRDefault="00B776E0" w:rsidP="00B776E0">
      <w:pPr>
        <w:rPr>
          <w:rFonts w:cs="Arial"/>
        </w:rPr>
      </w:pPr>
      <w:r w:rsidRPr="00357B62">
        <w:rPr>
          <w:rFonts w:cs="Arial"/>
        </w:rPr>
        <w:t xml:space="preserve">The </w:t>
      </w:r>
      <w:r>
        <w:rPr>
          <w:rFonts w:cs="Arial"/>
        </w:rPr>
        <w:t xml:space="preserve">preponderance of student financial assistance </w:t>
      </w:r>
      <w:r w:rsidRPr="00357B62">
        <w:rPr>
          <w:rFonts w:cs="Arial"/>
        </w:rPr>
        <w:t xml:space="preserve">has led to </w:t>
      </w:r>
      <w:r w:rsidR="00AB0B48" w:rsidRPr="00AB0B48">
        <w:rPr>
          <w:rFonts w:cs="Arial"/>
        </w:rPr>
        <w:t xml:space="preserve">what APTC management and staff frequently referred to as APTC’s reputation in the Pacific of being </w:t>
      </w:r>
      <w:r w:rsidRPr="00357B62">
        <w:rPr>
          <w:rFonts w:cs="Arial"/>
        </w:rPr>
        <w:t xml:space="preserve">a ‘scholarship college’. This is not likely to be sustainable in the long term. </w:t>
      </w:r>
      <w:r w:rsidR="00CF1DCE" w:rsidRPr="00CF1DCE">
        <w:rPr>
          <w:rFonts w:cs="Arial"/>
        </w:rPr>
        <w:t xml:space="preserve">Other forms of income must be generated using all available sources. </w:t>
      </w:r>
      <w:r w:rsidRPr="00357B62">
        <w:rPr>
          <w:rFonts w:cs="Arial"/>
        </w:rPr>
        <w:t xml:space="preserve">Efforts are being made to introduce co-contribution by industry </w:t>
      </w:r>
      <w:r>
        <w:rPr>
          <w:rFonts w:cs="Arial"/>
        </w:rPr>
        <w:t xml:space="preserve">and </w:t>
      </w:r>
      <w:r w:rsidRPr="00357B62">
        <w:rPr>
          <w:rFonts w:cs="Arial"/>
        </w:rPr>
        <w:t xml:space="preserve">individuals and this must </w:t>
      </w:r>
      <w:r>
        <w:rPr>
          <w:rFonts w:cs="Arial"/>
        </w:rPr>
        <w:t xml:space="preserve">continue to be </w:t>
      </w:r>
      <w:r w:rsidRPr="00357B62">
        <w:rPr>
          <w:rFonts w:cs="Arial"/>
        </w:rPr>
        <w:t>pursued.</w:t>
      </w:r>
      <w:r w:rsidR="00CF1DCE">
        <w:rPr>
          <w:rFonts w:cs="Arial"/>
        </w:rPr>
        <w:t xml:space="preserve"> As described above</w:t>
      </w:r>
      <w:r w:rsidRPr="00357B62">
        <w:rPr>
          <w:rFonts w:cs="Arial"/>
        </w:rPr>
        <w:t xml:space="preserve">, it may mean more emphasis on highly targeted training for enterprises. The </w:t>
      </w:r>
      <w:r>
        <w:rPr>
          <w:rFonts w:cs="Arial"/>
        </w:rPr>
        <w:t xml:space="preserve">arrangement with Coral Sea Hotels in PNG that involves </w:t>
      </w:r>
      <w:r w:rsidRPr="00357B62">
        <w:rPr>
          <w:rFonts w:cs="Arial"/>
        </w:rPr>
        <w:t>a substantial contribution from industry is</w:t>
      </w:r>
      <w:r>
        <w:rPr>
          <w:rFonts w:cs="Arial"/>
        </w:rPr>
        <w:t xml:space="preserve"> a model to be replicated. However, greater mobilisation of income from industry requires sufficient staff time for business development. </w:t>
      </w:r>
    </w:p>
    <w:p w14:paraId="53205D8E" w14:textId="382BE6CC" w:rsidR="00CF1DCE" w:rsidRPr="003A3057" w:rsidRDefault="00CF1DCE" w:rsidP="00CF1DCE">
      <w:pPr>
        <w:rPr>
          <w:rFonts w:cs="Arial"/>
        </w:rPr>
      </w:pPr>
      <w:r w:rsidRPr="00CF1DCE">
        <w:rPr>
          <w:rFonts w:cs="Arial"/>
        </w:rPr>
        <w:t xml:space="preserve">Opportunities to generate income from donors and Pacific </w:t>
      </w:r>
      <w:r w:rsidR="00E15085">
        <w:rPr>
          <w:rFonts w:cs="Arial"/>
        </w:rPr>
        <w:t>g</w:t>
      </w:r>
      <w:r w:rsidRPr="00CF1DCE">
        <w:rPr>
          <w:rFonts w:cs="Arial"/>
        </w:rPr>
        <w:t>overnments would be enhanced if APTC’s long</w:t>
      </w:r>
      <w:r w:rsidR="00E15085">
        <w:rPr>
          <w:rFonts w:cs="Arial"/>
        </w:rPr>
        <w:t>-</w:t>
      </w:r>
      <w:r w:rsidRPr="00CF1DCE">
        <w:rPr>
          <w:rFonts w:cs="Arial"/>
        </w:rPr>
        <w:t xml:space="preserve">term role in the Pacific were clarified and donors and Pacific </w:t>
      </w:r>
      <w:r w:rsidR="00E15085">
        <w:rPr>
          <w:rFonts w:cs="Arial"/>
        </w:rPr>
        <w:t>g</w:t>
      </w:r>
      <w:r w:rsidRPr="00CF1DCE">
        <w:rPr>
          <w:rFonts w:cs="Arial"/>
        </w:rPr>
        <w:t xml:space="preserve">overnments were involved in the associated consultation process. In the longer term, as APTC’s reliance on scholarships is reduced, consideration could be given to </w:t>
      </w:r>
      <w:r w:rsidR="00463181" w:rsidRPr="00463181">
        <w:rPr>
          <w:rFonts w:cs="Arial"/>
        </w:rPr>
        <w:t xml:space="preserve">establishing pathways for outstanding APTC graduates by earmarking </w:t>
      </w:r>
      <w:r w:rsidRPr="00CF1DCE">
        <w:rPr>
          <w:rFonts w:cs="Arial"/>
        </w:rPr>
        <w:t>scholarships through the Australia Awards scholarships program.</w:t>
      </w:r>
      <w:r w:rsidR="00463181">
        <w:rPr>
          <w:rFonts w:cs="Arial"/>
        </w:rPr>
        <w:t xml:space="preserve"> </w:t>
      </w:r>
      <w:r w:rsidR="00463181" w:rsidRPr="000859B4">
        <w:rPr>
          <w:rFonts w:cs="Arial"/>
        </w:rPr>
        <w:t>Further discussion of this form of cooperation is contained in Attachment 2.</w:t>
      </w:r>
    </w:p>
    <w:p w14:paraId="1355CAF4" w14:textId="07A0EE2D" w:rsidR="003D355F" w:rsidRPr="006360E3" w:rsidRDefault="009F28D3" w:rsidP="002028A6">
      <w:pPr>
        <w:pStyle w:val="Heading2"/>
      </w:pPr>
      <w:bookmarkStart w:id="719" w:name="_Toc274145142"/>
      <w:bookmarkStart w:id="720" w:name="_Toc274909907"/>
      <w:bookmarkStart w:id="721" w:name="_Toc278447923"/>
      <w:bookmarkStart w:id="722" w:name="_Toc278453396"/>
      <w:r>
        <w:t>5.4</w:t>
      </w:r>
      <w:r w:rsidR="004220B8" w:rsidRPr="005744AA">
        <w:tab/>
      </w:r>
      <w:r w:rsidR="00B776E0" w:rsidRPr="00D53710">
        <w:t xml:space="preserve">Elimination of cost inefficiencies </w:t>
      </w:r>
      <w:bookmarkEnd w:id="719"/>
      <w:r w:rsidR="00DD7230">
        <w:t>in organisation and management</w:t>
      </w:r>
      <w:bookmarkEnd w:id="720"/>
      <w:bookmarkEnd w:id="721"/>
      <w:bookmarkEnd w:id="722"/>
    </w:p>
    <w:p w14:paraId="5D57B4E0" w14:textId="3862C3B4" w:rsidR="00B776E0" w:rsidRPr="00DC6F73" w:rsidRDefault="00B776E0" w:rsidP="00E722A5">
      <w:pPr>
        <w:rPr>
          <w:rFonts w:cs="Arial"/>
        </w:rPr>
      </w:pPr>
      <w:r w:rsidRPr="00357B62">
        <w:rPr>
          <w:rFonts w:cs="Arial"/>
        </w:rPr>
        <w:t xml:space="preserve">Some examples of cost-inefficiencies are addressed in earlier points. </w:t>
      </w:r>
      <w:r>
        <w:rPr>
          <w:rFonts w:cs="Arial"/>
        </w:rPr>
        <w:t>Of particular note are the costs associated with the consortium arrangements and the organisational structure.</w:t>
      </w:r>
      <w:r w:rsidRPr="00357B62">
        <w:rPr>
          <w:rFonts w:cs="Arial"/>
        </w:rPr>
        <w:t xml:space="preserve"> Addressing these areas would free up resources to be directed towards skill development.</w:t>
      </w:r>
      <w:r>
        <w:rPr>
          <w:rFonts w:cs="Arial"/>
        </w:rPr>
        <w:t xml:space="preserve"> </w:t>
      </w:r>
      <w:r w:rsidR="00E722A5" w:rsidRPr="00E722A5">
        <w:rPr>
          <w:rFonts w:cs="Arial"/>
        </w:rPr>
        <w:t>APTC can achieve significant cost effi</w:t>
      </w:r>
      <w:r w:rsidR="00E722A5">
        <w:rPr>
          <w:rFonts w:cs="Arial"/>
        </w:rPr>
        <w:t xml:space="preserve">ciencies by separating the </w:t>
      </w:r>
      <w:r w:rsidR="00E722A5" w:rsidRPr="00E722A5">
        <w:rPr>
          <w:rFonts w:cs="Arial"/>
        </w:rPr>
        <w:t xml:space="preserve">administrative/employment function from the education function and to have a different agent responsible for each. Divorcing the administrative/employer function from the education function has two advantages. </w:t>
      </w:r>
      <w:r w:rsidR="00E722A5">
        <w:rPr>
          <w:rFonts w:cs="Arial"/>
        </w:rPr>
        <w:t>First, o</w:t>
      </w:r>
      <w:r w:rsidR="00E722A5" w:rsidRPr="00E722A5">
        <w:rPr>
          <w:rFonts w:cs="Arial"/>
        </w:rPr>
        <w:t xml:space="preserve">ne employer with one set of employment terms and conditions for all staff makes this function much simpler to manage, and requires fewer staff to do so. </w:t>
      </w:r>
      <w:r w:rsidR="00E722A5">
        <w:rPr>
          <w:rFonts w:cs="Arial"/>
        </w:rPr>
        <w:t xml:space="preserve">Second, </w:t>
      </w:r>
      <w:r w:rsidR="004A0375">
        <w:rPr>
          <w:rFonts w:cs="Arial"/>
        </w:rPr>
        <w:t>it would allow APTC</w:t>
      </w:r>
      <w:r w:rsidR="00E722A5" w:rsidRPr="00E722A5">
        <w:rPr>
          <w:rFonts w:cs="Arial"/>
        </w:rPr>
        <w:t xml:space="preserve"> to develop its own employment terms and conditions tail</w:t>
      </w:r>
      <w:r w:rsidR="004A0375">
        <w:rPr>
          <w:rFonts w:cs="Arial"/>
        </w:rPr>
        <w:t>ored to its own needs, and be</w:t>
      </w:r>
      <w:r w:rsidR="00E722A5" w:rsidRPr="00E722A5">
        <w:rPr>
          <w:rFonts w:cs="Arial"/>
        </w:rPr>
        <w:t xml:space="preserve"> </w:t>
      </w:r>
      <w:r w:rsidR="004A0375">
        <w:rPr>
          <w:rFonts w:cs="Arial"/>
        </w:rPr>
        <w:t>de-</w:t>
      </w:r>
      <w:r w:rsidR="00E722A5" w:rsidRPr="00E722A5">
        <w:rPr>
          <w:rFonts w:cs="Arial"/>
        </w:rPr>
        <w:t>linked to Australian TAFE terms and conditions that an Australian-based RTO must follow</w:t>
      </w:r>
      <w:r w:rsidR="004A0375">
        <w:rPr>
          <w:rFonts w:cs="Arial"/>
        </w:rPr>
        <w:t>.</w:t>
      </w:r>
    </w:p>
    <w:p w14:paraId="08C2E519" w14:textId="183CE74A" w:rsidR="003D355F" w:rsidRPr="00D059A3" w:rsidRDefault="009F28D3" w:rsidP="002028A6">
      <w:pPr>
        <w:pStyle w:val="Heading2"/>
      </w:pPr>
      <w:bookmarkStart w:id="723" w:name="_Toc274145143"/>
      <w:bookmarkStart w:id="724" w:name="_Toc274909908"/>
      <w:bookmarkStart w:id="725" w:name="_Toc278447924"/>
      <w:bookmarkStart w:id="726" w:name="_Toc278453397"/>
      <w:r>
        <w:t>5.5</w:t>
      </w:r>
      <w:r w:rsidR="004220B8" w:rsidRPr="005744AA">
        <w:tab/>
      </w:r>
      <w:r w:rsidR="00B776E0" w:rsidRPr="00D53710">
        <w:t xml:space="preserve">Overcoming pockets of entrenched opposition to </w:t>
      </w:r>
      <w:r w:rsidR="00B776E0" w:rsidRPr="00D059A3">
        <w:t xml:space="preserve">develop partnerships </w:t>
      </w:r>
      <w:r w:rsidR="0038347F">
        <w:br/>
      </w:r>
      <w:r w:rsidR="0038347F">
        <w:tab/>
      </w:r>
      <w:r w:rsidR="00B776E0" w:rsidRPr="00D059A3">
        <w:t>with local institutions of best fit</w:t>
      </w:r>
      <w:bookmarkEnd w:id="723"/>
      <w:bookmarkEnd w:id="724"/>
      <w:bookmarkEnd w:id="725"/>
      <w:bookmarkEnd w:id="726"/>
    </w:p>
    <w:p w14:paraId="37DB9CE4" w14:textId="7F617D03" w:rsidR="00B776E0" w:rsidRDefault="00B776E0" w:rsidP="00B776E0">
      <w:pPr>
        <w:rPr>
          <w:rFonts w:cs="Arial"/>
        </w:rPr>
      </w:pPr>
      <w:r w:rsidRPr="00357B62">
        <w:rPr>
          <w:rFonts w:cs="Arial"/>
        </w:rPr>
        <w:t xml:space="preserve">Despite attempts by the APTC at cooperation, some pockets of entrenched opposition remain even towards the end of the second stage. The concept of an Australian institution operating in its own right in the Pacific has been interpreted by some local institutions as an affront to their capability and contrary to a development approach which would invest more directly in local capacity-building. This </w:t>
      </w:r>
      <w:r>
        <w:rPr>
          <w:rFonts w:cs="Arial"/>
        </w:rPr>
        <w:t>has been</w:t>
      </w:r>
      <w:r w:rsidRPr="00357B62">
        <w:rPr>
          <w:rFonts w:cs="Arial"/>
        </w:rPr>
        <w:t xml:space="preserve"> evident in </w:t>
      </w:r>
      <w:r>
        <w:rPr>
          <w:rFonts w:cs="Arial"/>
        </w:rPr>
        <w:t xml:space="preserve">both </w:t>
      </w:r>
      <w:r w:rsidRPr="00357B62">
        <w:rPr>
          <w:rFonts w:cs="Arial"/>
        </w:rPr>
        <w:t>Fiji and</w:t>
      </w:r>
      <w:r>
        <w:rPr>
          <w:rFonts w:cs="Arial"/>
        </w:rPr>
        <w:t xml:space="preserve"> the Solomon Islands. In those two countries</w:t>
      </w:r>
      <w:r w:rsidR="00782B7E">
        <w:rPr>
          <w:rFonts w:cs="Arial"/>
        </w:rPr>
        <w:t>,</w:t>
      </w:r>
      <w:r>
        <w:rPr>
          <w:rFonts w:cs="Arial"/>
        </w:rPr>
        <w:t xml:space="preserve"> it </w:t>
      </w:r>
      <w:r w:rsidRPr="00357B62">
        <w:rPr>
          <w:rFonts w:cs="Arial"/>
        </w:rPr>
        <w:t>has prevented a partnership with the most obvious institution</w:t>
      </w:r>
      <w:r>
        <w:rPr>
          <w:rFonts w:cs="Arial"/>
        </w:rPr>
        <w:t>s, the national universities. It</w:t>
      </w:r>
      <w:r w:rsidRPr="00357B62">
        <w:rPr>
          <w:rFonts w:cs="Arial"/>
        </w:rPr>
        <w:t xml:space="preserve"> has required the APTC to ‘work around’ the situation. </w:t>
      </w:r>
      <w:r>
        <w:rPr>
          <w:rFonts w:cs="Arial"/>
        </w:rPr>
        <w:t>Efforts are continuing to resolve this situation.</w:t>
      </w:r>
      <w:r w:rsidRPr="00357B62">
        <w:rPr>
          <w:rFonts w:cs="Arial"/>
        </w:rPr>
        <w:t xml:space="preserve"> </w:t>
      </w:r>
      <w:r>
        <w:rPr>
          <w:rFonts w:cs="Arial"/>
        </w:rPr>
        <w:t xml:space="preserve">This is a costly issue because the </w:t>
      </w:r>
      <w:r w:rsidRPr="00357B62">
        <w:rPr>
          <w:rFonts w:cs="Arial"/>
        </w:rPr>
        <w:t xml:space="preserve">selection of an institutional partner typically necessitates capital investment by the APTC in order to comply with Australian standards of delivery. </w:t>
      </w:r>
      <w:r>
        <w:rPr>
          <w:rFonts w:cs="Arial"/>
        </w:rPr>
        <w:t xml:space="preserve">Where partnerships falter, </w:t>
      </w:r>
      <w:r w:rsidRPr="00357B62">
        <w:rPr>
          <w:rFonts w:cs="Arial"/>
        </w:rPr>
        <w:t>investment is likely to be required in an alternative partner.</w:t>
      </w:r>
      <w:r>
        <w:rPr>
          <w:rFonts w:cs="Arial"/>
        </w:rPr>
        <w:t xml:space="preserve"> This is the case in Fiji where investment in </w:t>
      </w:r>
      <w:r w:rsidR="00782B7E">
        <w:rPr>
          <w:rFonts w:cs="Arial"/>
        </w:rPr>
        <w:t xml:space="preserve">hospitality </w:t>
      </w:r>
      <w:r>
        <w:rPr>
          <w:rFonts w:cs="Arial"/>
        </w:rPr>
        <w:t>facilities was required twice.</w:t>
      </w:r>
    </w:p>
    <w:p w14:paraId="7F1EA221" w14:textId="55FCCF37" w:rsidR="003D355F" w:rsidRPr="005744AA" w:rsidRDefault="00E4666B" w:rsidP="002028A6">
      <w:pPr>
        <w:pStyle w:val="Heading2"/>
      </w:pPr>
      <w:bookmarkStart w:id="727" w:name="_Toc274145144"/>
      <w:bookmarkStart w:id="728" w:name="_Toc274909909"/>
      <w:bookmarkStart w:id="729" w:name="_Toc278447925"/>
      <w:bookmarkStart w:id="730" w:name="_Toc278453398"/>
      <w:r>
        <w:t>5.6</w:t>
      </w:r>
      <w:r w:rsidR="00C00EA2" w:rsidRPr="00E75687">
        <w:tab/>
      </w:r>
      <w:r w:rsidRPr="00E4666B">
        <w:t xml:space="preserve">Pursuing the nationalisation of trainers and other staff while at the same </w:t>
      </w:r>
      <w:r w:rsidR="0038347F">
        <w:br/>
      </w:r>
      <w:r w:rsidR="0038347F">
        <w:tab/>
      </w:r>
      <w:r w:rsidRPr="00E4666B">
        <w:t xml:space="preserve">time addressing the associated risks of quality deterioration if national </w:t>
      </w:r>
      <w:r w:rsidR="0038347F">
        <w:br/>
      </w:r>
      <w:r w:rsidR="0038347F">
        <w:tab/>
      </w:r>
      <w:r w:rsidRPr="00E4666B">
        <w:t>trainers are not properly supported</w:t>
      </w:r>
      <w:bookmarkEnd w:id="727"/>
      <w:bookmarkEnd w:id="728"/>
      <w:bookmarkEnd w:id="729"/>
      <w:bookmarkEnd w:id="730"/>
    </w:p>
    <w:p w14:paraId="553EBAE2" w14:textId="77777777" w:rsidR="00B776E0" w:rsidRPr="00471323" w:rsidRDefault="00B776E0" w:rsidP="00B776E0">
      <w:pPr>
        <w:rPr>
          <w:rFonts w:eastAsiaTheme="minorEastAsia" w:cs="Arial"/>
        </w:rPr>
      </w:pPr>
      <w:r>
        <w:rPr>
          <w:rFonts w:eastAsiaTheme="minorEastAsia" w:cs="Arial"/>
        </w:rPr>
        <w:t>As outlined earlier, t</w:t>
      </w:r>
      <w:r w:rsidRPr="00471323">
        <w:rPr>
          <w:rFonts w:eastAsiaTheme="minorEastAsia" w:cs="Arial"/>
        </w:rPr>
        <w:t>he APTC has instituted a process of replacing Australian trainers with national trainers aimed at achieving both educational and financial benefits</w:t>
      </w:r>
      <w:r>
        <w:rPr>
          <w:rFonts w:eastAsiaTheme="minorEastAsia" w:cs="Arial"/>
        </w:rPr>
        <w:t>, through lifting the teaching capability of local staff and reducing reliance on expatriate trainers.</w:t>
      </w:r>
      <w:r w:rsidRPr="00471323">
        <w:rPr>
          <w:rFonts w:eastAsiaTheme="minorEastAsia" w:cs="Arial"/>
        </w:rPr>
        <w:t xml:space="preserve"> An important measure of the success of the program is the capacity of national trainers to replace the Australian trainers without compromise to quality. Reducing reliance/</w:t>
      </w:r>
      <w:r>
        <w:rPr>
          <w:rFonts w:eastAsiaTheme="minorEastAsia" w:cs="Arial"/>
        </w:rPr>
        <w:t xml:space="preserve"> </w:t>
      </w:r>
      <w:r w:rsidRPr="00471323">
        <w:rPr>
          <w:rFonts w:eastAsiaTheme="minorEastAsia" w:cs="Arial"/>
        </w:rPr>
        <w:t>dependence on the Australian trainers has the flow-on financial benefit that national trainers can be employed at significantly lower cost.</w:t>
      </w:r>
      <w:r>
        <w:rPr>
          <w:rFonts w:eastAsiaTheme="minorEastAsia" w:cs="Arial"/>
        </w:rPr>
        <w:t xml:space="preserve"> </w:t>
      </w:r>
      <w:r w:rsidRPr="00471323">
        <w:rPr>
          <w:rFonts w:eastAsiaTheme="minorEastAsia" w:cs="Arial"/>
        </w:rPr>
        <w:t xml:space="preserve">Because the national trainers must meet Australian standards, the process takes time and it is only towards the end of </w:t>
      </w:r>
      <w:r w:rsidR="001F5811">
        <w:rPr>
          <w:rFonts w:eastAsiaTheme="minorEastAsia" w:cs="Arial"/>
        </w:rPr>
        <w:t>Stage II</w:t>
      </w:r>
      <w:r w:rsidRPr="00471323">
        <w:rPr>
          <w:rFonts w:eastAsiaTheme="minorEastAsia" w:cs="Arial"/>
        </w:rPr>
        <w:t xml:space="preserve"> that they are starting to be appointed. </w:t>
      </w:r>
    </w:p>
    <w:p w14:paraId="62944358" w14:textId="77777777" w:rsidR="00B776E0" w:rsidRPr="00471323" w:rsidRDefault="00B776E0" w:rsidP="00B776E0">
      <w:pPr>
        <w:rPr>
          <w:rFonts w:eastAsiaTheme="minorEastAsia" w:cs="Arial"/>
        </w:rPr>
      </w:pPr>
      <w:r w:rsidRPr="00471323">
        <w:rPr>
          <w:rFonts w:eastAsiaTheme="minorEastAsia" w:cs="Arial"/>
        </w:rPr>
        <w:t xml:space="preserve">The size of operations at APTC means that only one Australian trainer has been appointed for a particular industry in each country. These trainers have commented that, in the absence of other colleagues in the same industry, a high degree of self-reliance is required to remain up-to-date with changes in training requirements. Some have also commented on the sense of professional isolation that can occur in this environment. National trainers will face the same challenges and they </w:t>
      </w:r>
      <w:r>
        <w:rPr>
          <w:rFonts w:eastAsiaTheme="minorEastAsia" w:cs="Arial"/>
        </w:rPr>
        <w:t>may</w:t>
      </w:r>
      <w:r w:rsidRPr="00471323">
        <w:rPr>
          <w:rFonts w:eastAsiaTheme="minorEastAsia" w:cs="Arial"/>
        </w:rPr>
        <w:t xml:space="preserve"> also be required to train national tutors to achieve trainer status. Ongoing </w:t>
      </w:r>
      <w:r>
        <w:rPr>
          <w:rFonts w:eastAsiaTheme="minorEastAsia" w:cs="Arial"/>
        </w:rPr>
        <w:t xml:space="preserve">and intensive professional </w:t>
      </w:r>
      <w:r w:rsidRPr="00471323">
        <w:rPr>
          <w:rFonts w:eastAsiaTheme="minorEastAsia" w:cs="Arial"/>
        </w:rPr>
        <w:t xml:space="preserve">support for national trainers is therefore critical. </w:t>
      </w:r>
    </w:p>
    <w:p w14:paraId="6CE87F9A" w14:textId="4B7F189D" w:rsidR="00B776E0" w:rsidRPr="00471323" w:rsidRDefault="00B776E0" w:rsidP="00B776E0">
      <w:pPr>
        <w:rPr>
          <w:rFonts w:eastAsiaTheme="minorEastAsia" w:cs="Arial"/>
        </w:rPr>
      </w:pPr>
      <w:r w:rsidRPr="00471323">
        <w:rPr>
          <w:rFonts w:eastAsiaTheme="minorEastAsia" w:cs="Arial"/>
        </w:rPr>
        <w:t xml:space="preserve">The main strategies to support national trainers </w:t>
      </w:r>
      <w:r>
        <w:rPr>
          <w:rFonts w:eastAsiaTheme="minorEastAsia" w:cs="Arial"/>
        </w:rPr>
        <w:t xml:space="preserve">could </w:t>
      </w:r>
      <w:r w:rsidRPr="00471323">
        <w:rPr>
          <w:rFonts w:eastAsiaTheme="minorEastAsia" w:cs="Arial"/>
        </w:rPr>
        <w:t>include:</w:t>
      </w:r>
    </w:p>
    <w:p w14:paraId="2E7421B8" w14:textId="77777777" w:rsidR="00B776E0" w:rsidRDefault="00766A74" w:rsidP="00260880">
      <w:pPr>
        <w:numPr>
          <w:ilvl w:val="0"/>
          <w:numId w:val="32"/>
        </w:numPr>
        <w:rPr>
          <w:rFonts w:eastAsiaTheme="minorEastAsia" w:cs="Arial"/>
        </w:rPr>
      </w:pPr>
      <w:r>
        <w:rPr>
          <w:rFonts w:eastAsiaTheme="minorEastAsia" w:cs="Arial"/>
        </w:rPr>
        <w:t xml:space="preserve">ongoing </w:t>
      </w:r>
      <w:r w:rsidR="00B776E0">
        <w:rPr>
          <w:rFonts w:eastAsiaTheme="minorEastAsia" w:cs="Arial"/>
        </w:rPr>
        <w:t>professional development – vocational and pedagogical</w:t>
      </w:r>
    </w:p>
    <w:p w14:paraId="383E638A" w14:textId="77777777" w:rsidR="00B776E0" w:rsidRDefault="00766A74" w:rsidP="00260880">
      <w:pPr>
        <w:numPr>
          <w:ilvl w:val="0"/>
          <w:numId w:val="32"/>
        </w:numPr>
        <w:rPr>
          <w:rFonts w:eastAsiaTheme="minorEastAsia" w:cs="Arial"/>
        </w:rPr>
      </w:pPr>
      <w:r>
        <w:rPr>
          <w:rFonts w:eastAsiaTheme="minorEastAsia" w:cs="Arial"/>
        </w:rPr>
        <w:t>t</w:t>
      </w:r>
      <w:r w:rsidRPr="00471323">
        <w:rPr>
          <w:rFonts w:eastAsiaTheme="minorEastAsia" w:cs="Arial"/>
        </w:rPr>
        <w:t xml:space="preserve">he </w:t>
      </w:r>
      <w:r w:rsidR="00B776E0" w:rsidRPr="00471323">
        <w:rPr>
          <w:rFonts w:eastAsiaTheme="minorEastAsia" w:cs="Arial"/>
        </w:rPr>
        <w:t>presence of a senior trainer at country level to provide ongoing ‘</w:t>
      </w:r>
      <w:r w:rsidR="00C0110A" w:rsidRPr="00471323">
        <w:rPr>
          <w:rFonts w:eastAsiaTheme="minorEastAsia" w:cs="Arial"/>
        </w:rPr>
        <w:t>on</w:t>
      </w:r>
      <w:r w:rsidR="00C0110A">
        <w:rPr>
          <w:rFonts w:eastAsiaTheme="minorEastAsia" w:cs="Arial"/>
        </w:rPr>
        <w:t>-</w:t>
      </w:r>
      <w:r w:rsidR="00C0110A" w:rsidRPr="00471323">
        <w:rPr>
          <w:rFonts w:eastAsiaTheme="minorEastAsia" w:cs="Arial"/>
        </w:rPr>
        <w:t>the</w:t>
      </w:r>
      <w:r w:rsidR="00C0110A">
        <w:rPr>
          <w:rFonts w:eastAsiaTheme="minorEastAsia" w:cs="Arial"/>
        </w:rPr>
        <w:t>-</w:t>
      </w:r>
      <w:r w:rsidR="00B776E0" w:rsidRPr="00471323">
        <w:rPr>
          <w:rFonts w:eastAsiaTheme="minorEastAsia" w:cs="Arial"/>
        </w:rPr>
        <w:t>ground support’, mostly of a general nature</w:t>
      </w:r>
    </w:p>
    <w:p w14:paraId="4C7D7ADA" w14:textId="77777777" w:rsidR="00B776E0" w:rsidRPr="00471323" w:rsidRDefault="00ED70C8" w:rsidP="00260880">
      <w:pPr>
        <w:numPr>
          <w:ilvl w:val="0"/>
          <w:numId w:val="32"/>
        </w:numPr>
        <w:rPr>
          <w:rFonts w:eastAsiaTheme="minorEastAsia" w:cs="Arial"/>
        </w:rPr>
      </w:pPr>
      <w:r>
        <w:rPr>
          <w:rFonts w:eastAsiaTheme="minorEastAsia" w:cs="Arial"/>
        </w:rPr>
        <w:t>t</w:t>
      </w:r>
      <w:r w:rsidRPr="00471323">
        <w:rPr>
          <w:rFonts w:eastAsiaTheme="minorEastAsia" w:cs="Arial"/>
        </w:rPr>
        <w:t xml:space="preserve">he </w:t>
      </w:r>
      <w:r w:rsidR="00B776E0" w:rsidRPr="00471323">
        <w:rPr>
          <w:rFonts w:eastAsiaTheme="minorEastAsia" w:cs="Arial"/>
        </w:rPr>
        <w:t>employment of Australian trainers to act as visiting vocational/industry specialists on a short term basis</w:t>
      </w:r>
    </w:p>
    <w:p w14:paraId="04DECF3F" w14:textId="77777777" w:rsidR="00B776E0" w:rsidRPr="00471323" w:rsidRDefault="00ED70C8" w:rsidP="00260880">
      <w:pPr>
        <w:numPr>
          <w:ilvl w:val="0"/>
          <w:numId w:val="32"/>
        </w:numPr>
        <w:rPr>
          <w:rFonts w:eastAsiaTheme="minorEastAsia" w:cs="Arial"/>
        </w:rPr>
      </w:pPr>
      <w:r>
        <w:rPr>
          <w:rFonts w:eastAsiaTheme="minorEastAsia" w:cs="Arial"/>
        </w:rPr>
        <w:t xml:space="preserve">the </w:t>
      </w:r>
      <w:r w:rsidR="00B776E0">
        <w:rPr>
          <w:rFonts w:eastAsiaTheme="minorEastAsia" w:cs="Arial"/>
        </w:rPr>
        <w:t>establishment of ‘communities of practice’ to provide professional support</w:t>
      </w:r>
    </w:p>
    <w:p w14:paraId="72C15363" w14:textId="77777777" w:rsidR="00B776E0" w:rsidRPr="00471323" w:rsidRDefault="008059D7" w:rsidP="00260880">
      <w:pPr>
        <w:numPr>
          <w:ilvl w:val="0"/>
          <w:numId w:val="32"/>
        </w:numPr>
        <w:rPr>
          <w:rFonts w:eastAsiaTheme="minorEastAsia" w:cs="Arial"/>
        </w:rPr>
      </w:pPr>
      <w:r>
        <w:rPr>
          <w:rFonts w:eastAsiaTheme="minorEastAsia" w:cs="Arial"/>
        </w:rPr>
        <w:t>i</w:t>
      </w:r>
      <w:r w:rsidRPr="00471323">
        <w:rPr>
          <w:rFonts w:eastAsiaTheme="minorEastAsia" w:cs="Arial"/>
        </w:rPr>
        <w:t xml:space="preserve">ndustry </w:t>
      </w:r>
      <w:r w:rsidR="00B776E0" w:rsidRPr="00471323">
        <w:rPr>
          <w:rFonts w:eastAsiaTheme="minorEastAsia" w:cs="Arial"/>
        </w:rPr>
        <w:t>experience or placement in Australia and/or Pacific countries where Australian standards apply.</w:t>
      </w:r>
    </w:p>
    <w:p w14:paraId="7DA9034F" w14:textId="424741B4" w:rsidR="00B776E0" w:rsidRPr="00471323" w:rsidRDefault="00B776E0" w:rsidP="00B776E0">
      <w:pPr>
        <w:rPr>
          <w:rFonts w:eastAsiaTheme="minorEastAsia" w:cs="Arial"/>
        </w:rPr>
      </w:pPr>
      <w:r w:rsidRPr="00471323">
        <w:rPr>
          <w:rFonts w:eastAsiaTheme="minorEastAsia" w:cs="Arial"/>
        </w:rPr>
        <w:t>Senior trainers are in place in all countries except the Solomon Is</w:t>
      </w:r>
      <w:r>
        <w:rPr>
          <w:rFonts w:eastAsiaTheme="minorEastAsia" w:cs="Arial"/>
        </w:rPr>
        <w:t>lands</w:t>
      </w:r>
      <w:r w:rsidRPr="00471323">
        <w:rPr>
          <w:rFonts w:eastAsiaTheme="minorEastAsia" w:cs="Arial"/>
        </w:rPr>
        <w:t>, where the partnership is still in its early stages. Since national trainers have only been employed in the last few months, visiting specialists are only a possible future option.</w:t>
      </w:r>
      <w:r w:rsidR="000B7362">
        <w:rPr>
          <w:rFonts w:eastAsiaTheme="minorEastAsia" w:cs="Arial"/>
        </w:rPr>
        <w:t xml:space="preserve"> </w:t>
      </w:r>
      <w:r w:rsidR="00E4666B" w:rsidRPr="00E4666B">
        <w:rPr>
          <w:rFonts w:cs="Arial"/>
        </w:rPr>
        <w:t xml:space="preserve">The role of a short-term visiting specialist would gradually replace that of a resident expatriate trainer in a planned way as more national trainers become qualified. </w:t>
      </w:r>
      <w:r w:rsidRPr="00471323">
        <w:rPr>
          <w:rFonts w:eastAsiaTheme="minorEastAsia" w:cs="Arial"/>
        </w:rPr>
        <w:t>Opportunities for industry experience have been quite limited and short-term to date.</w:t>
      </w:r>
      <w:r>
        <w:rPr>
          <w:rFonts w:eastAsiaTheme="minorEastAsia" w:cs="Arial"/>
        </w:rPr>
        <w:t xml:space="preserve"> </w:t>
      </w:r>
      <w:r w:rsidRPr="00471323">
        <w:rPr>
          <w:rFonts w:eastAsiaTheme="minorEastAsia" w:cs="Arial"/>
        </w:rPr>
        <w:t xml:space="preserve">There is a risk that the </w:t>
      </w:r>
      <w:r>
        <w:rPr>
          <w:rFonts w:eastAsiaTheme="minorEastAsia" w:cs="Arial"/>
        </w:rPr>
        <w:t xml:space="preserve">quality of training </w:t>
      </w:r>
      <w:r w:rsidR="00C41098">
        <w:rPr>
          <w:rFonts w:eastAsiaTheme="minorEastAsia" w:cs="Arial"/>
        </w:rPr>
        <w:t xml:space="preserve">will </w:t>
      </w:r>
      <w:r>
        <w:rPr>
          <w:rFonts w:eastAsiaTheme="minorEastAsia" w:cs="Arial"/>
        </w:rPr>
        <w:t xml:space="preserve">deteriorate over time as national trainers lose currency in their expertise </w:t>
      </w:r>
      <w:r w:rsidRPr="00471323">
        <w:rPr>
          <w:rFonts w:eastAsiaTheme="minorEastAsia" w:cs="Arial"/>
        </w:rPr>
        <w:t xml:space="preserve">through lack of ongoing support or an over-emphasis on savings. </w:t>
      </w:r>
    </w:p>
    <w:p w14:paraId="57F0E1C3" w14:textId="5A05CDE8" w:rsidR="00B776E0" w:rsidRPr="00471323" w:rsidRDefault="00B776E0" w:rsidP="00B776E0">
      <w:pPr>
        <w:rPr>
          <w:rFonts w:eastAsiaTheme="minorEastAsia" w:cs="Arial"/>
        </w:rPr>
      </w:pPr>
      <w:r w:rsidRPr="00471323">
        <w:rPr>
          <w:rFonts w:eastAsiaTheme="minorEastAsia" w:cs="Arial"/>
        </w:rPr>
        <w:t>There is also a</w:t>
      </w:r>
      <w:r>
        <w:rPr>
          <w:rFonts w:eastAsiaTheme="minorEastAsia" w:cs="Arial"/>
        </w:rPr>
        <w:t>n attrition</w:t>
      </w:r>
      <w:r w:rsidRPr="00471323">
        <w:rPr>
          <w:rFonts w:eastAsiaTheme="minorEastAsia" w:cs="Arial"/>
        </w:rPr>
        <w:t xml:space="preserve"> risk of having to </w:t>
      </w:r>
      <w:r>
        <w:rPr>
          <w:rFonts w:eastAsiaTheme="minorEastAsia" w:cs="Arial"/>
        </w:rPr>
        <w:t xml:space="preserve">replace </w:t>
      </w:r>
      <w:r w:rsidRPr="00471323">
        <w:rPr>
          <w:rFonts w:eastAsiaTheme="minorEastAsia" w:cs="Arial"/>
        </w:rPr>
        <w:t xml:space="preserve">national trainers </w:t>
      </w:r>
      <w:r>
        <w:rPr>
          <w:rFonts w:eastAsiaTheme="minorEastAsia" w:cs="Arial"/>
        </w:rPr>
        <w:t xml:space="preserve">if they </w:t>
      </w:r>
      <w:r w:rsidRPr="00471323">
        <w:rPr>
          <w:rFonts w:eastAsiaTheme="minorEastAsia" w:cs="Arial"/>
        </w:rPr>
        <w:t xml:space="preserve">leave. </w:t>
      </w:r>
      <w:r>
        <w:rPr>
          <w:rFonts w:eastAsiaTheme="minorEastAsia" w:cs="Arial"/>
        </w:rPr>
        <w:t xml:space="preserve">This is critical given the substantial lead time required for upgrading tutors into trainers. </w:t>
      </w:r>
      <w:r w:rsidRPr="00471323">
        <w:rPr>
          <w:rFonts w:eastAsiaTheme="minorEastAsia" w:cs="Arial"/>
        </w:rPr>
        <w:t>Planning is required to ensure that contingencies are in place</w:t>
      </w:r>
      <w:r>
        <w:rPr>
          <w:rFonts w:eastAsiaTheme="minorEastAsia" w:cs="Arial"/>
        </w:rPr>
        <w:t xml:space="preserve">. </w:t>
      </w:r>
      <w:r w:rsidRPr="00471323">
        <w:rPr>
          <w:rFonts w:eastAsiaTheme="minorEastAsia" w:cs="Arial"/>
        </w:rPr>
        <w:t>There are also planning issues associated with the impact on national trainers if courses are rested</w:t>
      </w:r>
      <w:r w:rsidR="003A11D2">
        <w:rPr>
          <w:rFonts w:eastAsiaTheme="minorEastAsia" w:cs="Arial"/>
        </w:rPr>
        <w:t>,</w:t>
      </w:r>
      <w:r>
        <w:rPr>
          <w:rStyle w:val="FootnoteReference"/>
          <w:rFonts w:eastAsiaTheme="minorEastAsia" w:cs="Arial"/>
        </w:rPr>
        <w:footnoteReference w:id="50"/>
      </w:r>
      <w:r w:rsidRPr="00471323">
        <w:rPr>
          <w:rFonts w:eastAsiaTheme="minorEastAsia" w:cs="Arial"/>
        </w:rPr>
        <w:t xml:space="preserve"> and smooth and realistic succession planning for national tutors. </w:t>
      </w:r>
    </w:p>
    <w:p w14:paraId="4F11DD9D" w14:textId="34B0D9B5" w:rsidR="00B776E0" w:rsidRPr="00DC6F73" w:rsidRDefault="00B776E0" w:rsidP="00B776E0">
      <w:pPr>
        <w:rPr>
          <w:rFonts w:cs="Arial"/>
        </w:rPr>
      </w:pPr>
      <w:r w:rsidRPr="00DC6F73">
        <w:rPr>
          <w:rFonts w:cs="Arial"/>
        </w:rPr>
        <w:t xml:space="preserve">While the proportion of national staff in administrative positions appears relatively high </w:t>
      </w:r>
      <w:r>
        <w:rPr>
          <w:rFonts w:cs="Arial"/>
        </w:rPr>
        <w:t>at 60</w:t>
      </w:r>
      <w:r w:rsidR="00954881">
        <w:rPr>
          <w:rFonts w:cs="Arial"/>
        </w:rPr>
        <w:t xml:space="preserve"> per cent</w:t>
      </w:r>
      <w:r w:rsidR="00954881" w:rsidRPr="00DC6F73">
        <w:rPr>
          <w:rFonts w:cs="Arial"/>
        </w:rPr>
        <w:t xml:space="preserve"> </w:t>
      </w:r>
      <w:r>
        <w:rPr>
          <w:rFonts w:cs="Arial"/>
        </w:rPr>
        <w:t xml:space="preserve">(Annex </w:t>
      </w:r>
      <w:r w:rsidR="003A11D2">
        <w:rPr>
          <w:rFonts w:cs="Arial"/>
        </w:rPr>
        <w:t xml:space="preserve">4, </w:t>
      </w:r>
      <w:r>
        <w:rPr>
          <w:rFonts w:cs="Arial"/>
        </w:rPr>
        <w:t>Table 6.4.1)</w:t>
      </w:r>
      <w:r w:rsidRPr="00DC6F73">
        <w:rPr>
          <w:rFonts w:cs="Arial"/>
        </w:rPr>
        <w:t xml:space="preserve">, these are usually in the lower level positions. </w:t>
      </w:r>
      <w:r>
        <w:rPr>
          <w:rFonts w:cs="Arial"/>
        </w:rPr>
        <w:t xml:space="preserve">There is a risk that APTC might be seen to be less concerned about career opportunities for administrative staff than for trainers. This issue was raised in the staff survey </w:t>
      </w:r>
      <w:r w:rsidRPr="00FA0D51">
        <w:rPr>
          <w:rFonts w:cs="Arial"/>
        </w:rPr>
        <w:t xml:space="preserve">(Annex </w:t>
      </w:r>
      <w:r w:rsidR="007B5775">
        <w:rPr>
          <w:rFonts w:cs="Arial"/>
        </w:rPr>
        <w:t xml:space="preserve">5 </w:t>
      </w:r>
      <w:r w:rsidRPr="00FA0D51">
        <w:rPr>
          <w:rFonts w:cs="Arial"/>
        </w:rPr>
        <w:t>– Staff). More emphasis could be placed on the nationalisation</w:t>
      </w:r>
      <w:r w:rsidRPr="00DC6F73">
        <w:rPr>
          <w:rFonts w:cs="Arial"/>
        </w:rPr>
        <w:t xml:space="preserve"> of </w:t>
      </w:r>
      <w:r>
        <w:rPr>
          <w:rFonts w:cs="Arial"/>
        </w:rPr>
        <w:t xml:space="preserve">administrative </w:t>
      </w:r>
      <w:r w:rsidRPr="00DC6F73">
        <w:rPr>
          <w:rFonts w:cs="Arial"/>
        </w:rPr>
        <w:t>staff at the higher levels, particularly those based in Nadi</w:t>
      </w:r>
      <w:r>
        <w:rPr>
          <w:rFonts w:cs="Arial"/>
        </w:rPr>
        <w:t>.</w:t>
      </w:r>
      <w:r w:rsidRPr="00DC6F73">
        <w:rPr>
          <w:rFonts w:cs="Arial"/>
        </w:rPr>
        <w:t xml:space="preserve"> </w:t>
      </w:r>
    </w:p>
    <w:p w14:paraId="7B6FBFD3" w14:textId="5E68C726" w:rsidR="003D355F" w:rsidRPr="00D53710" w:rsidRDefault="00F83312" w:rsidP="002028A6">
      <w:pPr>
        <w:pStyle w:val="Heading2"/>
      </w:pPr>
      <w:bookmarkStart w:id="731" w:name="_Toc274909910"/>
      <w:bookmarkStart w:id="732" w:name="_Toc278447926"/>
      <w:bookmarkStart w:id="733" w:name="_Toc278453399"/>
      <w:bookmarkStart w:id="734" w:name="_Toc274145145"/>
      <w:r>
        <w:t>5.7</w:t>
      </w:r>
      <w:r w:rsidR="00C00EA2" w:rsidRPr="005744AA">
        <w:tab/>
      </w:r>
      <w:r w:rsidR="00B776E0" w:rsidRPr="00D53710">
        <w:t xml:space="preserve">Attracting staff to work in </w:t>
      </w:r>
      <w:r>
        <w:t>less secure countries</w:t>
      </w:r>
      <w:bookmarkEnd w:id="731"/>
      <w:bookmarkEnd w:id="732"/>
      <w:bookmarkEnd w:id="733"/>
      <w:r>
        <w:t xml:space="preserve"> </w:t>
      </w:r>
      <w:bookmarkEnd w:id="734"/>
    </w:p>
    <w:p w14:paraId="091F0228" w14:textId="77777777" w:rsidR="00B776E0" w:rsidRPr="0052555C" w:rsidRDefault="00B776E0" w:rsidP="0052555C">
      <w:pPr>
        <w:rPr>
          <w:rFonts w:cs="Arial"/>
        </w:rPr>
      </w:pPr>
      <w:r>
        <w:rPr>
          <w:rFonts w:cs="Arial"/>
        </w:rPr>
        <w:t xml:space="preserve">APTC staff expressed concerns </w:t>
      </w:r>
      <w:r w:rsidRPr="00952FB4">
        <w:rPr>
          <w:rFonts w:cs="Arial"/>
        </w:rPr>
        <w:t xml:space="preserve">about slow progress in skills development in PNG. This is due in part to security issues, cost and difficulties in recruiting staff. </w:t>
      </w:r>
      <w:r w:rsidR="004571F3">
        <w:rPr>
          <w:rFonts w:cs="Arial"/>
        </w:rPr>
        <w:t>I</w:t>
      </w:r>
      <w:r>
        <w:rPr>
          <w:rFonts w:cs="Arial"/>
        </w:rPr>
        <w:t>n PNG</w:t>
      </w:r>
      <w:r w:rsidR="004571F3">
        <w:rPr>
          <w:rFonts w:cs="Arial"/>
        </w:rPr>
        <w:t>,</w:t>
      </w:r>
      <w:r>
        <w:rPr>
          <w:rFonts w:cs="Arial"/>
        </w:rPr>
        <w:t xml:space="preserve"> security issues </w:t>
      </w:r>
      <w:r w:rsidR="004571F3">
        <w:rPr>
          <w:rFonts w:cs="Arial"/>
        </w:rPr>
        <w:t xml:space="preserve">mean </w:t>
      </w:r>
      <w:r>
        <w:rPr>
          <w:rFonts w:cs="Arial"/>
        </w:rPr>
        <w:t xml:space="preserve">there is little attraction for family members to join staff and this is exacerbated by the high cost of housing and high costs of education of young family members. </w:t>
      </w:r>
      <w:r w:rsidRPr="00952FB4">
        <w:rPr>
          <w:rFonts w:cs="Arial"/>
        </w:rPr>
        <w:t xml:space="preserve">Similar </w:t>
      </w:r>
      <w:r>
        <w:rPr>
          <w:rFonts w:cs="Arial"/>
        </w:rPr>
        <w:t xml:space="preserve">safety </w:t>
      </w:r>
      <w:r w:rsidRPr="00952FB4">
        <w:rPr>
          <w:rFonts w:cs="Arial"/>
        </w:rPr>
        <w:t>issues apply in the Solomon Is</w:t>
      </w:r>
      <w:r>
        <w:rPr>
          <w:rFonts w:cs="Arial"/>
        </w:rPr>
        <w:t xml:space="preserve">lands although not to the same extent. This can have an impact on families. Expatriate staff in PNG advised that they all had families at home and worked on a six weeks on – one week off basis. Problems in PNG associated with changes to terms and conditions for staff at the end of </w:t>
      </w:r>
      <w:r w:rsidR="001F5811">
        <w:rPr>
          <w:rFonts w:cs="Arial"/>
        </w:rPr>
        <w:t>Stage I</w:t>
      </w:r>
      <w:r>
        <w:rPr>
          <w:rFonts w:cs="Arial"/>
        </w:rPr>
        <w:t xml:space="preserve"> appear to have been mainly overcome but require ongoing monitoring. </w:t>
      </w:r>
    </w:p>
    <w:p w14:paraId="05A27FCB" w14:textId="1ACF5CC9" w:rsidR="00B776E0" w:rsidRPr="005744AA" w:rsidRDefault="006C7B47" w:rsidP="002028A6">
      <w:pPr>
        <w:pStyle w:val="Heading1"/>
      </w:pPr>
      <w:bookmarkStart w:id="735" w:name="_Toc278447927"/>
      <w:bookmarkStart w:id="736" w:name="_Toc278453400"/>
      <w:r w:rsidRPr="006360E3">
        <w:t>6</w:t>
      </w:r>
      <w:r w:rsidRPr="006360E3">
        <w:tab/>
      </w:r>
      <w:r w:rsidR="00B776E0" w:rsidRPr="00E75687">
        <w:t xml:space="preserve">What influence has APTC had in building capacity of other </w:t>
      </w:r>
      <w:r w:rsidR="00A77F3D">
        <w:br/>
      </w:r>
      <w:r w:rsidR="00B776E0" w:rsidRPr="00E75687">
        <w:t>Pacific TVET institutions, including direct support, and demonstration effects?</w:t>
      </w:r>
      <w:bookmarkEnd w:id="735"/>
      <w:bookmarkEnd w:id="736"/>
    </w:p>
    <w:p w14:paraId="460D3842" w14:textId="1E670ADC" w:rsidR="00B776E0" w:rsidRDefault="00B776E0" w:rsidP="00B776E0">
      <w:pPr>
        <w:rPr>
          <w:rFonts w:cs="Arial"/>
          <w:bCs/>
        </w:rPr>
      </w:pPr>
      <w:r>
        <w:rPr>
          <w:rFonts w:cs="Arial"/>
          <w:bCs/>
        </w:rPr>
        <w:t xml:space="preserve">APTC has had considerable influence in building the capacity of other Pacific TVET institutions. The Centre for Professional Development is well established, delivering the TAE program and supporting nationalisation. The demonstration effect of APTC on higher quality standards is widely recognised among the stakeholders. APTC’s influence in building the capacity of other Pacific TVET institutions has been extensive with the partner institutions in campus countries that have been in place since </w:t>
      </w:r>
      <w:r w:rsidR="001F5811">
        <w:rPr>
          <w:rFonts w:cs="Arial"/>
          <w:bCs/>
        </w:rPr>
        <w:t>Stage I</w:t>
      </w:r>
      <w:r>
        <w:rPr>
          <w:rFonts w:cs="Arial"/>
          <w:bCs/>
        </w:rPr>
        <w:t xml:space="preserve"> (PNG, Samoa and Vanuatu). There are also signs of its influence in the newer partnerships in campus countries (Fiji</w:t>
      </w:r>
      <w:r w:rsidR="00A77F3D">
        <w:rPr>
          <w:rFonts w:cs="Arial"/>
          <w:bCs/>
        </w:rPr>
        <w:t xml:space="preserve"> and </w:t>
      </w:r>
      <w:r>
        <w:rPr>
          <w:rFonts w:cs="Arial"/>
          <w:bCs/>
        </w:rPr>
        <w:t xml:space="preserve">Solomon Islands) and in the most established partnerships in a non-campus country (Kiribati). </w:t>
      </w:r>
    </w:p>
    <w:p w14:paraId="04340795" w14:textId="63148DE7" w:rsidR="00B776E0" w:rsidRPr="00D0485C" w:rsidRDefault="006C7B47" w:rsidP="002028A6">
      <w:pPr>
        <w:pStyle w:val="Heading2"/>
      </w:pPr>
      <w:bookmarkStart w:id="737" w:name="_Toc274900530"/>
      <w:bookmarkStart w:id="738" w:name="_Toc274909912"/>
      <w:bookmarkStart w:id="739" w:name="_Toc278447928"/>
      <w:bookmarkStart w:id="740" w:name="_Toc278453401"/>
      <w:r>
        <w:t>6.1</w:t>
      </w:r>
      <w:r>
        <w:tab/>
      </w:r>
      <w:r w:rsidR="00B776E0" w:rsidRPr="00D0485C">
        <w:t xml:space="preserve">To what extent and how effectively has APTC’s provided additional </w:t>
      </w:r>
      <w:r w:rsidR="00573229">
        <w:br/>
      </w:r>
      <w:r w:rsidR="00573229">
        <w:tab/>
      </w:r>
      <w:r w:rsidR="00B776E0" w:rsidRPr="00D0485C">
        <w:t>professional development for the education and training sector</w:t>
      </w:r>
      <w:r w:rsidR="00B776E0">
        <w:t>?</w:t>
      </w:r>
      <w:r w:rsidR="00B776E0" w:rsidRPr="00D0485C">
        <w:t xml:space="preserve"> To what </w:t>
      </w:r>
      <w:r w:rsidR="00573229">
        <w:br/>
      </w:r>
      <w:r w:rsidR="00573229">
        <w:tab/>
      </w:r>
      <w:r w:rsidR="00B776E0" w:rsidRPr="00D0485C">
        <w:t xml:space="preserve">extent has the Centre for Professional Development been established </w:t>
      </w:r>
      <w:r w:rsidR="00573229">
        <w:br/>
      </w:r>
      <w:r w:rsidR="00573229">
        <w:tab/>
      </w:r>
      <w:r w:rsidR="00B776E0" w:rsidRPr="00D0485C">
        <w:t>and is effective in delivering services?</w:t>
      </w:r>
      <w:bookmarkEnd w:id="737"/>
      <w:bookmarkEnd w:id="738"/>
      <w:bookmarkEnd w:id="739"/>
      <w:bookmarkEnd w:id="740"/>
    </w:p>
    <w:p w14:paraId="5B139D2B" w14:textId="77777777" w:rsidR="00B776E0" w:rsidRPr="00006F4F" w:rsidRDefault="00B776E0" w:rsidP="00B776E0">
      <w:pPr>
        <w:rPr>
          <w:rFonts w:cs="Arial"/>
        </w:rPr>
      </w:pPr>
      <w:r w:rsidRPr="00006F4F">
        <w:rPr>
          <w:rFonts w:cs="Arial"/>
        </w:rPr>
        <w:t xml:space="preserve">APTC has been successful in </w:t>
      </w:r>
      <w:r>
        <w:rPr>
          <w:rFonts w:cs="Arial"/>
        </w:rPr>
        <w:t xml:space="preserve">upgrading the teaching qualifications of many staff in </w:t>
      </w:r>
      <w:r w:rsidRPr="00006F4F">
        <w:rPr>
          <w:rFonts w:cs="Arial"/>
        </w:rPr>
        <w:t>the education and training sector. Partner institutions commented that they have received and appreciated professional development, particularly but not only the Certificate IV in Training and Assessment.</w:t>
      </w:r>
      <w:r>
        <w:rPr>
          <w:rFonts w:cs="Arial"/>
        </w:rPr>
        <w:t xml:space="preserve"> Skills upgrading in vocational specialisations was also appreciated. Professional development has also been provided beyond the immediate partner institutions. </w:t>
      </w:r>
    </w:p>
    <w:p w14:paraId="1E18BF74" w14:textId="77777777" w:rsidR="00AB7DA3" w:rsidRDefault="00B776E0">
      <w:pPr>
        <w:spacing w:after="0"/>
        <w:rPr>
          <w:rFonts w:cs="Arial"/>
        </w:rPr>
      </w:pPr>
      <w:r>
        <w:rPr>
          <w:rFonts w:cs="Arial"/>
        </w:rPr>
        <w:t xml:space="preserve">The establishment of the Centre for Professional Development (CPD) was recommended by the Mid-Term Review and is therefore a </w:t>
      </w:r>
      <w:r w:rsidR="001F5811">
        <w:rPr>
          <w:rFonts w:cs="Arial"/>
        </w:rPr>
        <w:t>Stage II</w:t>
      </w:r>
      <w:r>
        <w:rPr>
          <w:rFonts w:cs="Arial"/>
        </w:rPr>
        <w:t xml:space="preserve"> initiative. </w:t>
      </w:r>
    </w:p>
    <w:p w14:paraId="34429569" w14:textId="77777777" w:rsidR="00AB7DA3" w:rsidRDefault="00AB7DA3">
      <w:pPr>
        <w:spacing w:after="0"/>
        <w:rPr>
          <w:rFonts w:cs="Arial"/>
        </w:rPr>
      </w:pPr>
      <w:r>
        <w:rPr>
          <w:rFonts w:cs="Arial"/>
        </w:rPr>
        <w:br w:type="page"/>
      </w:r>
    </w:p>
    <w:p w14:paraId="1A8163C0" w14:textId="56A93427" w:rsidR="003D355F" w:rsidRPr="007B2D44" w:rsidRDefault="00A854F9">
      <w:pPr>
        <w:spacing w:after="0"/>
        <w:rPr>
          <w:rFonts w:cs="Arial"/>
        </w:rPr>
      </w:pPr>
      <w:r w:rsidRPr="000859B4">
        <w:rPr>
          <w:rFonts w:cs="Arial"/>
        </w:rPr>
        <w:t xml:space="preserve">The review team noted that the activities of the CPD are consistent with the role identified in the Scope of Services </w:t>
      </w:r>
      <w:r w:rsidRPr="003A3057">
        <w:rPr>
          <w:rFonts w:cs="Arial"/>
        </w:rPr>
        <w:t xml:space="preserve">and </w:t>
      </w:r>
      <w:r w:rsidR="00B776E0" w:rsidRPr="007B2D44">
        <w:rPr>
          <w:rFonts w:cs="Arial"/>
        </w:rPr>
        <w:t>can be broken down as follows:</w:t>
      </w:r>
    </w:p>
    <w:p w14:paraId="52E15D37" w14:textId="44ABFE85" w:rsidR="00B776E0" w:rsidRPr="00526487" w:rsidRDefault="008B71BD" w:rsidP="000668BA">
      <w:pPr>
        <w:pStyle w:val="ListParagraph"/>
        <w:numPr>
          <w:ilvl w:val="0"/>
          <w:numId w:val="80"/>
        </w:numPr>
        <w:rPr>
          <w:rFonts w:cs="Arial"/>
        </w:rPr>
      </w:pPr>
      <w:r w:rsidRPr="007B2D44">
        <w:rPr>
          <w:rFonts w:cs="Arial"/>
        </w:rPr>
        <w:t xml:space="preserve">delivery </w:t>
      </w:r>
      <w:r w:rsidR="00B776E0" w:rsidRPr="007B2D44">
        <w:rPr>
          <w:rFonts w:cs="Arial"/>
        </w:rPr>
        <w:t>of Certificate IV in T</w:t>
      </w:r>
      <w:r w:rsidR="00DD4BBA" w:rsidRPr="007B2D44">
        <w:rPr>
          <w:rFonts w:cs="Arial"/>
        </w:rPr>
        <w:t xml:space="preserve">raining and Assessment (TAE) </w:t>
      </w:r>
    </w:p>
    <w:p w14:paraId="4492CF65" w14:textId="3CE832EF" w:rsidR="00AB7DA3" w:rsidRPr="00006F4F" w:rsidRDefault="00AB7DA3" w:rsidP="00AB7DA3">
      <w:pPr>
        <w:pStyle w:val="ListParagraph"/>
        <w:numPr>
          <w:ilvl w:val="2"/>
          <w:numId w:val="27"/>
        </w:numPr>
        <w:spacing w:after="0"/>
        <w:ind w:left="1418" w:hanging="284"/>
        <w:contextualSpacing w:val="0"/>
        <w:rPr>
          <w:rFonts w:cs="Arial"/>
        </w:rPr>
      </w:pPr>
      <w:r w:rsidRPr="00526487">
        <w:rPr>
          <w:rFonts w:cs="Arial"/>
        </w:rPr>
        <w:t>to partner institutions</w:t>
      </w:r>
    </w:p>
    <w:p w14:paraId="2AC1FB59" w14:textId="77777777" w:rsidR="00B776E0" w:rsidRPr="00006F4F" w:rsidRDefault="00B776E0" w:rsidP="00AB7DA3">
      <w:pPr>
        <w:pStyle w:val="ListParagraph"/>
        <w:numPr>
          <w:ilvl w:val="2"/>
          <w:numId w:val="27"/>
        </w:numPr>
        <w:spacing w:after="0"/>
        <w:ind w:left="1418" w:hanging="284"/>
        <w:contextualSpacing w:val="0"/>
        <w:rPr>
          <w:rFonts w:cs="Arial"/>
        </w:rPr>
      </w:pPr>
      <w:r>
        <w:rPr>
          <w:rFonts w:cs="Arial"/>
        </w:rPr>
        <w:t>t</w:t>
      </w:r>
      <w:r w:rsidRPr="00006F4F">
        <w:rPr>
          <w:rFonts w:cs="Arial"/>
        </w:rPr>
        <w:t>o APTC staff</w:t>
      </w:r>
    </w:p>
    <w:p w14:paraId="6ED43C2D" w14:textId="58FCEB67" w:rsidR="00B776E0" w:rsidRPr="00006F4F" w:rsidRDefault="00B776E0" w:rsidP="00260880">
      <w:pPr>
        <w:pStyle w:val="ListParagraph"/>
        <w:numPr>
          <w:ilvl w:val="2"/>
          <w:numId w:val="27"/>
        </w:numPr>
        <w:ind w:left="1418" w:hanging="284"/>
        <w:contextualSpacing w:val="0"/>
        <w:rPr>
          <w:rFonts w:cs="Arial"/>
        </w:rPr>
      </w:pPr>
      <w:r>
        <w:rPr>
          <w:rFonts w:cs="Arial"/>
        </w:rPr>
        <w:t>o</w:t>
      </w:r>
      <w:r w:rsidRPr="00006F4F">
        <w:rPr>
          <w:rFonts w:cs="Arial"/>
        </w:rPr>
        <w:t>n a fee-for</w:t>
      </w:r>
      <w:r w:rsidR="004E1F42">
        <w:rPr>
          <w:rFonts w:cs="Arial"/>
        </w:rPr>
        <w:t>-</w:t>
      </w:r>
      <w:r w:rsidRPr="00006F4F">
        <w:rPr>
          <w:rFonts w:cs="Arial"/>
        </w:rPr>
        <w:t>service basis</w:t>
      </w:r>
      <w:r w:rsidR="00A854F9" w:rsidRPr="00A854F9">
        <w:rPr>
          <w:rFonts w:cs="Arial"/>
        </w:rPr>
        <w:t xml:space="preserve"> to the wider TVET sector</w:t>
      </w:r>
    </w:p>
    <w:p w14:paraId="5F15890D" w14:textId="77777777" w:rsidR="00B776E0" w:rsidRPr="00006F4F" w:rsidRDefault="008B71BD" w:rsidP="00260880">
      <w:pPr>
        <w:pStyle w:val="ListParagraph"/>
        <w:numPr>
          <w:ilvl w:val="1"/>
          <w:numId w:val="26"/>
        </w:numPr>
        <w:contextualSpacing w:val="0"/>
        <w:rPr>
          <w:rFonts w:cs="Arial"/>
        </w:rPr>
      </w:pPr>
      <w:r>
        <w:rPr>
          <w:rFonts w:cs="Arial"/>
        </w:rPr>
        <w:t>s</w:t>
      </w:r>
      <w:r w:rsidRPr="00006F4F">
        <w:rPr>
          <w:rFonts w:cs="Arial"/>
        </w:rPr>
        <w:t xml:space="preserve">upporting </w:t>
      </w:r>
      <w:r>
        <w:rPr>
          <w:rFonts w:cs="Arial"/>
        </w:rPr>
        <w:t>n</w:t>
      </w:r>
      <w:r w:rsidRPr="00006F4F">
        <w:rPr>
          <w:rFonts w:cs="Arial"/>
        </w:rPr>
        <w:t>ationalisation</w:t>
      </w:r>
    </w:p>
    <w:p w14:paraId="5837978E" w14:textId="77777777" w:rsidR="00B776E0" w:rsidRPr="00006F4F" w:rsidRDefault="008B71BD" w:rsidP="00260880">
      <w:pPr>
        <w:pStyle w:val="ListParagraph"/>
        <w:numPr>
          <w:ilvl w:val="1"/>
          <w:numId w:val="26"/>
        </w:numPr>
        <w:contextualSpacing w:val="0"/>
        <w:rPr>
          <w:rFonts w:cs="Arial"/>
        </w:rPr>
      </w:pPr>
      <w:r>
        <w:rPr>
          <w:rFonts w:cs="Arial"/>
        </w:rPr>
        <w:t>o</w:t>
      </w:r>
      <w:r w:rsidRPr="00006F4F">
        <w:rPr>
          <w:rFonts w:cs="Arial"/>
        </w:rPr>
        <w:t xml:space="preserve">ther </w:t>
      </w:r>
      <w:r>
        <w:rPr>
          <w:rFonts w:cs="Arial"/>
        </w:rPr>
        <w:t>p</w:t>
      </w:r>
      <w:r w:rsidRPr="00006F4F">
        <w:rPr>
          <w:rFonts w:cs="Arial"/>
        </w:rPr>
        <w:t xml:space="preserve">rofessional </w:t>
      </w:r>
      <w:r>
        <w:rPr>
          <w:rFonts w:cs="Arial"/>
        </w:rPr>
        <w:t>d</w:t>
      </w:r>
      <w:r w:rsidRPr="00006F4F">
        <w:rPr>
          <w:rFonts w:cs="Arial"/>
        </w:rPr>
        <w:t>evelopment</w:t>
      </w:r>
      <w:r>
        <w:rPr>
          <w:rFonts w:cs="Arial"/>
        </w:rPr>
        <w:t>.</w:t>
      </w:r>
    </w:p>
    <w:p w14:paraId="67BE08A3" w14:textId="77777777" w:rsidR="00B776E0" w:rsidRPr="009F161A" w:rsidRDefault="00546F37" w:rsidP="00B776E0">
      <w:pPr>
        <w:rPr>
          <w:rFonts w:cs="Arial"/>
        </w:rPr>
      </w:pPr>
      <w:r w:rsidRPr="00546F37">
        <w:rPr>
          <w:rFonts w:cs="Arial"/>
          <w:b/>
          <w:i/>
        </w:rPr>
        <w:t>Delivery of Certificate IV in TAE to partner institutions</w:t>
      </w:r>
      <w:r w:rsidR="00B776E0">
        <w:rPr>
          <w:rFonts w:cs="Arial"/>
          <w:i/>
        </w:rPr>
        <w:t xml:space="preserve">. </w:t>
      </w:r>
      <w:r w:rsidR="00B776E0" w:rsidRPr="009F161A">
        <w:rPr>
          <w:rFonts w:cs="Arial"/>
        </w:rPr>
        <w:t xml:space="preserve">In </w:t>
      </w:r>
      <w:r w:rsidR="001F5811">
        <w:rPr>
          <w:rFonts w:cs="Arial"/>
        </w:rPr>
        <w:t>Stage I</w:t>
      </w:r>
      <w:r w:rsidR="00B776E0" w:rsidRPr="009F161A">
        <w:rPr>
          <w:rFonts w:cs="Arial"/>
        </w:rPr>
        <w:t xml:space="preserve"> TAE was scholarship funded. This is no longer the case. Partnership agreements outline the e</w:t>
      </w:r>
      <w:r w:rsidR="00B776E0">
        <w:rPr>
          <w:rFonts w:cs="Arial"/>
        </w:rPr>
        <w:t>xtent of delivery and this has been adhered to.</w:t>
      </w:r>
    </w:p>
    <w:p w14:paraId="005E3E32" w14:textId="77777777" w:rsidR="00B776E0" w:rsidRPr="009F161A" w:rsidRDefault="00546F37" w:rsidP="00B776E0">
      <w:pPr>
        <w:rPr>
          <w:rFonts w:cs="Arial"/>
        </w:rPr>
      </w:pPr>
      <w:r w:rsidRPr="00546F37">
        <w:rPr>
          <w:rFonts w:cs="Arial"/>
          <w:b/>
          <w:i/>
        </w:rPr>
        <w:t>Delivery of Certificate IV in TAE to APTC staff.</w:t>
      </w:r>
      <w:r w:rsidR="00B776E0">
        <w:rPr>
          <w:rFonts w:cs="Arial"/>
          <w:i/>
        </w:rPr>
        <w:t xml:space="preserve"> </w:t>
      </w:r>
      <w:r w:rsidR="00B776E0" w:rsidRPr="009F161A">
        <w:rPr>
          <w:rFonts w:cs="Arial"/>
        </w:rPr>
        <w:t xml:space="preserve">The quantum of delivery </w:t>
      </w:r>
      <w:r w:rsidR="00B776E0">
        <w:rPr>
          <w:rFonts w:cs="Arial"/>
        </w:rPr>
        <w:t xml:space="preserve">is determined </w:t>
      </w:r>
      <w:r w:rsidR="00B776E0" w:rsidRPr="009F161A">
        <w:rPr>
          <w:rFonts w:cs="Arial"/>
        </w:rPr>
        <w:t xml:space="preserve">by drawing on the approved individual Capability Development Plans completed by tutors and trainers on an annual basis. </w:t>
      </w:r>
    </w:p>
    <w:p w14:paraId="3A84A3A2" w14:textId="19F8860B" w:rsidR="00B776E0" w:rsidRPr="009F161A" w:rsidRDefault="00546F37" w:rsidP="00B776E0">
      <w:pPr>
        <w:rPr>
          <w:rFonts w:cs="Arial"/>
        </w:rPr>
      </w:pPr>
      <w:r w:rsidRPr="00546F37">
        <w:rPr>
          <w:rFonts w:cs="Arial"/>
          <w:b/>
          <w:i/>
        </w:rPr>
        <w:t>Delivery of Certificate IV in TAE on a fee-for-service basis.</w:t>
      </w:r>
      <w:r w:rsidR="00B776E0">
        <w:rPr>
          <w:rFonts w:cs="Arial"/>
          <w:i/>
        </w:rPr>
        <w:t xml:space="preserve"> </w:t>
      </w:r>
      <w:r w:rsidR="00B776E0" w:rsidRPr="009F161A">
        <w:rPr>
          <w:rFonts w:cs="Arial"/>
        </w:rPr>
        <w:t xml:space="preserve">This may be either for individuals wishing to complete the qualification or for an organisation requiring training for a group of employees. </w:t>
      </w:r>
      <w:r w:rsidR="00A854F9">
        <w:rPr>
          <w:rFonts w:cs="Arial"/>
        </w:rPr>
        <w:t xml:space="preserve">One </w:t>
      </w:r>
      <w:r w:rsidR="00B776E0" w:rsidRPr="009F161A">
        <w:rPr>
          <w:rFonts w:cs="Arial"/>
        </w:rPr>
        <w:t xml:space="preserve">example of the latter is training </w:t>
      </w:r>
      <w:r w:rsidR="00B776E0">
        <w:rPr>
          <w:rFonts w:cs="Arial"/>
        </w:rPr>
        <w:t xml:space="preserve">by the CPD </w:t>
      </w:r>
      <w:r w:rsidR="00DD4BBA">
        <w:rPr>
          <w:rFonts w:cs="Arial"/>
        </w:rPr>
        <w:t xml:space="preserve">staff </w:t>
      </w:r>
      <w:r w:rsidR="00B776E0">
        <w:rPr>
          <w:rFonts w:cs="Arial"/>
        </w:rPr>
        <w:t>f</w:t>
      </w:r>
      <w:r w:rsidR="00B776E0" w:rsidRPr="009F161A">
        <w:rPr>
          <w:rFonts w:cs="Arial"/>
        </w:rPr>
        <w:t xml:space="preserve">or the Oceania Olympic Committee paid by the Australian Institute of Sport (through Australian Aid). </w:t>
      </w:r>
      <w:r w:rsidR="00A854F9" w:rsidRPr="000859B4">
        <w:rPr>
          <w:rFonts w:cs="Arial"/>
        </w:rPr>
        <w:t xml:space="preserve">Other examples relate to the wider TVET sector. </w:t>
      </w:r>
      <w:r w:rsidR="00B776E0">
        <w:rPr>
          <w:rFonts w:cs="Arial"/>
        </w:rPr>
        <w:t xml:space="preserve">The </w:t>
      </w:r>
      <w:r w:rsidR="00B776E0" w:rsidRPr="009F161A">
        <w:rPr>
          <w:rFonts w:cs="Arial"/>
        </w:rPr>
        <w:t xml:space="preserve">Certificate IV </w:t>
      </w:r>
      <w:r w:rsidR="009710DD">
        <w:rPr>
          <w:rFonts w:cs="Arial"/>
        </w:rPr>
        <w:t xml:space="preserve">in </w:t>
      </w:r>
      <w:r w:rsidR="00B776E0" w:rsidRPr="009F161A">
        <w:rPr>
          <w:rFonts w:cs="Arial"/>
        </w:rPr>
        <w:t xml:space="preserve">TAE is gaining momentum as a fee-for-service product. However, it is coming under increasing competition </w:t>
      </w:r>
      <w:r w:rsidR="00B776E0">
        <w:rPr>
          <w:rFonts w:cs="Arial"/>
        </w:rPr>
        <w:t xml:space="preserve">from other providers offering similar programs </w:t>
      </w:r>
      <w:r w:rsidR="00B776E0" w:rsidRPr="009F161A">
        <w:rPr>
          <w:rFonts w:cs="Arial"/>
        </w:rPr>
        <w:t>in Fiji</w:t>
      </w:r>
      <w:r w:rsidR="00B776E0">
        <w:rPr>
          <w:rFonts w:cs="Arial"/>
        </w:rPr>
        <w:t>.</w:t>
      </w:r>
    </w:p>
    <w:p w14:paraId="0D8662C9" w14:textId="6C099590" w:rsidR="00B776E0" w:rsidRPr="009F161A" w:rsidRDefault="00B776E0" w:rsidP="00B776E0">
      <w:pPr>
        <w:rPr>
          <w:rFonts w:cs="Arial"/>
        </w:rPr>
      </w:pPr>
      <w:r>
        <w:rPr>
          <w:rFonts w:cs="Arial"/>
        </w:rPr>
        <w:t>Arrangements have been made with a</w:t>
      </w:r>
      <w:r w:rsidRPr="009F161A">
        <w:rPr>
          <w:rFonts w:cs="Arial"/>
        </w:rPr>
        <w:t xml:space="preserve"> qualified resident consultant </w:t>
      </w:r>
      <w:r>
        <w:rPr>
          <w:rFonts w:cs="Arial"/>
        </w:rPr>
        <w:t>to</w:t>
      </w:r>
      <w:r w:rsidRPr="009F161A">
        <w:rPr>
          <w:rFonts w:cs="Arial"/>
        </w:rPr>
        <w:t xml:space="preserve"> deliver</w:t>
      </w:r>
      <w:r>
        <w:rPr>
          <w:rFonts w:cs="Arial"/>
        </w:rPr>
        <w:t xml:space="preserve"> t</w:t>
      </w:r>
      <w:r w:rsidRPr="009F161A">
        <w:rPr>
          <w:rFonts w:cs="Arial"/>
        </w:rPr>
        <w:t>he training</w:t>
      </w:r>
      <w:r>
        <w:rPr>
          <w:rFonts w:cs="Arial"/>
        </w:rPr>
        <w:t xml:space="preserve"> for the Certificate IV in TAE in PNG as a cost-efficiency measure. Apart from this, most of the training occurs in Fiji. During the field visits</w:t>
      </w:r>
      <w:r w:rsidR="009E757C">
        <w:rPr>
          <w:rFonts w:cs="Arial"/>
        </w:rPr>
        <w:t>,</w:t>
      </w:r>
      <w:r>
        <w:rPr>
          <w:rFonts w:cs="Arial"/>
        </w:rPr>
        <w:t xml:space="preserve"> the evaluation team was advised of some tensions associated with these delivery arrangements, with the view taken by some trainers that it was not necessary for all training other than in PNG to be conducted by the</w:t>
      </w:r>
      <w:r w:rsidR="00DD4BBA">
        <w:rPr>
          <w:rFonts w:cs="Arial"/>
        </w:rPr>
        <w:t xml:space="preserve"> CPD</w:t>
      </w:r>
      <w:r>
        <w:rPr>
          <w:rFonts w:cs="Arial"/>
        </w:rPr>
        <w:t xml:space="preserve">. The responsible RTO will not allow the training to be delivered by a national at this stage and this is also likely to cause tension in the future, especially among those national trainers who have completed the higher level qualification – Diploma of VET. </w:t>
      </w:r>
    </w:p>
    <w:p w14:paraId="77886E37" w14:textId="29B3C030" w:rsidR="00B776E0" w:rsidRPr="009F161A" w:rsidRDefault="000A437C" w:rsidP="00B776E0">
      <w:pPr>
        <w:rPr>
          <w:rFonts w:cs="Arial"/>
        </w:rPr>
      </w:pPr>
      <w:r>
        <w:rPr>
          <w:rFonts w:cs="Arial"/>
          <w:b/>
          <w:i/>
        </w:rPr>
        <w:t>Supporting n</w:t>
      </w:r>
      <w:r w:rsidR="00546F37" w:rsidRPr="00546F37">
        <w:rPr>
          <w:rFonts w:cs="Arial"/>
          <w:b/>
          <w:i/>
        </w:rPr>
        <w:t>ationalisation.</w:t>
      </w:r>
      <w:r w:rsidR="00B776E0">
        <w:rPr>
          <w:rFonts w:cs="Arial"/>
          <w:i/>
        </w:rPr>
        <w:t xml:space="preserve"> </w:t>
      </w:r>
      <w:r w:rsidR="00B776E0" w:rsidRPr="009F161A">
        <w:rPr>
          <w:rFonts w:cs="Arial"/>
        </w:rPr>
        <w:t xml:space="preserve">The CPD has a major role in supporting nationalisation and assisting tutors </w:t>
      </w:r>
      <w:r w:rsidR="00762792">
        <w:rPr>
          <w:rFonts w:cs="Arial"/>
        </w:rPr>
        <w:t xml:space="preserve">to </w:t>
      </w:r>
      <w:r w:rsidR="00B776E0" w:rsidRPr="009F161A">
        <w:rPr>
          <w:rFonts w:cs="Arial"/>
        </w:rPr>
        <w:t>meet the qualification requirements to enable them to progress through the four levels and become a trainer.</w:t>
      </w:r>
      <w:r w:rsidR="00B776E0">
        <w:rPr>
          <w:rFonts w:cs="Arial"/>
        </w:rPr>
        <w:t xml:space="preserve"> In the interests of sustainability in the longer term, excluding national trainers from </w:t>
      </w:r>
      <w:r w:rsidR="00DD4BBA">
        <w:rPr>
          <w:rFonts w:cs="Arial"/>
        </w:rPr>
        <w:t xml:space="preserve">delivery </w:t>
      </w:r>
      <w:r w:rsidR="00DD4BBA" w:rsidRPr="00DD4BBA">
        <w:rPr>
          <w:rFonts w:cs="Arial"/>
        </w:rPr>
        <w:t>of the TAE training package</w:t>
      </w:r>
      <w:r w:rsidR="00B776E0">
        <w:rPr>
          <w:rFonts w:cs="Arial"/>
        </w:rPr>
        <w:t xml:space="preserve"> by national trainers could not be justified.</w:t>
      </w:r>
    </w:p>
    <w:p w14:paraId="47F932D5" w14:textId="6511DBF6" w:rsidR="00B776E0" w:rsidRPr="00450DC0" w:rsidRDefault="00546F37" w:rsidP="00B776E0">
      <w:pPr>
        <w:rPr>
          <w:rFonts w:cs="Arial"/>
        </w:rPr>
      </w:pPr>
      <w:r w:rsidRPr="00546F37">
        <w:rPr>
          <w:rFonts w:cs="Arial"/>
          <w:b/>
          <w:i/>
        </w:rPr>
        <w:t>Other professional development.</w:t>
      </w:r>
      <w:r w:rsidR="00B776E0">
        <w:rPr>
          <w:rFonts w:cs="Arial"/>
          <w:i/>
        </w:rPr>
        <w:t xml:space="preserve"> </w:t>
      </w:r>
      <w:r w:rsidR="00B776E0" w:rsidRPr="00450DC0">
        <w:rPr>
          <w:rFonts w:cs="Arial"/>
        </w:rPr>
        <w:t xml:space="preserve">The CPD offers units from the Diploma of VET, which all </w:t>
      </w:r>
      <w:r w:rsidR="00B776E0">
        <w:rPr>
          <w:rFonts w:cs="Arial"/>
        </w:rPr>
        <w:t xml:space="preserve">APTC </w:t>
      </w:r>
      <w:r w:rsidR="00B776E0" w:rsidRPr="00450DC0">
        <w:rPr>
          <w:rFonts w:cs="Arial"/>
        </w:rPr>
        <w:t>trainers are encouraged to undertake: Facilitation and Professional Development.</w:t>
      </w:r>
      <w:r w:rsidR="00B776E0">
        <w:rPr>
          <w:rFonts w:cs="Arial"/>
        </w:rPr>
        <w:t xml:space="preserve"> </w:t>
      </w:r>
      <w:r w:rsidR="00B776E0" w:rsidRPr="00450DC0">
        <w:rPr>
          <w:rFonts w:cs="Arial"/>
        </w:rPr>
        <w:t>Following a training needs analysis undertaken for administrative staff, a skill set from the Certificate IV in Business was identified</w:t>
      </w:r>
      <w:r w:rsidR="008736CE">
        <w:rPr>
          <w:rFonts w:cs="Arial"/>
        </w:rPr>
        <w:t>,</w:t>
      </w:r>
      <w:r w:rsidR="00B776E0" w:rsidRPr="00450DC0">
        <w:rPr>
          <w:rFonts w:cs="Arial"/>
        </w:rPr>
        <w:t xml:space="preserve"> consisting of four units of competency. These units are offered to all administrative staff. Completion of the qualification can occur through online training and/or RPL. </w:t>
      </w:r>
      <w:r w:rsidR="00B776E0">
        <w:rPr>
          <w:rFonts w:cs="Arial"/>
        </w:rPr>
        <w:t xml:space="preserve">Almost half </w:t>
      </w:r>
      <w:r w:rsidR="000B076F">
        <w:rPr>
          <w:rFonts w:cs="Arial"/>
        </w:rPr>
        <w:t>–</w:t>
      </w:r>
      <w:r w:rsidR="00B776E0">
        <w:rPr>
          <w:rFonts w:cs="Arial"/>
        </w:rPr>
        <w:t xml:space="preserve"> 21 (48</w:t>
      </w:r>
      <w:r w:rsidR="000B076F">
        <w:rPr>
          <w:rFonts w:cs="Arial"/>
        </w:rPr>
        <w:t xml:space="preserve"> per cent) </w:t>
      </w:r>
      <w:r w:rsidR="00B776E0">
        <w:rPr>
          <w:rFonts w:cs="Arial"/>
        </w:rPr>
        <w:t xml:space="preserve">of the 44 administrative staff survey respondents </w:t>
      </w:r>
      <w:r w:rsidR="000B076F">
        <w:rPr>
          <w:rFonts w:cs="Arial"/>
        </w:rPr>
        <w:t>–</w:t>
      </w:r>
      <w:r w:rsidR="00B776E0">
        <w:rPr>
          <w:rFonts w:cs="Arial"/>
        </w:rPr>
        <w:t xml:space="preserve"> were undertaking or had completed the Certificate IV in Business (Annex </w:t>
      </w:r>
      <w:r w:rsidR="003D53FB">
        <w:rPr>
          <w:rFonts w:cs="Arial"/>
        </w:rPr>
        <w:t xml:space="preserve">5 </w:t>
      </w:r>
      <w:r w:rsidR="00B776E0">
        <w:rPr>
          <w:rFonts w:cs="Arial"/>
        </w:rPr>
        <w:t xml:space="preserve">– Staff). </w:t>
      </w:r>
    </w:p>
    <w:p w14:paraId="3E200326" w14:textId="68F3F3DF" w:rsidR="00B776E0" w:rsidRDefault="00B776E0" w:rsidP="00B776E0">
      <w:pPr>
        <w:rPr>
          <w:rFonts w:cs="Arial"/>
        </w:rPr>
      </w:pPr>
      <w:r w:rsidRPr="009F161A">
        <w:rPr>
          <w:rFonts w:cs="Arial"/>
          <w:i/>
        </w:rPr>
        <w:t>My Village</w:t>
      </w:r>
      <w:r w:rsidRPr="009F161A">
        <w:rPr>
          <w:rFonts w:cs="Arial"/>
        </w:rPr>
        <w:t xml:space="preserve"> is </w:t>
      </w:r>
      <w:r w:rsidR="00DD4BBA">
        <w:rPr>
          <w:rFonts w:cs="Arial"/>
        </w:rPr>
        <w:t xml:space="preserve">a </w:t>
      </w:r>
      <w:r>
        <w:rPr>
          <w:rFonts w:cs="Arial"/>
        </w:rPr>
        <w:t xml:space="preserve">learning management system with </w:t>
      </w:r>
      <w:r w:rsidRPr="009F161A">
        <w:rPr>
          <w:rFonts w:cs="Arial"/>
        </w:rPr>
        <w:t xml:space="preserve">a Moodle-based online learning platform for the Certificate IV in Business and the Diploma of VET which staff </w:t>
      </w:r>
      <w:r w:rsidR="003D53FB">
        <w:rPr>
          <w:rFonts w:cs="Arial"/>
        </w:rPr>
        <w:t>can</w:t>
      </w:r>
      <w:r w:rsidRPr="009F161A">
        <w:rPr>
          <w:rFonts w:cs="Arial"/>
        </w:rPr>
        <w:t xml:space="preserve"> access. IPads are also used. It has taken some time for national staff to be ready for online learning but this is now occurring</w:t>
      </w:r>
      <w:r>
        <w:rPr>
          <w:rFonts w:cs="Arial"/>
        </w:rPr>
        <w:t xml:space="preserve"> and e-learning is expected to grow in future.</w:t>
      </w:r>
    </w:p>
    <w:p w14:paraId="13435E3D" w14:textId="77777777" w:rsidR="00A854F9" w:rsidRPr="00FC5D67" w:rsidRDefault="00B776E0" w:rsidP="00B776E0">
      <w:pPr>
        <w:rPr>
          <w:rFonts w:cs="Arial"/>
        </w:rPr>
      </w:pPr>
      <w:r>
        <w:rPr>
          <w:rFonts w:cs="Arial"/>
        </w:rPr>
        <w:t xml:space="preserve">The need for the services of the CPD is likely to grow. Firstly, it will need to meet APTC’s internal needs as more national staff are employed. As highlighted above, this means the provision of ongoing professional development and the organisation of placements to support industry currency and capability development, either in Australia or in appropriate locations in the Pacific. The training needs of administrative staff are also a consideration, especially if nationalisation is to occur more systematically for that group. Secondly, the CPD has an ongoing role with partner institutions, three of which are still relatively new. Finally, the CPD should further capitalise on external opportunities for fee-for-service activity, from the point of view of both income </w:t>
      </w:r>
      <w:r w:rsidRPr="003A3057">
        <w:rPr>
          <w:rFonts w:cs="Arial"/>
        </w:rPr>
        <w:t xml:space="preserve">generation and building APTC’s profile and reputation. </w:t>
      </w:r>
    </w:p>
    <w:p w14:paraId="6D25A69D" w14:textId="3E2B8CCD" w:rsidR="00B776E0" w:rsidRPr="0052555C" w:rsidRDefault="00A854F9" w:rsidP="00B776E0">
      <w:pPr>
        <w:rPr>
          <w:rFonts w:cs="Arial"/>
        </w:rPr>
      </w:pPr>
      <w:r w:rsidRPr="000859B4">
        <w:t>Any assessment of the CPD needs to take into account the resources allocated to its operations. There is only one continuing staff member with Box Hill Institute and Queensland TAFE sourcing staff on a short</w:t>
      </w:r>
      <w:r w:rsidR="00891AB3">
        <w:t>-</w:t>
      </w:r>
      <w:r w:rsidRPr="000859B4">
        <w:t xml:space="preserve">term basis to deliver the TAE training </w:t>
      </w:r>
      <w:r w:rsidR="00EE1356" w:rsidRPr="000859B4">
        <w:t xml:space="preserve">as required </w:t>
      </w:r>
      <w:r w:rsidRPr="000859B4">
        <w:t>in accordance with demand. This ensures flexibility of staffing in response to demand. The CPD delivers to partner institutions in accordance with the partnership agreements. The income from fee-for-service delivery contributes to the overall fee-for</w:t>
      </w:r>
      <w:r w:rsidR="00EE7D2D">
        <w:t>-</w:t>
      </w:r>
      <w:r w:rsidRPr="000859B4">
        <w:t>service income target for APTC. Table 6.8 shows key data for the CPD to date. Bearing in mind the limited resources available, 225 fee-for-service enrolments (representing over 60</w:t>
      </w:r>
      <w:r w:rsidR="00891AB3">
        <w:t xml:space="preserve"> per cent</w:t>
      </w:r>
      <w:r w:rsidRPr="000859B4">
        <w:t xml:space="preserve"> of total enrolments) and associated income of $731,802 can be regarded as a solid performance. </w:t>
      </w:r>
    </w:p>
    <w:p w14:paraId="5875BEC2" w14:textId="3056D51A" w:rsidR="00B776E0" w:rsidRPr="00DD2B16" w:rsidRDefault="00B776E0" w:rsidP="005E6A0B">
      <w:pPr>
        <w:pStyle w:val="Tableheading"/>
      </w:pPr>
      <w:bookmarkStart w:id="741" w:name="_Toc274146485"/>
      <w:bookmarkStart w:id="742" w:name="_Toc274915944"/>
      <w:bookmarkStart w:id="743" w:name="_Toc278446923"/>
      <w:r w:rsidRPr="00DD2B16">
        <w:t xml:space="preserve">Table </w:t>
      </w:r>
      <w:r w:rsidR="00C94FC3">
        <w:t>6.</w:t>
      </w:r>
      <w:r w:rsidRPr="00DD2B16">
        <w:t xml:space="preserve">8: Key </w:t>
      </w:r>
      <w:r w:rsidR="005E6A0B">
        <w:t>d</w:t>
      </w:r>
      <w:r w:rsidRPr="00DD2B16">
        <w:t>ata for the Centre for Professional Development</w:t>
      </w:r>
      <w:bookmarkEnd w:id="741"/>
      <w:bookmarkEnd w:id="742"/>
      <w:bookmarkEnd w:id="743"/>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6186"/>
        <w:gridCol w:w="828"/>
        <w:gridCol w:w="841"/>
      </w:tblGrid>
      <w:tr w:rsidR="00B776E0" w:rsidRPr="0060654C" w14:paraId="7E42DE00" w14:textId="77777777" w:rsidTr="00C75BB9">
        <w:tc>
          <w:tcPr>
            <w:tcW w:w="313" w:type="dxa"/>
            <w:shd w:val="clear" w:color="auto" w:fill="C5E0B3" w:themeFill="accent6" w:themeFillTint="66"/>
          </w:tcPr>
          <w:p w14:paraId="3823FDB5" w14:textId="77777777" w:rsidR="00B776E0" w:rsidRPr="0060654C" w:rsidRDefault="00546F37" w:rsidP="005E6A0B">
            <w:pPr>
              <w:spacing w:before="40" w:after="40"/>
              <w:rPr>
                <w:rFonts w:cs="Arial"/>
                <w:b/>
                <w:sz w:val="18"/>
              </w:rPr>
            </w:pPr>
            <w:r w:rsidRPr="00546F37">
              <w:rPr>
                <w:rFonts w:cs="Arial"/>
                <w:b/>
                <w:sz w:val="18"/>
              </w:rPr>
              <w:t>1.</w:t>
            </w:r>
          </w:p>
        </w:tc>
        <w:tc>
          <w:tcPr>
            <w:tcW w:w="6520" w:type="dxa"/>
            <w:shd w:val="clear" w:color="auto" w:fill="C5E0B3" w:themeFill="accent6" w:themeFillTint="66"/>
          </w:tcPr>
          <w:p w14:paraId="57C8CB70" w14:textId="57012562" w:rsidR="00B776E0" w:rsidRPr="0060654C" w:rsidRDefault="00546F37" w:rsidP="006360E3">
            <w:pPr>
              <w:spacing w:before="40" w:after="40"/>
              <w:rPr>
                <w:rFonts w:cs="Arial"/>
                <w:b/>
                <w:sz w:val="18"/>
              </w:rPr>
            </w:pPr>
            <w:r w:rsidRPr="00546F37">
              <w:rPr>
                <w:rFonts w:cs="Arial"/>
                <w:b/>
                <w:sz w:val="18"/>
              </w:rPr>
              <w:t xml:space="preserve">Enrolments in Certificate IV </w:t>
            </w:r>
            <w:r w:rsidR="006E4EE1" w:rsidRPr="006E4EE1">
              <w:rPr>
                <w:rFonts w:cs="Arial"/>
                <w:b/>
                <w:sz w:val="18"/>
              </w:rPr>
              <w:t xml:space="preserve">in Training and Assessment </w:t>
            </w:r>
            <w:r w:rsidRPr="00546F37">
              <w:rPr>
                <w:rFonts w:cs="Arial"/>
                <w:b/>
                <w:sz w:val="18"/>
              </w:rPr>
              <w:t xml:space="preserve">– </w:t>
            </w:r>
            <w:r w:rsidR="001F5811">
              <w:rPr>
                <w:rFonts w:cs="Arial"/>
                <w:b/>
                <w:sz w:val="18"/>
              </w:rPr>
              <w:t>Stage II</w:t>
            </w:r>
          </w:p>
        </w:tc>
        <w:tc>
          <w:tcPr>
            <w:tcW w:w="1701" w:type="dxa"/>
            <w:gridSpan w:val="2"/>
            <w:shd w:val="clear" w:color="auto" w:fill="C5E0B3" w:themeFill="accent6" w:themeFillTint="66"/>
          </w:tcPr>
          <w:p w14:paraId="4D317ADA" w14:textId="77777777" w:rsidR="00B776E0" w:rsidRPr="0060654C" w:rsidRDefault="00B776E0" w:rsidP="005E6A0B">
            <w:pPr>
              <w:spacing w:before="40" w:after="40"/>
              <w:jc w:val="center"/>
              <w:rPr>
                <w:rFonts w:cs="Arial"/>
                <w:b/>
                <w:sz w:val="18"/>
              </w:rPr>
            </w:pPr>
          </w:p>
        </w:tc>
      </w:tr>
      <w:tr w:rsidR="00B776E0" w:rsidRPr="0060654C" w14:paraId="2DBF2367" w14:textId="77777777" w:rsidTr="00C75BB9">
        <w:tc>
          <w:tcPr>
            <w:tcW w:w="313" w:type="dxa"/>
          </w:tcPr>
          <w:p w14:paraId="664B99E9" w14:textId="77777777" w:rsidR="00B776E0" w:rsidRPr="0060654C" w:rsidRDefault="00B776E0" w:rsidP="005E6A0B">
            <w:pPr>
              <w:spacing w:before="40" w:after="40"/>
              <w:rPr>
                <w:rFonts w:cs="Arial"/>
                <w:sz w:val="18"/>
              </w:rPr>
            </w:pPr>
          </w:p>
        </w:tc>
        <w:tc>
          <w:tcPr>
            <w:tcW w:w="6520" w:type="dxa"/>
          </w:tcPr>
          <w:p w14:paraId="7D5C7FD8" w14:textId="77777777" w:rsidR="00B776E0" w:rsidRPr="0060654C" w:rsidRDefault="00546F37" w:rsidP="00260880">
            <w:pPr>
              <w:numPr>
                <w:ilvl w:val="0"/>
                <w:numId w:val="28"/>
              </w:numPr>
              <w:spacing w:before="40" w:after="40"/>
              <w:rPr>
                <w:rFonts w:cs="Arial"/>
                <w:sz w:val="18"/>
              </w:rPr>
            </w:pPr>
            <w:r w:rsidRPr="00546F37">
              <w:rPr>
                <w:rFonts w:cs="Arial"/>
                <w:sz w:val="18"/>
              </w:rPr>
              <w:t>Partner institutes</w:t>
            </w:r>
          </w:p>
        </w:tc>
        <w:tc>
          <w:tcPr>
            <w:tcW w:w="1701" w:type="dxa"/>
            <w:gridSpan w:val="2"/>
          </w:tcPr>
          <w:p w14:paraId="60A17981" w14:textId="77777777" w:rsidR="00B776E0" w:rsidRPr="0060654C" w:rsidRDefault="00546F37" w:rsidP="005E6A0B">
            <w:pPr>
              <w:spacing w:before="40" w:after="40"/>
              <w:jc w:val="center"/>
              <w:rPr>
                <w:rFonts w:cs="Arial"/>
                <w:sz w:val="18"/>
              </w:rPr>
            </w:pPr>
            <w:r w:rsidRPr="00546F37">
              <w:rPr>
                <w:rFonts w:cs="Arial"/>
                <w:sz w:val="18"/>
              </w:rPr>
              <w:t>106</w:t>
            </w:r>
          </w:p>
        </w:tc>
      </w:tr>
      <w:tr w:rsidR="00B776E0" w:rsidRPr="0060654C" w14:paraId="76BA832C" w14:textId="77777777" w:rsidTr="00C75BB9">
        <w:tc>
          <w:tcPr>
            <w:tcW w:w="313" w:type="dxa"/>
          </w:tcPr>
          <w:p w14:paraId="18BE0295" w14:textId="77777777" w:rsidR="00B776E0" w:rsidRPr="0060654C" w:rsidRDefault="00B776E0" w:rsidP="005E6A0B">
            <w:pPr>
              <w:spacing w:before="40" w:after="40"/>
              <w:rPr>
                <w:rFonts w:cs="Arial"/>
                <w:sz w:val="18"/>
              </w:rPr>
            </w:pPr>
          </w:p>
        </w:tc>
        <w:tc>
          <w:tcPr>
            <w:tcW w:w="6520" w:type="dxa"/>
          </w:tcPr>
          <w:p w14:paraId="4C75D1A4" w14:textId="77777777" w:rsidR="00B776E0" w:rsidRPr="0060654C" w:rsidRDefault="00546F37" w:rsidP="00260880">
            <w:pPr>
              <w:numPr>
                <w:ilvl w:val="0"/>
                <w:numId w:val="28"/>
              </w:numPr>
              <w:spacing w:before="40" w:after="40"/>
              <w:rPr>
                <w:rFonts w:cs="Arial"/>
                <w:sz w:val="18"/>
              </w:rPr>
            </w:pPr>
            <w:r w:rsidRPr="00546F37">
              <w:rPr>
                <w:rFonts w:cs="Arial"/>
                <w:sz w:val="18"/>
              </w:rPr>
              <w:t xml:space="preserve">APTC staff </w:t>
            </w:r>
          </w:p>
        </w:tc>
        <w:tc>
          <w:tcPr>
            <w:tcW w:w="1701" w:type="dxa"/>
            <w:gridSpan w:val="2"/>
          </w:tcPr>
          <w:p w14:paraId="5EF84D4E" w14:textId="77777777" w:rsidR="00B776E0" w:rsidRPr="0060654C" w:rsidRDefault="00546F37" w:rsidP="005E6A0B">
            <w:pPr>
              <w:spacing w:before="40" w:after="40"/>
              <w:jc w:val="center"/>
              <w:rPr>
                <w:rFonts w:cs="Arial"/>
                <w:sz w:val="18"/>
              </w:rPr>
            </w:pPr>
            <w:r w:rsidRPr="00546F37">
              <w:rPr>
                <w:rFonts w:cs="Arial"/>
                <w:sz w:val="18"/>
              </w:rPr>
              <w:t>37</w:t>
            </w:r>
          </w:p>
        </w:tc>
      </w:tr>
      <w:tr w:rsidR="00B776E0" w:rsidRPr="0060654C" w14:paraId="2A103517" w14:textId="77777777" w:rsidTr="00C75BB9">
        <w:tc>
          <w:tcPr>
            <w:tcW w:w="313" w:type="dxa"/>
          </w:tcPr>
          <w:p w14:paraId="6C472704" w14:textId="77777777" w:rsidR="00B776E0" w:rsidRPr="0060654C" w:rsidRDefault="00B776E0" w:rsidP="005E6A0B">
            <w:pPr>
              <w:spacing w:before="40" w:after="40"/>
              <w:rPr>
                <w:rFonts w:cs="Arial"/>
                <w:sz w:val="18"/>
              </w:rPr>
            </w:pPr>
          </w:p>
        </w:tc>
        <w:tc>
          <w:tcPr>
            <w:tcW w:w="6520" w:type="dxa"/>
          </w:tcPr>
          <w:p w14:paraId="00B0C45C" w14:textId="77777777" w:rsidR="00B776E0" w:rsidRPr="0060654C" w:rsidRDefault="00546F37" w:rsidP="00260880">
            <w:pPr>
              <w:numPr>
                <w:ilvl w:val="0"/>
                <w:numId w:val="28"/>
              </w:numPr>
              <w:spacing w:before="40" w:after="40"/>
              <w:rPr>
                <w:rFonts w:cs="Arial"/>
                <w:sz w:val="18"/>
              </w:rPr>
            </w:pPr>
            <w:r w:rsidRPr="00546F37">
              <w:rPr>
                <w:rFonts w:cs="Arial"/>
                <w:sz w:val="18"/>
              </w:rPr>
              <w:t>Fee-for-service</w:t>
            </w:r>
          </w:p>
        </w:tc>
        <w:tc>
          <w:tcPr>
            <w:tcW w:w="1701" w:type="dxa"/>
            <w:gridSpan w:val="2"/>
          </w:tcPr>
          <w:p w14:paraId="1869B34C" w14:textId="77777777" w:rsidR="00B776E0" w:rsidRPr="0060654C" w:rsidRDefault="00546F37" w:rsidP="005E6A0B">
            <w:pPr>
              <w:spacing w:before="40" w:after="40"/>
              <w:jc w:val="center"/>
              <w:rPr>
                <w:rFonts w:cs="Arial"/>
                <w:sz w:val="18"/>
              </w:rPr>
            </w:pPr>
            <w:r w:rsidRPr="00546F37">
              <w:rPr>
                <w:rFonts w:cs="Arial"/>
                <w:sz w:val="18"/>
              </w:rPr>
              <w:t>225</w:t>
            </w:r>
          </w:p>
        </w:tc>
      </w:tr>
      <w:tr w:rsidR="00B776E0" w:rsidRPr="0060654C" w14:paraId="7E7AA620" w14:textId="77777777" w:rsidTr="00C75BB9">
        <w:tc>
          <w:tcPr>
            <w:tcW w:w="313" w:type="dxa"/>
            <w:shd w:val="clear" w:color="auto" w:fill="C5E0B3" w:themeFill="accent6" w:themeFillTint="66"/>
          </w:tcPr>
          <w:p w14:paraId="4AD18776" w14:textId="77777777" w:rsidR="00B776E0" w:rsidRPr="0060654C" w:rsidRDefault="00546F37" w:rsidP="005E6A0B">
            <w:pPr>
              <w:spacing w:before="40" w:after="40"/>
              <w:rPr>
                <w:rFonts w:cs="Arial"/>
                <w:b/>
                <w:sz w:val="18"/>
              </w:rPr>
            </w:pPr>
            <w:r w:rsidRPr="00546F37">
              <w:rPr>
                <w:rFonts w:cs="Arial"/>
                <w:b/>
                <w:sz w:val="18"/>
              </w:rPr>
              <w:t>2.</w:t>
            </w:r>
          </w:p>
        </w:tc>
        <w:tc>
          <w:tcPr>
            <w:tcW w:w="6520" w:type="dxa"/>
            <w:shd w:val="clear" w:color="auto" w:fill="C5E0B3" w:themeFill="accent6" w:themeFillTint="66"/>
          </w:tcPr>
          <w:p w14:paraId="6346A2BA" w14:textId="620411D1" w:rsidR="00B776E0" w:rsidRPr="0060654C" w:rsidRDefault="00546F37" w:rsidP="006360E3">
            <w:pPr>
              <w:spacing w:before="40" w:after="40"/>
              <w:rPr>
                <w:rFonts w:cs="Arial"/>
                <w:b/>
                <w:sz w:val="18"/>
              </w:rPr>
            </w:pPr>
            <w:r w:rsidRPr="00546F37">
              <w:rPr>
                <w:rFonts w:cs="Arial"/>
                <w:b/>
                <w:sz w:val="18"/>
              </w:rPr>
              <w:t>Fee-for-service Certificate IV</w:t>
            </w:r>
            <w:r w:rsidR="006E4EE1" w:rsidRPr="006E4EE1">
              <w:rPr>
                <w:rFonts w:cs="Arial"/>
                <w:b/>
                <w:sz w:val="18"/>
              </w:rPr>
              <w:t xml:space="preserve"> in Training and Assessment</w:t>
            </w:r>
            <w:r w:rsidRPr="00546F37">
              <w:rPr>
                <w:rFonts w:cs="Arial"/>
                <w:b/>
                <w:sz w:val="18"/>
              </w:rPr>
              <w:t xml:space="preserve"> </w:t>
            </w:r>
          </w:p>
        </w:tc>
        <w:tc>
          <w:tcPr>
            <w:tcW w:w="1701" w:type="dxa"/>
            <w:gridSpan w:val="2"/>
            <w:shd w:val="clear" w:color="auto" w:fill="C5E0B3" w:themeFill="accent6" w:themeFillTint="66"/>
          </w:tcPr>
          <w:p w14:paraId="27DDAE76" w14:textId="77777777" w:rsidR="00B776E0" w:rsidRPr="0060654C" w:rsidRDefault="00B776E0" w:rsidP="005E6A0B">
            <w:pPr>
              <w:spacing w:before="40" w:after="40"/>
              <w:jc w:val="center"/>
              <w:rPr>
                <w:rFonts w:cs="Arial"/>
                <w:b/>
                <w:sz w:val="18"/>
              </w:rPr>
            </w:pPr>
          </w:p>
        </w:tc>
      </w:tr>
      <w:tr w:rsidR="00B776E0" w:rsidRPr="0060654C" w14:paraId="4CDDB638" w14:textId="77777777" w:rsidTr="00C75BB9">
        <w:tc>
          <w:tcPr>
            <w:tcW w:w="313" w:type="dxa"/>
          </w:tcPr>
          <w:p w14:paraId="424421D8" w14:textId="77777777" w:rsidR="00B776E0" w:rsidRPr="0060654C" w:rsidRDefault="00B776E0" w:rsidP="005E6A0B">
            <w:pPr>
              <w:spacing w:before="40" w:after="40"/>
              <w:rPr>
                <w:rFonts w:cs="Arial"/>
                <w:sz w:val="18"/>
              </w:rPr>
            </w:pPr>
          </w:p>
        </w:tc>
        <w:tc>
          <w:tcPr>
            <w:tcW w:w="6520" w:type="dxa"/>
          </w:tcPr>
          <w:p w14:paraId="4AD33E00" w14:textId="34E5ABB7" w:rsidR="00B776E0" w:rsidRPr="0060654C" w:rsidRDefault="00546F37" w:rsidP="00281643">
            <w:pPr>
              <w:spacing w:before="40" w:after="40"/>
              <w:rPr>
                <w:rFonts w:cs="Arial"/>
                <w:sz w:val="18"/>
              </w:rPr>
            </w:pPr>
            <w:r w:rsidRPr="00546F37">
              <w:rPr>
                <w:rFonts w:cs="Arial"/>
                <w:sz w:val="18"/>
              </w:rPr>
              <w:t xml:space="preserve">Income received/pending as </w:t>
            </w:r>
            <w:r w:rsidR="00281643">
              <w:rPr>
                <w:rFonts w:cs="Arial"/>
                <w:sz w:val="18"/>
              </w:rPr>
              <w:t>of 30 August 2014</w:t>
            </w:r>
            <w:r w:rsidRPr="00546F37">
              <w:rPr>
                <w:rFonts w:cs="Arial"/>
                <w:sz w:val="18"/>
              </w:rPr>
              <w:t xml:space="preserve"> </w:t>
            </w:r>
          </w:p>
        </w:tc>
        <w:tc>
          <w:tcPr>
            <w:tcW w:w="1701" w:type="dxa"/>
            <w:gridSpan w:val="2"/>
            <w:shd w:val="clear" w:color="auto" w:fill="auto"/>
          </w:tcPr>
          <w:p w14:paraId="24FE5A5F" w14:textId="77777777" w:rsidR="00B776E0" w:rsidRPr="0060654C" w:rsidRDefault="00546F37" w:rsidP="005E6A0B">
            <w:pPr>
              <w:spacing w:before="40" w:after="40"/>
              <w:jc w:val="center"/>
              <w:rPr>
                <w:rFonts w:cs="Arial"/>
                <w:sz w:val="18"/>
              </w:rPr>
            </w:pPr>
            <w:r w:rsidRPr="00546F37">
              <w:rPr>
                <w:rFonts w:cs="Arial"/>
                <w:sz w:val="18"/>
              </w:rPr>
              <w:t>$731,802</w:t>
            </w:r>
          </w:p>
        </w:tc>
      </w:tr>
      <w:tr w:rsidR="00B776E0" w:rsidRPr="0060654C" w14:paraId="01385ED4" w14:textId="77777777" w:rsidTr="00C75BB9">
        <w:tc>
          <w:tcPr>
            <w:tcW w:w="313" w:type="dxa"/>
            <w:shd w:val="clear" w:color="auto" w:fill="C5E0B3" w:themeFill="accent6" w:themeFillTint="66"/>
          </w:tcPr>
          <w:p w14:paraId="70A455A9" w14:textId="77777777" w:rsidR="00B776E0" w:rsidRPr="0060654C" w:rsidRDefault="00546F37" w:rsidP="005E6A0B">
            <w:pPr>
              <w:spacing w:before="40" w:after="40"/>
              <w:rPr>
                <w:rFonts w:cs="Arial"/>
                <w:b/>
                <w:sz w:val="18"/>
              </w:rPr>
            </w:pPr>
            <w:r w:rsidRPr="00546F37">
              <w:rPr>
                <w:rFonts w:cs="Arial"/>
                <w:b/>
                <w:sz w:val="18"/>
              </w:rPr>
              <w:t>3.</w:t>
            </w:r>
          </w:p>
        </w:tc>
        <w:tc>
          <w:tcPr>
            <w:tcW w:w="6520" w:type="dxa"/>
            <w:shd w:val="clear" w:color="auto" w:fill="C5E0B3" w:themeFill="accent6" w:themeFillTint="66"/>
          </w:tcPr>
          <w:p w14:paraId="6B7733FF" w14:textId="77777777" w:rsidR="00B776E0" w:rsidRPr="0060654C" w:rsidRDefault="00546F37" w:rsidP="005E6A0B">
            <w:pPr>
              <w:spacing w:before="40" w:after="40"/>
              <w:rPr>
                <w:rFonts w:cs="Arial"/>
                <w:b/>
                <w:sz w:val="18"/>
              </w:rPr>
            </w:pPr>
            <w:r w:rsidRPr="00546F37">
              <w:rPr>
                <w:rFonts w:cs="Arial"/>
                <w:b/>
                <w:sz w:val="18"/>
              </w:rPr>
              <w:t>Other enrolments by APTC staff</w:t>
            </w:r>
          </w:p>
        </w:tc>
        <w:tc>
          <w:tcPr>
            <w:tcW w:w="1701" w:type="dxa"/>
            <w:gridSpan w:val="2"/>
            <w:shd w:val="clear" w:color="auto" w:fill="C5E0B3" w:themeFill="accent6" w:themeFillTint="66"/>
          </w:tcPr>
          <w:p w14:paraId="5712A45D" w14:textId="77777777" w:rsidR="00B776E0" w:rsidRPr="0060654C" w:rsidRDefault="00B776E0" w:rsidP="005E6A0B">
            <w:pPr>
              <w:spacing w:before="40" w:after="40"/>
              <w:jc w:val="center"/>
              <w:rPr>
                <w:rFonts w:cs="Arial"/>
                <w:b/>
                <w:sz w:val="18"/>
              </w:rPr>
            </w:pPr>
          </w:p>
        </w:tc>
      </w:tr>
      <w:tr w:rsidR="00B776E0" w:rsidRPr="0060654C" w14:paraId="3CC96071" w14:textId="77777777" w:rsidTr="00C75BB9">
        <w:tc>
          <w:tcPr>
            <w:tcW w:w="313" w:type="dxa"/>
          </w:tcPr>
          <w:p w14:paraId="6A9A92BA" w14:textId="77777777" w:rsidR="00B776E0" w:rsidRPr="0060654C" w:rsidRDefault="00B776E0" w:rsidP="005E6A0B">
            <w:pPr>
              <w:spacing w:before="40" w:after="40"/>
              <w:rPr>
                <w:rFonts w:cs="Arial"/>
                <w:sz w:val="18"/>
              </w:rPr>
            </w:pPr>
          </w:p>
        </w:tc>
        <w:tc>
          <w:tcPr>
            <w:tcW w:w="6520" w:type="dxa"/>
          </w:tcPr>
          <w:p w14:paraId="46FBCDC0" w14:textId="512C6A5F" w:rsidR="00B776E0" w:rsidRPr="0060654C" w:rsidRDefault="00546F37" w:rsidP="006360E3">
            <w:pPr>
              <w:spacing w:before="40" w:after="40"/>
              <w:rPr>
                <w:rFonts w:cs="Arial"/>
                <w:sz w:val="18"/>
              </w:rPr>
            </w:pPr>
            <w:r w:rsidRPr="00546F37">
              <w:rPr>
                <w:rFonts w:cs="Arial"/>
                <w:sz w:val="18"/>
              </w:rPr>
              <w:t>Diploma of VET (Pathway qualification from Cert. IV)</w:t>
            </w:r>
          </w:p>
        </w:tc>
        <w:tc>
          <w:tcPr>
            <w:tcW w:w="1701" w:type="dxa"/>
            <w:gridSpan w:val="2"/>
          </w:tcPr>
          <w:p w14:paraId="45111E6F" w14:textId="77777777" w:rsidR="00B776E0" w:rsidRPr="0060654C" w:rsidRDefault="00546F37" w:rsidP="005E6A0B">
            <w:pPr>
              <w:spacing w:before="40" w:after="40"/>
              <w:jc w:val="center"/>
              <w:rPr>
                <w:rFonts w:cs="Arial"/>
                <w:sz w:val="18"/>
              </w:rPr>
            </w:pPr>
            <w:r w:rsidRPr="00546F37">
              <w:rPr>
                <w:rFonts w:cs="Arial"/>
                <w:sz w:val="18"/>
              </w:rPr>
              <w:t>65</w:t>
            </w:r>
          </w:p>
        </w:tc>
      </w:tr>
      <w:tr w:rsidR="00B776E0" w:rsidRPr="0060654C" w14:paraId="7908FF7F" w14:textId="77777777" w:rsidTr="00C75BB9">
        <w:tc>
          <w:tcPr>
            <w:tcW w:w="313" w:type="dxa"/>
          </w:tcPr>
          <w:p w14:paraId="148599E8" w14:textId="77777777" w:rsidR="00B776E0" w:rsidRPr="0060654C" w:rsidRDefault="00B776E0" w:rsidP="005E6A0B">
            <w:pPr>
              <w:spacing w:before="40" w:after="40"/>
              <w:rPr>
                <w:rFonts w:cs="Arial"/>
                <w:sz w:val="18"/>
              </w:rPr>
            </w:pPr>
          </w:p>
        </w:tc>
        <w:tc>
          <w:tcPr>
            <w:tcW w:w="6520" w:type="dxa"/>
          </w:tcPr>
          <w:p w14:paraId="646E1E5D" w14:textId="446E07A8" w:rsidR="00B776E0" w:rsidRPr="0060654C" w:rsidRDefault="00546F37" w:rsidP="005E6A0B">
            <w:pPr>
              <w:spacing w:before="40" w:after="40"/>
              <w:rPr>
                <w:rFonts w:cs="Arial"/>
                <w:sz w:val="18"/>
              </w:rPr>
            </w:pPr>
            <w:r w:rsidRPr="00546F37">
              <w:rPr>
                <w:rFonts w:cs="Arial"/>
                <w:sz w:val="18"/>
              </w:rPr>
              <w:t>Certificate IV in Business (Administrative staff)</w:t>
            </w:r>
          </w:p>
        </w:tc>
        <w:tc>
          <w:tcPr>
            <w:tcW w:w="1701" w:type="dxa"/>
            <w:gridSpan w:val="2"/>
          </w:tcPr>
          <w:p w14:paraId="6F8FC1C1" w14:textId="77777777" w:rsidR="00B776E0" w:rsidRPr="0060654C" w:rsidRDefault="00546F37" w:rsidP="005E6A0B">
            <w:pPr>
              <w:spacing w:before="40" w:after="40"/>
              <w:jc w:val="center"/>
              <w:rPr>
                <w:rFonts w:cs="Arial"/>
                <w:sz w:val="18"/>
              </w:rPr>
            </w:pPr>
            <w:r w:rsidRPr="00546F37">
              <w:rPr>
                <w:rFonts w:cs="Arial"/>
                <w:sz w:val="18"/>
              </w:rPr>
              <w:t>35</w:t>
            </w:r>
          </w:p>
        </w:tc>
      </w:tr>
      <w:tr w:rsidR="00B776E0" w:rsidRPr="0060654C" w14:paraId="6A972473" w14:textId="77777777" w:rsidTr="00C75BB9">
        <w:trPr>
          <w:trHeight w:val="227"/>
        </w:trPr>
        <w:tc>
          <w:tcPr>
            <w:tcW w:w="313" w:type="dxa"/>
            <w:shd w:val="clear" w:color="auto" w:fill="C5E0B3" w:themeFill="accent6" w:themeFillTint="66"/>
          </w:tcPr>
          <w:p w14:paraId="693EAB0A" w14:textId="77777777" w:rsidR="00B776E0" w:rsidRPr="0060654C" w:rsidRDefault="00546F37" w:rsidP="005E6A0B">
            <w:pPr>
              <w:spacing w:before="40" w:after="40"/>
              <w:rPr>
                <w:rFonts w:cs="Arial"/>
                <w:b/>
                <w:sz w:val="18"/>
              </w:rPr>
            </w:pPr>
            <w:r w:rsidRPr="00546F37">
              <w:rPr>
                <w:rFonts w:cs="Arial"/>
                <w:b/>
                <w:sz w:val="18"/>
              </w:rPr>
              <w:t>4.</w:t>
            </w:r>
          </w:p>
        </w:tc>
        <w:tc>
          <w:tcPr>
            <w:tcW w:w="6520" w:type="dxa"/>
            <w:shd w:val="clear" w:color="auto" w:fill="C5E0B3" w:themeFill="accent6" w:themeFillTint="66"/>
          </w:tcPr>
          <w:p w14:paraId="24347ADF" w14:textId="4C28953E" w:rsidR="00B776E0" w:rsidRPr="0060654C" w:rsidRDefault="00546F37" w:rsidP="005E6A0B">
            <w:pPr>
              <w:spacing w:before="40" w:after="40"/>
              <w:rPr>
                <w:rFonts w:cs="Arial"/>
                <w:b/>
                <w:sz w:val="18"/>
              </w:rPr>
            </w:pPr>
            <w:r w:rsidRPr="00546F37">
              <w:rPr>
                <w:rFonts w:cs="Arial"/>
                <w:b/>
                <w:sz w:val="18"/>
              </w:rPr>
              <w:t>Support for capability development in Australia</w:t>
            </w:r>
          </w:p>
        </w:tc>
        <w:tc>
          <w:tcPr>
            <w:tcW w:w="850" w:type="dxa"/>
            <w:shd w:val="clear" w:color="auto" w:fill="C5E0B3" w:themeFill="accent6" w:themeFillTint="66"/>
          </w:tcPr>
          <w:p w14:paraId="0C5A877E" w14:textId="77777777" w:rsidR="00B776E0" w:rsidRPr="0060654C" w:rsidRDefault="00546F37" w:rsidP="005E6A0B">
            <w:pPr>
              <w:spacing w:before="40" w:after="40"/>
              <w:jc w:val="center"/>
              <w:rPr>
                <w:rFonts w:cs="Arial"/>
                <w:b/>
                <w:sz w:val="18"/>
              </w:rPr>
            </w:pPr>
            <w:r w:rsidRPr="00546F37">
              <w:rPr>
                <w:rFonts w:cs="Arial"/>
                <w:b/>
                <w:sz w:val="18"/>
              </w:rPr>
              <w:t>STT</w:t>
            </w:r>
          </w:p>
        </w:tc>
        <w:tc>
          <w:tcPr>
            <w:tcW w:w="851" w:type="dxa"/>
            <w:shd w:val="clear" w:color="auto" w:fill="C5E0B3" w:themeFill="accent6" w:themeFillTint="66"/>
          </w:tcPr>
          <w:p w14:paraId="080CB562" w14:textId="77777777" w:rsidR="00B776E0" w:rsidRPr="0060654C" w:rsidRDefault="00546F37" w:rsidP="005E6A0B">
            <w:pPr>
              <w:spacing w:before="40" w:after="40"/>
              <w:jc w:val="center"/>
              <w:rPr>
                <w:rFonts w:cs="Arial"/>
                <w:b/>
                <w:sz w:val="18"/>
              </w:rPr>
            </w:pPr>
            <w:r w:rsidRPr="00546F37">
              <w:rPr>
                <w:rFonts w:cs="Arial"/>
                <w:b/>
                <w:sz w:val="18"/>
              </w:rPr>
              <w:t>SHCS</w:t>
            </w:r>
          </w:p>
        </w:tc>
      </w:tr>
      <w:tr w:rsidR="00B776E0" w:rsidRPr="0060654C" w14:paraId="0D5E5A0E" w14:textId="77777777" w:rsidTr="00C75BB9">
        <w:trPr>
          <w:trHeight w:val="175"/>
        </w:trPr>
        <w:tc>
          <w:tcPr>
            <w:tcW w:w="313" w:type="dxa"/>
          </w:tcPr>
          <w:p w14:paraId="435E444A" w14:textId="77777777" w:rsidR="00B776E0" w:rsidRPr="0060654C" w:rsidRDefault="00B776E0" w:rsidP="005E6A0B">
            <w:pPr>
              <w:spacing w:before="40" w:after="40"/>
              <w:rPr>
                <w:rFonts w:cs="Arial"/>
                <w:sz w:val="18"/>
              </w:rPr>
            </w:pPr>
          </w:p>
        </w:tc>
        <w:tc>
          <w:tcPr>
            <w:tcW w:w="6520" w:type="dxa"/>
          </w:tcPr>
          <w:p w14:paraId="126EB609" w14:textId="77777777" w:rsidR="00B776E0" w:rsidRPr="0060654C" w:rsidRDefault="00546F37" w:rsidP="00260880">
            <w:pPr>
              <w:numPr>
                <w:ilvl w:val="0"/>
                <w:numId w:val="28"/>
              </w:numPr>
              <w:spacing w:before="40" w:after="40"/>
              <w:rPr>
                <w:rFonts w:cs="Arial"/>
                <w:sz w:val="18"/>
              </w:rPr>
            </w:pPr>
            <w:r w:rsidRPr="00546F37">
              <w:rPr>
                <w:rFonts w:cs="Arial"/>
                <w:sz w:val="18"/>
              </w:rPr>
              <w:t>National tutors</w:t>
            </w:r>
          </w:p>
        </w:tc>
        <w:tc>
          <w:tcPr>
            <w:tcW w:w="850" w:type="dxa"/>
          </w:tcPr>
          <w:p w14:paraId="3C4A2101" w14:textId="77777777" w:rsidR="00B776E0" w:rsidRPr="0060654C" w:rsidRDefault="00546F37" w:rsidP="005E6A0B">
            <w:pPr>
              <w:spacing w:before="40" w:after="40"/>
              <w:jc w:val="center"/>
              <w:rPr>
                <w:rFonts w:cs="Arial"/>
                <w:sz w:val="18"/>
              </w:rPr>
            </w:pPr>
            <w:r w:rsidRPr="00546F37">
              <w:rPr>
                <w:rFonts w:cs="Arial"/>
                <w:sz w:val="18"/>
              </w:rPr>
              <w:t>9</w:t>
            </w:r>
          </w:p>
        </w:tc>
        <w:tc>
          <w:tcPr>
            <w:tcW w:w="851" w:type="dxa"/>
          </w:tcPr>
          <w:p w14:paraId="02E103E0" w14:textId="77777777" w:rsidR="00B776E0" w:rsidRPr="0060654C" w:rsidRDefault="00546F37" w:rsidP="005E6A0B">
            <w:pPr>
              <w:spacing w:before="40" w:after="40"/>
              <w:jc w:val="center"/>
              <w:rPr>
                <w:rFonts w:cs="Arial"/>
                <w:sz w:val="18"/>
              </w:rPr>
            </w:pPr>
            <w:r w:rsidRPr="00546F37">
              <w:rPr>
                <w:rFonts w:cs="Arial"/>
                <w:sz w:val="18"/>
              </w:rPr>
              <w:t>1</w:t>
            </w:r>
          </w:p>
        </w:tc>
      </w:tr>
      <w:tr w:rsidR="00B776E0" w:rsidRPr="0060654C" w14:paraId="7C47DE43" w14:textId="77777777" w:rsidTr="00C75BB9">
        <w:trPr>
          <w:trHeight w:val="175"/>
        </w:trPr>
        <w:tc>
          <w:tcPr>
            <w:tcW w:w="313" w:type="dxa"/>
            <w:tcBorders>
              <w:bottom w:val="single" w:sz="4" w:space="0" w:color="A8D08D" w:themeColor="accent6" w:themeTint="99"/>
            </w:tcBorders>
          </w:tcPr>
          <w:p w14:paraId="77B18EF8" w14:textId="77777777" w:rsidR="00B776E0" w:rsidRPr="0060654C" w:rsidRDefault="00B776E0" w:rsidP="005E6A0B">
            <w:pPr>
              <w:spacing w:before="40" w:after="40"/>
              <w:rPr>
                <w:rFonts w:cs="Arial"/>
                <w:sz w:val="18"/>
              </w:rPr>
            </w:pPr>
          </w:p>
        </w:tc>
        <w:tc>
          <w:tcPr>
            <w:tcW w:w="6520" w:type="dxa"/>
            <w:tcBorders>
              <w:bottom w:val="single" w:sz="4" w:space="0" w:color="A8D08D" w:themeColor="accent6" w:themeTint="99"/>
            </w:tcBorders>
          </w:tcPr>
          <w:p w14:paraId="71C6C6AA" w14:textId="77777777" w:rsidR="00B776E0" w:rsidRPr="0060654C" w:rsidRDefault="00546F37" w:rsidP="00260880">
            <w:pPr>
              <w:numPr>
                <w:ilvl w:val="0"/>
                <w:numId w:val="28"/>
              </w:numPr>
              <w:spacing w:before="40" w:after="40"/>
              <w:rPr>
                <w:rFonts w:cs="Arial"/>
                <w:sz w:val="18"/>
              </w:rPr>
            </w:pPr>
            <w:r w:rsidRPr="00546F37">
              <w:rPr>
                <w:rFonts w:cs="Arial"/>
                <w:sz w:val="18"/>
              </w:rPr>
              <w:t>Expatriate trainers</w:t>
            </w:r>
          </w:p>
        </w:tc>
        <w:tc>
          <w:tcPr>
            <w:tcW w:w="850" w:type="dxa"/>
            <w:tcBorders>
              <w:bottom w:val="single" w:sz="4" w:space="0" w:color="A8D08D" w:themeColor="accent6" w:themeTint="99"/>
            </w:tcBorders>
          </w:tcPr>
          <w:p w14:paraId="71C04A49" w14:textId="77777777" w:rsidR="00B776E0" w:rsidRPr="0060654C" w:rsidRDefault="00546F37" w:rsidP="005E6A0B">
            <w:pPr>
              <w:spacing w:before="40" w:after="40"/>
              <w:jc w:val="center"/>
              <w:rPr>
                <w:rFonts w:cs="Arial"/>
                <w:sz w:val="18"/>
              </w:rPr>
            </w:pPr>
            <w:r w:rsidRPr="00546F37">
              <w:rPr>
                <w:rFonts w:cs="Arial"/>
                <w:sz w:val="18"/>
              </w:rPr>
              <w:t>9</w:t>
            </w:r>
          </w:p>
        </w:tc>
        <w:tc>
          <w:tcPr>
            <w:tcW w:w="851" w:type="dxa"/>
            <w:tcBorders>
              <w:bottom w:val="single" w:sz="4" w:space="0" w:color="A8D08D" w:themeColor="accent6" w:themeTint="99"/>
            </w:tcBorders>
          </w:tcPr>
          <w:p w14:paraId="78EECD53" w14:textId="77777777" w:rsidR="00B776E0" w:rsidRPr="0060654C" w:rsidRDefault="00546F37" w:rsidP="005E6A0B">
            <w:pPr>
              <w:spacing w:before="40" w:after="40"/>
              <w:jc w:val="center"/>
              <w:rPr>
                <w:rFonts w:cs="Arial"/>
                <w:sz w:val="18"/>
              </w:rPr>
            </w:pPr>
            <w:r w:rsidRPr="00546F37">
              <w:rPr>
                <w:rFonts w:cs="Arial"/>
                <w:sz w:val="18"/>
              </w:rPr>
              <w:t>2</w:t>
            </w:r>
          </w:p>
        </w:tc>
      </w:tr>
    </w:tbl>
    <w:p w14:paraId="6C26ACF1" w14:textId="63A28878" w:rsidR="00B776E0" w:rsidRPr="00103536" w:rsidRDefault="00C75BB9" w:rsidP="00B776E0">
      <w:pPr>
        <w:rPr>
          <w:rFonts w:cs="Arial"/>
          <w:sz w:val="16"/>
        </w:rPr>
      </w:pPr>
      <w:r>
        <w:rPr>
          <w:rFonts w:cs="Arial"/>
          <w:sz w:val="16"/>
        </w:rPr>
        <w:br/>
      </w:r>
      <w:r w:rsidR="00546F37" w:rsidRPr="00546F37">
        <w:rPr>
          <w:rFonts w:cs="Arial"/>
          <w:sz w:val="16"/>
        </w:rPr>
        <w:t>Source: APTC Centre for Professional Development</w:t>
      </w:r>
    </w:p>
    <w:p w14:paraId="22C59C74" w14:textId="77777777" w:rsidR="00B776E0" w:rsidRDefault="00B776E0" w:rsidP="00B776E0">
      <w:pPr>
        <w:rPr>
          <w:rFonts w:cs="Arial"/>
        </w:rPr>
      </w:pPr>
    </w:p>
    <w:p w14:paraId="120FCE35" w14:textId="6ABC0A30" w:rsidR="00B776E0" w:rsidRPr="00E976F9" w:rsidRDefault="00AF051C" w:rsidP="002028A6">
      <w:pPr>
        <w:pStyle w:val="Heading2"/>
      </w:pPr>
      <w:bookmarkStart w:id="744" w:name="_Toc274900531"/>
      <w:bookmarkStart w:id="745" w:name="_Toc274909913"/>
      <w:bookmarkStart w:id="746" w:name="_Toc278447929"/>
      <w:bookmarkStart w:id="747" w:name="_Toc278453402"/>
      <w:r>
        <w:t>6</w:t>
      </w:r>
      <w:r w:rsidR="00FB22EC">
        <w:t>.2</w:t>
      </w:r>
      <w:r w:rsidR="00FB22EC">
        <w:tab/>
      </w:r>
      <w:r w:rsidR="00B776E0" w:rsidRPr="00E976F9">
        <w:t xml:space="preserve">To what extent has APTC provided a demonstration effect on higher </w:t>
      </w:r>
      <w:r w:rsidR="008017B7">
        <w:br/>
      </w:r>
      <w:r w:rsidR="008017B7">
        <w:tab/>
      </w:r>
      <w:r w:rsidR="00B776E0" w:rsidRPr="00E976F9">
        <w:t>quality standards?</w:t>
      </w:r>
      <w:bookmarkEnd w:id="744"/>
      <w:bookmarkEnd w:id="745"/>
      <w:bookmarkEnd w:id="746"/>
      <w:bookmarkEnd w:id="747"/>
      <w:r w:rsidR="00B776E0" w:rsidRPr="00E976F9">
        <w:t xml:space="preserve"> </w:t>
      </w:r>
    </w:p>
    <w:p w14:paraId="03668659" w14:textId="77777777" w:rsidR="00B776E0" w:rsidRDefault="00B776E0" w:rsidP="00B776E0">
      <w:pPr>
        <w:rPr>
          <w:rFonts w:cs="Arial"/>
        </w:rPr>
      </w:pPr>
      <w:r w:rsidRPr="008745D8">
        <w:rPr>
          <w:rFonts w:cs="Arial"/>
        </w:rPr>
        <w:t xml:space="preserve">During the consultations there were instances of stakeholders </w:t>
      </w:r>
      <w:r>
        <w:rPr>
          <w:rFonts w:cs="Arial"/>
        </w:rPr>
        <w:t xml:space="preserve">from every category </w:t>
      </w:r>
      <w:r w:rsidRPr="008745D8">
        <w:rPr>
          <w:rFonts w:cs="Arial"/>
        </w:rPr>
        <w:t xml:space="preserve">expressing the </w:t>
      </w:r>
      <w:r>
        <w:rPr>
          <w:rFonts w:cs="Arial"/>
        </w:rPr>
        <w:t xml:space="preserve">unsolicited view </w:t>
      </w:r>
      <w:r w:rsidRPr="008745D8">
        <w:rPr>
          <w:rFonts w:cs="Arial"/>
        </w:rPr>
        <w:t xml:space="preserve">that the APTC had provided a demonstration effect on quality standards. </w:t>
      </w:r>
      <w:r>
        <w:rPr>
          <w:rFonts w:cs="Arial"/>
        </w:rPr>
        <w:t>The following are just a few of numerous examples:</w:t>
      </w:r>
    </w:p>
    <w:p w14:paraId="0F3CB590" w14:textId="2896873F" w:rsidR="00B776E0" w:rsidRDefault="00B776E0" w:rsidP="00B776E0">
      <w:pPr>
        <w:rPr>
          <w:rFonts w:cs="Arial"/>
        </w:rPr>
      </w:pPr>
      <w:r w:rsidRPr="001116C8">
        <w:rPr>
          <w:rFonts w:cs="Arial"/>
          <w:i/>
        </w:rPr>
        <w:t>APTC is a benchmark for international standards in training</w:t>
      </w:r>
      <w:r w:rsidR="00CE42F8">
        <w:rPr>
          <w:rFonts w:cs="Arial"/>
          <w:i/>
        </w:rPr>
        <w:t>.</w:t>
      </w:r>
      <w:r>
        <w:rPr>
          <w:rFonts w:cs="Arial"/>
        </w:rPr>
        <w:t xml:space="preserve"> </w:t>
      </w:r>
      <w:r w:rsidR="00CE42F8">
        <w:rPr>
          <w:rFonts w:cs="Arial"/>
        </w:rPr>
        <w:br/>
      </w:r>
      <w:r w:rsidR="00D12D79">
        <w:rPr>
          <w:rFonts w:cs="Arial"/>
        </w:rPr>
        <w:t>Qualifications authority, Fiji</w:t>
      </w:r>
    </w:p>
    <w:p w14:paraId="270E15C1" w14:textId="57A99672" w:rsidR="00B776E0" w:rsidRDefault="00B776E0" w:rsidP="00B776E0">
      <w:pPr>
        <w:rPr>
          <w:rFonts w:cs="Arial"/>
        </w:rPr>
      </w:pPr>
      <w:r w:rsidRPr="00C54EEF">
        <w:rPr>
          <w:rFonts w:cs="Arial"/>
          <w:i/>
        </w:rPr>
        <w:t>APTC has provided our company with qualified staff who can perform. Previously finding people who fill that bill was virtually impossible</w:t>
      </w:r>
      <w:r w:rsidR="001D58F1">
        <w:rPr>
          <w:rFonts w:cs="Arial"/>
          <w:i/>
        </w:rPr>
        <w:t>.</w:t>
      </w:r>
      <w:r w:rsidR="00D12D79">
        <w:rPr>
          <w:rFonts w:cs="Arial"/>
          <w:i/>
        </w:rPr>
        <w:t xml:space="preserve"> </w:t>
      </w:r>
      <w:r w:rsidR="00D12D79">
        <w:rPr>
          <w:rFonts w:cs="Arial"/>
        </w:rPr>
        <w:t>Employer, Vanuatu</w:t>
      </w:r>
    </w:p>
    <w:p w14:paraId="626548AE" w14:textId="596A73A9" w:rsidR="00B776E0" w:rsidRDefault="00B776E0" w:rsidP="00B776E0">
      <w:pPr>
        <w:rPr>
          <w:rFonts w:cs="Arial"/>
        </w:rPr>
      </w:pPr>
      <w:r w:rsidRPr="00C54EEF">
        <w:rPr>
          <w:rFonts w:cs="Arial"/>
          <w:i/>
        </w:rPr>
        <w:t>APTC is providing excellent training. Their facilities are much better than those of the local institutions.</w:t>
      </w:r>
      <w:r>
        <w:rPr>
          <w:rFonts w:cs="Arial"/>
        </w:rPr>
        <w:t xml:space="preserve"> </w:t>
      </w:r>
      <w:r w:rsidR="00D12D79">
        <w:rPr>
          <w:rFonts w:cs="Arial"/>
        </w:rPr>
        <w:t>Government authority, PNG</w:t>
      </w:r>
    </w:p>
    <w:p w14:paraId="62A2248F" w14:textId="62978868" w:rsidR="00B776E0" w:rsidRDefault="00B776E0" w:rsidP="00B776E0">
      <w:pPr>
        <w:rPr>
          <w:rFonts w:cs="Arial"/>
        </w:rPr>
      </w:pPr>
      <w:r w:rsidRPr="00C54EEF">
        <w:rPr>
          <w:rFonts w:cs="Arial"/>
          <w:i/>
        </w:rPr>
        <w:t>APTC staff are role models for our staff. Students feel the difference.</w:t>
      </w:r>
      <w:r w:rsidR="00CE42F8">
        <w:rPr>
          <w:rFonts w:cs="Arial"/>
        </w:rPr>
        <w:br/>
      </w:r>
      <w:r>
        <w:rPr>
          <w:rFonts w:cs="Arial"/>
        </w:rPr>
        <w:t>Partne</w:t>
      </w:r>
      <w:r w:rsidR="002F2EEA">
        <w:rPr>
          <w:rFonts w:cs="Arial"/>
        </w:rPr>
        <w:t>r institution, Solomon Islands</w:t>
      </w:r>
    </w:p>
    <w:p w14:paraId="01616AA1" w14:textId="77777777" w:rsidR="00B776E0" w:rsidRDefault="00B776E0" w:rsidP="00B776E0">
      <w:pPr>
        <w:rPr>
          <w:rFonts w:cs="Arial"/>
        </w:rPr>
      </w:pPr>
      <w:r w:rsidRPr="00C54EEF">
        <w:rPr>
          <w:rFonts w:cs="Arial"/>
          <w:i/>
        </w:rPr>
        <w:t>‘APTC is providing quality training not available elsewhere in the country</w:t>
      </w:r>
      <w:r w:rsidR="00C3405A">
        <w:rPr>
          <w:rFonts w:cs="Arial"/>
          <w:i/>
        </w:rPr>
        <w:t>.</w:t>
      </w:r>
      <w:r w:rsidRPr="00C54EEF">
        <w:rPr>
          <w:rFonts w:cs="Arial"/>
          <w:i/>
        </w:rPr>
        <w:t>’</w:t>
      </w:r>
      <w:r>
        <w:rPr>
          <w:rFonts w:cs="Arial"/>
        </w:rPr>
        <w:t xml:space="preserve"> </w:t>
      </w:r>
      <w:r w:rsidR="00C3405A">
        <w:rPr>
          <w:rFonts w:cs="Arial"/>
        </w:rPr>
        <w:br/>
      </w:r>
      <w:r>
        <w:rPr>
          <w:rFonts w:cs="Arial"/>
        </w:rPr>
        <w:t>(Alumnus, PNG)</w:t>
      </w:r>
    </w:p>
    <w:p w14:paraId="11444C74" w14:textId="77777777" w:rsidR="00B776E0" w:rsidRDefault="00B776E0" w:rsidP="00B776E0">
      <w:pPr>
        <w:rPr>
          <w:rFonts w:cs="Arial"/>
        </w:rPr>
      </w:pPr>
      <w:r w:rsidRPr="00C54EEF">
        <w:rPr>
          <w:rFonts w:cs="Arial"/>
          <w:i/>
        </w:rPr>
        <w:t>‘There has been an improvement in the productivity of the workforce since the existence of APTC.’</w:t>
      </w:r>
      <w:r>
        <w:rPr>
          <w:rFonts w:cs="Arial"/>
        </w:rPr>
        <w:t xml:space="preserve"> (Government authority, Samoa)</w:t>
      </w:r>
    </w:p>
    <w:p w14:paraId="0435A6D5" w14:textId="10F7AE3D" w:rsidR="00B776E0" w:rsidRDefault="00B776E0" w:rsidP="00B776E0">
      <w:pPr>
        <w:rPr>
          <w:rFonts w:cs="Arial"/>
        </w:rPr>
      </w:pPr>
      <w:r w:rsidRPr="00DE5F64">
        <w:rPr>
          <w:rFonts w:cs="Arial"/>
        </w:rPr>
        <w:t>Where opposition to the APTC existed, the counter view expressed was that local institutions could provide the same quality standards if they had access to the same resources</w:t>
      </w:r>
      <w:r>
        <w:rPr>
          <w:rFonts w:cs="Arial"/>
        </w:rPr>
        <w:t xml:space="preserve">. </w:t>
      </w:r>
      <w:r w:rsidR="008A476D">
        <w:rPr>
          <w:rFonts w:cs="Arial"/>
        </w:rPr>
        <w:t>However, o</w:t>
      </w:r>
      <w:r>
        <w:rPr>
          <w:rFonts w:cs="Arial"/>
        </w:rPr>
        <w:t>ne Vice-Chancellor stated that the university concerned could not have achieved the same result as APTC even if it had received the same level of resources.</w:t>
      </w:r>
    </w:p>
    <w:p w14:paraId="194DEA33" w14:textId="0E6E8FB8" w:rsidR="00B776E0" w:rsidRPr="00E976F9" w:rsidRDefault="00AF051C" w:rsidP="00D711EE">
      <w:pPr>
        <w:pStyle w:val="Heading2"/>
        <w:ind w:left="720" w:hanging="720"/>
      </w:pPr>
      <w:bookmarkStart w:id="748" w:name="_Toc274900532"/>
      <w:bookmarkStart w:id="749" w:name="_Toc274909914"/>
      <w:bookmarkStart w:id="750" w:name="_Toc278447930"/>
      <w:bookmarkStart w:id="751" w:name="_Toc278453403"/>
      <w:r>
        <w:t>6</w:t>
      </w:r>
      <w:r w:rsidR="0079234D">
        <w:t>.3</w:t>
      </w:r>
      <w:r w:rsidR="0079234D">
        <w:tab/>
      </w:r>
      <w:r w:rsidR="00B776E0" w:rsidRPr="00E976F9">
        <w:t xml:space="preserve">What impact has the APTC had on education and training at partner </w:t>
      </w:r>
      <w:r w:rsidR="008017B7">
        <w:br/>
      </w:r>
      <w:r w:rsidR="00B776E0" w:rsidRPr="00E976F9">
        <w:t xml:space="preserve">institutions, </w:t>
      </w:r>
      <w:r w:rsidR="00D711EE">
        <w:t>(</w:t>
      </w:r>
      <w:r w:rsidR="00B776E0" w:rsidRPr="00E976F9">
        <w:t>e.g. Na</w:t>
      </w:r>
      <w:r w:rsidR="00D711EE">
        <w:t>tional University of Samoa and VIT</w:t>
      </w:r>
      <w:r w:rsidR="00B776E0" w:rsidRPr="00E976F9">
        <w:t xml:space="preserve"> Vanuatu</w:t>
      </w:r>
      <w:r w:rsidR="00D711EE">
        <w:t>)</w:t>
      </w:r>
      <w:r w:rsidR="00B776E0" w:rsidRPr="00E976F9">
        <w:t xml:space="preserve">; and TVET pathway models, </w:t>
      </w:r>
      <w:r w:rsidR="00D711EE">
        <w:t>(</w:t>
      </w:r>
      <w:r w:rsidR="00B776E0" w:rsidRPr="00E976F9">
        <w:t>e.g. KIT</w:t>
      </w:r>
      <w:r w:rsidR="00D711EE">
        <w:t xml:space="preserve"> and</w:t>
      </w:r>
      <w:r w:rsidR="00B776E0" w:rsidRPr="00E976F9">
        <w:t xml:space="preserve"> Don B</w:t>
      </w:r>
      <w:r w:rsidR="00FC4B5D">
        <w:t>osco Honiara</w:t>
      </w:r>
      <w:r w:rsidR="00D711EE">
        <w:t>),</w:t>
      </w:r>
      <w:r w:rsidR="00C74A1A">
        <w:t xml:space="preserve"> a</w:t>
      </w:r>
      <w:r w:rsidR="00C74A1A" w:rsidRPr="00E976F9">
        <w:t>lso</w:t>
      </w:r>
      <w:r w:rsidR="00B776E0" w:rsidRPr="00E976F9">
        <w:t xml:space="preserve">, </w:t>
      </w:r>
      <w:r w:rsidR="00C74A1A">
        <w:t xml:space="preserve">the </w:t>
      </w:r>
      <w:r w:rsidR="00B776E0" w:rsidRPr="00E976F9">
        <w:t>School of Health and Community Services, Suva, and University of the South Pacific</w:t>
      </w:r>
      <w:r w:rsidR="00B91540">
        <w:t>?</w:t>
      </w:r>
      <w:bookmarkEnd w:id="748"/>
      <w:bookmarkEnd w:id="749"/>
      <w:bookmarkEnd w:id="750"/>
      <w:bookmarkEnd w:id="751"/>
    </w:p>
    <w:p w14:paraId="5D1E53D2" w14:textId="77777777" w:rsidR="00B776E0" w:rsidRDefault="00B776E0" w:rsidP="00B776E0">
      <w:pPr>
        <w:rPr>
          <w:rFonts w:cs="Arial"/>
        </w:rPr>
      </w:pPr>
      <w:r w:rsidRPr="00F771CC">
        <w:rPr>
          <w:rFonts w:cs="Arial"/>
        </w:rPr>
        <w:t xml:space="preserve">The APTC has had considerable impact on education and training at partner institutions. </w:t>
      </w:r>
      <w:r>
        <w:rPr>
          <w:rFonts w:cs="Arial"/>
        </w:rPr>
        <w:t>Some of the main ways in which this has occurred are:</w:t>
      </w:r>
    </w:p>
    <w:p w14:paraId="6F8284B4" w14:textId="77777777" w:rsidR="00B776E0" w:rsidRPr="00F771CC" w:rsidRDefault="00C609BB" w:rsidP="00260880">
      <w:pPr>
        <w:pStyle w:val="ListParagraph"/>
        <w:numPr>
          <w:ilvl w:val="0"/>
          <w:numId w:val="28"/>
        </w:numPr>
        <w:ind w:left="714" w:hanging="357"/>
        <w:contextualSpacing w:val="0"/>
        <w:rPr>
          <w:rFonts w:cs="Arial"/>
        </w:rPr>
      </w:pPr>
      <w:r>
        <w:rPr>
          <w:rFonts w:cs="Arial"/>
        </w:rPr>
        <w:t>v</w:t>
      </w:r>
      <w:r w:rsidRPr="00F771CC">
        <w:rPr>
          <w:rFonts w:cs="Arial"/>
        </w:rPr>
        <w:t xml:space="preserve">ocational </w:t>
      </w:r>
      <w:r w:rsidR="00B776E0" w:rsidRPr="00F771CC">
        <w:rPr>
          <w:rFonts w:cs="Arial"/>
        </w:rPr>
        <w:t>skills upgrading of partner institution staff</w:t>
      </w:r>
    </w:p>
    <w:p w14:paraId="7D29D4A3" w14:textId="2FF9AA7C" w:rsidR="00B776E0" w:rsidRPr="00F771CC" w:rsidRDefault="00C609BB" w:rsidP="00260880">
      <w:pPr>
        <w:pStyle w:val="ListParagraph"/>
        <w:numPr>
          <w:ilvl w:val="0"/>
          <w:numId w:val="28"/>
        </w:numPr>
        <w:ind w:left="714" w:hanging="357"/>
        <w:contextualSpacing w:val="0"/>
        <w:rPr>
          <w:rFonts w:cs="Arial"/>
        </w:rPr>
      </w:pPr>
      <w:r>
        <w:rPr>
          <w:rFonts w:cs="Arial"/>
        </w:rPr>
        <w:t>u</w:t>
      </w:r>
      <w:r w:rsidRPr="00F771CC">
        <w:rPr>
          <w:rFonts w:cs="Arial"/>
        </w:rPr>
        <w:t xml:space="preserve">pgrading </w:t>
      </w:r>
      <w:r w:rsidR="00B776E0" w:rsidRPr="00F771CC">
        <w:rPr>
          <w:rFonts w:cs="Arial"/>
        </w:rPr>
        <w:t xml:space="preserve">of teaching methodologies, including delivery of the Certificate IV in Training and Assessment </w:t>
      </w:r>
    </w:p>
    <w:p w14:paraId="48CF7D1B" w14:textId="77777777" w:rsidR="00B776E0" w:rsidRPr="00F771CC" w:rsidRDefault="00C609BB" w:rsidP="00260880">
      <w:pPr>
        <w:pStyle w:val="ListParagraph"/>
        <w:numPr>
          <w:ilvl w:val="0"/>
          <w:numId w:val="28"/>
        </w:numPr>
        <w:ind w:left="714" w:hanging="357"/>
        <w:contextualSpacing w:val="0"/>
        <w:rPr>
          <w:rFonts w:cs="Arial"/>
        </w:rPr>
      </w:pPr>
      <w:r>
        <w:rPr>
          <w:rFonts w:cs="Arial"/>
        </w:rPr>
        <w:t>t</w:t>
      </w:r>
      <w:r w:rsidRPr="00F771CC">
        <w:rPr>
          <w:rFonts w:cs="Arial"/>
        </w:rPr>
        <w:t xml:space="preserve">raining </w:t>
      </w:r>
      <w:r w:rsidR="00B776E0" w:rsidRPr="00F771CC">
        <w:rPr>
          <w:rFonts w:cs="Arial"/>
        </w:rPr>
        <w:t>delivery support</w:t>
      </w:r>
    </w:p>
    <w:p w14:paraId="5AFF5371" w14:textId="77777777" w:rsidR="00B776E0" w:rsidRPr="00F771CC" w:rsidRDefault="00C609BB" w:rsidP="00260880">
      <w:pPr>
        <w:pStyle w:val="ListParagraph"/>
        <w:numPr>
          <w:ilvl w:val="0"/>
          <w:numId w:val="28"/>
        </w:numPr>
        <w:ind w:left="714" w:hanging="357"/>
        <w:contextualSpacing w:val="0"/>
        <w:rPr>
          <w:rFonts w:cs="Arial"/>
        </w:rPr>
      </w:pPr>
      <w:r>
        <w:rPr>
          <w:rFonts w:cs="Arial"/>
        </w:rPr>
        <w:t>i</w:t>
      </w:r>
      <w:r w:rsidRPr="00F771CC">
        <w:rPr>
          <w:rFonts w:cs="Arial"/>
        </w:rPr>
        <w:t xml:space="preserve">mplementation </w:t>
      </w:r>
      <w:r w:rsidR="00B776E0" w:rsidRPr="00F771CC">
        <w:rPr>
          <w:rFonts w:cs="Arial"/>
        </w:rPr>
        <w:t>of pathways with APTC qualifications, including curriculum design and mapping</w:t>
      </w:r>
    </w:p>
    <w:p w14:paraId="1030FFB4" w14:textId="77777777" w:rsidR="00B776E0" w:rsidRPr="00F771CC" w:rsidRDefault="001B3DA7" w:rsidP="00260880">
      <w:pPr>
        <w:pStyle w:val="ListParagraph"/>
        <w:numPr>
          <w:ilvl w:val="0"/>
          <w:numId w:val="28"/>
        </w:numPr>
        <w:ind w:left="714" w:hanging="357"/>
        <w:contextualSpacing w:val="0"/>
        <w:rPr>
          <w:rFonts w:cs="Arial"/>
        </w:rPr>
      </w:pPr>
      <w:r>
        <w:rPr>
          <w:rFonts w:cs="Arial"/>
        </w:rPr>
        <w:t>u</w:t>
      </w:r>
      <w:r w:rsidRPr="00F771CC">
        <w:rPr>
          <w:rFonts w:cs="Arial"/>
        </w:rPr>
        <w:t xml:space="preserve">pgrading </w:t>
      </w:r>
      <w:r w:rsidR="00B776E0" w:rsidRPr="00F771CC">
        <w:rPr>
          <w:rFonts w:cs="Arial"/>
        </w:rPr>
        <w:t>of facilities and equipment</w:t>
      </w:r>
    </w:p>
    <w:p w14:paraId="42CE5436" w14:textId="77777777" w:rsidR="00B776E0" w:rsidRPr="00F771CC" w:rsidRDefault="001B3DA7" w:rsidP="00260880">
      <w:pPr>
        <w:pStyle w:val="ListParagraph"/>
        <w:numPr>
          <w:ilvl w:val="0"/>
          <w:numId w:val="28"/>
        </w:numPr>
        <w:ind w:left="714" w:hanging="357"/>
        <w:contextualSpacing w:val="0"/>
        <w:rPr>
          <w:rFonts w:cs="Arial"/>
        </w:rPr>
      </w:pPr>
      <w:r>
        <w:rPr>
          <w:rFonts w:cs="Arial"/>
        </w:rPr>
        <w:t>p</w:t>
      </w:r>
      <w:r w:rsidRPr="00F771CC">
        <w:rPr>
          <w:rFonts w:cs="Arial"/>
        </w:rPr>
        <w:t>lanning</w:t>
      </w:r>
      <w:r w:rsidR="00B776E0" w:rsidRPr="00F771CC">
        <w:rPr>
          <w:rFonts w:cs="Arial"/>
        </w:rPr>
        <w:t>, infrastructure and equipment advice</w:t>
      </w:r>
    </w:p>
    <w:p w14:paraId="008181D3" w14:textId="77777777" w:rsidR="00B776E0" w:rsidRPr="00F771CC" w:rsidRDefault="00B776E0" w:rsidP="00260880">
      <w:pPr>
        <w:pStyle w:val="ListParagraph"/>
        <w:numPr>
          <w:ilvl w:val="0"/>
          <w:numId w:val="28"/>
        </w:numPr>
        <w:ind w:left="714" w:hanging="357"/>
        <w:contextualSpacing w:val="0"/>
        <w:rPr>
          <w:rFonts w:cs="Arial"/>
        </w:rPr>
      </w:pPr>
      <w:r w:rsidRPr="00F771CC">
        <w:rPr>
          <w:rFonts w:cs="Arial"/>
        </w:rPr>
        <w:t>TVET quality systems support</w:t>
      </w:r>
    </w:p>
    <w:p w14:paraId="035E25D7" w14:textId="77777777" w:rsidR="00B776E0" w:rsidRPr="00F771CC" w:rsidRDefault="001B3DA7" w:rsidP="00260880">
      <w:pPr>
        <w:pStyle w:val="ListParagraph"/>
        <w:numPr>
          <w:ilvl w:val="0"/>
          <w:numId w:val="28"/>
        </w:numPr>
        <w:ind w:left="714" w:hanging="357"/>
        <w:contextualSpacing w:val="0"/>
        <w:rPr>
          <w:rFonts w:cs="Arial"/>
        </w:rPr>
      </w:pPr>
      <w:r>
        <w:rPr>
          <w:rFonts w:cs="Arial"/>
        </w:rPr>
        <w:t>l</w:t>
      </w:r>
      <w:r w:rsidRPr="00F771CC">
        <w:rPr>
          <w:rFonts w:cs="Arial"/>
        </w:rPr>
        <w:t xml:space="preserve">eadership </w:t>
      </w:r>
      <w:r w:rsidR="00B776E0" w:rsidRPr="00F771CC">
        <w:rPr>
          <w:rFonts w:cs="Arial"/>
        </w:rPr>
        <w:t>and governance development and support</w:t>
      </w:r>
    </w:p>
    <w:p w14:paraId="4DDE66B2" w14:textId="77777777" w:rsidR="00B776E0" w:rsidRPr="00F771CC" w:rsidRDefault="001B3DA7" w:rsidP="00260880">
      <w:pPr>
        <w:pStyle w:val="ListParagraph"/>
        <w:numPr>
          <w:ilvl w:val="0"/>
          <w:numId w:val="28"/>
        </w:numPr>
        <w:ind w:left="714" w:hanging="357"/>
        <w:contextualSpacing w:val="0"/>
        <w:rPr>
          <w:rFonts w:cs="Arial"/>
        </w:rPr>
      </w:pPr>
      <w:r>
        <w:rPr>
          <w:rFonts w:cs="Arial"/>
        </w:rPr>
        <w:t>j</w:t>
      </w:r>
      <w:r w:rsidRPr="00F771CC">
        <w:rPr>
          <w:rFonts w:cs="Arial"/>
        </w:rPr>
        <w:t xml:space="preserve">oint </w:t>
      </w:r>
      <w:r w:rsidR="00B776E0" w:rsidRPr="00F771CC">
        <w:rPr>
          <w:rFonts w:cs="Arial"/>
        </w:rPr>
        <w:t>delivery (Solomon Islands, Fiji)</w:t>
      </w:r>
      <w:r w:rsidR="00CA135F">
        <w:rPr>
          <w:rFonts w:cs="Arial"/>
        </w:rPr>
        <w:t>.</w:t>
      </w:r>
    </w:p>
    <w:p w14:paraId="6816ABD6" w14:textId="69F965D7" w:rsidR="00B776E0" w:rsidRDefault="00B776E0" w:rsidP="00B776E0">
      <w:pPr>
        <w:rPr>
          <w:rFonts w:cs="Arial"/>
        </w:rPr>
      </w:pPr>
      <w:r w:rsidRPr="00F771CC">
        <w:rPr>
          <w:rFonts w:cs="Arial"/>
        </w:rPr>
        <w:t xml:space="preserve">Further details are outlined in Attachment </w:t>
      </w:r>
      <w:r w:rsidR="00A854F9">
        <w:rPr>
          <w:rFonts w:cs="Arial"/>
        </w:rPr>
        <w:t>3</w:t>
      </w:r>
      <w:r w:rsidRPr="00F771CC">
        <w:rPr>
          <w:rFonts w:cs="Arial"/>
        </w:rPr>
        <w:t>. The following brief institu</w:t>
      </w:r>
      <w:r>
        <w:rPr>
          <w:rFonts w:cs="Arial"/>
        </w:rPr>
        <w:t>ti</w:t>
      </w:r>
      <w:r w:rsidRPr="00F771CC">
        <w:rPr>
          <w:rFonts w:cs="Arial"/>
        </w:rPr>
        <w:t>onal snapshots illustrate this impact.</w:t>
      </w:r>
    </w:p>
    <w:p w14:paraId="125A898D" w14:textId="77777777" w:rsidR="00CA135F" w:rsidRPr="008E7579" w:rsidRDefault="00CA135F" w:rsidP="00B776E0">
      <w:pPr>
        <w:rPr>
          <w:rFonts w:cs="Arial"/>
          <w:sz w:val="2"/>
        </w:rPr>
      </w:pPr>
    </w:p>
    <w:p w14:paraId="343BBB71" w14:textId="77777777" w:rsidR="00B776E0" w:rsidRPr="00FC4B5D" w:rsidRDefault="00B776E0" w:rsidP="006C7D41">
      <w:pPr>
        <w:shd w:val="clear" w:color="auto" w:fill="E2EFD9" w:themeFill="accent6" w:themeFillTint="33"/>
        <w:rPr>
          <w:rFonts w:cs="Arial"/>
          <w:b/>
        </w:rPr>
      </w:pPr>
      <w:r w:rsidRPr="00FC4B5D">
        <w:rPr>
          <w:rFonts w:cs="Arial"/>
          <w:b/>
        </w:rPr>
        <w:t xml:space="preserve">National University of Samoa (NUS) </w:t>
      </w:r>
    </w:p>
    <w:p w14:paraId="7292BD5B" w14:textId="77777777" w:rsidR="00B776E0" w:rsidRPr="00E00E5F" w:rsidRDefault="00B776E0" w:rsidP="006C7D41">
      <w:pPr>
        <w:shd w:val="clear" w:color="auto" w:fill="E2EFD9" w:themeFill="accent6" w:themeFillTint="33"/>
        <w:rPr>
          <w:rFonts w:cs="Arial"/>
        </w:rPr>
      </w:pPr>
      <w:r>
        <w:rPr>
          <w:rFonts w:cs="Arial"/>
        </w:rPr>
        <w:t>The longest</w:t>
      </w:r>
      <w:r w:rsidR="00FC4B5D">
        <w:rPr>
          <w:rFonts w:cs="Arial"/>
        </w:rPr>
        <w:t>-</w:t>
      </w:r>
      <w:r w:rsidRPr="00E00E5F">
        <w:rPr>
          <w:rFonts w:cs="Arial"/>
        </w:rPr>
        <w:t xml:space="preserve">standing institutional partnership is with NUS. In 2007, the Government of Australia and the Government of Samoa signed an agreement to establish the APTC in Samoa. As a result, an APTC campus was built adjacent to NUS with the parties agreeing to avoid duplication. New facilities established by APTC include commercial kitchens and a training restaurant, workshops to conduct training in the plumbing, metal fabrication and air-conditioning </w:t>
      </w:r>
      <w:r w:rsidR="009C1E93">
        <w:rPr>
          <w:rFonts w:cs="Arial"/>
        </w:rPr>
        <w:t>and</w:t>
      </w:r>
      <w:r w:rsidR="009C1E93" w:rsidRPr="00E00E5F">
        <w:rPr>
          <w:rFonts w:cs="Arial"/>
        </w:rPr>
        <w:t xml:space="preserve"> </w:t>
      </w:r>
      <w:r w:rsidRPr="00E00E5F">
        <w:rPr>
          <w:rFonts w:cs="Arial"/>
        </w:rPr>
        <w:t>refrigeration trades to the Australian Certificate III standard; computer laboratories; and associated general and theory classrooms</w:t>
      </w:r>
      <w:r>
        <w:rPr>
          <w:rFonts w:cs="Arial"/>
        </w:rPr>
        <w:t xml:space="preserve">. </w:t>
      </w:r>
      <w:r w:rsidRPr="00E00E5F">
        <w:rPr>
          <w:rFonts w:cs="Arial"/>
        </w:rPr>
        <w:t xml:space="preserve"> </w:t>
      </w:r>
    </w:p>
    <w:p w14:paraId="02774E10" w14:textId="77777777" w:rsidR="00B776E0" w:rsidRDefault="00B776E0" w:rsidP="006C7D41">
      <w:pPr>
        <w:shd w:val="clear" w:color="auto" w:fill="E2EFD9" w:themeFill="accent6" w:themeFillTint="33"/>
        <w:rPr>
          <w:rFonts w:cs="Arial"/>
        </w:rPr>
      </w:pPr>
      <w:r w:rsidRPr="00E00E5F">
        <w:rPr>
          <w:rFonts w:cs="Arial"/>
        </w:rPr>
        <w:t xml:space="preserve">The Vice-Chancellor expressed the view that the relationship was close and that it had brought many benefits to staff and students, such as demonstrating training at a higher level, providing training for NUS staff, lifting the status of TVET in the minds of the community and bringing students from other countries onto the campus. </w:t>
      </w:r>
    </w:p>
    <w:p w14:paraId="35FA74FC" w14:textId="77777777" w:rsidR="00B776E0" w:rsidRPr="00FC4B5D" w:rsidRDefault="00B776E0" w:rsidP="006C7D41">
      <w:pPr>
        <w:shd w:val="clear" w:color="auto" w:fill="E2EFD9" w:themeFill="accent6" w:themeFillTint="33"/>
        <w:rPr>
          <w:rFonts w:cs="Arial"/>
          <w:sz w:val="18"/>
        </w:rPr>
      </w:pPr>
      <w:r w:rsidRPr="00FC4B5D">
        <w:rPr>
          <w:rFonts w:cs="Arial"/>
          <w:sz w:val="18"/>
        </w:rPr>
        <w:t xml:space="preserve">Source: Review team interview with Vice-Chancellor </w:t>
      </w:r>
    </w:p>
    <w:p w14:paraId="5B51C468" w14:textId="2D5DA9E8" w:rsidR="006C7D41" w:rsidRDefault="006C7D41">
      <w:pPr>
        <w:spacing w:after="0"/>
        <w:rPr>
          <w:rFonts w:cs="Arial"/>
        </w:rPr>
      </w:pPr>
      <w:r>
        <w:rPr>
          <w:rFonts w:cs="Arial"/>
        </w:rPr>
        <w:br w:type="page"/>
      </w:r>
    </w:p>
    <w:p w14:paraId="7D4BEDC4" w14:textId="77777777" w:rsidR="00553DF2" w:rsidRDefault="00553DF2">
      <w:pPr>
        <w:spacing w:after="0"/>
        <w:rPr>
          <w:rFonts w:cs="Arial"/>
        </w:rPr>
      </w:pPr>
    </w:p>
    <w:p w14:paraId="52BD16AB" w14:textId="77777777" w:rsidR="00B776E0" w:rsidRPr="00E00E5F" w:rsidRDefault="00B776E0" w:rsidP="006C7D41">
      <w:pPr>
        <w:shd w:val="clear" w:color="auto" w:fill="E2EFD9" w:themeFill="accent6" w:themeFillTint="33"/>
        <w:rPr>
          <w:rFonts w:cs="Arial"/>
          <w:b/>
        </w:rPr>
      </w:pPr>
      <w:r w:rsidRPr="00E00E5F">
        <w:rPr>
          <w:rFonts w:cs="Arial"/>
          <w:b/>
        </w:rPr>
        <w:t>Don Bosco Technical Institute</w:t>
      </w:r>
      <w:r>
        <w:rPr>
          <w:rFonts w:cs="Arial"/>
          <w:b/>
        </w:rPr>
        <w:t xml:space="preserve"> (DBTI)</w:t>
      </w:r>
      <w:r w:rsidRPr="00E00E5F">
        <w:rPr>
          <w:rFonts w:cs="Arial"/>
          <w:b/>
        </w:rPr>
        <w:t>, Solomon Islands</w:t>
      </w:r>
    </w:p>
    <w:p w14:paraId="3B1B7FC1" w14:textId="77777777" w:rsidR="00B776E0" w:rsidRDefault="00B776E0" w:rsidP="006C7D41">
      <w:pPr>
        <w:shd w:val="clear" w:color="auto" w:fill="E2EFD9" w:themeFill="accent6" w:themeFillTint="33"/>
        <w:rPr>
          <w:rFonts w:cs="Arial"/>
        </w:rPr>
      </w:pPr>
      <w:r>
        <w:rPr>
          <w:rFonts w:cs="Arial"/>
        </w:rPr>
        <w:t xml:space="preserve">The APTC/DBTI partnership is the most recent one to be established. DBTI caters for students from generally poor families with limited opportunity for vocational training. The partnership involves the upgrading of the automotive and construction workshops and joint delivery of Certificate II level programs by Australian and national staff. Successful students will have a pathway opportunity by applying for an APTC scholarship to complete level III. </w:t>
      </w:r>
    </w:p>
    <w:p w14:paraId="2900DC97" w14:textId="77777777" w:rsidR="00B776E0" w:rsidRDefault="00B776E0" w:rsidP="006C7D41">
      <w:pPr>
        <w:shd w:val="clear" w:color="auto" w:fill="E2EFD9" w:themeFill="accent6" w:themeFillTint="33"/>
        <w:rPr>
          <w:rFonts w:cs="Arial"/>
        </w:rPr>
      </w:pPr>
      <w:r>
        <w:rPr>
          <w:rFonts w:cs="Arial"/>
        </w:rPr>
        <w:t xml:space="preserve">A critical component of the partnership is supporting the pathway through </w:t>
      </w:r>
      <w:r w:rsidRPr="00D118FE">
        <w:rPr>
          <w:rFonts w:cs="Arial"/>
          <w:i/>
        </w:rPr>
        <w:t>joint delivery</w:t>
      </w:r>
      <w:r>
        <w:rPr>
          <w:rFonts w:cs="Arial"/>
        </w:rPr>
        <w:t xml:space="preserve"> as a means of up</w:t>
      </w:r>
      <w:r w:rsidR="00F00B44">
        <w:rPr>
          <w:rFonts w:cs="Arial"/>
        </w:rPr>
        <w:t>-</w:t>
      </w:r>
      <w:r>
        <w:rPr>
          <w:rFonts w:cs="Arial"/>
        </w:rPr>
        <w:t>skilling DBTI staff. This occurs in a staged approach. It starts with the APTC</w:t>
      </w:r>
      <w:r w:rsidRPr="00DE5F64">
        <w:rPr>
          <w:rFonts w:cs="Arial"/>
        </w:rPr>
        <w:t xml:space="preserve"> trainer identif</w:t>
      </w:r>
      <w:r>
        <w:rPr>
          <w:rFonts w:cs="Arial"/>
        </w:rPr>
        <w:t>ying</w:t>
      </w:r>
      <w:r w:rsidRPr="00DE5F64">
        <w:rPr>
          <w:rFonts w:cs="Arial"/>
        </w:rPr>
        <w:t xml:space="preserve"> the skills of </w:t>
      </w:r>
      <w:r w:rsidR="00F00B44">
        <w:rPr>
          <w:rFonts w:cs="Arial"/>
        </w:rPr>
        <w:t xml:space="preserve">the </w:t>
      </w:r>
      <w:r w:rsidRPr="00DE5F64">
        <w:rPr>
          <w:rFonts w:cs="Arial"/>
        </w:rPr>
        <w:t>D</w:t>
      </w:r>
      <w:r>
        <w:rPr>
          <w:rFonts w:cs="Arial"/>
        </w:rPr>
        <w:t>BTI</w:t>
      </w:r>
      <w:r w:rsidRPr="00DE5F64">
        <w:rPr>
          <w:rFonts w:cs="Arial"/>
        </w:rPr>
        <w:t xml:space="preserve"> tutor </w:t>
      </w:r>
      <w:r>
        <w:rPr>
          <w:rFonts w:cs="Arial"/>
        </w:rPr>
        <w:t>so that these can be complemented</w:t>
      </w:r>
      <w:r w:rsidRPr="00DE5F64">
        <w:rPr>
          <w:rFonts w:cs="Arial"/>
        </w:rPr>
        <w:t xml:space="preserve"> in the training program</w:t>
      </w:r>
      <w:r>
        <w:rPr>
          <w:rFonts w:cs="Arial"/>
        </w:rPr>
        <w:t>. The DBTI</w:t>
      </w:r>
      <w:r w:rsidRPr="00DE5F64">
        <w:rPr>
          <w:rFonts w:cs="Arial"/>
        </w:rPr>
        <w:t xml:space="preserve"> tutor </w:t>
      </w:r>
      <w:r>
        <w:rPr>
          <w:rFonts w:cs="Arial"/>
        </w:rPr>
        <w:t xml:space="preserve">then </w:t>
      </w:r>
      <w:r w:rsidRPr="00DE5F64">
        <w:rPr>
          <w:rFonts w:cs="Arial"/>
        </w:rPr>
        <w:t xml:space="preserve">participates in </w:t>
      </w:r>
      <w:r>
        <w:rPr>
          <w:rFonts w:cs="Arial"/>
        </w:rPr>
        <w:t xml:space="preserve">the </w:t>
      </w:r>
      <w:r w:rsidRPr="00DE5F64">
        <w:rPr>
          <w:rFonts w:cs="Arial"/>
        </w:rPr>
        <w:t>classes as both a tutor and a student</w:t>
      </w:r>
      <w:r>
        <w:rPr>
          <w:rFonts w:cs="Arial"/>
        </w:rPr>
        <w:t xml:space="preserve">. </w:t>
      </w:r>
      <w:r w:rsidRPr="00DE5F64">
        <w:rPr>
          <w:rFonts w:cs="Arial"/>
        </w:rPr>
        <w:t xml:space="preserve">After a number of weeks, </w:t>
      </w:r>
      <w:r>
        <w:rPr>
          <w:rFonts w:cs="Arial"/>
        </w:rPr>
        <w:t>the DBTI</w:t>
      </w:r>
      <w:r w:rsidRPr="00DE5F64">
        <w:rPr>
          <w:rFonts w:cs="Arial"/>
        </w:rPr>
        <w:t xml:space="preserve"> tutor takes over the class in a review of the previous weeks’ training content</w:t>
      </w:r>
      <w:r>
        <w:rPr>
          <w:rFonts w:cs="Arial"/>
        </w:rPr>
        <w:t>. An assessment by the APTC trainer of the sk</w:t>
      </w:r>
      <w:r w:rsidRPr="00DE5F64">
        <w:rPr>
          <w:rFonts w:cs="Arial"/>
        </w:rPr>
        <w:t>ills and knowledge of the training package demonstrated by the D</w:t>
      </w:r>
      <w:r>
        <w:rPr>
          <w:rFonts w:cs="Arial"/>
        </w:rPr>
        <w:t>BTI</w:t>
      </w:r>
      <w:r w:rsidRPr="00DE5F64">
        <w:rPr>
          <w:rFonts w:cs="Arial"/>
        </w:rPr>
        <w:t xml:space="preserve"> tutor </w:t>
      </w:r>
      <w:r>
        <w:rPr>
          <w:rFonts w:cs="Arial"/>
        </w:rPr>
        <w:t>allows f</w:t>
      </w:r>
      <w:r w:rsidRPr="00DE5F64">
        <w:rPr>
          <w:rFonts w:cs="Arial"/>
        </w:rPr>
        <w:t>eedback on areas for improvement</w:t>
      </w:r>
      <w:r>
        <w:rPr>
          <w:rFonts w:cs="Arial"/>
        </w:rPr>
        <w:t xml:space="preserve"> to be given. By this time</w:t>
      </w:r>
      <w:r w:rsidR="00A44BA1">
        <w:rPr>
          <w:rFonts w:cs="Arial"/>
        </w:rPr>
        <w:t>,</w:t>
      </w:r>
      <w:r>
        <w:rPr>
          <w:rFonts w:cs="Arial"/>
        </w:rPr>
        <w:t xml:space="preserve"> the DBTI tutor can take over </w:t>
      </w:r>
      <w:r w:rsidRPr="00DE5F64">
        <w:rPr>
          <w:rFonts w:cs="Arial"/>
        </w:rPr>
        <w:t>a group for practical training</w:t>
      </w:r>
      <w:r>
        <w:rPr>
          <w:rFonts w:cs="Arial"/>
        </w:rPr>
        <w:t xml:space="preserve"> i</w:t>
      </w:r>
      <w:r w:rsidRPr="00DE5F64">
        <w:rPr>
          <w:rFonts w:cs="Arial"/>
        </w:rPr>
        <w:t>n the workshop</w:t>
      </w:r>
      <w:r>
        <w:rPr>
          <w:rFonts w:cs="Arial"/>
        </w:rPr>
        <w:t xml:space="preserve">. </w:t>
      </w:r>
      <w:r w:rsidRPr="00DE5F64">
        <w:rPr>
          <w:rFonts w:cs="Arial"/>
        </w:rPr>
        <w:t>Progressively, the A</w:t>
      </w:r>
      <w:r>
        <w:rPr>
          <w:rFonts w:cs="Arial"/>
        </w:rPr>
        <w:t>PTC</w:t>
      </w:r>
      <w:r w:rsidRPr="00DE5F64">
        <w:rPr>
          <w:rFonts w:cs="Arial"/>
        </w:rPr>
        <w:t xml:space="preserve"> trainer coaches the D</w:t>
      </w:r>
      <w:r>
        <w:rPr>
          <w:rFonts w:cs="Arial"/>
        </w:rPr>
        <w:t>BTI</w:t>
      </w:r>
      <w:r w:rsidRPr="00DE5F64">
        <w:rPr>
          <w:rFonts w:cs="Arial"/>
        </w:rPr>
        <w:t xml:space="preserve"> tutor in the elements of compliance with Australian standards</w:t>
      </w:r>
      <w:r>
        <w:rPr>
          <w:rFonts w:cs="Arial"/>
        </w:rPr>
        <w:t>, such as</w:t>
      </w:r>
      <w:r w:rsidRPr="00DE5F64">
        <w:rPr>
          <w:rFonts w:cs="Arial"/>
        </w:rPr>
        <w:t xml:space="preserve"> assessment processes, feedback to and from students</w:t>
      </w:r>
      <w:r>
        <w:rPr>
          <w:rFonts w:cs="Arial"/>
        </w:rPr>
        <w:t xml:space="preserve"> and</w:t>
      </w:r>
      <w:r w:rsidRPr="00DE5F64">
        <w:rPr>
          <w:rFonts w:cs="Arial"/>
        </w:rPr>
        <w:t xml:space="preserve"> documentation.</w:t>
      </w:r>
    </w:p>
    <w:p w14:paraId="211B5FA7" w14:textId="77777777" w:rsidR="00B776E0" w:rsidRPr="00FC4B5D" w:rsidRDefault="00B776E0" w:rsidP="006C7D41">
      <w:pPr>
        <w:shd w:val="clear" w:color="auto" w:fill="E2EFD9" w:themeFill="accent6" w:themeFillTint="33"/>
        <w:rPr>
          <w:rFonts w:cs="Arial"/>
          <w:sz w:val="18"/>
        </w:rPr>
      </w:pPr>
      <w:r w:rsidRPr="00FC4B5D">
        <w:rPr>
          <w:rFonts w:cs="Arial"/>
          <w:sz w:val="18"/>
        </w:rPr>
        <w:t>Source: Review team consultation with DBTI and APTC staff</w:t>
      </w:r>
    </w:p>
    <w:p w14:paraId="099FADEF" w14:textId="77777777" w:rsidR="00B776E0" w:rsidRPr="008E7579" w:rsidRDefault="00B776E0" w:rsidP="00B776E0">
      <w:pPr>
        <w:rPr>
          <w:rFonts w:cs="Arial"/>
          <w:sz w:val="8"/>
        </w:rPr>
      </w:pPr>
    </w:p>
    <w:p w14:paraId="2A1CB6E9" w14:textId="77777777" w:rsidR="00B776E0" w:rsidRPr="00FC4B5D" w:rsidRDefault="00B776E0" w:rsidP="006C7D41">
      <w:pPr>
        <w:shd w:val="clear" w:color="auto" w:fill="E2EFD9" w:themeFill="accent6" w:themeFillTint="33"/>
        <w:rPr>
          <w:rFonts w:cs="Arial"/>
        </w:rPr>
      </w:pPr>
      <w:r w:rsidRPr="00FC4B5D">
        <w:rPr>
          <w:rFonts w:cs="Arial"/>
          <w:b/>
        </w:rPr>
        <w:t>Kiribati Institute of Technology (KIT)</w:t>
      </w:r>
      <w:r w:rsidRPr="00FC4B5D">
        <w:rPr>
          <w:rFonts w:cs="Arial"/>
        </w:rPr>
        <w:t xml:space="preserve"> </w:t>
      </w:r>
    </w:p>
    <w:p w14:paraId="2AA1DA05" w14:textId="77777777" w:rsidR="00B776E0" w:rsidRPr="001D0DB3" w:rsidRDefault="00B776E0" w:rsidP="006C7D41">
      <w:pPr>
        <w:shd w:val="clear" w:color="auto" w:fill="E2EFD9" w:themeFill="accent6" w:themeFillTint="33"/>
        <w:rPr>
          <w:rFonts w:cs="Arial"/>
        </w:rPr>
      </w:pPr>
      <w:r w:rsidRPr="001D0DB3">
        <w:rPr>
          <w:rFonts w:cs="Arial"/>
        </w:rPr>
        <w:t xml:space="preserve">The first group of KIT students to be awarded APTC scholarships </w:t>
      </w:r>
      <w:r>
        <w:rPr>
          <w:rFonts w:cs="Arial"/>
        </w:rPr>
        <w:t xml:space="preserve">had </w:t>
      </w:r>
      <w:r w:rsidRPr="001D0DB3">
        <w:rPr>
          <w:rFonts w:cs="Arial"/>
        </w:rPr>
        <w:t>completed the Australian Certificate II in Construction</w:t>
      </w:r>
      <w:r>
        <w:rPr>
          <w:rFonts w:cs="Arial"/>
        </w:rPr>
        <w:t xml:space="preserve"> at KIT</w:t>
      </w:r>
      <w:r w:rsidRPr="001D0DB3">
        <w:rPr>
          <w:rFonts w:cs="Arial"/>
        </w:rPr>
        <w:t xml:space="preserve">. This </w:t>
      </w:r>
      <w:r>
        <w:rPr>
          <w:rFonts w:cs="Arial"/>
        </w:rPr>
        <w:t>had taken</w:t>
      </w:r>
      <w:r w:rsidRPr="001D0DB3">
        <w:rPr>
          <w:rFonts w:cs="Arial"/>
        </w:rPr>
        <w:t xml:space="preserve"> 18 months</w:t>
      </w:r>
      <w:r w:rsidR="00651B0B">
        <w:rPr>
          <w:rFonts w:cs="Arial"/>
        </w:rPr>
        <w:t>,</w:t>
      </w:r>
      <w:r w:rsidRPr="001D0DB3">
        <w:rPr>
          <w:rFonts w:cs="Arial"/>
        </w:rPr>
        <w:t xml:space="preserve"> as many students (aged 35 and below) needed </w:t>
      </w:r>
      <w:r>
        <w:rPr>
          <w:rFonts w:cs="Arial"/>
        </w:rPr>
        <w:t xml:space="preserve">various forms of support. </w:t>
      </w:r>
    </w:p>
    <w:p w14:paraId="1E35AF56" w14:textId="6F373C20" w:rsidR="00B776E0" w:rsidRPr="001D0DB3" w:rsidRDefault="00B776E0" w:rsidP="006C7D41">
      <w:pPr>
        <w:shd w:val="clear" w:color="auto" w:fill="E2EFD9" w:themeFill="accent6" w:themeFillTint="33"/>
        <w:rPr>
          <w:rFonts w:cs="Arial"/>
        </w:rPr>
      </w:pPr>
      <w:r w:rsidRPr="001D0DB3">
        <w:rPr>
          <w:rFonts w:cs="Arial"/>
        </w:rPr>
        <w:t xml:space="preserve">Scholarships were granted for students to </w:t>
      </w:r>
      <w:r>
        <w:rPr>
          <w:rFonts w:cs="Arial"/>
        </w:rPr>
        <w:t>undertake</w:t>
      </w:r>
      <w:r w:rsidRPr="001D0DB3">
        <w:rPr>
          <w:rFonts w:cs="Arial"/>
        </w:rPr>
        <w:t xml:space="preserve"> the Certificate III, which was completed in </w:t>
      </w:r>
      <w:r w:rsidR="00F1671C">
        <w:rPr>
          <w:rFonts w:cs="Arial"/>
        </w:rPr>
        <w:t>five</w:t>
      </w:r>
      <w:r w:rsidR="00F1671C" w:rsidRPr="001D0DB3">
        <w:rPr>
          <w:rFonts w:cs="Arial"/>
        </w:rPr>
        <w:t xml:space="preserve"> </w:t>
      </w:r>
      <w:r w:rsidRPr="001D0DB3">
        <w:rPr>
          <w:rFonts w:cs="Arial"/>
        </w:rPr>
        <w:t>months full-time</w:t>
      </w:r>
      <w:r>
        <w:rPr>
          <w:rFonts w:cs="Arial"/>
        </w:rPr>
        <w:t xml:space="preserve"> with a</w:t>
      </w:r>
      <w:r w:rsidRPr="001D0DB3">
        <w:rPr>
          <w:rFonts w:cs="Arial"/>
        </w:rPr>
        <w:t xml:space="preserve"> 100</w:t>
      </w:r>
      <w:r w:rsidR="00F1671C">
        <w:rPr>
          <w:rFonts w:cs="Arial"/>
        </w:rPr>
        <w:t xml:space="preserve"> per cent</w:t>
      </w:r>
      <w:r w:rsidR="00F1671C" w:rsidRPr="001D0DB3">
        <w:rPr>
          <w:rFonts w:cs="Arial"/>
        </w:rPr>
        <w:t xml:space="preserve"> </w:t>
      </w:r>
      <w:r w:rsidRPr="001D0DB3">
        <w:rPr>
          <w:rFonts w:cs="Arial"/>
        </w:rPr>
        <w:t xml:space="preserve">pass rate. Subsequently all students </w:t>
      </w:r>
      <w:r w:rsidR="00A92B9C">
        <w:rPr>
          <w:rFonts w:cs="Arial"/>
        </w:rPr>
        <w:t>gained</w:t>
      </w:r>
      <w:r w:rsidR="00A92B9C" w:rsidRPr="001D0DB3">
        <w:rPr>
          <w:rFonts w:cs="Arial"/>
        </w:rPr>
        <w:t xml:space="preserve"> </w:t>
      </w:r>
      <w:r w:rsidRPr="001D0DB3">
        <w:rPr>
          <w:rFonts w:cs="Arial"/>
        </w:rPr>
        <w:t xml:space="preserve">jobs, many with a New Zealand company working in Kiribati on a major road construction project. </w:t>
      </w:r>
      <w:r w:rsidR="00D21BCB">
        <w:rPr>
          <w:rFonts w:cs="Arial"/>
        </w:rPr>
        <w:t>T</w:t>
      </w:r>
      <w:r>
        <w:rPr>
          <w:rFonts w:cs="Arial"/>
        </w:rPr>
        <w:t xml:space="preserve">he company </w:t>
      </w:r>
      <w:r w:rsidRPr="001D0DB3">
        <w:rPr>
          <w:rFonts w:cs="Arial"/>
        </w:rPr>
        <w:t>regarded the students as ‘work ready’.</w:t>
      </w:r>
    </w:p>
    <w:p w14:paraId="0C942E97" w14:textId="5E3E6CA7" w:rsidR="00B776E0" w:rsidRPr="003B791F" w:rsidRDefault="00B776E0" w:rsidP="006C7D41">
      <w:pPr>
        <w:shd w:val="clear" w:color="auto" w:fill="E2EFD9" w:themeFill="accent6" w:themeFillTint="33"/>
        <w:rPr>
          <w:rFonts w:cs="Arial"/>
        </w:rPr>
      </w:pPr>
      <w:r w:rsidRPr="003B791F">
        <w:rPr>
          <w:rFonts w:cs="Arial"/>
        </w:rPr>
        <w:t xml:space="preserve">A tracer study of 11 graduates </w:t>
      </w:r>
      <w:r w:rsidR="00693A80">
        <w:rPr>
          <w:rFonts w:cs="Arial"/>
        </w:rPr>
        <w:t>10</w:t>
      </w:r>
      <w:r w:rsidR="00693A80" w:rsidRPr="003B791F">
        <w:rPr>
          <w:rFonts w:cs="Arial"/>
        </w:rPr>
        <w:t xml:space="preserve"> </w:t>
      </w:r>
      <w:r w:rsidRPr="003B791F">
        <w:rPr>
          <w:rFonts w:cs="Arial"/>
        </w:rPr>
        <w:t xml:space="preserve">months </w:t>
      </w:r>
      <w:r w:rsidR="009E58D1">
        <w:rPr>
          <w:rFonts w:cs="Arial"/>
        </w:rPr>
        <w:t>later</w:t>
      </w:r>
      <w:r w:rsidRPr="003B791F">
        <w:rPr>
          <w:rFonts w:cs="Arial"/>
        </w:rPr>
        <w:t xml:space="preserve"> revealed that 15 were still working and nearly all were earning a good salary by Kiribati standards. Of the remaining </w:t>
      </w:r>
      <w:r w:rsidR="00693A80">
        <w:rPr>
          <w:rFonts w:cs="Arial"/>
        </w:rPr>
        <w:t>five</w:t>
      </w:r>
      <w:r w:rsidR="00693A80" w:rsidRPr="003B791F">
        <w:rPr>
          <w:rFonts w:cs="Arial"/>
        </w:rPr>
        <w:t xml:space="preserve"> </w:t>
      </w:r>
      <w:r w:rsidRPr="003B791F">
        <w:rPr>
          <w:rFonts w:cs="Arial"/>
        </w:rPr>
        <w:t xml:space="preserve">that did not make the survey, </w:t>
      </w:r>
      <w:r w:rsidR="00693A80">
        <w:rPr>
          <w:rFonts w:cs="Arial"/>
        </w:rPr>
        <w:t>four</w:t>
      </w:r>
      <w:r w:rsidR="00693A80" w:rsidRPr="003B791F">
        <w:rPr>
          <w:rFonts w:cs="Arial"/>
        </w:rPr>
        <w:t xml:space="preserve"> </w:t>
      </w:r>
      <w:r w:rsidRPr="003B791F">
        <w:rPr>
          <w:rFonts w:cs="Arial"/>
        </w:rPr>
        <w:t xml:space="preserve">were reported </w:t>
      </w:r>
      <w:r w:rsidR="00693A80">
        <w:rPr>
          <w:rFonts w:cs="Arial"/>
        </w:rPr>
        <w:t xml:space="preserve">to be </w:t>
      </w:r>
      <w:r w:rsidRPr="003B791F">
        <w:rPr>
          <w:rFonts w:cs="Arial"/>
        </w:rPr>
        <w:t>working and one unemployed by choice.</w:t>
      </w:r>
      <w:r>
        <w:rPr>
          <w:rFonts w:cs="Arial"/>
        </w:rPr>
        <w:t xml:space="preserve"> </w:t>
      </w:r>
      <w:r w:rsidRPr="003B791F">
        <w:rPr>
          <w:rFonts w:cs="Arial"/>
        </w:rPr>
        <w:t>Three of the graduates (</w:t>
      </w:r>
      <w:r w:rsidR="005E7320">
        <w:rPr>
          <w:rFonts w:cs="Arial"/>
        </w:rPr>
        <w:t>including one</w:t>
      </w:r>
      <w:r w:rsidRPr="003B791F">
        <w:rPr>
          <w:rFonts w:cs="Arial"/>
        </w:rPr>
        <w:t xml:space="preserve"> female) are working as trade teachers in respective secondary schools</w:t>
      </w:r>
      <w:r>
        <w:rPr>
          <w:rFonts w:cs="Arial"/>
        </w:rPr>
        <w:t>.</w:t>
      </w:r>
      <w:r w:rsidRPr="003B791F">
        <w:rPr>
          <w:rFonts w:cs="Arial"/>
        </w:rPr>
        <w:t xml:space="preserve"> </w:t>
      </w:r>
      <w:r>
        <w:rPr>
          <w:rFonts w:cs="Arial"/>
        </w:rPr>
        <w:t xml:space="preserve">Having </w:t>
      </w:r>
      <w:r w:rsidR="00355B67" w:rsidRPr="003B791F">
        <w:rPr>
          <w:rFonts w:cs="Arial"/>
        </w:rPr>
        <w:t>trade</w:t>
      </w:r>
      <w:r w:rsidR="00355B67">
        <w:rPr>
          <w:rFonts w:cs="Arial"/>
        </w:rPr>
        <w:t>-</w:t>
      </w:r>
      <w:r w:rsidRPr="003B791F">
        <w:rPr>
          <w:rFonts w:cs="Arial"/>
        </w:rPr>
        <w:t>qualified people teaching in the schools</w:t>
      </w:r>
      <w:r>
        <w:rPr>
          <w:rFonts w:cs="Arial"/>
        </w:rPr>
        <w:t xml:space="preserve"> is regarded as a successful</w:t>
      </w:r>
      <w:r w:rsidRPr="003B791F">
        <w:rPr>
          <w:rFonts w:cs="Arial"/>
        </w:rPr>
        <w:t xml:space="preserve"> outcome</w:t>
      </w:r>
      <w:r>
        <w:rPr>
          <w:rFonts w:cs="Arial"/>
        </w:rPr>
        <w:t>.</w:t>
      </w:r>
    </w:p>
    <w:p w14:paraId="2BCC211C" w14:textId="2B1E335C" w:rsidR="00B776E0" w:rsidRDefault="00B776E0" w:rsidP="006C7D41">
      <w:pPr>
        <w:shd w:val="clear" w:color="auto" w:fill="E2EFD9" w:themeFill="accent6" w:themeFillTint="33"/>
        <w:rPr>
          <w:rFonts w:cs="Arial"/>
        </w:rPr>
      </w:pPr>
      <w:r w:rsidRPr="001D0DB3">
        <w:rPr>
          <w:rFonts w:cs="Arial"/>
        </w:rPr>
        <w:t>Subsequently, a second group of 15 KIT Certificate II graduates recently completed the Certificate III in Carpentry at APTC.</w:t>
      </w:r>
      <w:r>
        <w:rPr>
          <w:rFonts w:cs="Arial"/>
        </w:rPr>
        <w:t xml:space="preserve"> </w:t>
      </w:r>
      <w:r w:rsidRPr="001D0DB3">
        <w:rPr>
          <w:rFonts w:cs="Arial"/>
        </w:rPr>
        <w:t xml:space="preserve">This means that 31 young I-Kiribati have completed this pathway. </w:t>
      </w:r>
      <w:r>
        <w:rPr>
          <w:rFonts w:cs="Arial"/>
        </w:rPr>
        <w:t>One has a job wi</w:t>
      </w:r>
      <w:r w:rsidR="00F90ED3">
        <w:rPr>
          <w:rFonts w:cs="Arial"/>
        </w:rPr>
        <w:t>th APTC as the Carpentry Store</w:t>
      </w:r>
      <w:r>
        <w:rPr>
          <w:rFonts w:cs="Arial"/>
        </w:rPr>
        <w:t>person</w:t>
      </w:r>
      <w:r w:rsidRPr="001D0DB3">
        <w:rPr>
          <w:rFonts w:cs="Arial"/>
        </w:rPr>
        <w:t xml:space="preserve"> </w:t>
      </w:r>
      <w:r w:rsidRPr="003B791F">
        <w:rPr>
          <w:rFonts w:cs="Arial"/>
        </w:rPr>
        <w:t xml:space="preserve">while two have temporary </w:t>
      </w:r>
      <w:r>
        <w:rPr>
          <w:rFonts w:cs="Arial"/>
        </w:rPr>
        <w:t>government w</w:t>
      </w:r>
      <w:r w:rsidRPr="003B791F">
        <w:rPr>
          <w:rFonts w:cs="Arial"/>
        </w:rPr>
        <w:t>ork</w:t>
      </w:r>
      <w:r>
        <w:rPr>
          <w:rFonts w:cs="Arial"/>
        </w:rPr>
        <w:t>. The resumes of the remaining 13 have been submitted for</w:t>
      </w:r>
      <w:r w:rsidRPr="001D0DB3">
        <w:rPr>
          <w:rFonts w:cs="Arial"/>
        </w:rPr>
        <w:t xml:space="preserve"> jobs supporting a new donor-funded </w:t>
      </w:r>
      <w:r>
        <w:rPr>
          <w:rFonts w:cs="Arial"/>
        </w:rPr>
        <w:t>housing</w:t>
      </w:r>
      <w:r w:rsidRPr="001D0DB3">
        <w:rPr>
          <w:rFonts w:cs="Arial"/>
        </w:rPr>
        <w:t xml:space="preserve"> project at Bairiki</w:t>
      </w:r>
      <w:r>
        <w:rPr>
          <w:rFonts w:cs="Arial"/>
        </w:rPr>
        <w:t>.</w:t>
      </w:r>
    </w:p>
    <w:p w14:paraId="511F093C" w14:textId="77777777" w:rsidR="00B776E0" w:rsidRPr="00FC4B5D" w:rsidRDefault="00B776E0" w:rsidP="006C7D41">
      <w:pPr>
        <w:shd w:val="clear" w:color="auto" w:fill="E2EFD9" w:themeFill="accent6" w:themeFillTint="33"/>
        <w:rPr>
          <w:rFonts w:cs="Arial"/>
          <w:sz w:val="18"/>
        </w:rPr>
      </w:pPr>
      <w:r w:rsidRPr="00FC4B5D">
        <w:rPr>
          <w:rFonts w:cs="Arial"/>
          <w:sz w:val="18"/>
        </w:rPr>
        <w:t>Source: Interview by TVET specialist with Principal KIT</w:t>
      </w:r>
    </w:p>
    <w:p w14:paraId="2EB22960" w14:textId="77777777" w:rsidR="00FC4B5D" w:rsidRPr="00FC4B5D" w:rsidRDefault="00FC4B5D" w:rsidP="00FC4B5D"/>
    <w:p w14:paraId="019928EB" w14:textId="77777777" w:rsidR="006C7D41" w:rsidRDefault="006C7D41">
      <w:pPr>
        <w:spacing w:after="0"/>
        <w:rPr>
          <w:rFonts w:cs="Arial"/>
          <w:b/>
          <w:bCs/>
          <w:color w:val="76923C"/>
          <w:szCs w:val="28"/>
        </w:rPr>
      </w:pPr>
      <w:bookmarkStart w:id="752" w:name="_Toc274900533"/>
      <w:bookmarkStart w:id="753" w:name="_Toc274909915"/>
      <w:bookmarkStart w:id="754" w:name="_Toc278447931"/>
      <w:bookmarkStart w:id="755" w:name="_Toc278453404"/>
      <w:r>
        <w:br w:type="page"/>
      </w:r>
    </w:p>
    <w:p w14:paraId="4630B144" w14:textId="64ED606D" w:rsidR="00B776E0" w:rsidRPr="00D0485C" w:rsidRDefault="00AF051C" w:rsidP="002028A6">
      <w:pPr>
        <w:pStyle w:val="Heading2"/>
      </w:pPr>
      <w:r>
        <w:t>6</w:t>
      </w:r>
      <w:r w:rsidR="006B42C1">
        <w:t>.4</w:t>
      </w:r>
      <w:r w:rsidR="006B42C1">
        <w:tab/>
      </w:r>
      <w:r w:rsidR="00B776E0" w:rsidRPr="00D0485C">
        <w:t xml:space="preserve">To what extent has APTC duplicated the training of local/national </w:t>
      </w:r>
      <w:r w:rsidR="00035CFE">
        <w:br/>
      </w:r>
      <w:r w:rsidR="00035CFE">
        <w:tab/>
      </w:r>
      <w:r w:rsidR="00B776E0" w:rsidRPr="00D0485C">
        <w:t>training providers, or undermined local training capacity?</w:t>
      </w:r>
      <w:bookmarkEnd w:id="752"/>
      <w:bookmarkEnd w:id="753"/>
      <w:bookmarkEnd w:id="754"/>
      <w:bookmarkEnd w:id="755"/>
    </w:p>
    <w:p w14:paraId="550D6541" w14:textId="23B17DA0" w:rsidR="00B776E0" w:rsidRDefault="00B776E0" w:rsidP="00B776E0">
      <w:pPr>
        <w:rPr>
          <w:rFonts w:cs="Arial"/>
        </w:rPr>
      </w:pPr>
      <w:r>
        <w:rPr>
          <w:rFonts w:cs="Arial"/>
        </w:rPr>
        <w:t xml:space="preserve">APTC was established in such a way as to avoid competition with local providers. </w:t>
      </w:r>
      <w:r w:rsidR="002D6934">
        <w:rPr>
          <w:rFonts w:cs="Arial"/>
        </w:rPr>
        <w:t>It </w:t>
      </w:r>
      <w:r>
        <w:rPr>
          <w:rFonts w:cs="Arial"/>
        </w:rPr>
        <w:t xml:space="preserve">was acknowledged by partner institutions during the field visits that this goal has essentially been achieved. As outlined above, there is an over-riding view that APTC </w:t>
      </w:r>
      <w:r w:rsidRPr="004927D6">
        <w:rPr>
          <w:rFonts w:cs="Arial"/>
        </w:rPr>
        <w:t>has introduced training at a higher level than that previously available in the Pacific</w:t>
      </w:r>
      <w:r w:rsidR="00E52AE2">
        <w:rPr>
          <w:rFonts w:cs="Arial"/>
        </w:rPr>
        <w:t>,</w:t>
      </w:r>
      <w:r>
        <w:rPr>
          <w:rFonts w:cs="Arial"/>
        </w:rPr>
        <w:t xml:space="preserve"> which</w:t>
      </w:r>
      <w:r w:rsidRPr="004927D6">
        <w:rPr>
          <w:rFonts w:cs="Arial"/>
        </w:rPr>
        <w:t xml:space="preserve"> </w:t>
      </w:r>
      <w:r>
        <w:rPr>
          <w:rFonts w:cs="Arial"/>
        </w:rPr>
        <w:t>sets a benchmark for quality and therefore a unique standard.</w:t>
      </w:r>
    </w:p>
    <w:p w14:paraId="7DF2497F" w14:textId="77777777" w:rsidR="00B776E0" w:rsidRPr="00F6065B" w:rsidRDefault="00B776E0" w:rsidP="00B776E0">
      <w:pPr>
        <w:rPr>
          <w:rFonts w:cs="Arial"/>
        </w:rPr>
      </w:pPr>
      <w:r>
        <w:rPr>
          <w:rFonts w:cs="Arial"/>
        </w:rPr>
        <w:t>Moreover, APTC has a clear policy of not poaching staff from existing local and partner institutions as this would undermine their capacity. Instead, APTC provides upgrading training for local training staff.</w:t>
      </w:r>
    </w:p>
    <w:p w14:paraId="52FA9A00" w14:textId="6B2D176C" w:rsidR="00B776E0" w:rsidRDefault="00B776E0" w:rsidP="00B776E0">
      <w:pPr>
        <w:rPr>
          <w:rFonts w:cs="Arial"/>
        </w:rPr>
      </w:pPr>
      <w:r w:rsidRPr="00F6065B">
        <w:rPr>
          <w:rFonts w:cs="Arial"/>
        </w:rPr>
        <w:t xml:space="preserve">If anything, there is emerging evidence of other providers duplicating APTC, especially in Fiji. With Certificate IV </w:t>
      </w:r>
      <w:r w:rsidR="006B42C1" w:rsidRPr="006B42C1">
        <w:rPr>
          <w:rFonts w:cs="Arial"/>
        </w:rPr>
        <w:t xml:space="preserve">in Training and Assessment </w:t>
      </w:r>
      <w:r w:rsidRPr="00F6065B">
        <w:rPr>
          <w:rFonts w:cs="Arial"/>
        </w:rPr>
        <w:t xml:space="preserve">gaining momentum as a fee-for-service product, other providers are seeing it as an opportunity. They are sending staff to APTC to undertake the TAE training and either developing their own version of the same course or adapting existing courses designed for TVET staff to incorporate aspects of the TAE qualification. </w:t>
      </w:r>
      <w:r>
        <w:rPr>
          <w:rFonts w:cs="Arial"/>
        </w:rPr>
        <w:t>T</w:t>
      </w:r>
      <w:r w:rsidRPr="00F6065B">
        <w:rPr>
          <w:rFonts w:cs="Arial"/>
        </w:rPr>
        <w:t xml:space="preserve">his may cause </w:t>
      </w:r>
      <w:r>
        <w:rPr>
          <w:rFonts w:cs="Arial"/>
        </w:rPr>
        <w:t xml:space="preserve">some initial </w:t>
      </w:r>
      <w:r w:rsidRPr="00F6065B">
        <w:rPr>
          <w:rFonts w:cs="Arial"/>
        </w:rPr>
        <w:t xml:space="preserve">problems </w:t>
      </w:r>
      <w:r>
        <w:rPr>
          <w:rFonts w:cs="Arial"/>
        </w:rPr>
        <w:t xml:space="preserve">of qualification parity, </w:t>
      </w:r>
      <w:r w:rsidRPr="00F6065B">
        <w:rPr>
          <w:rFonts w:cs="Arial"/>
        </w:rPr>
        <w:t xml:space="preserve">but </w:t>
      </w:r>
      <w:r>
        <w:rPr>
          <w:rFonts w:cs="Arial"/>
        </w:rPr>
        <w:t xml:space="preserve">it </w:t>
      </w:r>
      <w:r w:rsidRPr="00F6065B">
        <w:rPr>
          <w:rFonts w:cs="Arial"/>
        </w:rPr>
        <w:t>shows the impact APTC is having in the Pacific.</w:t>
      </w:r>
      <w:r>
        <w:rPr>
          <w:rFonts w:cs="Arial"/>
        </w:rPr>
        <w:t xml:space="preserve">  </w:t>
      </w:r>
    </w:p>
    <w:p w14:paraId="72F2DE6B" w14:textId="77777777" w:rsidR="00B776E0" w:rsidRDefault="00B776E0" w:rsidP="00B776E0">
      <w:pPr>
        <w:rPr>
          <w:rFonts w:cs="Arial"/>
          <w:color w:val="000000" w:themeColor="text1"/>
        </w:rPr>
      </w:pPr>
    </w:p>
    <w:p w14:paraId="6A4BA8B4" w14:textId="77777777" w:rsidR="003D355F" w:rsidRDefault="00B776E0" w:rsidP="002028A6">
      <w:pPr>
        <w:pStyle w:val="ERFHeading"/>
      </w:pPr>
      <w:r>
        <w:t>Attachments:</w:t>
      </w:r>
    </w:p>
    <w:p w14:paraId="7393E8B7" w14:textId="7F5A4A41" w:rsidR="00B776E0" w:rsidRPr="001917AF" w:rsidRDefault="00B776E0" w:rsidP="00260880">
      <w:pPr>
        <w:pStyle w:val="ListParagraph"/>
        <w:numPr>
          <w:ilvl w:val="0"/>
          <w:numId w:val="40"/>
        </w:numPr>
        <w:rPr>
          <w:rFonts w:cs="Arial"/>
          <w:color w:val="000000" w:themeColor="text1"/>
        </w:rPr>
      </w:pPr>
      <w:r w:rsidRPr="001917AF">
        <w:rPr>
          <w:rFonts w:cs="Arial"/>
          <w:color w:val="000000" w:themeColor="text1"/>
        </w:rPr>
        <w:t xml:space="preserve">Overview of </w:t>
      </w:r>
      <w:r w:rsidR="003255C0">
        <w:rPr>
          <w:rFonts w:cs="Arial"/>
          <w:color w:val="000000" w:themeColor="text1"/>
        </w:rPr>
        <w:t xml:space="preserve">RTO </w:t>
      </w:r>
      <w:r w:rsidR="000B2683">
        <w:rPr>
          <w:rFonts w:cs="Arial"/>
          <w:color w:val="000000" w:themeColor="text1"/>
        </w:rPr>
        <w:t>a</w:t>
      </w:r>
      <w:r w:rsidR="000B2683" w:rsidRPr="001917AF">
        <w:rPr>
          <w:rFonts w:cs="Arial"/>
          <w:color w:val="000000" w:themeColor="text1"/>
        </w:rPr>
        <w:t xml:space="preserve">udit </w:t>
      </w:r>
      <w:r w:rsidR="000B2683">
        <w:rPr>
          <w:rFonts w:cs="Arial"/>
          <w:color w:val="000000" w:themeColor="text1"/>
        </w:rPr>
        <w:t>s</w:t>
      </w:r>
      <w:r w:rsidR="000B2683" w:rsidRPr="001917AF">
        <w:rPr>
          <w:rFonts w:cs="Arial"/>
          <w:color w:val="000000" w:themeColor="text1"/>
        </w:rPr>
        <w:t>chedules</w:t>
      </w:r>
      <w:r w:rsidR="000B2683">
        <w:rPr>
          <w:rFonts w:cs="Arial"/>
          <w:color w:val="000000" w:themeColor="text1"/>
        </w:rPr>
        <w:br/>
      </w:r>
    </w:p>
    <w:p w14:paraId="18A55CD7" w14:textId="77777777" w:rsidR="0073321E" w:rsidRDefault="0073321E" w:rsidP="00260880">
      <w:pPr>
        <w:pStyle w:val="ListParagraph"/>
        <w:numPr>
          <w:ilvl w:val="0"/>
          <w:numId w:val="40"/>
        </w:numPr>
        <w:rPr>
          <w:rFonts w:cs="Arial"/>
          <w:color w:val="000000" w:themeColor="text1"/>
        </w:rPr>
      </w:pPr>
      <w:r>
        <w:rPr>
          <w:rFonts w:cs="Arial"/>
          <w:color w:val="000000" w:themeColor="text1"/>
        </w:rPr>
        <w:t>The future of APTC scholarships</w:t>
      </w:r>
    </w:p>
    <w:p w14:paraId="1D528D9F" w14:textId="77777777" w:rsidR="00891AB3" w:rsidRDefault="00891AB3" w:rsidP="000859B4">
      <w:pPr>
        <w:pStyle w:val="ListParagraph"/>
        <w:numPr>
          <w:ilvl w:val="0"/>
          <w:numId w:val="0"/>
        </w:numPr>
        <w:ind w:left="360"/>
        <w:rPr>
          <w:rFonts w:cs="Arial"/>
          <w:color w:val="000000" w:themeColor="text1"/>
        </w:rPr>
      </w:pPr>
    </w:p>
    <w:p w14:paraId="7F4DB1AA" w14:textId="1FC4EB8F" w:rsidR="00B776E0" w:rsidRPr="000859B4" w:rsidRDefault="00B776E0" w:rsidP="000859B4">
      <w:pPr>
        <w:pStyle w:val="ListParagraph"/>
        <w:numPr>
          <w:ilvl w:val="0"/>
          <w:numId w:val="40"/>
        </w:numPr>
        <w:rPr>
          <w:rFonts w:cs="Arial"/>
          <w:color w:val="000000" w:themeColor="text1"/>
        </w:rPr>
      </w:pPr>
      <w:r w:rsidRPr="001917AF">
        <w:rPr>
          <w:rFonts w:cs="Arial"/>
          <w:color w:val="000000" w:themeColor="text1"/>
        </w:rPr>
        <w:t xml:space="preserve">APTC </w:t>
      </w:r>
      <w:r w:rsidR="000B2683">
        <w:rPr>
          <w:rFonts w:cs="Arial"/>
          <w:color w:val="000000" w:themeColor="text1"/>
        </w:rPr>
        <w:t xml:space="preserve">engagement </w:t>
      </w:r>
      <w:r>
        <w:rPr>
          <w:rFonts w:cs="Arial"/>
          <w:color w:val="000000" w:themeColor="text1"/>
        </w:rPr>
        <w:t xml:space="preserve">with the Pacific TVET </w:t>
      </w:r>
      <w:r w:rsidR="000B2683">
        <w:rPr>
          <w:rFonts w:cs="Arial"/>
          <w:color w:val="000000" w:themeColor="text1"/>
        </w:rPr>
        <w:t>sector</w:t>
      </w:r>
    </w:p>
    <w:p w14:paraId="62A5BFFD" w14:textId="77777777" w:rsidR="00B776E0" w:rsidRPr="00A71DF0" w:rsidRDefault="00B776E0" w:rsidP="009A63BD">
      <w:pPr>
        <w:pStyle w:val="Heading1"/>
      </w:pPr>
      <w:r>
        <w:rPr>
          <w:color w:val="000000" w:themeColor="text1"/>
        </w:rPr>
        <w:br w:type="page"/>
      </w:r>
      <w:bookmarkStart w:id="756" w:name="_Toc278447932"/>
      <w:bookmarkStart w:id="757" w:name="_Toc278453405"/>
      <w:r w:rsidRPr="00A71DF0">
        <w:t>Attachment 1</w:t>
      </w:r>
      <w:r w:rsidR="006B42C1">
        <w:t xml:space="preserve"> to Annex 6</w:t>
      </w:r>
      <w:r w:rsidRPr="00A71DF0">
        <w:t xml:space="preserve">: Overview of RTO Audit Schedules – </w:t>
      </w:r>
      <w:r w:rsidR="001F5811">
        <w:t>Stage II</w:t>
      </w:r>
      <w:bookmarkEnd w:id="756"/>
      <w:bookmarkEnd w:id="757"/>
    </w:p>
    <w:tbl>
      <w:tblPr>
        <w:tblW w:w="8222" w:type="dxa"/>
        <w:tblCellMar>
          <w:left w:w="0" w:type="dxa"/>
          <w:right w:w="0" w:type="dxa"/>
        </w:tblCellMar>
        <w:tblLook w:val="04A0" w:firstRow="1" w:lastRow="0" w:firstColumn="1" w:lastColumn="0" w:noHBand="0" w:noVBand="1"/>
      </w:tblPr>
      <w:tblGrid>
        <w:gridCol w:w="1465"/>
        <w:gridCol w:w="5447"/>
        <w:gridCol w:w="1310"/>
      </w:tblGrid>
      <w:tr w:rsidR="00B776E0" w:rsidRPr="00FC4B5D" w14:paraId="5DDCA9EE" w14:textId="77777777" w:rsidTr="00E378DA">
        <w:tc>
          <w:tcPr>
            <w:tcW w:w="8222" w:type="dxa"/>
            <w:gridSpan w:val="3"/>
            <w:shd w:val="clear" w:color="auto" w:fill="C5E0B3" w:themeFill="accent6" w:themeFillTint="66"/>
            <w:tcMar>
              <w:top w:w="0" w:type="dxa"/>
              <w:left w:w="108" w:type="dxa"/>
              <w:bottom w:w="0" w:type="dxa"/>
              <w:right w:w="108" w:type="dxa"/>
            </w:tcMar>
          </w:tcPr>
          <w:p w14:paraId="0BC34938" w14:textId="77777777" w:rsidR="00B776E0" w:rsidRPr="00FC4B5D" w:rsidRDefault="00B776E0" w:rsidP="00FC4B5D">
            <w:pPr>
              <w:spacing w:before="40" w:after="40"/>
              <w:jc w:val="center"/>
              <w:rPr>
                <w:rFonts w:cs="Arial"/>
                <w:b/>
                <w:sz w:val="18"/>
              </w:rPr>
            </w:pPr>
            <w:r w:rsidRPr="00FC4B5D">
              <w:rPr>
                <w:rFonts w:cs="Arial"/>
                <w:b/>
                <w:sz w:val="18"/>
              </w:rPr>
              <w:t>School of Hospitality and Community Services – Box Hill Institute</w:t>
            </w:r>
          </w:p>
        </w:tc>
      </w:tr>
      <w:tr w:rsidR="00B776E0" w:rsidRPr="00A96D23" w14:paraId="3FBC0DB8" w14:textId="77777777" w:rsidTr="006C7D41">
        <w:tc>
          <w:tcPr>
            <w:tcW w:w="1465" w:type="dxa"/>
            <w:tcMar>
              <w:top w:w="0" w:type="dxa"/>
              <w:left w:w="108" w:type="dxa"/>
              <w:bottom w:w="0" w:type="dxa"/>
              <w:right w:w="108" w:type="dxa"/>
            </w:tcMar>
          </w:tcPr>
          <w:p w14:paraId="756FFF53" w14:textId="77777777" w:rsidR="00B776E0" w:rsidRPr="00A96D23" w:rsidRDefault="00546F37" w:rsidP="00FC4B5D">
            <w:pPr>
              <w:spacing w:before="40" w:after="40"/>
              <w:rPr>
                <w:rFonts w:cs="Arial"/>
                <w:b/>
                <w:sz w:val="18"/>
              </w:rPr>
            </w:pPr>
            <w:r w:rsidRPr="00546F37">
              <w:rPr>
                <w:rFonts w:cs="Arial"/>
                <w:b/>
                <w:sz w:val="18"/>
              </w:rPr>
              <w:t>Date</w:t>
            </w:r>
          </w:p>
        </w:tc>
        <w:tc>
          <w:tcPr>
            <w:tcW w:w="5447" w:type="dxa"/>
            <w:tcMar>
              <w:top w:w="0" w:type="dxa"/>
              <w:left w:w="108" w:type="dxa"/>
              <w:bottom w:w="0" w:type="dxa"/>
              <w:right w:w="108" w:type="dxa"/>
            </w:tcMar>
          </w:tcPr>
          <w:p w14:paraId="64A31A9F" w14:textId="77777777" w:rsidR="00B776E0" w:rsidRPr="00A96D23" w:rsidRDefault="00546F37" w:rsidP="00FC4B5D">
            <w:pPr>
              <w:spacing w:before="40" w:after="40"/>
              <w:rPr>
                <w:rFonts w:cs="Arial"/>
                <w:b/>
                <w:sz w:val="18"/>
              </w:rPr>
            </w:pPr>
            <w:r w:rsidRPr="00546F37">
              <w:rPr>
                <w:rFonts w:cs="Arial"/>
                <w:b/>
                <w:sz w:val="18"/>
              </w:rPr>
              <w:t xml:space="preserve">Course </w:t>
            </w:r>
          </w:p>
        </w:tc>
        <w:tc>
          <w:tcPr>
            <w:tcW w:w="1310" w:type="dxa"/>
            <w:tcMar>
              <w:top w:w="0" w:type="dxa"/>
              <w:left w:w="108" w:type="dxa"/>
              <w:bottom w:w="0" w:type="dxa"/>
              <w:right w:w="108" w:type="dxa"/>
            </w:tcMar>
          </w:tcPr>
          <w:p w14:paraId="60412F2F" w14:textId="77777777" w:rsidR="00B776E0" w:rsidRPr="00A96D23" w:rsidRDefault="00546F37" w:rsidP="00FC4B5D">
            <w:pPr>
              <w:spacing w:before="40" w:after="40"/>
              <w:rPr>
                <w:rFonts w:cs="Arial"/>
                <w:b/>
                <w:sz w:val="18"/>
              </w:rPr>
            </w:pPr>
            <w:r w:rsidRPr="00546F37">
              <w:rPr>
                <w:rFonts w:cs="Arial"/>
                <w:b/>
                <w:sz w:val="18"/>
              </w:rPr>
              <w:t>Country</w:t>
            </w:r>
          </w:p>
        </w:tc>
      </w:tr>
      <w:tr w:rsidR="00B776E0" w:rsidRPr="00FC4B5D" w14:paraId="343B1E02" w14:textId="77777777" w:rsidTr="006C7D41">
        <w:tc>
          <w:tcPr>
            <w:tcW w:w="1465" w:type="dxa"/>
            <w:tcBorders>
              <w:bottom w:val="single" w:sz="4" w:space="0" w:color="A8D08D" w:themeColor="accent6" w:themeTint="99"/>
            </w:tcBorders>
            <w:tcMar>
              <w:top w:w="0" w:type="dxa"/>
              <w:left w:w="108" w:type="dxa"/>
              <w:bottom w:w="0" w:type="dxa"/>
              <w:right w:w="108" w:type="dxa"/>
            </w:tcMar>
          </w:tcPr>
          <w:p w14:paraId="2C67180C" w14:textId="77777777" w:rsidR="00B776E0" w:rsidRPr="00FC4B5D" w:rsidRDefault="00B776E0" w:rsidP="00FC4B5D">
            <w:pPr>
              <w:spacing w:before="40" w:after="40"/>
              <w:rPr>
                <w:rFonts w:cs="Arial"/>
                <w:sz w:val="18"/>
              </w:rPr>
            </w:pPr>
            <w:r w:rsidRPr="00FC4B5D">
              <w:rPr>
                <w:rFonts w:cs="Arial"/>
                <w:sz w:val="18"/>
              </w:rPr>
              <w:t>December 2012</w:t>
            </w:r>
          </w:p>
        </w:tc>
        <w:tc>
          <w:tcPr>
            <w:tcW w:w="5447" w:type="dxa"/>
            <w:tcBorders>
              <w:bottom w:val="single" w:sz="4" w:space="0" w:color="A8D08D" w:themeColor="accent6" w:themeTint="99"/>
            </w:tcBorders>
            <w:tcMar>
              <w:top w:w="0" w:type="dxa"/>
              <w:left w:w="108" w:type="dxa"/>
              <w:bottom w:w="0" w:type="dxa"/>
              <w:right w:w="108" w:type="dxa"/>
            </w:tcMar>
          </w:tcPr>
          <w:p w14:paraId="0A1253C9" w14:textId="77777777" w:rsidR="00B776E0" w:rsidRPr="00FC4B5D" w:rsidRDefault="00B776E0" w:rsidP="00FC4B5D">
            <w:pPr>
              <w:spacing w:before="40" w:after="40"/>
              <w:rPr>
                <w:rFonts w:cs="Arial"/>
                <w:sz w:val="18"/>
              </w:rPr>
            </w:pPr>
            <w:r w:rsidRPr="00FC4B5D">
              <w:rPr>
                <w:rFonts w:cs="Arial"/>
                <w:sz w:val="18"/>
              </w:rPr>
              <w:t>SIT30807 Certificate III in Hospitality (Commercial Cookery)</w:t>
            </w:r>
          </w:p>
          <w:p w14:paraId="7C250E2C" w14:textId="77777777" w:rsidR="00B776E0" w:rsidRPr="00FC4B5D" w:rsidRDefault="00B776E0" w:rsidP="00FC4B5D">
            <w:pPr>
              <w:spacing w:before="40" w:after="40"/>
              <w:rPr>
                <w:rFonts w:cs="Arial"/>
                <w:sz w:val="18"/>
              </w:rPr>
            </w:pPr>
            <w:r w:rsidRPr="00FC4B5D">
              <w:rPr>
                <w:rFonts w:cs="Arial"/>
                <w:sz w:val="18"/>
              </w:rPr>
              <w:t>SIT30707 Certificate III in Hospitality</w:t>
            </w:r>
          </w:p>
          <w:p w14:paraId="349DAB1E" w14:textId="77777777" w:rsidR="00B776E0" w:rsidRPr="00FC4B5D" w:rsidRDefault="00B776E0" w:rsidP="00FC4B5D">
            <w:pPr>
              <w:spacing w:before="40" w:after="40"/>
              <w:rPr>
                <w:rFonts w:cs="Arial"/>
                <w:sz w:val="18"/>
              </w:rPr>
            </w:pPr>
            <w:r w:rsidRPr="00FC4B5D">
              <w:rPr>
                <w:rFonts w:cs="Arial"/>
                <w:sz w:val="18"/>
              </w:rPr>
              <w:t xml:space="preserve">CHC30708 Certificate III </w:t>
            </w:r>
            <w:r w:rsidR="00797E00">
              <w:rPr>
                <w:rFonts w:cs="Arial"/>
                <w:sz w:val="18"/>
              </w:rPr>
              <w:t xml:space="preserve">in </w:t>
            </w:r>
            <w:r w:rsidRPr="00FC4B5D">
              <w:rPr>
                <w:rFonts w:cs="Arial"/>
                <w:sz w:val="18"/>
              </w:rPr>
              <w:t>Children’s Services</w:t>
            </w:r>
          </w:p>
          <w:p w14:paraId="1FBA5E90" w14:textId="77777777" w:rsidR="00B776E0" w:rsidRPr="00FC4B5D" w:rsidRDefault="00B776E0" w:rsidP="00FC4B5D">
            <w:pPr>
              <w:spacing w:before="40" w:after="40"/>
              <w:rPr>
                <w:rFonts w:cs="Arial"/>
                <w:sz w:val="18"/>
              </w:rPr>
            </w:pPr>
            <w:r w:rsidRPr="00FC4B5D">
              <w:rPr>
                <w:rFonts w:cs="Arial"/>
                <w:sz w:val="18"/>
              </w:rPr>
              <w:t>CHC30208 Cert III in Aged Care/CHC30308 Cert III in Home and Community Care</w:t>
            </w:r>
          </w:p>
        </w:tc>
        <w:tc>
          <w:tcPr>
            <w:tcW w:w="1310" w:type="dxa"/>
            <w:tcBorders>
              <w:bottom w:val="single" w:sz="4" w:space="0" w:color="A8D08D" w:themeColor="accent6" w:themeTint="99"/>
            </w:tcBorders>
            <w:tcMar>
              <w:top w:w="0" w:type="dxa"/>
              <w:left w:w="108" w:type="dxa"/>
              <w:bottom w:w="0" w:type="dxa"/>
              <w:right w:w="108" w:type="dxa"/>
            </w:tcMar>
          </w:tcPr>
          <w:p w14:paraId="4BCA8AC9" w14:textId="77777777" w:rsidR="00B776E0" w:rsidRPr="00FC4B5D" w:rsidRDefault="00B776E0" w:rsidP="00FC4B5D">
            <w:pPr>
              <w:spacing w:before="40" w:after="40"/>
              <w:rPr>
                <w:rFonts w:cs="Arial"/>
                <w:sz w:val="18"/>
              </w:rPr>
            </w:pPr>
            <w:r w:rsidRPr="00FC4B5D">
              <w:rPr>
                <w:rFonts w:cs="Arial"/>
                <w:sz w:val="18"/>
              </w:rPr>
              <w:t>Fiji</w:t>
            </w:r>
          </w:p>
        </w:tc>
      </w:tr>
      <w:tr w:rsidR="00B776E0" w:rsidRPr="00FC4B5D" w14:paraId="5AA5A439" w14:textId="77777777" w:rsidTr="006C7D41">
        <w:tc>
          <w:tcPr>
            <w:tcW w:w="1465"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5AFAF629" w14:textId="77777777" w:rsidR="00B776E0" w:rsidRPr="00FC4B5D" w:rsidRDefault="00B776E0" w:rsidP="00FC4B5D">
            <w:pPr>
              <w:spacing w:before="40" w:after="40"/>
              <w:rPr>
                <w:rFonts w:cs="Arial"/>
                <w:sz w:val="18"/>
              </w:rPr>
            </w:pPr>
            <w:r w:rsidRPr="00FC4B5D">
              <w:rPr>
                <w:rFonts w:cs="Arial"/>
                <w:sz w:val="18"/>
              </w:rPr>
              <w:t>May 2013</w:t>
            </w:r>
          </w:p>
        </w:tc>
        <w:tc>
          <w:tcPr>
            <w:tcW w:w="5447"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68C26F04" w14:textId="77777777" w:rsidR="00B776E0" w:rsidRPr="00FC4B5D" w:rsidRDefault="00B776E0" w:rsidP="00FC4B5D">
            <w:pPr>
              <w:spacing w:before="40" w:after="40"/>
              <w:rPr>
                <w:rFonts w:cs="Arial"/>
                <w:sz w:val="18"/>
              </w:rPr>
            </w:pPr>
            <w:r w:rsidRPr="00FC4B5D">
              <w:rPr>
                <w:rFonts w:cs="Arial"/>
                <w:sz w:val="18"/>
              </w:rPr>
              <w:t>SIT30707 Certificate III in Hospitality</w:t>
            </w:r>
          </w:p>
          <w:p w14:paraId="0629CA6B" w14:textId="77777777" w:rsidR="00B776E0" w:rsidRPr="00FC4B5D" w:rsidRDefault="00B776E0" w:rsidP="00FC4B5D">
            <w:pPr>
              <w:spacing w:before="40" w:after="40"/>
              <w:rPr>
                <w:rFonts w:cs="Arial"/>
                <w:sz w:val="18"/>
              </w:rPr>
            </w:pPr>
            <w:r w:rsidRPr="00FC4B5D">
              <w:rPr>
                <w:rFonts w:cs="Arial"/>
                <w:sz w:val="18"/>
              </w:rPr>
              <w:t>SIT30107 Certificate III in Tourism</w:t>
            </w:r>
          </w:p>
          <w:p w14:paraId="0C4715CF" w14:textId="77777777" w:rsidR="00B776E0" w:rsidRPr="00FC4B5D" w:rsidRDefault="00B776E0" w:rsidP="00FC4B5D">
            <w:pPr>
              <w:spacing w:before="40" w:after="40"/>
              <w:rPr>
                <w:rFonts w:cs="Arial"/>
                <w:sz w:val="18"/>
              </w:rPr>
            </w:pPr>
            <w:r w:rsidRPr="00FC4B5D">
              <w:rPr>
                <w:rFonts w:cs="Arial"/>
                <w:sz w:val="18"/>
              </w:rPr>
              <w:t>CHC50612 Diploma of Community Services</w:t>
            </w:r>
          </w:p>
          <w:p w14:paraId="1E1C5CC0" w14:textId="77777777" w:rsidR="00B776E0" w:rsidRPr="00FC4B5D" w:rsidRDefault="00B776E0" w:rsidP="00FC4B5D">
            <w:pPr>
              <w:spacing w:before="40" w:after="40"/>
              <w:rPr>
                <w:rFonts w:cs="Arial"/>
                <w:sz w:val="18"/>
              </w:rPr>
            </w:pPr>
            <w:r w:rsidRPr="00FC4B5D">
              <w:rPr>
                <w:rFonts w:cs="Arial"/>
                <w:sz w:val="18"/>
              </w:rPr>
              <w:t>CHC30712 Certificate III in Children’s Services</w:t>
            </w:r>
          </w:p>
        </w:tc>
        <w:tc>
          <w:tcPr>
            <w:tcW w:w="1310"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411EEE38" w14:textId="77777777" w:rsidR="00B776E0" w:rsidRPr="00FC4B5D" w:rsidRDefault="00B776E0" w:rsidP="00FC4B5D">
            <w:pPr>
              <w:spacing w:before="40" w:after="40"/>
              <w:rPr>
                <w:rFonts w:cs="Arial"/>
                <w:sz w:val="18"/>
              </w:rPr>
            </w:pPr>
            <w:r w:rsidRPr="00FC4B5D">
              <w:rPr>
                <w:rFonts w:cs="Arial"/>
                <w:sz w:val="18"/>
              </w:rPr>
              <w:t>Vanuatu</w:t>
            </w:r>
          </w:p>
        </w:tc>
      </w:tr>
      <w:tr w:rsidR="00B776E0" w:rsidRPr="00FC4B5D" w14:paraId="56F5626A" w14:textId="77777777" w:rsidTr="006C7D41">
        <w:tc>
          <w:tcPr>
            <w:tcW w:w="1465"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1F99FC4B" w14:textId="77777777" w:rsidR="00B776E0" w:rsidRPr="00FC4B5D" w:rsidRDefault="00B776E0" w:rsidP="00FC4B5D">
            <w:pPr>
              <w:spacing w:before="40" w:after="40"/>
              <w:rPr>
                <w:rFonts w:cs="Arial"/>
                <w:sz w:val="18"/>
              </w:rPr>
            </w:pPr>
            <w:r w:rsidRPr="00FC4B5D">
              <w:rPr>
                <w:rFonts w:cs="Arial"/>
                <w:sz w:val="18"/>
              </w:rPr>
              <w:t>May 2013</w:t>
            </w:r>
          </w:p>
        </w:tc>
        <w:tc>
          <w:tcPr>
            <w:tcW w:w="5447"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71709E10" w14:textId="77777777" w:rsidR="00B776E0" w:rsidRPr="00FC4B5D" w:rsidRDefault="00B776E0" w:rsidP="00FC4B5D">
            <w:pPr>
              <w:spacing w:before="40" w:after="40"/>
              <w:rPr>
                <w:rFonts w:cs="Arial"/>
                <w:sz w:val="18"/>
              </w:rPr>
            </w:pPr>
            <w:r w:rsidRPr="00FC4B5D">
              <w:rPr>
                <w:rFonts w:cs="Arial"/>
                <w:sz w:val="18"/>
              </w:rPr>
              <w:t>CHC30412 Certificate III in Disability</w:t>
            </w:r>
          </w:p>
          <w:p w14:paraId="086CBD55" w14:textId="77777777" w:rsidR="00B776E0" w:rsidRPr="00FC4B5D" w:rsidRDefault="00B776E0" w:rsidP="00FC4B5D">
            <w:pPr>
              <w:spacing w:before="40" w:after="40"/>
              <w:rPr>
                <w:rFonts w:cs="Arial"/>
                <w:sz w:val="18"/>
              </w:rPr>
            </w:pPr>
            <w:r w:rsidRPr="00FC4B5D">
              <w:rPr>
                <w:rFonts w:cs="Arial"/>
                <w:sz w:val="18"/>
              </w:rPr>
              <w:t>SIT30707 Certificate III in Hospitality</w:t>
            </w:r>
          </w:p>
          <w:p w14:paraId="4EA8208C" w14:textId="77777777" w:rsidR="00B776E0" w:rsidRPr="00FC4B5D" w:rsidRDefault="00B776E0" w:rsidP="00FC4B5D">
            <w:pPr>
              <w:spacing w:before="40" w:after="40"/>
              <w:rPr>
                <w:rFonts w:cs="Arial"/>
                <w:sz w:val="18"/>
              </w:rPr>
            </w:pPr>
            <w:r w:rsidRPr="00FC4B5D">
              <w:rPr>
                <w:rFonts w:cs="Arial"/>
                <w:sz w:val="18"/>
              </w:rPr>
              <w:t>CHC30712 Certificate III in Children’s Services</w:t>
            </w:r>
          </w:p>
          <w:p w14:paraId="22F57D51" w14:textId="77777777" w:rsidR="00B776E0" w:rsidRPr="00FC4B5D" w:rsidRDefault="00B776E0" w:rsidP="00FC4B5D">
            <w:pPr>
              <w:spacing w:before="40" w:after="40"/>
              <w:rPr>
                <w:rFonts w:cs="Arial"/>
                <w:sz w:val="18"/>
              </w:rPr>
            </w:pPr>
            <w:r w:rsidRPr="00FC4B5D">
              <w:rPr>
                <w:rFonts w:cs="Arial"/>
                <w:sz w:val="18"/>
              </w:rPr>
              <w:t>SIT30107 Certificate III in Tourism</w:t>
            </w:r>
          </w:p>
          <w:p w14:paraId="3ED559D4" w14:textId="77777777" w:rsidR="00B776E0" w:rsidRPr="00FC4B5D" w:rsidRDefault="00B776E0" w:rsidP="00FC4B5D">
            <w:pPr>
              <w:spacing w:before="40" w:after="40"/>
              <w:rPr>
                <w:rFonts w:cs="Arial"/>
                <w:sz w:val="18"/>
              </w:rPr>
            </w:pPr>
            <w:r w:rsidRPr="00FC4B5D">
              <w:rPr>
                <w:rFonts w:cs="Arial"/>
                <w:sz w:val="18"/>
              </w:rPr>
              <w:t>HLTFA301B Apply first aid</w:t>
            </w:r>
          </w:p>
        </w:tc>
        <w:tc>
          <w:tcPr>
            <w:tcW w:w="1310"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19E3E5D9" w14:textId="77777777" w:rsidR="00B776E0" w:rsidRPr="00FC4B5D" w:rsidRDefault="00B776E0" w:rsidP="00FC4B5D">
            <w:pPr>
              <w:spacing w:before="40" w:after="40"/>
              <w:rPr>
                <w:rFonts w:cs="Arial"/>
                <w:sz w:val="18"/>
              </w:rPr>
            </w:pPr>
            <w:r w:rsidRPr="00FC4B5D">
              <w:rPr>
                <w:rFonts w:cs="Arial"/>
                <w:sz w:val="18"/>
              </w:rPr>
              <w:t>Samoa</w:t>
            </w:r>
          </w:p>
        </w:tc>
      </w:tr>
      <w:tr w:rsidR="00B776E0" w:rsidRPr="00FC4B5D" w14:paraId="7DF072BF" w14:textId="77777777" w:rsidTr="006C7D41">
        <w:tc>
          <w:tcPr>
            <w:tcW w:w="1465"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1ECD5945" w14:textId="77777777" w:rsidR="00B776E0" w:rsidRPr="00FC4B5D" w:rsidRDefault="00B776E0" w:rsidP="00FC4B5D">
            <w:pPr>
              <w:spacing w:before="40" w:after="40"/>
              <w:rPr>
                <w:rFonts w:cs="Arial"/>
                <w:sz w:val="18"/>
              </w:rPr>
            </w:pPr>
            <w:r w:rsidRPr="00FC4B5D">
              <w:rPr>
                <w:rFonts w:cs="Arial"/>
                <w:sz w:val="18"/>
              </w:rPr>
              <w:t>July 2014</w:t>
            </w:r>
          </w:p>
        </w:tc>
        <w:tc>
          <w:tcPr>
            <w:tcW w:w="5447"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46E680F6" w14:textId="77777777" w:rsidR="00B776E0" w:rsidRPr="00FC4B5D" w:rsidRDefault="00B776E0" w:rsidP="00FC4B5D">
            <w:pPr>
              <w:spacing w:before="40" w:after="40"/>
              <w:rPr>
                <w:rFonts w:cs="Arial"/>
                <w:sz w:val="18"/>
              </w:rPr>
            </w:pPr>
            <w:r w:rsidRPr="00FC4B5D">
              <w:rPr>
                <w:rFonts w:cs="Arial"/>
                <w:sz w:val="18"/>
              </w:rPr>
              <w:t>SIT30713 Certificate III in Hospitality</w:t>
            </w:r>
          </w:p>
          <w:p w14:paraId="13EE2F7E" w14:textId="77777777" w:rsidR="00B776E0" w:rsidRPr="00FC4B5D" w:rsidRDefault="00B776E0" w:rsidP="00FC4B5D">
            <w:pPr>
              <w:spacing w:before="40" w:after="40"/>
              <w:rPr>
                <w:rFonts w:cs="Arial"/>
                <w:sz w:val="18"/>
              </w:rPr>
            </w:pPr>
            <w:r w:rsidRPr="00FC4B5D">
              <w:rPr>
                <w:rFonts w:cs="Arial"/>
                <w:sz w:val="18"/>
              </w:rPr>
              <w:t>SIT30813 Certificate III in Commercial Cookery</w:t>
            </w:r>
          </w:p>
          <w:p w14:paraId="33A0AB3F" w14:textId="77777777" w:rsidR="00B776E0" w:rsidRPr="00FC4B5D" w:rsidRDefault="00B776E0" w:rsidP="00FC4B5D">
            <w:pPr>
              <w:spacing w:before="40" w:after="40"/>
              <w:rPr>
                <w:rFonts w:cs="Arial"/>
                <w:sz w:val="18"/>
              </w:rPr>
            </w:pPr>
            <w:r w:rsidRPr="00FC4B5D">
              <w:rPr>
                <w:rFonts w:cs="Arial"/>
                <w:sz w:val="18"/>
              </w:rPr>
              <w:t>TAE40110 Certificate IV in Training and Assessment</w:t>
            </w:r>
          </w:p>
        </w:tc>
        <w:tc>
          <w:tcPr>
            <w:tcW w:w="1310"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35D66BC0" w14:textId="77777777" w:rsidR="00B776E0" w:rsidRPr="00FC4B5D" w:rsidRDefault="00B776E0" w:rsidP="00FC4B5D">
            <w:pPr>
              <w:spacing w:before="40" w:after="40"/>
              <w:rPr>
                <w:rFonts w:cs="Arial"/>
                <w:sz w:val="18"/>
              </w:rPr>
            </w:pPr>
            <w:r w:rsidRPr="00FC4B5D">
              <w:rPr>
                <w:rFonts w:cs="Arial"/>
                <w:sz w:val="18"/>
              </w:rPr>
              <w:t>Samoa</w:t>
            </w:r>
          </w:p>
        </w:tc>
      </w:tr>
      <w:tr w:rsidR="00B776E0" w:rsidRPr="00FC4B5D" w14:paraId="00CE7C97" w14:textId="77777777" w:rsidTr="006C7D41">
        <w:tc>
          <w:tcPr>
            <w:tcW w:w="1465"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0C6F0CF7" w14:textId="77777777" w:rsidR="00B776E0" w:rsidRPr="00FC4B5D" w:rsidRDefault="00B776E0" w:rsidP="00FC4B5D">
            <w:pPr>
              <w:spacing w:before="40" w:after="40"/>
              <w:rPr>
                <w:rFonts w:cs="Arial"/>
                <w:sz w:val="18"/>
              </w:rPr>
            </w:pPr>
            <w:r w:rsidRPr="00FC4B5D">
              <w:rPr>
                <w:rFonts w:cs="Arial"/>
                <w:sz w:val="18"/>
              </w:rPr>
              <w:t>July 2014</w:t>
            </w:r>
          </w:p>
        </w:tc>
        <w:tc>
          <w:tcPr>
            <w:tcW w:w="5447"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1B5111B6" w14:textId="77777777" w:rsidR="00B776E0" w:rsidRPr="00FC4B5D" w:rsidRDefault="00B776E0" w:rsidP="00FC4B5D">
            <w:pPr>
              <w:spacing w:before="40" w:after="40"/>
              <w:rPr>
                <w:rFonts w:cs="Arial"/>
                <w:sz w:val="18"/>
              </w:rPr>
            </w:pPr>
            <w:r w:rsidRPr="00FC4B5D">
              <w:rPr>
                <w:rFonts w:cs="Arial"/>
                <w:sz w:val="18"/>
              </w:rPr>
              <w:t>SIT30813 Certificate III in Commercial Cookery</w:t>
            </w:r>
          </w:p>
          <w:p w14:paraId="10212C84" w14:textId="77777777" w:rsidR="00B776E0" w:rsidRPr="00FC4B5D" w:rsidRDefault="00B776E0" w:rsidP="00FC4B5D">
            <w:pPr>
              <w:spacing w:before="40" w:after="40"/>
              <w:rPr>
                <w:rFonts w:cs="Arial"/>
                <w:sz w:val="18"/>
              </w:rPr>
            </w:pPr>
            <w:r w:rsidRPr="00FC4B5D">
              <w:rPr>
                <w:rFonts w:cs="Arial"/>
                <w:sz w:val="18"/>
              </w:rPr>
              <w:t>CHC41812 Certificate IV in Youth Work</w:t>
            </w:r>
          </w:p>
          <w:p w14:paraId="63B57CAC" w14:textId="77777777" w:rsidR="00B776E0" w:rsidRPr="00FC4B5D" w:rsidRDefault="00B776E0" w:rsidP="00FC4B5D">
            <w:pPr>
              <w:spacing w:before="40" w:after="40"/>
              <w:rPr>
                <w:rFonts w:cs="Arial"/>
                <w:sz w:val="18"/>
              </w:rPr>
            </w:pPr>
            <w:r w:rsidRPr="00FC4B5D">
              <w:rPr>
                <w:rFonts w:cs="Arial"/>
                <w:sz w:val="18"/>
              </w:rPr>
              <w:t>TAE50111 Diploma of Vocational Education and Training</w:t>
            </w:r>
          </w:p>
        </w:tc>
        <w:tc>
          <w:tcPr>
            <w:tcW w:w="1310"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447CBF94" w14:textId="77777777" w:rsidR="00B776E0" w:rsidRPr="00FC4B5D" w:rsidRDefault="00B776E0" w:rsidP="00FC4B5D">
            <w:pPr>
              <w:spacing w:before="40" w:after="40"/>
              <w:rPr>
                <w:rFonts w:cs="Arial"/>
                <w:sz w:val="18"/>
              </w:rPr>
            </w:pPr>
            <w:r w:rsidRPr="00FC4B5D">
              <w:rPr>
                <w:rFonts w:cs="Arial"/>
                <w:sz w:val="18"/>
              </w:rPr>
              <w:t>Fiji</w:t>
            </w:r>
          </w:p>
        </w:tc>
      </w:tr>
      <w:tr w:rsidR="00B776E0" w:rsidRPr="00FC4B5D" w14:paraId="43B368A2" w14:textId="77777777" w:rsidTr="006C7D41">
        <w:tc>
          <w:tcPr>
            <w:tcW w:w="1465"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0C8E6EF2" w14:textId="77777777" w:rsidR="00B776E0" w:rsidRPr="00FC4B5D" w:rsidRDefault="00B776E0" w:rsidP="00FC4B5D">
            <w:pPr>
              <w:spacing w:before="40" w:after="40"/>
              <w:rPr>
                <w:rFonts w:cs="Arial"/>
                <w:i/>
                <w:sz w:val="18"/>
              </w:rPr>
            </w:pPr>
            <w:r w:rsidRPr="00FC4B5D">
              <w:rPr>
                <w:rFonts w:cs="Arial"/>
                <w:i/>
                <w:sz w:val="18"/>
              </w:rPr>
              <w:t>November 2014</w:t>
            </w:r>
          </w:p>
        </w:tc>
        <w:tc>
          <w:tcPr>
            <w:tcW w:w="5447"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4F42F555" w14:textId="77777777" w:rsidR="00B776E0" w:rsidRPr="00FC4B5D" w:rsidRDefault="00B776E0" w:rsidP="00FC4B5D">
            <w:pPr>
              <w:spacing w:before="40" w:after="40"/>
              <w:rPr>
                <w:rFonts w:cs="Arial"/>
                <w:i/>
                <w:sz w:val="18"/>
              </w:rPr>
            </w:pPr>
            <w:r w:rsidRPr="00FC4B5D">
              <w:rPr>
                <w:rFonts w:cs="Arial"/>
                <w:i/>
                <w:sz w:val="18"/>
              </w:rPr>
              <w:t>SIT30112 Certificate III in Tourism</w:t>
            </w:r>
          </w:p>
          <w:p w14:paraId="56CAA4CB" w14:textId="77777777" w:rsidR="00B776E0" w:rsidRPr="00FC4B5D" w:rsidRDefault="00B776E0" w:rsidP="00FC4B5D">
            <w:pPr>
              <w:spacing w:before="40" w:after="40"/>
              <w:rPr>
                <w:rFonts w:cs="Arial"/>
                <w:i/>
                <w:sz w:val="18"/>
              </w:rPr>
            </w:pPr>
            <w:r w:rsidRPr="00FC4B5D">
              <w:rPr>
                <w:rFonts w:cs="Arial"/>
                <w:i/>
                <w:sz w:val="18"/>
              </w:rPr>
              <w:t>CHC40808 Certificate III in Community Development</w:t>
            </w:r>
          </w:p>
          <w:p w14:paraId="3720D8E9" w14:textId="77777777" w:rsidR="00B776E0" w:rsidRPr="00FC4B5D" w:rsidRDefault="00B776E0" w:rsidP="00FC4B5D">
            <w:pPr>
              <w:spacing w:before="40" w:after="40"/>
              <w:rPr>
                <w:rFonts w:cs="Arial"/>
                <w:i/>
                <w:sz w:val="18"/>
              </w:rPr>
            </w:pPr>
            <w:r w:rsidRPr="00FC4B5D">
              <w:rPr>
                <w:rFonts w:cs="Arial"/>
                <w:i/>
                <w:sz w:val="18"/>
              </w:rPr>
              <w:t>SIT30713 Certificate III in Hospitality</w:t>
            </w:r>
          </w:p>
        </w:tc>
        <w:tc>
          <w:tcPr>
            <w:tcW w:w="1310" w:type="dxa"/>
            <w:tcBorders>
              <w:top w:val="single" w:sz="4" w:space="0" w:color="A8D08D" w:themeColor="accent6" w:themeTint="99"/>
              <w:bottom w:val="single" w:sz="4" w:space="0" w:color="A8D08D" w:themeColor="accent6" w:themeTint="99"/>
            </w:tcBorders>
            <w:tcMar>
              <w:top w:w="0" w:type="dxa"/>
              <w:left w:w="108" w:type="dxa"/>
              <w:bottom w:w="0" w:type="dxa"/>
              <w:right w:w="108" w:type="dxa"/>
            </w:tcMar>
          </w:tcPr>
          <w:p w14:paraId="022E4255" w14:textId="77777777" w:rsidR="00B776E0" w:rsidRPr="00FC4B5D" w:rsidRDefault="00B776E0" w:rsidP="00FC4B5D">
            <w:pPr>
              <w:spacing w:before="40" w:after="40"/>
              <w:rPr>
                <w:rFonts w:cs="Arial"/>
                <w:i/>
                <w:sz w:val="18"/>
              </w:rPr>
            </w:pPr>
            <w:r w:rsidRPr="00FC4B5D">
              <w:rPr>
                <w:rFonts w:cs="Arial"/>
                <w:i/>
                <w:sz w:val="18"/>
              </w:rPr>
              <w:t>Vanuatu</w:t>
            </w:r>
          </w:p>
        </w:tc>
      </w:tr>
      <w:tr w:rsidR="00B776E0" w:rsidRPr="00FC4B5D" w14:paraId="24BE6ABB" w14:textId="77777777" w:rsidTr="006C7D41">
        <w:tc>
          <w:tcPr>
            <w:tcW w:w="1465" w:type="dxa"/>
            <w:tcBorders>
              <w:top w:val="single" w:sz="4" w:space="0" w:color="A8D08D" w:themeColor="accent6" w:themeTint="99"/>
            </w:tcBorders>
            <w:tcMar>
              <w:top w:w="0" w:type="dxa"/>
              <w:left w:w="108" w:type="dxa"/>
              <w:bottom w:w="0" w:type="dxa"/>
              <w:right w:w="108" w:type="dxa"/>
            </w:tcMar>
          </w:tcPr>
          <w:p w14:paraId="54C1D9B5" w14:textId="77777777" w:rsidR="00B776E0" w:rsidRPr="00FC4B5D" w:rsidRDefault="00B776E0" w:rsidP="00FC4B5D">
            <w:pPr>
              <w:spacing w:before="40" w:after="40"/>
              <w:rPr>
                <w:rFonts w:cs="Arial"/>
                <w:i/>
                <w:sz w:val="18"/>
              </w:rPr>
            </w:pPr>
            <w:r w:rsidRPr="00FC4B5D">
              <w:rPr>
                <w:rFonts w:cs="Arial"/>
                <w:i/>
                <w:sz w:val="18"/>
              </w:rPr>
              <w:t>November 2014</w:t>
            </w:r>
          </w:p>
        </w:tc>
        <w:tc>
          <w:tcPr>
            <w:tcW w:w="5447" w:type="dxa"/>
            <w:tcBorders>
              <w:top w:val="single" w:sz="4" w:space="0" w:color="A8D08D" w:themeColor="accent6" w:themeTint="99"/>
            </w:tcBorders>
            <w:tcMar>
              <w:top w:w="0" w:type="dxa"/>
              <w:left w:w="108" w:type="dxa"/>
              <w:bottom w:w="0" w:type="dxa"/>
              <w:right w:w="108" w:type="dxa"/>
            </w:tcMar>
          </w:tcPr>
          <w:p w14:paraId="2BC9D0D8" w14:textId="77777777" w:rsidR="00B776E0" w:rsidRPr="00FC4B5D" w:rsidRDefault="00B776E0" w:rsidP="00FC4B5D">
            <w:pPr>
              <w:spacing w:before="40" w:after="40"/>
              <w:rPr>
                <w:rFonts w:cs="Arial"/>
                <w:i/>
                <w:sz w:val="18"/>
              </w:rPr>
            </w:pPr>
            <w:r w:rsidRPr="00FC4B5D">
              <w:rPr>
                <w:rFonts w:cs="Arial"/>
                <w:i/>
                <w:sz w:val="18"/>
              </w:rPr>
              <w:t>SIT30713 Certificate III in Hospitality</w:t>
            </w:r>
          </w:p>
          <w:p w14:paraId="785DAB02" w14:textId="77777777" w:rsidR="00B776E0" w:rsidRPr="00FC4B5D" w:rsidRDefault="00B776E0" w:rsidP="00FC4B5D">
            <w:pPr>
              <w:spacing w:before="40" w:after="40"/>
              <w:rPr>
                <w:rFonts w:cs="Arial"/>
                <w:i/>
                <w:sz w:val="18"/>
              </w:rPr>
            </w:pPr>
            <w:r w:rsidRPr="00FC4B5D">
              <w:rPr>
                <w:rFonts w:cs="Arial"/>
                <w:i/>
                <w:sz w:val="18"/>
              </w:rPr>
              <w:t>TAE40110 Certificate IV in Training and Assessment</w:t>
            </w:r>
          </w:p>
        </w:tc>
        <w:tc>
          <w:tcPr>
            <w:tcW w:w="1310" w:type="dxa"/>
            <w:tcBorders>
              <w:top w:val="single" w:sz="4" w:space="0" w:color="A8D08D" w:themeColor="accent6" w:themeTint="99"/>
            </w:tcBorders>
            <w:tcMar>
              <w:top w:w="0" w:type="dxa"/>
              <w:left w:w="108" w:type="dxa"/>
              <w:bottom w:w="0" w:type="dxa"/>
              <w:right w:w="108" w:type="dxa"/>
            </w:tcMar>
          </w:tcPr>
          <w:p w14:paraId="3C7662F0" w14:textId="77777777" w:rsidR="00B776E0" w:rsidRPr="00FC4B5D" w:rsidRDefault="00B776E0" w:rsidP="00FC4B5D">
            <w:pPr>
              <w:spacing w:before="40" w:after="40"/>
              <w:rPr>
                <w:rFonts w:cs="Arial"/>
                <w:i/>
                <w:sz w:val="18"/>
              </w:rPr>
            </w:pPr>
            <w:r w:rsidRPr="00FC4B5D">
              <w:rPr>
                <w:rFonts w:cs="Arial"/>
                <w:i/>
                <w:sz w:val="18"/>
              </w:rPr>
              <w:t>PNG</w:t>
            </w:r>
          </w:p>
        </w:tc>
      </w:tr>
      <w:tr w:rsidR="00B776E0" w:rsidRPr="00FC4B5D" w14:paraId="087A18D0" w14:textId="77777777" w:rsidTr="006C7D41">
        <w:tc>
          <w:tcPr>
            <w:tcW w:w="8222" w:type="dxa"/>
            <w:gridSpan w:val="3"/>
            <w:shd w:val="clear" w:color="auto" w:fill="E2EFD9" w:themeFill="accent6" w:themeFillTint="33"/>
            <w:tcMar>
              <w:top w:w="0" w:type="dxa"/>
              <w:left w:w="108" w:type="dxa"/>
              <w:bottom w:w="0" w:type="dxa"/>
              <w:right w:w="108" w:type="dxa"/>
            </w:tcMar>
          </w:tcPr>
          <w:p w14:paraId="38113DBC" w14:textId="77777777" w:rsidR="00B776E0" w:rsidRPr="00892604" w:rsidRDefault="00546F37" w:rsidP="00FC4B5D">
            <w:pPr>
              <w:spacing w:before="40" w:after="40"/>
              <w:jc w:val="center"/>
              <w:rPr>
                <w:rFonts w:cs="Arial"/>
                <w:b/>
                <w:sz w:val="18"/>
              </w:rPr>
            </w:pPr>
            <w:r w:rsidRPr="00546F37">
              <w:rPr>
                <w:rFonts w:cs="Arial"/>
                <w:b/>
                <w:sz w:val="18"/>
              </w:rPr>
              <w:t>19 audits to end August 2014</w:t>
            </w:r>
          </w:p>
        </w:tc>
      </w:tr>
    </w:tbl>
    <w:p w14:paraId="4F1689ED" w14:textId="77777777" w:rsidR="00B776E0" w:rsidRPr="000504B2" w:rsidRDefault="00B776E0" w:rsidP="00B776E0">
      <w:pPr>
        <w:rPr>
          <w:rFonts w:cs="Arial"/>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1"/>
        <w:gridCol w:w="2740"/>
        <w:gridCol w:w="2741"/>
      </w:tblGrid>
      <w:tr w:rsidR="00B776E0" w:rsidRPr="003F101B" w14:paraId="1C6722DD" w14:textId="77777777" w:rsidTr="00E378DA">
        <w:tc>
          <w:tcPr>
            <w:tcW w:w="8222" w:type="dxa"/>
            <w:gridSpan w:val="3"/>
            <w:shd w:val="clear" w:color="auto" w:fill="C5E0B3" w:themeFill="accent6" w:themeFillTint="66"/>
          </w:tcPr>
          <w:p w14:paraId="2EB622F0" w14:textId="77777777" w:rsidR="00B776E0" w:rsidRPr="003F101B" w:rsidRDefault="00B776E0" w:rsidP="003F101B">
            <w:pPr>
              <w:spacing w:before="40" w:after="40"/>
              <w:jc w:val="center"/>
              <w:rPr>
                <w:rFonts w:cs="Arial"/>
                <w:sz w:val="18"/>
              </w:rPr>
            </w:pPr>
            <w:r w:rsidRPr="003F101B">
              <w:rPr>
                <w:rFonts w:cs="Arial"/>
                <w:b/>
                <w:bCs/>
                <w:sz w:val="18"/>
                <w:lang w:eastAsia="en-AU"/>
              </w:rPr>
              <w:t>School of Trades and Technology – TAFE Queensland East Coast</w:t>
            </w:r>
          </w:p>
        </w:tc>
      </w:tr>
      <w:tr w:rsidR="00B776E0" w:rsidRPr="00EA1FDD" w14:paraId="0CC28D32" w14:textId="77777777" w:rsidTr="006C7D41">
        <w:tc>
          <w:tcPr>
            <w:tcW w:w="2741" w:type="dxa"/>
          </w:tcPr>
          <w:p w14:paraId="3BB12B50" w14:textId="77777777" w:rsidR="00B776E0" w:rsidRPr="00EA1FDD" w:rsidRDefault="00546F37" w:rsidP="003F101B">
            <w:pPr>
              <w:spacing w:before="40" w:after="40"/>
              <w:rPr>
                <w:rFonts w:cs="Arial"/>
                <w:b/>
                <w:sz w:val="18"/>
              </w:rPr>
            </w:pPr>
            <w:r w:rsidRPr="00546F37">
              <w:rPr>
                <w:rFonts w:cs="Arial"/>
                <w:b/>
                <w:sz w:val="18"/>
              </w:rPr>
              <w:t>Trade</w:t>
            </w:r>
          </w:p>
        </w:tc>
        <w:tc>
          <w:tcPr>
            <w:tcW w:w="2740" w:type="dxa"/>
          </w:tcPr>
          <w:p w14:paraId="16D76A4A" w14:textId="77777777" w:rsidR="00B776E0" w:rsidRPr="00EA1FDD" w:rsidRDefault="00546F37" w:rsidP="003F101B">
            <w:pPr>
              <w:spacing w:before="40" w:after="40"/>
              <w:jc w:val="center"/>
              <w:rPr>
                <w:rFonts w:cs="Arial"/>
                <w:b/>
                <w:sz w:val="18"/>
              </w:rPr>
            </w:pPr>
            <w:r w:rsidRPr="00546F37">
              <w:rPr>
                <w:rFonts w:cs="Arial"/>
                <w:b/>
                <w:sz w:val="18"/>
              </w:rPr>
              <w:t>Fiji</w:t>
            </w:r>
          </w:p>
        </w:tc>
        <w:tc>
          <w:tcPr>
            <w:tcW w:w="2741" w:type="dxa"/>
          </w:tcPr>
          <w:p w14:paraId="611564A2" w14:textId="77777777" w:rsidR="00B776E0" w:rsidRPr="00EA1FDD" w:rsidRDefault="00546F37" w:rsidP="003F101B">
            <w:pPr>
              <w:spacing w:before="40" w:after="40"/>
              <w:jc w:val="center"/>
              <w:rPr>
                <w:rFonts w:cs="Arial"/>
                <w:b/>
                <w:sz w:val="18"/>
              </w:rPr>
            </w:pPr>
            <w:r w:rsidRPr="00546F37">
              <w:rPr>
                <w:rFonts w:cs="Arial"/>
                <w:b/>
                <w:sz w:val="18"/>
              </w:rPr>
              <w:t>PNG</w:t>
            </w:r>
          </w:p>
        </w:tc>
      </w:tr>
      <w:tr w:rsidR="00B776E0" w:rsidRPr="003F101B" w14:paraId="461BE3DD" w14:textId="77777777" w:rsidTr="006C7D41">
        <w:tc>
          <w:tcPr>
            <w:tcW w:w="2741" w:type="dxa"/>
          </w:tcPr>
          <w:p w14:paraId="1EAF71AF" w14:textId="77777777" w:rsidR="00B776E0" w:rsidRPr="003F101B" w:rsidRDefault="00B776E0" w:rsidP="003F101B">
            <w:pPr>
              <w:spacing w:before="40" w:after="40"/>
              <w:rPr>
                <w:rFonts w:cs="Arial"/>
                <w:sz w:val="18"/>
              </w:rPr>
            </w:pPr>
            <w:r w:rsidRPr="003F101B">
              <w:rPr>
                <w:rFonts w:cs="Arial"/>
                <w:color w:val="000000"/>
                <w:sz w:val="18"/>
                <w:lang w:eastAsia="en-AU"/>
              </w:rPr>
              <w:t>Automotive</w:t>
            </w:r>
          </w:p>
        </w:tc>
        <w:tc>
          <w:tcPr>
            <w:tcW w:w="2740" w:type="dxa"/>
          </w:tcPr>
          <w:p w14:paraId="4BA91B18" w14:textId="77777777" w:rsidR="00B776E0" w:rsidRPr="003F101B" w:rsidRDefault="00B776E0" w:rsidP="003F101B">
            <w:pPr>
              <w:spacing w:before="40" w:after="40"/>
              <w:jc w:val="center"/>
              <w:rPr>
                <w:rFonts w:cs="Arial"/>
                <w:sz w:val="18"/>
              </w:rPr>
            </w:pPr>
            <w:r w:rsidRPr="003F101B">
              <w:rPr>
                <w:rFonts w:cs="Arial"/>
                <w:color w:val="000000"/>
                <w:sz w:val="18"/>
                <w:lang w:eastAsia="en-AU"/>
              </w:rPr>
              <w:t>14/08/2012</w:t>
            </w:r>
          </w:p>
        </w:tc>
        <w:tc>
          <w:tcPr>
            <w:tcW w:w="2741" w:type="dxa"/>
          </w:tcPr>
          <w:p w14:paraId="31813D5D" w14:textId="77777777" w:rsidR="00B776E0" w:rsidRPr="003F101B" w:rsidRDefault="00B776E0" w:rsidP="003F101B">
            <w:pPr>
              <w:spacing w:before="40" w:after="40"/>
              <w:jc w:val="center"/>
              <w:rPr>
                <w:rFonts w:cs="Arial"/>
                <w:sz w:val="18"/>
              </w:rPr>
            </w:pPr>
            <w:r w:rsidRPr="003F101B">
              <w:rPr>
                <w:rFonts w:cs="Arial"/>
                <w:color w:val="000000"/>
                <w:sz w:val="18"/>
                <w:lang w:eastAsia="en-AU"/>
              </w:rPr>
              <w:t>05/04/2013</w:t>
            </w:r>
          </w:p>
        </w:tc>
      </w:tr>
      <w:tr w:rsidR="00B776E0" w:rsidRPr="003F101B" w14:paraId="25FE07A2" w14:textId="77777777" w:rsidTr="006C7D41">
        <w:tc>
          <w:tcPr>
            <w:tcW w:w="2741" w:type="dxa"/>
            <w:tcBorders>
              <w:bottom w:val="single" w:sz="4" w:space="0" w:color="A8D08D" w:themeColor="accent6" w:themeTint="99"/>
            </w:tcBorders>
          </w:tcPr>
          <w:p w14:paraId="37016F46" w14:textId="77777777" w:rsidR="00B776E0" w:rsidRPr="003F101B" w:rsidRDefault="00B776E0" w:rsidP="003F101B">
            <w:pPr>
              <w:spacing w:before="40" w:after="40"/>
              <w:rPr>
                <w:rFonts w:cs="Arial"/>
                <w:sz w:val="18"/>
              </w:rPr>
            </w:pPr>
          </w:p>
        </w:tc>
        <w:tc>
          <w:tcPr>
            <w:tcW w:w="2740" w:type="dxa"/>
            <w:tcBorders>
              <w:bottom w:val="single" w:sz="4" w:space="0" w:color="A8D08D" w:themeColor="accent6" w:themeTint="99"/>
            </w:tcBorders>
          </w:tcPr>
          <w:p w14:paraId="4D16B00A" w14:textId="77777777" w:rsidR="00B776E0" w:rsidRPr="003F101B" w:rsidRDefault="00B776E0" w:rsidP="003F101B">
            <w:pPr>
              <w:spacing w:before="40" w:after="40"/>
              <w:jc w:val="center"/>
              <w:rPr>
                <w:rFonts w:cs="Arial"/>
                <w:sz w:val="18"/>
              </w:rPr>
            </w:pPr>
            <w:r w:rsidRPr="003F101B">
              <w:rPr>
                <w:rFonts w:cs="Arial"/>
                <w:color w:val="000000"/>
                <w:sz w:val="18"/>
                <w:lang w:eastAsia="en-AU"/>
              </w:rPr>
              <w:t>13/02/2014</w:t>
            </w:r>
          </w:p>
        </w:tc>
        <w:tc>
          <w:tcPr>
            <w:tcW w:w="2741" w:type="dxa"/>
            <w:tcBorders>
              <w:bottom w:val="single" w:sz="4" w:space="0" w:color="A8D08D" w:themeColor="accent6" w:themeTint="99"/>
            </w:tcBorders>
          </w:tcPr>
          <w:p w14:paraId="7A6C40C7" w14:textId="77777777" w:rsidR="00B776E0" w:rsidRPr="003F101B" w:rsidRDefault="00B776E0" w:rsidP="003F101B">
            <w:pPr>
              <w:spacing w:before="40" w:after="40"/>
              <w:jc w:val="center"/>
              <w:rPr>
                <w:rFonts w:cs="Arial"/>
                <w:sz w:val="18"/>
              </w:rPr>
            </w:pPr>
            <w:r w:rsidRPr="003F101B">
              <w:rPr>
                <w:rFonts w:cs="Arial"/>
                <w:color w:val="000000"/>
                <w:sz w:val="18"/>
                <w:lang w:eastAsia="en-AU"/>
              </w:rPr>
              <w:t>30/08/2013</w:t>
            </w:r>
          </w:p>
        </w:tc>
      </w:tr>
      <w:tr w:rsidR="00B776E0" w:rsidRPr="003F101B" w14:paraId="1B112549" w14:textId="77777777" w:rsidTr="006C7D41">
        <w:tc>
          <w:tcPr>
            <w:tcW w:w="2741" w:type="dxa"/>
            <w:tcBorders>
              <w:top w:val="single" w:sz="4" w:space="0" w:color="A8D08D" w:themeColor="accent6" w:themeTint="99"/>
            </w:tcBorders>
          </w:tcPr>
          <w:p w14:paraId="1D7796B7" w14:textId="77777777" w:rsidR="00B776E0" w:rsidRPr="003F101B" w:rsidRDefault="00B776E0" w:rsidP="003F101B">
            <w:pPr>
              <w:spacing w:before="40" w:after="40"/>
              <w:rPr>
                <w:rFonts w:cs="Arial"/>
                <w:sz w:val="18"/>
              </w:rPr>
            </w:pPr>
            <w:r w:rsidRPr="003F101B">
              <w:rPr>
                <w:rFonts w:cs="Arial"/>
                <w:color w:val="000000"/>
                <w:sz w:val="18"/>
                <w:lang w:eastAsia="en-AU"/>
              </w:rPr>
              <w:t>Carpentry</w:t>
            </w:r>
          </w:p>
        </w:tc>
        <w:tc>
          <w:tcPr>
            <w:tcW w:w="2740" w:type="dxa"/>
            <w:tcBorders>
              <w:top w:val="single" w:sz="4" w:space="0" w:color="A8D08D" w:themeColor="accent6" w:themeTint="99"/>
            </w:tcBorders>
          </w:tcPr>
          <w:p w14:paraId="0FDD9B30" w14:textId="77777777" w:rsidR="00B776E0" w:rsidRPr="003F101B" w:rsidRDefault="00B776E0" w:rsidP="003F101B">
            <w:pPr>
              <w:spacing w:before="40" w:after="40"/>
              <w:jc w:val="center"/>
              <w:rPr>
                <w:rFonts w:cs="Arial"/>
                <w:sz w:val="18"/>
              </w:rPr>
            </w:pPr>
            <w:r w:rsidRPr="003F101B">
              <w:rPr>
                <w:rFonts w:cs="Arial"/>
                <w:color w:val="000000"/>
                <w:sz w:val="18"/>
                <w:lang w:eastAsia="en-AU"/>
              </w:rPr>
              <w:t>10/08/2012</w:t>
            </w:r>
          </w:p>
        </w:tc>
        <w:tc>
          <w:tcPr>
            <w:tcW w:w="2741" w:type="dxa"/>
            <w:tcBorders>
              <w:top w:val="single" w:sz="4" w:space="0" w:color="A8D08D" w:themeColor="accent6" w:themeTint="99"/>
            </w:tcBorders>
          </w:tcPr>
          <w:p w14:paraId="43973676" w14:textId="77777777" w:rsidR="00B776E0" w:rsidRPr="003F101B" w:rsidRDefault="00B776E0" w:rsidP="003F101B">
            <w:pPr>
              <w:spacing w:before="40" w:after="40"/>
              <w:jc w:val="center"/>
              <w:rPr>
                <w:rFonts w:cs="Arial"/>
                <w:sz w:val="18"/>
              </w:rPr>
            </w:pPr>
            <w:r w:rsidRPr="003F101B">
              <w:rPr>
                <w:rFonts w:cs="Arial"/>
                <w:color w:val="000000"/>
                <w:sz w:val="18"/>
                <w:lang w:eastAsia="en-AU"/>
              </w:rPr>
              <w:t>03/04/2013</w:t>
            </w:r>
          </w:p>
        </w:tc>
      </w:tr>
      <w:tr w:rsidR="00B776E0" w:rsidRPr="003F101B" w14:paraId="4B1D7F46" w14:textId="77777777" w:rsidTr="006C7D41">
        <w:tc>
          <w:tcPr>
            <w:tcW w:w="2741" w:type="dxa"/>
            <w:tcBorders>
              <w:bottom w:val="single" w:sz="4" w:space="0" w:color="A8D08D" w:themeColor="accent6" w:themeTint="99"/>
            </w:tcBorders>
          </w:tcPr>
          <w:p w14:paraId="7BD021E1" w14:textId="77777777" w:rsidR="00B776E0" w:rsidRPr="003F101B" w:rsidRDefault="00B776E0" w:rsidP="003F101B">
            <w:pPr>
              <w:spacing w:before="40" w:after="40"/>
              <w:rPr>
                <w:rFonts w:cs="Arial"/>
                <w:sz w:val="18"/>
              </w:rPr>
            </w:pPr>
          </w:p>
        </w:tc>
        <w:tc>
          <w:tcPr>
            <w:tcW w:w="2740" w:type="dxa"/>
            <w:tcBorders>
              <w:bottom w:val="single" w:sz="4" w:space="0" w:color="A8D08D" w:themeColor="accent6" w:themeTint="99"/>
            </w:tcBorders>
          </w:tcPr>
          <w:p w14:paraId="7AB0B610" w14:textId="77777777" w:rsidR="00B776E0" w:rsidRPr="003F101B" w:rsidRDefault="00B776E0" w:rsidP="003F101B">
            <w:pPr>
              <w:spacing w:before="40" w:after="40"/>
              <w:jc w:val="center"/>
              <w:rPr>
                <w:rFonts w:cs="Arial"/>
                <w:sz w:val="18"/>
              </w:rPr>
            </w:pPr>
            <w:r w:rsidRPr="003F101B">
              <w:rPr>
                <w:rFonts w:cs="Arial"/>
                <w:sz w:val="18"/>
              </w:rPr>
              <w:t>-</w:t>
            </w:r>
          </w:p>
        </w:tc>
        <w:tc>
          <w:tcPr>
            <w:tcW w:w="2741" w:type="dxa"/>
            <w:tcBorders>
              <w:bottom w:val="single" w:sz="4" w:space="0" w:color="A8D08D" w:themeColor="accent6" w:themeTint="99"/>
            </w:tcBorders>
          </w:tcPr>
          <w:p w14:paraId="6845716E" w14:textId="77777777" w:rsidR="00B776E0" w:rsidRPr="003F101B" w:rsidRDefault="00B776E0" w:rsidP="003F101B">
            <w:pPr>
              <w:spacing w:before="40" w:after="40"/>
              <w:jc w:val="center"/>
              <w:rPr>
                <w:rFonts w:cs="Arial"/>
                <w:sz w:val="18"/>
              </w:rPr>
            </w:pPr>
            <w:r w:rsidRPr="003F101B">
              <w:rPr>
                <w:rFonts w:cs="Arial"/>
                <w:color w:val="000000"/>
                <w:sz w:val="18"/>
                <w:lang w:eastAsia="en-AU"/>
              </w:rPr>
              <w:t>30/08/2013</w:t>
            </w:r>
          </w:p>
        </w:tc>
      </w:tr>
      <w:tr w:rsidR="00B776E0" w:rsidRPr="003F101B" w14:paraId="14F22348" w14:textId="77777777" w:rsidTr="006C7D41">
        <w:tc>
          <w:tcPr>
            <w:tcW w:w="2741" w:type="dxa"/>
            <w:tcBorders>
              <w:top w:val="single" w:sz="4" w:space="0" w:color="A8D08D" w:themeColor="accent6" w:themeTint="99"/>
            </w:tcBorders>
          </w:tcPr>
          <w:p w14:paraId="45A87300" w14:textId="77777777" w:rsidR="00B776E0" w:rsidRPr="003F101B" w:rsidRDefault="00B776E0" w:rsidP="003F101B">
            <w:pPr>
              <w:spacing w:before="40" w:after="40"/>
              <w:rPr>
                <w:rFonts w:cs="Arial"/>
                <w:sz w:val="18"/>
              </w:rPr>
            </w:pPr>
            <w:r w:rsidRPr="003F101B">
              <w:rPr>
                <w:rFonts w:cs="Arial"/>
                <w:color w:val="000000"/>
                <w:sz w:val="18"/>
                <w:lang w:eastAsia="en-AU"/>
              </w:rPr>
              <w:t>Diesel Fitting</w:t>
            </w:r>
          </w:p>
        </w:tc>
        <w:tc>
          <w:tcPr>
            <w:tcW w:w="2740" w:type="dxa"/>
            <w:tcBorders>
              <w:top w:val="single" w:sz="4" w:space="0" w:color="A8D08D" w:themeColor="accent6" w:themeTint="99"/>
            </w:tcBorders>
          </w:tcPr>
          <w:p w14:paraId="6A50A748" w14:textId="77777777" w:rsidR="00B776E0" w:rsidRPr="003F101B" w:rsidRDefault="00B776E0" w:rsidP="003F101B">
            <w:pPr>
              <w:spacing w:before="40" w:after="40"/>
              <w:jc w:val="center"/>
              <w:rPr>
                <w:rFonts w:cs="Arial"/>
                <w:sz w:val="18"/>
              </w:rPr>
            </w:pPr>
            <w:r w:rsidRPr="003F101B">
              <w:rPr>
                <w:rFonts w:cs="Arial"/>
                <w:color w:val="000000"/>
                <w:sz w:val="18"/>
                <w:lang w:eastAsia="en-AU"/>
              </w:rPr>
              <w:t>15/08/2012</w:t>
            </w:r>
          </w:p>
        </w:tc>
        <w:tc>
          <w:tcPr>
            <w:tcW w:w="2741" w:type="dxa"/>
            <w:tcBorders>
              <w:top w:val="single" w:sz="4" w:space="0" w:color="A8D08D" w:themeColor="accent6" w:themeTint="99"/>
            </w:tcBorders>
          </w:tcPr>
          <w:p w14:paraId="332E5EA8" w14:textId="77777777" w:rsidR="00B776E0" w:rsidRPr="003F101B" w:rsidRDefault="00B776E0" w:rsidP="003F101B">
            <w:pPr>
              <w:spacing w:before="40" w:after="40"/>
              <w:jc w:val="center"/>
              <w:rPr>
                <w:rFonts w:cs="Arial"/>
                <w:sz w:val="18"/>
              </w:rPr>
            </w:pPr>
            <w:r w:rsidRPr="003F101B">
              <w:rPr>
                <w:rFonts w:cs="Arial"/>
                <w:color w:val="000000"/>
                <w:sz w:val="18"/>
                <w:lang w:eastAsia="en-AU"/>
              </w:rPr>
              <w:t>01/07/2013</w:t>
            </w:r>
          </w:p>
        </w:tc>
      </w:tr>
      <w:tr w:rsidR="00B776E0" w:rsidRPr="003F101B" w14:paraId="4D0CFA86" w14:textId="77777777" w:rsidTr="006C7D41">
        <w:tc>
          <w:tcPr>
            <w:tcW w:w="2741" w:type="dxa"/>
            <w:tcBorders>
              <w:bottom w:val="single" w:sz="4" w:space="0" w:color="A8D08D" w:themeColor="accent6" w:themeTint="99"/>
            </w:tcBorders>
          </w:tcPr>
          <w:p w14:paraId="2840493D" w14:textId="77777777" w:rsidR="00B776E0" w:rsidRPr="003F101B" w:rsidRDefault="00B776E0" w:rsidP="003F101B">
            <w:pPr>
              <w:spacing w:before="40" w:after="40"/>
              <w:rPr>
                <w:rFonts w:cs="Arial"/>
                <w:sz w:val="18"/>
              </w:rPr>
            </w:pPr>
          </w:p>
        </w:tc>
        <w:tc>
          <w:tcPr>
            <w:tcW w:w="2740" w:type="dxa"/>
            <w:tcBorders>
              <w:bottom w:val="single" w:sz="4" w:space="0" w:color="A8D08D" w:themeColor="accent6" w:themeTint="99"/>
            </w:tcBorders>
          </w:tcPr>
          <w:p w14:paraId="454678F5" w14:textId="77777777" w:rsidR="00B776E0" w:rsidRPr="003F101B" w:rsidRDefault="00B776E0" w:rsidP="003F101B">
            <w:pPr>
              <w:spacing w:before="40" w:after="40"/>
              <w:jc w:val="center"/>
              <w:rPr>
                <w:rFonts w:cs="Arial"/>
                <w:sz w:val="18"/>
              </w:rPr>
            </w:pPr>
            <w:r w:rsidRPr="003F101B">
              <w:rPr>
                <w:rFonts w:cs="Arial"/>
                <w:color w:val="000000"/>
                <w:sz w:val="18"/>
                <w:lang w:eastAsia="en-AU"/>
              </w:rPr>
              <w:t>06/03/2014</w:t>
            </w:r>
          </w:p>
        </w:tc>
        <w:tc>
          <w:tcPr>
            <w:tcW w:w="2741" w:type="dxa"/>
            <w:tcBorders>
              <w:bottom w:val="single" w:sz="4" w:space="0" w:color="A8D08D" w:themeColor="accent6" w:themeTint="99"/>
            </w:tcBorders>
          </w:tcPr>
          <w:p w14:paraId="3B9B3A01" w14:textId="77777777" w:rsidR="00B776E0" w:rsidRPr="003F101B" w:rsidRDefault="00B776E0" w:rsidP="003F101B">
            <w:pPr>
              <w:spacing w:before="40" w:after="40"/>
              <w:jc w:val="center"/>
              <w:rPr>
                <w:rFonts w:cs="Arial"/>
                <w:sz w:val="18"/>
              </w:rPr>
            </w:pPr>
            <w:r w:rsidRPr="003F101B">
              <w:rPr>
                <w:rFonts w:cs="Arial"/>
                <w:sz w:val="18"/>
              </w:rPr>
              <w:t>-</w:t>
            </w:r>
          </w:p>
        </w:tc>
      </w:tr>
      <w:tr w:rsidR="00B776E0" w:rsidRPr="003F101B" w14:paraId="5C493E8C" w14:textId="77777777" w:rsidTr="006C7D41">
        <w:tc>
          <w:tcPr>
            <w:tcW w:w="2741" w:type="dxa"/>
            <w:tcBorders>
              <w:top w:val="single" w:sz="4" w:space="0" w:color="A8D08D" w:themeColor="accent6" w:themeTint="99"/>
            </w:tcBorders>
          </w:tcPr>
          <w:p w14:paraId="05F3CF6F" w14:textId="77777777" w:rsidR="00B776E0" w:rsidRPr="003F101B" w:rsidRDefault="00B776E0" w:rsidP="003F101B">
            <w:pPr>
              <w:spacing w:before="40" w:after="40"/>
              <w:rPr>
                <w:rFonts w:cs="Arial"/>
                <w:sz w:val="18"/>
              </w:rPr>
            </w:pPr>
            <w:r w:rsidRPr="003F101B">
              <w:rPr>
                <w:rFonts w:cs="Arial"/>
                <w:color w:val="000000"/>
                <w:sz w:val="18"/>
                <w:lang w:eastAsia="en-AU"/>
              </w:rPr>
              <w:t>Electrical</w:t>
            </w:r>
          </w:p>
        </w:tc>
        <w:tc>
          <w:tcPr>
            <w:tcW w:w="2740" w:type="dxa"/>
            <w:tcBorders>
              <w:top w:val="single" w:sz="4" w:space="0" w:color="A8D08D" w:themeColor="accent6" w:themeTint="99"/>
            </w:tcBorders>
          </w:tcPr>
          <w:p w14:paraId="75698640" w14:textId="77777777" w:rsidR="00B776E0" w:rsidRPr="003F101B" w:rsidRDefault="00B776E0" w:rsidP="003F101B">
            <w:pPr>
              <w:spacing w:before="40" w:after="40"/>
              <w:jc w:val="center"/>
              <w:rPr>
                <w:rFonts w:cs="Arial"/>
                <w:sz w:val="18"/>
              </w:rPr>
            </w:pPr>
            <w:r w:rsidRPr="003F101B">
              <w:rPr>
                <w:rFonts w:cs="Arial"/>
                <w:color w:val="000000"/>
                <w:sz w:val="18"/>
                <w:lang w:eastAsia="en-AU"/>
              </w:rPr>
              <w:t>24/05/2013</w:t>
            </w:r>
          </w:p>
        </w:tc>
        <w:tc>
          <w:tcPr>
            <w:tcW w:w="2741" w:type="dxa"/>
            <w:tcBorders>
              <w:top w:val="single" w:sz="4" w:space="0" w:color="A8D08D" w:themeColor="accent6" w:themeTint="99"/>
            </w:tcBorders>
          </w:tcPr>
          <w:p w14:paraId="6C50368A" w14:textId="77777777" w:rsidR="00B776E0" w:rsidRPr="003F101B" w:rsidRDefault="00B776E0" w:rsidP="003F101B">
            <w:pPr>
              <w:spacing w:before="40" w:after="40"/>
              <w:jc w:val="center"/>
              <w:rPr>
                <w:rFonts w:cs="Arial"/>
                <w:sz w:val="18"/>
              </w:rPr>
            </w:pPr>
            <w:r w:rsidRPr="003F101B">
              <w:rPr>
                <w:rFonts w:cs="Arial"/>
                <w:color w:val="000000"/>
                <w:sz w:val="18"/>
                <w:lang w:eastAsia="en-AU"/>
              </w:rPr>
              <w:t>27/10/2011</w:t>
            </w:r>
          </w:p>
        </w:tc>
      </w:tr>
      <w:tr w:rsidR="00B776E0" w:rsidRPr="003F101B" w14:paraId="7B53CAAD" w14:textId="77777777" w:rsidTr="006C7D41">
        <w:tc>
          <w:tcPr>
            <w:tcW w:w="2741" w:type="dxa"/>
          </w:tcPr>
          <w:p w14:paraId="00F168CA" w14:textId="77777777" w:rsidR="00B776E0" w:rsidRPr="003F101B" w:rsidRDefault="00B776E0" w:rsidP="003F101B">
            <w:pPr>
              <w:spacing w:before="40" w:after="40"/>
              <w:rPr>
                <w:rFonts w:cs="Arial"/>
                <w:sz w:val="18"/>
              </w:rPr>
            </w:pPr>
          </w:p>
        </w:tc>
        <w:tc>
          <w:tcPr>
            <w:tcW w:w="2740" w:type="dxa"/>
          </w:tcPr>
          <w:p w14:paraId="484DBE63" w14:textId="77777777" w:rsidR="00B776E0" w:rsidRPr="003F101B" w:rsidRDefault="00B776E0" w:rsidP="003F101B">
            <w:pPr>
              <w:spacing w:before="40" w:after="40"/>
              <w:jc w:val="center"/>
              <w:rPr>
                <w:rFonts w:cs="Arial"/>
                <w:sz w:val="18"/>
              </w:rPr>
            </w:pPr>
            <w:r w:rsidRPr="003F101B">
              <w:rPr>
                <w:rFonts w:cs="Arial"/>
                <w:sz w:val="18"/>
              </w:rPr>
              <w:t>-</w:t>
            </w:r>
          </w:p>
        </w:tc>
        <w:tc>
          <w:tcPr>
            <w:tcW w:w="2741" w:type="dxa"/>
          </w:tcPr>
          <w:p w14:paraId="698DADDC" w14:textId="77777777" w:rsidR="00B776E0" w:rsidRPr="003F101B" w:rsidRDefault="00B776E0" w:rsidP="003F101B">
            <w:pPr>
              <w:spacing w:before="40" w:after="40"/>
              <w:jc w:val="center"/>
              <w:rPr>
                <w:rFonts w:cs="Arial"/>
                <w:sz w:val="18"/>
              </w:rPr>
            </w:pPr>
            <w:r w:rsidRPr="003F101B">
              <w:rPr>
                <w:rFonts w:cs="Arial"/>
                <w:color w:val="000000"/>
                <w:sz w:val="18"/>
                <w:lang w:eastAsia="en-AU"/>
              </w:rPr>
              <w:t>24/05/2013</w:t>
            </w:r>
          </w:p>
        </w:tc>
      </w:tr>
      <w:tr w:rsidR="00B776E0" w:rsidRPr="003F101B" w14:paraId="02DD9018" w14:textId="77777777" w:rsidTr="006C7D41">
        <w:tc>
          <w:tcPr>
            <w:tcW w:w="2741" w:type="dxa"/>
            <w:tcBorders>
              <w:bottom w:val="single" w:sz="4" w:space="0" w:color="A8D08D" w:themeColor="accent6" w:themeTint="99"/>
            </w:tcBorders>
          </w:tcPr>
          <w:p w14:paraId="5893556B" w14:textId="77777777" w:rsidR="00B776E0" w:rsidRPr="003F101B" w:rsidRDefault="00B776E0" w:rsidP="003F101B">
            <w:pPr>
              <w:spacing w:before="40" w:after="40"/>
              <w:rPr>
                <w:rFonts w:cs="Arial"/>
                <w:sz w:val="18"/>
              </w:rPr>
            </w:pPr>
          </w:p>
        </w:tc>
        <w:tc>
          <w:tcPr>
            <w:tcW w:w="2740" w:type="dxa"/>
            <w:tcBorders>
              <w:bottom w:val="single" w:sz="4" w:space="0" w:color="A8D08D" w:themeColor="accent6" w:themeTint="99"/>
            </w:tcBorders>
          </w:tcPr>
          <w:p w14:paraId="2740CC67" w14:textId="77777777" w:rsidR="00B776E0" w:rsidRPr="003F101B" w:rsidRDefault="00B776E0" w:rsidP="003F101B">
            <w:pPr>
              <w:spacing w:before="40" w:after="40"/>
              <w:jc w:val="center"/>
              <w:rPr>
                <w:rFonts w:cs="Arial"/>
                <w:sz w:val="18"/>
              </w:rPr>
            </w:pPr>
            <w:r w:rsidRPr="003F101B">
              <w:rPr>
                <w:rFonts w:cs="Arial"/>
                <w:sz w:val="18"/>
              </w:rPr>
              <w:t>-</w:t>
            </w:r>
          </w:p>
        </w:tc>
        <w:tc>
          <w:tcPr>
            <w:tcW w:w="2741" w:type="dxa"/>
            <w:tcBorders>
              <w:bottom w:val="single" w:sz="4" w:space="0" w:color="A8D08D" w:themeColor="accent6" w:themeTint="99"/>
            </w:tcBorders>
          </w:tcPr>
          <w:p w14:paraId="7BEE5FC9" w14:textId="77777777" w:rsidR="00B776E0" w:rsidRPr="003F101B" w:rsidRDefault="00B776E0" w:rsidP="003F101B">
            <w:pPr>
              <w:spacing w:before="40" w:after="40"/>
              <w:jc w:val="center"/>
              <w:rPr>
                <w:rFonts w:cs="Arial"/>
                <w:sz w:val="18"/>
              </w:rPr>
            </w:pPr>
            <w:r w:rsidRPr="003F101B">
              <w:rPr>
                <w:rFonts w:cs="Arial"/>
                <w:color w:val="000000"/>
                <w:sz w:val="18"/>
                <w:lang w:eastAsia="en-AU"/>
              </w:rPr>
              <w:t>02/07/2013</w:t>
            </w:r>
          </w:p>
        </w:tc>
      </w:tr>
      <w:tr w:rsidR="00B776E0" w:rsidRPr="003F101B" w14:paraId="21DD8377" w14:textId="77777777" w:rsidTr="006C7D41">
        <w:tc>
          <w:tcPr>
            <w:tcW w:w="2741" w:type="dxa"/>
            <w:tcBorders>
              <w:top w:val="single" w:sz="4" w:space="0" w:color="A8D08D" w:themeColor="accent6" w:themeTint="99"/>
            </w:tcBorders>
          </w:tcPr>
          <w:p w14:paraId="08ED95C1" w14:textId="77777777" w:rsidR="00B776E0" w:rsidRPr="003F101B" w:rsidRDefault="00B776E0" w:rsidP="00EA1FDD">
            <w:pPr>
              <w:spacing w:before="40" w:after="40"/>
              <w:rPr>
                <w:rFonts w:cs="Arial"/>
                <w:sz w:val="18"/>
              </w:rPr>
            </w:pPr>
            <w:r w:rsidRPr="003F101B">
              <w:rPr>
                <w:rFonts w:cs="Arial"/>
                <w:sz w:val="18"/>
              </w:rPr>
              <w:t xml:space="preserve">Fitting </w:t>
            </w:r>
            <w:r w:rsidR="00EA1FDD">
              <w:rPr>
                <w:rFonts w:cs="Arial"/>
                <w:sz w:val="18"/>
              </w:rPr>
              <w:t>and</w:t>
            </w:r>
            <w:r w:rsidR="00EA1FDD" w:rsidRPr="003F101B">
              <w:rPr>
                <w:rFonts w:cs="Arial"/>
                <w:sz w:val="18"/>
              </w:rPr>
              <w:t xml:space="preserve"> </w:t>
            </w:r>
            <w:r w:rsidRPr="003F101B">
              <w:rPr>
                <w:rFonts w:cs="Arial"/>
                <w:sz w:val="18"/>
              </w:rPr>
              <w:t>Machining</w:t>
            </w:r>
          </w:p>
        </w:tc>
        <w:tc>
          <w:tcPr>
            <w:tcW w:w="2740" w:type="dxa"/>
            <w:tcBorders>
              <w:top w:val="single" w:sz="4" w:space="0" w:color="A8D08D" w:themeColor="accent6" w:themeTint="99"/>
            </w:tcBorders>
          </w:tcPr>
          <w:p w14:paraId="1D96C6F6" w14:textId="77777777" w:rsidR="00B776E0" w:rsidRPr="003F101B" w:rsidRDefault="00B776E0" w:rsidP="003F101B">
            <w:pPr>
              <w:spacing w:before="40" w:after="40"/>
              <w:jc w:val="center"/>
              <w:rPr>
                <w:rFonts w:cs="Arial"/>
                <w:sz w:val="18"/>
              </w:rPr>
            </w:pPr>
            <w:r w:rsidRPr="003F101B">
              <w:rPr>
                <w:rFonts w:cs="Arial"/>
                <w:color w:val="000000"/>
                <w:sz w:val="18"/>
                <w:lang w:eastAsia="en-AU"/>
              </w:rPr>
              <w:t>15/08/2012</w:t>
            </w:r>
          </w:p>
        </w:tc>
        <w:tc>
          <w:tcPr>
            <w:tcW w:w="2741" w:type="dxa"/>
            <w:tcBorders>
              <w:top w:val="single" w:sz="4" w:space="0" w:color="A8D08D" w:themeColor="accent6" w:themeTint="99"/>
            </w:tcBorders>
          </w:tcPr>
          <w:p w14:paraId="3C5B9E87" w14:textId="77777777" w:rsidR="00B776E0" w:rsidRPr="003F101B" w:rsidRDefault="00B776E0" w:rsidP="003F101B">
            <w:pPr>
              <w:spacing w:before="40" w:after="40"/>
              <w:jc w:val="center"/>
              <w:rPr>
                <w:rFonts w:cs="Arial"/>
                <w:sz w:val="18"/>
              </w:rPr>
            </w:pPr>
            <w:r w:rsidRPr="003F101B">
              <w:rPr>
                <w:rFonts w:cs="Arial"/>
                <w:sz w:val="18"/>
              </w:rPr>
              <w:t>-</w:t>
            </w:r>
          </w:p>
        </w:tc>
      </w:tr>
      <w:tr w:rsidR="00B776E0" w:rsidRPr="003F101B" w14:paraId="1520BADB" w14:textId="77777777" w:rsidTr="006C7D41">
        <w:tc>
          <w:tcPr>
            <w:tcW w:w="2741" w:type="dxa"/>
            <w:tcBorders>
              <w:bottom w:val="single" w:sz="4" w:space="0" w:color="A8D08D" w:themeColor="accent6" w:themeTint="99"/>
            </w:tcBorders>
          </w:tcPr>
          <w:p w14:paraId="4A0922EE" w14:textId="77777777" w:rsidR="00B776E0" w:rsidRPr="003F101B" w:rsidRDefault="00B776E0" w:rsidP="003F101B">
            <w:pPr>
              <w:spacing w:before="40" w:after="40"/>
              <w:rPr>
                <w:rFonts w:cs="Arial"/>
                <w:sz w:val="18"/>
              </w:rPr>
            </w:pPr>
          </w:p>
        </w:tc>
        <w:tc>
          <w:tcPr>
            <w:tcW w:w="2740" w:type="dxa"/>
            <w:tcBorders>
              <w:bottom w:val="single" w:sz="4" w:space="0" w:color="A8D08D" w:themeColor="accent6" w:themeTint="99"/>
            </w:tcBorders>
          </w:tcPr>
          <w:p w14:paraId="5B8DCEDD" w14:textId="77777777" w:rsidR="00B776E0" w:rsidRPr="003F101B" w:rsidRDefault="00B776E0" w:rsidP="003F101B">
            <w:pPr>
              <w:spacing w:before="40" w:after="40"/>
              <w:jc w:val="center"/>
              <w:rPr>
                <w:rFonts w:cs="Arial"/>
                <w:sz w:val="18"/>
              </w:rPr>
            </w:pPr>
            <w:r w:rsidRPr="003F101B">
              <w:rPr>
                <w:rFonts w:cs="Arial"/>
                <w:color w:val="000000"/>
                <w:sz w:val="18"/>
                <w:lang w:eastAsia="en-AU"/>
              </w:rPr>
              <w:t>04/07/2013</w:t>
            </w:r>
          </w:p>
        </w:tc>
        <w:tc>
          <w:tcPr>
            <w:tcW w:w="2741" w:type="dxa"/>
            <w:tcBorders>
              <w:bottom w:val="single" w:sz="4" w:space="0" w:color="A8D08D" w:themeColor="accent6" w:themeTint="99"/>
            </w:tcBorders>
          </w:tcPr>
          <w:p w14:paraId="6A45DC49" w14:textId="77777777" w:rsidR="00B776E0" w:rsidRPr="003F101B" w:rsidRDefault="00B776E0" w:rsidP="003F101B">
            <w:pPr>
              <w:spacing w:before="40" w:after="40"/>
              <w:jc w:val="center"/>
              <w:rPr>
                <w:rFonts w:cs="Arial"/>
                <w:sz w:val="18"/>
              </w:rPr>
            </w:pPr>
            <w:r w:rsidRPr="003F101B">
              <w:rPr>
                <w:rFonts w:cs="Arial"/>
                <w:sz w:val="18"/>
              </w:rPr>
              <w:t>-</w:t>
            </w:r>
          </w:p>
        </w:tc>
      </w:tr>
      <w:tr w:rsidR="00B776E0" w:rsidRPr="003F101B" w14:paraId="309AADF3" w14:textId="77777777" w:rsidTr="006C7D41">
        <w:tc>
          <w:tcPr>
            <w:tcW w:w="2741" w:type="dxa"/>
            <w:tcBorders>
              <w:top w:val="single" w:sz="4" w:space="0" w:color="A8D08D" w:themeColor="accent6" w:themeTint="99"/>
              <w:bottom w:val="single" w:sz="4" w:space="0" w:color="A8D08D" w:themeColor="accent6" w:themeTint="99"/>
            </w:tcBorders>
          </w:tcPr>
          <w:p w14:paraId="23AD3156" w14:textId="77777777" w:rsidR="00B776E0" w:rsidRPr="003F101B" w:rsidRDefault="00B776E0" w:rsidP="003F101B">
            <w:pPr>
              <w:spacing w:before="40" w:after="40"/>
              <w:rPr>
                <w:rFonts w:cs="Arial"/>
                <w:sz w:val="18"/>
              </w:rPr>
            </w:pPr>
            <w:r w:rsidRPr="003F101B">
              <w:rPr>
                <w:rFonts w:cs="Arial"/>
                <w:sz w:val="18"/>
              </w:rPr>
              <w:t>Metal Fabrication</w:t>
            </w:r>
          </w:p>
        </w:tc>
        <w:tc>
          <w:tcPr>
            <w:tcW w:w="2740" w:type="dxa"/>
            <w:tcBorders>
              <w:top w:val="single" w:sz="4" w:space="0" w:color="A8D08D" w:themeColor="accent6" w:themeTint="99"/>
              <w:bottom w:val="single" w:sz="4" w:space="0" w:color="A8D08D" w:themeColor="accent6" w:themeTint="99"/>
            </w:tcBorders>
          </w:tcPr>
          <w:p w14:paraId="464A788C" w14:textId="77777777" w:rsidR="00B776E0" w:rsidRPr="003F101B" w:rsidRDefault="00B776E0" w:rsidP="003F101B">
            <w:pPr>
              <w:spacing w:before="40" w:after="40"/>
              <w:jc w:val="center"/>
              <w:rPr>
                <w:rFonts w:cs="Arial"/>
                <w:sz w:val="18"/>
              </w:rPr>
            </w:pPr>
            <w:r w:rsidRPr="003F101B">
              <w:rPr>
                <w:rFonts w:cs="Arial"/>
                <w:sz w:val="18"/>
              </w:rPr>
              <w:t>-</w:t>
            </w:r>
          </w:p>
        </w:tc>
        <w:tc>
          <w:tcPr>
            <w:tcW w:w="2741" w:type="dxa"/>
            <w:tcBorders>
              <w:top w:val="single" w:sz="4" w:space="0" w:color="A8D08D" w:themeColor="accent6" w:themeTint="99"/>
              <w:bottom w:val="single" w:sz="4" w:space="0" w:color="A8D08D" w:themeColor="accent6" w:themeTint="99"/>
            </w:tcBorders>
          </w:tcPr>
          <w:p w14:paraId="31FF7790" w14:textId="77777777" w:rsidR="00B776E0" w:rsidRPr="003F101B" w:rsidRDefault="00B776E0" w:rsidP="003F101B">
            <w:pPr>
              <w:spacing w:before="40" w:after="40"/>
              <w:jc w:val="center"/>
              <w:rPr>
                <w:rFonts w:cs="Arial"/>
                <w:sz w:val="18"/>
              </w:rPr>
            </w:pPr>
            <w:r w:rsidRPr="003F101B">
              <w:rPr>
                <w:rFonts w:cs="Arial"/>
                <w:color w:val="000000"/>
                <w:sz w:val="18"/>
                <w:lang w:eastAsia="en-AU"/>
              </w:rPr>
              <w:t>02/07/2013</w:t>
            </w:r>
          </w:p>
        </w:tc>
      </w:tr>
      <w:tr w:rsidR="00B776E0" w:rsidRPr="003F101B" w14:paraId="113CF028" w14:textId="77777777" w:rsidTr="006C7D41">
        <w:tc>
          <w:tcPr>
            <w:tcW w:w="2741" w:type="dxa"/>
            <w:tcBorders>
              <w:top w:val="single" w:sz="4" w:space="0" w:color="A8D08D" w:themeColor="accent6" w:themeTint="99"/>
            </w:tcBorders>
          </w:tcPr>
          <w:p w14:paraId="39100690" w14:textId="77777777" w:rsidR="00B776E0" w:rsidRPr="003F101B" w:rsidRDefault="00B776E0" w:rsidP="00892604">
            <w:pPr>
              <w:spacing w:before="40" w:after="40"/>
              <w:rPr>
                <w:rFonts w:cs="Arial"/>
                <w:sz w:val="18"/>
              </w:rPr>
            </w:pPr>
            <w:r w:rsidRPr="003F101B">
              <w:rPr>
                <w:rFonts w:cs="Arial"/>
                <w:color w:val="000000"/>
                <w:sz w:val="18"/>
                <w:lang w:eastAsia="en-AU"/>
              </w:rPr>
              <w:t xml:space="preserve">Painting </w:t>
            </w:r>
            <w:r w:rsidR="00892604">
              <w:rPr>
                <w:rFonts w:cs="Arial"/>
                <w:color w:val="000000"/>
                <w:sz w:val="18"/>
                <w:lang w:eastAsia="en-AU"/>
              </w:rPr>
              <w:t>and</w:t>
            </w:r>
            <w:r w:rsidR="00892604" w:rsidRPr="003F101B">
              <w:rPr>
                <w:rFonts w:cs="Arial"/>
                <w:color w:val="000000"/>
                <w:sz w:val="18"/>
                <w:lang w:eastAsia="en-AU"/>
              </w:rPr>
              <w:t xml:space="preserve"> </w:t>
            </w:r>
            <w:r w:rsidRPr="003F101B">
              <w:rPr>
                <w:rFonts w:cs="Arial"/>
                <w:color w:val="000000"/>
                <w:sz w:val="18"/>
                <w:lang w:eastAsia="en-AU"/>
              </w:rPr>
              <w:t>Decorating</w:t>
            </w:r>
          </w:p>
        </w:tc>
        <w:tc>
          <w:tcPr>
            <w:tcW w:w="2740" w:type="dxa"/>
            <w:tcBorders>
              <w:top w:val="single" w:sz="4" w:space="0" w:color="A8D08D" w:themeColor="accent6" w:themeTint="99"/>
            </w:tcBorders>
          </w:tcPr>
          <w:p w14:paraId="36D8A080" w14:textId="77777777" w:rsidR="00B776E0" w:rsidRPr="003F101B" w:rsidRDefault="00B776E0" w:rsidP="003F101B">
            <w:pPr>
              <w:spacing w:before="40" w:after="40"/>
              <w:jc w:val="center"/>
              <w:rPr>
                <w:rFonts w:cs="Arial"/>
                <w:sz w:val="18"/>
              </w:rPr>
            </w:pPr>
            <w:r w:rsidRPr="003F101B">
              <w:rPr>
                <w:rFonts w:cs="Arial"/>
                <w:color w:val="000000"/>
                <w:sz w:val="18"/>
                <w:lang w:eastAsia="en-AU"/>
              </w:rPr>
              <w:t>26/04/12</w:t>
            </w:r>
          </w:p>
        </w:tc>
        <w:tc>
          <w:tcPr>
            <w:tcW w:w="2741" w:type="dxa"/>
            <w:tcBorders>
              <w:top w:val="single" w:sz="4" w:space="0" w:color="A8D08D" w:themeColor="accent6" w:themeTint="99"/>
            </w:tcBorders>
          </w:tcPr>
          <w:p w14:paraId="2F920E57" w14:textId="77777777" w:rsidR="00B776E0" w:rsidRPr="003F101B" w:rsidRDefault="00B776E0" w:rsidP="003F101B">
            <w:pPr>
              <w:spacing w:before="40" w:after="40"/>
              <w:jc w:val="center"/>
              <w:rPr>
                <w:rFonts w:cs="Arial"/>
                <w:sz w:val="18"/>
              </w:rPr>
            </w:pPr>
            <w:r w:rsidRPr="003F101B">
              <w:rPr>
                <w:rFonts w:cs="Arial"/>
                <w:sz w:val="18"/>
              </w:rPr>
              <w:t>-</w:t>
            </w:r>
          </w:p>
        </w:tc>
      </w:tr>
      <w:tr w:rsidR="00B776E0" w:rsidRPr="003F101B" w14:paraId="1CD08104" w14:textId="77777777" w:rsidTr="006C7D41">
        <w:tc>
          <w:tcPr>
            <w:tcW w:w="2741" w:type="dxa"/>
            <w:tcBorders>
              <w:bottom w:val="single" w:sz="4" w:space="0" w:color="A8D08D" w:themeColor="accent6" w:themeTint="99"/>
            </w:tcBorders>
          </w:tcPr>
          <w:p w14:paraId="69D5EC1F" w14:textId="77777777" w:rsidR="00B776E0" w:rsidRPr="003F101B" w:rsidRDefault="00B776E0" w:rsidP="003F101B">
            <w:pPr>
              <w:spacing w:before="40" w:after="40"/>
              <w:rPr>
                <w:rFonts w:cs="Arial"/>
                <w:sz w:val="18"/>
              </w:rPr>
            </w:pPr>
          </w:p>
        </w:tc>
        <w:tc>
          <w:tcPr>
            <w:tcW w:w="2740" w:type="dxa"/>
            <w:tcBorders>
              <w:bottom w:val="single" w:sz="4" w:space="0" w:color="A8D08D" w:themeColor="accent6" w:themeTint="99"/>
            </w:tcBorders>
          </w:tcPr>
          <w:p w14:paraId="4ED046F0" w14:textId="77777777" w:rsidR="00B776E0" w:rsidRPr="003F101B" w:rsidRDefault="00B776E0" w:rsidP="003F101B">
            <w:pPr>
              <w:spacing w:before="40" w:after="40"/>
              <w:jc w:val="center"/>
              <w:rPr>
                <w:rFonts w:cs="Arial"/>
                <w:sz w:val="18"/>
              </w:rPr>
            </w:pPr>
            <w:r w:rsidRPr="003F101B">
              <w:rPr>
                <w:rFonts w:cs="Arial"/>
                <w:color w:val="000000"/>
                <w:sz w:val="18"/>
                <w:lang w:eastAsia="en-AU"/>
              </w:rPr>
              <w:t>16/08/2012</w:t>
            </w:r>
          </w:p>
        </w:tc>
        <w:tc>
          <w:tcPr>
            <w:tcW w:w="2741" w:type="dxa"/>
            <w:tcBorders>
              <w:bottom w:val="single" w:sz="4" w:space="0" w:color="A8D08D" w:themeColor="accent6" w:themeTint="99"/>
            </w:tcBorders>
          </w:tcPr>
          <w:p w14:paraId="273E51AF" w14:textId="77777777" w:rsidR="00B776E0" w:rsidRPr="003F101B" w:rsidRDefault="00B776E0" w:rsidP="003F101B">
            <w:pPr>
              <w:spacing w:before="40" w:after="40"/>
              <w:jc w:val="center"/>
              <w:rPr>
                <w:rFonts w:cs="Arial"/>
                <w:sz w:val="18"/>
              </w:rPr>
            </w:pPr>
            <w:r w:rsidRPr="003F101B">
              <w:rPr>
                <w:rFonts w:cs="Arial"/>
                <w:sz w:val="18"/>
              </w:rPr>
              <w:t>-</w:t>
            </w:r>
          </w:p>
        </w:tc>
      </w:tr>
      <w:tr w:rsidR="00B776E0" w:rsidRPr="003F101B" w14:paraId="717E8630" w14:textId="77777777" w:rsidTr="006C7D41">
        <w:tc>
          <w:tcPr>
            <w:tcW w:w="2741" w:type="dxa"/>
            <w:tcBorders>
              <w:top w:val="single" w:sz="4" w:space="0" w:color="A8D08D" w:themeColor="accent6" w:themeTint="99"/>
            </w:tcBorders>
          </w:tcPr>
          <w:p w14:paraId="05F23326" w14:textId="77777777" w:rsidR="00B776E0" w:rsidRPr="003F101B" w:rsidRDefault="00B776E0" w:rsidP="00892604">
            <w:pPr>
              <w:spacing w:before="40" w:after="40"/>
              <w:rPr>
                <w:rFonts w:cs="Arial"/>
                <w:sz w:val="18"/>
              </w:rPr>
            </w:pPr>
            <w:r w:rsidRPr="003F101B">
              <w:rPr>
                <w:rFonts w:cs="Arial"/>
                <w:sz w:val="18"/>
              </w:rPr>
              <w:t xml:space="preserve">Wall </w:t>
            </w:r>
            <w:r w:rsidR="00892604">
              <w:rPr>
                <w:rFonts w:cs="Arial"/>
                <w:sz w:val="18"/>
              </w:rPr>
              <w:t>and</w:t>
            </w:r>
            <w:r w:rsidR="00892604" w:rsidRPr="003F101B">
              <w:rPr>
                <w:rFonts w:cs="Arial"/>
                <w:sz w:val="18"/>
              </w:rPr>
              <w:t xml:space="preserve"> </w:t>
            </w:r>
            <w:r w:rsidRPr="003F101B">
              <w:rPr>
                <w:rFonts w:cs="Arial"/>
                <w:sz w:val="18"/>
              </w:rPr>
              <w:t>Floor Tiling</w:t>
            </w:r>
          </w:p>
        </w:tc>
        <w:tc>
          <w:tcPr>
            <w:tcW w:w="2740" w:type="dxa"/>
            <w:tcBorders>
              <w:top w:val="single" w:sz="4" w:space="0" w:color="A8D08D" w:themeColor="accent6" w:themeTint="99"/>
            </w:tcBorders>
          </w:tcPr>
          <w:p w14:paraId="37A0F13A" w14:textId="77777777" w:rsidR="00B776E0" w:rsidRPr="003F101B" w:rsidRDefault="00B776E0" w:rsidP="003F101B">
            <w:pPr>
              <w:spacing w:before="40" w:after="40"/>
              <w:jc w:val="center"/>
              <w:rPr>
                <w:rFonts w:cs="Arial"/>
                <w:sz w:val="18"/>
              </w:rPr>
            </w:pPr>
            <w:r w:rsidRPr="003F101B">
              <w:rPr>
                <w:rFonts w:cs="Arial"/>
                <w:color w:val="000000"/>
                <w:sz w:val="18"/>
                <w:lang w:eastAsia="en-AU"/>
              </w:rPr>
              <w:t>10/08/2012</w:t>
            </w:r>
          </w:p>
        </w:tc>
        <w:tc>
          <w:tcPr>
            <w:tcW w:w="2741" w:type="dxa"/>
            <w:tcBorders>
              <w:top w:val="single" w:sz="4" w:space="0" w:color="A8D08D" w:themeColor="accent6" w:themeTint="99"/>
            </w:tcBorders>
          </w:tcPr>
          <w:p w14:paraId="34530F4B" w14:textId="77777777" w:rsidR="00B776E0" w:rsidRPr="003F101B" w:rsidRDefault="00B776E0" w:rsidP="003F101B">
            <w:pPr>
              <w:spacing w:before="40" w:after="40"/>
              <w:jc w:val="center"/>
              <w:rPr>
                <w:rFonts w:cs="Arial"/>
                <w:sz w:val="18"/>
              </w:rPr>
            </w:pPr>
            <w:r w:rsidRPr="003F101B">
              <w:rPr>
                <w:rFonts w:cs="Arial"/>
                <w:sz w:val="18"/>
              </w:rPr>
              <w:t>-</w:t>
            </w:r>
          </w:p>
        </w:tc>
      </w:tr>
      <w:tr w:rsidR="00B776E0" w:rsidRPr="003F101B" w14:paraId="6C3DB3FB" w14:textId="77777777" w:rsidTr="006C7D41">
        <w:tc>
          <w:tcPr>
            <w:tcW w:w="8222" w:type="dxa"/>
            <w:gridSpan w:val="3"/>
            <w:shd w:val="clear" w:color="auto" w:fill="E2EFD9" w:themeFill="accent6" w:themeFillTint="33"/>
          </w:tcPr>
          <w:p w14:paraId="1DEEC664" w14:textId="77777777" w:rsidR="00B776E0" w:rsidRPr="00892604" w:rsidRDefault="00546F37" w:rsidP="003F101B">
            <w:pPr>
              <w:spacing w:before="40" w:after="40"/>
              <w:jc w:val="center"/>
              <w:rPr>
                <w:rFonts w:cs="Arial"/>
                <w:b/>
                <w:sz w:val="18"/>
              </w:rPr>
            </w:pPr>
            <w:r w:rsidRPr="00546F37">
              <w:rPr>
                <w:rFonts w:cs="Arial"/>
                <w:b/>
                <w:sz w:val="18"/>
              </w:rPr>
              <w:t>20 audits to end August 2014</w:t>
            </w:r>
          </w:p>
        </w:tc>
      </w:tr>
    </w:tbl>
    <w:p w14:paraId="29B4C748" w14:textId="30E0779F" w:rsidR="00A854F9" w:rsidRPr="00A854F9" w:rsidRDefault="00A854F9" w:rsidP="000859B4">
      <w:pPr>
        <w:pStyle w:val="Heading1"/>
      </w:pPr>
      <w:bookmarkStart w:id="758" w:name="_Toc278447933"/>
      <w:bookmarkStart w:id="759" w:name="_Toc278453406"/>
      <w:r w:rsidRPr="00A854F9">
        <w:t xml:space="preserve">Attachment 2 to Annex 6: The </w:t>
      </w:r>
      <w:r w:rsidR="00891AB3">
        <w:t>f</w:t>
      </w:r>
      <w:r w:rsidRPr="00A854F9">
        <w:t xml:space="preserve">uture of APTC </w:t>
      </w:r>
      <w:r w:rsidR="00891AB3">
        <w:t>s</w:t>
      </w:r>
      <w:r w:rsidRPr="00A854F9">
        <w:t>cholarships</w:t>
      </w:r>
      <w:bookmarkEnd w:id="758"/>
      <w:bookmarkEnd w:id="759"/>
      <w:r w:rsidRPr="00A854F9">
        <w:t xml:space="preserve"> </w:t>
      </w:r>
    </w:p>
    <w:p w14:paraId="174DD286" w14:textId="77777777" w:rsidR="00A854F9" w:rsidRPr="00A854F9" w:rsidRDefault="00A854F9" w:rsidP="000668BA">
      <w:pPr>
        <w:numPr>
          <w:ilvl w:val="0"/>
          <w:numId w:val="76"/>
        </w:numPr>
        <w:spacing w:after="0" w:line="259" w:lineRule="auto"/>
        <w:ind w:hanging="720"/>
        <w:contextualSpacing/>
        <w:rPr>
          <w:rFonts w:cs="Arial"/>
          <w:b/>
          <w:bCs/>
          <w:color w:val="76923C"/>
        </w:rPr>
      </w:pPr>
      <w:r w:rsidRPr="00A854F9">
        <w:rPr>
          <w:rFonts w:cs="Arial"/>
          <w:b/>
          <w:bCs/>
          <w:color w:val="76923C"/>
        </w:rPr>
        <w:t>Introduction</w:t>
      </w:r>
    </w:p>
    <w:p w14:paraId="1F922F74" w14:textId="77777777" w:rsidR="00A854F9" w:rsidRPr="00A854F9" w:rsidRDefault="00A854F9" w:rsidP="00A854F9">
      <w:pPr>
        <w:rPr>
          <w:rFonts w:eastAsia="Calibri" w:cs="Arial"/>
          <w:szCs w:val="22"/>
          <w:lang w:val="en-GB"/>
        </w:rPr>
      </w:pPr>
      <w:r w:rsidRPr="00A854F9">
        <w:rPr>
          <w:rFonts w:eastAsia="Calibri" w:cs="Arial"/>
          <w:szCs w:val="22"/>
          <w:lang w:val="en-GB"/>
        </w:rPr>
        <w:t>The terms of reference for the evaluation require specific consideration of future options for APTC scholarships:</w:t>
      </w:r>
    </w:p>
    <w:p w14:paraId="463347A3" w14:textId="77777777" w:rsidR="00A854F9" w:rsidRPr="00A854F9" w:rsidRDefault="00A854F9" w:rsidP="00A854F9">
      <w:pPr>
        <w:ind w:left="720"/>
        <w:rPr>
          <w:rFonts w:eastAsia="Calibri" w:cs="Arial"/>
          <w:szCs w:val="22"/>
        </w:rPr>
      </w:pPr>
      <w:r w:rsidRPr="00A854F9">
        <w:rPr>
          <w:rFonts w:eastAsia="Calibri" w:cs="Arial"/>
          <w:szCs w:val="22"/>
          <w:lang w:val="en-GB"/>
        </w:rPr>
        <w:t>APTC Scholarships has always been run separately from all the other Aid Program Scholarships. Opportunities for collaboration going forward are to be considered. (Terms of Reference, p.4)</w:t>
      </w:r>
    </w:p>
    <w:p w14:paraId="38501188" w14:textId="77777777" w:rsidR="00A854F9" w:rsidRPr="00A854F9" w:rsidRDefault="00A854F9" w:rsidP="00A854F9">
      <w:pPr>
        <w:rPr>
          <w:rFonts w:eastAsia="Calibri" w:cs="Arial"/>
          <w:szCs w:val="22"/>
        </w:rPr>
      </w:pPr>
      <w:r w:rsidRPr="00A854F9">
        <w:rPr>
          <w:rFonts w:eastAsia="Calibri" w:cs="Arial"/>
          <w:szCs w:val="22"/>
        </w:rPr>
        <w:t>This attachment specifically addresses this issue.</w:t>
      </w:r>
    </w:p>
    <w:p w14:paraId="72BD55A9" w14:textId="77777777" w:rsidR="00A854F9" w:rsidRPr="00A854F9" w:rsidRDefault="00A854F9" w:rsidP="000668BA">
      <w:pPr>
        <w:numPr>
          <w:ilvl w:val="0"/>
          <w:numId w:val="76"/>
        </w:numPr>
        <w:spacing w:after="0" w:line="259" w:lineRule="auto"/>
        <w:ind w:hanging="720"/>
        <w:contextualSpacing/>
        <w:rPr>
          <w:rFonts w:cs="Arial"/>
          <w:b/>
          <w:bCs/>
          <w:color w:val="76923C"/>
        </w:rPr>
      </w:pPr>
      <w:r w:rsidRPr="00A854F9">
        <w:rPr>
          <w:rFonts w:cs="Arial"/>
          <w:b/>
          <w:bCs/>
          <w:color w:val="76923C"/>
        </w:rPr>
        <w:t>The current situation</w:t>
      </w:r>
    </w:p>
    <w:p w14:paraId="648C2AA1" w14:textId="2E59E83A" w:rsidR="00A854F9" w:rsidRPr="00A854F9" w:rsidRDefault="00A854F9" w:rsidP="00A854F9">
      <w:pPr>
        <w:rPr>
          <w:rFonts w:eastAsia="Calibri" w:cs="Arial"/>
          <w:szCs w:val="22"/>
        </w:rPr>
      </w:pPr>
      <w:r w:rsidRPr="00A854F9">
        <w:rPr>
          <w:rFonts w:eastAsia="Calibri" w:cs="Arial"/>
          <w:szCs w:val="22"/>
        </w:rPr>
        <w:t xml:space="preserve">APTC awards its own scholarships within a scholarship policy based on the requirements of the Scope of Services. APTC is required to manage the scholarships in </w:t>
      </w:r>
      <w:r w:rsidR="00247438">
        <w:rPr>
          <w:rFonts w:eastAsia="Calibri" w:cs="Arial"/>
          <w:szCs w:val="22"/>
        </w:rPr>
        <w:t xml:space="preserve">a </w:t>
      </w:r>
      <w:r w:rsidRPr="00A854F9">
        <w:rPr>
          <w:rFonts w:eastAsia="Calibri" w:cs="Arial"/>
          <w:szCs w:val="22"/>
        </w:rPr>
        <w:t>way that maximises ‘opportunities for students from all PIF countries to access and successfully complete APTC qualifications with a particular focus on redressing gender, isolation and income discrimination’</w:t>
      </w:r>
      <w:r w:rsidR="00247438">
        <w:rPr>
          <w:rFonts w:eastAsia="Calibri" w:cs="Arial"/>
          <w:szCs w:val="22"/>
        </w:rPr>
        <w:t>.</w:t>
      </w:r>
      <w:r w:rsidRPr="00A854F9">
        <w:rPr>
          <w:rFonts w:eastAsia="Calibri" w:cs="Arial"/>
          <w:szCs w:val="22"/>
        </w:rPr>
        <w:t xml:space="preserve"> (Scope of Services, component 4)</w:t>
      </w:r>
    </w:p>
    <w:p w14:paraId="704C5474" w14:textId="77777777" w:rsidR="00A854F9" w:rsidRPr="00A854F9" w:rsidRDefault="00A854F9" w:rsidP="00A854F9">
      <w:pPr>
        <w:rPr>
          <w:rFonts w:eastAsia="Calibri" w:cs="Arial"/>
          <w:szCs w:val="22"/>
        </w:rPr>
      </w:pPr>
      <w:r w:rsidRPr="00A854F9">
        <w:rPr>
          <w:rFonts w:eastAsia="Calibri" w:cs="Arial"/>
          <w:szCs w:val="22"/>
        </w:rPr>
        <w:t>Annex 4 provides details about the outcomes of the administration of the scholarships to date which show that:</w:t>
      </w:r>
    </w:p>
    <w:p w14:paraId="3B50CA8C" w14:textId="00ABCE57" w:rsidR="00A854F9" w:rsidRPr="00A854F9" w:rsidRDefault="00A854F9" w:rsidP="000668BA">
      <w:pPr>
        <w:numPr>
          <w:ilvl w:val="0"/>
          <w:numId w:val="75"/>
        </w:numPr>
        <w:spacing w:after="0" w:line="259" w:lineRule="auto"/>
        <w:contextualSpacing/>
        <w:rPr>
          <w:rFonts w:eastAsia="Calibri" w:cs="Arial"/>
          <w:szCs w:val="22"/>
        </w:rPr>
      </w:pPr>
      <w:r w:rsidRPr="00A854F9">
        <w:rPr>
          <w:rFonts w:eastAsia="Calibri" w:cs="Arial"/>
          <w:szCs w:val="22"/>
        </w:rPr>
        <w:t>50</w:t>
      </w:r>
      <w:r w:rsidR="00247438">
        <w:rPr>
          <w:rFonts w:eastAsia="Calibri" w:cs="Arial"/>
          <w:szCs w:val="22"/>
        </w:rPr>
        <w:t xml:space="preserve"> per cent</w:t>
      </w:r>
      <w:r w:rsidRPr="00A854F9">
        <w:rPr>
          <w:rFonts w:eastAsia="Calibri" w:cs="Arial"/>
          <w:szCs w:val="22"/>
        </w:rPr>
        <w:t xml:space="preserve"> of scholarship applicants were awarded a scholarship (Table 3.1.1) within a context where eligibility requirements are applied rigorously (61</w:t>
      </w:r>
      <w:r w:rsidR="00247438">
        <w:rPr>
          <w:rFonts w:eastAsia="Calibri" w:cs="Arial"/>
          <w:szCs w:val="22"/>
        </w:rPr>
        <w:t xml:space="preserve"> per cent</w:t>
      </w:r>
      <w:r w:rsidRPr="00A854F9">
        <w:rPr>
          <w:rFonts w:eastAsia="Calibri" w:cs="Arial"/>
          <w:szCs w:val="22"/>
        </w:rPr>
        <w:t xml:space="preserve"> of all applicants were deemed eligible after testing for language, literacy and numeracy and for vocational skills and knowledge)</w:t>
      </w:r>
    </w:p>
    <w:p w14:paraId="25771F9F" w14:textId="536CF594" w:rsidR="00A854F9" w:rsidRPr="00A854F9" w:rsidRDefault="00247438" w:rsidP="000668BA">
      <w:pPr>
        <w:numPr>
          <w:ilvl w:val="0"/>
          <w:numId w:val="75"/>
        </w:numPr>
        <w:spacing w:after="0" w:line="259" w:lineRule="auto"/>
        <w:contextualSpacing/>
        <w:rPr>
          <w:rFonts w:eastAsia="Calibri" w:cs="Arial"/>
          <w:szCs w:val="22"/>
        </w:rPr>
      </w:pPr>
      <w:r>
        <w:rPr>
          <w:rFonts w:eastAsia="Calibri" w:cs="Arial"/>
          <w:szCs w:val="22"/>
        </w:rPr>
        <w:t>o</w:t>
      </w:r>
      <w:r w:rsidR="00A854F9" w:rsidRPr="00A854F9">
        <w:rPr>
          <w:rFonts w:eastAsia="Calibri" w:cs="Arial"/>
          <w:szCs w:val="22"/>
        </w:rPr>
        <w:t>verall there has been a 90</w:t>
      </w:r>
      <w:r>
        <w:rPr>
          <w:rFonts w:eastAsia="Calibri" w:cs="Arial"/>
          <w:szCs w:val="22"/>
        </w:rPr>
        <w:t xml:space="preserve"> per cent</w:t>
      </w:r>
      <w:r w:rsidR="00A854F9" w:rsidRPr="00A854F9">
        <w:rPr>
          <w:rFonts w:eastAsia="Calibri" w:cs="Arial"/>
          <w:szCs w:val="22"/>
        </w:rPr>
        <w:t xml:space="preserve"> uptake of scholarships offered </w:t>
      </w:r>
      <w:r>
        <w:rPr>
          <w:rFonts w:eastAsia="Calibri" w:cs="Arial"/>
          <w:szCs w:val="22"/>
        </w:rPr>
        <w:br/>
      </w:r>
      <w:r w:rsidR="00A854F9" w:rsidRPr="00A854F9">
        <w:rPr>
          <w:rFonts w:eastAsia="Calibri" w:cs="Arial"/>
          <w:szCs w:val="22"/>
        </w:rPr>
        <w:t>(Table 3.1.1).</w:t>
      </w:r>
    </w:p>
    <w:p w14:paraId="6604EA88" w14:textId="69E9EAB9" w:rsidR="00A854F9" w:rsidRPr="00A854F9" w:rsidRDefault="00247438" w:rsidP="000668BA">
      <w:pPr>
        <w:numPr>
          <w:ilvl w:val="0"/>
          <w:numId w:val="75"/>
        </w:numPr>
        <w:spacing w:after="0" w:line="259" w:lineRule="auto"/>
        <w:contextualSpacing/>
        <w:rPr>
          <w:rFonts w:eastAsia="Calibri" w:cs="Arial"/>
          <w:szCs w:val="22"/>
        </w:rPr>
      </w:pPr>
      <w:r>
        <w:rPr>
          <w:rFonts w:eastAsia="Calibri" w:cs="Arial"/>
          <w:szCs w:val="22"/>
        </w:rPr>
        <w:t>t</w:t>
      </w:r>
      <w:r w:rsidR="00A854F9" w:rsidRPr="00A854F9">
        <w:rPr>
          <w:rFonts w:eastAsia="Calibri" w:cs="Arial"/>
          <w:szCs w:val="22"/>
        </w:rPr>
        <w:t>here is a 91</w:t>
      </w:r>
      <w:r>
        <w:rPr>
          <w:rFonts w:eastAsia="Calibri" w:cs="Arial"/>
          <w:szCs w:val="22"/>
        </w:rPr>
        <w:t xml:space="preserve"> per cent</w:t>
      </w:r>
      <w:r w:rsidR="00A854F9" w:rsidRPr="00A854F9">
        <w:rPr>
          <w:rFonts w:eastAsia="Calibri" w:cs="Arial"/>
          <w:szCs w:val="22"/>
        </w:rPr>
        <w:t xml:space="preserve"> completion rate of APTC entrants (Table 5.2.1a)</w:t>
      </w:r>
    </w:p>
    <w:p w14:paraId="65A64017" w14:textId="4DDEB0B2" w:rsidR="00A854F9" w:rsidRPr="00A854F9" w:rsidRDefault="00247438" w:rsidP="000668BA">
      <w:pPr>
        <w:numPr>
          <w:ilvl w:val="0"/>
          <w:numId w:val="75"/>
        </w:numPr>
        <w:spacing w:after="0" w:line="259" w:lineRule="auto"/>
        <w:contextualSpacing/>
        <w:rPr>
          <w:rFonts w:eastAsia="Calibri" w:cs="Arial"/>
          <w:szCs w:val="22"/>
        </w:rPr>
      </w:pPr>
      <w:r>
        <w:rPr>
          <w:rFonts w:eastAsia="Calibri" w:cs="Arial"/>
          <w:szCs w:val="22"/>
        </w:rPr>
        <w:t>p</w:t>
      </w:r>
      <w:r w:rsidR="00A854F9" w:rsidRPr="00A854F9">
        <w:rPr>
          <w:rFonts w:eastAsia="Calibri" w:cs="Arial"/>
          <w:szCs w:val="22"/>
        </w:rPr>
        <w:t>ercentages for males and females do not vary considerably on these measures.</w:t>
      </w:r>
    </w:p>
    <w:p w14:paraId="35F5A6A5" w14:textId="2AF262B9" w:rsidR="00A854F9" w:rsidRPr="00A854F9" w:rsidRDefault="00247438" w:rsidP="00A854F9">
      <w:pPr>
        <w:rPr>
          <w:rFonts w:eastAsia="Calibri" w:cs="Arial"/>
          <w:szCs w:val="22"/>
        </w:rPr>
      </w:pPr>
      <w:r>
        <w:rPr>
          <w:rFonts w:eastAsia="Calibri" w:cs="Arial"/>
          <w:szCs w:val="22"/>
        </w:rPr>
        <w:br/>
      </w:r>
      <w:r w:rsidR="00A854F9" w:rsidRPr="00A854F9">
        <w:rPr>
          <w:rFonts w:eastAsia="Calibri" w:cs="Arial"/>
          <w:szCs w:val="22"/>
        </w:rPr>
        <w:t>These outcomes give a considerable degree of confidence that the scholarship program is well-managed.</w:t>
      </w:r>
    </w:p>
    <w:p w14:paraId="2C06DE2F" w14:textId="34801E63" w:rsidR="00A854F9" w:rsidRPr="00A854F9" w:rsidRDefault="00A854F9" w:rsidP="000668BA">
      <w:pPr>
        <w:numPr>
          <w:ilvl w:val="0"/>
          <w:numId w:val="76"/>
        </w:numPr>
        <w:spacing w:after="0" w:line="259" w:lineRule="auto"/>
        <w:ind w:hanging="720"/>
        <w:contextualSpacing/>
        <w:rPr>
          <w:rFonts w:cs="Arial"/>
          <w:b/>
          <w:bCs/>
          <w:color w:val="76923C"/>
        </w:rPr>
      </w:pPr>
      <w:r w:rsidRPr="00A854F9">
        <w:rPr>
          <w:rFonts w:cs="Arial"/>
          <w:b/>
          <w:bCs/>
          <w:color w:val="76923C"/>
        </w:rPr>
        <w:t>Future opportunities for collaboration with other aid program scholarships</w:t>
      </w:r>
      <w:r w:rsidR="00247438">
        <w:rPr>
          <w:rFonts w:cs="Arial"/>
          <w:b/>
          <w:bCs/>
          <w:color w:val="76923C"/>
        </w:rPr>
        <w:br/>
      </w:r>
    </w:p>
    <w:p w14:paraId="1E868D8A" w14:textId="77777777" w:rsidR="00A854F9" w:rsidRPr="00A854F9" w:rsidRDefault="00A854F9" w:rsidP="00A854F9">
      <w:pPr>
        <w:rPr>
          <w:rFonts w:eastAsia="Calibri" w:cs="Arial"/>
          <w:szCs w:val="22"/>
        </w:rPr>
      </w:pPr>
      <w:r w:rsidRPr="00A854F9">
        <w:rPr>
          <w:rFonts w:eastAsia="Calibri" w:cs="Arial"/>
          <w:szCs w:val="22"/>
        </w:rPr>
        <w:t>In considering any options for future collaboration with other aid program scholarships, it is important to recognise that the APTC scholarship program has many unique features which distinguish it from other scholarship programs. Salient ones are:</w:t>
      </w:r>
    </w:p>
    <w:p w14:paraId="2AF0A028" w14:textId="01800BB1" w:rsidR="00A854F9" w:rsidRPr="00A854F9" w:rsidRDefault="00A854F9" w:rsidP="000668BA">
      <w:pPr>
        <w:numPr>
          <w:ilvl w:val="0"/>
          <w:numId w:val="73"/>
        </w:numPr>
        <w:spacing w:after="0" w:line="259" w:lineRule="auto"/>
        <w:contextualSpacing/>
        <w:rPr>
          <w:rFonts w:eastAsia="Calibri" w:cs="Arial"/>
          <w:szCs w:val="22"/>
        </w:rPr>
      </w:pPr>
      <w:r w:rsidRPr="00A854F9">
        <w:rPr>
          <w:rFonts w:eastAsia="Calibri" w:cs="Arial"/>
          <w:szCs w:val="22"/>
        </w:rPr>
        <w:t>Scholarship duration: The APTC scholarship scheme is structured differently from the core bilateral Australian Scholarships for the Pacific. They are shorter term, block structure, with flexible delivery modes and have labour mobility objectives. (Terms of Reference, AP</w:t>
      </w:r>
      <w:r w:rsidR="005F66A4">
        <w:rPr>
          <w:rFonts w:eastAsia="Calibri" w:cs="Arial"/>
          <w:szCs w:val="22"/>
        </w:rPr>
        <w:t>TC Independent Evaluation, p. 1</w:t>
      </w:r>
      <w:r w:rsidRPr="00A854F9">
        <w:rPr>
          <w:rFonts w:eastAsia="Calibri" w:cs="Arial"/>
          <w:szCs w:val="22"/>
        </w:rPr>
        <w:t>)</w:t>
      </w:r>
    </w:p>
    <w:p w14:paraId="6C3CDAC5" w14:textId="311410F4" w:rsidR="00A854F9" w:rsidRPr="00A854F9" w:rsidRDefault="00A854F9" w:rsidP="000668BA">
      <w:pPr>
        <w:numPr>
          <w:ilvl w:val="0"/>
          <w:numId w:val="73"/>
        </w:numPr>
        <w:spacing w:after="0" w:line="259" w:lineRule="auto"/>
        <w:contextualSpacing/>
        <w:rPr>
          <w:rFonts w:eastAsia="Calibri" w:cs="Arial"/>
          <w:szCs w:val="22"/>
        </w:rPr>
      </w:pPr>
      <w:r w:rsidRPr="00A854F9">
        <w:rPr>
          <w:rFonts w:eastAsia="Calibri" w:cs="Arial"/>
          <w:szCs w:val="22"/>
        </w:rPr>
        <w:t>Target group: The Australia Awards Scholarship Programs cater for school leavers, undergraduates and graduates to complete higher level qualifications, whereas APTC scholarships cater for existing workers and new industry entrants – adults being offered a ‘second chance’ for formal training at Certificate III level.</w:t>
      </w:r>
    </w:p>
    <w:p w14:paraId="75A1B944" w14:textId="77777777" w:rsidR="00A854F9" w:rsidRPr="00A854F9" w:rsidRDefault="00A854F9" w:rsidP="000668BA">
      <w:pPr>
        <w:numPr>
          <w:ilvl w:val="0"/>
          <w:numId w:val="73"/>
        </w:numPr>
        <w:spacing w:after="0" w:line="259" w:lineRule="auto"/>
        <w:contextualSpacing/>
        <w:rPr>
          <w:rFonts w:eastAsia="Calibri" w:cs="Arial"/>
          <w:szCs w:val="22"/>
        </w:rPr>
      </w:pPr>
      <w:r w:rsidRPr="00A854F9">
        <w:rPr>
          <w:rFonts w:eastAsia="Calibri" w:cs="Arial"/>
          <w:szCs w:val="22"/>
        </w:rPr>
        <w:t>Eligibility: The Australia Awards Scholarship Programs focus on academic ability, whereas APTC scholarships test for vocational knowledge and skills (VKS) and language, literacy and numeracy capability.</w:t>
      </w:r>
    </w:p>
    <w:p w14:paraId="584D4FBA" w14:textId="77777777" w:rsidR="00A854F9" w:rsidRPr="00A854F9" w:rsidRDefault="00A854F9" w:rsidP="000668BA">
      <w:pPr>
        <w:numPr>
          <w:ilvl w:val="0"/>
          <w:numId w:val="73"/>
        </w:numPr>
        <w:spacing w:after="0" w:line="259" w:lineRule="auto"/>
        <w:contextualSpacing/>
        <w:rPr>
          <w:rFonts w:eastAsia="Calibri" w:cs="Arial"/>
          <w:szCs w:val="22"/>
        </w:rPr>
      </w:pPr>
      <w:r w:rsidRPr="00A854F9">
        <w:rPr>
          <w:rFonts w:eastAsia="Calibri" w:cs="Arial"/>
          <w:szCs w:val="22"/>
        </w:rPr>
        <w:t>Individualisation; The APTC scholarships take an individualised or ‘case-management’ approach to supporting access for scholarship recipients depending on their home country and personal circumstances, with different allowances applying accordingly, whereas other scholarship programs tend to apply uniform criteria.</w:t>
      </w:r>
    </w:p>
    <w:p w14:paraId="28F86D4F" w14:textId="77777777" w:rsidR="00A854F9" w:rsidRPr="00A854F9" w:rsidRDefault="00A854F9" w:rsidP="000668BA">
      <w:pPr>
        <w:numPr>
          <w:ilvl w:val="0"/>
          <w:numId w:val="73"/>
        </w:numPr>
        <w:spacing w:after="0" w:line="259" w:lineRule="auto"/>
        <w:contextualSpacing/>
        <w:rPr>
          <w:rFonts w:eastAsia="Calibri" w:cs="Arial"/>
          <w:szCs w:val="22"/>
        </w:rPr>
      </w:pPr>
      <w:r w:rsidRPr="00A854F9">
        <w:rPr>
          <w:rFonts w:eastAsia="Calibri" w:cs="Arial"/>
          <w:szCs w:val="22"/>
        </w:rPr>
        <w:t>Funding support: APTC aims to move towards a co-contribution arrangement to the cost of the tuition, either from individuals or employers, whereas the Australia Awards Scholarship Programs offer full financial support.</w:t>
      </w:r>
    </w:p>
    <w:p w14:paraId="25D82416" w14:textId="5F2360AA" w:rsidR="00A854F9" w:rsidRPr="00A854F9" w:rsidRDefault="009E2607" w:rsidP="005F66A4">
      <w:pPr>
        <w:rPr>
          <w:rFonts w:eastAsia="Calibri" w:cs="Arial"/>
          <w:szCs w:val="22"/>
        </w:rPr>
      </w:pPr>
      <w:r>
        <w:rPr>
          <w:rFonts w:eastAsia="Calibri" w:cs="Arial"/>
          <w:szCs w:val="22"/>
        </w:rPr>
        <w:br/>
      </w:r>
      <w:r w:rsidR="00A854F9" w:rsidRPr="00A854F9">
        <w:rPr>
          <w:rFonts w:eastAsia="Calibri" w:cs="Arial"/>
          <w:szCs w:val="22"/>
        </w:rPr>
        <w:t>Two scholarship programs might have relevance when considering opportunities for collaboration with APTC:</w:t>
      </w:r>
      <w:r w:rsidR="005F66A4">
        <w:rPr>
          <w:rFonts w:eastAsia="Calibri" w:cs="Arial"/>
          <w:szCs w:val="22"/>
        </w:rPr>
        <w:t xml:space="preserve"> </w:t>
      </w:r>
      <w:r w:rsidR="00A854F9" w:rsidRPr="00A854F9">
        <w:rPr>
          <w:rFonts w:eastAsia="Calibri" w:cs="Arial"/>
          <w:szCs w:val="22"/>
        </w:rPr>
        <w:t>Australia Awards Scholarships</w:t>
      </w:r>
      <w:r w:rsidR="005F66A4">
        <w:rPr>
          <w:rFonts w:eastAsia="Calibri" w:cs="Arial"/>
          <w:szCs w:val="22"/>
        </w:rPr>
        <w:t xml:space="preserve"> and </w:t>
      </w:r>
      <w:r w:rsidR="00A854F9" w:rsidRPr="00A854F9">
        <w:rPr>
          <w:rFonts w:eastAsia="Calibri" w:cs="Arial"/>
          <w:szCs w:val="22"/>
        </w:rPr>
        <w:t>Australia Awards Pacific Scholarships</w:t>
      </w:r>
      <w:r>
        <w:rPr>
          <w:rFonts w:eastAsia="Calibri" w:cs="Arial"/>
          <w:szCs w:val="22"/>
        </w:rPr>
        <w:t>.</w:t>
      </w:r>
    </w:p>
    <w:p w14:paraId="6FED27D9" w14:textId="7C037E0D" w:rsidR="00A854F9" w:rsidRPr="005F66A4" w:rsidRDefault="009E2607" w:rsidP="00A854F9">
      <w:pPr>
        <w:shd w:val="clear" w:color="auto" w:fill="FFFFFF"/>
        <w:ind w:left="360"/>
        <w:rPr>
          <w:rFonts w:cs="Arial"/>
          <w:b/>
          <w:i/>
          <w:szCs w:val="22"/>
          <w:lang w:val="en-US" w:eastAsia="en-AU"/>
        </w:rPr>
      </w:pPr>
      <w:r>
        <w:rPr>
          <w:rFonts w:cs="Arial"/>
          <w:b/>
          <w:i/>
          <w:color w:val="333333"/>
          <w:szCs w:val="22"/>
          <w:lang w:val="en-US" w:eastAsia="en-AU"/>
        </w:rPr>
        <w:br/>
      </w:r>
      <w:r w:rsidR="00A854F9" w:rsidRPr="005F66A4">
        <w:rPr>
          <w:rFonts w:cs="Arial"/>
          <w:b/>
          <w:i/>
          <w:szCs w:val="22"/>
          <w:lang w:val="en-US" w:eastAsia="en-AU"/>
        </w:rPr>
        <w:t xml:space="preserve">Australia Awards Scholarships </w:t>
      </w:r>
    </w:p>
    <w:p w14:paraId="781E9116" w14:textId="1DF34D9D" w:rsidR="00A854F9" w:rsidRPr="005F66A4" w:rsidRDefault="00A854F9" w:rsidP="00A854F9">
      <w:pPr>
        <w:shd w:val="clear" w:color="auto" w:fill="FFFFFF"/>
        <w:ind w:left="360"/>
        <w:rPr>
          <w:rFonts w:cs="Arial"/>
          <w:szCs w:val="22"/>
          <w:lang w:val="en-US" w:eastAsia="en-AU"/>
        </w:rPr>
      </w:pPr>
      <w:r w:rsidRPr="005F66A4">
        <w:rPr>
          <w:rFonts w:cs="Arial"/>
          <w:szCs w:val="22"/>
          <w:lang w:val="en-US" w:eastAsia="en-AU"/>
        </w:rPr>
        <w:t>These scholarships provide opportunities for people from developing countries, particularly those countries located in the Indo-Pa</w:t>
      </w:r>
      <w:r w:rsidR="005F66A4">
        <w:rPr>
          <w:rFonts w:cs="Arial"/>
          <w:szCs w:val="22"/>
          <w:lang w:val="en-US" w:eastAsia="en-AU"/>
        </w:rPr>
        <w:t>cific region, to undertake full-</w:t>
      </w:r>
      <w:r w:rsidRPr="005F66A4">
        <w:rPr>
          <w:rFonts w:cs="Arial"/>
          <w:szCs w:val="22"/>
          <w:lang w:val="en-US" w:eastAsia="en-AU"/>
        </w:rPr>
        <w:t>time undergraduate or postgraduate study at participating Australian universities and Technical and Further Education (TAFE) institutions. The study and research opportunities provided by Australia Awards Scholarships develop skills and knowledge of individuals to drive change and contribute to the development outcomes of their own country. A number of TAFE institutes are listed as participating institutions, including Box Hill Institute and several Queensland TAFE institutes. (Source: DFAT website.)</w:t>
      </w:r>
    </w:p>
    <w:p w14:paraId="47B0F05A" w14:textId="77777777" w:rsidR="00A854F9" w:rsidRPr="005F66A4" w:rsidRDefault="00A854F9" w:rsidP="00A854F9">
      <w:pPr>
        <w:ind w:left="360"/>
        <w:rPr>
          <w:rFonts w:eastAsia="Calibri" w:cs="Arial"/>
          <w:b/>
          <w:i/>
          <w:szCs w:val="22"/>
        </w:rPr>
      </w:pPr>
      <w:r w:rsidRPr="005F66A4">
        <w:rPr>
          <w:rFonts w:eastAsia="Calibri" w:cs="Arial"/>
          <w:b/>
          <w:i/>
          <w:szCs w:val="22"/>
        </w:rPr>
        <w:t>Australia Awards Pacific Scholarships</w:t>
      </w:r>
    </w:p>
    <w:p w14:paraId="6A01942B" w14:textId="77777777" w:rsidR="00A854F9" w:rsidRPr="005F66A4" w:rsidRDefault="00A854F9" w:rsidP="00A854F9">
      <w:pPr>
        <w:shd w:val="clear" w:color="auto" w:fill="FFFFFF"/>
        <w:ind w:left="360"/>
        <w:rPr>
          <w:rFonts w:cs="Arial"/>
          <w:szCs w:val="22"/>
          <w:lang w:val="en-US" w:eastAsia="en-AU"/>
        </w:rPr>
      </w:pPr>
      <w:r w:rsidRPr="005F66A4">
        <w:rPr>
          <w:rFonts w:eastAsia="Calibri" w:cs="Arial"/>
          <w:szCs w:val="22"/>
          <w:lang w:val="en-US"/>
        </w:rPr>
        <w:t>Australia Awards Pacific Scholarships are offered to people from the Pacific to study at Pacific tertiary institutions in Papua New Guinea, the Solomon Islands, Vanuatu, Fiji, Samoa and New Caledonia.</w:t>
      </w:r>
      <w:r w:rsidRPr="005F66A4">
        <w:rPr>
          <w:rFonts w:cs="Arial"/>
          <w:szCs w:val="22"/>
          <w:lang w:val="en-US" w:eastAsia="en-AU"/>
        </w:rPr>
        <w:t xml:space="preserve"> The purpose of the scholarships is for people to gain knowledge and skills which will help the development of their home country. Scholarships are available to people from Fiji, Federated States of Micronesia, Kiribati, Marshall Islands, Nauru, Palau, PNG, Samoa, Solomon Islands Tonga, Tuvalu and Vanuatu. (Source: DFAT website.)</w:t>
      </w:r>
    </w:p>
    <w:p w14:paraId="599E2FE7" w14:textId="7BFC055E" w:rsidR="00A854F9" w:rsidRPr="00A854F9" w:rsidRDefault="00A854F9" w:rsidP="00A854F9">
      <w:pPr>
        <w:rPr>
          <w:rFonts w:eastAsia="Calibri" w:cs="Arial"/>
          <w:szCs w:val="22"/>
        </w:rPr>
      </w:pPr>
      <w:r w:rsidRPr="00A854F9">
        <w:rPr>
          <w:rFonts w:eastAsia="Calibri" w:cs="Arial"/>
          <w:szCs w:val="22"/>
        </w:rPr>
        <w:t xml:space="preserve">In theory, common administration of all Australian scholarships, including those of APTC, could yield efficiency. However, APTC scholarships are different from other programs in terms of duration, the target group, eligibility, individualisation and funding support. In practice, any administrative integration would therefore be likely to harm the effectiveness of APTC’s scholarship program. Arguably APTC should maintain full control of its scholarship program, so that it has the flexibility to maintain the case management approach and to amend its scholarship policy as circumstances change.  </w:t>
      </w:r>
    </w:p>
    <w:p w14:paraId="24A09B8B" w14:textId="0E66EFD2" w:rsidR="00A854F9" w:rsidRPr="00A854F9" w:rsidRDefault="00A854F9" w:rsidP="00A854F9">
      <w:pPr>
        <w:rPr>
          <w:rFonts w:eastAsia="Calibri" w:cs="Arial"/>
          <w:szCs w:val="22"/>
        </w:rPr>
      </w:pPr>
      <w:r w:rsidRPr="00A854F9">
        <w:rPr>
          <w:rFonts w:eastAsia="Calibri" w:cs="Arial"/>
          <w:szCs w:val="22"/>
        </w:rPr>
        <w:t>However, there may be some other opportunities for collaboration</w:t>
      </w:r>
      <w:r w:rsidR="00C7146D">
        <w:rPr>
          <w:rFonts w:eastAsia="Calibri" w:cs="Arial"/>
          <w:szCs w:val="22"/>
        </w:rPr>
        <w:t>.</w:t>
      </w:r>
    </w:p>
    <w:p w14:paraId="407BE92E" w14:textId="28A8622F" w:rsidR="00A854F9" w:rsidRPr="00A854F9" w:rsidRDefault="00A854F9" w:rsidP="000668BA">
      <w:pPr>
        <w:numPr>
          <w:ilvl w:val="0"/>
          <w:numId w:val="74"/>
        </w:numPr>
        <w:spacing w:after="0" w:line="259" w:lineRule="auto"/>
        <w:contextualSpacing/>
        <w:rPr>
          <w:rFonts w:eastAsia="Calibri" w:cs="Arial"/>
          <w:szCs w:val="22"/>
        </w:rPr>
      </w:pPr>
      <w:r w:rsidRPr="00A854F9">
        <w:rPr>
          <w:rFonts w:eastAsia="Calibri" w:cs="Arial"/>
          <w:szCs w:val="22"/>
        </w:rPr>
        <w:t>The Australia Awards Scholarship programs could be considered as a pathway for successful APTC graduates. Formal communication structures between the two programs might facilitate this process for the most successful APTC graduates. For example, a small number of scholarships could be set aside in the Australia Awards scholarships for successful APTC graduates to undertake further study in a participating RTO in Australia. The Australia Awards Pacific Scholarship program has less potential in this regard, because of the lack of high quality TVET providers in the Pacific.</w:t>
      </w:r>
    </w:p>
    <w:p w14:paraId="6CAD60B3" w14:textId="6DC3917C" w:rsidR="00A854F9" w:rsidRPr="005017A4" w:rsidRDefault="00A854F9" w:rsidP="000668BA">
      <w:pPr>
        <w:numPr>
          <w:ilvl w:val="0"/>
          <w:numId w:val="74"/>
        </w:numPr>
        <w:spacing w:after="0" w:line="259" w:lineRule="auto"/>
        <w:contextualSpacing/>
        <w:rPr>
          <w:rFonts w:eastAsia="Calibri" w:cs="Arial"/>
          <w:szCs w:val="22"/>
        </w:rPr>
      </w:pPr>
      <w:r w:rsidRPr="005017A4">
        <w:rPr>
          <w:rFonts w:eastAsia="Calibri" w:cs="Arial"/>
          <w:szCs w:val="22"/>
        </w:rPr>
        <w:t xml:space="preserve">The eligibility requirements for the Australia Awards Pacific scholarships state that applicants must meet the </w:t>
      </w:r>
      <w:r w:rsidRPr="005017A4">
        <w:rPr>
          <w:rFonts w:eastAsia="Calibri" w:cs="Arial"/>
          <w:szCs w:val="22"/>
          <w:lang w:val="en-US"/>
        </w:rPr>
        <w:t xml:space="preserve">meet specific eligibility criteria imposed by the </w:t>
      </w:r>
      <w:r w:rsidR="00CD7E8A" w:rsidRPr="005017A4">
        <w:rPr>
          <w:rFonts w:eastAsia="Calibri" w:cs="Arial"/>
          <w:szCs w:val="22"/>
          <w:lang w:val="en-US"/>
        </w:rPr>
        <w:t>g</w:t>
      </w:r>
      <w:r w:rsidRPr="005017A4">
        <w:rPr>
          <w:rFonts w:eastAsia="Calibri" w:cs="Arial"/>
          <w:szCs w:val="22"/>
          <w:lang w:val="en-US"/>
        </w:rPr>
        <w:t>overnment of the applicant's country of citizenship. If this has not already occurred, these requirements might be further explored on a country</w:t>
      </w:r>
      <w:r w:rsidR="00CD7E8A" w:rsidRPr="005017A4">
        <w:rPr>
          <w:rFonts w:eastAsia="Calibri" w:cs="Arial"/>
          <w:szCs w:val="22"/>
          <w:lang w:val="en-US"/>
        </w:rPr>
        <w:t>-</w:t>
      </w:r>
      <w:r w:rsidRPr="005017A4">
        <w:rPr>
          <w:rFonts w:eastAsia="Calibri" w:cs="Arial"/>
          <w:szCs w:val="22"/>
          <w:lang w:val="en-US"/>
        </w:rPr>
        <w:t>by</w:t>
      </w:r>
      <w:r w:rsidR="00CD7E8A" w:rsidRPr="005017A4">
        <w:rPr>
          <w:rFonts w:eastAsia="Calibri" w:cs="Arial"/>
          <w:szCs w:val="22"/>
          <w:lang w:val="en-US"/>
        </w:rPr>
        <w:t>-</w:t>
      </w:r>
      <w:r w:rsidRPr="005017A4">
        <w:rPr>
          <w:rFonts w:eastAsia="Calibri" w:cs="Arial"/>
          <w:szCs w:val="22"/>
          <w:lang w:val="en-US"/>
        </w:rPr>
        <w:t>country basis to see whether they should be incorporated into APTC entry criteria, for example, if they relate to specific skill needs in those countries.</w:t>
      </w:r>
    </w:p>
    <w:p w14:paraId="113057CB" w14:textId="77777777" w:rsidR="00A854F9" w:rsidRDefault="00A854F9" w:rsidP="00A854F9">
      <w:pPr>
        <w:rPr>
          <w:rFonts w:eastAsia="Calibri" w:cs="Arial"/>
          <w:szCs w:val="22"/>
        </w:rPr>
      </w:pPr>
    </w:p>
    <w:p w14:paraId="5263AECF" w14:textId="7CCB02DD" w:rsidR="00A854F9" w:rsidRPr="00A854F9" w:rsidRDefault="00A854F9" w:rsidP="00A854F9">
      <w:pPr>
        <w:rPr>
          <w:rFonts w:eastAsia="Calibri" w:cs="Arial"/>
          <w:szCs w:val="22"/>
        </w:rPr>
      </w:pPr>
      <w:r w:rsidRPr="00A854F9">
        <w:rPr>
          <w:rFonts w:eastAsia="Calibri" w:cs="Arial"/>
          <w:szCs w:val="22"/>
        </w:rPr>
        <w:t xml:space="preserve">According to APTC, no discussions, either formal or informal have been held about linking the APTC scholarship program with either of the Australia Awards Scholarship programs. </w:t>
      </w:r>
      <w:r w:rsidR="00CD7E8A">
        <w:rPr>
          <w:rFonts w:eastAsia="Calibri" w:cs="Arial"/>
          <w:szCs w:val="22"/>
        </w:rPr>
        <w:br/>
      </w:r>
    </w:p>
    <w:p w14:paraId="553617BC" w14:textId="1339CFCD" w:rsidR="00A854F9" w:rsidRPr="00A854F9" w:rsidRDefault="00A854F9" w:rsidP="000668BA">
      <w:pPr>
        <w:numPr>
          <w:ilvl w:val="0"/>
          <w:numId w:val="76"/>
        </w:numPr>
        <w:spacing w:after="0" w:line="259" w:lineRule="auto"/>
        <w:ind w:hanging="720"/>
        <w:contextualSpacing/>
        <w:rPr>
          <w:rFonts w:cs="Arial"/>
          <w:b/>
          <w:bCs/>
          <w:color w:val="76923C"/>
        </w:rPr>
      </w:pPr>
      <w:r w:rsidRPr="00A854F9">
        <w:rPr>
          <w:rFonts w:cs="Arial"/>
          <w:b/>
          <w:bCs/>
          <w:color w:val="76923C"/>
        </w:rPr>
        <w:t>Conclusion</w:t>
      </w:r>
      <w:r w:rsidR="00CD7E8A">
        <w:rPr>
          <w:rFonts w:cs="Arial"/>
          <w:b/>
          <w:bCs/>
          <w:color w:val="76923C"/>
        </w:rPr>
        <w:br/>
      </w:r>
    </w:p>
    <w:p w14:paraId="17396DA7" w14:textId="02B1421A" w:rsidR="00A854F9" w:rsidRPr="00A854F9" w:rsidRDefault="00A854F9" w:rsidP="00A854F9">
      <w:pPr>
        <w:rPr>
          <w:rFonts w:eastAsia="Calibri" w:cs="Arial"/>
          <w:szCs w:val="22"/>
        </w:rPr>
      </w:pPr>
      <w:r w:rsidRPr="00A854F9">
        <w:rPr>
          <w:rFonts w:eastAsia="Calibri" w:cs="Arial"/>
          <w:szCs w:val="22"/>
        </w:rPr>
        <w:t>Based on the unique characteristics of the APTC scholarships, combining them with other scholarship programs such as the Australia Awards Scholarships is not recommended at this stage. However, DFAT could consider earmarking a number of Australia Awards Scholarships for further training in a participating institution in Australia as a means to establish a pathway for outstanding APTC graduates.</w:t>
      </w:r>
    </w:p>
    <w:p w14:paraId="64BF7938" w14:textId="77777777" w:rsidR="00A854F9" w:rsidRDefault="00B776E0" w:rsidP="009A63BD">
      <w:pPr>
        <w:pStyle w:val="Heading1"/>
        <w:rPr>
          <w:color w:val="000000" w:themeColor="text1"/>
        </w:rPr>
      </w:pPr>
      <w:r>
        <w:rPr>
          <w:color w:val="000000" w:themeColor="text1"/>
        </w:rPr>
        <w:br w:type="page"/>
      </w:r>
    </w:p>
    <w:p w14:paraId="162E933B" w14:textId="6541A341" w:rsidR="00B776E0" w:rsidRPr="00A71DF0" w:rsidRDefault="00B776E0" w:rsidP="009A63BD">
      <w:pPr>
        <w:pStyle w:val="Heading1"/>
        <w:rPr>
          <w:color w:val="000000" w:themeColor="text1"/>
          <w:sz w:val="20"/>
        </w:rPr>
      </w:pPr>
      <w:bookmarkStart w:id="760" w:name="_Toc278447934"/>
      <w:bookmarkStart w:id="761" w:name="_Toc278453407"/>
      <w:r w:rsidRPr="00A71DF0">
        <w:t xml:space="preserve">Attachment </w:t>
      </w:r>
      <w:r w:rsidR="00A854F9">
        <w:t>3</w:t>
      </w:r>
      <w:r w:rsidR="006B42C1">
        <w:t xml:space="preserve"> to Annex 6</w:t>
      </w:r>
      <w:r w:rsidRPr="00A71DF0">
        <w:t xml:space="preserve">: APTC </w:t>
      </w:r>
      <w:r w:rsidR="002C401D">
        <w:t>e</w:t>
      </w:r>
      <w:r w:rsidR="002C401D" w:rsidRPr="00A71DF0">
        <w:t xml:space="preserve">ngagement </w:t>
      </w:r>
      <w:r w:rsidRPr="00A71DF0">
        <w:t xml:space="preserve">with the Pacific TVET </w:t>
      </w:r>
      <w:r w:rsidR="002C401D">
        <w:t>s</w:t>
      </w:r>
      <w:r w:rsidR="002C401D" w:rsidRPr="00A71DF0">
        <w:t>ector</w:t>
      </w:r>
      <w:bookmarkEnd w:id="760"/>
      <w:bookmarkEnd w:id="761"/>
    </w:p>
    <w:p w14:paraId="13D2F968" w14:textId="77777777" w:rsidR="00B776E0" w:rsidRPr="003F101B" w:rsidRDefault="00B776E0" w:rsidP="00B776E0">
      <w:pPr>
        <w:rPr>
          <w:rFonts w:cs="Arial"/>
          <w:b/>
          <w:bCs/>
          <w:color w:val="76923C"/>
        </w:rPr>
      </w:pPr>
      <w:r w:rsidRPr="003F101B">
        <w:rPr>
          <w:rFonts w:cs="Arial"/>
          <w:b/>
          <w:bCs/>
          <w:color w:val="76923C"/>
        </w:rPr>
        <w:t>Overview</w:t>
      </w:r>
    </w:p>
    <w:p w14:paraId="1FB6BC63" w14:textId="77777777" w:rsidR="00B776E0" w:rsidRPr="002113B5" w:rsidRDefault="00B776E0" w:rsidP="00B776E0">
      <w:pPr>
        <w:rPr>
          <w:rFonts w:cs="Arial"/>
          <w:bCs/>
          <w:color w:val="000000" w:themeColor="text1"/>
        </w:rPr>
      </w:pPr>
      <w:r w:rsidRPr="002113B5">
        <w:rPr>
          <w:rFonts w:cs="Arial"/>
          <w:bCs/>
          <w:color w:val="000000" w:themeColor="text1"/>
        </w:rPr>
        <w:t>This attachment sets out to give a comprehensive picture of the current status of APTC’s engagement with the TVET sector. This can be considered in three categories</w:t>
      </w:r>
      <w:r w:rsidR="0025101C">
        <w:rPr>
          <w:rFonts w:cs="Arial"/>
          <w:bCs/>
          <w:color w:val="000000" w:themeColor="text1"/>
        </w:rPr>
        <w:t>.</w:t>
      </w:r>
    </w:p>
    <w:p w14:paraId="4065DEE2" w14:textId="2DAC128F" w:rsidR="009E7086" w:rsidRDefault="00B776E0" w:rsidP="000668BA">
      <w:pPr>
        <w:numPr>
          <w:ilvl w:val="0"/>
          <w:numId w:val="65"/>
        </w:numPr>
        <w:rPr>
          <w:rFonts w:cs="Arial"/>
          <w:bCs/>
          <w:color w:val="000000" w:themeColor="text1"/>
        </w:rPr>
      </w:pPr>
      <w:r w:rsidRPr="002113B5">
        <w:rPr>
          <w:rFonts w:cs="Arial"/>
          <w:bCs/>
          <w:color w:val="000000" w:themeColor="text1"/>
        </w:rPr>
        <w:t xml:space="preserve">Engagement with </w:t>
      </w:r>
      <w:r w:rsidR="00437401">
        <w:rPr>
          <w:rFonts w:cs="Arial"/>
          <w:bCs/>
          <w:color w:val="000000" w:themeColor="text1"/>
        </w:rPr>
        <w:t>p</w:t>
      </w:r>
      <w:r w:rsidR="00437401" w:rsidRPr="002113B5">
        <w:rPr>
          <w:rFonts w:cs="Arial"/>
          <w:bCs/>
          <w:color w:val="000000" w:themeColor="text1"/>
        </w:rPr>
        <w:t xml:space="preserve">artner </w:t>
      </w:r>
      <w:r w:rsidR="00437401">
        <w:rPr>
          <w:rFonts w:cs="Arial"/>
          <w:bCs/>
          <w:color w:val="000000" w:themeColor="text1"/>
        </w:rPr>
        <w:t>i</w:t>
      </w:r>
      <w:r w:rsidR="00437401" w:rsidRPr="002113B5">
        <w:rPr>
          <w:rFonts w:cs="Arial"/>
          <w:bCs/>
          <w:color w:val="000000" w:themeColor="text1"/>
        </w:rPr>
        <w:t xml:space="preserve">nstitutions </w:t>
      </w:r>
      <w:r w:rsidRPr="002113B5">
        <w:rPr>
          <w:rFonts w:cs="Arial"/>
          <w:bCs/>
          <w:color w:val="000000" w:themeColor="text1"/>
        </w:rPr>
        <w:t xml:space="preserve">in </w:t>
      </w:r>
      <w:r w:rsidR="00437401">
        <w:rPr>
          <w:rFonts w:cs="Arial"/>
          <w:bCs/>
          <w:color w:val="000000" w:themeColor="text1"/>
        </w:rPr>
        <w:t>c</w:t>
      </w:r>
      <w:r w:rsidR="00437401" w:rsidRPr="002113B5">
        <w:rPr>
          <w:rFonts w:cs="Arial"/>
          <w:bCs/>
          <w:color w:val="000000" w:themeColor="text1"/>
        </w:rPr>
        <w:t xml:space="preserve">ampus </w:t>
      </w:r>
      <w:r w:rsidR="00437401">
        <w:rPr>
          <w:rFonts w:cs="Arial"/>
          <w:bCs/>
          <w:color w:val="000000" w:themeColor="text1"/>
        </w:rPr>
        <w:t>c</w:t>
      </w:r>
      <w:r w:rsidR="00437401" w:rsidRPr="002113B5">
        <w:rPr>
          <w:rFonts w:cs="Arial"/>
          <w:bCs/>
          <w:color w:val="000000" w:themeColor="text1"/>
        </w:rPr>
        <w:t>ountries</w:t>
      </w:r>
      <w:r w:rsidRPr="002113B5">
        <w:rPr>
          <w:rFonts w:cs="Arial"/>
          <w:bCs/>
          <w:color w:val="000000" w:themeColor="text1"/>
        </w:rPr>
        <w:t xml:space="preserve">, </w:t>
      </w:r>
      <w:r w:rsidR="00A80A6A">
        <w:rPr>
          <w:rFonts w:cs="Arial"/>
          <w:bCs/>
          <w:color w:val="000000" w:themeColor="text1"/>
        </w:rPr>
        <w:br/>
      </w:r>
      <w:r w:rsidRPr="002113B5">
        <w:rPr>
          <w:rFonts w:cs="Arial"/>
          <w:bCs/>
          <w:color w:val="000000" w:themeColor="text1"/>
        </w:rPr>
        <w:t>both formal and informal</w:t>
      </w:r>
    </w:p>
    <w:p w14:paraId="1F24516E" w14:textId="77777777" w:rsidR="009E7086" w:rsidRDefault="00B776E0" w:rsidP="000668BA">
      <w:pPr>
        <w:numPr>
          <w:ilvl w:val="0"/>
          <w:numId w:val="65"/>
        </w:numPr>
        <w:rPr>
          <w:rFonts w:cs="Arial"/>
          <w:bCs/>
          <w:color w:val="000000" w:themeColor="text1"/>
        </w:rPr>
      </w:pPr>
      <w:r w:rsidRPr="002113B5">
        <w:rPr>
          <w:rFonts w:cs="Arial"/>
          <w:bCs/>
          <w:color w:val="000000" w:themeColor="text1"/>
        </w:rPr>
        <w:t xml:space="preserve">Engagement with </w:t>
      </w:r>
      <w:r w:rsidR="00437401">
        <w:rPr>
          <w:rFonts w:cs="Arial"/>
          <w:bCs/>
          <w:color w:val="000000" w:themeColor="text1"/>
        </w:rPr>
        <w:t>p</w:t>
      </w:r>
      <w:r w:rsidR="00437401" w:rsidRPr="002113B5">
        <w:rPr>
          <w:rFonts w:cs="Arial"/>
          <w:bCs/>
          <w:color w:val="000000" w:themeColor="text1"/>
        </w:rPr>
        <w:t xml:space="preserve">artner </w:t>
      </w:r>
      <w:r w:rsidR="00437401">
        <w:rPr>
          <w:rFonts w:cs="Arial"/>
          <w:bCs/>
          <w:color w:val="000000" w:themeColor="text1"/>
        </w:rPr>
        <w:t>i</w:t>
      </w:r>
      <w:r w:rsidR="00437401" w:rsidRPr="002113B5">
        <w:rPr>
          <w:rFonts w:cs="Arial"/>
          <w:bCs/>
          <w:color w:val="000000" w:themeColor="text1"/>
        </w:rPr>
        <w:t xml:space="preserve">nstitutions </w:t>
      </w:r>
      <w:r w:rsidRPr="002113B5">
        <w:rPr>
          <w:rFonts w:cs="Arial"/>
          <w:bCs/>
          <w:color w:val="000000" w:themeColor="text1"/>
        </w:rPr>
        <w:t xml:space="preserve">in </w:t>
      </w:r>
      <w:r w:rsidR="00437401">
        <w:rPr>
          <w:rFonts w:cs="Arial"/>
          <w:bCs/>
          <w:color w:val="000000" w:themeColor="text1"/>
        </w:rPr>
        <w:t>n</w:t>
      </w:r>
      <w:r w:rsidR="00437401" w:rsidRPr="002113B5">
        <w:rPr>
          <w:rFonts w:cs="Arial"/>
          <w:bCs/>
          <w:color w:val="000000" w:themeColor="text1"/>
        </w:rPr>
        <w:t>on</w:t>
      </w:r>
      <w:r w:rsidRPr="002113B5">
        <w:rPr>
          <w:rFonts w:cs="Arial"/>
          <w:bCs/>
          <w:color w:val="000000" w:themeColor="text1"/>
        </w:rPr>
        <w:t>-</w:t>
      </w:r>
      <w:r w:rsidR="00437401">
        <w:rPr>
          <w:rFonts w:cs="Arial"/>
          <w:bCs/>
          <w:color w:val="000000" w:themeColor="text1"/>
        </w:rPr>
        <w:t>c</w:t>
      </w:r>
      <w:r w:rsidRPr="002113B5">
        <w:rPr>
          <w:rFonts w:cs="Arial"/>
          <w:bCs/>
          <w:color w:val="000000" w:themeColor="text1"/>
        </w:rPr>
        <w:t xml:space="preserve">ampus </w:t>
      </w:r>
      <w:r w:rsidR="00437401">
        <w:rPr>
          <w:rFonts w:cs="Arial"/>
          <w:bCs/>
          <w:color w:val="000000" w:themeColor="text1"/>
        </w:rPr>
        <w:t>c</w:t>
      </w:r>
      <w:r w:rsidR="00437401" w:rsidRPr="002113B5">
        <w:rPr>
          <w:rFonts w:cs="Arial"/>
          <w:bCs/>
          <w:color w:val="000000" w:themeColor="text1"/>
        </w:rPr>
        <w:t>ountries</w:t>
      </w:r>
    </w:p>
    <w:p w14:paraId="4F54ADD2" w14:textId="77777777" w:rsidR="009E7086" w:rsidRDefault="00B776E0" w:rsidP="000668BA">
      <w:pPr>
        <w:numPr>
          <w:ilvl w:val="0"/>
          <w:numId w:val="65"/>
        </w:numPr>
        <w:rPr>
          <w:rFonts w:cs="Arial"/>
          <w:bCs/>
          <w:color w:val="000000" w:themeColor="text1"/>
        </w:rPr>
      </w:pPr>
      <w:r w:rsidRPr="002113B5">
        <w:rPr>
          <w:rFonts w:cs="Arial"/>
          <w:bCs/>
          <w:color w:val="000000" w:themeColor="text1"/>
        </w:rPr>
        <w:t xml:space="preserve">Engagement with the </w:t>
      </w:r>
      <w:r w:rsidR="00437401">
        <w:rPr>
          <w:rFonts w:cs="Arial"/>
          <w:bCs/>
          <w:color w:val="000000" w:themeColor="text1"/>
        </w:rPr>
        <w:t>w</w:t>
      </w:r>
      <w:r w:rsidR="00437401" w:rsidRPr="002113B5">
        <w:rPr>
          <w:rFonts w:cs="Arial"/>
          <w:bCs/>
          <w:color w:val="000000" w:themeColor="text1"/>
        </w:rPr>
        <w:t xml:space="preserve">ider </w:t>
      </w:r>
      <w:r w:rsidRPr="002113B5">
        <w:rPr>
          <w:rFonts w:cs="Arial"/>
          <w:bCs/>
          <w:color w:val="000000" w:themeColor="text1"/>
        </w:rPr>
        <w:t xml:space="preserve">TVET </w:t>
      </w:r>
      <w:r w:rsidR="00437401">
        <w:rPr>
          <w:rFonts w:cs="Arial"/>
          <w:bCs/>
          <w:color w:val="000000" w:themeColor="text1"/>
        </w:rPr>
        <w:t>s</w:t>
      </w:r>
      <w:r w:rsidR="00437401" w:rsidRPr="002113B5">
        <w:rPr>
          <w:rFonts w:cs="Arial"/>
          <w:bCs/>
          <w:color w:val="000000" w:themeColor="text1"/>
        </w:rPr>
        <w:t>ector</w:t>
      </w:r>
      <w:r w:rsidRPr="002113B5">
        <w:rPr>
          <w:rFonts w:cs="Arial"/>
          <w:bCs/>
          <w:color w:val="000000" w:themeColor="text1"/>
        </w:rPr>
        <w:t>, principally through the support of the relevant Ministries and Government agencies.</w:t>
      </w:r>
    </w:p>
    <w:p w14:paraId="7E9D285A" w14:textId="77777777" w:rsidR="00B776E0" w:rsidRPr="002113B5" w:rsidRDefault="00B776E0" w:rsidP="00B776E0">
      <w:pPr>
        <w:rPr>
          <w:rFonts w:cs="Arial"/>
          <w:bCs/>
          <w:color w:val="000000" w:themeColor="text1"/>
        </w:rPr>
      </w:pPr>
      <w:r w:rsidRPr="002113B5">
        <w:rPr>
          <w:rFonts w:cs="Arial"/>
          <w:bCs/>
          <w:color w:val="000000" w:themeColor="text1"/>
        </w:rPr>
        <w:t>The ways of engagement are interdependent and they illustrate that APTC is now deeply enmeshed in the Pacific TVET systems.</w:t>
      </w:r>
    </w:p>
    <w:p w14:paraId="6E220771" w14:textId="6BEE58EA" w:rsidR="00B776E0" w:rsidRPr="003F101B" w:rsidRDefault="005C70F2" w:rsidP="005C70F2">
      <w:pPr>
        <w:pStyle w:val="Heading2"/>
        <w:ind w:left="720" w:hanging="720"/>
      </w:pPr>
      <w:bookmarkStart w:id="762" w:name="_Toc278447935"/>
      <w:bookmarkStart w:id="763" w:name="_Toc278453408"/>
      <w:r>
        <w:t>1.</w:t>
      </w:r>
      <w:r>
        <w:tab/>
      </w:r>
      <w:r w:rsidR="00B776E0" w:rsidRPr="003F101B">
        <w:t xml:space="preserve">APTC </w:t>
      </w:r>
      <w:r w:rsidR="007F2C75">
        <w:t>e</w:t>
      </w:r>
      <w:r w:rsidR="007F2C75" w:rsidRPr="003F101B">
        <w:t xml:space="preserve">ngagement </w:t>
      </w:r>
      <w:r w:rsidR="00B776E0" w:rsidRPr="003F101B">
        <w:t xml:space="preserve">with </w:t>
      </w:r>
      <w:r w:rsidR="007F2C75">
        <w:t>p</w:t>
      </w:r>
      <w:r w:rsidR="007F2C75" w:rsidRPr="003F101B">
        <w:t xml:space="preserve">artner </w:t>
      </w:r>
      <w:r w:rsidR="007F2C75">
        <w:t>i</w:t>
      </w:r>
      <w:r w:rsidR="007F2C75" w:rsidRPr="003F101B">
        <w:t xml:space="preserve">nstitutions </w:t>
      </w:r>
      <w:r w:rsidR="007F2C75">
        <w:t>i</w:t>
      </w:r>
      <w:r w:rsidR="007F2C75" w:rsidRPr="003F101B">
        <w:t xml:space="preserve">n </w:t>
      </w:r>
      <w:r w:rsidR="007F2C75">
        <w:t>c</w:t>
      </w:r>
      <w:r w:rsidR="007F2C75" w:rsidRPr="003F101B">
        <w:t xml:space="preserve">ampus </w:t>
      </w:r>
      <w:r w:rsidR="007F2C75">
        <w:t>c</w:t>
      </w:r>
      <w:r w:rsidR="007F2C75" w:rsidRPr="003F101B">
        <w:t>ountries</w:t>
      </w:r>
      <w:r w:rsidR="007F2C75">
        <w:t xml:space="preserve"> </w:t>
      </w:r>
      <w:r w:rsidR="00B776E0" w:rsidRPr="003F101B">
        <w:t xml:space="preserve">– </w:t>
      </w:r>
      <w:r>
        <w:br/>
      </w:r>
      <w:r w:rsidR="00B776E0" w:rsidRPr="003F101B">
        <w:t xml:space="preserve">as outlined </w:t>
      </w:r>
      <w:r w:rsidR="00434E07" w:rsidRPr="003F101B">
        <w:t>in</w:t>
      </w:r>
      <w:r w:rsidR="00B776E0" w:rsidRPr="003F101B">
        <w:t xml:space="preserve"> </w:t>
      </w:r>
      <w:r w:rsidR="007F2C75">
        <w:t>f</w:t>
      </w:r>
      <w:r w:rsidR="007F2C75" w:rsidRPr="003F101B">
        <w:t xml:space="preserve">ormal </w:t>
      </w:r>
      <w:r w:rsidR="007F2C75">
        <w:t>a</w:t>
      </w:r>
      <w:r w:rsidR="007F2C75" w:rsidRPr="003F101B">
        <w:t>greements</w:t>
      </w:r>
      <w:bookmarkEnd w:id="762"/>
      <w:bookmarkEnd w:id="763"/>
    </w:p>
    <w:p w14:paraId="2A8478E8" w14:textId="77777777" w:rsidR="00B776E0" w:rsidRDefault="00B776E0" w:rsidP="00B776E0">
      <w:pPr>
        <w:rPr>
          <w:rFonts w:cs="Arial"/>
        </w:rPr>
      </w:pPr>
      <w:r w:rsidRPr="002113B5">
        <w:rPr>
          <w:rFonts w:cs="Arial"/>
        </w:rPr>
        <w:t>The APTC has either a Letter of Agreement (LOA) or Memorandum of Agreement (MOA) with six partner institutions in the campus countries.</w:t>
      </w:r>
      <w:r w:rsidR="003F101B">
        <w:rPr>
          <w:rFonts w:cs="Arial"/>
        </w:rPr>
        <w:t xml:space="preserve"> A summary is outlined below. </w:t>
      </w:r>
      <w:r w:rsidRPr="002113B5">
        <w:rPr>
          <w:rFonts w:cs="Arial"/>
        </w:rPr>
        <w:t>A commentary on the status of the partnership is included in each case.</w:t>
      </w:r>
    </w:p>
    <w:p w14:paraId="371F23B0" w14:textId="77777777" w:rsidR="00E34EC6" w:rsidRPr="002113B5" w:rsidRDefault="00E34EC6" w:rsidP="00B776E0">
      <w:pPr>
        <w:rPr>
          <w:rFonts w:cs="Arial"/>
        </w:rPr>
      </w:pPr>
    </w:p>
    <w:tbl>
      <w:tblPr>
        <w:tblStyle w:val="ListTable4-Accent32"/>
        <w:tblW w:w="822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780"/>
        <w:gridCol w:w="1026"/>
        <w:gridCol w:w="983"/>
        <w:gridCol w:w="1062"/>
        <w:gridCol w:w="1212"/>
        <w:gridCol w:w="1159"/>
      </w:tblGrid>
      <w:tr w:rsidR="00B776E0" w:rsidRPr="006C7D41" w14:paraId="66A303DD" w14:textId="77777777" w:rsidTr="00E37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shd w:val="clear" w:color="auto" w:fill="C5E0B3" w:themeFill="accent6" w:themeFillTint="66"/>
          </w:tcPr>
          <w:p w14:paraId="40A8F4BF" w14:textId="77777777" w:rsidR="003D355F" w:rsidRPr="006C7D41" w:rsidRDefault="00B776E0">
            <w:pPr>
              <w:spacing w:before="40" w:after="40"/>
              <w:rPr>
                <w:rFonts w:cs="Arial"/>
                <w:b w:val="0"/>
                <w:bCs w:val="0"/>
                <w:color w:val="auto"/>
                <w:kern w:val="2"/>
                <w:sz w:val="18"/>
                <w:lang w:val="en-GB"/>
              </w:rPr>
            </w:pPr>
            <w:r w:rsidRPr="006C7D41">
              <w:rPr>
                <w:rFonts w:cs="Arial"/>
                <w:color w:val="auto"/>
                <w:sz w:val="18"/>
              </w:rPr>
              <w:t>SUMMARY</w:t>
            </w:r>
          </w:p>
        </w:tc>
        <w:tc>
          <w:tcPr>
            <w:tcW w:w="1180" w:type="dxa"/>
            <w:tcBorders>
              <w:top w:val="none" w:sz="0" w:space="0" w:color="auto"/>
              <w:bottom w:val="none" w:sz="0" w:space="0" w:color="auto"/>
            </w:tcBorders>
            <w:shd w:val="clear" w:color="auto" w:fill="C5E0B3" w:themeFill="accent6" w:themeFillTint="66"/>
          </w:tcPr>
          <w:p w14:paraId="2CC22D1D" w14:textId="77777777" w:rsidR="003D355F" w:rsidRPr="006C7D41" w:rsidRDefault="00B776E0">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auto"/>
                <w:kern w:val="2"/>
                <w:sz w:val="18"/>
                <w:lang w:val="en-GB"/>
              </w:rPr>
            </w:pPr>
            <w:r w:rsidRPr="006C7D41">
              <w:rPr>
                <w:color w:val="auto"/>
                <w:sz w:val="18"/>
              </w:rPr>
              <w:t>Fiji</w:t>
            </w:r>
          </w:p>
        </w:tc>
        <w:tc>
          <w:tcPr>
            <w:tcW w:w="1088" w:type="dxa"/>
            <w:tcBorders>
              <w:top w:val="none" w:sz="0" w:space="0" w:color="auto"/>
              <w:bottom w:val="none" w:sz="0" w:space="0" w:color="auto"/>
            </w:tcBorders>
            <w:shd w:val="clear" w:color="auto" w:fill="C5E0B3" w:themeFill="accent6" w:themeFillTint="66"/>
          </w:tcPr>
          <w:p w14:paraId="30497054" w14:textId="77777777" w:rsidR="003D355F" w:rsidRPr="006C7D41" w:rsidRDefault="00B776E0">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auto"/>
                <w:kern w:val="2"/>
                <w:sz w:val="18"/>
                <w:lang w:val="en-GB"/>
              </w:rPr>
            </w:pPr>
            <w:r w:rsidRPr="006C7D41">
              <w:rPr>
                <w:color w:val="auto"/>
                <w:sz w:val="18"/>
              </w:rPr>
              <w:t>PNG</w:t>
            </w:r>
          </w:p>
        </w:tc>
        <w:tc>
          <w:tcPr>
            <w:tcW w:w="1134" w:type="dxa"/>
            <w:tcBorders>
              <w:top w:val="none" w:sz="0" w:space="0" w:color="auto"/>
              <w:bottom w:val="none" w:sz="0" w:space="0" w:color="auto"/>
            </w:tcBorders>
            <w:shd w:val="clear" w:color="auto" w:fill="C5E0B3" w:themeFill="accent6" w:themeFillTint="66"/>
          </w:tcPr>
          <w:p w14:paraId="0C67023D" w14:textId="77777777" w:rsidR="003D355F" w:rsidRPr="006C7D41" w:rsidRDefault="00B776E0">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auto"/>
                <w:kern w:val="2"/>
                <w:sz w:val="18"/>
                <w:lang w:val="en-GB"/>
              </w:rPr>
            </w:pPr>
            <w:r w:rsidRPr="006C7D41">
              <w:rPr>
                <w:color w:val="auto"/>
                <w:sz w:val="18"/>
              </w:rPr>
              <w:t>Samoa</w:t>
            </w:r>
          </w:p>
        </w:tc>
        <w:tc>
          <w:tcPr>
            <w:tcW w:w="1276" w:type="dxa"/>
            <w:tcBorders>
              <w:top w:val="none" w:sz="0" w:space="0" w:color="auto"/>
              <w:bottom w:val="none" w:sz="0" w:space="0" w:color="auto"/>
            </w:tcBorders>
            <w:shd w:val="clear" w:color="auto" w:fill="C5E0B3" w:themeFill="accent6" w:themeFillTint="66"/>
          </w:tcPr>
          <w:p w14:paraId="66CD88B8" w14:textId="77777777" w:rsidR="003D355F" w:rsidRPr="006C7D41" w:rsidRDefault="00B776E0">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auto"/>
                <w:kern w:val="2"/>
                <w:sz w:val="18"/>
                <w:lang w:val="en-GB"/>
              </w:rPr>
            </w:pPr>
            <w:r w:rsidRPr="006C7D41">
              <w:rPr>
                <w:color w:val="auto"/>
                <w:sz w:val="18"/>
              </w:rPr>
              <w:t>Solomon Is</w:t>
            </w:r>
          </w:p>
        </w:tc>
        <w:tc>
          <w:tcPr>
            <w:tcW w:w="1224" w:type="dxa"/>
            <w:tcBorders>
              <w:top w:val="none" w:sz="0" w:space="0" w:color="auto"/>
              <w:bottom w:val="none" w:sz="0" w:space="0" w:color="auto"/>
              <w:right w:val="none" w:sz="0" w:space="0" w:color="auto"/>
            </w:tcBorders>
            <w:shd w:val="clear" w:color="auto" w:fill="C5E0B3" w:themeFill="accent6" w:themeFillTint="66"/>
          </w:tcPr>
          <w:p w14:paraId="7602DB46" w14:textId="77777777" w:rsidR="003D355F" w:rsidRPr="006C7D41" w:rsidRDefault="00B776E0">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color w:val="auto"/>
                <w:kern w:val="2"/>
                <w:sz w:val="18"/>
                <w:lang w:val="en-GB"/>
              </w:rPr>
            </w:pPr>
            <w:r w:rsidRPr="006C7D41">
              <w:rPr>
                <w:color w:val="auto"/>
                <w:sz w:val="18"/>
              </w:rPr>
              <w:t>Vanuatu</w:t>
            </w:r>
          </w:p>
        </w:tc>
      </w:tr>
      <w:tr w:rsidR="00B776E0" w:rsidRPr="003F101B" w14:paraId="0481FD35" w14:textId="77777777" w:rsidTr="006C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E2EFD9" w:themeFill="accent6" w:themeFillTint="33"/>
          </w:tcPr>
          <w:p w14:paraId="16D823CF" w14:textId="77777777" w:rsidR="003D355F" w:rsidRDefault="00B776E0">
            <w:pPr>
              <w:spacing w:before="40" w:after="40"/>
              <w:rPr>
                <w:rFonts w:cs="Arial"/>
                <w:b w:val="0"/>
                <w:bCs w:val="0"/>
                <w:kern w:val="2"/>
                <w:sz w:val="18"/>
                <w:lang w:val="en-GB"/>
              </w:rPr>
            </w:pPr>
            <w:r w:rsidRPr="003F101B">
              <w:rPr>
                <w:rFonts w:cs="Arial"/>
                <w:sz w:val="18"/>
              </w:rPr>
              <w:t>Sectors of focus</w:t>
            </w:r>
          </w:p>
        </w:tc>
        <w:tc>
          <w:tcPr>
            <w:tcW w:w="1180" w:type="dxa"/>
            <w:shd w:val="clear" w:color="auto" w:fill="E2EFD9" w:themeFill="accent6" w:themeFillTint="33"/>
          </w:tcPr>
          <w:p w14:paraId="7CE26C99" w14:textId="77777777" w:rsidR="003D355F" w:rsidRDefault="003D355F">
            <w:pPr>
              <w:spacing w:before="40" w:after="40"/>
              <w:jc w:val="center"/>
              <w:cnfStyle w:val="000000100000" w:firstRow="0" w:lastRow="0" w:firstColumn="0" w:lastColumn="0" w:oddVBand="0" w:evenVBand="0" w:oddHBand="1" w:evenHBand="0" w:firstRowFirstColumn="0" w:firstRowLastColumn="0" w:lastRowFirstColumn="0" w:lastRowLastColumn="0"/>
              <w:rPr>
                <w:rFonts w:cs="Arial"/>
                <w:b/>
                <w:sz w:val="18"/>
              </w:rPr>
            </w:pPr>
          </w:p>
        </w:tc>
        <w:tc>
          <w:tcPr>
            <w:tcW w:w="1088" w:type="dxa"/>
            <w:shd w:val="clear" w:color="auto" w:fill="E2EFD9" w:themeFill="accent6" w:themeFillTint="33"/>
          </w:tcPr>
          <w:p w14:paraId="156D36D3" w14:textId="77777777" w:rsidR="003D355F" w:rsidRDefault="003D355F">
            <w:pPr>
              <w:spacing w:before="40" w:after="40"/>
              <w:jc w:val="center"/>
              <w:cnfStyle w:val="000000100000" w:firstRow="0" w:lastRow="0" w:firstColumn="0" w:lastColumn="0" w:oddVBand="0" w:evenVBand="0" w:oddHBand="1" w:evenHBand="0" w:firstRowFirstColumn="0" w:firstRowLastColumn="0" w:lastRowFirstColumn="0" w:lastRowLastColumn="0"/>
              <w:rPr>
                <w:rFonts w:cs="Arial"/>
                <w:b/>
                <w:sz w:val="18"/>
              </w:rPr>
            </w:pPr>
          </w:p>
        </w:tc>
        <w:tc>
          <w:tcPr>
            <w:tcW w:w="1134" w:type="dxa"/>
            <w:shd w:val="clear" w:color="auto" w:fill="E2EFD9" w:themeFill="accent6" w:themeFillTint="33"/>
          </w:tcPr>
          <w:p w14:paraId="19DCFF44" w14:textId="77777777" w:rsidR="003D355F" w:rsidRDefault="003D355F">
            <w:pPr>
              <w:spacing w:before="40" w:after="40"/>
              <w:jc w:val="center"/>
              <w:cnfStyle w:val="000000100000" w:firstRow="0" w:lastRow="0" w:firstColumn="0" w:lastColumn="0" w:oddVBand="0" w:evenVBand="0" w:oddHBand="1" w:evenHBand="0" w:firstRowFirstColumn="0" w:firstRowLastColumn="0" w:lastRowFirstColumn="0" w:lastRowLastColumn="0"/>
              <w:rPr>
                <w:rFonts w:cs="Arial"/>
                <w:b/>
                <w:sz w:val="18"/>
              </w:rPr>
            </w:pPr>
          </w:p>
        </w:tc>
        <w:tc>
          <w:tcPr>
            <w:tcW w:w="1276" w:type="dxa"/>
            <w:shd w:val="clear" w:color="auto" w:fill="E2EFD9" w:themeFill="accent6" w:themeFillTint="33"/>
          </w:tcPr>
          <w:p w14:paraId="4E399989" w14:textId="77777777" w:rsidR="003D355F" w:rsidRDefault="003D355F">
            <w:pPr>
              <w:spacing w:before="40" w:after="40"/>
              <w:jc w:val="center"/>
              <w:cnfStyle w:val="000000100000" w:firstRow="0" w:lastRow="0" w:firstColumn="0" w:lastColumn="0" w:oddVBand="0" w:evenVBand="0" w:oddHBand="1" w:evenHBand="0" w:firstRowFirstColumn="0" w:firstRowLastColumn="0" w:lastRowFirstColumn="0" w:lastRowLastColumn="0"/>
              <w:rPr>
                <w:rFonts w:cs="Arial"/>
                <w:b/>
                <w:sz w:val="18"/>
              </w:rPr>
            </w:pPr>
          </w:p>
        </w:tc>
        <w:tc>
          <w:tcPr>
            <w:tcW w:w="1224" w:type="dxa"/>
            <w:shd w:val="clear" w:color="auto" w:fill="E2EFD9" w:themeFill="accent6" w:themeFillTint="33"/>
          </w:tcPr>
          <w:p w14:paraId="12C401B3" w14:textId="77777777" w:rsidR="003D355F" w:rsidRDefault="003D355F">
            <w:pPr>
              <w:spacing w:before="40" w:after="40"/>
              <w:jc w:val="center"/>
              <w:cnfStyle w:val="000000100000" w:firstRow="0" w:lastRow="0" w:firstColumn="0" w:lastColumn="0" w:oddVBand="0" w:evenVBand="0" w:oddHBand="1" w:evenHBand="0" w:firstRowFirstColumn="0" w:firstRowLastColumn="0" w:lastRowFirstColumn="0" w:lastRowLastColumn="0"/>
              <w:rPr>
                <w:rFonts w:cs="Arial"/>
                <w:b/>
                <w:sz w:val="18"/>
              </w:rPr>
            </w:pPr>
          </w:p>
        </w:tc>
      </w:tr>
      <w:tr w:rsidR="00B776E0" w:rsidRPr="003F101B" w14:paraId="494D569D" w14:textId="77777777" w:rsidTr="006C7D41">
        <w:tc>
          <w:tcPr>
            <w:cnfStyle w:val="001000000000" w:firstRow="0" w:lastRow="0" w:firstColumn="1" w:lastColumn="0" w:oddVBand="0" w:evenVBand="0" w:oddHBand="0" w:evenHBand="0" w:firstRowFirstColumn="0" w:firstRowLastColumn="0" w:lastRowFirstColumn="0" w:lastRowLastColumn="0"/>
            <w:tcW w:w="3114" w:type="dxa"/>
          </w:tcPr>
          <w:p w14:paraId="09DB912E" w14:textId="77777777" w:rsidR="003D355F" w:rsidRDefault="00B776E0">
            <w:pPr>
              <w:spacing w:before="40" w:after="40"/>
              <w:ind w:left="360" w:hanging="360"/>
              <w:rPr>
                <w:rFonts w:cs="Arial"/>
                <w:b w:val="0"/>
                <w:bCs w:val="0"/>
                <w:kern w:val="2"/>
                <w:sz w:val="18"/>
                <w:lang w:val="en-GB"/>
              </w:rPr>
            </w:pPr>
            <w:r w:rsidRPr="003F101B">
              <w:rPr>
                <w:rFonts w:cs="Arial"/>
                <w:b w:val="0"/>
                <w:sz w:val="18"/>
              </w:rPr>
              <w:t>Technical Institution</w:t>
            </w:r>
          </w:p>
        </w:tc>
        <w:tc>
          <w:tcPr>
            <w:tcW w:w="1180" w:type="dxa"/>
          </w:tcPr>
          <w:p w14:paraId="475D4AA8" w14:textId="77777777" w:rsidR="003D355F" w:rsidRDefault="003D355F">
            <w:pPr>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8"/>
              </w:rPr>
            </w:pPr>
          </w:p>
        </w:tc>
        <w:tc>
          <w:tcPr>
            <w:tcW w:w="1088" w:type="dxa"/>
          </w:tcPr>
          <w:p w14:paraId="6105EAAB" w14:textId="26D0A0F8" w:rsidR="003D355F" w:rsidRDefault="00A80A6A">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bCs/>
                <w:kern w:val="2"/>
                <w:sz w:val="18"/>
                <w:lang w:val="en-GB"/>
              </w:rPr>
            </w:pPr>
            <w:r>
              <w:rPr>
                <w:rFonts w:cs="Arial"/>
                <w:sz w:val="18"/>
              </w:rPr>
              <w:sym w:font="Wingdings" w:char="F0FC"/>
            </w:r>
          </w:p>
        </w:tc>
        <w:tc>
          <w:tcPr>
            <w:tcW w:w="1134" w:type="dxa"/>
          </w:tcPr>
          <w:p w14:paraId="3B088195" w14:textId="45F55971" w:rsidR="003D355F" w:rsidRDefault="00A80A6A">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bCs/>
                <w:kern w:val="2"/>
                <w:sz w:val="18"/>
                <w:lang w:val="en-GB"/>
              </w:rPr>
            </w:pPr>
            <w:r>
              <w:rPr>
                <w:rFonts w:cs="Arial"/>
                <w:sz w:val="18"/>
              </w:rPr>
              <w:sym w:font="Wingdings" w:char="F0FC"/>
            </w:r>
          </w:p>
        </w:tc>
        <w:tc>
          <w:tcPr>
            <w:tcW w:w="1276" w:type="dxa"/>
          </w:tcPr>
          <w:p w14:paraId="505FF457" w14:textId="77777777" w:rsidR="003D355F" w:rsidRDefault="003D355F">
            <w:pPr>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8"/>
              </w:rPr>
            </w:pPr>
          </w:p>
        </w:tc>
        <w:tc>
          <w:tcPr>
            <w:tcW w:w="1224" w:type="dxa"/>
          </w:tcPr>
          <w:p w14:paraId="0C2D84D3" w14:textId="32B70F3F" w:rsidR="003D355F" w:rsidRDefault="00A80A6A">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bCs/>
                <w:kern w:val="2"/>
                <w:sz w:val="18"/>
                <w:lang w:val="en-GB"/>
              </w:rPr>
            </w:pPr>
            <w:r>
              <w:rPr>
                <w:rFonts w:cs="Arial"/>
                <w:sz w:val="18"/>
              </w:rPr>
              <w:sym w:font="Wingdings" w:char="F0FC"/>
            </w:r>
          </w:p>
        </w:tc>
      </w:tr>
      <w:tr w:rsidR="00B776E0" w:rsidRPr="003F101B" w14:paraId="10E3B833" w14:textId="77777777" w:rsidTr="006C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E2EFD9" w:themeFill="accent6" w:themeFillTint="33"/>
          </w:tcPr>
          <w:p w14:paraId="37009536" w14:textId="77777777" w:rsidR="003D355F" w:rsidRDefault="00B776E0">
            <w:pPr>
              <w:spacing w:before="40" w:after="40"/>
              <w:ind w:left="360" w:hanging="360"/>
              <w:rPr>
                <w:rFonts w:cs="Arial"/>
                <w:b w:val="0"/>
                <w:bCs w:val="0"/>
                <w:kern w:val="2"/>
                <w:sz w:val="18"/>
                <w:lang w:val="en-GB"/>
              </w:rPr>
            </w:pPr>
            <w:r w:rsidRPr="003F101B">
              <w:rPr>
                <w:rFonts w:cs="Arial"/>
                <w:b w:val="0"/>
                <w:sz w:val="18"/>
              </w:rPr>
              <w:t>University/Higher Education</w:t>
            </w:r>
          </w:p>
        </w:tc>
        <w:tc>
          <w:tcPr>
            <w:tcW w:w="1180" w:type="dxa"/>
            <w:shd w:val="clear" w:color="auto" w:fill="E2EFD9" w:themeFill="accent6" w:themeFillTint="33"/>
          </w:tcPr>
          <w:p w14:paraId="2C68F9BB" w14:textId="5C9C1172" w:rsidR="003D355F" w:rsidRDefault="00A80A6A">
            <w:pPr>
              <w:spacing w:before="40" w:after="40"/>
              <w:jc w:val="center"/>
              <w:cnfStyle w:val="000000100000" w:firstRow="0" w:lastRow="0" w:firstColumn="0" w:lastColumn="0" w:oddVBand="0" w:evenVBand="0" w:oddHBand="1" w:evenHBand="0" w:firstRowFirstColumn="0" w:firstRowLastColumn="0" w:lastRowFirstColumn="0" w:lastRowLastColumn="0"/>
              <w:rPr>
                <w:rFonts w:cs="Arial"/>
                <w:b/>
                <w:bCs/>
                <w:kern w:val="2"/>
                <w:sz w:val="18"/>
                <w:lang w:val="en-GB"/>
              </w:rPr>
            </w:pPr>
            <w:r>
              <w:rPr>
                <w:rFonts w:cs="Arial"/>
                <w:sz w:val="18"/>
              </w:rPr>
              <w:sym w:font="Wingdings" w:char="F0FC"/>
            </w:r>
          </w:p>
        </w:tc>
        <w:tc>
          <w:tcPr>
            <w:tcW w:w="1088" w:type="dxa"/>
            <w:shd w:val="clear" w:color="auto" w:fill="E2EFD9" w:themeFill="accent6" w:themeFillTint="33"/>
          </w:tcPr>
          <w:p w14:paraId="52414EDA" w14:textId="77777777" w:rsidR="003D355F" w:rsidRDefault="003D355F">
            <w:pPr>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1134" w:type="dxa"/>
            <w:shd w:val="clear" w:color="auto" w:fill="E2EFD9" w:themeFill="accent6" w:themeFillTint="33"/>
          </w:tcPr>
          <w:p w14:paraId="2E7AEBD2" w14:textId="77777777" w:rsidR="003D355F" w:rsidRDefault="003D355F">
            <w:pPr>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1276" w:type="dxa"/>
            <w:shd w:val="clear" w:color="auto" w:fill="E2EFD9" w:themeFill="accent6" w:themeFillTint="33"/>
          </w:tcPr>
          <w:p w14:paraId="3CB59CF9" w14:textId="77777777" w:rsidR="003D355F" w:rsidRDefault="003D355F">
            <w:pPr>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1224" w:type="dxa"/>
            <w:shd w:val="clear" w:color="auto" w:fill="E2EFD9" w:themeFill="accent6" w:themeFillTint="33"/>
          </w:tcPr>
          <w:p w14:paraId="1E53D373" w14:textId="77777777" w:rsidR="003D355F" w:rsidRDefault="003D355F">
            <w:pPr>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8"/>
              </w:rPr>
            </w:pPr>
          </w:p>
        </w:tc>
      </w:tr>
      <w:tr w:rsidR="00B776E0" w:rsidRPr="003F101B" w14:paraId="54368DE7" w14:textId="77777777" w:rsidTr="006C7D41">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8D08D" w:themeColor="accent6" w:themeTint="99"/>
            </w:tcBorders>
          </w:tcPr>
          <w:p w14:paraId="0B1E32B4" w14:textId="77777777" w:rsidR="003D355F" w:rsidRDefault="00B776E0">
            <w:pPr>
              <w:spacing w:before="40" w:after="40"/>
              <w:ind w:left="360" w:hanging="360"/>
              <w:rPr>
                <w:rFonts w:cs="Arial"/>
                <w:b w:val="0"/>
                <w:bCs w:val="0"/>
                <w:kern w:val="2"/>
                <w:sz w:val="18"/>
                <w:lang w:val="en-GB"/>
              </w:rPr>
            </w:pPr>
            <w:r w:rsidRPr="003F101B">
              <w:rPr>
                <w:rFonts w:cs="Arial"/>
                <w:b w:val="0"/>
                <w:sz w:val="18"/>
              </w:rPr>
              <w:t>Private TVET (faith-based)</w:t>
            </w:r>
          </w:p>
        </w:tc>
        <w:tc>
          <w:tcPr>
            <w:tcW w:w="1180" w:type="dxa"/>
            <w:tcBorders>
              <w:bottom w:val="single" w:sz="4" w:space="0" w:color="A8D08D" w:themeColor="accent6" w:themeTint="99"/>
            </w:tcBorders>
          </w:tcPr>
          <w:p w14:paraId="208BE362" w14:textId="1854C8DB" w:rsidR="003D355F" w:rsidRDefault="00A80A6A">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bCs/>
                <w:kern w:val="2"/>
                <w:sz w:val="18"/>
                <w:lang w:val="en-GB"/>
              </w:rPr>
            </w:pPr>
            <w:r>
              <w:rPr>
                <w:rFonts w:cs="Arial"/>
                <w:sz w:val="18"/>
              </w:rPr>
              <w:sym w:font="Wingdings" w:char="F0FC"/>
            </w:r>
          </w:p>
        </w:tc>
        <w:tc>
          <w:tcPr>
            <w:tcW w:w="1088" w:type="dxa"/>
            <w:tcBorders>
              <w:bottom w:val="single" w:sz="4" w:space="0" w:color="A8D08D" w:themeColor="accent6" w:themeTint="99"/>
            </w:tcBorders>
          </w:tcPr>
          <w:p w14:paraId="319EDEB9" w14:textId="77777777" w:rsidR="003D355F" w:rsidRDefault="003D355F">
            <w:pPr>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8"/>
              </w:rPr>
            </w:pPr>
          </w:p>
        </w:tc>
        <w:tc>
          <w:tcPr>
            <w:tcW w:w="1134" w:type="dxa"/>
            <w:tcBorders>
              <w:bottom w:val="single" w:sz="4" w:space="0" w:color="A8D08D" w:themeColor="accent6" w:themeTint="99"/>
            </w:tcBorders>
          </w:tcPr>
          <w:p w14:paraId="36D33AEC" w14:textId="77777777" w:rsidR="003D355F" w:rsidRDefault="003D355F">
            <w:pPr>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8"/>
              </w:rPr>
            </w:pPr>
          </w:p>
        </w:tc>
        <w:tc>
          <w:tcPr>
            <w:tcW w:w="1276" w:type="dxa"/>
            <w:tcBorders>
              <w:bottom w:val="single" w:sz="4" w:space="0" w:color="A8D08D" w:themeColor="accent6" w:themeTint="99"/>
            </w:tcBorders>
          </w:tcPr>
          <w:p w14:paraId="60882FCC" w14:textId="5548452F" w:rsidR="003D355F" w:rsidRDefault="00A80A6A">
            <w:pPr>
              <w:spacing w:before="40" w:after="40"/>
              <w:jc w:val="center"/>
              <w:cnfStyle w:val="000000000000" w:firstRow="0" w:lastRow="0" w:firstColumn="0" w:lastColumn="0" w:oddVBand="0" w:evenVBand="0" w:oddHBand="0" w:evenHBand="0" w:firstRowFirstColumn="0" w:firstRowLastColumn="0" w:lastRowFirstColumn="0" w:lastRowLastColumn="0"/>
              <w:rPr>
                <w:rFonts w:cs="Arial"/>
                <w:b/>
                <w:bCs/>
                <w:kern w:val="2"/>
                <w:sz w:val="18"/>
                <w:lang w:val="en-GB"/>
              </w:rPr>
            </w:pPr>
            <w:r>
              <w:rPr>
                <w:rFonts w:cs="Arial"/>
                <w:sz w:val="18"/>
              </w:rPr>
              <w:sym w:font="Wingdings" w:char="F0FC"/>
            </w:r>
          </w:p>
        </w:tc>
        <w:tc>
          <w:tcPr>
            <w:tcW w:w="1224" w:type="dxa"/>
            <w:tcBorders>
              <w:bottom w:val="single" w:sz="4" w:space="0" w:color="A8D08D" w:themeColor="accent6" w:themeTint="99"/>
            </w:tcBorders>
          </w:tcPr>
          <w:p w14:paraId="639E8A8F" w14:textId="77777777" w:rsidR="003D355F" w:rsidRDefault="003D355F">
            <w:pPr>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8"/>
              </w:rPr>
            </w:pPr>
          </w:p>
        </w:tc>
      </w:tr>
    </w:tbl>
    <w:p w14:paraId="4BEEBDB8" w14:textId="77777777" w:rsidR="00B776E0" w:rsidRDefault="00B776E0" w:rsidP="00B776E0">
      <w:pPr>
        <w:rPr>
          <w:rFonts w:cs="Arial"/>
        </w:rPr>
      </w:pPr>
    </w:p>
    <w:p w14:paraId="20F11DC7" w14:textId="77777777" w:rsidR="00B776E0" w:rsidRDefault="00B776E0" w:rsidP="00B776E0">
      <w:pPr>
        <w:rPr>
          <w:rFonts w:cs="Arial"/>
        </w:rPr>
      </w:pPr>
      <w:r w:rsidRPr="002113B5">
        <w:rPr>
          <w:rFonts w:cs="Arial"/>
        </w:rPr>
        <w:t>While the LOA/MOA states certain areas of cooperation and collaboration, in practice the partnership is often more comprehensive and informal, based on needs as they arise. Some of the many forms of collaboration are:</w:t>
      </w:r>
    </w:p>
    <w:p w14:paraId="5D101E47" w14:textId="235BC481" w:rsidR="003D355F" w:rsidRDefault="004E2921" w:rsidP="000668BA">
      <w:pPr>
        <w:pStyle w:val="ListParagraph"/>
        <w:numPr>
          <w:ilvl w:val="0"/>
          <w:numId w:val="41"/>
        </w:numPr>
        <w:spacing w:after="40"/>
        <w:ind w:left="714" w:hanging="357"/>
        <w:contextualSpacing w:val="0"/>
        <w:rPr>
          <w:rFonts w:cs="Arial"/>
        </w:rPr>
      </w:pPr>
      <w:r>
        <w:rPr>
          <w:rFonts w:cs="Arial"/>
        </w:rPr>
        <w:t>v</w:t>
      </w:r>
      <w:r w:rsidRPr="004D090F">
        <w:rPr>
          <w:rFonts w:cs="Arial"/>
        </w:rPr>
        <w:t xml:space="preserve">ocational </w:t>
      </w:r>
      <w:r w:rsidR="00B776E0" w:rsidRPr="004D090F">
        <w:rPr>
          <w:rFonts w:cs="Arial"/>
        </w:rPr>
        <w:t xml:space="preserve">skills upgrading of partner institution staff, </w:t>
      </w:r>
      <w:r w:rsidR="00C4202A">
        <w:rPr>
          <w:rFonts w:cs="Arial"/>
        </w:rPr>
        <w:br/>
      </w:r>
      <w:r w:rsidR="00B776E0" w:rsidRPr="004D090F">
        <w:rPr>
          <w:rFonts w:cs="Arial"/>
        </w:rPr>
        <w:t>including industry placement</w:t>
      </w:r>
    </w:p>
    <w:p w14:paraId="4E667278" w14:textId="128E4974" w:rsidR="003D355F" w:rsidRDefault="004E2921" w:rsidP="000668BA">
      <w:pPr>
        <w:pStyle w:val="ListParagraph"/>
        <w:numPr>
          <w:ilvl w:val="0"/>
          <w:numId w:val="41"/>
        </w:numPr>
        <w:spacing w:after="40"/>
        <w:ind w:left="714" w:hanging="357"/>
        <w:contextualSpacing w:val="0"/>
        <w:rPr>
          <w:rFonts w:cs="Arial"/>
        </w:rPr>
      </w:pPr>
      <w:r>
        <w:rPr>
          <w:rFonts w:cs="Arial"/>
        </w:rPr>
        <w:t>u</w:t>
      </w:r>
      <w:r w:rsidRPr="004D090F">
        <w:rPr>
          <w:rFonts w:cs="Arial"/>
        </w:rPr>
        <w:t xml:space="preserve">pgrading </w:t>
      </w:r>
      <w:r w:rsidR="00B776E0" w:rsidRPr="004D090F">
        <w:rPr>
          <w:rFonts w:cs="Arial"/>
        </w:rPr>
        <w:t xml:space="preserve">of teaching methodologies, </w:t>
      </w:r>
      <w:r w:rsidR="00C4202A">
        <w:rPr>
          <w:rFonts w:cs="Arial"/>
        </w:rPr>
        <w:br/>
      </w:r>
      <w:r w:rsidR="00B776E0" w:rsidRPr="004D090F">
        <w:rPr>
          <w:rFonts w:cs="Arial"/>
        </w:rPr>
        <w:t xml:space="preserve">including delivery of the Certificate IV in Training and Assessment (TAE) </w:t>
      </w:r>
    </w:p>
    <w:p w14:paraId="4B4235EB" w14:textId="77777777" w:rsidR="003D355F" w:rsidRDefault="004E2921" w:rsidP="000668BA">
      <w:pPr>
        <w:pStyle w:val="ListParagraph"/>
        <w:numPr>
          <w:ilvl w:val="0"/>
          <w:numId w:val="41"/>
        </w:numPr>
        <w:spacing w:after="40"/>
        <w:ind w:left="714" w:hanging="357"/>
        <w:contextualSpacing w:val="0"/>
        <w:rPr>
          <w:rFonts w:cs="Arial"/>
        </w:rPr>
      </w:pPr>
      <w:r>
        <w:rPr>
          <w:rFonts w:cs="Arial"/>
        </w:rPr>
        <w:t>t</w:t>
      </w:r>
      <w:r w:rsidRPr="004D090F">
        <w:rPr>
          <w:rFonts w:cs="Arial"/>
        </w:rPr>
        <w:t xml:space="preserve">raining </w:t>
      </w:r>
      <w:r w:rsidR="00B776E0" w:rsidRPr="004D090F">
        <w:rPr>
          <w:rFonts w:cs="Arial"/>
        </w:rPr>
        <w:t>delivery support</w:t>
      </w:r>
    </w:p>
    <w:p w14:paraId="461B476C" w14:textId="77A4B0A4" w:rsidR="003D355F" w:rsidRDefault="004E2921" w:rsidP="000668BA">
      <w:pPr>
        <w:pStyle w:val="ListParagraph"/>
        <w:numPr>
          <w:ilvl w:val="0"/>
          <w:numId w:val="41"/>
        </w:numPr>
        <w:spacing w:after="40"/>
        <w:ind w:left="714" w:hanging="357"/>
        <w:contextualSpacing w:val="0"/>
        <w:rPr>
          <w:rFonts w:cs="Arial"/>
        </w:rPr>
      </w:pPr>
      <w:r>
        <w:rPr>
          <w:rFonts w:cs="Arial"/>
        </w:rPr>
        <w:t>i</w:t>
      </w:r>
      <w:r w:rsidRPr="004D090F">
        <w:rPr>
          <w:rFonts w:cs="Arial"/>
        </w:rPr>
        <w:t xml:space="preserve">mplementation </w:t>
      </w:r>
      <w:r w:rsidR="00B776E0" w:rsidRPr="004D090F">
        <w:rPr>
          <w:rFonts w:cs="Arial"/>
        </w:rPr>
        <w:t xml:space="preserve">of pathways with APTC qualifications, </w:t>
      </w:r>
      <w:r w:rsidR="00C4202A">
        <w:rPr>
          <w:rFonts w:cs="Arial"/>
        </w:rPr>
        <w:br/>
      </w:r>
      <w:r w:rsidR="00B776E0" w:rsidRPr="004D090F">
        <w:rPr>
          <w:rFonts w:cs="Arial"/>
        </w:rPr>
        <w:t>including curriculum design and mapping</w:t>
      </w:r>
    </w:p>
    <w:p w14:paraId="1F8FC5EA" w14:textId="77777777" w:rsidR="003D355F" w:rsidRDefault="004E2921" w:rsidP="000668BA">
      <w:pPr>
        <w:pStyle w:val="ListParagraph"/>
        <w:numPr>
          <w:ilvl w:val="0"/>
          <w:numId w:val="41"/>
        </w:numPr>
        <w:spacing w:after="40"/>
        <w:ind w:left="714" w:hanging="357"/>
        <w:contextualSpacing w:val="0"/>
        <w:rPr>
          <w:rFonts w:cs="Arial"/>
        </w:rPr>
      </w:pPr>
      <w:r>
        <w:rPr>
          <w:rFonts w:cs="Arial"/>
        </w:rPr>
        <w:t>u</w:t>
      </w:r>
      <w:r w:rsidRPr="004D090F">
        <w:rPr>
          <w:rFonts w:cs="Arial"/>
        </w:rPr>
        <w:t xml:space="preserve">pgrading </w:t>
      </w:r>
      <w:r w:rsidR="00B776E0" w:rsidRPr="004D090F">
        <w:rPr>
          <w:rFonts w:cs="Arial"/>
        </w:rPr>
        <w:t>of facilities and equipment</w:t>
      </w:r>
    </w:p>
    <w:p w14:paraId="69A86704" w14:textId="77777777" w:rsidR="003D355F" w:rsidRDefault="004E2921" w:rsidP="000668BA">
      <w:pPr>
        <w:pStyle w:val="ListParagraph"/>
        <w:numPr>
          <w:ilvl w:val="0"/>
          <w:numId w:val="41"/>
        </w:numPr>
        <w:spacing w:after="40"/>
        <w:ind w:left="714" w:hanging="357"/>
        <w:contextualSpacing w:val="0"/>
        <w:rPr>
          <w:rFonts w:cs="Arial"/>
        </w:rPr>
      </w:pPr>
      <w:r>
        <w:rPr>
          <w:rFonts w:cs="Arial"/>
        </w:rPr>
        <w:t>s</w:t>
      </w:r>
      <w:r w:rsidRPr="004D090F">
        <w:rPr>
          <w:rFonts w:cs="Arial"/>
        </w:rPr>
        <w:t xml:space="preserve">haring </w:t>
      </w:r>
      <w:r w:rsidR="00B776E0" w:rsidRPr="004D090F">
        <w:rPr>
          <w:rFonts w:cs="Arial"/>
        </w:rPr>
        <w:t>of facilities and equipment</w:t>
      </w:r>
    </w:p>
    <w:p w14:paraId="7C84E974" w14:textId="77777777" w:rsidR="003D355F" w:rsidRDefault="004E2921" w:rsidP="000668BA">
      <w:pPr>
        <w:pStyle w:val="ListParagraph"/>
        <w:numPr>
          <w:ilvl w:val="0"/>
          <w:numId w:val="41"/>
        </w:numPr>
        <w:spacing w:after="40"/>
        <w:ind w:left="714" w:hanging="357"/>
        <w:contextualSpacing w:val="0"/>
        <w:rPr>
          <w:rFonts w:cs="Arial"/>
        </w:rPr>
      </w:pPr>
      <w:r>
        <w:rPr>
          <w:rFonts w:cs="Arial"/>
        </w:rPr>
        <w:t>p</w:t>
      </w:r>
      <w:r w:rsidRPr="004D090F">
        <w:rPr>
          <w:rFonts w:cs="Arial"/>
        </w:rPr>
        <w:t>lanning</w:t>
      </w:r>
      <w:r w:rsidR="00B776E0" w:rsidRPr="004D090F">
        <w:rPr>
          <w:rFonts w:cs="Arial"/>
        </w:rPr>
        <w:t>, infrastructure and equipment advice</w:t>
      </w:r>
    </w:p>
    <w:p w14:paraId="11FD01A7" w14:textId="04198B0D" w:rsidR="003D355F" w:rsidRDefault="00B776E0" w:rsidP="000668BA">
      <w:pPr>
        <w:pStyle w:val="ListParagraph"/>
        <w:numPr>
          <w:ilvl w:val="0"/>
          <w:numId w:val="41"/>
        </w:numPr>
        <w:spacing w:after="40"/>
        <w:ind w:left="714" w:hanging="357"/>
        <w:contextualSpacing w:val="0"/>
        <w:rPr>
          <w:rFonts w:cs="Arial"/>
        </w:rPr>
      </w:pPr>
      <w:r w:rsidRPr="004D090F">
        <w:rPr>
          <w:rFonts w:cs="Arial"/>
        </w:rPr>
        <w:t xml:space="preserve">TVET quality systems support, </w:t>
      </w:r>
      <w:r w:rsidR="00C4202A">
        <w:rPr>
          <w:rFonts w:cs="Arial"/>
        </w:rPr>
        <w:br/>
      </w:r>
      <w:r w:rsidRPr="004D090F">
        <w:rPr>
          <w:rFonts w:cs="Arial"/>
        </w:rPr>
        <w:t>including the Quality Coaching Program (Vanuatu)</w:t>
      </w:r>
    </w:p>
    <w:p w14:paraId="3235168C" w14:textId="77777777" w:rsidR="003D355F" w:rsidRDefault="004E2921" w:rsidP="000668BA">
      <w:pPr>
        <w:pStyle w:val="ListParagraph"/>
        <w:numPr>
          <w:ilvl w:val="0"/>
          <w:numId w:val="41"/>
        </w:numPr>
        <w:spacing w:after="40"/>
        <w:ind w:left="714" w:hanging="357"/>
        <w:contextualSpacing w:val="0"/>
        <w:rPr>
          <w:rFonts w:cs="Arial"/>
        </w:rPr>
      </w:pPr>
      <w:r>
        <w:rPr>
          <w:rFonts w:cs="Arial"/>
        </w:rPr>
        <w:t>l</w:t>
      </w:r>
      <w:r w:rsidRPr="004D090F">
        <w:rPr>
          <w:rFonts w:cs="Arial"/>
        </w:rPr>
        <w:t xml:space="preserve">eadership </w:t>
      </w:r>
      <w:r w:rsidR="00B776E0" w:rsidRPr="004D090F">
        <w:rPr>
          <w:rFonts w:cs="Arial"/>
        </w:rPr>
        <w:t>and governance development and support</w:t>
      </w:r>
    </w:p>
    <w:p w14:paraId="39AEB926" w14:textId="77777777" w:rsidR="003D355F" w:rsidRDefault="004E2921" w:rsidP="000668BA">
      <w:pPr>
        <w:pStyle w:val="ListParagraph"/>
        <w:numPr>
          <w:ilvl w:val="0"/>
          <w:numId w:val="41"/>
        </w:numPr>
        <w:spacing w:after="40"/>
        <w:ind w:left="714" w:hanging="357"/>
        <w:contextualSpacing w:val="0"/>
        <w:rPr>
          <w:rFonts w:cs="Arial"/>
        </w:rPr>
      </w:pPr>
      <w:r>
        <w:rPr>
          <w:rFonts w:cs="Arial"/>
        </w:rPr>
        <w:t>a</w:t>
      </w:r>
      <w:r w:rsidRPr="004D090F">
        <w:rPr>
          <w:rFonts w:cs="Arial"/>
        </w:rPr>
        <w:t xml:space="preserve">ssisting </w:t>
      </w:r>
      <w:r w:rsidR="00B776E0" w:rsidRPr="004D090F">
        <w:rPr>
          <w:rFonts w:cs="Arial"/>
        </w:rPr>
        <w:t>providers with tendering proposals and processes (PNG)</w:t>
      </w:r>
    </w:p>
    <w:p w14:paraId="7F01BACC" w14:textId="77777777" w:rsidR="003D355F" w:rsidRDefault="004E2921" w:rsidP="000668BA">
      <w:pPr>
        <w:pStyle w:val="ListParagraph"/>
        <w:numPr>
          <w:ilvl w:val="0"/>
          <w:numId w:val="41"/>
        </w:numPr>
        <w:spacing w:after="40"/>
        <w:ind w:left="714" w:hanging="357"/>
        <w:contextualSpacing w:val="0"/>
        <w:rPr>
          <w:rFonts w:cs="Arial"/>
        </w:rPr>
      </w:pPr>
      <w:r>
        <w:rPr>
          <w:rFonts w:cs="Arial"/>
        </w:rPr>
        <w:t>j</w:t>
      </w:r>
      <w:r w:rsidRPr="004D090F">
        <w:rPr>
          <w:rFonts w:cs="Arial"/>
        </w:rPr>
        <w:t xml:space="preserve">oint </w:t>
      </w:r>
      <w:r w:rsidR="00B776E0" w:rsidRPr="004D090F">
        <w:rPr>
          <w:rFonts w:cs="Arial"/>
        </w:rPr>
        <w:t>delivery (Solomon Islands, Fiji)</w:t>
      </w:r>
    </w:p>
    <w:p w14:paraId="006815B4" w14:textId="77777777" w:rsidR="003D355F" w:rsidRDefault="004E2921" w:rsidP="000668BA">
      <w:pPr>
        <w:pStyle w:val="ListParagraph"/>
        <w:numPr>
          <w:ilvl w:val="0"/>
          <w:numId w:val="41"/>
        </w:numPr>
        <w:spacing w:after="40"/>
        <w:ind w:left="714" w:hanging="357"/>
        <w:contextualSpacing w:val="0"/>
        <w:rPr>
          <w:rFonts w:cs="Arial"/>
        </w:rPr>
      </w:pPr>
      <w:r>
        <w:rPr>
          <w:rFonts w:cs="Arial"/>
        </w:rPr>
        <w:t>j</w:t>
      </w:r>
      <w:r w:rsidRPr="004D090F">
        <w:rPr>
          <w:rFonts w:cs="Arial"/>
        </w:rPr>
        <w:t xml:space="preserve">oint </w:t>
      </w:r>
      <w:r w:rsidR="00B776E0" w:rsidRPr="004D090F">
        <w:rPr>
          <w:rFonts w:cs="Arial"/>
        </w:rPr>
        <w:t>funding of facilities development (PNG)</w:t>
      </w:r>
    </w:p>
    <w:p w14:paraId="34155BF4" w14:textId="2E712F16" w:rsidR="00B776E0" w:rsidRPr="004D090F" w:rsidRDefault="004E2921" w:rsidP="000668BA">
      <w:pPr>
        <w:pStyle w:val="ListParagraph"/>
        <w:numPr>
          <w:ilvl w:val="0"/>
          <w:numId w:val="41"/>
        </w:numPr>
        <w:contextualSpacing w:val="0"/>
        <w:rPr>
          <w:rFonts w:cs="Arial"/>
        </w:rPr>
      </w:pPr>
      <w:r>
        <w:rPr>
          <w:rFonts w:cs="Arial"/>
        </w:rPr>
        <w:t>s</w:t>
      </w:r>
      <w:r w:rsidRPr="004D090F">
        <w:rPr>
          <w:rFonts w:cs="Arial"/>
        </w:rPr>
        <w:t xml:space="preserve">tudent </w:t>
      </w:r>
      <w:r w:rsidR="00B776E0" w:rsidRPr="004D090F">
        <w:rPr>
          <w:rFonts w:cs="Arial"/>
        </w:rPr>
        <w:t>support, including accommodation</w:t>
      </w:r>
      <w:r w:rsidR="00635D1F">
        <w:rPr>
          <w:rFonts w:cs="Arial"/>
        </w:rPr>
        <w:t>.</w:t>
      </w:r>
    </w:p>
    <w:p w14:paraId="32757702" w14:textId="77777777" w:rsidR="00B776E0" w:rsidRPr="002113B5" w:rsidRDefault="00B776E0" w:rsidP="00B776E0">
      <w:pPr>
        <w:rPr>
          <w:rFonts w:cs="Arial"/>
        </w:rPr>
      </w:pPr>
    </w:p>
    <w:p w14:paraId="5F636802" w14:textId="6CA33A5A" w:rsidR="003D355F" w:rsidRPr="008E7579" w:rsidRDefault="00D61911">
      <w:pPr>
        <w:spacing w:after="0"/>
        <w:rPr>
          <w:rFonts w:cs="Arial"/>
          <w:b/>
          <w:bCs/>
          <w:color w:val="76923C"/>
          <w:sz w:val="18"/>
        </w:rPr>
      </w:pPr>
      <w:r>
        <w:rPr>
          <w:rFonts w:cs="Arial"/>
          <w:b/>
          <w:bCs/>
          <w:color w:val="76923C"/>
        </w:rPr>
        <w:br w:type="page"/>
      </w:r>
      <w:r w:rsidR="00635D1F">
        <w:rPr>
          <w:rFonts w:cs="Arial"/>
          <w:b/>
          <w:bCs/>
          <w:color w:val="76923C"/>
        </w:rPr>
        <w:t>FIJI</w:t>
      </w:r>
    </w:p>
    <w:tbl>
      <w:tblPr>
        <w:tblStyle w:val="TableGrid"/>
        <w:tblW w:w="8222" w:type="dxa"/>
        <w:tblInd w:w="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5011"/>
        <w:gridCol w:w="992"/>
        <w:gridCol w:w="276"/>
      </w:tblGrid>
      <w:tr w:rsidR="00B776E0" w:rsidRPr="003F101B" w14:paraId="45BAC752" w14:textId="77777777" w:rsidTr="00E378DA">
        <w:tc>
          <w:tcPr>
            <w:tcW w:w="8641" w:type="dxa"/>
            <w:gridSpan w:val="4"/>
            <w:shd w:val="clear" w:color="auto" w:fill="C5E0B3" w:themeFill="accent6" w:themeFillTint="66"/>
          </w:tcPr>
          <w:p w14:paraId="0399FE3B" w14:textId="77777777" w:rsidR="00B776E0" w:rsidRPr="003F101B" w:rsidRDefault="00B776E0" w:rsidP="003F101B">
            <w:pPr>
              <w:spacing w:before="40" w:after="40"/>
              <w:rPr>
                <w:rFonts w:cs="Arial"/>
                <w:b/>
                <w:sz w:val="18"/>
              </w:rPr>
            </w:pPr>
            <w:r w:rsidRPr="003F101B">
              <w:rPr>
                <w:rFonts w:cs="Arial"/>
                <w:b/>
                <w:sz w:val="18"/>
              </w:rPr>
              <w:t>a) Partner Institution: Vivekananda Technical Centre (VTC)</w:t>
            </w:r>
          </w:p>
        </w:tc>
      </w:tr>
      <w:tr w:rsidR="00B776E0" w:rsidRPr="003F101B" w14:paraId="1BEC3E33" w14:textId="77777777" w:rsidTr="00E378DA">
        <w:tc>
          <w:tcPr>
            <w:tcW w:w="2019" w:type="dxa"/>
            <w:tcBorders>
              <w:bottom w:val="single" w:sz="4" w:space="0" w:color="A8D08D" w:themeColor="accent6" w:themeTint="99"/>
            </w:tcBorders>
          </w:tcPr>
          <w:p w14:paraId="297D5CDF" w14:textId="77777777" w:rsidR="00B776E0" w:rsidRPr="003F101B" w:rsidRDefault="00B776E0" w:rsidP="003F101B">
            <w:pPr>
              <w:spacing w:before="40" w:after="40"/>
              <w:rPr>
                <w:rFonts w:cs="Arial"/>
                <w:sz w:val="18"/>
              </w:rPr>
            </w:pPr>
            <w:r w:rsidRPr="003F101B">
              <w:rPr>
                <w:rFonts w:cs="Arial"/>
                <w:sz w:val="18"/>
              </w:rPr>
              <w:t>Sector</w:t>
            </w:r>
          </w:p>
        </w:tc>
        <w:tc>
          <w:tcPr>
            <w:tcW w:w="6622" w:type="dxa"/>
            <w:gridSpan w:val="3"/>
            <w:tcBorders>
              <w:bottom w:val="single" w:sz="4" w:space="0" w:color="A8D08D" w:themeColor="accent6" w:themeTint="99"/>
            </w:tcBorders>
          </w:tcPr>
          <w:p w14:paraId="4960A6CF" w14:textId="77777777" w:rsidR="00B776E0" w:rsidRPr="003F101B" w:rsidRDefault="00B776E0" w:rsidP="003F101B">
            <w:pPr>
              <w:spacing w:before="40" w:after="40"/>
              <w:rPr>
                <w:rFonts w:cs="Arial"/>
                <w:sz w:val="18"/>
              </w:rPr>
            </w:pPr>
            <w:r w:rsidRPr="003F101B">
              <w:rPr>
                <w:rFonts w:cs="Arial"/>
                <w:sz w:val="18"/>
              </w:rPr>
              <w:t>Private TVET – faith-based</w:t>
            </w:r>
          </w:p>
        </w:tc>
      </w:tr>
      <w:tr w:rsidR="00B776E0" w:rsidRPr="003F101B" w14:paraId="6F7BAB3A" w14:textId="77777777" w:rsidTr="00E378DA">
        <w:tc>
          <w:tcPr>
            <w:tcW w:w="2019" w:type="dxa"/>
            <w:tcBorders>
              <w:top w:val="single" w:sz="4" w:space="0" w:color="A8D08D" w:themeColor="accent6" w:themeTint="99"/>
              <w:bottom w:val="single" w:sz="4" w:space="0" w:color="A8D08D" w:themeColor="accent6" w:themeTint="99"/>
            </w:tcBorders>
          </w:tcPr>
          <w:p w14:paraId="511AECB0" w14:textId="77777777" w:rsidR="00B776E0" w:rsidRPr="003F101B" w:rsidRDefault="00B776E0" w:rsidP="000F42F3">
            <w:pPr>
              <w:spacing w:before="40" w:after="40"/>
              <w:rPr>
                <w:rFonts w:cs="Arial"/>
                <w:sz w:val="18"/>
              </w:rPr>
            </w:pPr>
            <w:r w:rsidRPr="003F101B">
              <w:rPr>
                <w:rFonts w:cs="Arial"/>
                <w:sz w:val="18"/>
              </w:rPr>
              <w:t xml:space="preserve">Description of </w:t>
            </w:r>
            <w:r w:rsidR="000F42F3">
              <w:rPr>
                <w:rFonts w:cs="Arial"/>
                <w:sz w:val="18"/>
              </w:rPr>
              <w:t>p</w:t>
            </w:r>
            <w:r w:rsidRPr="003F101B">
              <w:rPr>
                <w:rFonts w:cs="Arial"/>
                <w:sz w:val="18"/>
              </w:rPr>
              <w:t>artner</w:t>
            </w:r>
          </w:p>
        </w:tc>
        <w:tc>
          <w:tcPr>
            <w:tcW w:w="6622" w:type="dxa"/>
            <w:gridSpan w:val="3"/>
            <w:tcBorders>
              <w:top w:val="single" w:sz="4" w:space="0" w:color="A8D08D" w:themeColor="accent6" w:themeTint="99"/>
              <w:bottom w:val="single" w:sz="4" w:space="0" w:color="A8D08D" w:themeColor="accent6" w:themeTint="99"/>
            </w:tcBorders>
          </w:tcPr>
          <w:p w14:paraId="10F704B1" w14:textId="77777777" w:rsidR="00B776E0" w:rsidRPr="003F101B" w:rsidRDefault="00B776E0" w:rsidP="003F101B">
            <w:pPr>
              <w:spacing w:before="40" w:after="40"/>
              <w:rPr>
                <w:rFonts w:cs="Arial"/>
                <w:sz w:val="18"/>
              </w:rPr>
            </w:pPr>
            <w:r w:rsidRPr="003F101B">
              <w:rPr>
                <w:rFonts w:cs="Arial"/>
                <w:sz w:val="18"/>
              </w:rPr>
              <w:t xml:space="preserve">Established in 1981, Vivekananda Technical Centre (VTC) is owned and managed </w:t>
            </w:r>
            <w:r w:rsidR="003945B7">
              <w:rPr>
                <w:rFonts w:cs="Arial"/>
                <w:sz w:val="18"/>
              </w:rPr>
              <w:t xml:space="preserve">by </w:t>
            </w:r>
            <w:r w:rsidRPr="003F101B">
              <w:rPr>
                <w:rFonts w:cs="Arial"/>
                <w:sz w:val="18"/>
              </w:rPr>
              <w:t>Ramakrishna Mission, Fiji – a registered charitable organisation. VTC aims to provide quality and relevant vocation training to create employment opportunities for youth and to meet the needs of industry.</w:t>
            </w:r>
          </w:p>
        </w:tc>
      </w:tr>
      <w:tr w:rsidR="00B776E0" w:rsidRPr="003F101B" w14:paraId="423D71AB" w14:textId="77777777" w:rsidTr="00E378DA">
        <w:tc>
          <w:tcPr>
            <w:tcW w:w="2019" w:type="dxa"/>
            <w:tcBorders>
              <w:top w:val="single" w:sz="4" w:space="0" w:color="A8D08D" w:themeColor="accent6" w:themeTint="99"/>
              <w:bottom w:val="single" w:sz="4" w:space="0" w:color="A8D08D" w:themeColor="accent6" w:themeTint="99"/>
            </w:tcBorders>
          </w:tcPr>
          <w:p w14:paraId="7664C15C" w14:textId="77777777" w:rsidR="00B776E0" w:rsidRPr="003F101B" w:rsidRDefault="00B776E0" w:rsidP="000F42F3">
            <w:pPr>
              <w:spacing w:before="40" w:after="40"/>
              <w:rPr>
                <w:rFonts w:cs="Arial"/>
                <w:sz w:val="18"/>
              </w:rPr>
            </w:pPr>
            <w:r w:rsidRPr="003F101B">
              <w:rPr>
                <w:rFonts w:cs="Arial"/>
                <w:sz w:val="18"/>
              </w:rPr>
              <w:t xml:space="preserve">Date of </w:t>
            </w:r>
            <w:r w:rsidR="000F42F3">
              <w:rPr>
                <w:rFonts w:cs="Arial"/>
                <w:sz w:val="18"/>
              </w:rPr>
              <w:t>a</w:t>
            </w:r>
            <w:r w:rsidRPr="003F101B">
              <w:rPr>
                <w:rFonts w:cs="Arial"/>
                <w:sz w:val="18"/>
              </w:rPr>
              <w:t>greement</w:t>
            </w:r>
          </w:p>
        </w:tc>
        <w:tc>
          <w:tcPr>
            <w:tcW w:w="6622" w:type="dxa"/>
            <w:gridSpan w:val="3"/>
            <w:tcBorders>
              <w:top w:val="single" w:sz="4" w:space="0" w:color="A8D08D" w:themeColor="accent6" w:themeTint="99"/>
              <w:bottom w:val="single" w:sz="4" w:space="0" w:color="A8D08D" w:themeColor="accent6" w:themeTint="99"/>
            </w:tcBorders>
          </w:tcPr>
          <w:p w14:paraId="125AD8D7" w14:textId="77777777" w:rsidR="00B776E0" w:rsidRPr="003F101B" w:rsidRDefault="00B776E0" w:rsidP="003F101B">
            <w:pPr>
              <w:spacing w:before="40" w:after="40"/>
              <w:rPr>
                <w:rFonts w:cs="Arial"/>
                <w:sz w:val="18"/>
              </w:rPr>
            </w:pPr>
            <w:r w:rsidRPr="003F101B">
              <w:rPr>
                <w:rFonts w:cs="Arial"/>
                <w:sz w:val="18"/>
              </w:rPr>
              <w:t xml:space="preserve">14.08.2013 </w:t>
            </w:r>
          </w:p>
        </w:tc>
      </w:tr>
      <w:tr w:rsidR="00B776E0" w:rsidRPr="003F101B" w14:paraId="13067BA2" w14:textId="77777777" w:rsidTr="00E378DA">
        <w:tc>
          <w:tcPr>
            <w:tcW w:w="2019" w:type="dxa"/>
            <w:tcBorders>
              <w:top w:val="single" w:sz="4" w:space="0" w:color="A8D08D" w:themeColor="accent6" w:themeTint="99"/>
              <w:bottom w:val="single" w:sz="4" w:space="0" w:color="A8D08D" w:themeColor="accent6" w:themeTint="99"/>
            </w:tcBorders>
          </w:tcPr>
          <w:p w14:paraId="4A3E847D" w14:textId="77777777" w:rsidR="00B776E0" w:rsidRPr="003F101B" w:rsidRDefault="00B776E0" w:rsidP="000F42F3">
            <w:pPr>
              <w:spacing w:before="40" w:after="40"/>
              <w:rPr>
                <w:rFonts w:cs="Arial"/>
                <w:sz w:val="18"/>
              </w:rPr>
            </w:pPr>
            <w:r w:rsidRPr="003F101B">
              <w:rPr>
                <w:rFonts w:cs="Arial"/>
                <w:sz w:val="18"/>
              </w:rPr>
              <w:t xml:space="preserve">Date of </w:t>
            </w:r>
            <w:r w:rsidR="000F42F3">
              <w:rPr>
                <w:rFonts w:cs="Arial"/>
                <w:sz w:val="18"/>
              </w:rPr>
              <w:t>t</w:t>
            </w:r>
            <w:r w:rsidR="000F42F3" w:rsidRPr="003F101B">
              <w:rPr>
                <w:rFonts w:cs="Arial"/>
                <w:sz w:val="18"/>
              </w:rPr>
              <w:t xml:space="preserve">ermination </w:t>
            </w:r>
          </w:p>
        </w:tc>
        <w:tc>
          <w:tcPr>
            <w:tcW w:w="6622" w:type="dxa"/>
            <w:gridSpan w:val="3"/>
            <w:tcBorders>
              <w:top w:val="single" w:sz="4" w:space="0" w:color="A8D08D" w:themeColor="accent6" w:themeTint="99"/>
              <w:bottom w:val="single" w:sz="4" w:space="0" w:color="A8D08D" w:themeColor="accent6" w:themeTint="99"/>
            </w:tcBorders>
          </w:tcPr>
          <w:p w14:paraId="5B6D814E" w14:textId="77777777" w:rsidR="00B776E0" w:rsidRPr="003F101B" w:rsidRDefault="00B776E0" w:rsidP="003F101B">
            <w:pPr>
              <w:spacing w:before="40" w:after="40"/>
              <w:rPr>
                <w:rFonts w:cs="Arial"/>
                <w:sz w:val="18"/>
              </w:rPr>
            </w:pPr>
            <w:r w:rsidRPr="003F101B">
              <w:rPr>
                <w:rFonts w:cs="Arial"/>
                <w:sz w:val="18"/>
              </w:rPr>
              <w:t>30.06.15</w:t>
            </w:r>
          </w:p>
        </w:tc>
      </w:tr>
      <w:tr w:rsidR="00B776E0" w:rsidRPr="003F101B" w14:paraId="33B58403" w14:textId="77777777" w:rsidTr="00E378DA">
        <w:tc>
          <w:tcPr>
            <w:tcW w:w="2019" w:type="dxa"/>
            <w:tcBorders>
              <w:top w:val="single" w:sz="4" w:space="0" w:color="A8D08D" w:themeColor="accent6" w:themeTint="99"/>
              <w:bottom w:val="single" w:sz="4" w:space="0" w:color="A8D08D" w:themeColor="accent6" w:themeTint="99"/>
            </w:tcBorders>
          </w:tcPr>
          <w:p w14:paraId="7AC1B7B6" w14:textId="77777777" w:rsidR="00B776E0" w:rsidRPr="003F101B" w:rsidRDefault="00B776E0" w:rsidP="000F42F3">
            <w:pPr>
              <w:spacing w:before="40" w:after="40"/>
              <w:rPr>
                <w:rFonts w:cs="Arial"/>
                <w:sz w:val="18"/>
              </w:rPr>
            </w:pPr>
            <w:r w:rsidRPr="003F101B">
              <w:rPr>
                <w:rFonts w:cs="Arial"/>
                <w:sz w:val="18"/>
              </w:rPr>
              <w:t xml:space="preserve">MOA </w:t>
            </w:r>
            <w:r w:rsidR="000F42F3">
              <w:rPr>
                <w:rFonts w:cs="Arial"/>
                <w:sz w:val="18"/>
              </w:rPr>
              <w:t>d</w:t>
            </w:r>
            <w:r w:rsidR="000F42F3" w:rsidRPr="003F101B">
              <w:rPr>
                <w:rFonts w:cs="Arial"/>
                <w:sz w:val="18"/>
              </w:rPr>
              <w:t xml:space="preserve">escription </w:t>
            </w:r>
            <w:r w:rsidRPr="003F101B">
              <w:rPr>
                <w:rFonts w:cs="Arial"/>
                <w:sz w:val="18"/>
              </w:rPr>
              <w:t>of APTC support</w:t>
            </w:r>
          </w:p>
        </w:tc>
        <w:tc>
          <w:tcPr>
            <w:tcW w:w="6622" w:type="dxa"/>
            <w:gridSpan w:val="3"/>
            <w:tcBorders>
              <w:top w:val="single" w:sz="4" w:space="0" w:color="A8D08D" w:themeColor="accent6" w:themeTint="99"/>
              <w:bottom w:val="single" w:sz="4" w:space="0" w:color="A8D08D" w:themeColor="accent6" w:themeTint="99"/>
            </w:tcBorders>
          </w:tcPr>
          <w:p w14:paraId="74B1B45B" w14:textId="77777777" w:rsidR="003D355F" w:rsidRDefault="00B776E0">
            <w:pPr>
              <w:spacing w:after="0"/>
              <w:rPr>
                <w:rFonts w:cs="Arial"/>
                <w:b/>
                <w:bCs/>
                <w:i/>
                <w:iCs/>
                <w:color w:val="76923C"/>
                <w:sz w:val="18"/>
                <w:szCs w:val="28"/>
              </w:rPr>
            </w:pPr>
            <w:r w:rsidRPr="003F101B">
              <w:rPr>
                <w:rFonts w:cs="Arial"/>
                <w:sz w:val="18"/>
              </w:rPr>
              <w:t>With a focus on Certificate II qualifications in Automotive Mechanical and Cookery:</w:t>
            </w:r>
          </w:p>
          <w:p w14:paraId="6060EEFC" w14:textId="77777777" w:rsidR="003D355F" w:rsidRPr="008E7579" w:rsidRDefault="00B776E0" w:rsidP="00260880">
            <w:pPr>
              <w:numPr>
                <w:ilvl w:val="0"/>
                <w:numId w:val="33"/>
              </w:numPr>
              <w:spacing w:after="0"/>
              <w:rPr>
                <w:rFonts w:cs="Arial"/>
                <w:b/>
                <w:bCs/>
                <w:i/>
                <w:iCs/>
                <w:sz w:val="18"/>
                <w:szCs w:val="28"/>
              </w:rPr>
            </w:pPr>
            <w:r w:rsidRPr="00660697">
              <w:rPr>
                <w:rFonts w:cs="Arial"/>
                <w:sz w:val="18"/>
              </w:rPr>
              <w:t>Curriculum mapping and training delivery support</w:t>
            </w:r>
          </w:p>
          <w:p w14:paraId="01BD10FE" w14:textId="77777777" w:rsidR="003D355F" w:rsidRPr="008E7579" w:rsidRDefault="00B776E0" w:rsidP="00260880">
            <w:pPr>
              <w:numPr>
                <w:ilvl w:val="0"/>
                <w:numId w:val="33"/>
              </w:numPr>
              <w:spacing w:after="0"/>
              <w:rPr>
                <w:rFonts w:cs="Arial"/>
                <w:b/>
                <w:bCs/>
                <w:i/>
                <w:iCs/>
                <w:sz w:val="18"/>
                <w:szCs w:val="28"/>
              </w:rPr>
            </w:pPr>
            <w:r w:rsidRPr="00660697">
              <w:rPr>
                <w:rFonts w:cs="Arial"/>
                <w:sz w:val="18"/>
              </w:rPr>
              <w:t>Teaching methodologies, mentoring and experiences</w:t>
            </w:r>
          </w:p>
          <w:p w14:paraId="4D4192C6" w14:textId="77777777" w:rsidR="003D355F" w:rsidRPr="008E7579" w:rsidRDefault="00B776E0" w:rsidP="00260880">
            <w:pPr>
              <w:numPr>
                <w:ilvl w:val="0"/>
                <w:numId w:val="33"/>
              </w:numPr>
              <w:spacing w:after="0"/>
              <w:rPr>
                <w:rFonts w:cs="Arial"/>
                <w:b/>
                <w:bCs/>
                <w:i/>
                <w:iCs/>
                <w:sz w:val="18"/>
                <w:szCs w:val="28"/>
              </w:rPr>
            </w:pPr>
            <w:r w:rsidRPr="00660697">
              <w:rPr>
                <w:rFonts w:cs="Arial"/>
                <w:sz w:val="18"/>
              </w:rPr>
              <w:t>Staff training and development</w:t>
            </w:r>
          </w:p>
          <w:p w14:paraId="67A8A01A" w14:textId="77777777" w:rsidR="003D355F" w:rsidRPr="008E7579" w:rsidRDefault="00B776E0" w:rsidP="00260880">
            <w:pPr>
              <w:numPr>
                <w:ilvl w:val="0"/>
                <w:numId w:val="33"/>
              </w:numPr>
              <w:spacing w:after="0"/>
              <w:rPr>
                <w:rFonts w:cs="Arial"/>
                <w:b/>
                <w:bCs/>
                <w:i/>
                <w:iCs/>
                <w:sz w:val="18"/>
                <w:szCs w:val="28"/>
              </w:rPr>
            </w:pPr>
            <w:r w:rsidRPr="00660697">
              <w:rPr>
                <w:rFonts w:cs="Arial"/>
                <w:sz w:val="18"/>
              </w:rPr>
              <w:t>Equipment and infrastructure advice</w:t>
            </w:r>
          </w:p>
          <w:p w14:paraId="4B13050C" w14:textId="77777777" w:rsidR="00B776E0" w:rsidRPr="003F101B" w:rsidRDefault="00B776E0" w:rsidP="00260880">
            <w:pPr>
              <w:numPr>
                <w:ilvl w:val="0"/>
                <w:numId w:val="33"/>
              </w:numPr>
              <w:spacing w:before="40" w:after="40"/>
              <w:rPr>
                <w:rFonts w:cs="Arial"/>
                <w:sz w:val="18"/>
              </w:rPr>
            </w:pPr>
            <w:r w:rsidRPr="00660697">
              <w:rPr>
                <w:rFonts w:cs="Arial"/>
                <w:sz w:val="18"/>
              </w:rPr>
              <w:t>Joint training delivery</w:t>
            </w:r>
          </w:p>
        </w:tc>
      </w:tr>
      <w:tr w:rsidR="00B776E0" w:rsidRPr="003F101B" w14:paraId="044AD3BA" w14:textId="77777777" w:rsidTr="00E378DA">
        <w:tc>
          <w:tcPr>
            <w:tcW w:w="2019" w:type="dxa"/>
            <w:tcBorders>
              <w:top w:val="single" w:sz="4" w:space="0" w:color="A8D08D" w:themeColor="accent6" w:themeTint="99"/>
              <w:bottom w:val="single" w:sz="4" w:space="0" w:color="A8D08D" w:themeColor="accent6" w:themeTint="99"/>
            </w:tcBorders>
          </w:tcPr>
          <w:p w14:paraId="55963B15" w14:textId="77777777" w:rsidR="00B776E0" w:rsidRPr="003F101B" w:rsidRDefault="00B776E0" w:rsidP="003F101B">
            <w:pPr>
              <w:spacing w:before="40" w:after="40"/>
              <w:rPr>
                <w:rFonts w:cs="Arial"/>
                <w:sz w:val="18"/>
              </w:rPr>
            </w:pPr>
            <w:r w:rsidRPr="003F101B">
              <w:rPr>
                <w:rFonts w:cs="Arial"/>
                <w:sz w:val="18"/>
              </w:rPr>
              <w:t>APTC investment</w:t>
            </w:r>
          </w:p>
        </w:tc>
        <w:tc>
          <w:tcPr>
            <w:tcW w:w="5337" w:type="dxa"/>
            <w:tcBorders>
              <w:top w:val="single" w:sz="4" w:space="0" w:color="A8D08D" w:themeColor="accent6" w:themeTint="99"/>
              <w:bottom w:val="single" w:sz="4" w:space="0" w:color="A8D08D" w:themeColor="accent6" w:themeTint="99"/>
            </w:tcBorders>
          </w:tcPr>
          <w:p w14:paraId="7F658637" w14:textId="77777777" w:rsidR="003D355F" w:rsidRDefault="003D355F">
            <w:pPr>
              <w:spacing w:after="0"/>
              <w:rPr>
                <w:rFonts w:cs="Arial"/>
                <w:sz w:val="18"/>
              </w:rPr>
            </w:pPr>
          </w:p>
          <w:p w14:paraId="74DAFA44" w14:textId="77777777" w:rsidR="003D355F" w:rsidRDefault="00B776E0">
            <w:pPr>
              <w:spacing w:after="0"/>
              <w:rPr>
                <w:rFonts w:cs="Arial"/>
                <w:sz w:val="18"/>
              </w:rPr>
            </w:pPr>
            <w:r w:rsidRPr="003F101B">
              <w:rPr>
                <w:rFonts w:cs="Arial"/>
                <w:sz w:val="18"/>
              </w:rPr>
              <w:t>Curriculum mapping and training delivery support</w:t>
            </w:r>
          </w:p>
          <w:p w14:paraId="0FC00083" w14:textId="77777777" w:rsidR="003D355F" w:rsidRDefault="00B776E0">
            <w:pPr>
              <w:spacing w:after="0"/>
              <w:rPr>
                <w:rFonts w:cs="Arial"/>
                <w:sz w:val="18"/>
              </w:rPr>
            </w:pPr>
            <w:r w:rsidRPr="003F101B">
              <w:rPr>
                <w:rFonts w:cs="Arial"/>
                <w:sz w:val="18"/>
              </w:rPr>
              <w:t>Capability development</w:t>
            </w:r>
          </w:p>
          <w:p w14:paraId="53E0542A" w14:textId="77777777" w:rsidR="003D355F" w:rsidRDefault="00B776E0">
            <w:pPr>
              <w:spacing w:after="0"/>
              <w:rPr>
                <w:rFonts w:cs="Arial"/>
                <w:sz w:val="18"/>
              </w:rPr>
            </w:pPr>
            <w:r w:rsidRPr="003F101B">
              <w:rPr>
                <w:rFonts w:cs="Arial"/>
                <w:sz w:val="18"/>
              </w:rPr>
              <w:t>Enhancement of facilities</w:t>
            </w:r>
          </w:p>
          <w:p w14:paraId="6009C066" w14:textId="77777777" w:rsidR="003D355F" w:rsidRDefault="00B776E0">
            <w:pPr>
              <w:spacing w:after="0"/>
              <w:rPr>
                <w:rFonts w:cs="Arial"/>
                <w:sz w:val="18"/>
              </w:rPr>
            </w:pPr>
            <w:r w:rsidRPr="003F101B">
              <w:rPr>
                <w:rFonts w:cs="Arial"/>
                <w:sz w:val="18"/>
              </w:rPr>
              <w:t>Communication and utilities costs</w:t>
            </w:r>
          </w:p>
          <w:p w14:paraId="7126ED88" w14:textId="77777777" w:rsidR="003D355F" w:rsidRDefault="00B776E0">
            <w:pPr>
              <w:spacing w:after="0"/>
              <w:rPr>
                <w:rFonts w:cs="Arial"/>
                <w:b/>
                <w:sz w:val="18"/>
              </w:rPr>
            </w:pPr>
            <w:r w:rsidRPr="003F101B">
              <w:rPr>
                <w:rFonts w:cs="Arial"/>
                <w:b/>
                <w:sz w:val="18"/>
              </w:rPr>
              <w:t>Total</w:t>
            </w:r>
          </w:p>
        </w:tc>
        <w:tc>
          <w:tcPr>
            <w:tcW w:w="1004" w:type="dxa"/>
            <w:tcBorders>
              <w:top w:val="single" w:sz="4" w:space="0" w:color="A8D08D" w:themeColor="accent6" w:themeTint="99"/>
              <w:bottom w:val="single" w:sz="4" w:space="0" w:color="A8D08D" w:themeColor="accent6" w:themeTint="99"/>
            </w:tcBorders>
          </w:tcPr>
          <w:p w14:paraId="7D736A7F" w14:textId="77777777" w:rsidR="003D355F" w:rsidRDefault="00B776E0">
            <w:pPr>
              <w:spacing w:after="0"/>
              <w:jc w:val="right"/>
              <w:rPr>
                <w:rFonts w:cs="Arial"/>
                <w:sz w:val="18"/>
              </w:rPr>
            </w:pPr>
            <w:r w:rsidRPr="003F101B">
              <w:rPr>
                <w:rFonts w:cs="Arial"/>
                <w:sz w:val="18"/>
              </w:rPr>
              <w:t xml:space="preserve">AUD  </w:t>
            </w:r>
          </w:p>
          <w:p w14:paraId="4FC98026" w14:textId="77777777" w:rsidR="003D355F" w:rsidRDefault="00B776E0">
            <w:pPr>
              <w:spacing w:after="0"/>
              <w:jc w:val="right"/>
              <w:rPr>
                <w:rFonts w:cs="Arial"/>
                <w:sz w:val="18"/>
              </w:rPr>
            </w:pPr>
            <w:r w:rsidRPr="003F101B">
              <w:rPr>
                <w:rFonts w:cs="Arial"/>
                <w:sz w:val="18"/>
              </w:rPr>
              <w:t>110,000</w:t>
            </w:r>
          </w:p>
          <w:p w14:paraId="00460EF2" w14:textId="77777777" w:rsidR="003D355F" w:rsidRDefault="00B776E0">
            <w:pPr>
              <w:spacing w:after="0"/>
              <w:jc w:val="right"/>
              <w:rPr>
                <w:rFonts w:cs="Arial"/>
                <w:sz w:val="18"/>
              </w:rPr>
            </w:pPr>
            <w:r w:rsidRPr="003F101B">
              <w:rPr>
                <w:rFonts w:cs="Arial"/>
                <w:sz w:val="18"/>
              </w:rPr>
              <w:t>143,000</w:t>
            </w:r>
          </w:p>
          <w:p w14:paraId="1AB804ED" w14:textId="77777777" w:rsidR="003D355F" w:rsidRDefault="00B776E0">
            <w:pPr>
              <w:spacing w:after="0"/>
              <w:jc w:val="right"/>
              <w:rPr>
                <w:rFonts w:cs="Arial"/>
                <w:sz w:val="18"/>
              </w:rPr>
            </w:pPr>
            <w:r w:rsidRPr="003F101B">
              <w:rPr>
                <w:rFonts w:cs="Arial"/>
                <w:sz w:val="18"/>
              </w:rPr>
              <w:t>30,000</w:t>
            </w:r>
          </w:p>
          <w:p w14:paraId="20A1B59E" w14:textId="77777777" w:rsidR="003D355F" w:rsidRDefault="00B776E0">
            <w:pPr>
              <w:spacing w:after="0"/>
              <w:jc w:val="right"/>
              <w:rPr>
                <w:rFonts w:cs="Arial"/>
                <w:sz w:val="18"/>
                <w:u w:val="single"/>
              </w:rPr>
            </w:pPr>
            <w:r w:rsidRPr="003F101B">
              <w:rPr>
                <w:rFonts w:cs="Arial"/>
                <w:sz w:val="18"/>
                <w:u w:val="single"/>
              </w:rPr>
              <w:t xml:space="preserve">   8,000</w:t>
            </w:r>
          </w:p>
          <w:p w14:paraId="76C13521" w14:textId="77777777" w:rsidR="003D355F" w:rsidRDefault="00B776E0">
            <w:pPr>
              <w:spacing w:after="0"/>
              <w:jc w:val="right"/>
              <w:rPr>
                <w:rFonts w:cs="Arial"/>
                <w:sz w:val="18"/>
              </w:rPr>
            </w:pPr>
            <w:r w:rsidRPr="003F101B">
              <w:rPr>
                <w:rFonts w:cs="Arial"/>
                <w:sz w:val="18"/>
              </w:rPr>
              <w:t>291,000</w:t>
            </w:r>
          </w:p>
        </w:tc>
        <w:tc>
          <w:tcPr>
            <w:tcW w:w="281" w:type="dxa"/>
            <w:tcBorders>
              <w:top w:val="single" w:sz="4" w:space="0" w:color="A8D08D" w:themeColor="accent6" w:themeTint="99"/>
              <w:bottom w:val="single" w:sz="4" w:space="0" w:color="A8D08D" w:themeColor="accent6" w:themeTint="99"/>
            </w:tcBorders>
          </w:tcPr>
          <w:p w14:paraId="6D201ECF" w14:textId="77777777" w:rsidR="00B776E0" w:rsidRPr="003F101B" w:rsidRDefault="00B776E0" w:rsidP="003F101B">
            <w:pPr>
              <w:spacing w:before="40" w:after="40"/>
              <w:rPr>
                <w:rFonts w:cs="Arial"/>
                <w:sz w:val="18"/>
              </w:rPr>
            </w:pPr>
          </w:p>
        </w:tc>
      </w:tr>
    </w:tbl>
    <w:p w14:paraId="45A94908" w14:textId="77777777" w:rsidR="003D355F" w:rsidRDefault="003D355F">
      <w:pPr>
        <w:spacing w:after="0"/>
        <w:rPr>
          <w:rFonts w:cs="Arial"/>
        </w:rPr>
      </w:pPr>
    </w:p>
    <w:p w14:paraId="0A63962B" w14:textId="77777777" w:rsidR="00B776E0" w:rsidRPr="002113B5" w:rsidRDefault="00B776E0" w:rsidP="00B776E0">
      <w:pPr>
        <w:rPr>
          <w:rFonts w:cs="Arial"/>
        </w:rPr>
      </w:pPr>
      <w:r w:rsidRPr="002113B5">
        <w:rPr>
          <w:rFonts w:cs="Arial"/>
        </w:rPr>
        <w:t xml:space="preserve">The MOA with VTC is relatively new. The VTC is situated in farmlands and tends to attract students from farming families, many of </w:t>
      </w:r>
      <w:r w:rsidR="00462B62" w:rsidRPr="002113B5">
        <w:rPr>
          <w:rFonts w:cs="Arial"/>
        </w:rPr>
        <w:t>wh</w:t>
      </w:r>
      <w:r w:rsidR="00462B62">
        <w:rPr>
          <w:rFonts w:cs="Arial"/>
        </w:rPr>
        <w:t>om</w:t>
      </w:r>
      <w:r w:rsidR="00462B62" w:rsidRPr="002113B5">
        <w:rPr>
          <w:rFonts w:cs="Arial"/>
        </w:rPr>
        <w:t xml:space="preserve"> </w:t>
      </w:r>
      <w:r w:rsidRPr="002113B5">
        <w:rPr>
          <w:rFonts w:cs="Arial"/>
        </w:rPr>
        <w:t xml:space="preserve">are poor. Considerable upgrading of the </w:t>
      </w:r>
      <w:r w:rsidR="00D673AB">
        <w:rPr>
          <w:rFonts w:cs="Arial"/>
        </w:rPr>
        <w:t>h</w:t>
      </w:r>
      <w:r w:rsidR="00D673AB" w:rsidRPr="002113B5">
        <w:rPr>
          <w:rFonts w:cs="Arial"/>
        </w:rPr>
        <w:t xml:space="preserve">ospitality </w:t>
      </w:r>
      <w:r w:rsidRPr="002113B5">
        <w:rPr>
          <w:rFonts w:cs="Arial"/>
        </w:rPr>
        <w:t xml:space="preserve">kitchen and </w:t>
      </w:r>
      <w:r w:rsidR="00D673AB">
        <w:rPr>
          <w:rFonts w:cs="Arial"/>
        </w:rPr>
        <w:t>a</w:t>
      </w:r>
      <w:r w:rsidR="00D673AB" w:rsidRPr="002113B5">
        <w:rPr>
          <w:rFonts w:cs="Arial"/>
        </w:rPr>
        <w:t xml:space="preserve">utomotive </w:t>
      </w:r>
      <w:r w:rsidR="00D673AB">
        <w:rPr>
          <w:rFonts w:cs="Arial"/>
        </w:rPr>
        <w:t>m</w:t>
      </w:r>
      <w:r w:rsidR="00D673AB" w:rsidRPr="002113B5">
        <w:rPr>
          <w:rFonts w:cs="Arial"/>
        </w:rPr>
        <w:t xml:space="preserve">echanical </w:t>
      </w:r>
      <w:r w:rsidRPr="002113B5">
        <w:rPr>
          <w:rFonts w:cs="Arial"/>
        </w:rPr>
        <w:t xml:space="preserve">workshop was underway at the time of the field visits.  </w:t>
      </w:r>
    </w:p>
    <w:p w14:paraId="2984B66E" w14:textId="76BBACD7" w:rsidR="003D355F" w:rsidRDefault="00B776E0">
      <w:pPr>
        <w:spacing w:after="0"/>
        <w:rPr>
          <w:rFonts w:cs="Arial"/>
        </w:rPr>
      </w:pPr>
      <w:r w:rsidRPr="002113B5">
        <w:rPr>
          <w:rFonts w:cs="Arial"/>
        </w:rPr>
        <w:t xml:space="preserve">National trainers were able to clearly articulate how their teaching practices had changed as a result of undertaking the Certificate IV in TAE as part of the MOA. </w:t>
      </w:r>
      <w:r w:rsidR="00660697">
        <w:rPr>
          <w:rFonts w:cs="Arial"/>
        </w:rPr>
        <w:br/>
      </w:r>
      <w:r w:rsidRPr="002113B5">
        <w:rPr>
          <w:rFonts w:cs="Arial"/>
        </w:rPr>
        <w:t>Short</w:t>
      </w:r>
      <w:r w:rsidR="00D7641E">
        <w:rPr>
          <w:rFonts w:cs="Arial"/>
        </w:rPr>
        <w:t>-</w:t>
      </w:r>
      <w:r w:rsidRPr="002113B5">
        <w:rPr>
          <w:rFonts w:cs="Arial"/>
        </w:rPr>
        <w:t>term Australian advisers were providing support in the two vocational areas.</w:t>
      </w:r>
    </w:p>
    <w:p w14:paraId="63576663" w14:textId="77777777" w:rsidR="00B776E0" w:rsidRPr="002113B5" w:rsidRDefault="00B776E0" w:rsidP="009D61FC">
      <w:pPr>
        <w:spacing w:after="0"/>
        <w:rPr>
          <w:rFonts w:cs="Arial"/>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4"/>
        <w:gridCol w:w="4591"/>
        <w:gridCol w:w="1239"/>
        <w:gridCol w:w="398"/>
      </w:tblGrid>
      <w:tr w:rsidR="00B776E0" w:rsidRPr="003F101B" w14:paraId="31B3C767" w14:textId="77777777" w:rsidTr="00E378DA">
        <w:tc>
          <w:tcPr>
            <w:tcW w:w="8715" w:type="dxa"/>
            <w:gridSpan w:val="4"/>
            <w:shd w:val="clear" w:color="auto" w:fill="C5E0B3" w:themeFill="accent6" w:themeFillTint="66"/>
          </w:tcPr>
          <w:p w14:paraId="2AFFC84C" w14:textId="77777777" w:rsidR="00B776E0" w:rsidRPr="003F101B" w:rsidRDefault="00B776E0" w:rsidP="003F101B">
            <w:pPr>
              <w:spacing w:before="40" w:after="40"/>
              <w:rPr>
                <w:rFonts w:cs="Arial"/>
                <w:b/>
                <w:sz w:val="18"/>
              </w:rPr>
            </w:pPr>
            <w:r w:rsidRPr="003F101B">
              <w:rPr>
                <w:rFonts w:cs="Arial"/>
                <w:b/>
                <w:sz w:val="18"/>
              </w:rPr>
              <w:t>b) Partner Institution: University of the South Pacific (USP)</w:t>
            </w:r>
          </w:p>
        </w:tc>
      </w:tr>
      <w:tr w:rsidR="00B776E0" w:rsidRPr="003F101B" w14:paraId="3131ED8A" w14:textId="77777777" w:rsidTr="00E378DA">
        <w:tc>
          <w:tcPr>
            <w:tcW w:w="2093" w:type="dxa"/>
            <w:tcBorders>
              <w:bottom w:val="single" w:sz="4" w:space="0" w:color="A8D08D" w:themeColor="accent6" w:themeTint="99"/>
            </w:tcBorders>
          </w:tcPr>
          <w:p w14:paraId="58F5924F" w14:textId="77777777" w:rsidR="00B776E0" w:rsidRPr="003F101B" w:rsidRDefault="00B776E0" w:rsidP="003F101B">
            <w:pPr>
              <w:spacing w:before="40" w:after="40"/>
              <w:rPr>
                <w:rFonts w:cs="Arial"/>
                <w:sz w:val="18"/>
              </w:rPr>
            </w:pPr>
            <w:r w:rsidRPr="003F101B">
              <w:rPr>
                <w:rFonts w:cs="Arial"/>
                <w:sz w:val="18"/>
              </w:rPr>
              <w:t>Sector</w:t>
            </w:r>
          </w:p>
        </w:tc>
        <w:tc>
          <w:tcPr>
            <w:tcW w:w="6622" w:type="dxa"/>
            <w:gridSpan w:val="3"/>
            <w:tcBorders>
              <w:bottom w:val="single" w:sz="4" w:space="0" w:color="A8D08D" w:themeColor="accent6" w:themeTint="99"/>
            </w:tcBorders>
          </w:tcPr>
          <w:p w14:paraId="5FFABD02" w14:textId="77777777" w:rsidR="00B776E0" w:rsidRPr="003F101B" w:rsidRDefault="00B776E0" w:rsidP="003F101B">
            <w:pPr>
              <w:spacing w:before="40" w:after="40"/>
              <w:rPr>
                <w:rFonts w:cs="Arial"/>
                <w:sz w:val="18"/>
              </w:rPr>
            </w:pPr>
            <w:r w:rsidRPr="003F101B">
              <w:rPr>
                <w:rFonts w:cs="Arial"/>
                <w:sz w:val="18"/>
              </w:rPr>
              <w:t>University</w:t>
            </w:r>
          </w:p>
        </w:tc>
      </w:tr>
      <w:tr w:rsidR="00B776E0" w:rsidRPr="003F101B" w14:paraId="3E0FE28A" w14:textId="77777777" w:rsidTr="00E378DA">
        <w:tc>
          <w:tcPr>
            <w:tcW w:w="2093" w:type="dxa"/>
            <w:tcBorders>
              <w:top w:val="single" w:sz="4" w:space="0" w:color="A8D08D" w:themeColor="accent6" w:themeTint="99"/>
              <w:bottom w:val="single" w:sz="4" w:space="0" w:color="A8D08D" w:themeColor="accent6" w:themeTint="99"/>
            </w:tcBorders>
          </w:tcPr>
          <w:p w14:paraId="63728B9E" w14:textId="77777777" w:rsidR="00B776E0" w:rsidRPr="003F101B" w:rsidRDefault="00B776E0" w:rsidP="001C10E9">
            <w:pPr>
              <w:spacing w:before="40" w:after="40"/>
              <w:rPr>
                <w:rFonts w:cs="Arial"/>
                <w:sz w:val="18"/>
              </w:rPr>
            </w:pPr>
            <w:r w:rsidRPr="003F101B">
              <w:rPr>
                <w:rFonts w:cs="Arial"/>
                <w:sz w:val="18"/>
              </w:rPr>
              <w:t xml:space="preserve">Description of </w:t>
            </w:r>
            <w:r w:rsidR="001C10E9">
              <w:rPr>
                <w:rFonts w:cs="Arial"/>
                <w:sz w:val="18"/>
              </w:rPr>
              <w:t>p</w:t>
            </w:r>
            <w:r w:rsidR="001C10E9" w:rsidRPr="003F101B">
              <w:rPr>
                <w:rFonts w:cs="Arial"/>
                <w:sz w:val="18"/>
              </w:rPr>
              <w:t>artner</w:t>
            </w:r>
          </w:p>
        </w:tc>
        <w:tc>
          <w:tcPr>
            <w:tcW w:w="6622" w:type="dxa"/>
            <w:gridSpan w:val="3"/>
            <w:tcBorders>
              <w:top w:val="single" w:sz="4" w:space="0" w:color="A8D08D" w:themeColor="accent6" w:themeTint="99"/>
              <w:bottom w:val="single" w:sz="4" w:space="0" w:color="A8D08D" w:themeColor="accent6" w:themeTint="99"/>
            </w:tcBorders>
          </w:tcPr>
          <w:p w14:paraId="3C6306FD" w14:textId="77777777" w:rsidR="00B776E0" w:rsidRPr="003F101B" w:rsidRDefault="00B776E0" w:rsidP="000164AF">
            <w:pPr>
              <w:spacing w:before="40" w:after="40"/>
              <w:rPr>
                <w:rFonts w:cs="Arial"/>
                <w:sz w:val="18"/>
              </w:rPr>
            </w:pPr>
            <w:r w:rsidRPr="003F101B">
              <w:rPr>
                <w:rFonts w:cs="Arial"/>
                <w:sz w:val="18"/>
              </w:rPr>
              <w:t xml:space="preserve">Founded in 1968, USP serves the regional tertiary education needs of its </w:t>
            </w:r>
            <w:r w:rsidR="000164AF">
              <w:rPr>
                <w:rFonts w:cs="Arial"/>
                <w:sz w:val="18"/>
              </w:rPr>
              <w:t>12</w:t>
            </w:r>
            <w:r w:rsidR="000164AF" w:rsidRPr="003F101B">
              <w:rPr>
                <w:rFonts w:cs="Arial"/>
                <w:sz w:val="18"/>
              </w:rPr>
              <w:t xml:space="preserve"> </w:t>
            </w:r>
            <w:r w:rsidRPr="003F101B">
              <w:rPr>
                <w:rFonts w:cs="Arial"/>
                <w:sz w:val="18"/>
              </w:rPr>
              <w:t>member countries in the Pacific, including four of the five APTC campus countries, namely Fiji, Samoa, Vanuatu and the Solomon Islands. USP offers education and training, research and consultancy services and technical expertise to its members.</w:t>
            </w:r>
          </w:p>
        </w:tc>
      </w:tr>
      <w:tr w:rsidR="00B776E0" w:rsidRPr="003F101B" w14:paraId="25175B31" w14:textId="77777777" w:rsidTr="00E378DA">
        <w:tc>
          <w:tcPr>
            <w:tcW w:w="2093" w:type="dxa"/>
            <w:tcBorders>
              <w:top w:val="single" w:sz="4" w:space="0" w:color="A8D08D" w:themeColor="accent6" w:themeTint="99"/>
              <w:bottom w:val="single" w:sz="4" w:space="0" w:color="A8D08D" w:themeColor="accent6" w:themeTint="99"/>
            </w:tcBorders>
          </w:tcPr>
          <w:p w14:paraId="02729EAE" w14:textId="77777777" w:rsidR="00B776E0" w:rsidRPr="003F101B" w:rsidRDefault="00B776E0" w:rsidP="001C10E9">
            <w:pPr>
              <w:spacing w:before="40" w:after="40"/>
              <w:rPr>
                <w:rFonts w:cs="Arial"/>
                <w:sz w:val="18"/>
              </w:rPr>
            </w:pPr>
            <w:r w:rsidRPr="003F101B">
              <w:rPr>
                <w:rFonts w:cs="Arial"/>
                <w:sz w:val="18"/>
              </w:rPr>
              <w:t xml:space="preserve">Date of </w:t>
            </w:r>
            <w:r w:rsidR="001C10E9">
              <w:rPr>
                <w:rFonts w:cs="Arial"/>
                <w:sz w:val="18"/>
              </w:rPr>
              <w:t>a</w:t>
            </w:r>
            <w:r w:rsidR="001C10E9" w:rsidRPr="003F101B">
              <w:rPr>
                <w:rFonts w:cs="Arial"/>
                <w:sz w:val="18"/>
              </w:rPr>
              <w:t>greement</w:t>
            </w:r>
          </w:p>
        </w:tc>
        <w:tc>
          <w:tcPr>
            <w:tcW w:w="6622" w:type="dxa"/>
            <w:gridSpan w:val="3"/>
            <w:tcBorders>
              <w:top w:val="single" w:sz="4" w:space="0" w:color="A8D08D" w:themeColor="accent6" w:themeTint="99"/>
              <w:bottom w:val="single" w:sz="4" w:space="0" w:color="A8D08D" w:themeColor="accent6" w:themeTint="99"/>
            </w:tcBorders>
          </w:tcPr>
          <w:p w14:paraId="023E24D3" w14:textId="77777777" w:rsidR="00B776E0" w:rsidRPr="003F101B" w:rsidRDefault="00B776E0" w:rsidP="003F101B">
            <w:pPr>
              <w:spacing w:before="40" w:after="40"/>
              <w:rPr>
                <w:rFonts w:cs="Arial"/>
                <w:sz w:val="18"/>
              </w:rPr>
            </w:pPr>
            <w:r w:rsidRPr="003F101B">
              <w:rPr>
                <w:rFonts w:cs="Arial"/>
                <w:sz w:val="18"/>
              </w:rPr>
              <w:t>February, 2014</w:t>
            </w:r>
          </w:p>
        </w:tc>
      </w:tr>
      <w:tr w:rsidR="00B776E0" w:rsidRPr="003F101B" w14:paraId="66A5507A" w14:textId="77777777" w:rsidTr="00E378DA">
        <w:tc>
          <w:tcPr>
            <w:tcW w:w="2093" w:type="dxa"/>
            <w:tcBorders>
              <w:top w:val="single" w:sz="4" w:space="0" w:color="A8D08D" w:themeColor="accent6" w:themeTint="99"/>
              <w:bottom w:val="single" w:sz="4" w:space="0" w:color="A8D08D" w:themeColor="accent6" w:themeTint="99"/>
            </w:tcBorders>
          </w:tcPr>
          <w:p w14:paraId="0C123B8B" w14:textId="77777777" w:rsidR="00B776E0" w:rsidRPr="003F101B" w:rsidRDefault="00B776E0" w:rsidP="001C10E9">
            <w:pPr>
              <w:spacing w:before="40" w:after="40"/>
              <w:rPr>
                <w:rFonts w:cs="Arial"/>
                <w:sz w:val="18"/>
              </w:rPr>
            </w:pPr>
            <w:r w:rsidRPr="003F101B">
              <w:rPr>
                <w:rFonts w:cs="Arial"/>
                <w:sz w:val="18"/>
              </w:rPr>
              <w:t xml:space="preserve">Date of </w:t>
            </w:r>
            <w:r w:rsidR="001C10E9">
              <w:rPr>
                <w:rFonts w:cs="Arial"/>
                <w:sz w:val="18"/>
              </w:rPr>
              <w:t>t</w:t>
            </w:r>
            <w:r w:rsidR="001C10E9" w:rsidRPr="003F101B">
              <w:rPr>
                <w:rFonts w:cs="Arial"/>
                <w:sz w:val="18"/>
              </w:rPr>
              <w:t xml:space="preserve">ermination </w:t>
            </w:r>
          </w:p>
        </w:tc>
        <w:tc>
          <w:tcPr>
            <w:tcW w:w="6622" w:type="dxa"/>
            <w:gridSpan w:val="3"/>
            <w:tcBorders>
              <w:top w:val="single" w:sz="4" w:space="0" w:color="A8D08D" w:themeColor="accent6" w:themeTint="99"/>
              <w:bottom w:val="single" w:sz="4" w:space="0" w:color="A8D08D" w:themeColor="accent6" w:themeTint="99"/>
            </w:tcBorders>
          </w:tcPr>
          <w:p w14:paraId="3283000A" w14:textId="77777777" w:rsidR="00B776E0" w:rsidRPr="003F101B" w:rsidRDefault="00B776E0" w:rsidP="003F101B">
            <w:pPr>
              <w:spacing w:before="40" w:after="40"/>
              <w:rPr>
                <w:rFonts w:cs="Arial"/>
                <w:sz w:val="18"/>
              </w:rPr>
            </w:pPr>
            <w:r w:rsidRPr="003F101B">
              <w:rPr>
                <w:rFonts w:cs="Arial"/>
                <w:sz w:val="18"/>
              </w:rPr>
              <w:t>30.06.15</w:t>
            </w:r>
          </w:p>
        </w:tc>
      </w:tr>
      <w:tr w:rsidR="00B776E0" w:rsidRPr="003F101B" w14:paraId="6F4D8CCE" w14:textId="77777777" w:rsidTr="00E378DA">
        <w:tc>
          <w:tcPr>
            <w:tcW w:w="2093" w:type="dxa"/>
            <w:tcBorders>
              <w:top w:val="single" w:sz="4" w:space="0" w:color="A8D08D" w:themeColor="accent6" w:themeTint="99"/>
              <w:bottom w:val="single" w:sz="4" w:space="0" w:color="A8D08D" w:themeColor="accent6" w:themeTint="99"/>
            </w:tcBorders>
          </w:tcPr>
          <w:p w14:paraId="6F0D5825" w14:textId="77777777" w:rsidR="00B776E0" w:rsidRPr="003F101B" w:rsidRDefault="00B776E0" w:rsidP="001C10E9">
            <w:pPr>
              <w:spacing w:before="40" w:after="40"/>
              <w:rPr>
                <w:rFonts w:cs="Arial"/>
                <w:sz w:val="18"/>
              </w:rPr>
            </w:pPr>
            <w:r w:rsidRPr="003F101B">
              <w:rPr>
                <w:rFonts w:cs="Arial"/>
                <w:sz w:val="18"/>
              </w:rPr>
              <w:t xml:space="preserve">MOA </w:t>
            </w:r>
            <w:r w:rsidR="001C10E9">
              <w:rPr>
                <w:rFonts w:cs="Arial"/>
                <w:sz w:val="18"/>
              </w:rPr>
              <w:t>d</w:t>
            </w:r>
            <w:r w:rsidR="001C10E9" w:rsidRPr="003F101B">
              <w:rPr>
                <w:rFonts w:cs="Arial"/>
                <w:sz w:val="18"/>
              </w:rPr>
              <w:t xml:space="preserve">escription </w:t>
            </w:r>
            <w:r w:rsidRPr="003F101B">
              <w:rPr>
                <w:rFonts w:cs="Arial"/>
                <w:sz w:val="18"/>
              </w:rPr>
              <w:t>of APTC support</w:t>
            </w:r>
          </w:p>
        </w:tc>
        <w:tc>
          <w:tcPr>
            <w:tcW w:w="6622" w:type="dxa"/>
            <w:gridSpan w:val="3"/>
            <w:tcBorders>
              <w:top w:val="single" w:sz="4" w:space="0" w:color="A8D08D" w:themeColor="accent6" w:themeTint="99"/>
              <w:bottom w:val="single" w:sz="4" w:space="0" w:color="A8D08D" w:themeColor="accent6" w:themeTint="99"/>
            </w:tcBorders>
          </w:tcPr>
          <w:p w14:paraId="6DFB7EFF" w14:textId="77777777" w:rsidR="003D355F" w:rsidRDefault="00B776E0">
            <w:pPr>
              <w:spacing w:after="0"/>
              <w:rPr>
                <w:rFonts w:cs="Arial"/>
                <w:sz w:val="18"/>
              </w:rPr>
            </w:pPr>
            <w:r w:rsidRPr="003F101B">
              <w:rPr>
                <w:rFonts w:cs="Arial"/>
                <w:sz w:val="18"/>
              </w:rPr>
              <w:t>With an initial focus on Certificate III in Hospitality and Certificate III in Hospitality (Commercial Cookery):</w:t>
            </w:r>
          </w:p>
          <w:p w14:paraId="6443EAB4" w14:textId="77777777" w:rsidR="003D355F" w:rsidRDefault="00B776E0" w:rsidP="00260880">
            <w:pPr>
              <w:numPr>
                <w:ilvl w:val="0"/>
                <w:numId w:val="34"/>
              </w:numPr>
              <w:spacing w:after="0"/>
              <w:rPr>
                <w:rFonts w:cs="Arial"/>
                <w:sz w:val="18"/>
              </w:rPr>
            </w:pPr>
            <w:r w:rsidRPr="003F101B">
              <w:rPr>
                <w:rFonts w:cs="Arial"/>
                <w:sz w:val="18"/>
              </w:rPr>
              <w:t>Pathways to higher level qualifications</w:t>
            </w:r>
          </w:p>
          <w:p w14:paraId="1C8FF527" w14:textId="77777777" w:rsidR="003D355F" w:rsidRDefault="00B776E0" w:rsidP="00260880">
            <w:pPr>
              <w:numPr>
                <w:ilvl w:val="0"/>
                <w:numId w:val="34"/>
              </w:numPr>
              <w:spacing w:after="0"/>
              <w:rPr>
                <w:rFonts w:cs="Arial"/>
                <w:sz w:val="18"/>
              </w:rPr>
            </w:pPr>
            <w:r w:rsidRPr="003F101B">
              <w:rPr>
                <w:rFonts w:cs="Arial"/>
                <w:sz w:val="18"/>
              </w:rPr>
              <w:t>TVET teaching methodologies, mentoring and experiences</w:t>
            </w:r>
          </w:p>
          <w:p w14:paraId="59BC9303" w14:textId="77777777" w:rsidR="003D355F" w:rsidRDefault="00B776E0" w:rsidP="00260880">
            <w:pPr>
              <w:numPr>
                <w:ilvl w:val="0"/>
                <w:numId w:val="34"/>
              </w:numPr>
              <w:spacing w:after="0"/>
              <w:rPr>
                <w:rFonts w:cs="Arial"/>
                <w:sz w:val="18"/>
              </w:rPr>
            </w:pPr>
            <w:r w:rsidRPr="003F101B">
              <w:rPr>
                <w:rFonts w:cs="Arial"/>
                <w:sz w:val="18"/>
              </w:rPr>
              <w:t>TVET staff training and development</w:t>
            </w:r>
          </w:p>
          <w:p w14:paraId="3260BC9F" w14:textId="77777777" w:rsidR="003D355F" w:rsidRDefault="00B776E0" w:rsidP="00260880">
            <w:pPr>
              <w:numPr>
                <w:ilvl w:val="0"/>
                <w:numId w:val="34"/>
              </w:numPr>
              <w:spacing w:after="0"/>
              <w:rPr>
                <w:rFonts w:cs="Arial"/>
                <w:sz w:val="18"/>
              </w:rPr>
            </w:pPr>
            <w:r w:rsidRPr="003F101B">
              <w:rPr>
                <w:rFonts w:cs="Arial"/>
                <w:sz w:val="18"/>
              </w:rPr>
              <w:t>Industry specific equipment and infrastructure provision and/or advice</w:t>
            </w:r>
          </w:p>
          <w:p w14:paraId="4430F422" w14:textId="77777777" w:rsidR="003D355F" w:rsidRDefault="00B776E0" w:rsidP="00260880">
            <w:pPr>
              <w:numPr>
                <w:ilvl w:val="0"/>
                <w:numId w:val="34"/>
              </w:numPr>
              <w:spacing w:after="0"/>
              <w:rPr>
                <w:rFonts w:cs="Arial"/>
                <w:sz w:val="18"/>
              </w:rPr>
            </w:pPr>
            <w:r w:rsidRPr="003F101B">
              <w:rPr>
                <w:rFonts w:cs="Arial"/>
                <w:sz w:val="18"/>
              </w:rPr>
              <w:t>Joint training delivery where applicable and agreed by both parties</w:t>
            </w:r>
          </w:p>
          <w:p w14:paraId="2512840F" w14:textId="77777777" w:rsidR="003D355F" w:rsidRDefault="00B776E0" w:rsidP="00260880">
            <w:pPr>
              <w:numPr>
                <w:ilvl w:val="0"/>
                <w:numId w:val="34"/>
              </w:numPr>
              <w:spacing w:after="0"/>
              <w:rPr>
                <w:rFonts w:cs="Arial"/>
                <w:sz w:val="18"/>
              </w:rPr>
            </w:pPr>
            <w:r w:rsidRPr="003F101B">
              <w:rPr>
                <w:rFonts w:cs="Arial"/>
                <w:sz w:val="18"/>
              </w:rPr>
              <w:t>TVET quality systems support</w:t>
            </w:r>
          </w:p>
          <w:p w14:paraId="526106C5" w14:textId="77777777" w:rsidR="003D355F" w:rsidRDefault="00B776E0" w:rsidP="00260880">
            <w:pPr>
              <w:numPr>
                <w:ilvl w:val="0"/>
                <w:numId w:val="34"/>
              </w:numPr>
              <w:spacing w:after="0"/>
              <w:rPr>
                <w:rFonts w:cs="Arial"/>
                <w:sz w:val="18"/>
              </w:rPr>
            </w:pPr>
            <w:r w:rsidRPr="003F101B">
              <w:rPr>
                <w:rFonts w:cs="Arial"/>
                <w:sz w:val="18"/>
              </w:rPr>
              <w:t>Course articulation and support for international accreditation.</w:t>
            </w:r>
          </w:p>
        </w:tc>
      </w:tr>
      <w:tr w:rsidR="00B776E0" w:rsidRPr="003F101B" w14:paraId="18DB07BC" w14:textId="77777777" w:rsidTr="00E378DA">
        <w:tc>
          <w:tcPr>
            <w:tcW w:w="2093" w:type="dxa"/>
            <w:tcBorders>
              <w:top w:val="single" w:sz="4" w:space="0" w:color="A8D08D" w:themeColor="accent6" w:themeTint="99"/>
              <w:bottom w:val="single" w:sz="4" w:space="0" w:color="A8D08D" w:themeColor="accent6" w:themeTint="99"/>
            </w:tcBorders>
          </w:tcPr>
          <w:p w14:paraId="0D1FA17E" w14:textId="77777777" w:rsidR="00B776E0" w:rsidRPr="003F101B" w:rsidRDefault="00B776E0" w:rsidP="003F101B">
            <w:pPr>
              <w:spacing w:before="40" w:after="40"/>
              <w:rPr>
                <w:rFonts w:cs="Arial"/>
                <w:sz w:val="18"/>
              </w:rPr>
            </w:pPr>
            <w:r w:rsidRPr="003F101B">
              <w:rPr>
                <w:rFonts w:cs="Arial"/>
                <w:sz w:val="18"/>
              </w:rPr>
              <w:t>APTC investment</w:t>
            </w:r>
          </w:p>
        </w:tc>
        <w:tc>
          <w:tcPr>
            <w:tcW w:w="4940" w:type="dxa"/>
            <w:tcBorders>
              <w:top w:val="single" w:sz="4" w:space="0" w:color="A8D08D" w:themeColor="accent6" w:themeTint="99"/>
              <w:bottom w:val="single" w:sz="4" w:space="0" w:color="A8D08D" w:themeColor="accent6" w:themeTint="99"/>
            </w:tcBorders>
          </w:tcPr>
          <w:p w14:paraId="11830C8F" w14:textId="77777777" w:rsidR="003D355F" w:rsidRDefault="003D355F">
            <w:pPr>
              <w:spacing w:after="0"/>
              <w:rPr>
                <w:rFonts w:cs="Arial"/>
                <w:i/>
                <w:iCs/>
                <w:color w:val="3B491E"/>
                <w:sz w:val="18"/>
              </w:rPr>
            </w:pPr>
          </w:p>
          <w:p w14:paraId="6B857CC0" w14:textId="77777777" w:rsidR="003D355F" w:rsidRDefault="00B776E0">
            <w:pPr>
              <w:spacing w:after="0"/>
              <w:rPr>
                <w:rFonts w:cs="Arial"/>
                <w:sz w:val="18"/>
              </w:rPr>
            </w:pPr>
            <w:r w:rsidRPr="003F101B">
              <w:rPr>
                <w:rFonts w:cs="Arial"/>
                <w:sz w:val="18"/>
              </w:rPr>
              <w:t>Capability development for TVET trainers</w:t>
            </w:r>
          </w:p>
          <w:p w14:paraId="7B0FB16E" w14:textId="77777777" w:rsidR="003D355F" w:rsidRDefault="00B776E0">
            <w:pPr>
              <w:spacing w:after="0"/>
              <w:rPr>
                <w:rFonts w:cs="Arial"/>
                <w:sz w:val="18"/>
              </w:rPr>
            </w:pPr>
            <w:r w:rsidRPr="003F101B">
              <w:rPr>
                <w:rFonts w:cs="Arial"/>
                <w:sz w:val="18"/>
              </w:rPr>
              <w:t>Enhancement of training kitchen</w:t>
            </w:r>
          </w:p>
          <w:p w14:paraId="2416C784" w14:textId="77777777" w:rsidR="003D355F" w:rsidRDefault="00B776E0">
            <w:pPr>
              <w:spacing w:after="0"/>
              <w:rPr>
                <w:rFonts w:cs="Arial"/>
                <w:sz w:val="18"/>
              </w:rPr>
            </w:pPr>
            <w:r w:rsidRPr="003F101B">
              <w:rPr>
                <w:rFonts w:cs="Arial"/>
                <w:sz w:val="18"/>
              </w:rPr>
              <w:t>Direct training delivery</w:t>
            </w:r>
          </w:p>
          <w:p w14:paraId="18F0E4DA" w14:textId="77777777" w:rsidR="003D355F" w:rsidRDefault="00B776E0">
            <w:pPr>
              <w:spacing w:after="0"/>
              <w:rPr>
                <w:rFonts w:cs="Arial"/>
                <w:sz w:val="18"/>
              </w:rPr>
            </w:pPr>
            <w:r w:rsidRPr="003F101B">
              <w:rPr>
                <w:rFonts w:cs="Arial"/>
                <w:sz w:val="18"/>
              </w:rPr>
              <w:t>Scholarship provision</w:t>
            </w:r>
          </w:p>
          <w:p w14:paraId="6C884720" w14:textId="77777777" w:rsidR="003D355F" w:rsidRDefault="00B776E0">
            <w:pPr>
              <w:spacing w:after="0"/>
              <w:rPr>
                <w:rFonts w:cs="Arial"/>
                <w:sz w:val="18"/>
              </w:rPr>
            </w:pPr>
            <w:r w:rsidRPr="003F101B">
              <w:rPr>
                <w:rFonts w:cs="Arial"/>
                <w:sz w:val="18"/>
              </w:rPr>
              <w:t>Student accommodation</w:t>
            </w:r>
          </w:p>
          <w:p w14:paraId="431D7EDA" w14:textId="77777777" w:rsidR="003D355F" w:rsidRDefault="00B776E0">
            <w:pPr>
              <w:spacing w:after="0"/>
              <w:rPr>
                <w:rFonts w:cs="Arial"/>
                <w:b/>
                <w:sz w:val="18"/>
              </w:rPr>
            </w:pPr>
            <w:r w:rsidRPr="003F101B">
              <w:rPr>
                <w:rFonts w:cs="Arial"/>
                <w:b/>
                <w:sz w:val="18"/>
              </w:rPr>
              <w:t>Total</w:t>
            </w:r>
          </w:p>
        </w:tc>
        <w:tc>
          <w:tcPr>
            <w:tcW w:w="1264" w:type="dxa"/>
            <w:tcBorders>
              <w:top w:val="single" w:sz="4" w:space="0" w:color="A8D08D" w:themeColor="accent6" w:themeTint="99"/>
              <w:bottom w:val="single" w:sz="4" w:space="0" w:color="A8D08D" w:themeColor="accent6" w:themeTint="99"/>
            </w:tcBorders>
          </w:tcPr>
          <w:p w14:paraId="5D983E25" w14:textId="77777777" w:rsidR="003D355F" w:rsidRDefault="00B776E0">
            <w:pPr>
              <w:spacing w:after="0"/>
              <w:jc w:val="right"/>
              <w:rPr>
                <w:rFonts w:cs="Arial"/>
                <w:sz w:val="18"/>
              </w:rPr>
            </w:pPr>
            <w:r w:rsidRPr="003F101B">
              <w:rPr>
                <w:rFonts w:cs="Arial"/>
                <w:sz w:val="18"/>
              </w:rPr>
              <w:t>AUD</w:t>
            </w:r>
          </w:p>
          <w:p w14:paraId="34950030" w14:textId="77777777" w:rsidR="003D355F" w:rsidRDefault="00B776E0">
            <w:pPr>
              <w:spacing w:after="0"/>
              <w:jc w:val="right"/>
              <w:rPr>
                <w:rFonts w:cs="Arial"/>
                <w:sz w:val="18"/>
              </w:rPr>
            </w:pPr>
            <w:r w:rsidRPr="003F101B">
              <w:rPr>
                <w:rFonts w:cs="Arial"/>
                <w:sz w:val="18"/>
              </w:rPr>
              <w:t>30,000</w:t>
            </w:r>
          </w:p>
          <w:p w14:paraId="5334F6BF" w14:textId="77777777" w:rsidR="003D355F" w:rsidRDefault="00B776E0">
            <w:pPr>
              <w:spacing w:after="0"/>
              <w:jc w:val="right"/>
              <w:rPr>
                <w:rFonts w:cs="Arial"/>
                <w:sz w:val="18"/>
              </w:rPr>
            </w:pPr>
            <w:r w:rsidRPr="003F101B">
              <w:rPr>
                <w:rFonts w:cs="Arial"/>
                <w:sz w:val="18"/>
              </w:rPr>
              <w:t>250,000</w:t>
            </w:r>
          </w:p>
          <w:p w14:paraId="31EAD7E7" w14:textId="77777777" w:rsidR="003D355F" w:rsidRDefault="00B776E0">
            <w:pPr>
              <w:spacing w:after="0"/>
              <w:jc w:val="right"/>
              <w:rPr>
                <w:rFonts w:cs="Arial"/>
                <w:sz w:val="18"/>
              </w:rPr>
            </w:pPr>
            <w:r w:rsidRPr="003F101B">
              <w:rPr>
                <w:rFonts w:cs="Arial"/>
                <w:sz w:val="18"/>
              </w:rPr>
              <w:t>430,000</w:t>
            </w:r>
          </w:p>
          <w:p w14:paraId="19697C95" w14:textId="77777777" w:rsidR="003D355F" w:rsidRDefault="00B776E0">
            <w:pPr>
              <w:spacing w:after="0"/>
              <w:jc w:val="right"/>
              <w:rPr>
                <w:rFonts w:cs="Arial"/>
                <w:sz w:val="18"/>
              </w:rPr>
            </w:pPr>
            <w:r w:rsidRPr="003F101B">
              <w:rPr>
                <w:rFonts w:cs="Arial"/>
                <w:sz w:val="18"/>
              </w:rPr>
              <w:t>300,000</w:t>
            </w:r>
          </w:p>
          <w:p w14:paraId="7EDD146D" w14:textId="77777777" w:rsidR="003D355F" w:rsidRDefault="00B776E0">
            <w:pPr>
              <w:spacing w:after="0"/>
              <w:jc w:val="right"/>
              <w:rPr>
                <w:rFonts w:cs="Arial"/>
                <w:sz w:val="18"/>
                <w:szCs w:val="20"/>
                <w:u w:val="single"/>
              </w:rPr>
            </w:pPr>
            <w:r w:rsidRPr="003F101B">
              <w:rPr>
                <w:rFonts w:cs="Arial"/>
                <w:sz w:val="18"/>
                <w:u w:val="single"/>
              </w:rPr>
              <w:t>1,100,000</w:t>
            </w:r>
          </w:p>
          <w:p w14:paraId="02659190" w14:textId="77777777" w:rsidR="003D355F" w:rsidRDefault="00B776E0">
            <w:pPr>
              <w:spacing w:after="0"/>
              <w:jc w:val="right"/>
              <w:rPr>
                <w:rFonts w:cs="Arial"/>
                <w:sz w:val="18"/>
                <w:szCs w:val="20"/>
              </w:rPr>
            </w:pPr>
            <w:r w:rsidRPr="003F101B">
              <w:rPr>
                <w:rFonts w:cs="Arial"/>
                <w:sz w:val="18"/>
              </w:rPr>
              <w:t>2,110,000</w:t>
            </w:r>
          </w:p>
        </w:tc>
        <w:tc>
          <w:tcPr>
            <w:tcW w:w="418" w:type="dxa"/>
            <w:tcBorders>
              <w:top w:val="single" w:sz="4" w:space="0" w:color="A8D08D" w:themeColor="accent6" w:themeTint="99"/>
              <w:bottom w:val="single" w:sz="4" w:space="0" w:color="A8D08D" w:themeColor="accent6" w:themeTint="99"/>
            </w:tcBorders>
          </w:tcPr>
          <w:p w14:paraId="0D8DED73" w14:textId="77777777" w:rsidR="00B776E0" w:rsidRPr="003F101B" w:rsidRDefault="00B776E0" w:rsidP="003F101B">
            <w:pPr>
              <w:spacing w:before="40" w:after="40"/>
              <w:rPr>
                <w:rFonts w:cs="Arial"/>
                <w:sz w:val="18"/>
              </w:rPr>
            </w:pPr>
          </w:p>
        </w:tc>
      </w:tr>
    </w:tbl>
    <w:p w14:paraId="7BEA97F8" w14:textId="77777777" w:rsidR="00B776E0" w:rsidRPr="002113B5" w:rsidRDefault="00B776E0" w:rsidP="00B776E0">
      <w:pPr>
        <w:rPr>
          <w:rFonts w:cs="Arial"/>
        </w:rPr>
      </w:pPr>
      <w:r w:rsidRPr="002113B5">
        <w:rPr>
          <w:rFonts w:cs="Arial"/>
        </w:rPr>
        <w:t xml:space="preserve">This partnership is also relatively new following the shift of hospitality training from Nadi to Suva. USP is in the process of building its TVET provision on a fee-for-service basis and mostly in low cost areas. The introduction of hospitality training is the first resource-intensive area of training to be introduced. Once established, the partnership will mostly involve parallel delivery with USP running its own programs under its own accreditation. </w:t>
      </w:r>
    </w:p>
    <w:p w14:paraId="2CB0D8EB" w14:textId="77777777" w:rsidR="000B3CF4" w:rsidRDefault="000B3CF4" w:rsidP="00B776E0">
      <w:pPr>
        <w:rPr>
          <w:rFonts w:cs="Arial"/>
          <w:b/>
          <w:bCs/>
          <w:color w:val="76923C"/>
        </w:rPr>
      </w:pPr>
    </w:p>
    <w:p w14:paraId="71D4F7E2" w14:textId="19A2721C" w:rsidR="00B776E0" w:rsidRDefault="000E1B75" w:rsidP="00B776E0">
      <w:pPr>
        <w:rPr>
          <w:rFonts w:cs="Arial"/>
          <w:b/>
          <w:bCs/>
          <w:color w:val="76923C"/>
        </w:rPr>
      </w:pPr>
      <w:r w:rsidRPr="009F0D35">
        <w:rPr>
          <w:rFonts w:cs="Arial"/>
          <w:b/>
          <w:bCs/>
          <w:color w:val="76923C"/>
        </w:rPr>
        <w:t>PAPUA NEW GUINEA</w:t>
      </w:r>
    </w:p>
    <w:p w14:paraId="21D2BD32" w14:textId="77777777" w:rsidR="000B3CF4" w:rsidRPr="002113B5" w:rsidRDefault="000B3CF4" w:rsidP="000B3CF4">
      <w:pPr>
        <w:rPr>
          <w:rFonts w:cs="Arial"/>
        </w:rPr>
      </w:pPr>
      <w:r w:rsidRPr="002113B5">
        <w:rPr>
          <w:rFonts w:cs="Arial"/>
        </w:rPr>
        <w:t xml:space="preserve">The partnership involves both APTC-specific facilities on leased land and shared facilities with POMTECH that have been upgraded through APTC investment. A new jointly-funded </w:t>
      </w:r>
      <w:r>
        <w:rPr>
          <w:rFonts w:cs="Arial"/>
        </w:rPr>
        <w:t>a</w:t>
      </w:r>
      <w:r w:rsidRPr="002113B5">
        <w:rPr>
          <w:rFonts w:cs="Arial"/>
        </w:rPr>
        <w:t xml:space="preserve">utomotive workshop designed for joint use was underway at the time of the field visit. An interesting feature of the partnership was support provided by APTC staff in proposal/tender writing which had assisted POMTECH to be successful in gaining funding for an urban youth employment program for 1000 students. This initiative also incorporated training in financial management and accountability. The </w:t>
      </w:r>
      <w:r>
        <w:rPr>
          <w:rFonts w:cs="Arial"/>
        </w:rPr>
        <w:t>Letter of Agreement (</w:t>
      </w:r>
      <w:r w:rsidRPr="002113B5">
        <w:rPr>
          <w:rFonts w:cs="Arial"/>
        </w:rPr>
        <w:t>LOA</w:t>
      </w:r>
      <w:r>
        <w:rPr>
          <w:rFonts w:cs="Arial"/>
        </w:rPr>
        <w:t>)</w:t>
      </w:r>
      <w:r w:rsidRPr="002113B5">
        <w:rPr>
          <w:rFonts w:cs="Arial"/>
        </w:rPr>
        <w:t xml:space="preserve"> is an extension of an earlier one, signed in December 2008.</w:t>
      </w:r>
    </w:p>
    <w:p w14:paraId="20D8376B" w14:textId="77777777" w:rsidR="000B3CF4" w:rsidRPr="003F101B" w:rsidRDefault="000B3CF4" w:rsidP="00B776E0">
      <w:pPr>
        <w:rPr>
          <w:rFonts w:cs="Arial"/>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3844"/>
        <w:gridCol w:w="1729"/>
        <w:gridCol w:w="398"/>
      </w:tblGrid>
      <w:tr w:rsidR="00B776E0" w:rsidRPr="00F72173" w14:paraId="4F76C731" w14:textId="77777777" w:rsidTr="00E378DA">
        <w:tc>
          <w:tcPr>
            <w:tcW w:w="8715" w:type="dxa"/>
            <w:gridSpan w:val="4"/>
            <w:shd w:val="clear" w:color="auto" w:fill="C5E0B3" w:themeFill="accent6" w:themeFillTint="66"/>
          </w:tcPr>
          <w:p w14:paraId="12367D6F" w14:textId="77777777" w:rsidR="00B776E0" w:rsidRPr="00F72173" w:rsidRDefault="00B776E0" w:rsidP="003F101B">
            <w:pPr>
              <w:spacing w:before="40" w:after="40"/>
              <w:rPr>
                <w:rFonts w:cs="Arial"/>
                <w:b/>
                <w:sz w:val="18"/>
              </w:rPr>
            </w:pPr>
            <w:r w:rsidRPr="00F72173">
              <w:rPr>
                <w:rFonts w:cs="Arial"/>
                <w:b/>
                <w:sz w:val="18"/>
              </w:rPr>
              <w:t>Partner Institution: Port Moresby Technical College (POMTECH)</w:t>
            </w:r>
          </w:p>
        </w:tc>
      </w:tr>
      <w:tr w:rsidR="00B776E0" w:rsidRPr="003F101B" w14:paraId="78E93450" w14:textId="77777777" w:rsidTr="00E378DA">
        <w:tc>
          <w:tcPr>
            <w:tcW w:w="2376" w:type="dxa"/>
            <w:tcBorders>
              <w:bottom w:val="single" w:sz="4" w:space="0" w:color="A8D08D" w:themeColor="accent6" w:themeTint="99"/>
            </w:tcBorders>
          </w:tcPr>
          <w:p w14:paraId="1AC481AA" w14:textId="77777777" w:rsidR="00B776E0" w:rsidRPr="003F101B" w:rsidRDefault="00B776E0" w:rsidP="003F101B">
            <w:pPr>
              <w:spacing w:before="40" w:after="40"/>
              <w:rPr>
                <w:rFonts w:cs="Arial"/>
                <w:sz w:val="18"/>
              </w:rPr>
            </w:pPr>
            <w:r w:rsidRPr="003F101B">
              <w:rPr>
                <w:rFonts w:cs="Arial"/>
                <w:sz w:val="18"/>
              </w:rPr>
              <w:t>Sector</w:t>
            </w:r>
          </w:p>
        </w:tc>
        <w:tc>
          <w:tcPr>
            <w:tcW w:w="6339" w:type="dxa"/>
            <w:gridSpan w:val="3"/>
            <w:tcBorders>
              <w:bottom w:val="single" w:sz="4" w:space="0" w:color="A8D08D" w:themeColor="accent6" w:themeTint="99"/>
            </w:tcBorders>
          </w:tcPr>
          <w:p w14:paraId="7FAF0895" w14:textId="77777777" w:rsidR="00B776E0" w:rsidRPr="003F101B" w:rsidRDefault="00B776E0" w:rsidP="003F101B">
            <w:pPr>
              <w:spacing w:before="40" w:after="40"/>
              <w:rPr>
                <w:rFonts w:cs="Arial"/>
                <w:sz w:val="18"/>
              </w:rPr>
            </w:pPr>
            <w:r w:rsidRPr="003F101B">
              <w:rPr>
                <w:rFonts w:cs="Arial"/>
                <w:sz w:val="18"/>
              </w:rPr>
              <w:t>Technical Institution</w:t>
            </w:r>
          </w:p>
        </w:tc>
      </w:tr>
      <w:tr w:rsidR="00B776E0" w:rsidRPr="003F101B" w14:paraId="3F0A2B6F" w14:textId="77777777" w:rsidTr="00E378DA">
        <w:tc>
          <w:tcPr>
            <w:tcW w:w="2376" w:type="dxa"/>
            <w:tcBorders>
              <w:top w:val="single" w:sz="4" w:space="0" w:color="A8D08D" w:themeColor="accent6" w:themeTint="99"/>
              <w:bottom w:val="single" w:sz="4" w:space="0" w:color="A8D08D" w:themeColor="accent6" w:themeTint="99"/>
            </w:tcBorders>
          </w:tcPr>
          <w:p w14:paraId="2588C864" w14:textId="77777777" w:rsidR="00B776E0" w:rsidRPr="003F101B" w:rsidRDefault="00B776E0" w:rsidP="00E74721">
            <w:pPr>
              <w:spacing w:before="40" w:after="40"/>
              <w:rPr>
                <w:rFonts w:cs="Arial"/>
                <w:sz w:val="18"/>
              </w:rPr>
            </w:pPr>
            <w:r w:rsidRPr="003F101B">
              <w:rPr>
                <w:rFonts w:cs="Arial"/>
                <w:sz w:val="18"/>
              </w:rPr>
              <w:t xml:space="preserve">Description of </w:t>
            </w:r>
            <w:r w:rsidR="00E74721">
              <w:rPr>
                <w:rFonts w:cs="Arial"/>
                <w:sz w:val="18"/>
              </w:rPr>
              <w:t>p</w:t>
            </w:r>
            <w:r w:rsidR="00E74721" w:rsidRPr="003F101B">
              <w:rPr>
                <w:rFonts w:cs="Arial"/>
                <w:sz w:val="18"/>
              </w:rPr>
              <w:t>artner</w:t>
            </w:r>
          </w:p>
        </w:tc>
        <w:tc>
          <w:tcPr>
            <w:tcW w:w="6339" w:type="dxa"/>
            <w:gridSpan w:val="3"/>
            <w:tcBorders>
              <w:top w:val="single" w:sz="4" w:space="0" w:color="A8D08D" w:themeColor="accent6" w:themeTint="99"/>
              <w:bottom w:val="single" w:sz="4" w:space="0" w:color="A8D08D" w:themeColor="accent6" w:themeTint="99"/>
            </w:tcBorders>
          </w:tcPr>
          <w:p w14:paraId="0B7C6A64" w14:textId="77777777" w:rsidR="00B776E0" w:rsidRPr="003F101B" w:rsidRDefault="00B776E0" w:rsidP="00106843">
            <w:pPr>
              <w:spacing w:before="40" w:after="40"/>
              <w:rPr>
                <w:rFonts w:cs="Arial"/>
                <w:sz w:val="18"/>
              </w:rPr>
            </w:pPr>
            <w:r w:rsidRPr="003F101B">
              <w:rPr>
                <w:rFonts w:cs="Arial"/>
                <w:sz w:val="18"/>
                <w:lang w:val="en-US"/>
              </w:rPr>
              <w:t xml:space="preserve">Port Moresby Technical College (POMTECH) is one of the two biggest government technical colleges in Papua New Guinea. Established in 1947 as a Technical Training Centre, Port Moresby Technical College is now one of the eight technical colleges in the country </w:t>
            </w:r>
            <w:r w:rsidR="00106843" w:rsidRPr="003F101B">
              <w:rPr>
                <w:rFonts w:cs="Arial"/>
                <w:sz w:val="18"/>
                <w:lang w:val="en-US"/>
              </w:rPr>
              <w:t>speciali</w:t>
            </w:r>
            <w:r w:rsidR="00106843">
              <w:rPr>
                <w:rFonts w:cs="Arial"/>
                <w:sz w:val="18"/>
                <w:lang w:val="en-US"/>
              </w:rPr>
              <w:t>s</w:t>
            </w:r>
            <w:r w:rsidR="00106843" w:rsidRPr="003F101B">
              <w:rPr>
                <w:rFonts w:cs="Arial"/>
                <w:sz w:val="18"/>
                <w:lang w:val="en-US"/>
              </w:rPr>
              <w:t xml:space="preserve">ing </w:t>
            </w:r>
            <w:r w:rsidRPr="003F101B">
              <w:rPr>
                <w:rFonts w:cs="Arial"/>
                <w:sz w:val="18"/>
                <w:lang w:val="en-US"/>
              </w:rPr>
              <w:t xml:space="preserve">in </w:t>
            </w:r>
            <w:r w:rsidR="00106843">
              <w:rPr>
                <w:rFonts w:cs="Arial"/>
                <w:sz w:val="18"/>
                <w:lang w:val="en-US"/>
              </w:rPr>
              <w:t>10</w:t>
            </w:r>
            <w:r w:rsidR="00106843" w:rsidRPr="003F101B">
              <w:rPr>
                <w:rFonts w:cs="Arial"/>
                <w:sz w:val="18"/>
                <w:lang w:val="en-US"/>
              </w:rPr>
              <w:t xml:space="preserve"> </w:t>
            </w:r>
            <w:r w:rsidRPr="003F101B">
              <w:rPr>
                <w:rFonts w:cs="Arial"/>
                <w:sz w:val="18"/>
                <w:lang w:val="en-US"/>
              </w:rPr>
              <w:t xml:space="preserve">trade areas. </w:t>
            </w:r>
            <w:r w:rsidRPr="003F101B">
              <w:rPr>
                <w:rFonts w:cs="Arial"/>
                <w:sz w:val="18"/>
              </w:rPr>
              <w:t xml:space="preserve"> </w:t>
            </w:r>
          </w:p>
        </w:tc>
      </w:tr>
      <w:tr w:rsidR="00B776E0" w:rsidRPr="003F101B" w14:paraId="24BC8364" w14:textId="77777777" w:rsidTr="00E378DA">
        <w:tc>
          <w:tcPr>
            <w:tcW w:w="2376" w:type="dxa"/>
            <w:tcBorders>
              <w:top w:val="single" w:sz="4" w:space="0" w:color="A8D08D" w:themeColor="accent6" w:themeTint="99"/>
              <w:bottom w:val="single" w:sz="4" w:space="0" w:color="A8D08D" w:themeColor="accent6" w:themeTint="99"/>
            </w:tcBorders>
          </w:tcPr>
          <w:p w14:paraId="04312881" w14:textId="77777777" w:rsidR="00B776E0" w:rsidRPr="003F101B" w:rsidRDefault="00B776E0" w:rsidP="00E74721">
            <w:pPr>
              <w:spacing w:before="40" w:after="40"/>
              <w:rPr>
                <w:rFonts w:cs="Arial"/>
                <w:sz w:val="18"/>
              </w:rPr>
            </w:pPr>
            <w:r w:rsidRPr="003F101B">
              <w:rPr>
                <w:rFonts w:cs="Arial"/>
                <w:sz w:val="18"/>
              </w:rPr>
              <w:t xml:space="preserve">Date of </w:t>
            </w:r>
            <w:r w:rsidR="00E74721">
              <w:rPr>
                <w:rFonts w:cs="Arial"/>
                <w:sz w:val="18"/>
              </w:rPr>
              <w:t>a</w:t>
            </w:r>
            <w:r w:rsidR="00E74721" w:rsidRPr="003F101B">
              <w:rPr>
                <w:rFonts w:cs="Arial"/>
                <w:sz w:val="18"/>
              </w:rPr>
              <w:t>greement</w:t>
            </w:r>
          </w:p>
        </w:tc>
        <w:tc>
          <w:tcPr>
            <w:tcW w:w="6339" w:type="dxa"/>
            <w:gridSpan w:val="3"/>
            <w:tcBorders>
              <w:top w:val="single" w:sz="4" w:space="0" w:color="A8D08D" w:themeColor="accent6" w:themeTint="99"/>
              <w:bottom w:val="single" w:sz="4" w:space="0" w:color="A8D08D" w:themeColor="accent6" w:themeTint="99"/>
            </w:tcBorders>
          </w:tcPr>
          <w:p w14:paraId="6CEB94E8" w14:textId="77777777" w:rsidR="00B776E0" w:rsidRPr="003F101B" w:rsidRDefault="00B776E0" w:rsidP="003F101B">
            <w:pPr>
              <w:spacing w:before="40" w:after="40"/>
              <w:rPr>
                <w:rFonts w:cs="Arial"/>
                <w:sz w:val="18"/>
              </w:rPr>
            </w:pPr>
            <w:r w:rsidRPr="003F101B">
              <w:rPr>
                <w:rFonts w:cs="Arial"/>
                <w:sz w:val="18"/>
              </w:rPr>
              <w:t>02.06.2012</w:t>
            </w:r>
          </w:p>
        </w:tc>
      </w:tr>
      <w:tr w:rsidR="00B776E0" w:rsidRPr="003F101B" w14:paraId="34B1E247" w14:textId="77777777" w:rsidTr="00E378DA">
        <w:tc>
          <w:tcPr>
            <w:tcW w:w="2376" w:type="dxa"/>
            <w:tcBorders>
              <w:top w:val="single" w:sz="4" w:space="0" w:color="A8D08D" w:themeColor="accent6" w:themeTint="99"/>
              <w:bottom w:val="single" w:sz="4" w:space="0" w:color="A8D08D" w:themeColor="accent6" w:themeTint="99"/>
            </w:tcBorders>
          </w:tcPr>
          <w:p w14:paraId="6F095796" w14:textId="77777777" w:rsidR="00B776E0" w:rsidRPr="003F101B" w:rsidRDefault="00B776E0" w:rsidP="00E74721">
            <w:pPr>
              <w:spacing w:before="40" w:after="40"/>
              <w:rPr>
                <w:rFonts w:cs="Arial"/>
                <w:sz w:val="18"/>
              </w:rPr>
            </w:pPr>
            <w:r w:rsidRPr="003F101B">
              <w:rPr>
                <w:rFonts w:cs="Arial"/>
                <w:sz w:val="18"/>
              </w:rPr>
              <w:t xml:space="preserve">Date of </w:t>
            </w:r>
            <w:r w:rsidR="00E74721">
              <w:rPr>
                <w:rFonts w:cs="Arial"/>
                <w:sz w:val="18"/>
              </w:rPr>
              <w:t>t</w:t>
            </w:r>
            <w:r w:rsidR="00E74721" w:rsidRPr="003F101B">
              <w:rPr>
                <w:rFonts w:cs="Arial"/>
                <w:sz w:val="18"/>
              </w:rPr>
              <w:t xml:space="preserve">ermination </w:t>
            </w:r>
          </w:p>
        </w:tc>
        <w:tc>
          <w:tcPr>
            <w:tcW w:w="6339" w:type="dxa"/>
            <w:gridSpan w:val="3"/>
            <w:tcBorders>
              <w:top w:val="single" w:sz="4" w:space="0" w:color="A8D08D" w:themeColor="accent6" w:themeTint="99"/>
              <w:bottom w:val="single" w:sz="4" w:space="0" w:color="A8D08D" w:themeColor="accent6" w:themeTint="99"/>
            </w:tcBorders>
          </w:tcPr>
          <w:p w14:paraId="5472018A" w14:textId="77777777" w:rsidR="00B776E0" w:rsidRPr="003F101B" w:rsidRDefault="00B776E0" w:rsidP="003F101B">
            <w:pPr>
              <w:spacing w:before="40" w:after="40"/>
              <w:rPr>
                <w:rFonts w:cs="Arial"/>
                <w:sz w:val="18"/>
              </w:rPr>
            </w:pPr>
            <w:r w:rsidRPr="003F101B">
              <w:rPr>
                <w:rFonts w:cs="Arial"/>
                <w:sz w:val="18"/>
              </w:rPr>
              <w:t>30.06.15</w:t>
            </w:r>
          </w:p>
        </w:tc>
      </w:tr>
      <w:tr w:rsidR="00B776E0" w:rsidRPr="003F101B" w14:paraId="6EC282E7" w14:textId="77777777" w:rsidTr="00E378DA">
        <w:tc>
          <w:tcPr>
            <w:tcW w:w="2376" w:type="dxa"/>
            <w:tcBorders>
              <w:top w:val="single" w:sz="4" w:space="0" w:color="A8D08D" w:themeColor="accent6" w:themeTint="99"/>
              <w:bottom w:val="single" w:sz="4" w:space="0" w:color="A8D08D" w:themeColor="accent6" w:themeTint="99"/>
            </w:tcBorders>
          </w:tcPr>
          <w:p w14:paraId="27427AC9" w14:textId="08006E86" w:rsidR="00B776E0" w:rsidRPr="003F101B" w:rsidRDefault="00B776E0" w:rsidP="00E74721">
            <w:pPr>
              <w:spacing w:before="40" w:after="40"/>
              <w:rPr>
                <w:rFonts w:cs="Arial"/>
                <w:sz w:val="18"/>
              </w:rPr>
            </w:pPr>
            <w:r w:rsidRPr="003F101B">
              <w:rPr>
                <w:rFonts w:cs="Arial"/>
                <w:sz w:val="18"/>
              </w:rPr>
              <w:t xml:space="preserve">LOA </w:t>
            </w:r>
            <w:r w:rsidR="00E74721">
              <w:rPr>
                <w:rFonts w:cs="Arial"/>
                <w:sz w:val="18"/>
              </w:rPr>
              <w:t>d</w:t>
            </w:r>
            <w:r w:rsidR="00E74721" w:rsidRPr="003F101B">
              <w:rPr>
                <w:rFonts w:cs="Arial"/>
                <w:sz w:val="18"/>
              </w:rPr>
              <w:t xml:space="preserve">escription </w:t>
            </w:r>
            <w:r w:rsidRPr="003F101B">
              <w:rPr>
                <w:rFonts w:cs="Arial"/>
                <w:sz w:val="18"/>
              </w:rPr>
              <w:t xml:space="preserve">of </w:t>
            </w:r>
            <w:r w:rsidR="000E1B75">
              <w:rPr>
                <w:rFonts w:cs="Arial"/>
                <w:sz w:val="18"/>
              </w:rPr>
              <w:br/>
            </w:r>
            <w:r w:rsidRPr="003F101B">
              <w:rPr>
                <w:rFonts w:cs="Arial"/>
                <w:sz w:val="18"/>
              </w:rPr>
              <w:t xml:space="preserve">APTC support </w:t>
            </w:r>
          </w:p>
        </w:tc>
        <w:tc>
          <w:tcPr>
            <w:tcW w:w="6339" w:type="dxa"/>
            <w:gridSpan w:val="3"/>
            <w:tcBorders>
              <w:top w:val="single" w:sz="4" w:space="0" w:color="A8D08D" w:themeColor="accent6" w:themeTint="99"/>
              <w:bottom w:val="single" w:sz="4" w:space="0" w:color="A8D08D" w:themeColor="accent6" w:themeTint="99"/>
            </w:tcBorders>
          </w:tcPr>
          <w:p w14:paraId="3C6D4550" w14:textId="77777777" w:rsidR="00B776E0" w:rsidRPr="003F101B" w:rsidRDefault="00B776E0" w:rsidP="003F101B">
            <w:pPr>
              <w:spacing w:before="40" w:after="40"/>
              <w:rPr>
                <w:rFonts w:cs="Arial"/>
                <w:sz w:val="18"/>
              </w:rPr>
            </w:pPr>
            <w:r w:rsidRPr="003F101B">
              <w:rPr>
                <w:rFonts w:cs="Arial"/>
                <w:sz w:val="18"/>
              </w:rPr>
              <w:t>Provision of resources and funding for:</w:t>
            </w:r>
          </w:p>
          <w:p w14:paraId="4708F52A" w14:textId="77777777" w:rsidR="00B776E0" w:rsidRPr="003F101B" w:rsidRDefault="00B776E0" w:rsidP="00260880">
            <w:pPr>
              <w:numPr>
                <w:ilvl w:val="0"/>
                <w:numId w:val="35"/>
              </w:numPr>
              <w:spacing w:before="40" w:after="40"/>
              <w:rPr>
                <w:rFonts w:cs="Arial"/>
                <w:sz w:val="18"/>
              </w:rPr>
            </w:pPr>
            <w:r w:rsidRPr="003F101B">
              <w:rPr>
                <w:rFonts w:cs="Arial"/>
                <w:sz w:val="18"/>
              </w:rPr>
              <w:t>Payment for the lease of land upon which APTC facilities sit</w:t>
            </w:r>
          </w:p>
          <w:p w14:paraId="3DB223B3" w14:textId="77777777" w:rsidR="00B776E0" w:rsidRPr="003F101B" w:rsidRDefault="00B776E0" w:rsidP="00260880">
            <w:pPr>
              <w:numPr>
                <w:ilvl w:val="0"/>
                <w:numId w:val="35"/>
              </w:numPr>
              <w:spacing w:before="40" w:after="40"/>
              <w:rPr>
                <w:rFonts w:cs="Arial"/>
                <w:sz w:val="18"/>
              </w:rPr>
            </w:pPr>
            <w:r w:rsidRPr="003F101B">
              <w:rPr>
                <w:rFonts w:cs="Arial"/>
                <w:sz w:val="18"/>
              </w:rPr>
              <w:t>Payment for utilities and communication costs</w:t>
            </w:r>
          </w:p>
          <w:p w14:paraId="761062E4" w14:textId="77777777" w:rsidR="00B776E0" w:rsidRPr="003F101B" w:rsidRDefault="00B776E0" w:rsidP="00260880">
            <w:pPr>
              <w:numPr>
                <w:ilvl w:val="0"/>
                <w:numId w:val="35"/>
              </w:numPr>
              <w:spacing w:before="40" w:after="40"/>
              <w:rPr>
                <w:rFonts w:cs="Arial"/>
                <w:sz w:val="18"/>
              </w:rPr>
            </w:pPr>
            <w:r w:rsidRPr="003F101B">
              <w:rPr>
                <w:rFonts w:cs="Arial"/>
                <w:sz w:val="18"/>
              </w:rPr>
              <w:t>A contribution to the refurbishment of the POMTECH trades facilities which may include Automotive/Diesel and Engineering/Metals</w:t>
            </w:r>
          </w:p>
          <w:p w14:paraId="6DAEAF00" w14:textId="77777777" w:rsidR="00B776E0" w:rsidRPr="003F101B" w:rsidRDefault="00B776E0" w:rsidP="00260880">
            <w:pPr>
              <w:numPr>
                <w:ilvl w:val="0"/>
                <w:numId w:val="35"/>
              </w:numPr>
              <w:spacing w:before="40" w:after="40"/>
              <w:rPr>
                <w:rFonts w:cs="Arial"/>
                <w:sz w:val="18"/>
              </w:rPr>
            </w:pPr>
            <w:r w:rsidRPr="003F101B">
              <w:rPr>
                <w:rFonts w:cs="Arial"/>
                <w:sz w:val="18"/>
              </w:rPr>
              <w:t>A contribution the an assets maintenance fund</w:t>
            </w:r>
          </w:p>
          <w:p w14:paraId="617C7BAC" w14:textId="77777777" w:rsidR="00B776E0" w:rsidRPr="003F101B" w:rsidRDefault="00B776E0" w:rsidP="00260880">
            <w:pPr>
              <w:numPr>
                <w:ilvl w:val="0"/>
                <w:numId w:val="35"/>
              </w:numPr>
              <w:spacing w:before="40" w:after="40"/>
              <w:rPr>
                <w:rFonts w:cs="Arial"/>
                <w:sz w:val="18"/>
              </w:rPr>
            </w:pPr>
            <w:r w:rsidRPr="003F101B">
              <w:rPr>
                <w:rFonts w:cs="Arial"/>
                <w:sz w:val="18"/>
              </w:rPr>
              <w:t xml:space="preserve">A contribution to a capacity building strategy in six key areas </w:t>
            </w:r>
          </w:p>
          <w:p w14:paraId="7FA16C3E" w14:textId="77777777" w:rsidR="00B776E0" w:rsidRPr="003F101B" w:rsidRDefault="00B776E0" w:rsidP="00260880">
            <w:pPr>
              <w:numPr>
                <w:ilvl w:val="0"/>
                <w:numId w:val="35"/>
              </w:numPr>
              <w:spacing w:before="40" w:after="40"/>
              <w:rPr>
                <w:rFonts w:cs="Arial"/>
                <w:sz w:val="18"/>
              </w:rPr>
            </w:pPr>
            <w:r w:rsidRPr="003F101B">
              <w:rPr>
                <w:rFonts w:cs="Arial"/>
                <w:sz w:val="18"/>
              </w:rPr>
              <w:t>Site redevelopment plans</w:t>
            </w:r>
          </w:p>
        </w:tc>
      </w:tr>
      <w:tr w:rsidR="00B776E0" w:rsidRPr="003F101B" w14:paraId="06B88911" w14:textId="77777777" w:rsidTr="00E378DA">
        <w:tc>
          <w:tcPr>
            <w:tcW w:w="2376" w:type="dxa"/>
            <w:tcBorders>
              <w:top w:val="single" w:sz="4" w:space="0" w:color="A8D08D" w:themeColor="accent6" w:themeTint="99"/>
              <w:bottom w:val="single" w:sz="4" w:space="0" w:color="A8D08D" w:themeColor="accent6" w:themeTint="99"/>
            </w:tcBorders>
          </w:tcPr>
          <w:p w14:paraId="3724C5D7" w14:textId="77777777" w:rsidR="00B776E0" w:rsidRPr="003F101B" w:rsidRDefault="00B776E0" w:rsidP="003F101B">
            <w:pPr>
              <w:spacing w:before="40" w:after="40"/>
              <w:rPr>
                <w:rFonts w:cs="Arial"/>
                <w:sz w:val="18"/>
              </w:rPr>
            </w:pPr>
            <w:r w:rsidRPr="003F101B">
              <w:rPr>
                <w:rFonts w:cs="Arial"/>
                <w:sz w:val="18"/>
              </w:rPr>
              <w:t>APTC investment</w:t>
            </w:r>
          </w:p>
        </w:tc>
        <w:tc>
          <w:tcPr>
            <w:tcW w:w="4113" w:type="dxa"/>
            <w:tcBorders>
              <w:top w:val="single" w:sz="4" w:space="0" w:color="A8D08D" w:themeColor="accent6" w:themeTint="99"/>
              <w:bottom w:val="single" w:sz="4" w:space="0" w:color="A8D08D" w:themeColor="accent6" w:themeTint="99"/>
            </w:tcBorders>
          </w:tcPr>
          <w:p w14:paraId="18C68E91" w14:textId="77777777" w:rsidR="00B776E0" w:rsidRPr="003F101B" w:rsidRDefault="00B776E0" w:rsidP="003F101B">
            <w:pPr>
              <w:spacing w:before="40" w:after="40"/>
              <w:rPr>
                <w:rFonts w:cs="Arial"/>
                <w:sz w:val="18"/>
              </w:rPr>
            </w:pPr>
          </w:p>
          <w:p w14:paraId="145812C4" w14:textId="77777777" w:rsidR="00B776E0" w:rsidRPr="003F101B" w:rsidRDefault="00B776E0" w:rsidP="003F101B">
            <w:pPr>
              <w:spacing w:before="40" w:after="40"/>
              <w:rPr>
                <w:rFonts w:cs="Arial"/>
                <w:sz w:val="18"/>
              </w:rPr>
            </w:pPr>
            <w:r w:rsidRPr="003F101B">
              <w:rPr>
                <w:rFonts w:cs="Arial"/>
                <w:sz w:val="18"/>
              </w:rPr>
              <w:t>Lease of land</w:t>
            </w:r>
          </w:p>
          <w:p w14:paraId="11D4A4A0" w14:textId="77777777" w:rsidR="00B776E0" w:rsidRPr="003F101B" w:rsidRDefault="00B776E0" w:rsidP="003F101B">
            <w:pPr>
              <w:spacing w:before="40" w:after="40"/>
              <w:rPr>
                <w:rFonts w:cs="Arial"/>
                <w:sz w:val="18"/>
              </w:rPr>
            </w:pPr>
            <w:r w:rsidRPr="003F101B">
              <w:rPr>
                <w:rFonts w:cs="Arial"/>
                <w:sz w:val="18"/>
              </w:rPr>
              <w:t>Utilities</w:t>
            </w:r>
          </w:p>
          <w:p w14:paraId="25BC432D" w14:textId="77777777" w:rsidR="00B776E0" w:rsidRPr="003F101B" w:rsidRDefault="00B776E0" w:rsidP="003F101B">
            <w:pPr>
              <w:spacing w:before="40" w:after="40"/>
              <w:rPr>
                <w:rFonts w:cs="Arial"/>
                <w:sz w:val="18"/>
              </w:rPr>
            </w:pPr>
            <w:r w:rsidRPr="003F101B">
              <w:rPr>
                <w:rFonts w:cs="Arial"/>
                <w:sz w:val="18"/>
              </w:rPr>
              <w:t>Trade facilities refurbishment</w:t>
            </w:r>
          </w:p>
          <w:p w14:paraId="4269DFE7" w14:textId="77777777" w:rsidR="00B776E0" w:rsidRPr="003F101B" w:rsidRDefault="00B776E0" w:rsidP="003F101B">
            <w:pPr>
              <w:spacing w:before="40" w:after="40"/>
              <w:rPr>
                <w:rFonts w:cs="Arial"/>
                <w:sz w:val="18"/>
              </w:rPr>
            </w:pPr>
            <w:r w:rsidRPr="003F101B">
              <w:rPr>
                <w:rFonts w:cs="Arial"/>
                <w:sz w:val="18"/>
              </w:rPr>
              <w:t>Asset maintenance</w:t>
            </w:r>
          </w:p>
          <w:p w14:paraId="72BF707D" w14:textId="77777777" w:rsidR="00B776E0" w:rsidRPr="003F101B" w:rsidRDefault="00B776E0" w:rsidP="003F101B">
            <w:pPr>
              <w:spacing w:before="40" w:after="40"/>
              <w:rPr>
                <w:rFonts w:cs="Arial"/>
                <w:sz w:val="18"/>
              </w:rPr>
            </w:pPr>
            <w:r w:rsidRPr="003F101B">
              <w:rPr>
                <w:rFonts w:cs="Arial"/>
                <w:sz w:val="18"/>
              </w:rPr>
              <w:t>Capacity-building</w:t>
            </w:r>
          </w:p>
          <w:p w14:paraId="354B67DE" w14:textId="77777777" w:rsidR="00B776E0" w:rsidRPr="003F101B" w:rsidRDefault="00B776E0" w:rsidP="003F101B">
            <w:pPr>
              <w:spacing w:before="40" w:after="40"/>
              <w:rPr>
                <w:rFonts w:cs="Arial"/>
                <w:sz w:val="18"/>
              </w:rPr>
            </w:pPr>
            <w:r w:rsidRPr="003F101B">
              <w:rPr>
                <w:rFonts w:cs="Arial"/>
                <w:sz w:val="18"/>
              </w:rPr>
              <w:t xml:space="preserve">Site redevelopment </w:t>
            </w:r>
          </w:p>
          <w:p w14:paraId="28DC7E40" w14:textId="77777777" w:rsidR="00B776E0" w:rsidRPr="003F101B" w:rsidRDefault="00B776E0" w:rsidP="003F101B">
            <w:pPr>
              <w:spacing w:before="40" w:after="40"/>
              <w:rPr>
                <w:rFonts w:cs="Arial"/>
                <w:sz w:val="18"/>
              </w:rPr>
            </w:pPr>
            <w:r w:rsidRPr="003F101B">
              <w:rPr>
                <w:rFonts w:cs="Arial"/>
                <w:sz w:val="18"/>
              </w:rPr>
              <w:t>Staff housing (in-kind)</w:t>
            </w:r>
          </w:p>
          <w:p w14:paraId="2DE4257B" w14:textId="77777777" w:rsidR="00B776E0" w:rsidRPr="003F101B" w:rsidRDefault="00B776E0" w:rsidP="003F101B">
            <w:pPr>
              <w:spacing w:before="40" w:after="40"/>
              <w:rPr>
                <w:rFonts w:cs="Arial"/>
                <w:b/>
                <w:sz w:val="18"/>
              </w:rPr>
            </w:pPr>
            <w:r w:rsidRPr="003F101B">
              <w:rPr>
                <w:rFonts w:cs="Arial"/>
                <w:b/>
                <w:sz w:val="18"/>
              </w:rPr>
              <w:t>Total</w:t>
            </w:r>
          </w:p>
        </w:tc>
        <w:tc>
          <w:tcPr>
            <w:tcW w:w="1808" w:type="dxa"/>
            <w:tcBorders>
              <w:top w:val="single" w:sz="4" w:space="0" w:color="A8D08D" w:themeColor="accent6" w:themeTint="99"/>
              <w:bottom w:val="single" w:sz="4" w:space="0" w:color="A8D08D" w:themeColor="accent6" w:themeTint="99"/>
            </w:tcBorders>
          </w:tcPr>
          <w:p w14:paraId="247EBD6C" w14:textId="77777777" w:rsidR="00B776E0" w:rsidRPr="003F101B" w:rsidRDefault="00B776E0" w:rsidP="003F101B">
            <w:pPr>
              <w:spacing w:before="40" w:after="40"/>
              <w:jc w:val="right"/>
              <w:rPr>
                <w:rFonts w:cs="Arial"/>
                <w:sz w:val="18"/>
              </w:rPr>
            </w:pPr>
            <w:r w:rsidRPr="003F101B">
              <w:rPr>
                <w:rFonts w:cs="Arial"/>
                <w:sz w:val="18"/>
              </w:rPr>
              <w:t xml:space="preserve">AUD  </w:t>
            </w:r>
          </w:p>
          <w:p w14:paraId="2D3594A1" w14:textId="77777777" w:rsidR="00B776E0" w:rsidRPr="003F101B" w:rsidRDefault="00B776E0" w:rsidP="003F101B">
            <w:pPr>
              <w:spacing w:before="40" w:after="40"/>
              <w:jc w:val="right"/>
              <w:rPr>
                <w:rFonts w:cs="Arial"/>
                <w:sz w:val="18"/>
              </w:rPr>
            </w:pPr>
            <w:r w:rsidRPr="003F101B">
              <w:rPr>
                <w:rFonts w:cs="Arial"/>
                <w:sz w:val="18"/>
              </w:rPr>
              <w:t>200,000</w:t>
            </w:r>
          </w:p>
          <w:p w14:paraId="7B93A765" w14:textId="77777777" w:rsidR="00B776E0" w:rsidRPr="003F101B" w:rsidRDefault="00B776E0" w:rsidP="003F101B">
            <w:pPr>
              <w:spacing w:before="40" w:after="40"/>
              <w:jc w:val="right"/>
              <w:rPr>
                <w:rFonts w:cs="Arial"/>
                <w:sz w:val="18"/>
              </w:rPr>
            </w:pPr>
            <w:r w:rsidRPr="003F101B">
              <w:rPr>
                <w:rFonts w:cs="Arial"/>
                <w:sz w:val="18"/>
              </w:rPr>
              <w:t>50,000</w:t>
            </w:r>
          </w:p>
          <w:p w14:paraId="6A89D5C2" w14:textId="77777777" w:rsidR="00B776E0" w:rsidRPr="003F101B" w:rsidRDefault="00B776E0" w:rsidP="003F101B">
            <w:pPr>
              <w:spacing w:before="40" w:after="40"/>
              <w:jc w:val="right"/>
              <w:rPr>
                <w:rFonts w:cs="Arial"/>
                <w:sz w:val="18"/>
              </w:rPr>
            </w:pPr>
            <w:r w:rsidRPr="003F101B">
              <w:rPr>
                <w:rFonts w:cs="Arial"/>
                <w:sz w:val="18"/>
              </w:rPr>
              <w:t>378,000</w:t>
            </w:r>
          </w:p>
          <w:p w14:paraId="44DA6E49" w14:textId="77777777" w:rsidR="00B776E0" w:rsidRPr="003F101B" w:rsidRDefault="00B776E0" w:rsidP="003F101B">
            <w:pPr>
              <w:spacing w:before="40" w:after="40"/>
              <w:jc w:val="right"/>
              <w:rPr>
                <w:rFonts w:cs="Arial"/>
                <w:sz w:val="18"/>
              </w:rPr>
            </w:pPr>
            <w:r w:rsidRPr="003F101B">
              <w:rPr>
                <w:rFonts w:cs="Arial"/>
                <w:sz w:val="18"/>
              </w:rPr>
              <w:t>195,000</w:t>
            </w:r>
          </w:p>
          <w:p w14:paraId="0AC5B533" w14:textId="77777777" w:rsidR="00B776E0" w:rsidRPr="003F101B" w:rsidRDefault="00B776E0" w:rsidP="003F101B">
            <w:pPr>
              <w:spacing w:before="40" w:after="40"/>
              <w:jc w:val="right"/>
              <w:rPr>
                <w:rFonts w:cs="Arial"/>
                <w:sz w:val="18"/>
              </w:rPr>
            </w:pPr>
            <w:r w:rsidRPr="003F101B">
              <w:rPr>
                <w:rFonts w:cs="Arial"/>
                <w:sz w:val="18"/>
              </w:rPr>
              <w:t>250,000</w:t>
            </w:r>
          </w:p>
          <w:p w14:paraId="5DC50E5D" w14:textId="77777777" w:rsidR="00B776E0" w:rsidRPr="003F101B" w:rsidRDefault="00B776E0" w:rsidP="003F101B">
            <w:pPr>
              <w:spacing w:before="40" w:after="40"/>
              <w:jc w:val="right"/>
              <w:rPr>
                <w:rFonts w:cs="Arial"/>
                <w:sz w:val="18"/>
              </w:rPr>
            </w:pPr>
            <w:r w:rsidRPr="003F101B">
              <w:rPr>
                <w:rFonts w:cs="Arial"/>
                <w:sz w:val="18"/>
              </w:rPr>
              <w:t>140,000</w:t>
            </w:r>
          </w:p>
          <w:p w14:paraId="6BC4DF66" w14:textId="77777777" w:rsidR="00B776E0" w:rsidRPr="003F101B" w:rsidRDefault="00B776E0" w:rsidP="003F101B">
            <w:pPr>
              <w:spacing w:before="40" w:after="40"/>
              <w:jc w:val="right"/>
              <w:rPr>
                <w:rFonts w:cs="Arial"/>
                <w:sz w:val="18"/>
                <w:u w:val="single"/>
              </w:rPr>
            </w:pPr>
            <w:r w:rsidRPr="003F101B">
              <w:rPr>
                <w:rFonts w:cs="Arial"/>
                <w:sz w:val="18"/>
                <w:u w:val="single"/>
              </w:rPr>
              <w:t>450,000</w:t>
            </w:r>
          </w:p>
          <w:p w14:paraId="7ABB2F2E" w14:textId="77777777" w:rsidR="00B776E0" w:rsidRPr="003F101B" w:rsidRDefault="00B776E0" w:rsidP="003F101B">
            <w:pPr>
              <w:spacing w:before="40" w:after="40"/>
              <w:jc w:val="right"/>
              <w:rPr>
                <w:rFonts w:cs="Arial"/>
                <w:sz w:val="18"/>
                <w:u w:val="single"/>
              </w:rPr>
            </w:pPr>
            <w:r w:rsidRPr="003F101B">
              <w:rPr>
                <w:rFonts w:cs="Arial"/>
                <w:sz w:val="18"/>
                <w:u w:val="single"/>
              </w:rPr>
              <w:t>1,663,000</w:t>
            </w:r>
          </w:p>
        </w:tc>
        <w:tc>
          <w:tcPr>
            <w:tcW w:w="418" w:type="dxa"/>
            <w:tcBorders>
              <w:top w:val="single" w:sz="4" w:space="0" w:color="A8D08D" w:themeColor="accent6" w:themeTint="99"/>
              <w:bottom w:val="single" w:sz="4" w:space="0" w:color="A8D08D" w:themeColor="accent6" w:themeTint="99"/>
            </w:tcBorders>
          </w:tcPr>
          <w:p w14:paraId="7A0E03E6" w14:textId="77777777" w:rsidR="00B776E0" w:rsidRPr="003F101B" w:rsidRDefault="00B776E0" w:rsidP="003F101B">
            <w:pPr>
              <w:spacing w:before="40" w:after="40"/>
              <w:rPr>
                <w:rFonts w:cs="Arial"/>
                <w:sz w:val="18"/>
              </w:rPr>
            </w:pPr>
          </w:p>
        </w:tc>
      </w:tr>
    </w:tbl>
    <w:p w14:paraId="706F040D" w14:textId="77777777" w:rsidR="00B776E0" w:rsidRPr="002113B5" w:rsidRDefault="00B776E0" w:rsidP="00B776E0">
      <w:pPr>
        <w:rPr>
          <w:rFonts w:cs="Arial"/>
        </w:rPr>
      </w:pPr>
    </w:p>
    <w:p w14:paraId="5CD43005" w14:textId="77777777" w:rsidR="00B776E0" w:rsidRPr="002113B5" w:rsidRDefault="00B776E0" w:rsidP="00B776E0">
      <w:pPr>
        <w:rPr>
          <w:rFonts w:cs="Arial"/>
        </w:rPr>
      </w:pPr>
    </w:p>
    <w:p w14:paraId="5343090E" w14:textId="73145EB5" w:rsidR="00B776E0" w:rsidRPr="00F72173" w:rsidRDefault="00F72173" w:rsidP="00F72173">
      <w:pPr>
        <w:spacing w:after="0"/>
        <w:rPr>
          <w:rFonts w:cs="Arial"/>
          <w:b/>
          <w:bCs/>
          <w:color w:val="76923C"/>
        </w:rPr>
      </w:pPr>
      <w:r>
        <w:rPr>
          <w:rFonts w:cs="Arial"/>
          <w:b/>
          <w:bCs/>
          <w:color w:val="76923C"/>
        </w:rPr>
        <w:br w:type="page"/>
      </w:r>
      <w:r w:rsidR="000B3CF4" w:rsidRPr="00F72173">
        <w:rPr>
          <w:rFonts w:cs="Arial"/>
          <w:b/>
          <w:bCs/>
          <w:color w:val="76923C"/>
        </w:rPr>
        <w:t>SAMOA</w:t>
      </w:r>
      <w:r w:rsidR="000B3CF4">
        <w:rPr>
          <w:rFonts w:cs="Arial"/>
          <w:b/>
          <w:bCs/>
          <w:color w:val="76923C"/>
        </w:rPr>
        <w:br/>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5949"/>
      </w:tblGrid>
      <w:tr w:rsidR="00B776E0" w:rsidRPr="00F72173" w14:paraId="3DBCDAA8" w14:textId="77777777" w:rsidTr="00E378DA">
        <w:tc>
          <w:tcPr>
            <w:tcW w:w="8659" w:type="dxa"/>
            <w:gridSpan w:val="2"/>
            <w:shd w:val="clear" w:color="auto" w:fill="C5E0B3" w:themeFill="accent6" w:themeFillTint="66"/>
          </w:tcPr>
          <w:p w14:paraId="4DBF44BD" w14:textId="77777777" w:rsidR="00B776E0" w:rsidRPr="00F72173" w:rsidRDefault="00B776E0" w:rsidP="00F72173">
            <w:pPr>
              <w:spacing w:before="40" w:after="40"/>
              <w:rPr>
                <w:rFonts w:cs="Arial"/>
                <w:b/>
                <w:sz w:val="18"/>
              </w:rPr>
            </w:pPr>
            <w:r w:rsidRPr="00F72173">
              <w:rPr>
                <w:rFonts w:cs="Arial"/>
                <w:b/>
                <w:sz w:val="18"/>
              </w:rPr>
              <w:t>Partner Institution: National University of Samoa (NUS)</w:t>
            </w:r>
          </w:p>
        </w:tc>
      </w:tr>
      <w:tr w:rsidR="00B776E0" w:rsidRPr="00F72173" w14:paraId="22812E49" w14:textId="77777777" w:rsidTr="00E378DA">
        <w:tc>
          <w:tcPr>
            <w:tcW w:w="2376" w:type="dxa"/>
            <w:tcBorders>
              <w:bottom w:val="single" w:sz="4" w:space="0" w:color="A8D08D" w:themeColor="accent6" w:themeTint="99"/>
            </w:tcBorders>
          </w:tcPr>
          <w:p w14:paraId="111D2A43" w14:textId="77777777" w:rsidR="00B776E0" w:rsidRPr="00F72173" w:rsidRDefault="00B776E0" w:rsidP="00F72173">
            <w:pPr>
              <w:spacing w:before="40" w:after="40"/>
              <w:rPr>
                <w:rFonts w:cs="Arial"/>
                <w:sz w:val="18"/>
              </w:rPr>
            </w:pPr>
            <w:r w:rsidRPr="00F72173">
              <w:rPr>
                <w:rFonts w:cs="Arial"/>
                <w:sz w:val="18"/>
              </w:rPr>
              <w:t>Sector</w:t>
            </w:r>
          </w:p>
        </w:tc>
        <w:tc>
          <w:tcPr>
            <w:tcW w:w="6283" w:type="dxa"/>
            <w:tcBorders>
              <w:bottom w:val="single" w:sz="4" w:space="0" w:color="A8D08D" w:themeColor="accent6" w:themeTint="99"/>
            </w:tcBorders>
          </w:tcPr>
          <w:p w14:paraId="26EB0DE7" w14:textId="77777777" w:rsidR="00B776E0" w:rsidRPr="00F72173" w:rsidRDefault="00B776E0" w:rsidP="00F72173">
            <w:pPr>
              <w:spacing w:before="40" w:after="40"/>
              <w:rPr>
                <w:rFonts w:cs="Arial"/>
                <w:sz w:val="18"/>
              </w:rPr>
            </w:pPr>
            <w:r w:rsidRPr="00F72173">
              <w:rPr>
                <w:rFonts w:cs="Arial"/>
                <w:sz w:val="18"/>
              </w:rPr>
              <w:t>University</w:t>
            </w:r>
          </w:p>
        </w:tc>
      </w:tr>
      <w:tr w:rsidR="00B776E0" w:rsidRPr="00F72173" w14:paraId="4BDA68B3" w14:textId="77777777" w:rsidTr="00E378DA">
        <w:tc>
          <w:tcPr>
            <w:tcW w:w="2376" w:type="dxa"/>
            <w:tcBorders>
              <w:top w:val="single" w:sz="4" w:space="0" w:color="A8D08D" w:themeColor="accent6" w:themeTint="99"/>
              <w:bottom w:val="single" w:sz="4" w:space="0" w:color="A8D08D" w:themeColor="accent6" w:themeTint="99"/>
            </w:tcBorders>
          </w:tcPr>
          <w:p w14:paraId="50D9786A" w14:textId="77777777" w:rsidR="00B776E0" w:rsidRPr="00F72173" w:rsidRDefault="00B776E0" w:rsidP="00157C57">
            <w:pPr>
              <w:spacing w:before="40" w:after="40"/>
              <w:rPr>
                <w:rFonts w:cs="Arial"/>
                <w:sz w:val="18"/>
              </w:rPr>
            </w:pPr>
            <w:r w:rsidRPr="00F72173">
              <w:rPr>
                <w:rFonts w:cs="Arial"/>
                <w:sz w:val="18"/>
              </w:rPr>
              <w:t xml:space="preserve">Description of </w:t>
            </w:r>
            <w:r w:rsidR="00157C57">
              <w:rPr>
                <w:rFonts w:cs="Arial"/>
                <w:sz w:val="18"/>
              </w:rPr>
              <w:t>p</w:t>
            </w:r>
            <w:r w:rsidR="00157C57" w:rsidRPr="00F72173">
              <w:rPr>
                <w:rFonts w:cs="Arial"/>
                <w:sz w:val="18"/>
              </w:rPr>
              <w:t>artner</w:t>
            </w:r>
          </w:p>
        </w:tc>
        <w:tc>
          <w:tcPr>
            <w:tcW w:w="6283" w:type="dxa"/>
            <w:tcBorders>
              <w:top w:val="single" w:sz="4" w:space="0" w:color="A8D08D" w:themeColor="accent6" w:themeTint="99"/>
              <w:bottom w:val="single" w:sz="4" w:space="0" w:color="A8D08D" w:themeColor="accent6" w:themeTint="99"/>
            </w:tcBorders>
          </w:tcPr>
          <w:p w14:paraId="41ED68CD" w14:textId="77777777" w:rsidR="00B776E0" w:rsidRPr="00F72173" w:rsidRDefault="00B776E0" w:rsidP="00443720">
            <w:pPr>
              <w:spacing w:before="40" w:after="40"/>
              <w:rPr>
                <w:rFonts w:cs="Arial"/>
                <w:sz w:val="18"/>
              </w:rPr>
            </w:pPr>
            <w:r w:rsidRPr="00F72173">
              <w:rPr>
                <w:rFonts w:cs="Arial"/>
                <w:sz w:val="18"/>
              </w:rPr>
              <w:t xml:space="preserve">Established in 1984, the National University of Samoa (NUS) is the main tertiary institution in Samoa apart from the USP. 2006 saw the merger with the Samoan Institute of Technology so that NUS offers both higher education and TVET programs. </w:t>
            </w:r>
          </w:p>
        </w:tc>
      </w:tr>
      <w:tr w:rsidR="00B776E0" w:rsidRPr="00F72173" w14:paraId="112BA619" w14:textId="77777777" w:rsidTr="00E378DA">
        <w:tc>
          <w:tcPr>
            <w:tcW w:w="2376" w:type="dxa"/>
            <w:tcBorders>
              <w:top w:val="single" w:sz="4" w:space="0" w:color="A8D08D" w:themeColor="accent6" w:themeTint="99"/>
              <w:bottom w:val="single" w:sz="4" w:space="0" w:color="A8D08D" w:themeColor="accent6" w:themeTint="99"/>
            </w:tcBorders>
          </w:tcPr>
          <w:p w14:paraId="14EF67E8" w14:textId="77777777" w:rsidR="00B776E0" w:rsidRPr="00F72173" w:rsidRDefault="00B776E0" w:rsidP="00157C57">
            <w:pPr>
              <w:spacing w:before="40" w:after="40"/>
              <w:rPr>
                <w:rFonts w:cs="Arial"/>
                <w:sz w:val="18"/>
              </w:rPr>
            </w:pPr>
            <w:r w:rsidRPr="00F72173">
              <w:rPr>
                <w:rFonts w:cs="Arial"/>
                <w:sz w:val="18"/>
              </w:rPr>
              <w:t xml:space="preserve">Date of </w:t>
            </w:r>
            <w:r w:rsidR="00157C57">
              <w:rPr>
                <w:rFonts w:cs="Arial"/>
                <w:sz w:val="18"/>
              </w:rPr>
              <w:t>a</w:t>
            </w:r>
            <w:r w:rsidR="00157C57" w:rsidRPr="00F72173">
              <w:rPr>
                <w:rFonts w:cs="Arial"/>
                <w:sz w:val="18"/>
              </w:rPr>
              <w:t>greement</w:t>
            </w:r>
          </w:p>
        </w:tc>
        <w:tc>
          <w:tcPr>
            <w:tcW w:w="6283" w:type="dxa"/>
            <w:tcBorders>
              <w:top w:val="single" w:sz="4" w:space="0" w:color="A8D08D" w:themeColor="accent6" w:themeTint="99"/>
              <w:bottom w:val="single" w:sz="4" w:space="0" w:color="A8D08D" w:themeColor="accent6" w:themeTint="99"/>
            </w:tcBorders>
          </w:tcPr>
          <w:p w14:paraId="3F71F0B2" w14:textId="77777777" w:rsidR="00B776E0" w:rsidRPr="00F72173" w:rsidRDefault="00B776E0" w:rsidP="00F72173">
            <w:pPr>
              <w:spacing w:before="40" w:after="40"/>
              <w:rPr>
                <w:rFonts w:cs="Arial"/>
                <w:sz w:val="18"/>
              </w:rPr>
            </w:pPr>
            <w:r w:rsidRPr="00F72173">
              <w:rPr>
                <w:rFonts w:cs="Arial"/>
                <w:sz w:val="18"/>
              </w:rPr>
              <w:t>21.03.2012</w:t>
            </w:r>
          </w:p>
        </w:tc>
      </w:tr>
      <w:tr w:rsidR="00B776E0" w:rsidRPr="00F72173" w14:paraId="78A6F7B6" w14:textId="77777777" w:rsidTr="00E378DA">
        <w:tc>
          <w:tcPr>
            <w:tcW w:w="2376" w:type="dxa"/>
            <w:tcBorders>
              <w:top w:val="single" w:sz="4" w:space="0" w:color="A8D08D" w:themeColor="accent6" w:themeTint="99"/>
              <w:bottom w:val="single" w:sz="4" w:space="0" w:color="A8D08D" w:themeColor="accent6" w:themeTint="99"/>
            </w:tcBorders>
          </w:tcPr>
          <w:p w14:paraId="528FC0DB" w14:textId="77777777" w:rsidR="00B776E0" w:rsidRPr="00F72173" w:rsidRDefault="00B776E0" w:rsidP="00157C57">
            <w:pPr>
              <w:spacing w:before="40" w:after="40"/>
              <w:rPr>
                <w:rFonts w:cs="Arial"/>
                <w:sz w:val="18"/>
              </w:rPr>
            </w:pPr>
            <w:r w:rsidRPr="00F72173">
              <w:rPr>
                <w:rFonts w:cs="Arial"/>
                <w:sz w:val="18"/>
              </w:rPr>
              <w:t xml:space="preserve">Date of </w:t>
            </w:r>
            <w:r w:rsidR="00157C57">
              <w:rPr>
                <w:rFonts w:cs="Arial"/>
                <w:sz w:val="18"/>
              </w:rPr>
              <w:t>t</w:t>
            </w:r>
            <w:r w:rsidR="00157C57" w:rsidRPr="00F72173">
              <w:rPr>
                <w:rFonts w:cs="Arial"/>
                <w:sz w:val="18"/>
              </w:rPr>
              <w:t>ermination</w:t>
            </w:r>
          </w:p>
        </w:tc>
        <w:tc>
          <w:tcPr>
            <w:tcW w:w="6283" w:type="dxa"/>
            <w:tcBorders>
              <w:top w:val="single" w:sz="4" w:space="0" w:color="A8D08D" w:themeColor="accent6" w:themeTint="99"/>
              <w:bottom w:val="single" w:sz="4" w:space="0" w:color="A8D08D" w:themeColor="accent6" w:themeTint="99"/>
            </w:tcBorders>
          </w:tcPr>
          <w:p w14:paraId="6FE67F1A" w14:textId="77777777" w:rsidR="00B776E0" w:rsidRPr="00F72173" w:rsidRDefault="00B776E0" w:rsidP="00F72173">
            <w:pPr>
              <w:spacing w:before="40" w:after="40"/>
              <w:rPr>
                <w:rFonts w:cs="Arial"/>
                <w:sz w:val="18"/>
              </w:rPr>
            </w:pPr>
            <w:r w:rsidRPr="00F72173">
              <w:rPr>
                <w:rFonts w:cs="Arial"/>
                <w:sz w:val="18"/>
              </w:rPr>
              <w:t>30.06.15</w:t>
            </w:r>
          </w:p>
        </w:tc>
      </w:tr>
      <w:tr w:rsidR="00B776E0" w:rsidRPr="00F72173" w14:paraId="51D42D02" w14:textId="77777777" w:rsidTr="00E378DA">
        <w:tc>
          <w:tcPr>
            <w:tcW w:w="2376" w:type="dxa"/>
            <w:tcBorders>
              <w:top w:val="single" w:sz="4" w:space="0" w:color="A8D08D" w:themeColor="accent6" w:themeTint="99"/>
              <w:bottom w:val="single" w:sz="4" w:space="0" w:color="A8D08D" w:themeColor="accent6" w:themeTint="99"/>
            </w:tcBorders>
          </w:tcPr>
          <w:p w14:paraId="3879F748" w14:textId="77777777" w:rsidR="00B776E0" w:rsidRPr="00F72173" w:rsidRDefault="00B776E0" w:rsidP="00157C57">
            <w:pPr>
              <w:spacing w:before="40" w:after="40"/>
              <w:rPr>
                <w:rFonts w:cs="Arial"/>
                <w:sz w:val="18"/>
              </w:rPr>
            </w:pPr>
            <w:r w:rsidRPr="00F72173">
              <w:rPr>
                <w:rFonts w:cs="Arial"/>
                <w:sz w:val="18"/>
              </w:rPr>
              <w:t xml:space="preserve">LOA </w:t>
            </w:r>
            <w:r w:rsidR="00157C57">
              <w:rPr>
                <w:rFonts w:cs="Arial"/>
                <w:sz w:val="18"/>
              </w:rPr>
              <w:t>d</w:t>
            </w:r>
            <w:r w:rsidR="00157C57" w:rsidRPr="00F72173">
              <w:rPr>
                <w:rFonts w:cs="Arial"/>
                <w:sz w:val="18"/>
              </w:rPr>
              <w:t xml:space="preserve">escription </w:t>
            </w:r>
            <w:r w:rsidRPr="00F72173">
              <w:rPr>
                <w:rFonts w:cs="Arial"/>
                <w:sz w:val="18"/>
              </w:rPr>
              <w:t xml:space="preserve">of APTC support </w:t>
            </w:r>
          </w:p>
        </w:tc>
        <w:tc>
          <w:tcPr>
            <w:tcW w:w="6283" w:type="dxa"/>
            <w:tcBorders>
              <w:top w:val="single" w:sz="4" w:space="0" w:color="A8D08D" w:themeColor="accent6" w:themeTint="99"/>
              <w:bottom w:val="single" w:sz="4" w:space="0" w:color="A8D08D" w:themeColor="accent6" w:themeTint="99"/>
            </w:tcBorders>
          </w:tcPr>
          <w:p w14:paraId="3A1049DE" w14:textId="77777777" w:rsidR="003D355F" w:rsidRDefault="00B776E0">
            <w:pPr>
              <w:spacing w:after="0"/>
              <w:rPr>
                <w:rFonts w:cs="Arial"/>
                <w:sz w:val="18"/>
              </w:rPr>
            </w:pPr>
            <w:r w:rsidRPr="00F72173">
              <w:rPr>
                <w:rFonts w:cs="Arial"/>
                <w:sz w:val="18"/>
              </w:rPr>
              <w:t>Collaboration on developing institution capability and capacity in areas such as:</w:t>
            </w:r>
          </w:p>
          <w:p w14:paraId="1DEE92C8" w14:textId="77777777" w:rsidR="003D355F" w:rsidRDefault="00B776E0" w:rsidP="00260880">
            <w:pPr>
              <w:numPr>
                <w:ilvl w:val="0"/>
                <w:numId w:val="36"/>
              </w:numPr>
              <w:spacing w:after="0"/>
              <w:rPr>
                <w:rFonts w:cs="Arial"/>
                <w:sz w:val="18"/>
              </w:rPr>
            </w:pPr>
            <w:r w:rsidRPr="00F72173">
              <w:rPr>
                <w:rFonts w:cs="Arial"/>
                <w:sz w:val="18"/>
              </w:rPr>
              <w:t>Leadership and governance support and development</w:t>
            </w:r>
          </w:p>
          <w:p w14:paraId="6481C0EB" w14:textId="77777777" w:rsidR="003D355F" w:rsidRDefault="00B776E0" w:rsidP="00260880">
            <w:pPr>
              <w:numPr>
                <w:ilvl w:val="0"/>
                <w:numId w:val="36"/>
              </w:numPr>
              <w:spacing w:after="0"/>
              <w:rPr>
                <w:rFonts w:cs="Arial"/>
                <w:sz w:val="18"/>
              </w:rPr>
            </w:pPr>
            <w:r w:rsidRPr="00F72173">
              <w:rPr>
                <w:rFonts w:cs="Arial"/>
                <w:sz w:val="18"/>
              </w:rPr>
              <w:t>Staff training and development</w:t>
            </w:r>
          </w:p>
          <w:p w14:paraId="60D2F566" w14:textId="77777777" w:rsidR="003D355F" w:rsidRDefault="00B776E0" w:rsidP="00260880">
            <w:pPr>
              <w:numPr>
                <w:ilvl w:val="0"/>
                <w:numId w:val="36"/>
              </w:numPr>
              <w:spacing w:after="0"/>
              <w:rPr>
                <w:rFonts w:cs="Arial"/>
                <w:sz w:val="18"/>
              </w:rPr>
            </w:pPr>
            <w:r w:rsidRPr="00F72173">
              <w:rPr>
                <w:rFonts w:cs="Arial"/>
                <w:sz w:val="18"/>
              </w:rPr>
              <w:t>Facilities and equipment upgrades</w:t>
            </w:r>
          </w:p>
          <w:p w14:paraId="181D37D4" w14:textId="77777777" w:rsidR="003D355F" w:rsidRDefault="00B776E0" w:rsidP="00260880">
            <w:pPr>
              <w:numPr>
                <w:ilvl w:val="0"/>
                <w:numId w:val="36"/>
              </w:numPr>
              <w:spacing w:after="0"/>
              <w:rPr>
                <w:rFonts w:cs="Arial"/>
                <w:sz w:val="18"/>
              </w:rPr>
            </w:pPr>
            <w:r w:rsidRPr="00F72173">
              <w:rPr>
                <w:rFonts w:cs="Arial"/>
                <w:sz w:val="18"/>
              </w:rPr>
              <w:t xml:space="preserve">Student services and support, including accommodation </w:t>
            </w:r>
            <w:r w:rsidR="00443720">
              <w:rPr>
                <w:rFonts w:cs="Arial"/>
                <w:sz w:val="18"/>
              </w:rPr>
              <w:br/>
            </w:r>
            <w:r w:rsidRPr="00F72173">
              <w:rPr>
                <w:rFonts w:cs="Arial"/>
                <w:sz w:val="18"/>
              </w:rPr>
              <w:t>(if applicable)</w:t>
            </w:r>
          </w:p>
          <w:p w14:paraId="33F37777" w14:textId="77777777" w:rsidR="003D355F" w:rsidRPr="009906C2" w:rsidRDefault="00B776E0" w:rsidP="00260880">
            <w:pPr>
              <w:numPr>
                <w:ilvl w:val="0"/>
                <w:numId w:val="36"/>
              </w:numPr>
              <w:spacing w:after="0"/>
              <w:rPr>
                <w:rFonts w:cs="Arial"/>
                <w:b/>
                <w:bCs/>
                <w:iCs/>
                <w:sz w:val="18"/>
                <w:szCs w:val="28"/>
              </w:rPr>
            </w:pPr>
            <w:r w:rsidRPr="009906C2">
              <w:rPr>
                <w:rFonts w:cs="Arial"/>
                <w:sz w:val="18"/>
              </w:rPr>
              <w:t>Teaching methodologies, mentoring and experiences</w:t>
            </w:r>
          </w:p>
          <w:p w14:paraId="1E3AD398" w14:textId="77777777" w:rsidR="003D355F" w:rsidRPr="009906C2" w:rsidRDefault="00B776E0" w:rsidP="00260880">
            <w:pPr>
              <w:numPr>
                <w:ilvl w:val="0"/>
                <w:numId w:val="36"/>
              </w:numPr>
              <w:spacing w:after="0"/>
              <w:rPr>
                <w:rFonts w:cs="Arial"/>
                <w:b/>
                <w:bCs/>
                <w:iCs/>
                <w:sz w:val="18"/>
                <w:szCs w:val="28"/>
              </w:rPr>
            </w:pPr>
            <w:r w:rsidRPr="009906C2">
              <w:rPr>
                <w:rFonts w:cs="Arial"/>
                <w:sz w:val="18"/>
              </w:rPr>
              <w:t>Curriculum design and development</w:t>
            </w:r>
          </w:p>
        </w:tc>
      </w:tr>
      <w:tr w:rsidR="00B776E0" w:rsidRPr="00F72173" w14:paraId="395E42B2" w14:textId="77777777" w:rsidTr="00E378DA">
        <w:tc>
          <w:tcPr>
            <w:tcW w:w="2376" w:type="dxa"/>
            <w:tcBorders>
              <w:top w:val="single" w:sz="4" w:space="0" w:color="A8D08D" w:themeColor="accent6" w:themeTint="99"/>
              <w:bottom w:val="single" w:sz="4" w:space="0" w:color="A8D08D" w:themeColor="accent6" w:themeTint="99"/>
            </w:tcBorders>
          </w:tcPr>
          <w:p w14:paraId="53CF87CF" w14:textId="77777777" w:rsidR="00B776E0" w:rsidRPr="00F72173" w:rsidRDefault="00B776E0" w:rsidP="00F72173">
            <w:pPr>
              <w:spacing w:before="40" w:after="40"/>
              <w:rPr>
                <w:rFonts w:cs="Arial"/>
                <w:sz w:val="18"/>
              </w:rPr>
            </w:pPr>
            <w:r w:rsidRPr="00F72173">
              <w:rPr>
                <w:rFonts w:cs="Arial"/>
                <w:sz w:val="18"/>
              </w:rPr>
              <w:t>APTC investment</w:t>
            </w:r>
          </w:p>
        </w:tc>
        <w:tc>
          <w:tcPr>
            <w:tcW w:w="6283" w:type="dxa"/>
            <w:tcBorders>
              <w:top w:val="single" w:sz="4" w:space="0" w:color="A8D08D" w:themeColor="accent6" w:themeTint="99"/>
              <w:bottom w:val="single" w:sz="4" w:space="0" w:color="A8D08D" w:themeColor="accent6" w:themeTint="99"/>
            </w:tcBorders>
          </w:tcPr>
          <w:p w14:paraId="5B99E11F" w14:textId="77777777" w:rsidR="00B776E0" w:rsidRPr="00F72173" w:rsidRDefault="00B776E0" w:rsidP="00F72173">
            <w:pPr>
              <w:spacing w:before="40" w:after="40"/>
              <w:rPr>
                <w:rFonts w:cs="Arial"/>
                <w:sz w:val="18"/>
              </w:rPr>
            </w:pPr>
            <w:r w:rsidRPr="00F72173">
              <w:rPr>
                <w:rFonts w:cs="Arial"/>
                <w:sz w:val="18"/>
              </w:rPr>
              <w:t>AUD849,000</w:t>
            </w:r>
          </w:p>
        </w:tc>
      </w:tr>
    </w:tbl>
    <w:p w14:paraId="703177BC" w14:textId="77777777" w:rsidR="00B776E0" w:rsidRPr="002113B5" w:rsidRDefault="00B776E0" w:rsidP="00B776E0">
      <w:pPr>
        <w:rPr>
          <w:rFonts w:cs="Arial"/>
        </w:rPr>
      </w:pPr>
    </w:p>
    <w:p w14:paraId="34CB55AB" w14:textId="3706542A" w:rsidR="00B776E0" w:rsidRPr="002113B5" w:rsidRDefault="00B776E0" w:rsidP="00B776E0">
      <w:pPr>
        <w:rPr>
          <w:rFonts w:cs="Arial"/>
        </w:rPr>
      </w:pPr>
      <w:r w:rsidRPr="002113B5">
        <w:rPr>
          <w:rFonts w:cs="Arial"/>
        </w:rPr>
        <w:t>Samoa was the first country to enter into a partnership with APTC. The current LOA is an extension of the first one, which was signed in December 20</w:t>
      </w:r>
      <w:r w:rsidR="009906C2">
        <w:rPr>
          <w:rFonts w:cs="Arial"/>
        </w:rPr>
        <w:t xml:space="preserve">06. The partnership is now well </w:t>
      </w:r>
      <w:r w:rsidRPr="002113B5">
        <w:rPr>
          <w:rFonts w:cs="Arial"/>
        </w:rPr>
        <w:t>established.</w:t>
      </w:r>
    </w:p>
    <w:p w14:paraId="77A24A06" w14:textId="7861F466" w:rsidR="00B776E0" w:rsidRPr="00F72173" w:rsidRDefault="009906C2" w:rsidP="00F72173">
      <w:pPr>
        <w:rPr>
          <w:rFonts w:cs="Arial"/>
          <w:b/>
          <w:bCs/>
          <w:color w:val="76923C"/>
        </w:rPr>
      </w:pPr>
      <w:r w:rsidRPr="00F72173">
        <w:rPr>
          <w:rFonts w:cs="Arial"/>
          <w:b/>
          <w:bCs/>
          <w:color w:val="76923C"/>
        </w:rPr>
        <w:t>SOLOMON ISLANDS</w:t>
      </w:r>
      <w:r>
        <w:rPr>
          <w:rFonts w:cs="Arial"/>
          <w:b/>
          <w:bCs/>
          <w:color w:val="76923C"/>
        </w:rPr>
        <w:br/>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4153"/>
        <w:gridCol w:w="1510"/>
        <w:gridCol w:w="298"/>
      </w:tblGrid>
      <w:tr w:rsidR="00B776E0" w:rsidRPr="009906C2" w14:paraId="72D61ABB" w14:textId="77777777" w:rsidTr="00E378DA">
        <w:tc>
          <w:tcPr>
            <w:tcW w:w="8665" w:type="dxa"/>
            <w:gridSpan w:val="4"/>
            <w:shd w:val="clear" w:color="auto" w:fill="C5E0B3" w:themeFill="accent6" w:themeFillTint="66"/>
          </w:tcPr>
          <w:p w14:paraId="27FEBE45" w14:textId="77777777" w:rsidR="00B776E0" w:rsidRPr="009906C2" w:rsidRDefault="00B776E0" w:rsidP="00F72173">
            <w:pPr>
              <w:spacing w:before="40" w:after="40"/>
              <w:rPr>
                <w:rFonts w:cs="Arial"/>
                <w:b/>
                <w:sz w:val="18"/>
              </w:rPr>
            </w:pPr>
            <w:r w:rsidRPr="009906C2">
              <w:rPr>
                <w:rFonts w:cs="Arial"/>
                <w:b/>
                <w:sz w:val="18"/>
              </w:rPr>
              <w:t>Partner Institution: Don Bosco Technical Institute (DBTI)</w:t>
            </w:r>
          </w:p>
        </w:tc>
      </w:tr>
      <w:tr w:rsidR="00B776E0" w:rsidRPr="00F72173" w14:paraId="386981A2" w14:textId="77777777" w:rsidTr="00E378DA">
        <w:tc>
          <w:tcPr>
            <w:tcW w:w="2376" w:type="dxa"/>
            <w:tcBorders>
              <w:bottom w:val="single" w:sz="4" w:space="0" w:color="A8D08D" w:themeColor="accent6" w:themeTint="99"/>
            </w:tcBorders>
          </w:tcPr>
          <w:p w14:paraId="1ACC6495" w14:textId="77777777" w:rsidR="00B776E0" w:rsidRPr="00F72173" w:rsidRDefault="00B776E0" w:rsidP="00F72173">
            <w:pPr>
              <w:spacing w:before="40" w:after="40"/>
              <w:rPr>
                <w:rFonts w:cs="Arial"/>
                <w:sz w:val="18"/>
              </w:rPr>
            </w:pPr>
            <w:r w:rsidRPr="00F72173">
              <w:rPr>
                <w:rFonts w:cs="Arial"/>
                <w:sz w:val="18"/>
              </w:rPr>
              <w:t>Sector</w:t>
            </w:r>
          </w:p>
        </w:tc>
        <w:tc>
          <w:tcPr>
            <w:tcW w:w="6289" w:type="dxa"/>
            <w:gridSpan w:val="3"/>
            <w:tcBorders>
              <w:bottom w:val="single" w:sz="4" w:space="0" w:color="A8D08D" w:themeColor="accent6" w:themeTint="99"/>
            </w:tcBorders>
          </w:tcPr>
          <w:p w14:paraId="2E3B6A4B" w14:textId="77777777" w:rsidR="00B776E0" w:rsidRPr="00F72173" w:rsidRDefault="00B776E0" w:rsidP="00F72173">
            <w:pPr>
              <w:spacing w:before="40" w:after="40"/>
              <w:rPr>
                <w:rFonts w:cs="Arial"/>
                <w:sz w:val="18"/>
              </w:rPr>
            </w:pPr>
            <w:r w:rsidRPr="00F72173">
              <w:rPr>
                <w:rFonts w:cs="Arial"/>
                <w:sz w:val="18"/>
              </w:rPr>
              <w:t>Private TVET – faith-based</w:t>
            </w:r>
          </w:p>
        </w:tc>
      </w:tr>
      <w:tr w:rsidR="00B776E0" w:rsidRPr="00F72173" w14:paraId="1CAA5991" w14:textId="77777777" w:rsidTr="00E378DA">
        <w:tc>
          <w:tcPr>
            <w:tcW w:w="2376" w:type="dxa"/>
            <w:tcBorders>
              <w:top w:val="single" w:sz="4" w:space="0" w:color="A8D08D" w:themeColor="accent6" w:themeTint="99"/>
              <w:bottom w:val="single" w:sz="4" w:space="0" w:color="A8D08D" w:themeColor="accent6" w:themeTint="99"/>
            </w:tcBorders>
          </w:tcPr>
          <w:p w14:paraId="429EFB25" w14:textId="77777777" w:rsidR="00B776E0" w:rsidRPr="00F72173" w:rsidRDefault="00B776E0" w:rsidP="002500BE">
            <w:pPr>
              <w:spacing w:before="40" w:after="40"/>
              <w:rPr>
                <w:rFonts w:cs="Arial"/>
                <w:sz w:val="18"/>
              </w:rPr>
            </w:pPr>
            <w:r w:rsidRPr="00F72173">
              <w:rPr>
                <w:rFonts w:cs="Arial"/>
                <w:sz w:val="18"/>
              </w:rPr>
              <w:t xml:space="preserve">Description of </w:t>
            </w:r>
            <w:r w:rsidR="002500BE">
              <w:rPr>
                <w:rFonts w:cs="Arial"/>
                <w:sz w:val="18"/>
              </w:rPr>
              <w:t>p</w:t>
            </w:r>
            <w:r w:rsidR="002500BE" w:rsidRPr="00F72173">
              <w:rPr>
                <w:rFonts w:cs="Arial"/>
                <w:sz w:val="18"/>
              </w:rPr>
              <w:t>artner</w:t>
            </w:r>
          </w:p>
        </w:tc>
        <w:tc>
          <w:tcPr>
            <w:tcW w:w="6289" w:type="dxa"/>
            <w:gridSpan w:val="3"/>
            <w:tcBorders>
              <w:top w:val="single" w:sz="4" w:space="0" w:color="A8D08D" w:themeColor="accent6" w:themeTint="99"/>
              <w:bottom w:val="single" w:sz="4" w:space="0" w:color="A8D08D" w:themeColor="accent6" w:themeTint="99"/>
            </w:tcBorders>
          </w:tcPr>
          <w:p w14:paraId="6815855E" w14:textId="77777777" w:rsidR="00B776E0" w:rsidRPr="00F72173" w:rsidRDefault="00B776E0" w:rsidP="00DC20FB">
            <w:pPr>
              <w:spacing w:before="40" w:after="40"/>
              <w:rPr>
                <w:rFonts w:cs="Arial"/>
                <w:sz w:val="18"/>
              </w:rPr>
            </w:pPr>
            <w:r w:rsidRPr="00F72173">
              <w:rPr>
                <w:rFonts w:cs="Arial"/>
                <w:sz w:val="18"/>
              </w:rPr>
              <w:t xml:space="preserve">Based at Henderson, Honiara, Don Bosco Technical Institute is a </w:t>
            </w:r>
            <w:r w:rsidR="00DC20FB">
              <w:rPr>
                <w:rFonts w:cs="Arial"/>
                <w:sz w:val="18"/>
              </w:rPr>
              <w:t>C</w:t>
            </w:r>
            <w:r w:rsidR="00DC20FB" w:rsidRPr="00F72173">
              <w:rPr>
                <w:rFonts w:cs="Arial"/>
                <w:sz w:val="18"/>
              </w:rPr>
              <w:t xml:space="preserve">atholic </w:t>
            </w:r>
            <w:r w:rsidRPr="00F72173">
              <w:rPr>
                <w:rFonts w:cs="Arial"/>
                <w:sz w:val="18"/>
              </w:rPr>
              <w:t xml:space="preserve">school open to boys and girls ready to follow the discipline, commitment and hard work necessary to prepare themselves to work in the industry. Preference is given to technically inclined students who experience life’s difficulties over academic achievers and to those who are ready to change. </w:t>
            </w:r>
          </w:p>
        </w:tc>
      </w:tr>
      <w:tr w:rsidR="00B776E0" w:rsidRPr="00F72173" w14:paraId="0E93EB0D" w14:textId="77777777" w:rsidTr="00E378DA">
        <w:tc>
          <w:tcPr>
            <w:tcW w:w="2376" w:type="dxa"/>
            <w:tcBorders>
              <w:top w:val="single" w:sz="4" w:space="0" w:color="A8D08D" w:themeColor="accent6" w:themeTint="99"/>
              <w:bottom w:val="single" w:sz="4" w:space="0" w:color="A8D08D" w:themeColor="accent6" w:themeTint="99"/>
            </w:tcBorders>
          </w:tcPr>
          <w:p w14:paraId="4E3AD12A" w14:textId="77777777" w:rsidR="00B776E0" w:rsidRPr="00F72173" w:rsidRDefault="00B776E0" w:rsidP="002500BE">
            <w:pPr>
              <w:spacing w:before="40" w:after="40"/>
              <w:rPr>
                <w:rFonts w:cs="Arial"/>
                <w:sz w:val="18"/>
              </w:rPr>
            </w:pPr>
            <w:r w:rsidRPr="00F72173">
              <w:rPr>
                <w:rFonts w:cs="Arial"/>
                <w:sz w:val="18"/>
              </w:rPr>
              <w:t xml:space="preserve">Date of </w:t>
            </w:r>
            <w:r w:rsidR="002500BE">
              <w:rPr>
                <w:rFonts w:cs="Arial"/>
                <w:sz w:val="18"/>
              </w:rPr>
              <w:t>a</w:t>
            </w:r>
            <w:r w:rsidR="002500BE" w:rsidRPr="00F72173">
              <w:rPr>
                <w:rFonts w:cs="Arial"/>
                <w:sz w:val="18"/>
              </w:rPr>
              <w:t>greement</w:t>
            </w:r>
          </w:p>
        </w:tc>
        <w:tc>
          <w:tcPr>
            <w:tcW w:w="6289" w:type="dxa"/>
            <w:gridSpan w:val="3"/>
            <w:tcBorders>
              <w:top w:val="single" w:sz="4" w:space="0" w:color="A8D08D" w:themeColor="accent6" w:themeTint="99"/>
              <w:bottom w:val="single" w:sz="4" w:space="0" w:color="A8D08D" w:themeColor="accent6" w:themeTint="99"/>
            </w:tcBorders>
          </w:tcPr>
          <w:p w14:paraId="417708A8" w14:textId="77777777" w:rsidR="00B776E0" w:rsidRPr="00F72173" w:rsidRDefault="00B776E0" w:rsidP="00F72173">
            <w:pPr>
              <w:spacing w:before="40" w:after="40"/>
              <w:rPr>
                <w:rFonts w:cs="Arial"/>
                <w:sz w:val="18"/>
              </w:rPr>
            </w:pPr>
            <w:r w:rsidRPr="00F72173">
              <w:rPr>
                <w:rFonts w:cs="Arial"/>
                <w:sz w:val="18"/>
              </w:rPr>
              <w:t>02.05.2013</w:t>
            </w:r>
          </w:p>
        </w:tc>
      </w:tr>
      <w:tr w:rsidR="00B776E0" w:rsidRPr="00F72173" w14:paraId="5F48239D" w14:textId="77777777" w:rsidTr="00E378DA">
        <w:tc>
          <w:tcPr>
            <w:tcW w:w="2376" w:type="dxa"/>
            <w:tcBorders>
              <w:top w:val="single" w:sz="4" w:space="0" w:color="A8D08D" w:themeColor="accent6" w:themeTint="99"/>
              <w:bottom w:val="single" w:sz="4" w:space="0" w:color="A8D08D" w:themeColor="accent6" w:themeTint="99"/>
            </w:tcBorders>
          </w:tcPr>
          <w:p w14:paraId="5BAD1947" w14:textId="77777777" w:rsidR="00B776E0" w:rsidRPr="00F72173" w:rsidRDefault="00B776E0" w:rsidP="002500BE">
            <w:pPr>
              <w:spacing w:before="40" w:after="40"/>
              <w:rPr>
                <w:rFonts w:cs="Arial"/>
                <w:sz w:val="18"/>
              </w:rPr>
            </w:pPr>
            <w:r w:rsidRPr="00F72173">
              <w:rPr>
                <w:rFonts w:cs="Arial"/>
                <w:sz w:val="18"/>
              </w:rPr>
              <w:t xml:space="preserve">Date of </w:t>
            </w:r>
            <w:r w:rsidR="002500BE">
              <w:rPr>
                <w:rFonts w:cs="Arial"/>
                <w:sz w:val="18"/>
              </w:rPr>
              <w:t>t</w:t>
            </w:r>
            <w:r w:rsidR="002500BE" w:rsidRPr="00F72173">
              <w:rPr>
                <w:rFonts w:cs="Arial"/>
                <w:sz w:val="18"/>
              </w:rPr>
              <w:t>ermination</w:t>
            </w:r>
          </w:p>
        </w:tc>
        <w:tc>
          <w:tcPr>
            <w:tcW w:w="6289" w:type="dxa"/>
            <w:gridSpan w:val="3"/>
            <w:tcBorders>
              <w:top w:val="single" w:sz="4" w:space="0" w:color="A8D08D" w:themeColor="accent6" w:themeTint="99"/>
              <w:bottom w:val="single" w:sz="4" w:space="0" w:color="A8D08D" w:themeColor="accent6" w:themeTint="99"/>
            </w:tcBorders>
          </w:tcPr>
          <w:p w14:paraId="1AAFA48B" w14:textId="77777777" w:rsidR="00B776E0" w:rsidRPr="00F72173" w:rsidRDefault="00B776E0" w:rsidP="00F72173">
            <w:pPr>
              <w:spacing w:before="40" w:after="40"/>
              <w:rPr>
                <w:rFonts w:cs="Arial"/>
                <w:sz w:val="18"/>
              </w:rPr>
            </w:pPr>
            <w:r w:rsidRPr="00F72173">
              <w:rPr>
                <w:rFonts w:cs="Arial"/>
                <w:sz w:val="18"/>
              </w:rPr>
              <w:t>30.06.15</w:t>
            </w:r>
          </w:p>
        </w:tc>
      </w:tr>
      <w:tr w:rsidR="00B776E0" w:rsidRPr="00F72173" w14:paraId="68214283" w14:textId="77777777" w:rsidTr="00E378DA">
        <w:tc>
          <w:tcPr>
            <w:tcW w:w="2376" w:type="dxa"/>
            <w:tcBorders>
              <w:top w:val="single" w:sz="4" w:space="0" w:color="A8D08D" w:themeColor="accent6" w:themeTint="99"/>
              <w:bottom w:val="single" w:sz="4" w:space="0" w:color="A8D08D" w:themeColor="accent6" w:themeTint="99"/>
            </w:tcBorders>
          </w:tcPr>
          <w:p w14:paraId="6D8B23EF" w14:textId="77777777" w:rsidR="00B776E0" w:rsidRPr="00F72173" w:rsidRDefault="00B776E0" w:rsidP="002500BE">
            <w:pPr>
              <w:spacing w:before="40" w:after="40"/>
              <w:rPr>
                <w:rFonts w:cs="Arial"/>
                <w:sz w:val="18"/>
              </w:rPr>
            </w:pPr>
            <w:r w:rsidRPr="00F72173">
              <w:rPr>
                <w:rFonts w:cs="Arial"/>
                <w:sz w:val="18"/>
              </w:rPr>
              <w:t xml:space="preserve">MOA </w:t>
            </w:r>
            <w:r w:rsidR="002500BE">
              <w:rPr>
                <w:rFonts w:cs="Arial"/>
                <w:sz w:val="18"/>
              </w:rPr>
              <w:t>d</w:t>
            </w:r>
            <w:r w:rsidR="002500BE" w:rsidRPr="00F72173">
              <w:rPr>
                <w:rFonts w:cs="Arial"/>
                <w:sz w:val="18"/>
              </w:rPr>
              <w:t xml:space="preserve">escription </w:t>
            </w:r>
            <w:r w:rsidRPr="00F72173">
              <w:rPr>
                <w:rFonts w:cs="Arial"/>
                <w:sz w:val="18"/>
              </w:rPr>
              <w:t>of APTC support</w:t>
            </w:r>
          </w:p>
        </w:tc>
        <w:tc>
          <w:tcPr>
            <w:tcW w:w="6289" w:type="dxa"/>
            <w:gridSpan w:val="3"/>
            <w:tcBorders>
              <w:top w:val="single" w:sz="4" w:space="0" w:color="A8D08D" w:themeColor="accent6" w:themeTint="99"/>
              <w:bottom w:val="single" w:sz="4" w:space="0" w:color="A8D08D" w:themeColor="accent6" w:themeTint="99"/>
            </w:tcBorders>
          </w:tcPr>
          <w:p w14:paraId="0DEE893B" w14:textId="77777777" w:rsidR="003D355F" w:rsidRDefault="00B776E0">
            <w:pPr>
              <w:spacing w:after="0"/>
              <w:rPr>
                <w:rFonts w:cs="Arial"/>
                <w:sz w:val="18"/>
              </w:rPr>
            </w:pPr>
            <w:r w:rsidRPr="00F72173">
              <w:rPr>
                <w:rFonts w:cs="Arial"/>
                <w:sz w:val="18"/>
              </w:rPr>
              <w:t>Collaboration on developing institution capability and capacity in areas such as:</w:t>
            </w:r>
          </w:p>
          <w:p w14:paraId="13134439" w14:textId="77777777" w:rsidR="003D355F" w:rsidRDefault="00B776E0" w:rsidP="00260880">
            <w:pPr>
              <w:numPr>
                <w:ilvl w:val="0"/>
                <w:numId w:val="36"/>
              </w:numPr>
              <w:spacing w:after="0"/>
              <w:rPr>
                <w:rFonts w:cs="Arial"/>
                <w:sz w:val="18"/>
              </w:rPr>
            </w:pPr>
            <w:r w:rsidRPr="00F72173">
              <w:rPr>
                <w:rFonts w:cs="Arial"/>
                <w:sz w:val="18"/>
              </w:rPr>
              <w:t>Leadership and governance support and development</w:t>
            </w:r>
          </w:p>
          <w:p w14:paraId="652D037D" w14:textId="77777777" w:rsidR="003D355F" w:rsidRDefault="00B776E0" w:rsidP="00260880">
            <w:pPr>
              <w:numPr>
                <w:ilvl w:val="0"/>
                <w:numId w:val="36"/>
              </w:numPr>
              <w:spacing w:after="0"/>
              <w:rPr>
                <w:rFonts w:cs="Arial"/>
                <w:sz w:val="18"/>
              </w:rPr>
            </w:pPr>
            <w:r w:rsidRPr="00F72173">
              <w:rPr>
                <w:rFonts w:cs="Arial"/>
                <w:sz w:val="18"/>
              </w:rPr>
              <w:t>Joint training delivery</w:t>
            </w:r>
          </w:p>
          <w:p w14:paraId="0AEBC8E0" w14:textId="77777777" w:rsidR="003D355F" w:rsidRDefault="00B776E0" w:rsidP="00260880">
            <w:pPr>
              <w:numPr>
                <w:ilvl w:val="0"/>
                <w:numId w:val="36"/>
              </w:numPr>
              <w:spacing w:after="0"/>
              <w:rPr>
                <w:rFonts w:cs="Arial"/>
                <w:sz w:val="18"/>
              </w:rPr>
            </w:pPr>
            <w:r w:rsidRPr="00F72173">
              <w:rPr>
                <w:rFonts w:cs="Arial"/>
                <w:sz w:val="18"/>
              </w:rPr>
              <w:t>Staff training and development</w:t>
            </w:r>
          </w:p>
          <w:p w14:paraId="1285F386" w14:textId="77777777" w:rsidR="003D355F" w:rsidRDefault="00B776E0" w:rsidP="00260880">
            <w:pPr>
              <w:numPr>
                <w:ilvl w:val="0"/>
                <w:numId w:val="36"/>
              </w:numPr>
              <w:spacing w:after="0"/>
              <w:rPr>
                <w:rFonts w:cs="Arial"/>
                <w:sz w:val="18"/>
              </w:rPr>
            </w:pPr>
            <w:r w:rsidRPr="00F72173">
              <w:rPr>
                <w:rFonts w:cs="Arial"/>
                <w:sz w:val="18"/>
              </w:rPr>
              <w:t>Facilities and equipment upgrades</w:t>
            </w:r>
          </w:p>
          <w:p w14:paraId="37DC0D5C" w14:textId="77777777" w:rsidR="003D355F" w:rsidRDefault="00B776E0" w:rsidP="00260880">
            <w:pPr>
              <w:numPr>
                <w:ilvl w:val="0"/>
                <w:numId w:val="36"/>
              </w:numPr>
              <w:spacing w:after="0"/>
              <w:rPr>
                <w:rFonts w:cs="Arial"/>
                <w:sz w:val="18"/>
              </w:rPr>
            </w:pPr>
            <w:r w:rsidRPr="00F72173">
              <w:rPr>
                <w:rFonts w:cs="Arial"/>
                <w:sz w:val="18"/>
              </w:rPr>
              <w:t>Student services and support, including accommodation</w:t>
            </w:r>
          </w:p>
          <w:p w14:paraId="0FF9464F" w14:textId="77777777" w:rsidR="003D355F" w:rsidRDefault="00B776E0" w:rsidP="00260880">
            <w:pPr>
              <w:numPr>
                <w:ilvl w:val="0"/>
                <w:numId w:val="36"/>
              </w:numPr>
              <w:spacing w:after="0"/>
              <w:rPr>
                <w:rFonts w:cs="Arial"/>
                <w:sz w:val="18"/>
              </w:rPr>
            </w:pPr>
            <w:r w:rsidRPr="00F72173">
              <w:rPr>
                <w:rFonts w:cs="Arial"/>
                <w:sz w:val="18"/>
              </w:rPr>
              <w:t>Teaching methodologies, mentoring and experiences</w:t>
            </w:r>
          </w:p>
          <w:p w14:paraId="690B0DE7" w14:textId="77777777" w:rsidR="003D355F" w:rsidRDefault="00B776E0" w:rsidP="00260880">
            <w:pPr>
              <w:numPr>
                <w:ilvl w:val="0"/>
                <w:numId w:val="36"/>
              </w:numPr>
              <w:spacing w:after="0"/>
              <w:rPr>
                <w:rFonts w:cs="Arial"/>
                <w:sz w:val="18"/>
              </w:rPr>
            </w:pPr>
            <w:r w:rsidRPr="00F72173">
              <w:rPr>
                <w:rFonts w:cs="Arial"/>
                <w:sz w:val="18"/>
              </w:rPr>
              <w:t>Curriculum design and development</w:t>
            </w:r>
          </w:p>
        </w:tc>
      </w:tr>
      <w:tr w:rsidR="00B776E0" w:rsidRPr="00F72173" w14:paraId="3F46DFA9" w14:textId="77777777" w:rsidTr="00E378DA">
        <w:tc>
          <w:tcPr>
            <w:tcW w:w="2376" w:type="dxa"/>
            <w:tcBorders>
              <w:top w:val="single" w:sz="4" w:space="0" w:color="A8D08D" w:themeColor="accent6" w:themeTint="99"/>
              <w:bottom w:val="single" w:sz="4" w:space="0" w:color="A8D08D" w:themeColor="accent6" w:themeTint="99"/>
            </w:tcBorders>
          </w:tcPr>
          <w:p w14:paraId="5F01957F" w14:textId="77777777" w:rsidR="00B776E0" w:rsidRPr="00F72173" w:rsidRDefault="00B776E0" w:rsidP="00F72173">
            <w:pPr>
              <w:spacing w:before="40" w:after="40"/>
              <w:rPr>
                <w:rFonts w:cs="Arial"/>
                <w:sz w:val="18"/>
              </w:rPr>
            </w:pPr>
            <w:r w:rsidRPr="00F72173">
              <w:rPr>
                <w:rFonts w:cs="Arial"/>
                <w:sz w:val="18"/>
              </w:rPr>
              <w:t>APTC investment</w:t>
            </w:r>
          </w:p>
        </w:tc>
        <w:tc>
          <w:tcPr>
            <w:tcW w:w="4423" w:type="dxa"/>
            <w:tcBorders>
              <w:top w:val="single" w:sz="4" w:space="0" w:color="A8D08D" w:themeColor="accent6" w:themeTint="99"/>
              <w:bottom w:val="single" w:sz="4" w:space="0" w:color="A8D08D" w:themeColor="accent6" w:themeTint="99"/>
            </w:tcBorders>
          </w:tcPr>
          <w:p w14:paraId="5AD11748" w14:textId="77777777" w:rsidR="003D355F" w:rsidRDefault="003D355F">
            <w:pPr>
              <w:spacing w:after="0"/>
              <w:rPr>
                <w:rFonts w:cs="Arial"/>
                <w:sz w:val="18"/>
              </w:rPr>
            </w:pPr>
          </w:p>
          <w:p w14:paraId="2276FF72" w14:textId="77777777" w:rsidR="003D355F" w:rsidRDefault="00B776E0">
            <w:pPr>
              <w:spacing w:after="0"/>
              <w:rPr>
                <w:rFonts w:cs="Arial"/>
                <w:sz w:val="18"/>
              </w:rPr>
            </w:pPr>
            <w:r w:rsidRPr="00F72173">
              <w:rPr>
                <w:rFonts w:cs="Arial"/>
                <w:sz w:val="18"/>
              </w:rPr>
              <w:t>Joint delivery and curriculum mapping</w:t>
            </w:r>
          </w:p>
          <w:p w14:paraId="4A328D88" w14:textId="77777777" w:rsidR="003D355F" w:rsidRDefault="00B776E0">
            <w:pPr>
              <w:spacing w:after="0"/>
              <w:rPr>
                <w:rFonts w:cs="Arial"/>
                <w:sz w:val="18"/>
              </w:rPr>
            </w:pPr>
            <w:r w:rsidRPr="00F72173">
              <w:rPr>
                <w:rFonts w:cs="Arial"/>
                <w:sz w:val="18"/>
              </w:rPr>
              <w:t>Capability enhancement</w:t>
            </w:r>
          </w:p>
          <w:p w14:paraId="106C8170" w14:textId="77777777" w:rsidR="003D355F" w:rsidRDefault="00B776E0">
            <w:pPr>
              <w:spacing w:after="0"/>
              <w:rPr>
                <w:rFonts w:cs="Arial"/>
                <w:sz w:val="18"/>
              </w:rPr>
            </w:pPr>
            <w:r w:rsidRPr="00F72173">
              <w:rPr>
                <w:rFonts w:cs="Arial"/>
                <w:sz w:val="18"/>
              </w:rPr>
              <w:t>Enhancement of training facilities</w:t>
            </w:r>
          </w:p>
          <w:p w14:paraId="2DAE4FCC" w14:textId="77777777" w:rsidR="003D355F" w:rsidRDefault="00B776E0">
            <w:pPr>
              <w:spacing w:after="0"/>
              <w:rPr>
                <w:rFonts w:cs="Arial"/>
                <w:sz w:val="18"/>
              </w:rPr>
            </w:pPr>
            <w:r w:rsidRPr="00F72173">
              <w:rPr>
                <w:rFonts w:cs="Arial"/>
                <w:sz w:val="18"/>
              </w:rPr>
              <w:t>Enhancement of general facilities</w:t>
            </w:r>
          </w:p>
          <w:p w14:paraId="13382219" w14:textId="77777777" w:rsidR="003D355F" w:rsidRDefault="00B776E0">
            <w:pPr>
              <w:spacing w:after="0"/>
              <w:rPr>
                <w:rFonts w:cs="Arial"/>
                <w:sz w:val="18"/>
              </w:rPr>
            </w:pPr>
            <w:r w:rsidRPr="00F72173">
              <w:rPr>
                <w:rFonts w:cs="Arial"/>
                <w:sz w:val="18"/>
              </w:rPr>
              <w:t>Student scholarships</w:t>
            </w:r>
          </w:p>
          <w:p w14:paraId="6B80DC84" w14:textId="77777777" w:rsidR="003D355F" w:rsidRDefault="00B776E0">
            <w:pPr>
              <w:spacing w:after="0"/>
              <w:rPr>
                <w:rFonts w:cs="Arial"/>
                <w:sz w:val="18"/>
              </w:rPr>
            </w:pPr>
            <w:r w:rsidRPr="00F72173">
              <w:rPr>
                <w:rFonts w:cs="Arial"/>
                <w:sz w:val="18"/>
              </w:rPr>
              <w:t>Communication and utilities costs</w:t>
            </w:r>
          </w:p>
          <w:p w14:paraId="4998A013" w14:textId="77777777" w:rsidR="003D355F" w:rsidRDefault="00B776E0">
            <w:pPr>
              <w:spacing w:after="0"/>
              <w:rPr>
                <w:rFonts w:cs="Arial"/>
                <w:b/>
                <w:sz w:val="18"/>
              </w:rPr>
            </w:pPr>
            <w:r w:rsidRPr="00F72173">
              <w:rPr>
                <w:rFonts w:cs="Arial"/>
                <w:b/>
                <w:sz w:val="18"/>
              </w:rPr>
              <w:t>Total</w:t>
            </w:r>
          </w:p>
        </w:tc>
        <w:tc>
          <w:tcPr>
            <w:tcW w:w="1560" w:type="dxa"/>
            <w:tcBorders>
              <w:top w:val="single" w:sz="4" w:space="0" w:color="A8D08D" w:themeColor="accent6" w:themeTint="99"/>
              <w:bottom w:val="single" w:sz="4" w:space="0" w:color="A8D08D" w:themeColor="accent6" w:themeTint="99"/>
            </w:tcBorders>
          </w:tcPr>
          <w:p w14:paraId="7F41D6EF" w14:textId="77777777" w:rsidR="003D355F" w:rsidRDefault="00B776E0">
            <w:pPr>
              <w:spacing w:after="0"/>
              <w:jc w:val="right"/>
              <w:rPr>
                <w:rFonts w:cs="Arial"/>
                <w:sz w:val="18"/>
              </w:rPr>
            </w:pPr>
            <w:r w:rsidRPr="00F72173">
              <w:rPr>
                <w:rFonts w:cs="Arial"/>
                <w:sz w:val="18"/>
              </w:rPr>
              <w:t>AUD</w:t>
            </w:r>
          </w:p>
          <w:p w14:paraId="1BDF8D75" w14:textId="77777777" w:rsidR="003D355F" w:rsidRDefault="00B776E0">
            <w:pPr>
              <w:spacing w:after="0"/>
              <w:jc w:val="right"/>
              <w:rPr>
                <w:rFonts w:cs="Arial"/>
                <w:sz w:val="18"/>
              </w:rPr>
            </w:pPr>
            <w:r w:rsidRPr="00F72173">
              <w:rPr>
                <w:rFonts w:cs="Arial"/>
                <w:sz w:val="18"/>
              </w:rPr>
              <w:t>975,470</w:t>
            </w:r>
          </w:p>
          <w:p w14:paraId="6A427414" w14:textId="77777777" w:rsidR="003D355F" w:rsidRDefault="00B776E0">
            <w:pPr>
              <w:spacing w:after="0"/>
              <w:jc w:val="right"/>
              <w:rPr>
                <w:rFonts w:cs="Arial"/>
                <w:sz w:val="18"/>
              </w:rPr>
            </w:pPr>
            <w:r w:rsidRPr="00F72173">
              <w:rPr>
                <w:rFonts w:cs="Arial"/>
                <w:sz w:val="18"/>
              </w:rPr>
              <w:t>187,500</w:t>
            </w:r>
          </w:p>
          <w:p w14:paraId="126C1469" w14:textId="77777777" w:rsidR="003D355F" w:rsidRDefault="00B776E0">
            <w:pPr>
              <w:spacing w:after="0"/>
              <w:jc w:val="right"/>
              <w:rPr>
                <w:rFonts w:cs="Arial"/>
                <w:sz w:val="18"/>
              </w:rPr>
            </w:pPr>
            <w:r w:rsidRPr="00F72173">
              <w:rPr>
                <w:rFonts w:cs="Arial"/>
                <w:sz w:val="18"/>
              </w:rPr>
              <w:t>555,000</w:t>
            </w:r>
          </w:p>
          <w:p w14:paraId="5757BE42" w14:textId="77777777" w:rsidR="003D355F" w:rsidRDefault="00B776E0">
            <w:pPr>
              <w:spacing w:after="0"/>
              <w:jc w:val="right"/>
              <w:rPr>
                <w:rFonts w:cs="Arial"/>
                <w:sz w:val="18"/>
              </w:rPr>
            </w:pPr>
            <w:r w:rsidRPr="00F72173">
              <w:rPr>
                <w:rFonts w:cs="Arial"/>
                <w:sz w:val="18"/>
              </w:rPr>
              <w:t>145,500</w:t>
            </w:r>
          </w:p>
          <w:p w14:paraId="5C2ADA11" w14:textId="77777777" w:rsidR="003D355F" w:rsidRDefault="00B776E0">
            <w:pPr>
              <w:spacing w:after="0"/>
              <w:jc w:val="right"/>
              <w:rPr>
                <w:rFonts w:cs="Arial"/>
                <w:sz w:val="18"/>
              </w:rPr>
            </w:pPr>
            <w:r w:rsidRPr="00F72173">
              <w:rPr>
                <w:rFonts w:cs="Arial"/>
                <w:sz w:val="18"/>
              </w:rPr>
              <w:t>50,000</w:t>
            </w:r>
          </w:p>
          <w:p w14:paraId="72FCB42F" w14:textId="77777777" w:rsidR="003D355F" w:rsidRDefault="00B776E0">
            <w:pPr>
              <w:spacing w:after="0"/>
              <w:jc w:val="right"/>
              <w:rPr>
                <w:rFonts w:cs="Arial"/>
                <w:sz w:val="18"/>
                <w:u w:val="single"/>
              </w:rPr>
            </w:pPr>
            <w:r w:rsidRPr="00F72173">
              <w:rPr>
                <w:rFonts w:cs="Arial"/>
                <w:sz w:val="18"/>
                <w:u w:val="single"/>
              </w:rPr>
              <w:t>176,030</w:t>
            </w:r>
          </w:p>
          <w:p w14:paraId="6399727F" w14:textId="77777777" w:rsidR="003D355F" w:rsidRDefault="00B776E0">
            <w:pPr>
              <w:spacing w:after="0"/>
              <w:jc w:val="right"/>
              <w:rPr>
                <w:rFonts w:cs="Arial"/>
                <w:b/>
                <w:sz w:val="18"/>
              </w:rPr>
            </w:pPr>
            <w:r w:rsidRPr="00F72173">
              <w:rPr>
                <w:rFonts w:cs="Arial"/>
                <w:b/>
                <w:sz w:val="18"/>
              </w:rPr>
              <w:t>2,089,500</w:t>
            </w:r>
          </w:p>
        </w:tc>
        <w:tc>
          <w:tcPr>
            <w:tcW w:w="306" w:type="dxa"/>
            <w:tcBorders>
              <w:top w:val="single" w:sz="4" w:space="0" w:color="A8D08D" w:themeColor="accent6" w:themeTint="99"/>
              <w:bottom w:val="single" w:sz="4" w:space="0" w:color="A8D08D" w:themeColor="accent6" w:themeTint="99"/>
            </w:tcBorders>
          </w:tcPr>
          <w:p w14:paraId="10CA630F" w14:textId="77777777" w:rsidR="00B776E0" w:rsidRPr="00F72173" w:rsidRDefault="00B776E0" w:rsidP="00F72173">
            <w:pPr>
              <w:spacing w:before="40" w:after="40"/>
              <w:rPr>
                <w:rFonts w:cs="Arial"/>
                <w:sz w:val="18"/>
              </w:rPr>
            </w:pPr>
          </w:p>
        </w:tc>
      </w:tr>
    </w:tbl>
    <w:p w14:paraId="1CFF2C7D" w14:textId="77777777" w:rsidR="00B776E0" w:rsidRPr="002113B5" w:rsidRDefault="00B776E0" w:rsidP="00B776E0">
      <w:pPr>
        <w:rPr>
          <w:rFonts w:cs="Arial"/>
        </w:rPr>
      </w:pPr>
    </w:p>
    <w:p w14:paraId="045A85F0" w14:textId="77777777" w:rsidR="00B776E0" w:rsidRPr="002113B5" w:rsidRDefault="00B776E0" w:rsidP="00B776E0">
      <w:pPr>
        <w:rPr>
          <w:rFonts w:cs="Arial"/>
        </w:rPr>
      </w:pPr>
      <w:r w:rsidRPr="002113B5">
        <w:rPr>
          <w:rFonts w:cs="Arial"/>
        </w:rPr>
        <w:t>DBTI caters for students from generally poor families with limited opportunity for vocational training. Upgrading of the automotive and construction workshops and joint delivery of Certificate II level programs by Australian and national staff has attracted increased numbers of students. Successful students will have the opportunity to apply for an APTC scholarship to complete level III.</w:t>
      </w:r>
    </w:p>
    <w:p w14:paraId="473EA7EE" w14:textId="77777777" w:rsidR="00F440CA" w:rsidRDefault="00F440CA" w:rsidP="00F72173">
      <w:pPr>
        <w:rPr>
          <w:rFonts w:cs="Arial"/>
          <w:b/>
          <w:bCs/>
          <w:color w:val="76923C"/>
        </w:rPr>
      </w:pPr>
    </w:p>
    <w:p w14:paraId="1FD10974" w14:textId="401380BD" w:rsidR="00B776E0" w:rsidRPr="00F72173" w:rsidRDefault="00F440CA" w:rsidP="00F72173">
      <w:pPr>
        <w:rPr>
          <w:rFonts w:cs="Arial"/>
          <w:b/>
          <w:bCs/>
          <w:color w:val="76923C"/>
        </w:rPr>
      </w:pPr>
      <w:r w:rsidRPr="00F72173">
        <w:rPr>
          <w:rFonts w:cs="Arial"/>
          <w:b/>
          <w:bCs/>
          <w:color w:val="76923C"/>
        </w:rPr>
        <w:t>VANUATU</w:t>
      </w:r>
      <w:r>
        <w:rPr>
          <w:rFonts w:cs="Arial"/>
          <w:b/>
          <w:bCs/>
          <w:color w:val="76923C"/>
        </w:rPr>
        <w:br/>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5818"/>
      </w:tblGrid>
      <w:tr w:rsidR="00B776E0" w:rsidRPr="00F72173" w14:paraId="7328C33B" w14:textId="77777777" w:rsidTr="00E378DA">
        <w:tc>
          <w:tcPr>
            <w:tcW w:w="8659" w:type="dxa"/>
            <w:gridSpan w:val="2"/>
            <w:shd w:val="clear" w:color="auto" w:fill="C5E0B3" w:themeFill="accent6" w:themeFillTint="66"/>
          </w:tcPr>
          <w:p w14:paraId="316462A3" w14:textId="77777777" w:rsidR="00B776E0" w:rsidRPr="00F72173" w:rsidRDefault="00B776E0" w:rsidP="00F72173">
            <w:pPr>
              <w:spacing w:before="40" w:after="40"/>
              <w:rPr>
                <w:rFonts w:cs="Arial"/>
                <w:b/>
                <w:sz w:val="18"/>
              </w:rPr>
            </w:pPr>
            <w:r w:rsidRPr="00F72173">
              <w:rPr>
                <w:rFonts w:cs="Arial"/>
                <w:b/>
                <w:sz w:val="18"/>
              </w:rPr>
              <w:t>Partner Institution: Vanuatu Institute of Technology (VIT)</w:t>
            </w:r>
          </w:p>
        </w:tc>
      </w:tr>
      <w:tr w:rsidR="00B776E0" w:rsidRPr="00F72173" w14:paraId="0BB1E040" w14:textId="77777777" w:rsidTr="00E378DA">
        <w:tc>
          <w:tcPr>
            <w:tcW w:w="2518" w:type="dxa"/>
            <w:tcBorders>
              <w:bottom w:val="single" w:sz="4" w:space="0" w:color="A8D08D" w:themeColor="accent6" w:themeTint="99"/>
            </w:tcBorders>
          </w:tcPr>
          <w:p w14:paraId="7DD69B3A" w14:textId="77777777" w:rsidR="00B776E0" w:rsidRPr="00F72173" w:rsidRDefault="00B776E0" w:rsidP="00F72173">
            <w:pPr>
              <w:spacing w:before="40" w:after="40"/>
              <w:rPr>
                <w:rFonts w:cs="Arial"/>
                <w:sz w:val="18"/>
              </w:rPr>
            </w:pPr>
            <w:r w:rsidRPr="00F72173">
              <w:rPr>
                <w:rFonts w:cs="Arial"/>
                <w:sz w:val="18"/>
              </w:rPr>
              <w:t>Sector</w:t>
            </w:r>
          </w:p>
        </w:tc>
        <w:tc>
          <w:tcPr>
            <w:tcW w:w="6141" w:type="dxa"/>
            <w:tcBorders>
              <w:bottom w:val="single" w:sz="4" w:space="0" w:color="A8D08D" w:themeColor="accent6" w:themeTint="99"/>
            </w:tcBorders>
          </w:tcPr>
          <w:p w14:paraId="2D0DF662" w14:textId="77777777" w:rsidR="00B776E0" w:rsidRPr="00F72173" w:rsidRDefault="00B776E0" w:rsidP="00F72173">
            <w:pPr>
              <w:spacing w:before="40" w:after="40"/>
              <w:rPr>
                <w:rFonts w:cs="Arial"/>
                <w:sz w:val="18"/>
              </w:rPr>
            </w:pPr>
            <w:r w:rsidRPr="00F72173">
              <w:rPr>
                <w:rFonts w:cs="Arial"/>
                <w:sz w:val="18"/>
              </w:rPr>
              <w:t>Technical Institution</w:t>
            </w:r>
          </w:p>
        </w:tc>
      </w:tr>
      <w:tr w:rsidR="00B776E0" w:rsidRPr="00F72173" w14:paraId="5EFBF557" w14:textId="77777777" w:rsidTr="00E378DA">
        <w:tc>
          <w:tcPr>
            <w:tcW w:w="2518" w:type="dxa"/>
            <w:tcBorders>
              <w:top w:val="single" w:sz="4" w:space="0" w:color="A8D08D" w:themeColor="accent6" w:themeTint="99"/>
              <w:bottom w:val="single" w:sz="4" w:space="0" w:color="A8D08D" w:themeColor="accent6" w:themeTint="99"/>
            </w:tcBorders>
          </w:tcPr>
          <w:p w14:paraId="41F4B823" w14:textId="77777777" w:rsidR="00B776E0" w:rsidRPr="00F72173" w:rsidRDefault="00B776E0" w:rsidP="00244FC1">
            <w:pPr>
              <w:spacing w:before="40" w:after="40"/>
              <w:rPr>
                <w:rFonts w:cs="Arial"/>
                <w:sz w:val="18"/>
              </w:rPr>
            </w:pPr>
            <w:r w:rsidRPr="00F72173">
              <w:rPr>
                <w:rFonts w:cs="Arial"/>
                <w:sz w:val="18"/>
              </w:rPr>
              <w:t xml:space="preserve">Description of </w:t>
            </w:r>
            <w:r w:rsidR="00244FC1">
              <w:rPr>
                <w:rFonts w:cs="Arial"/>
                <w:sz w:val="18"/>
              </w:rPr>
              <w:t>p</w:t>
            </w:r>
            <w:r w:rsidR="00244FC1" w:rsidRPr="00F72173">
              <w:rPr>
                <w:rFonts w:cs="Arial"/>
                <w:sz w:val="18"/>
              </w:rPr>
              <w:t>artner</w:t>
            </w:r>
          </w:p>
        </w:tc>
        <w:tc>
          <w:tcPr>
            <w:tcW w:w="6141" w:type="dxa"/>
            <w:tcBorders>
              <w:top w:val="single" w:sz="4" w:space="0" w:color="A8D08D" w:themeColor="accent6" w:themeTint="99"/>
              <w:bottom w:val="single" w:sz="4" w:space="0" w:color="A8D08D" w:themeColor="accent6" w:themeTint="99"/>
            </w:tcBorders>
          </w:tcPr>
          <w:p w14:paraId="6448FC17" w14:textId="77777777" w:rsidR="00B776E0" w:rsidRPr="00F72173" w:rsidRDefault="00B776E0" w:rsidP="00F72173">
            <w:pPr>
              <w:spacing w:before="40" w:after="40"/>
              <w:rPr>
                <w:rFonts w:cs="Arial"/>
                <w:sz w:val="18"/>
              </w:rPr>
            </w:pPr>
            <w:r w:rsidRPr="00F72173">
              <w:rPr>
                <w:rFonts w:cs="Arial"/>
                <w:color w:val="333333"/>
                <w:sz w:val="18"/>
                <w:lang w:val="en-US"/>
              </w:rPr>
              <w:t xml:space="preserve">Established in 2001, Vanuatu Institute of Technology (VIT) is the major Vanuatu government-funded bilingual tertiary institution. Located in Port Vila, VIT has a focus on providing students with relevant skills to enter the job market. As a nationally registered training provider, all courses are accredited under the Vanuatu National Training Council (VNTC). </w:t>
            </w:r>
          </w:p>
        </w:tc>
      </w:tr>
      <w:tr w:rsidR="00B776E0" w:rsidRPr="00F72173" w14:paraId="7E2B6374" w14:textId="77777777" w:rsidTr="00E378DA">
        <w:tc>
          <w:tcPr>
            <w:tcW w:w="2518" w:type="dxa"/>
            <w:tcBorders>
              <w:top w:val="single" w:sz="4" w:space="0" w:color="A8D08D" w:themeColor="accent6" w:themeTint="99"/>
              <w:bottom w:val="single" w:sz="4" w:space="0" w:color="A8D08D" w:themeColor="accent6" w:themeTint="99"/>
            </w:tcBorders>
          </w:tcPr>
          <w:p w14:paraId="02FFF588" w14:textId="77777777" w:rsidR="00B776E0" w:rsidRPr="00F72173" w:rsidRDefault="00B776E0" w:rsidP="00244FC1">
            <w:pPr>
              <w:spacing w:before="40" w:after="40"/>
              <w:rPr>
                <w:rFonts w:cs="Arial"/>
                <w:sz w:val="18"/>
              </w:rPr>
            </w:pPr>
            <w:r w:rsidRPr="00F72173">
              <w:rPr>
                <w:rFonts w:cs="Arial"/>
                <w:sz w:val="18"/>
              </w:rPr>
              <w:t xml:space="preserve">Date of </w:t>
            </w:r>
            <w:r w:rsidR="00244FC1">
              <w:rPr>
                <w:rFonts w:cs="Arial"/>
                <w:sz w:val="18"/>
              </w:rPr>
              <w:t>a</w:t>
            </w:r>
            <w:r w:rsidR="00244FC1" w:rsidRPr="00F72173">
              <w:rPr>
                <w:rFonts w:cs="Arial"/>
                <w:sz w:val="18"/>
              </w:rPr>
              <w:t>greement</w:t>
            </w:r>
          </w:p>
        </w:tc>
        <w:tc>
          <w:tcPr>
            <w:tcW w:w="6141" w:type="dxa"/>
            <w:tcBorders>
              <w:top w:val="single" w:sz="4" w:space="0" w:color="A8D08D" w:themeColor="accent6" w:themeTint="99"/>
              <w:bottom w:val="single" w:sz="4" w:space="0" w:color="A8D08D" w:themeColor="accent6" w:themeTint="99"/>
            </w:tcBorders>
          </w:tcPr>
          <w:p w14:paraId="307B1D9A" w14:textId="77777777" w:rsidR="00B776E0" w:rsidRPr="00F72173" w:rsidRDefault="00B776E0" w:rsidP="00F72173">
            <w:pPr>
              <w:spacing w:before="40" w:after="40"/>
              <w:rPr>
                <w:rFonts w:cs="Arial"/>
                <w:sz w:val="18"/>
              </w:rPr>
            </w:pPr>
            <w:r w:rsidRPr="00F72173">
              <w:rPr>
                <w:rFonts w:cs="Arial"/>
                <w:sz w:val="18"/>
              </w:rPr>
              <w:t>01.07.2012</w:t>
            </w:r>
          </w:p>
        </w:tc>
      </w:tr>
      <w:tr w:rsidR="00B776E0" w:rsidRPr="00F72173" w14:paraId="01099D85" w14:textId="77777777" w:rsidTr="00E378DA">
        <w:tc>
          <w:tcPr>
            <w:tcW w:w="2518" w:type="dxa"/>
            <w:tcBorders>
              <w:top w:val="single" w:sz="4" w:space="0" w:color="A8D08D" w:themeColor="accent6" w:themeTint="99"/>
              <w:bottom w:val="single" w:sz="4" w:space="0" w:color="A8D08D" w:themeColor="accent6" w:themeTint="99"/>
            </w:tcBorders>
          </w:tcPr>
          <w:p w14:paraId="6193470F" w14:textId="77777777" w:rsidR="00B776E0" w:rsidRPr="00F72173" w:rsidRDefault="00B776E0" w:rsidP="00244FC1">
            <w:pPr>
              <w:spacing w:before="40" w:after="40"/>
              <w:rPr>
                <w:rFonts w:cs="Arial"/>
                <w:sz w:val="18"/>
              </w:rPr>
            </w:pPr>
            <w:r w:rsidRPr="00F72173">
              <w:rPr>
                <w:rFonts w:cs="Arial"/>
                <w:sz w:val="18"/>
              </w:rPr>
              <w:t xml:space="preserve">Date of </w:t>
            </w:r>
            <w:r w:rsidR="00244FC1">
              <w:rPr>
                <w:rFonts w:cs="Arial"/>
                <w:sz w:val="18"/>
              </w:rPr>
              <w:t>t</w:t>
            </w:r>
            <w:r w:rsidR="00244FC1" w:rsidRPr="00F72173">
              <w:rPr>
                <w:rFonts w:cs="Arial"/>
                <w:sz w:val="18"/>
              </w:rPr>
              <w:t>ermination</w:t>
            </w:r>
          </w:p>
        </w:tc>
        <w:tc>
          <w:tcPr>
            <w:tcW w:w="6141" w:type="dxa"/>
            <w:tcBorders>
              <w:top w:val="single" w:sz="4" w:space="0" w:color="A8D08D" w:themeColor="accent6" w:themeTint="99"/>
              <w:bottom w:val="single" w:sz="4" w:space="0" w:color="A8D08D" w:themeColor="accent6" w:themeTint="99"/>
            </w:tcBorders>
          </w:tcPr>
          <w:p w14:paraId="6A19F645" w14:textId="77777777" w:rsidR="00B776E0" w:rsidRPr="00F72173" w:rsidRDefault="00B776E0" w:rsidP="00F72173">
            <w:pPr>
              <w:spacing w:before="40" w:after="40"/>
              <w:rPr>
                <w:rFonts w:cs="Arial"/>
                <w:sz w:val="18"/>
              </w:rPr>
            </w:pPr>
            <w:r w:rsidRPr="00F72173">
              <w:rPr>
                <w:rFonts w:cs="Arial"/>
                <w:sz w:val="18"/>
              </w:rPr>
              <w:t>30.06.15</w:t>
            </w:r>
          </w:p>
        </w:tc>
      </w:tr>
      <w:tr w:rsidR="00B776E0" w:rsidRPr="00F72173" w14:paraId="2EA205C2" w14:textId="77777777" w:rsidTr="00E378DA">
        <w:tc>
          <w:tcPr>
            <w:tcW w:w="2518" w:type="dxa"/>
            <w:tcBorders>
              <w:top w:val="single" w:sz="4" w:space="0" w:color="A8D08D" w:themeColor="accent6" w:themeTint="99"/>
              <w:bottom w:val="single" w:sz="4" w:space="0" w:color="A8D08D" w:themeColor="accent6" w:themeTint="99"/>
            </w:tcBorders>
          </w:tcPr>
          <w:p w14:paraId="68ECB2BB" w14:textId="49BD240F" w:rsidR="00B776E0" w:rsidRPr="00F72173" w:rsidRDefault="00B776E0" w:rsidP="00244FC1">
            <w:pPr>
              <w:spacing w:before="40" w:after="40"/>
              <w:rPr>
                <w:rFonts w:cs="Arial"/>
                <w:sz w:val="18"/>
              </w:rPr>
            </w:pPr>
            <w:r w:rsidRPr="00F72173">
              <w:rPr>
                <w:rFonts w:cs="Arial"/>
                <w:sz w:val="18"/>
              </w:rPr>
              <w:t xml:space="preserve">LOA </w:t>
            </w:r>
            <w:r w:rsidR="00244FC1">
              <w:rPr>
                <w:rFonts w:cs="Arial"/>
                <w:sz w:val="18"/>
              </w:rPr>
              <w:t>d</w:t>
            </w:r>
            <w:r w:rsidR="00244FC1" w:rsidRPr="00F72173">
              <w:rPr>
                <w:rFonts w:cs="Arial"/>
                <w:sz w:val="18"/>
              </w:rPr>
              <w:t xml:space="preserve">escription </w:t>
            </w:r>
            <w:r w:rsidRPr="00F72173">
              <w:rPr>
                <w:rFonts w:cs="Arial"/>
                <w:sz w:val="18"/>
              </w:rPr>
              <w:t xml:space="preserve">of </w:t>
            </w:r>
            <w:r w:rsidR="00F440CA">
              <w:rPr>
                <w:rFonts w:cs="Arial"/>
                <w:sz w:val="18"/>
              </w:rPr>
              <w:br/>
            </w:r>
            <w:r w:rsidRPr="00F72173">
              <w:rPr>
                <w:rFonts w:cs="Arial"/>
                <w:sz w:val="18"/>
              </w:rPr>
              <w:t xml:space="preserve">APTC support </w:t>
            </w:r>
          </w:p>
        </w:tc>
        <w:tc>
          <w:tcPr>
            <w:tcW w:w="6141" w:type="dxa"/>
            <w:tcBorders>
              <w:top w:val="single" w:sz="4" w:space="0" w:color="A8D08D" w:themeColor="accent6" w:themeTint="99"/>
              <w:bottom w:val="single" w:sz="4" w:space="0" w:color="A8D08D" w:themeColor="accent6" w:themeTint="99"/>
            </w:tcBorders>
          </w:tcPr>
          <w:p w14:paraId="5B91B1B6" w14:textId="77777777" w:rsidR="00B776E0" w:rsidRPr="00F72173" w:rsidRDefault="00B776E0" w:rsidP="00F72173">
            <w:pPr>
              <w:spacing w:before="40" w:after="40"/>
              <w:rPr>
                <w:rFonts w:cs="Arial"/>
                <w:sz w:val="18"/>
              </w:rPr>
            </w:pPr>
            <w:r w:rsidRPr="00F72173">
              <w:rPr>
                <w:rFonts w:cs="Arial"/>
                <w:sz w:val="18"/>
              </w:rPr>
              <w:t>Collaboration on developing institution capability and capacity in areas such as:</w:t>
            </w:r>
          </w:p>
          <w:p w14:paraId="7F5B6922" w14:textId="77777777" w:rsidR="00B776E0" w:rsidRPr="00F72173" w:rsidRDefault="00B776E0" w:rsidP="00260880">
            <w:pPr>
              <w:numPr>
                <w:ilvl w:val="0"/>
                <w:numId w:val="36"/>
              </w:numPr>
              <w:spacing w:before="40" w:after="40"/>
              <w:rPr>
                <w:rFonts w:cs="Arial"/>
                <w:sz w:val="18"/>
              </w:rPr>
            </w:pPr>
            <w:r w:rsidRPr="00F72173">
              <w:rPr>
                <w:rFonts w:cs="Arial"/>
                <w:sz w:val="18"/>
              </w:rPr>
              <w:t>Leadership and governance support and development</w:t>
            </w:r>
          </w:p>
          <w:p w14:paraId="70DD2B45" w14:textId="77777777" w:rsidR="00B776E0" w:rsidRPr="00F72173" w:rsidRDefault="00B776E0" w:rsidP="00260880">
            <w:pPr>
              <w:numPr>
                <w:ilvl w:val="0"/>
                <w:numId w:val="36"/>
              </w:numPr>
              <w:spacing w:before="40" w:after="40"/>
              <w:rPr>
                <w:rFonts w:cs="Arial"/>
                <w:sz w:val="18"/>
              </w:rPr>
            </w:pPr>
            <w:r w:rsidRPr="00F72173">
              <w:rPr>
                <w:rFonts w:cs="Arial"/>
                <w:sz w:val="18"/>
              </w:rPr>
              <w:t>Staff training and development</w:t>
            </w:r>
          </w:p>
          <w:p w14:paraId="6FD1E1E3" w14:textId="77777777" w:rsidR="00B776E0" w:rsidRPr="00F72173" w:rsidRDefault="00B776E0" w:rsidP="00260880">
            <w:pPr>
              <w:numPr>
                <w:ilvl w:val="0"/>
                <w:numId w:val="36"/>
              </w:numPr>
              <w:spacing w:before="40" w:after="40"/>
              <w:rPr>
                <w:rFonts w:cs="Arial"/>
                <w:sz w:val="18"/>
              </w:rPr>
            </w:pPr>
            <w:r w:rsidRPr="00F72173">
              <w:rPr>
                <w:rFonts w:cs="Arial"/>
                <w:sz w:val="18"/>
              </w:rPr>
              <w:t>Facilities and equipment upgrades</w:t>
            </w:r>
          </w:p>
          <w:p w14:paraId="61D3A9FD" w14:textId="45EE8137" w:rsidR="00B776E0" w:rsidRPr="00F72173" w:rsidRDefault="00B776E0" w:rsidP="00260880">
            <w:pPr>
              <w:numPr>
                <w:ilvl w:val="0"/>
                <w:numId w:val="36"/>
              </w:numPr>
              <w:spacing w:before="40" w:after="40"/>
              <w:rPr>
                <w:rFonts w:cs="Arial"/>
                <w:sz w:val="18"/>
              </w:rPr>
            </w:pPr>
            <w:r w:rsidRPr="00F72173">
              <w:rPr>
                <w:rFonts w:cs="Arial"/>
                <w:sz w:val="18"/>
              </w:rPr>
              <w:t xml:space="preserve">Student services and support, including accommodation </w:t>
            </w:r>
            <w:r w:rsidR="009257B3">
              <w:rPr>
                <w:rFonts w:cs="Arial"/>
                <w:sz w:val="18"/>
              </w:rPr>
              <w:br/>
            </w:r>
            <w:r w:rsidRPr="00F72173">
              <w:rPr>
                <w:rFonts w:cs="Arial"/>
                <w:sz w:val="18"/>
              </w:rPr>
              <w:t>(if applicable)</w:t>
            </w:r>
          </w:p>
          <w:p w14:paraId="102D37BD" w14:textId="77777777" w:rsidR="00B776E0" w:rsidRPr="00F72173" w:rsidRDefault="00B776E0" w:rsidP="00260880">
            <w:pPr>
              <w:numPr>
                <w:ilvl w:val="0"/>
                <w:numId w:val="36"/>
              </w:numPr>
              <w:spacing w:before="40" w:after="40"/>
              <w:rPr>
                <w:rFonts w:cs="Arial"/>
                <w:sz w:val="18"/>
              </w:rPr>
            </w:pPr>
            <w:r w:rsidRPr="00F72173">
              <w:rPr>
                <w:rFonts w:cs="Arial"/>
                <w:sz w:val="18"/>
              </w:rPr>
              <w:t>Teaching methodologies, mentoring and experiences</w:t>
            </w:r>
          </w:p>
          <w:p w14:paraId="31C0058F" w14:textId="77777777" w:rsidR="00B776E0" w:rsidRPr="00F72173" w:rsidRDefault="00B776E0" w:rsidP="00260880">
            <w:pPr>
              <w:numPr>
                <w:ilvl w:val="0"/>
                <w:numId w:val="36"/>
              </w:numPr>
              <w:spacing w:before="40" w:after="40"/>
              <w:rPr>
                <w:rFonts w:cs="Arial"/>
                <w:sz w:val="18"/>
              </w:rPr>
            </w:pPr>
            <w:r w:rsidRPr="00F72173">
              <w:rPr>
                <w:rFonts w:cs="Arial"/>
                <w:sz w:val="18"/>
              </w:rPr>
              <w:t>Curriculum design and development</w:t>
            </w:r>
          </w:p>
        </w:tc>
      </w:tr>
      <w:tr w:rsidR="00B776E0" w:rsidRPr="00F72173" w14:paraId="037BF40C" w14:textId="77777777" w:rsidTr="00E378DA">
        <w:tc>
          <w:tcPr>
            <w:tcW w:w="2518" w:type="dxa"/>
            <w:tcBorders>
              <w:top w:val="single" w:sz="4" w:space="0" w:color="A8D08D" w:themeColor="accent6" w:themeTint="99"/>
              <w:bottom w:val="single" w:sz="4" w:space="0" w:color="A8D08D" w:themeColor="accent6" w:themeTint="99"/>
            </w:tcBorders>
          </w:tcPr>
          <w:p w14:paraId="18C3AFE8" w14:textId="77777777" w:rsidR="00B776E0" w:rsidRPr="00F72173" w:rsidRDefault="00B776E0" w:rsidP="00F72173">
            <w:pPr>
              <w:spacing w:before="40" w:after="40"/>
              <w:rPr>
                <w:rFonts w:cs="Arial"/>
                <w:sz w:val="18"/>
              </w:rPr>
            </w:pPr>
            <w:r w:rsidRPr="00F72173">
              <w:rPr>
                <w:rFonts w:cs="Arial"/>
                <w:sz w:val="18"/>
              </w:rPr>
              <w:t>APTC investment</w:t>
            </w:r>
          </w:p>
        </w:tc>
        <w:tc>
          <w:tcPr>
            <w:tcW w:w="6141" w:type="dxa"/>
            <w:tcBorders>
              <w:top w:val="single" w:sz="4" w:space="0" w:color="A8D08D" w:themeColor="accent6" w:themeTint="99"/>
              <w:bottom w:val="single" w:sz="4" w:space="0" w:color="A8D08D" w:themeColor="accent6" w:themeTint="99"/>
            </w:tcBorders>
          </w:tcPr>
          <w:p w14:paraId="26401540" w14:textId="77777777" w:rsidR="00B776E0" w:rsidRPr="00F72173" w:rsidRDefault="00B776E0" w:rsidP="00F72173">
            <w:pPr>
              <w:spacing w:before="40" w:after="40"/>
              <w:rPr>
                <w:rFonts w:cs="Arial"/>
                <w:sz w:val="18"/>
              </w:rPr>
            </w:pPr>
            <w:r w:rsidRPr="00F72173">
              <w:rPr>
                <w:rFonts w:cs="Arial"/>
                <w:sz w:val="18"/>
              </w:rPr>
              <w:t>AUD935,000</w:t>
            </w:r>
          </w:p>
        </w:tc>
      </w:tr>
    </w:tbl>
    <w:p w14:paraId="454E21E3" w14:textId="77777777" w:rsidR="00B776E0" w:rsidRPr="002113B5" w:rsidRDefault="00B776E0" w:rsidP="00B776E0">
      <w:pPr>
        <w:rPr>
          <w:rFonts w:cs="Arial"/>
        </w:rPr>
      </w:pPr>
    </w:p>
    <w:p w14:paraId="6176DDC6" w14:textId="77777777" w:rsidR="00B776E0" w:rsidRPr="002113B5" w:rsidRDefault="00B776E0" w:rsidP="00B776E0">
      <w:pPr>
        <w:rPr>
          <w:rFonts w:cs="Arial"/>
        </w:rPr>
      </w:pPr>
      <w:r w:rsidRPr="002113B5">
        <w:rPr>
          <w:rFonts w:cs="Arial"/>
        </w:rPr>
        <w:t xml:space="preserve">This LOA is an extension of the first one, which was signed in September 2007. The partnership is now well-established. </w:t>
      </w:r>
    </w:p>
    <w:p w14:paraId="2826ECBE" w14:textId="77777777" w:rsidR="00B776E0" w:rsidRPr="002113B5" w:rsidRDefault="00B776E0" w:rsidP="00B776E0">
      <w:pPr>
        <w:rPr>
          <w:rFonts w:cs="Arial"/>
        </w:rPr>
      </w:pPr>
    </w:p>
    <w:p w14:paraId="5B3954F0" w14:textId="77777777" w:rsidR="009A63BD" w:rsidRDefault="009A63BD">
      <w:pPr>
        <w:spacing w:after="0"/>
        <w:rPr>
          <w:rFonts w:cs="Arial"/>
          <w:b/>
          <w:bCs/>
          <w:color w:val="76923C"/>
          <w:sz w:val="24"/>
        </w:rPr>
      </w:pPr>
      <w:r>
        <w:rPr>
          <w:rFonts w:cs="Arial"/>
          <w:b/>
          <w:bCs/>
          <w:color w:val="76923C"/>
          <w:sz w:val="24"/>
        </w:rPr>
        <w:br w:type="page"/>
      </w:r>
    </w:p>
    <w:p w14:paraId="7854F981" w14:textId="0618D9CE" w:rsidR="00B776E0" w:rsidRPr="00F72173" w:rsidRDefault="005C70F2" w:rsidP="005C70F2">
      <w:pPr>
        <w:pStyle w:val="Heading2"/>
      </w:pPr>
      <w:bookmarkStart w:id="764" w:name="_Toc278447936"/>
      <w:bookmarkStart w:id="765" w:name="_Toc278453409"/>
      <w:r>
        <w:t>2.</w:t>
      </w:r>
      <w:r>
        <w:tab/>
      </w:r>
      <w:r w:rsidR="00B776E0" w:rsidRPr="00F72173">
        <w:t xml:space="preserve">APTC </w:t>
      </w:r>
      <w:r w:rsidR="00333120">
        <w:t>e</w:t>
      </w:r>
      <w:r w:rsidR="00333120" w:rsidRPr="00F72173">
        <w:t xml:space="preserve">ngagement </w:t>
      </w:r>
      <w:r w:rsidR="00B776E0" w:rsidRPr="00F72173">
        <w:t xml:space="preserve">with </w:t>
      </w:r>
      <w:r w:rsidR="00F72173">
        <w:t>p</w:t>
      </w:r>
      <w:r w:rsidR="00B776E0" w:rsidRPr="00F72173">
        <w:t xml:space="preserve">artner </w:t>
      </w:r>
      <w:r w:rsidR="00F72173">
        <w:t>i</w:t>
      </w:r>
      <w:r w:rsidR="00B776E0" w:rsidRPr="00F72173">
        <w:t xml:space="preserve">nstitutions in </w:t>
      </w:r>
      <w:r w:rsidR="00F72173">
        <w:t>n</w:t>
      </w:r>
      <w:r w:rsidR="00B776E0" w:rsidRPr="00F72173">
        <w:t>on-</w:t>
      </w:r>
      <w:r w:rsidR="00F72173">
        <w:t>c</w:t>
      </w:r>
      <w:r w:rsidR="00B776E0" w:rsidRPr="00F72173">
        <w:t xml:space="preserve">ampus </w:t>
      </w:r>
      <w:r w:rsidR="00F72173">
        <w:t>c</w:t>
      </w:r>
      <w:r w:rsidR="00B776E0" w:rsidRPr="00F72173">
        <w:t xml:space="preserve">ountries – </w:t>
      </w:r>
      <w:r>
        <w:br/>
      </w:r>
      <w:r>
        <w:tab/>
      </w:r>
      <w:r w:rsidR="00B776E0" w:rsidRPr="00F72173">
        <w:t xml:space="preserve">as outlined in </w:t>
      </w:r>
      <w:r w:rsidR="00F72173">
        <w:t>f</w:t>
      </w:r>
      <w:r w:rsidR="00B776E0" w:rsidRPr="00F72173">
        <w:t xml:space="preserve">ormal </w:t>
      </w:r>
      <w:r w:rsidR="00F72173">
        <w:t>a</w:t>
      </w:r>
      <w:r w:rsidR="00B776E0" w:rsidRPr="00F72173">
        <w:t>greements</w:t>
      </w:r>
      <w:bookmarkEnd w:id="764"/>
      <w:bookmarkEnd w:id="765"/>
    </w:p>
    <w:p w14:paraId="6EF4CAD0" w14:textId="77777777" w:rsidR="00F72173" w:rsidRDefault="00F72173" w:rsidP="00F72173">
      <w:pPr>
        <w:rPr>
          <w:rFonts w:cs="Arial"/>
        </w:rPr>
      </w:pPr>
    </w:p>
    <w:p w14:paraId="40157EA1" w14:textId="77777777" w:rsidR="00B776E0" w:rsidRPr="002113B5" w:rsidRDefault="00B776E0" w:rsidP="00F72173">
      <w:pPr>
        <w:rPr>
          <w:rFonts w:cs="Arial"/>
        </w:rPr>
      </w:pPr>
      <w:r w:rsidRPr="002113B5">
        <w:rPr>
          <w:rFonts w:cs="Arial"/>
        </w:rPr>
        <w:t xml:space="preserve">The APTC has either a Letter of Agreement (LOA) or Memorandum of Agreement (MOA) with three partner institutions in non-campus countries. A summary is outlined below. The LOA/MOA states certain areas of cooperation and collaboration, which are usually limited in nature. The </w:t>
      </w:r>
      <w:r>
        <w:rPr>
          <w:rFonts w:cs="Arial"/>
        </w:rPr>
        <w:t>e</w:t>
      </w:r>
      <w:r w:rsidRPr="002113B5">
        <w:rPr>
          <w:rFonts w:cs="Arial"/>
        </w:rPr>
        <w:t>valuation team did not visit the non-campus countries.</w:t>
      </w:r>
      <w:r w:rsidR="001A41BD">
        <w:rPr>
          <w:rFonts w:cs="Arial"/>
        </w:rPr>
        <w:br/>
      </w:r>
    </w:p>
    <w:tbl>
      <w:tblPr>
        <w:tblStyle w:val="ListTable4-Accent32"/>
        <w:tblW w:w="8222"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26"/>
        <w:gridCol w:w="1210"/>
        <w:gridCol w:w="1188"/>
        <w:gridCol w:w="1198"/>
      </w:tblGrid>
      <w:tr w:rsidR="00B776E0" w:rsidRPr="00E378DA" w14:paraId="0A942FBB" w14:textId="77777777" w:rsidTr="00F86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3" w:type="dxa"/>
            <w:tcBorders>
              <w:top w:val="none" w:sz="0" w:space="0" w:color="auto"/>
              <w:left w:val="none" w:sz="0" w:space="0" w:color="auto"/>
              <w:bottom w:val="none" w:sz="0" w:space="0" w:color="auto"/>
            </w:tcBorders>
            <w:shd w:val="clear" w:color="auto" w:fill="C5E0B3" w:themeFill="accent6" w:themeFillTint="66"/>
          </w:tcPr>
          <w:p w14:paraId="13A7C414" w14:textId="77777777" w:rsidR="00B776E0" w:rsidRPr="00E378DA" w:rsidRDefault="00B776E0" w:rsidP="00B776E0">
            <w:pPr>
              <w:rPr>
                <w:rFonts w:cs="Arial"/>
                <w:color w:val="auto"/>
                <w:sz w:val="18"/>
              </w:rPr>
            </w:pPr>
            <w:r w:rsidRPr="00E378DA">
              <w:rPr>
                <w:rFonts w:cs="Arial"/>
                <w:color w:val="auto"/>
                <w:sz w:val="18"/>
              </w:rPr>
              <w:t>SUMMARY</w:t>
            </w:r>
          </w:p>
        </w:tc>
        <w:tc>
          <w:tcPr>
            <w:tcW w:w="1281" w:type="dxa"/>
            <w:tcBorders>
              <w:top w:val="none" w:sz="0" w:space="0" w:color="auto"/>
              <w:bottom w:val="none" w:sz="0" w:space="0" w:color="auto"/>
            </w:tcBorders>
            <w:shd w:val="clear" w:color="auto" w:fill="C5E0B3" w:themeFill="accent6" w:themeFillTint="66"/>
          </w:tcPr>
          <w:p w14:paraId="2619E1B9" w14:textId="77777777" w:rsidR="00B776E0" w:rsidRPr="00E378DA" w:rsidRDefault="00B776E0" w:rsidP="00B776E0">
            <w:pPr>
              <w:jc w:val="center"/>
              <w:cnfStyle w:val="100000000000" w:firstRow="1" w:lastRow="0" w:firstColumn="0" w:lastColumn="0" w:oddVBand="0" w:evenVBand="0" w:oddHBand="0" w:evenHBand="0" w:firstRowFirstColumn="0" w:firstRowLastColumn="0" w:lastRowFirstColumn="0" w:lastRowLastColumn="0"/>
              <w:rPr>
                <w:color w:val="auto"/>
                <w:sz w:val="18"/>
              </w:rPr>
            </w:pPr>
            <w:r w:rsidRPr="00E378DA">
              <w:rPr>
                <w:color w:val="auto"/>
                <w:sz w:val="18"/>
              </w:rPr>
              <w:t>Kiribati</w:t>
            </w:r>
          </w:p>
        </w:tc>
        <w:tc>
          <w:tcPr>
            <w:tcW w:w="1281" w:type="dxa"/>
            <w:tcBorders>
              <w:top w:val="none" w:sz="0" w:space="0" w:color="auto"/>
              <w:bottom w:val="none" w:sz="0" w:space="0" w:color="auto"/>
            </w:tcBorders>
            <w:shd w:val="clear" w:color="auto" w:fill="C5E0B3" w:themeFill="accent6" w:themeFillTint="66"/>
          </w:tcPr>
          <w:p w14:paraId="49F5415C" w14:textId="77777777" w:rsidR="00B776E0" w:rsidRPr="00E378DA" w:rsidRDefault="00B776E0" w:rsidP="00B776E0">
            <w:pPr>
              <w:jc w:val="center"/>
              <w:cnfStyle w:val="100000000000" w:firstRow="1" w:lastRow="0" w:firstColumn="0" w:lastColumn="0" w:oddVBand="0" w:evenVBand="0" w:oddHBand="0" w:evenHBand="0" w:firstRowFirstColumn="0" w:firstRowLastColumn="0" w:lastRowFirstColumn="0" w:lastRowLastColumn="0"/>
              <w:rPr>
                <w:color w:val="auto"/>
                <w:sz w:val="18"/>
              </w:rPr>
            </w:pPr>
            <w:r w:rsidRPr="00E378DA">
              <w:rPr>
                <w:color w:val="auto"/>
                <w:sz w:val="18"/>
              </w:rPr>
              <w:t>Palau</w:t>
            </w:r>
          </w:p>
        </w:tc>
        <w:tc>
          <w:tcPr>
            <w:tcW w:w="1281" w:type="dxa"/>
            <w:tcBorders>
              <w:top w:val="none" w:sz="0" w:space="0" w:color="auto"/>
              <w:bottom w:val="none" w:sz="0" w:space="0" w:color="auto"/>
              <w:right w:val="none" w:sz="0" w:space="0" w:color="auto"/>
            </w:tcBorders>
            <w:shd w:val="clear" w:color="auto" w:fill="C5E0B3" w:themeFill="accent6" w:themeFillTint="66"/>
          </w:tcPr>
          <w:p w14:paraId="60D94761" w14:textId="77777777" w:rsidR="00B776E0" w:rsidRPr="00E378DA" w:rsidRDefault="00B776E0" w:rsidP="00B776E0">
            <w:pPr>
              <w:jc w:val="center"/>
              <w:cnfStyle w:val="100000000000" w:firstRow="1" w:lastRow="0" w:firstColumn="0" w:lastColumn="0" w:oddVBand="0" w:evenVBand="0" w:oddHBand="0" w:evenHBand="0" w:firstRowFirstColumn="0" w:firstRowLastColumn="0" w:lastRowFirstColumn="0" w:lastRowLastColumn="0"/>
              <w:rPr>
                <w:color w:val="auto"/>
                <w:sz w:val="18"/>
              </w:rPr>
            </w:pPr>
            <w:r w:rsidRPr="00E378DA">
              <w:rPr>
                <w:color w:val="auto"/>
                <w:sz w:val="18"/>
              </w:rPr>
              <w:t>Tonga</w:t>
            </w:r>
          </w:p>
        </w:tc>
      </w:tr>
      <w:tr w:rsidR="00B776E0" w:rsidRPr="00F72173" w14:paraId="0709775C" w14:textId="77777777" w:rsidTr="00F8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3" w:type="dxa"/>
            <w:shd w:val="clear" w:color="auto" w:fill="E2EFD9" w:themeFill="accent6" w:themeFillTint="33"/>
          </w:tcPr>
          <w:p w14:paraId="71F7C417" w14:textId="77777777" w:rsidR="00B776E0" w:rsidRPr="00F72173" w:rsidRDefault="00B776E0" w:rsidP="00B776E0">
            <w:pPr>
              <w:rPr>
                <w:rFonts w:cs="Arial"/>
                <w:b w:val="0"/>
                <w:sz w:val="18"/>
              </w:rPr>
            </w:pPr>
            <w:r w:rsidRPr="00F72173">
              <w:rPr>
                <w:rFonts w:cs="Arial"/>
                <w:b w:val="0"/>
                <w:sz w:val="18"/>
              </w:rPr>
              <w:t>Sectors of focus</w:t>
            </w:r>
          </w:p>
        </w:tc>
        <w:tc>
          <w:tcPr>
            <w:tcW w:w="1281" w:type="dxa"/>
            <w:shd w:val="clear" w:color="auto" w:fill="E2EFD9" w:themeFill="accent6" w:themeFillTint="33"/>
          </w:tcPr>
          <w:p w14:paraId="492A982C" w14:textId="77777777" w:rsidR="00B776E0" w:rsidRPr="00F72173" w:rsidRDefault="00B776E0" w:rsidP="00B776E0">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1281" w:type="dxa"/>
            <w:shd w:val="clear" w:color="auto" w:fill="E2EFD9" w:themeFill="accent6" w:themeFillTint="33"/>
          </w:tcPr>
          <w:p w14:paraId="021CA688" w14:textId="77777777" w:rsidR="00B776E0" w:rsidRPr="00F72173" w:rsidRDefault="00B776E0" w:rsidP="00B776E0">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1281" w:type="dxa"/>
            <w:shd w:val="clear" w:color="auto" w:fill="E2EFD9" w:themeFill="accent6" w:themeFillTint="33"/>
          </w:tcPr>
          <w:p w14:paraId="202D5B04" w14:textId="77777777" w:rsidR="00B776E0" w:rsidRPr="00F72173" w:rsidRDefault="00B776E0" w:rsidP="00B776E0">
            <w:pPr>
              <w:jc w:val="center"/>
              <w:cnfStyle w:val="000000100000" w:firstRow="0" w:lastRow="0" w:firstColumn="0" w:lastColumn="0" w:oddVBand="0" w:evenVBand="0" w:oddHBand="1" w:evenHBand="0" w:firstRowFirstColumn="0" w:firstRowLastColumn="0" w:lastRowFirstColumn="0" w:lastRowLastColumn="0"/>
              <w:rPr>
                <w:rFonts w:cs="Arial"/>
                <w:sz w:val="18"/>
              </w:rPr>
            </w:pPr>
          </w:p>
        </w:tc>
      </w:tr>
      <w:tr w:rsidR="00B776E0" w:rsidRPr="00F72173" w14:paraId="1F62C662" w14:textId="77777777" w:rsidTr="00F86C43">
        <w:tc>
          <w:tcPr>
            <w:cnfStyle w:val="001000000000" w:firstRow="0" w:lastRow="0" w:firstColumn="1" w:lastColumn="0" w:oddVBand="0" w:evenVBand="0" w:oddHBand="0" w:evenHBand="0" w:firstRowFirstColumn="0" w:firstRowLastColumn="0" w:lastRowFirstColumn="0" w:lastRowLastColumn="0"/>
            <w:tcW w:w="5083" w:type="dxa"/>
          </w:tcPr>
          <w:p w14:paraId="1134B2CE" w14:textId="77777777" w:rsidR="00B776E0" w:rsidRPr="00F72173" w:rsidRDefault="00B776E0" w:rsidP="00260880">
            <w:pPr>
              <w:numPr>
                <w:ilvl w:val="0"/>
                <w:numId w:val="33"/>
              </w:numPr>
              <w:rPr>
                <w:rFonts w:cs="Arial"/>
                <w:b w:val="0"/>
                <w:sz w:val="18"/>
              </w:rPr>
            </w:pPr>
            <w:r w:rsidRPr="00F72173">
              <w:rPr>
                <w:rFonts w:cs="Arial"/>
                <w:b w:val="0"/>
                <w:sz w:val="18"/>
              </w:rPr>
              <w:t>Community College</w:t>
            </w:r>
          </w:p>
        </w:tc>
        <w:tc>
          <w:tcPr>
            <w:tcW w:w="1281" w:type="dxa"/>
          </w:tcPr>
          <w:p w14:paraId="2DBC4D06" w14:textId="77777777" w:rsidR="00B776E0" w:rsidRPr="00F72173" w:rsidRDefault="00B776E0" w:rsidP="00B776E0">
            <w:pPr>
              <w:jc w:val="center"/>
              <w:cnfStyle w:val="000000000000" w:firstRow="0" w:lastRow="0" w:firstColumn="0" w:lastColumn="0" w:oddVBand="0" w:evenVBand="0" w:oddHBand="0" w:evenHBand="0" w:firstRowFirstColumn="0" w:firstRowLastColumn="0" w:lastRowFirstColumn="0" w:lastRowLastColumn="0"/>
              <w:rPr>
                <w:rFonts w:cs="Arial"/>
                <w:sz w:val="18"/>
              </w:rPr>
            </w:pPr>
          </w:p>
        </w:tc>
        <w:tc>
          <w:tcPr>
            <w:tcW w:w="1281" w:type="dxa"/>
          </w:tcPr>
          <w:p w14:paraId="2BE39DE5" w14:textId="1721BF90" w:rsidR="00B776E0" w:rsidRPr="00F72173" w:rsidRDefault="009257B3" w:rsidP="00B776E0">
            <w:pPr>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sym w:font="Wingdings" w:char="F0FC"/>
            </w:r>
          </w:p>
        </w:tc>
        <w:tc>
          <w:tcPr>
            <w:tcW w:w="1281" w:type="dxa"/>
          </w:tcPr>
          <w:p w14:paraId="562D354E" w14:textId="77777777" w:rsidR="00B776E0" w:rsidRPr="00F72173" w:rsidRDefault="00B776E0" w:rsidP="00B776E0">
            <w:pPr>
              <w:jc w:val="center"/>
              <w:cnfStyle w:val="000000000000" w:firstRow="0" w:lastRow="0" w:firstColumn="0" w:lastColumn="0" w:oddVBand="0" w:evenVBand="0" w:oddHBand="0" w:evenHBand="0" w:firstRowFirstColumn="0" w:firstRowLastColumn="0" w:lastRowFirstColumn="0" w:lastRowLastColumn="0"/>
              <w:rPr>
                <w:rFonts w:cs="Arial"/>
                <w:sz w:val="18"/>
              </w:rPr>
            </w:pPr>
          </w:p>
        </w:tc>
      </w:tr>
      <w:tr w:rsidR="00B776E0" w:rsidRPr="00F72173" w14:paraId="650C5FA7" w14:textId="77777777" w:rsidTr="00F8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3" w:type="dxa"/>
            <w:shd w:val="clear" w:color="auto" w:fill="E2EFD9" w:themeFill="accent6" w:themeFillTint="33"/>
          </w:tcPr>
          <w:p w14:paraId="2B61574C" w14:textId="77777777" w:rsidR="00B776E0" w:rsidRPr="00F72173" w:rsidRDefault="00B776E0" w:rsidP="00260880">
            <w:pPr>
              <w:numPr>
                <w:ilvl w:val="0"/>
                <w:numId w:val="33"/>
              </w:numPr>
              <w:rPr>
                <w:rFonts w:cs="Arial"/>
                <w:b w:val="0"/>
                <w:sz w:val="18"/>
              </w:rPr>
            </w:pPr>
            <w:r w:rsidRPr="00F72173">
              <w:rPr>
                <w:rFonts w:cs="Arial"/>
                <w:b w:val="0"/>
                <w:sz w:val="18"/>
              </w:rPr>
              <w:t>Technical Institution</w:t>
            </w:r>
          </w:p>
        </w:tc>
        <w:tc>
          <w:tcPr>
            <w:tcW w:w="1281" w:type="dxa"/>
            <w:shd w:val="clear" w:color="auto" w:fill="E2EFD9" w:themeFill="accent6" w:themeFillTint="33"/>
          </w:tcPr>
          <w:p w14:paraId="505ED334" w14:textId="0BC1CECA" w:rsidR="00B776E0" w:rsidRPr="00F72173" w:rsidRDefault="009257B3" w:rsidP="00B776E0">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sym w:font="Wingdings" w:char="F0FC"/>
            </w:r>
          </w:p>
        </w:tc>
        <w:tc>
          <w:tcPr>
            <w:tcW w:w="1281" w:type="dxa"/>
            <w:shd w:val="clear" w:color="auto" w:fill="E2EFD9" w:themeFill="accent6" w:themeFillTint="33"/>
          </w:tcPr>
          <w:p w14:paraId="60D94E80" w14:textId="77777777" w:rsidR="00B776E0" w:rsidRPr="00F72173" w:rsidRDefault="00B776E0" w:rsidP="00B776E0">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1281" w:type="dxa"/>
            <w:shd w:val="clear" w:color="auto" w:fill="E2EFD9" w:themeFill="accent6" w:themeFillTint="33"/>
          </w:tcPr>
          <w:p w14:paraId="0BA571D3" w14:textId="209125BB" w:rsidR="00B776E0" w:rsidRPr="00F72173" w:rsidRDefault="009257B3" w:rsidP="00B776E0">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sym w:font="Wingdings" w:char="F0FC"/>
            </w:r>
          </w:p>
        </w:tc>
      </w:tr>
    </w:tbl>
    <w:p w14:paraId="71528004" w14:textId="77777777" w:rsidR="00B776E0" w:rsidRPr="002113B5" w:rsidRDefault="00B776E0" w:rsidP="00B776E0">
      <w:pPr>
        <w:rPr>
          <w:rFonts w:cs="Arial"/>
        </w:rPr>
      </w:pPr>
    </w:p>
    <w:p w14:paraId="54BA234C" w14:textId="1DE0F3FF" w:rsidR="00B776E0" w:rsidRPr="00F72173" w:rsidRDefault="00616F77" w:rsidP="00F72173">
      <w:pPr>
        <w:rPr>
          <w:rFonts w:cs="Arial"/>
          <w:b/>
          <w:bCs/>
          <w:color w:val="76923C"/>
        </w:rPr>
      </w:pPr>
      <w:r w:rsidRPr="00F72173">
        <w:rPr>
          <w:rFonts w:cs="Arial"/>
          <w:b/>
          <w:bCs/>
          <w:color w:val="76923C"/>
        </w:rPr>
        <w:t>KIRIBATI</w:t>
      </w: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5524"/>
      </w:tblGrid>
      <w:tr w:rsidR="00B776E0" w:rsidRPr="00F72173" w14:paraId="1B4FCD71" w14:textId="77777777" w:rsidTr="00F86C43">
        <w:tc>
          <w:tcPr>
            <w:tcW w:w="8926" w:type="dxa"/>
            <w:gridSpan w:val="2"/>
            <w:shd w:val="clear" w:color="auto" w:fill="C5E0B3" w:themeFill="accent6" w:themeFillTint="66"/>
          </w:tcPr>
          <w:p w14:paraId="03E8F6C6" w14:textId="77777777" w:rsidR="00B776E0" w:rsidRPr="00F72173" w:rsidRDefault="00B776E0" w:rsidP="00F72173">
            <w:pPr>
              <w:spacing w:before="40" w:after="40"/>
              <w:rPr>
                <w:rFonts w:cs="Arial"/>
                <w:b/>
                <w:sz w:val="18"/>
              </w:rPr>
            </w:pPr>
            <w:r w:rsidRPr="00F72173">
              <w:rPr>
                <w:rFonts w:cs="Arial"/>
                <w:b/>
                <w:sz w:val="18"/>
              </w:rPr>
              <w:t>Partner: Kiribati Institute of Technology (KIT)</w:t>
            </w:r>
          </w:p>
        </w:tc>
      </w:tr>
      <w:tr w:rsidR="00B776E0" w:rsidRPr="00F72173" w14:paraId="69383A05" w14:textId="77777777" w:rsidTr="00F86C43">
        <w:tc>
          <w:tcPr>
            <w:tcW w:w="2915" w:type="dxa"/>
            <w:tcBorders>
              <w:bottom w:val="single" w:sz="4" w:space="0" w:color="A8D08D" w:themeColor="accent6" w:themeTint="99"/>
            </w:tcBorders>
          </w:tcPr>
          <w:p w14:paraId="5F8934C7" w14:textId="77777777" w:rsidR="00B776E0" w:rsidRPr="00F72173" w:rsidRDefault="00B776E0" w:rsidP="00F72173">
            <w:pPr>
              <w:spacing w:before="40" w:after="40"/>
              <w:rPr>
                <w:rFonts w:cs="Arial"/>
                <w:sz w:val="18"/>
              </w:rPr>
            </w:pPr>
            <w:r w:rsidRPr="00F72173">
              <w:rPr>
                <w:rFonts w:cs="Arial"/>
                <w:sz w:val="18"/>
              </w:rPr>
              <w:t>Sector</w:t>
            </w:r>
          </w:p>
        </w:tc>
        <w:tc>
          <w:tcPr>
            <w:tcW w:w="6011" w:type="dxa"/>
            <w:tcBorders>
              <w:bottom w:val="single" w:sz="4" w:space="0" w:color="A8D08D" w:themeColor="accent6" w:themeTint="99"/>
            </w:tcBorders>
          </w:tcPr>
          <w:p w14:paraId="2DBA9022" w14:textId="77777777" w:rsidR="00B776E0" w:rsidRPr="00F72173" w:rsidRDefault="00B776E0" w:rsidP="00F72173">
            <w:pPr>
              <w:spacing w:before="40" w:after="40"/>
              <w:rPr>
                <w:rFonts w:cs="Arial"/>
                <w:sz w:val="18"/>
              </w:rPr>
            </w:pPr>
            <w:r w:rsidRPr="00F72173">
              <w:rPr>
                <w:rFonts w:cs="Arial"/>
                <w:sz w:val="18"/>
              </w:rPr>
              <w:t>Technical Institution</w:t>
            </w:r>
          </w:p>
        </w:tc>
      </w:tr>
      <w:tr w:rsidR="00B776E0" w:rsidRPr="00F72173" w14:paraId="4AE1A875" w14:textId="77777777" w:rsidTr="00F86C43">
        <w:tc>
          <w:tcPr>
            <w:tcW w:w="2915" w:type="dxa"/>
            <w:tcBorders>
              <w:top w:val="single" w:sz="4" w:space="0" w:color="A8D08D" w:themeColor="accent6" w:themeTint="99"/>
              <w:bottom w:val="single" w:sz="4" w:space="0" w:color="A8D08D" w:themeColor="accent6" w:themeTint="99"/>
            </w:tcBorders>
          </w:tcPr>
          <w:p w14:paraId="2D16D192" w14:textId="77777777" w:rsidR="00B776E0" w:rsidRPr="00F72173" w:rsidRDefault="00B776E0" w:rsidP="004927DF">
            <w:pPr>
              <w:spacing w:before="40" w:after="40"/>
              <w:rPr>
                <w:rFonts w:cs="Arial"/>
                <w:sz w:val="18"/>
              </w:rPr>
            </w:pPr>
            <w:r w:rsidRPr="00F72173">
              <w:rPr>
                <w:rFonts w:cs="Arial"/>
                <w:sz w:val="18"/>
              </w:rPr>
              <w:t xml:space="preserve">Date of </w:t>
            </w:r>
            <w:r w:rsidR="004927DF">
              <w:rPr>
                <w:rFonts w:cs="Arial"/>
                <w:sz w:val="18"/>
              </w:rPr>
              <w:t>a</w:t>
            </w:r>
            <w:r w:rsidR="004927DF" w:rsidRPr="00F72173">
              <w:rPr>
                <w:rFonts w:cs="Arial"/>
                <w:sz w:val="18"/>
              </w:rPr>
              <w:t>greement</w:t>
            </w:r>
          </w:p>
        </w:tc>
        <w:tc>
          <w:tcPr>
            <w:tcW w:w="6011" w:type="dxa"/>
            <w:tcBorders>
              <w:top w:val="single" w:sz="4" w:space="0" w:color="A8D08D" w:themeColor="accent6" w:themeTint="99"/>
              <w:bottom w:val="single" w:sz="4" w:space="0" w:color="A8D08D" w:themeColor="accent6" w:themeTint="99"/>
            </w:tcBorders>
          </w:tcPr>
          <w:p w14:paraId="5F729C43" w14:textId="77777777" w:rsidR="00B776E0" w:rsidRPr="00F72173" w:rsidRDefault="00B776E0" w:rsidP="00F72173">
            <w:pPr>
              <w:spacing w:before="40" w:after="40"/>
              <w:rPr>
                <w:rFonts w:cs="Arial"/>
                <w:sz w:val="18"/>
              </w:rPr>
            </w:pPr>
            <w:r w:rsidRPr="00F72173">
              <w:rPr>
                <w:rFonts w:cs="Arial"/>
                <w:sz w:val="18"/>
              </w:rPr>
              <w:t>2012</w:t>
            </w:r>
          </w:p>
        </w:tc>
      </w:tr>
      <w:tr w:rsidR="00B776E0" w:rsidRPr="00F72173" w14:paraId="2FB87E32" w14:textId="77777777" w:rsidTr="00F86C43">
        <w:tc>
          <w:tcPr>
            <w:tcW w:w="2915" w:type="dxa"/>
            <w:tcBorders>
              <w:top w:val="single" w:sz="4" w:space="0" w:color="A8D08D" w:themeColor="accent6" w:themeTint="99"/>
              <w:bottom w:val="single" w:sz="4" w:space="0" w:color="A8D08D" w:themeColor="accent6" w:themeTint="99"/>
            </w:tcBorders>
          </w:tcPr>
          <w:p w14:paraId="4E085C7B" w14:textId="77777777" w:rsidR="00B776E0" w:rsidRPr="00F72173" w:rsidRDefault="00B776E0" w:rsidP="004927DF">
            <w:pPr>
              <w:spacing w:before="40" w:after="40"/>
              <w:rPr>
                <w:rFonts w:cs="Arial"/>
                <w:sz w:val="18"/>
              </w:rPr>
            </w:pPr>
            <w:r w:rsidRPr="00F72173">
              <w:rPr>
                <w:rFonts w:cs="Arial"/>
                <w:sz w:val="18"/>
              </w:rPr>
              <w:t xml:space="preserve">Date of </w:t>
            </w:r>
            <w:r w:rsidR="004927DF">
              <w:rPr>
                <w:rFonts w:cs="Arial"/>
                <w:sz w:val="18"/>
              </w:rPr>
              <w:t>t</w:t>
            </w:r>
            <w:r w:rsidR="004927DF" w:rsidRPr="00F72173">
              <w:rPr>
                <w:rFonts w:cs="Arial"/>
                <w:sz w:val="18"/>
              </w:rPr>
              <w:t>ermination</w:t>
            </w:r>
          </w:p>
        </w:tc>
        <w:tc>
          <w:tcPr>
            <w:tcW w:w="6011" w:type="dxa"/>
            <w:tcBorders>
              <w:top w:val="single" w:sz="4" w:space="0" w:color="A8D08D" w:themeColor="accent6" w:themeTint="99"/>
              <w:bottom w:val="single" w:sz="4" w:space="0" w:color="A8D08D" w:themeColor="accent6" w:themeTint="99"/>
            </w:tcBorders>
          </w:tcPr>
          <w:p w14:paraId="31D0BB91" w14:textId="17D4429C" w:rsidR="00B776E0" w:rsidRPr="00F72173" w:rsidRDefault="00BD0510" w:rsidP="00F72173">
            <w:pPr>
              <w:spacing w:before="40" w:after="40"/>
              <w:rPr>
                <w:rFonts w:cs="Arial"/>
                <w:sz w:val="18"/>
              </w:rPr>
            </w:pPr>
            <w:r>
              <w:rPr>
                <w:rFonts w:cs="Arial"/>
                <w:sz w:val="18"/>
              </w:rPr>
              <w:t>June</w:t>
            </w:r>
            <w:r w:rsidR="00B776E0" w:rsidRPr="00F72173">
              <w:rPr>
                <w:rFonts w:cs="Arial"/>
                <w:sz w:val="18"/>
              </w:rPr>
              <w:t xml:space="preserve"> 2015</w:t>
            </w:r>
          </w:p>
        </w:tc>
      </w:tr>
      <w:tr w:rsidR="00B776E0" w:rsidRPr="00F72173" w14:paraId="132D1ECC" w14:textId="77777777" w:rsidTr="00F86C43">
        <w:tc>
          <w:tcPr>
            <w:tcW w:w="2915" w:type="dxa"/>
            <w:tcBorders>
              <w:top w:val="single" w:sz="4" w:space="0" w:color="A8D08D" w:themeColor="accent6" w:themeTint="99"/>
              <w:bottom w:val="single" w:sz="4" w:space="0" w:color="A8D08D" w:themeColor="accent6" w:themeTint="99"/>
            </w:tcBorders>
          </w:tcPr>
          <w:p w14:paraId="53CE19CE" w14:textId="77777777" w:rsidR="00B776E0" w:rsidRPr="00F72173" w:rsidRDefault="00B776E0" w:rsidP="004927DF">
            <w:pPr>
              <w:spacing w:before="40" w:after="40"/>
              <w:rPr>
                <w:rFonts w:cs="Arial"/>
                <w:sz w:val="18"/>
              </w:rPr>
            </w:pPr>
            <w:r w:rsidRPr="00F72173">
              <w:rPr>
                <w:rFonts w:cs="Arial"/>
                <w:sz w:val="18"/>
              </w:rPr>
              <w:t xml:space="preserve">Areas of </w:t>
            </w:r>
            <w:r w:rsidR="004927DF">
              <w:rPr>
                <w:rFonts w:cs="Arial"/>
                <w:sz w:val="18"/>
              </w:rPr>
              <w:t>c</w:t>
            </w:r>
            <w:r w:rsidR="004927DF" w:rsidRPr="00F72173">
              <w:rPr>
                <w:rFonts w:cs="Arial"/>
                <w:sz w:val="18"/>
              </w:rPr>
              <w:t xml:space="preserve">ollaboration </w:t>
            </w:r>
            <w:r w:rsidRPr="00F72173">
              <w:rPr>
                <w:rFonts w:cs="Arial"/>
                <w:sz w:val="18"/>
              </w:rPr>
              <w:t>in LOA</w:t>
            </w:r>
          </w:p>
        </w:tc>
        <w:tc>
          <w:tcPr>
            <w:tcW w:w="6011" w:type="dxa"/>
            <w:tcBorders>
              <w:top w:val="single" w:sz="4" w:space="0" w:color="A8D08D" w:themeColor="accent6" w:themeTint="99"/>
              <w:bottom w:val="single" w:sz="4" w:space="0" w:color="A8D08D" w:themeColor="accent6" w:themeTint="99"/>
            </w:tcBorders>
          </w:tcPr>
          <w:p w14:paraId="24C0E548" w14:textId="77777777" w:rsidR="00B776E0" w:rsidRPr="00F72173" w:rsidRDefault="00B776E0" w:rsidP="00260880">
            <w:pPr>
              <w:numPr>
                <w:ilvl w:val="0"/>
                <w:numId w:val="33"/>
              </w:numPr>
              <w:spacing w:before="40" w:after="40"/>
              <w:rPr>
                <w:rFonts w:cs="Arial"/>
                <w:sz w:val="18"/>
              </w:rPr>
            </w:pPr>
            <w:r w:rsidRPr="00F72173">
              <w:rPr>
                <w:rFonts w:cs="Arial"/>
                <w:sz w:val="18"/>
              </w:rPr>
              <w:t>Competency based curriculum reform</w:t>
            </w:r>
          </w:p>
          <w:p w14:paraId="1728AEC9" w14:textId="77777777" w:rsidR="00B776E0" w:rsidRPr="00F72173" w:rsidRDefault="00B776E0" w:rsidP="00260880">
            <w:pPr>
              <w:numPr>
                <w:ilvl w:val="0"/>
                <w:numId w:val="33"/>
              </w:numPr>
              <w:spacing w:before="40" w:after="40"/>
              <w:rPr>
                <w:rFonts w:cs="Arial"/>
                <w:sz w:val="18"/>
              </w:rPr>
            </w:pPr>
            <w:r w:rsidRPr="00F72173">
              <w:rPr>
                <w:rFonts w:cs="Arial"/>
                <w:sz w:val="18"/>
              </w:rPr>
              <w:t>Contemporary teaching approaches for literacy and numeracy</w:t>
            </w:r>
          </w:p>
          <w:p w14:paraId="0EC60E45" w14:textId="77777777" w:rsidR="00B776E0" w:rsidRPr="00F72173" w:rsidRDefault="00B776E0" w:rsidP="00260880">
            <w:pPr>
              <w:numPr>
                <w:ilvl w:val="0"/>
                <w:numId w:val="33"/>
              </w:numPr>
              <w:spacing w:before="40" w:after="40"/>
              <w:rPr>
                <w:rFonts w:cs="Arial"/>
                <w:sz w:val="18"/>
              </w:rPr>
            </w:pPr>
            <w:r w:rsidRPr="00F72173">
              <w:rPr>
                <w:rFonts w:cs="Arial"/>
                <w:sz w:val="18"/>
              </w:rPr>
              <w:t>TVET teacher development</w:t>
            </w:r>
          </w:p>
          <w:p w14:paraId="5F1E17D9" w14:textId="77777777" w:rsidR="00B776E0" w:rsidRPr="00F72173" w:rsidRDefault="00B776E0" w:rsidP="00260880">
            <w:pPr>
              <w:numPr>
                <w:ilvl w:val="0"/>
                <w:numId w:val="33"/>
              </w:numPr>
              <w:spacing w:before="40" w:after="40"/>
              <w:rPr>
                <w:rFonts w:cs="Arial"/>
                <w:sz w:val="18"/>
              </w:rPr>
            </w:pPr>
            <w:r w:rsidRPr="00F72173">
              <w:rPr>
                <w:rFonts w:cs="Arial"/>
                <w:sz w:val="18"/>
              </w:rPr>
              <w:t>Workforce development</w:t>
            </w:r>
          </w:p>
          <w:p w14:paraId="2085D52C" w14:textId="77777777" w:rsidR="00B776E0" w:rsidRPr="00F72173" w:rsidRDefault="00B776E0" w:rsidP="00260880">
            <w:pPr>
              <w:numPr>
                <w:ilvl w:val="0"/>
                <w:numId w:val="33"/>
              </w:numPr>
              <w:spacing w:before="40" w:after="40"/>
              <w:rPr>
                <w:rFonts w:cs="Arial"/>
                <w:sz w:val="18"/>
              </w:rPr>
            </w:pPr>
            <w:r w:rsidRPr="00F72173">
              <w:rPr>
                <w:rFonts w:cs="Arial"/>
                <w:sz w:val="18"/>
              </w:rPr>
              <w:t>Quality management of TVET systems</w:t>
            </w:r>
          </w:p>
          <w:p w14:paraId="494FBDB2" w14:textId="77777777" w:rsidR="00B776E0" w:rsidRPr="00F72173" w:rsidRDefault="00B776E0" w:rsidP="00260880">
            <w:pPr>
              <w:numPr>
                <w:ilvl w:val="0"/>
                <w:numId w:val="33"/>
              </w:numPr>
              <w:spacing w:before="40" w:after="40"/>
              <w:rPr>
                <w:rFonts w:cs="Arial"/>
                <w:sz w:val="18"/>
              </w:rPr>
            </w:pPr>
            <w:r w:rsidRPr="00F72173">
              <w:rPr>
                <w:rFonts w:cs="Arial"/>
                <w:sz w:val="18"/>
              </w:rPr>
              <w:t>Monitoring, evaluation and applied TVET research</w:t>
            </w:r>
          </w:p>
        </w:tc>
      </w:tr>
      <w:tr w:rsidR="00B776E0" w:rsidRPr="00F72173" w14:paraId="78D962BA" w14:textId="77777777" w:rsidTr="00F86C43">
        <w:tc>
          <w:tcPr>
            <w:tcW w:w="2915" w:type="dxa"/>
            <w:tcBorders>
              <w:top w:val="single" w:sz="4" w:space="0" w:color="A8D08D" w:themeColor="accent6" w:themeTint="99"/>
              <w:bottom w:val="single" w:sz="4" w:space="0" w:color="A8D08D" w:themeColor="accent6" w:themeTint="99"/>
            </w:tcBorders>
          </w:tcPr>
          <w:p w14:paraId="45033660" w14:textId="77777777" w:rsidR="00B776E0" w:rsidRPr="00F72173" w:rsidRDefault="00B776E0" w:rsidP="004927DF">
            <w:pPr>
              <w:spacing w:before="40" w:after="40"/>
              <w:rPr>
                <w:rFonts w:cs="Arial"/>
                <w:sz w:val="18"/>
              </w:rPr>
            </w:pPr>
            <w:r w:rsidRPr="00F72173">
              <w:rPr>
                <w:rFonts w:cs="Arial"/>
                <w:sz w:val="18"/>
              </w:rPr>
              <w:t xml:space="preserve">Financial </w:t>
            </w:r>
            <w:r w:rsidR="004927DF">
              <w:rPr>
                <w:rFonts w:cs="Arial"/>
                <w:sz w:val="18"/>
              </w:rPr>
              <w:t>a</w:t>
            </w:r>
            <w:r w:rsidR="004927DF" w:rsidRPr="00F72173">
              <w:rPr>
                <w:rFonts w:cs="Arial"/>
                <w:sz w:val="18"/>
              </w:rPr>
              <w:t>rrangements</w:t>
            </w:r>
          </w:p>
        </w:tc>
        <w:tc>
          <w:tcPr>
            <w:tcW w:w="6011" w:type="dxa"/>
            <w:tcBorders>
              <w:top w:val="single" w:sz="4" w:space="0" w:color="A8D08D" w:themeColor="accent6" w:themeTint="99"/>
              <w:bottom w:val="single" w:sz="4" w:space="0" w:color="A8D08D" w:themeColor="accent6" w:themeTint="99"/>
            </w:tcBorders>
          </w:tcPr>
          <w:p w14:paraId="2749D88B" w14:textId="77777777" w:rsidR="00B776E0" w:rsidRPr="00F72173" w:rsidRDefault="00B776E0" w:rsidP="00F72173">
            <w:pPr>
              <w:spacing w:before="40" w:after="40"/>
              <w:rPr>
                <w:rFonts w:cs="Arial"/>
                <w:sz w:val="18"/>
              </w:rPr>
            </w:pPr>
            <w:r w:rsidRPr="00F72173">
              <w:rPr>
                <w:rFonts w:cs="Arial"/>
                <w:sz w:val="18"/>
              </w:rPr>
              <w:t>Generally ‘in-kind’ contributions from both parties.</w:t>
            </w:r>
          </w:p>
          <w:p w14:paraId="570513E7" w14:textId="11E2B051" w:rsidR="00B776E0" w:rsidRPr="00F72173" w:rsidRDefault="00B776E0" w:rsidP="00F86C43">
            <w:pPr>
              <w:spacing w:before="40" w:after="40"/>
              <w:rPr>
                <w:rFonts w:cs="Arial"/>
                <w:sz w:val="18"/>
              </w:rPr>
            </w:pPr>
            <w:r w:rsidRPr="00F72173">
              <w:rPr>
                <w:rFonts w:cs="Arial"/>
                <w:sz w:val="18"/>
              </w:rPr>
              <w:t>Individual development activities funded on a case</w:t>
            </w:r>
            <w:r w:rsidR="00F86C43">
              <w:rPr>
                <w:rFonts w:cs="Arial"/>
                <w:sz w:val="18"/>
              </w:rPr>
              <w:t>-</w:t>
            </w:r>
            <w:r w:rsidRPr="00F72173">
              <w:rPr>
                <w:rFonts w:cs="Arial"/>
                <w:sz w:val="18"/>
              </w:rPr>
              <w:t>by</w:t>
            </w:r>
            <w:r w:rsidR="00F86C43">
              <w:rPr>
                <w:rFonts w:cs="Arial"/>
                <w:sz w:val="18"/>
              </w:rPr>
              <w:t>-</w:t>
            </w:r>
            <w:r w:rsidRPr="00F72173">
              <w:rPr>
                <w:rFonts w:cs="Arial"/>
                <w:sz w:val="18"/>
              </w:rPr>
              <w:t>case basis.</w:t>
            </w:r>
          </w:p>
        </w:tc>
      </w:tr>
    </w:tbl>
    <w:p w14:paraId="46AD634B" w14:textId="77777777" w:rsidR="00B776E0" w:rsidRPr="002113B5" w:rsidRDefault="00B776E0" w:rsidP="00B776E0">
      <w:pPr>
        <w:rPr>
          <w:rFonts w:cs="Arial"/>
          <w:b/>
        </w:rPr>
      </w:pPr>
    </w:p>
    <w:p w14:paraId="04C7197A" w14:textId="61BF324A" w:rsidR="00B776E0" w:rsidRPr="00F72173" w:rsidRDefault="00616F77" w:rsidP="00F72173">
      <w:pPr>
        <w:rPr>
          <w:rFonts w:cs="Arial"/>
          <w:b/>
          <w:bCs/>
          <w:color w:val="76923C"/>
        </w:rPr>
      </w:pPr>
      <w:r w:rsidRPr="00F72173">
        <w:rPr>
          <w:rFonts w:cs="Arial"/>
          <w:b/>
          <w:bCs/>
          <w:color w:val="76923C"/>
        </w:rPr>
        <w:t>PALAU</w:t>
      </w: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5606"/>
      </w:tblGrid>
      <w:tr w:rsidR="00B776E0" w:rsidRPr="00F72173" w14:paraId="75BDB986" w14:textId="77777777" w:rsidTr="008A0834">
        <w:tc>
          <w:tcPr>
            <w:tcW w:w="8926" w:type="dxa"/>
            <w:gridSpan w:val="2"/>
            <w:shd w:val="clear" w:color="auto" w:fill="C5E0B3" w:themeFill="accent6" w:themeFillTint="66"/>
          </w:tcPr>
          <w:p w14:paraId="65292001" w14:textId="77777777" w:rsidR="00B776E0" w:rsidRPr="00F72173" w:rsidRDefault="00B776E0" w:rsidP="00F72173">
            <w:pPr>
              <w:spacing w:before="40" w:after="40"/>
              <w:rPr>
                <w:rFonts w:cs="Arial"/>
                <w:b/>
                <w:sz w:val="18"/>
              </w:rPr>
            </w:pPr>
            <w:r w:rsidRPr="00F72173">
              <w:rPr>
                <w:rFonts w:cs="Arial"/>
                <w:b/>
                <w:sz w:val="18"/>
              </w:rPr>
              <w:t>Partner: Palau Community College (PCC)</w:t>
            </w:r>
          </w:p>
        </w:tc>
      </w:tr>
      <w:tr w:rsidR="00B776E0" w:rsidRPr="00F72173" w14:paraId="1DA7E127" w14:textId="77777777" w:rsidTr="008A0834">
        <w:tc>
          <w:tcPr>
            <w:tcW w:w="2777" w:type="dxa"/>
            <w:tcBorders>
              <w:bottom w:val="single" w:sz="4" w:space="0" w:color="A8D08D" w:themeColor="accent6" w:themeTint="99"/>
            </w:tcBorders>
          </w:tcPr>
          <w:p w14:paraId="0A8350DB" w14:textId="77777777" w:rsidR="00B776E0" w:rsidRPr="00F72173" w:rsidRDefault="00B776E0" w:rsidP="00F72173">
            <w:pPr>
              <w:spacing w:before="40" w:after="40"/>
              <w:rPr>
                <w:rFonts w:cs="Arial"/>
                <w:sz w:val="18"/>
              </w:rPr>
            </w:pPr>
            <w:r w:rsidRPr="00F72173">
              <w:rPr>
                <w:rFonts w:cs="Arial"/>
                <w:sz w:val="18"/>
              </w:rPr>
              <w:t>Sector</w:t>
            </w:r>
          </w:p>
        </w:tc>
        <w:tc>
          <w:tcPr>
            <w:tcW w:w="6149" w:type="dxa"/>
            <w:tcBorders>
              <w:bottom w:val="single" w:sz="4" w:space="0" w:color="A8D08D" w:themeColor="accent6" w:themeTint="99"/>
            </w:tcBorders>
          </w:tcPr>
          <w:p w14:paraId="6AC188BE" w14:textId="77777777" w:rsidR="00B776E0" w:rsidRPr="00F72173" w:rsidRDefault="00B776E0" w:rsidP="00F72173">
            <w:pPr>
              <w:spacing w:before="40" w:after="40"/>
              <w:rPr>
                <w:rFonts w:cs="Arial"/>
                <w:sz w:val="18"/>
              </w:rPr>
            </w:pPr>
            <w:r w:rsidRPr="00F72173">
              <w:rPr>
                <w:rFonts w:cs="Arial"/>
                <w:sz w:val="18"/>
              </w:rPr>
              <w:t>Community College</w:t>
            </w:r>
          </w:p>
        </w:tc>
      </w:tr>
      <w:tr w:rsidR="00B776E0" w:rsidRPr="00F72173" w14:paraId="69EBA187" w14:textId="77777777" w:rsidTr="008A0834">
        <w:tc>
          <w:tcPr>
            <w:tcW w:w="2777" w:type="dxa"/>
            <w:tcBorders>
              <w:top w:val="single" w:sz="4" w:space="0" w:color="A8D08D" w:themeColor="accent6" w:themeTint="99"/>
              <w:bottom w:val="single" w:sz="4" w:space="0" w:color="A8D08D" w:themeColor="accent6" w:themeTint="99"/>
            </w:tcBorders>
          </w:tcPr>
          <w:p w14:paraId="4C755FDF" w14:textId="77777777" w:rsidR="00B776E0" w:rsidRPr="00F72173" w:rsidRDefault="00B776E0" w:rsidP="00E76E93">
            <w:pPr>
              <w:spacing w:before="40" w:after="40"/>
              <w:rPr>
                <w:rFonts w:cs="Arial"/>
                <w:sz w:val="18"/>
              </w:rPr>
            </w:pPr>
            <w:r w:rsidRPr="00F72173">
              <w:rPr>
                <w:rFonts w:cs="Arial"/>
                <w:sz w:val="18"/>
              </w:rPr>
              <w:t xml:space="preserve">Date of </w:t>
            </w:r>
            <w:r w:rsidR="00E76E93">
              <w:rPr>
                <w:rFonts w:cs="Arial"/>
                <w:sz w:val="18"/>
              </w:rPr>
              <w:t>a</w:t>
            </w:r>
            <w:r w:rsidR="00E76E93" w:rsidRPr="00F72173">
              <w:rPr>
                <w:rFonts w:cs="Arial"/>
                <w:sz w:val="18"/>
              </w:rPr>
              <w:t>greement</w:t>
            </w:r>
          </w:p>
        </w:tc>
        <w:tc>
          <w:tcPr>
            <w:tcW w:w="6149" w:type="dxa"/>
            <w:tcBorders>
              <w:top w:val="single" w:sz="4" w:space="0" w:color="A8D08D" w:themeColor="accent6" w:themeTint="99"/>
              <w:bottom w:val="single" w:sz="4" w:space="0" w:color="A8D08D" w:themeColor="accent6" w:themeTint="99"/>
            </w:tcBorders>
          </w:tcPr>
          <w:p w14:paraId="4DEBCB86" w14:textId="77777777" w:rsidR="00B776E0" w:rsidRPr="00F72173" w:rsidRDefault="00B776E0" w:rsidP="00F72173">
            <w:pPr>
              <w:spacing w:before="40" w:after="40"/>
              <w:rPr>
                <w:rFonts w:cs="Arial"/>
                <w:sz w:val="18"/>
              </w:rPr>
            </w:pPr>
            <w:r w:rsidRPr="00F72173">
              <w:rPr>
                <w:rFonts w:cs="Arial"/>
                <w:sz w:val="18"/>
              </w:rPr>
              <w:t>18.04.14</w:t>
            </w:r>
          </w:p>
        </w:tc>
      </w:tr>
      <w:tr w:rsidR="00B776E0" w:rsidRPr="00F72173" w14:paraId="384466C2" w14:textId="77777777" w:rsidTr="008A0834">
        <w:tc>
          <w:tcPr>
            <w:tcW w:w="2777" w:type="dxa"/>
            <w:tcBorders>
              <w:top w:val="single" w:sz="4" w:space="0" w:color="A8D08D" w:themeColor="accent6" w:themeTint="99"/>
              <w:bottom w:val="single" w:sz="4" w:space="0" w:color="A8D08D" w:themeColor="accent6" w:themeTint="99"/>
            </w:tcBorders>
          </w:tcPr>
          <w:p w14:paraId="0FA0ADAF" w14:textId="77777777" w:rsidR="00B776E0" w:rsidRPr="00F72173" w:rsidRDefault="00B776E0" w:rsidP="00E76E93">
            <w:pPr>
              <w:spacing w:before="40" w:after="40"/>
              <w:rPr>
                <w:rFonts w:cs="Arial"/>
                <w:sz w:val="18"/>
              </w:rPr>
            </w:pPr>
            <w:r w:rsidRPr="00F72173">
              <w:rPr>
                <w:rFonts w:cs="Arial"/>
                <w:sz w:val="18"/>
              </w:rPr>
              <w:t xml:space="preserve">Date of </w:t>
            </w:r>
            <w:r w:rsidR="00E76E93">
              <w:rPr>
                <w:rFonts w:cs="Arial"/>
                <w:sz w:val="18"/>
              </w:rPr>
              <w:t>t</w:t>
            </w:r>
            <w:r w:rsidR="00E76E93" w:rsidRPr="00F72173">
              <w:rPr>
                <w:rFonts w:cs="Arial"/>
                <w:sz w:val="18"/>
              </w:rPr>
              <w:t>ermination</w:t>
            </w:r>
          </w:p>
        </w:tc>
        <w:tc>
          <w:tcPr>
            <w:tcW w:w="6149" w:type="dxa"/>
            <w:tcBorders>
              <w:top w:val="single" w:sz="4" w:space="0" w:color="A8D08D" w:themeColor="accent6" w:themeTint="99"/>
              <w:bottom w:val="single" w:sz="4" w:space="0" w:color="A8D08D" w:themeColor="accent6" w:themeTint="99"/>
            </w:tcBorders>
          </w:tcPr>
          <w:p w14:paraId="2233CCCC" w14:textId="7BDACA36" w:rsidR="00B776E0" w:rsidRPr="00F72173" w:rsidRDefault="00BD0510" w:rsidP="00F72173">
            <w:pPr>
              <w:spacing w:before="40" w:after="40"/>
              <w:rPr>
                <w:rFonts w:cs="Arial"/>
                <w:sz w:val="18"/>
              </w:rPr>
            </w:pPr>
            <w:r>
              <w:rPr>
                <w:rFonts w:cs="Arial"/>
                <w:sz w:val="18"/>
              </w:rPr>
              <w:t>June</w:t>
            </w:r>
            <w:r w:rsidR="00B776E0" w:rsidRPr="00F72173">
              <w:rPr>
                <w:rFonts w:cs="Arial"/>
                <w:sz w:val="18"/>
              </w:rPr>
              <w:t xml:space="preserve"> 2015</w:t>
            </w:r>
          </w:p>
        </w:tc>
      </w:tr>
      <w:tr w:rsidR="00B776E0" w:rsidRPr="00F72173" w14:paraId="35F3F186" w14:textId="77777777" w:rsidTr="008A0834">
        <w:tc>
          <w:tcPr>
            <w:tcW w:w="2777" w:type="dxa"/>
            <w:tcBorders>
              <w:top w:val="single" w:sz="4" w:space="0" w:color="A8D08D" w:themeColor="accent6" w:themeTint="99"/>
              <w:bottom w:val="single" w:sz="4" w:space="0" w:color="A8D08D" w:themeColor="accent6" w:themeTint="99"/>
            </w:tcBorders>
          </w:tcPr>
          <w:p w14:paraId="3326E03E" w14:textId="77777777" w:rsidR="00B776E0" w:rsidRPr="00F72173" w:rsidRDefault="00B776E0" w:rsidP="00E76E93">
            <w:pPr>
              <w:spacing w:before="40" w:after="40"/>
              <w:rPr>
                <w:rFonts w:cs="Arial"/>
                <w:sz w:val="18"/>
              </w:rPr>
            </w:pPr>
            <w:r w:rsidRPr="00F72173">
              <w:rPr>
                <w:rFonts w:cs="Arial"/>
                <w:sz w:val="18"/>
              </w:rPr>
              <w:t xml:space="preserve">Areas of </w:t>
            </w:r>
            <w:r w:rsidR="00E76E93">
              <w:rPr>
                <w:rFonts w:cs="Arial"/>
                <w:sz w:val="18"/>
              </w:rPr>
              <w:t>c</w:t>
            </w:r>
            <w:r w:rsidR="00E76E93" w:rsidRPr="00F72173">
              <w:rPr>
                <w:rFonts w:cs="Arial"/>
                <w:sz w:val="18"/>
              </w:rPr>
              <w:t xml:space="preserve">ollaboration </w:t>
            </w:r>
            <w:r w:rsidRPr="00F72173">
              <w:rPr>
                <w:rFonts w:cs="Arial"/>
                <w:sz w:val="18"/>
              </w:rPr>
              <w:t>in MOA</w:t>
            </w:r>
          </w:p>
        </w:tc>
        <w:tc>
          <w:tcPr>
            <w:tcW w:w="6149" w:type="dxa"/>
            <w:tcBorders>
              <w:top w:val="single" w:sz="4" w:space="0" w:color="A8D08D" w:themeColor="accent6" w:themeTint="99"/>
              <w:bottom w:val="single" w:sz="4" w:space="0" w:color="A8D08D" w:themeColor="accent6" w:themeTint="99"/>
            </w:tcBorders>
          </w:tcPr>
          <w:p w14:paraId="7575741A" w14:textId="6F26BDBA" w:rsidR="00B776E0" w:rsidRPr="00F72173" w:rsidRDefault="00B776E0" w:rsidP="00F72173">
            <w:pPr>
              <w:spacing w:before="40" w:after="40"/>
              <w:rPr>
                <w:rFonts w:cs="Arial"/>
                <w:sz w:val="18"/>
              </w:rPr>
            </w:pPr>
            <w:r w:rsidRPr="00F72173">
              <w:rPr>
                <w:rFonts w:cs="Arial"/>
                <w:sz w:val="18"/>
              </w:rPr>
              <w:t xml:space="preserve">Collaboration on the delivery by APTC with support of PCC the Australian accredited Certificate III in Hospitality Program to </w:t>
            </w:r>
            <w:r w:rsidR="00CB1ABD">
              <w:rPr>
                <w:rFonts w:cs="Arial"/>
                <w:sz w:val="18"/>
              </w:rPr>
              <w:br/>
            </w:r>
            <w:r w:rsidRPr="00F72173">
              <w:rPr>
                <w:rFonts w:cs="Arial"/>
                <w:sz w:val="18"/>
              </w:rPr>
              <w:t>24 students from Palau from 7 April 2014 to 29 August 2014 to support the Pacific Forum Meeting.</w:t>
            </w:r>
          </w:p>
        </w:tc>
      </w:tr>
      <w:tr w:rsidR="00B776E0" w:rsidRPr="00F72173" w14:paraId="212F649C" w14:textId="77777777" w:rsidTr="008A0834">
        <w:tc>
          <w:tcPr>
            <w:tcW w:w="2777" w:type="dxa"/>
            <w:tcBorders>
              <w:top w:val="single" w:sz="4" w:space="0" w:color="A8D08D" w:themeColor="accent6" w:themeTint="99"/>
              <w:bottom w:val="single" w:sz="4" w:space="0" w:color="A8D08D" w:themeColor="accent6" w:themeTint="99"/>
            </w:tcBorders>
          </w:tcPr>
          <w:p w14:paraId="6A8560B1" w14:textId="77777777" w:rsidR="00B776E0" w:rsidRPr="00F72173" w:rsidRDefault="00B776E0" w:rsidP="00E76E93">
            <w:pPr>
              <w:spacing w:before="40" w:after="40"/>
              <w:rPr>
                <w:rFonts w:cs="Arial"/>
                <w:sz w:val="18"/>
              </w:rPr>
            </w:pPr>
            <w:r w:rsidRPr="00F72173">
              <w:rPr>
                <w:rFonts w:cs="Arial"/>
                <w:sz w:val="18"/>
              </w:rPr>
              <w:t xml:space="preserve">Financial </w:t>
            </w:r>
            <w:r w:rsidR="00E76E93">
              <w:rPr>
                <w:rFonts w:cs="Arial"/>
                <w:sz w:val="18"/>
              </w:rPr>
              <w:t>a</w:t>
            </w:r>
            <w:r w:rsidR="00E76E93" w:rsidRPr="00F72173">
              <w:rPr>
                <w:rFonts w:cs="Arial"/>
                <w:sz w:val="18"/>
              </w:rPr>
              <w:t>rrangements</w:t>
            </w:r>
          </w:p>
        </w:tc>
        <w:tc>
          <w:tcPr>
            <w:tcW w:w="6149" w:type="dxa"/>
            <w:tcBorders>
              <w:top w:val="single" w:sz="4" w:space="0" w:color="A8D08D" w:themeColor="accent6" w:themeTint="99"/>
              <w:bottom w:val="single" w:sz="4" w:space="0" w:color="A8D08D" w:themeColor="accent6" w:themeTint="99"/>
            </w:tcBorders>
          </w:tcPr>
          <w:p w14:paraId="19DB5D4A" w14:textId="77777777" w:rsidR="00B776E0" w:rsidRPr="00F72173" w:rsidRDefault="00B776E0" w:rsidP="0097001D">
            <w:pPr>
              <w:spacing w:before="40" w:after="40"/>
              <w:rPr>
                <w:rFonts w:cs="Arial"/>
                <w:sz w:val="18"/>
              </w:rPr>
            </w:pPr>
            <w:r w:rsidRPr="00F72173">
              <w:rPr>
                <w:rFonts w:cs="Arial"/>
                <w:sz w:val="18"/>
              </w:rPr>
              <w:t>PCC Contribution:</w:t>
            </w:r>
            <w:r w:rsidR="0097001D">
              <w:rPr>
                <w:rFonts w:cs="Arial"/>
                <w:sz w:val="18"/>
              </w:rPr>
              <w:t xml:space="preserve"> </w:t>
            </w:r>
            <w:r w:rsidRPr="00F72173">
              <w:rPr>
                <w:rFonts w:cs="Arial"/>
                <w:sz w:val="18"/>
              </w:rPr>
              <w:t>Access to facilities and equipment free of charge to APTC</w:t>
            </w:r>
          </w:p>
          <w:p w14:paraId="0F96A472" w14:textId="77777777" w:rsidR="003D355F" w:rsidRDefault="00B776E0">
            <w:pPr>
              <w:spacing w:before="40" w:after="40"/>
              <w:rPr>
                <w:rFonts w:cs="Arial"/>
                <w:b/>
                <w:bCs/>
                <w:i/>
                <w:iCs/>
                <w:color w:val="76923C"/>
                <w:sz w:val="18"/>
                <w:szCs w:val="28"/>
              </w:rPr>
            </w:pPr>
            <w:r w:rsidRPr="00F72173">
              <w:rPr>
                <w:rFonts w:cs="Arial"/>
                <w:sz w:val="18"/>
              </w:rPr>
              <w:t>APTC Contribution:</w:t>
            </w:r>
            <w:r w:rsidR="0097001D">
              <w:rPr>
                <w:rFonts w:cs="Arial"/>
                <w:sz w:val="18"/>
              </w:rPr>
              <w:t xml:space="preserve"> </w:t>
            </w:r>
            <w:r w:rsidRPr="00F72173">
              <w:rPr>
                <w:rFonts w:cs="Arial"/>
                <w:sz w:val="18"/>
              </w:rPr>
              <w:t xml:space="preserve">Fee </w:t>
            </w:r>
            <w:r w:rsidR="001C1576">
              <w:rPr>
                <w:rFonts w:cs="Arial"/>
                <w:sz w:val="18"/>
              </w:rPr>
              <w:t>w</w:t>
            </w:r>
            <w:r w:rsidR="001C1576" w:rsidRPr="00F72173">
              <w:rPr>
                <w:rFonts w:cs="Arial"/>
                <w:sz w:val="18"/>
              </w:rPr>
              <w:t xml:space="preserve">aiver </w:t>
            </w:r>
            <w:r w:rsidRPr="00F72173">
              <w:rPr>
                <w:rFonts w:cs="Arial"/>
                <w:sz w:val="18"/>
              </w:rPr>
              <w:t>(funded by the Australian Government through the Department of Foreign Affairs and Trade) in lieu of venue provision</w:t>
            </w:r>
          </w:p>
        </w:tc>
      </w:tr>
    </w:tbl>
    <w:p w14:paraId="32337B2E" w14:textId="77777777" w:rsidR="00B776E0" w:rsidRPr="002113B5" w:rsidRDefault="00B776E0" w:rsidP="00B776E0">
      <w:pPr>
        <w:rPr>
          <w:rFonts w:cs="Arial"/>
          <w:b/>
        </w:rPr>
      </w:pPr>
    </w:p>
    <w:p w14:paraId="5B7A6C55" w14:textId="77777777" w:rsidR="009A63BD" w:rsidRDefault="009A63BD">
      <w:pPr>
        <w:spacing w:after="0"/>
        <w:rPr>
          <w:rFonts w:cs="Arial"/>
          <w:b/>
          <w:bCs/>
          <w:color w:val="76923C"/>
        </w:rPr>
      </w:pPr>
      <w:r>
        <w:rPr>
          <w:rFonts w:cs="Arial"/>
          <w:b/>
          <w:bCs/>
          <w:color w:val="76923C"/>
        </w:rPr>
        <w:br w:type="page"/>
      </w:r>
    </w:p>
    <w:p w14:paraId="7C096AA0" w14:textId="68D7EAB7" w:rsidR="00B776E0" w:rsidRPr="00F72173" w:rsidRDefault="00CB1ABD" w:rsidP="00F72173">
      <w:pPr>
        <w:rPr>
          <w:rFonts w:cs="Arial"/>
          <w:b/>
        </w:rPr>
      </w:pPr>
      <w:r w:rsidRPr="00F72173">
        <w:rPr>
          <w:rFonts w:cs="Arial"/>
          <w:b/>
          <w:bCs/>
          <w:color w:val="76923C"/>
        </w:rPr>
        <w:t>TONGA</w:t>
      </w: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5606"/>
      </w:tblGrid>
      <w:tr w:rsidR="00B776E0" w:rsidRPr="00F72173" w14:paraId="5F9587EB" w14:textId="77777777" w:rsidTr="008A0834">
        <w:tc>
          <w:tcPr>
            <w:tcW w:w="8926" w:type="dxa"/>
            <w:gridSpan w:val="2"/>
            <w:shd w:val="clear" w:color="auto" w:fill="C5E0B3" w:themeFill="accent6" w:themeFillTint="66"/>
          </w:tcPr>
          <w:p w14:paraId="104C70F1" w14:textId="77777777" w:rsidR="00B776E0" w:rsidRPr="00F72173" w:rsidRDefault="00B776E0" w:rsidP="00F72173">
            <w:pPr>
              <w:spacing w:before="40" w:after="40"/>
              <w:rPr>
                <w:rFonts w:cs="Arial"/>
                <w:b/>
                <w:sz w:val="18"/>
              </w:rPr>
            </w:pPr>
            <w:r w:rsidRPr="00F72173">
              <w:rPr>
                <w:rFonts w:cs="Arial"/>
                <w:b/>
                <w:sz w:val="18"/>
              </w:rPr>
              <w:t>Partner: Ahopanilolo Technical Institute (ATI)</w:t>
            </w:r>
          </w:p>
        </w:tc>
      </w:tr>
      <w:tr w:rsidR="00B776E0" w:rsidRPr="00F72173" w14:paraId="5D180B64" w14:textId="77777777" w:rsidTr="008A0834">
        <w:tc>
          <w:tcPr>
            <w:tcW w:w="2777" w:type="dxa"/>
            <w:tcBorders>
              <w:bottom w:val="single" w:sz="4" w:space="0" w:color="A8D08D" w:themeColor="accent6" w:themeTint="99"/>
            </w:tcBorders>
          </w:tcPr>
          <w:p w14:paraId="068C2F52" w14:textId="77777777" w:rsidR="00B776E0" w:rsidRPr="00F72173" w:rsidRDefault="00B776E0" w:rsidP="00F72173">
            <w:pPr>
              <w:spacing w:before="40" w:after="40"/>
              <w:rPr>
                <w:rFonts w:cs="Arial"/>
                <w:sz w:val="18"/>
              </w:rPr>
            </w:pPr>
            <w:r w:rsidRPr="00F72173">
              <w:rPr>
                <w:rFonts w:cs="Arial"/>
                <w:sz w:val="18"/>
              </w:rPr>
              <w:t>Sector</w:t>
            </w:r>
          </w:p>
        </w:tc>
        <w:tc>
          <w:tcPr>
            <w:tcW w:w="6149" w:type="dxa"/>
            <w:tcBorders>
              <w:bottom w:val="single" w:sz="4" w:space="0" w:color="A8D08D" w:themeColor="accent6" w:themeTint="99"/>
            </w:tcBorders>
          </w:tcPr>
          <w:p w14:paraId="4B001450" w14:textId="77777777" w:rsidR="00B776E0" w:rsidRPr="00F72173" w:rsidRDefault="00B776E0" w:rsidP="00F72173">
            <w:pPr>
              <w:spacing w:before="40" w:after="40"/>
              <w:rPr>
                <w:rFonts w:cs="Arial"/>
                <w:sz w:val="18"/>
              </w:rPr>
            </w:pPr>
            <w:r w:rsidRPr="00F72173">
              <w:rPr>
                <w:rFonts w:cs="Arial"/>
                <w:sz w:val="18"/>
              </w:rPr>
              <w:t>Technical Institution</w:t>
            </w:r>
          </w:p>
        </w:tc>
      </w:tr>
      <w:tr w:rsidR="00B776E0" w:rsidRPr="00F72173" w14:paraId="525A604A" w14:textId="77777777" w:rsidTr="008A0834">
        <w:tc>
          <w:tcPr>
            <w:tcW w:w="2777" w:type="dxa"/>
            <w:tcBorders>
              <w:top w:val="single" w:sz="4" w:space="0" w:color="A8D08D" w:themeColor="accent6" w:themeTint="99"/>
              <w:bottom w:val="single" w:sz="4" w:space="0" w:color="A8D08D" w:themeColor="accent6" w:themeTint="99"/>
            </w:tcBorders>
          </w:tcPr>
          <w:p w14:paraId="7E79DC5B" w14:textId="77777777" w:rsidR="00B776E0" w:rsidRPr="00F72173" w:rsidRDefault="00B776E0" w:rsidP="001C1576">
            <w:pPr>
              <w:spacing w:before="40" w:after="40"/>
              <w:rPr>
                <w:rFonts w:cs="Arial"/>
                <w:sz w:val="18"/>
              </w:rPr>
            </w:pPr>
            <w:r w:rsidRPr="00F72173">
              <w:rPr>
                <w:rFonts w:cs="Arial"/>
                <w:sz w:val="18"/>
              </w:rPr>
              <w:t xml:space="preserve">Date of </w:t>
            </w:r>
            <w:r w:rsidR="001C1576">
              <w:rPr>
                <w:rFonts w:cs="Arial"/>
                <w:sz w:val="18"/>
              </w:rPr>
              <w:t>a</w:t>
            </w:r>
            <w:r w:rsidR="001C1576" w:rsidRPr="00F72173">
              <w:rPr>
                <w:rFonts w:cs="Arial"/>
                <w:sz w:val="18"/>
              </w:rPr>
              <w:t>greement</w:t>
            </w:r>
          </w:p>
        </w:tc>
        <w:tc>
          <w:tcPr>
            <w:tcW w:w="6149" w:type="dxa"/>
            <w:tcBorders>
              <w:top w:val="single" w:sz="4" w:space="0" w:color="A8D08D" w:themeColor="accent6" w:themeTint="99"/>
              <w:bottom w:val="single" w:sz="4" w:space="0" w:color="A8D08D" w:themeColor="accent6" w:themeTint="99"/>
            </w:tcBorders>
          </w:tcPr>
          <w:p w14:paraId="240797E1" w14:textId="77777777" w:rsidR="00B776E0" w:rsidRPr="00F72173" w:rsidRDefault="00B776E0" w:rsidP="00F72173">
            <w:pPr>
              <w:spacing w:before="40" w:after="40"/>
              <w:rPr>
                <w:rFonts w:cs="Arial"/>
                <w:sz w:val="18"/>
              </w:rPr>
            </w:pPr>
            <w:r w:rsidRPr="00F72173">
              <w:rPr>
                <w:rFonts w:cs="Arial"/>
                <w:sz w:val="18"/>
              </w:rPr>
              <w:t>10.06.14</w:t>
            </w:r>
          </w:p>
        </w:tc>
      </w:tr>
      <w:tr w:rsidR="00B776E0" w:rsidRPr="00F72173" w14:paraId="67DD994F" w14:textId="77777777" w:rsidTr="008A0834">
        <w:tc>
          <w:tcPr>
            <w:tcW w:w="2777" w:type="dxa"/>
            <w:tcBorders>
              <w:top w:val="single" w:sz="4" w:space="0" w:color="A8D08D" w:themeColor="accent6" w:themeTint="99"/>
              <w:bottom w:val="single" w:sz="4" w:space="0" w:color="A8D08D" w:themeColor="accent6" w:themeTint="99"/>
            </w:tcBorders>
          </w:tcPr>
          <w:p w14:paraId="702CD0A5" w14:textId="77777777" w:rsidR="00B776E0" w:rsidRPr="00F72173" w:rsidRDefault="00B776E0" w:rsidP="001C1576">
            <w:pPr>
              <w:spacing w:before="40" w:after="40"/>
              <w:rPr>
                <w:rFonts w:cs="Arial"/>
                <w:sz w:val="18"/>
              </w:rPr>
            </w:pPr>
            <w:r w:rsidRPr="00F72173">
              <w:rPr>
                <w:rFonts w:cs="Arial"/>
                <w:sz w:val="18"/>
              </w:rPr>
              <w:t xml:space="preserve">Date of </w:t>
            </w:r>
            <w:r w:rsidR="001C1576">
              <w:rPr>
                <w:rFonts w:cs="Arial"/>
                <w:sz w:val="18"/>
              </w:rPr>
              <w:t>t</w:t>
            </w:r>
            <w:r w:rsidR="001C1576" w:rsidRPr="00F72173">
              <w:rPr>
                <w:rFonts w:cs="Arial"/>
                <w:sz w:val="18"/>
              </w:rPr>
              <w:t>ermination</w:t>
            </w:r>
          </w:p>
        </w:tc>
        <w:tc>
          <w:tcPr>
            <w:tcW w:w="6149" w:type="dxa"/>
            <w:tcBorders>
              <w:top w:val="single" w:sz="4" w:space="0" w:color="A8D08D" w:themeColor="accent6" w:themeTint="99"/>
              <w:bottom w:val="single" w:sz="4" w:space="0" w:color="A8D08D" w:themeColor="accent6" w:themeTint="99"/>
            </w:tcBorders>
          </w:tcPr>
          <w:p w14:paraId="024D3B03" w14:textId="77777777" w:rsidR="00B776E0" w:rsidRPr="00F72173" w:rsidRDefault="00B776E0" w:rsidP="00F72173">
            <w:pPr>
              <w:spacing w:before="40" w:after="40"/>
              <w:rPr>
                <w:rFonts w:cs="Arial"/>
                <w:sz w:val="18"/>
              </w:rPr>
            </w:pPr>
            <w:r w:rsidRPr="00F72173">
              <w:rPr>
                <w:rFonts w:cs="Arial"/>
                <w:sz w:val="18"/>
              </w:rPr>
              <w:t>December 2014</w:t>
            </w:r>
          </w:p>
        </w:tc>
      </w:tr>
      <w:tr w:rsidR="00B776E0" w:rsidRPr="00F72173" w14:paraId="353791DE" w14:textId="77777777" w:rsidTr="008A0834">
        <w:tc>
          <w:tcPr>
            <w:tcW w:w="2777" w:type="dxa"/>
            <w:tcBorders>
              <w:top w:val="single" w:sz="4" w:space="0" w:color="A8D08D" w:themeColor="accent6" w:themeTint="99"/>
              <w:bottom w:val="single" w:sz="4" w:space="0" w:color="A8D08D" w:themeColor="accent6" w:themeTint="99"/>
            </w:tcBorders>
          </w:tcPr>
          <w:p w14:paraId="3B4F66E2" w14:textId="77777777" w:rsidR="00B776E0" w:rsidRPr="00F72173" w:rsidRDefault="00B776E0" w:rsidP="001C1576">
            <w:pPr>
              <w:spacing w:before="40" w:after="40"/>
              <w:rPr>
                <w:rFonts w:cs="Arial"/>
                <w:sz w:val="18"/>
              </w:rPr>
            </w:pPr>
            <w:r w:rsidRPr="00F72173">
              <w:rPr>
                <w:rFonts w:cs="Arial"/>
                <w:sz w:val="18"/>
              </w:rPr>
              <w:t xml:space="preserve">Areas of </w:t>
            </w:r>
            <w:r w:rsidR="001C1576">
              <w:rPr>
                <w:rFonts w:cs="Arial"/>
                <w:sz w:val="18"/>
              </w:rPr>
              <w:t>c</w:t>
            </w:r>
            <w:r w:rsidR="001C1576" w:rsidRPr="00F72173">
              <w:rPr>
                <w:rFonts w:cs="Arial"/>
                <w:sz w:val="18"/>
              </w:rPr>
              <w:t xml:space="preserve">ollaboration </w:t>
            </w:r>
            <w:r w:rsidRPr="00F72173">
              <w:rPr>
                <w:rFonts w:cs="Arial"/>
                <w:sz w:val="18"/>
              </w:rPr>
              <w:t>in MOA</w:t>
            </w:r>
          </w:p>
        </w:tc>
        <w:tc>
          <w:tcPr>
            <w:tcW w:w="6149" w:type="dxa"/>
            <w:tcBorders>
              <w:top w:val="single" w:sz="4" w:space="0" w:color="A8D08D" w:themeColor="accent6" w:themeTint="99"/>
              <w:bottom w:val="single" w:sz="4" w:space="0" w:color="A8D08D" w:themeColor="accent6" w:themeTint="99"/>
            </w:tcBorders>
          </w:tcPr>
          <w:p w14:paraId="702ACE41" w14:textId="3E5467B7" w:rsidR="00B776E0" w:rsidRPr="00F72173" w:rsidRDefault="00B776E0" w:rsidP="00F72173">
            <w:pPr>
              <w:spacing w:before="40" w:after="40"/>
              <w:rPr>
                <w:rFonts w:cs="Arial"/>
                <w:sz w:val="18"/>
              </w:rPr>
            </w:pPr>
            <w:r w:rsidRPr="00F72173">
              <w:rPr>
                <w:rFonts w:cs="Arial"/>
                <w:sz w:val="18"/>
              </w:rPr>
              <w:t xml:space="preserve">Collaboration on the delivery by APTC with support of ATI the Australian accredited Certificate III in Aged Care/Home and Community Care program to 20 students from Tonga from </w:t>
            </w:r>
            <w:r w:rsidR="00CB1ABD">
              <w:rPr>
                <w:rFonts w:cs="Arial"/>
                <w:sz w:val="18"/>
              </w:rPr>
              <w:br/>
            </w:r>
            <w:r w:rsidRPr="00F72173">
              <w:rPr>
                <w:rFonts w:cs="Arial"/>
                <w:sz w:val="18"/>
              </w:rPr>
              <w:t>27 June 2014 to 19 December 2014 to support the potential for migration to Australia.</w:t>
            </w:r>
          </w:p>
        </w:tc>
      </w:tr>
      <w:tr w:rsidR="00B776E0" w:rsidRPr="00F72173" w14:paraId="40C383F0" w14:textId="77777777" w:rsidTr="008A0834">
        <w:tc>
          <w:tcPr>
            <w:tcW w:w="2777" w:type="dxa"/>
            <w:tcBorders>
              <w:top w:val="single" w:sz="4" w:space="0" w:color="A8D08D" w:themeColor="accent6" w:themeTint="99"/>
              <w:bottom w:val="single" w:sz="4" w:space="0" w:color="A8D08D" w:themeColor="accent6" w:themeTint="99"/>
            </w:tcBorders>
          </w:tcPr>
          <w:p w14:paraId="2FE3CE09" w14:textId="77777777" w:rsidR="00B776E0" w:rsidRPr="00F72173" w:rsidRDefault="00B776E0" w:rsidP="001C1576">
            <w:pPr>
              <w:spacing w:before="40" w:after="40"/>
              <w:rPr>
                <w:rFonts w:cs="Arial"/>
                <w:sz w:val="18"/>
              </w:rPr>
            </w:pPr>
            <w:r w:rsidRPr="00F72173">
              <w:rPr>
                <w:rFonts w:cs="Arial"/>
                <w:sz w:val="18"/>
              </w:rPr>
              <w:t xml:space="preserve">Financial </w:t>
            </w:r>
            <w:r w:rsidR="001C1576">
              <w:rPr>
                <w:rFonts w:cs="Arial"/>
                <w:sz w:val="18"/>
              </w:rPr>
              <w:t>a</w:t>
            </w:r>
            <w:r w:rsidR="001C1576" w:rsidRPr="00F72173">
              <w:rPr>
                <w:rFonts w:cs="Arial"/>
                <w:sz w:val="18"/>
              </w:rPr>
              <w:t>rrangements</w:t>
            </w:r>
          </w:p>
        </w:tc>
        <w:tc>
          <w:tcPr>
            <w:tcW w:w="6149" w:type="dxa"/>
            <w:tcBorders>
              <w:top w:val="single" w:sz="4" w:space="0" w:color="A8D08D" w:themeColor="accent6" w:themeTint="99"/>
              <w:bottom w:val="single" w:sz="4" w:space="0" w:color="A8D08D" w:themeColor="accent6" w:themeTint="99"/>
            </w:tcBorders>
          </w:tcPr>
          <w:p w14:paraId="516407AF" w14:textId="77777777" w:rsidR="00B776E0" w:rsidRPr="00F72173" w:rsidRDefault="00B776E0" w:rsidP="00F554D4">
            <w:pPr>
              <w:spacing w:before="40" w:after="40"/>
              <w:rPr>
                <w:rFonts w:cs="Arial"/>
                <w:sz w:val="18"/>
              </w:rPr>
            </w:pPr>
            <w:r w:rsidRPr="00F72173">
              <w:rPr>
                <w:rFonts w:cs="Arial"/>
                <w:sz w:val="18"/>
              </w:rPr>
              <w:t>ATI Contribution:</w:t>
            </w:r>
            <w:r w:rsidR="00F554D4">
              <w:rPr>
                <w:rFonts w:cs="Arial"/>
                <w:sz w:val="18"/>
              </w:rPr>
              <w:t xml:space="preserve"> </w:t>
            </w:r>
            <w:r w:rsidRPr="00F72173">
              <w:rPr>
                <w:rFonts w:cs="Arial"/>
                <w:sz w:val="18"/>
              </w:rPr>
              <w:t>Access to facilities and equipment free of charge to APTC</w:t>
            </w:r>
          </w:p>
          <w:p w14:paraId="0587AB4E" w14:textId="77777777" w:rsidR="003D355F" w:rsidRDefault="00B776E0">
            <w:pPr>
              <w:spacing w:before="40" w:after="40"/>
              <w:rPr>
                <w:rFonts w:cs="Arial"/>
                <w:b/>
                <w:bCs/>
                <w:i/>
                <w:iCs/>
                <w:color w:val="404040"/>
                <w:sz w:val="18"/>
                <w:szCs w:val="28"/>
              </w:rPr>
            </w:pPr>
            <w:r w:rsidRPr="00F72173">
              <w:rPr>
                <w:rFonts w:cs="Arial"/>
                <w:sz w:val="18"/>
              </w:rPr>
              <w:t>APTC Contribution:</w:t>
            </w:r>
            <w:r w:rsidR="00F554D4">
              <w:rPr>
                <w:rFonts w:cs="Arial"/>
                <w:sz w:val="18"/>
              </w:rPr>
              <w:t xml:space="preserve"> </w:t>
            </w:r>
            <w:r w:rsidRPr="00F72173">
              <w:rPr>
                <w:rFonts w:cs="Arial"/>
                <w:sz w:val="18"/>
              </w:rPr>
              <w:t xml:space="preserve">Fee </w:t>
            </w:r>
            <w:r w:rsidR="00F554D4">
              <w:rPr>
                <w:rFonts w:cs="Arial"/>
                <w:sz w:val="18"/>
              </w:rPr>
              <w:t>w</w:t>
            </w:r>
            <w:r w:rsidR="00F554D4" w:rsidRPr="00F72173">
              <w:rPr>
                <w:rFonts w:cs="Arial"/>
                <w:sz w:val="18"/>
              </w:rPr>
              <w:t xml:space="preserve">aiver </w:t>
            </w:r>
            <w:r w:rsidRPr="00F72173">
              <w:rPr>
                <w:rFonts w:cs="Arial"/>
                <w:sz w:val="18"/>
              </w:rPr>
              <w:t>(funded by the Australian Government through the Department of Foreign Affairs and Trade) in lieu of venue provision</w:t>
            </w:r>
          </w:p>
        </w:tc>
      </w:tr>
    </w:tbl>
    <w:p w14:paraId="27A9554C" w14:textId="77777777" w:rsidR="00B776E0" w:rsidRPr="002113B5" w:rsidRDefault="00B776E0" w:rsidP="00B776E0">
      <w:pPr>
        <w:rPr>
          <w:rFonts w:cs="Arial"/>
          <w:b/>
        </w:rPr>
      </w:pPr>
    </w:p>
    <w:p w14:paraId="263A068C" w14:textId="77777777" w:rsidR="00B776E0" w:rsidRPr="002113B5" w:rsidRDefault="00B776E0" w:rsidP="00B776E0">
      <w:pPr>
        <w:rPr>
          <w:rFonts w:cs="Arial"/>
          <w:b/>
        </w:rPr>
      </w:pPr>
    </w:p>
    <w:p w14:paraId="4F00690B" w14:textId="026859E7" w:rsidR="00EB5606" w:rsidRPr="009A63BD" w:rsidRDefault="005C70F2" w:rsidP="005C70F2">
      <w:pPr>
        <w:pStyle w:val="Heading2"/>
      </w:pPr>
      <w:bookmarkStart w:id="766" w:name="_Toc278447937"/>
      <w:bookmarkStart w:id="767" w:name="_Toc278453410"/>
      <w:r>
        <w:t>3.</w:t>
      </w:r>
      <w:r>
        <w:tab/>
      </w:r>
      <w:r w:rsidR="00B776E0" w:rsidRPr="00F72173">
        <w:t xml:space="preserve">APTC </w:t>
      </w:r>
      <w:r w:rsidR="00F72173">
        <w:t>e</w:t>
      </w:r>
      <w:r w:rsidR="00B776E0" w:rsidRPr="00F72173">
        <w:t xml:space="preserve">ngagement with the </w:t>
      </w:r>
      <w:r w:rsidR="00F72173">
        <w:t>w</w:t>
      </w:r>
      <w:r w:rsidR="00B776E0" w:rsidRPr="00F72173">
        <w:t xml:space="preserve">ider TVET </w:t>
      </w:r>
      <w:r w:rsidR="00F72173">
        <w:t>s</w:t>
      </w:r>
      <w:r w:rsidR="00B776E0" w:rsidRPr="00F72173">
        <w:t>ector</w:t>
      </w:r>
      <w:bookmarkEnd w:id="766"/>
      <w:bookmarkEnd w:id="767"/>
      <w:r w:rsidR="00B776E0" w:rsidRPr="00F72173">
        <w:t xml:space="preserve"> </w:t>
      </w:r>
    </w:p>
    <w:p w14:paraId="5DCABB2A" w14:textId="77777777" w:rsidR="00B776E0" w:rsidRPr="002113B5" w:rsidRDefault="00B776E0" w:rsidP="00B776E0">
      <w:pPr>
        <w:rPr>
          <w:rFonts w:cs="Arial"/>
        </w:rPr>
      </w:pPr>
      <w:r w:rsidRPr="002113B5">
        <w:rPr>
          <w:rFonts w:cs="Arial"/>
        </w:rPr>
        <w:t>The main ways of working with the wider TVET sector are through support of the relevant Ministries and Government Agencies and through them to other providers.</w:t>
      </w:r>
    </w:p>
    <w:p w14:paraId="457B10E0" w14:textId="77777777" w:rsidR="00B776E0" w:rsidRPr="002113B5" w:rsidRDefault="00B776E0" w:rsidP="00B776E0">
      <w:pPr>
        <w:rPr>
          <w:rFonts w:cs="Arial"/>
        </w:rPr>
      </w:pPr>
      <w:r w:rsidRPr="002113B5">
        <w:rPr>
          <w:rFonts w:cs="Arial"/>
        </w:rPr>
        <w:t>The areas of engagement vary from country to country but include:</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B776E0" w:rsidRPr="002113B5" w14:paraId="37210035" w14:textId="77777777">
        <w:tc>
          <w:tcPr>
            <w:tcW w:w="9776" w:type="dxa"/>
          </w:tcPr>
          <w:p w14:paraId="1D433A51" w14:textId="77777777" w:rsidR="003D355F" w:rsidRDefault="00625FDA" w:rsidP="00260880">
            <w:pPr>
              <w:numPr>
                <w:ilvl w:val="0"/>
                <w:numId w:val="33"/>
              </w:numPr>
              <w:spacing w:before="40" w:after="40"/>
              <w:ind w:left="714" w:hanging="357"/>
              <w:rPr>
                <w:rFonts w:cs="Arial"/>
              </w:rPr>
            </w:pPr>
            <w:r>
              <w:rPr>
                <w:rFonts w:cs="Arial"/>
              </w:rPr>
              <w:t>a</w:t>
            </w:r>
            <w:r w:rsidRPr="002113B5">
              <w:rPr>
                <w:rFonts w:cs="Arial"/>
              </w:rPr>
              <w:t xml:space="preserve">lignment </w:t>
            </w:r>
            <w:r w:rsidR="00B776E0" w:rsidRPr="002113B5">
              <w:rPr>
                <w:rFonts w:cs="Arial"/>
              </w:rPr>
              <w:t>with government TVET planning (where available)</w:t>
            </w:r>
          </w:p>
        </w:tc>
      </w:tr>
      <w:tr w:rsidR="00B776E0" w:rsidRPr="002113B5" w14:paraId="2981993E" w14:textId="77777777">
        <w:tc>
          <w:tcPr>
            <w:tcW w:w="9776" w:type="dxa"/>
          </w:tcPr>
          <w:p w14:paraId="0811AF60" w14:textId="77777777" w:rsidR="003D355F" w:rsidRDefault="00625FDA" w:rsidP="00260880">
            <w:pPr>
              <w:numPr>
                <w:ilvl w:val="0"/>
                <w:numId w:val="33"/>
              </w:numPr>
              <w:spacing w:before="40" w:after="40"/>
              <w:ind w:left="714" w:hanging="357"/>
              <w:rPr>
                <w:rFonts w:cs="Arial"/>
              </w:rPr>
            </w:pPr>
            <w:r>
              <w:rPr>
                <w:rFonts w:cs="Arial"/>
              </w:rPr>
              <w:t>a</w:t>
            </w:r>
            <w:r w:rsidRPr="002113B5">
              <w:rPr>
                <w:rFonts w:cs="Arial"/>
              </w:rPr>
              <w:t xml:space="preserve">ssisting </w:t>
            </w:r>
            <w:r w:rsidR="00B776E0" w:rsidRPr="002113B5">
              <w:rPr>
                <w:rFonts w:cs="Arial"/>
              </w:rPr>
              <w:t xml:space="preserve">with development of qualifications frameworks </w:t>
            </w:r>
          </w:p>
        </w:tc>
      </w:tr>
      <w:tr w:rsidR="00B776E0" w:rsidRPr="00CB1ABD" w14:paraId="25AD080C" w14:textId="77777777">
        <w:tc>
          <w:tcPr>
            <w:tcW w:w="9776" w:type="dxa"/>
          </w:tcPr>
          <w:p w14:paraId="6BE0AF2B" w14:textId="77777777" w:rsidR="003D355F" w:rsidRPr="00CB1ABD" w:rsidRDefault="00625FDA" w:rsidP="00260880">
            <w:pPr>
              <w:numPr>
                <w:ilvl w:val="0"/>
                <w:numId w:val="33"/>
              </w:numPr>
              <w:spacing w:before="40" w:after="40"/>
              <w:ind w:left="714" w:hanging="357"/>
              <w:rPr>
                <w:rFonts w:cs="Arial"/>
                <w:b/>
                <w:bCs/>
              </w:rPr>
            </w:pPr>
            <w:r w:rsidRPr="00CB1ABD">
              <w:rPr>
                <w:rFonts w:cs="Arial"/>
              </w:rPr>
              <w:t xml:space="preserve">assistance </w:t>
            </w:r>
            <w:r w:rsidR="00B776E0" w:rsidRPr="00CB1ABD">
              <w:rPr>
                <w:rFonts w:cs="Arial"/>
              </w:rPr>
              <w:t>with implementation of quality, compliance processes</w:t>
            </w:r>
          </w:p>
        </w:tc>
      </w:tr>
      <w:tr w:rsidR="00B776E0" w:rsidRPr="002113B5" w14:paraId="6583A694" w14:textId="77777777">
        <w:tc>
          <w:tcPr>
            <w:tcW w:w="9776" w:type="dxa"/>
          </w:tcPr>
          <w:p w14:paraId="7A1A7EE9" w14:textId="77777777" w:rsidR="003D355F" w:rsidRDefault="00625FDA" w:rsidP="00260880">
            <w:pPr>
              <w:numPr>
                <w:ilvl w:val="0"/>
                <w:numId w:val="33"/>
              </w:numPr>
              <w:spacing w:before="40" w:after="40"/>
              <w:ind w:left="714" w:hanging="357"/>
              <w:rPr>
                <w:rFonts w:cs="Arial"/>
              </w:rPr>
            </w:pPr>
            <w:r>
              <w:rPr>
                <w:rFonts w:cs="Arial"/>
              </w:rPr>
              <w:t>a</w:t>
            </w:r>
            <w:r w:rsidRPr="002113B5">
              <w:rPr>
                <w:rFonts w:cs="Arial"/>
              </w:rPr>
              <w:t xml:space="preserve">ssisting </w:t>
            </w:r>
            <w:r w:rsidR="00B776E0" w:rsidRPr="002113B5">
              <w:rPr>
                <w:rFonts w:cs="Arial"/>
              </w:rPr>
              <w:t>with training package/curriculum development</w:t>
            </w:r>
          </w:p>
        </w:tc>
      </w:tr>
      <w:tr w:rsidR="00B776E0" w:rsidRPr="002113B5" w14:paraId="6F08B0F8" w14:textId="77777777">
        <w:tc>
          <w:tcPr>
            <w:tcW w:w="9776" w:type="dxa"/>
          </w:tcPr>
          <w:p w14:paraId="069A7860" w14:textId="77777777" w:rsidR="003D355F" w:rsidRDefault="00625FDA" w:rsidP="00260880">
            <w:pPr>
              <w:numPr>
                <w:ilvl w:val="0"/>
                <w:numId w:val="33"/>
              </w:numPr>
              <w:spacing w:before="40" w:after="40"/>
              <w:ind w:left="714" w:hanging="357"/>
              <w:rPr>
                <w:rFonts w:cs="Arial"/>
              </w:rPr>
            </w:pPr>
            <w:r>
              <w:rPr>
                <w:rFonts w:cs="Arial"/>
              </w:rPr>
              <w:t>p</w:t>
            </w:r>
            <w:r w:rsidRPr="002113B5">
              <w:rPr>
                <w:rFonts w:cs="Arial"/>
              </w:rPr>
              <w:t xml:space="preserve">articipating </w:t>
            </w:r>
            <w:r w:rsidR="00B776E0" w:rsidRPr="002113B5">
              <w:rPr>
                <w:rFonts w:cs="Arial"/>
              </w:rPr>
              <w:t>in industry sector advisory bodies developing standards</w:t>
            </w:r>
          </w:p>
        </w:tc>
      </w:tr>
      <w:tr w:rsidR="00B776E0" w:rsidRPr="002113B5" w14:paraId="57245DC9" w14:textId="77777777">
        <w:tc>
          <w:tcPr>
            <w:tcW w:w="9776" w:type="dxa"/>
          </w:tcPr>
          <w:p w14:paraId="3B7A1FD7" w14:textId="77777777" w:rsidR="003D355F" w:rsidRDefault="00625FDA" w:rsidP="00260880">
            <w:pPr>
              <w:numPr>
                <w:ilvl w:val="0"/>
                <w:numId w:val="33"/>
              </w:numPr>
              <w:spacing w:before="40" w:after="40"/>
              <w:ind w:left="714" w:hanging="357"/>
              <w:rPr>
                <w:rFonts w:cs="Arial"/>
              </w:rPr>
            </w:pPr>
            <w:r>
              <w:rPr>
                <w:rFonts w:cs="Arial"/>
              </w:rPr>
              <w:t>h</w:t>
            </w:r>
            <w:r w:rsidRPr="002113B5">
              <w:rPr>
                <w:rFonts w:cs="Arial"/>
              </w:rPr>
              <w:t>armonising</w:t>
            </w:r>
            <w:r w:rsidR="00B776E0" w:rsidRPr="002113B5">
              <w:rPr>
                <w:rFonts w:cs="Arial"/>
              </w:rPr>
              <w:t xml:space="preserve">/mapping Australian and local qualifications </w:t>
            </w:r>
          </w:p>
        </w:tc>
      </w:tr>
      <w:tr w:rsidR="00B776E0" w:rsidRPr="002113B5" w14:paraId="0314B7FC" w14:textId="77777777">
        <w:tc>
          <w:tcPr>
            <w:tcW w:w="9776" w:type="dxa"/>
          </w:tcPr>
          <w:p w14:paraId="292ECA54" w14:textId="77777777" w:rsidR="003D355F" w:rsidRDefault="00625FDA" w:rsidP="00260880">
            <w:pPr>
              <w:numPr>
                <w:ilvl w:val="0"/>
                <w:numId w:val="33"/>
              </w:numPr>
              <w:spacing w:before="40" w:after="40"/>
              <w:ind w:left="714" w:hanging="357"/>
              <w:rPr>
                <w:rFonts w:cs="Arial"/>
              </w:rPr>
            </w:pPr>
            <w:r>
              <w:rPr>
                <w:rFonts w:cs="Arial"/>
              </w:rPr>
              <w:t>a</w:t>
            </w:r>
            <w:r w:rsidRPr="002113B5">
              <w:rPr>
                <w:rFonts w:cs="Arial"/>
              </w:rPr>
              <w:t xml:space="preserve">chieving </w:t>
            </w:r>
            <w:r w:rsidR="00B776E0" w:rsidRPr="002113B5">
              <w:rPr>
                <w:rFonts w:cs="Arial"/>
              </w:rPr>
              <w:t>and maintaining registration as a local provider</w:t>
            </w:r>
          </w:p>
        </w:tc>
      </w:tr>
      <w:tr w:rsidR="00B776E0" w:rsidRPr="002113B5" w14:paraId="388E4BD0" w14:textId="77777777">
        <w:tc>
          <w:tcPr>
            <w:tcW w:w="9776" w:type="dxa"/>
          </w:tcPr>
          <w:p w14:paraId="4CE2EC41" w14:textId="77777777" w:rsidR="003D355F" w:rsidRDefault="00625FDA" w:rsidP="00260880">
            <w:pPr>
              <w:numPr>
                <w:ilvl w:val="0"/>
                <w:numId w:val="33"/>
              </w:numPr>
              <w:spacing w:before="40" w:after="40"/>
              <w:ind w:left="714" w:hanging="357"/>
              <w:rPr>
                <w:rFonts w:cs="Arial"/>
              </w:rPr>
            </w:pPr>
            <w:r>
              <w:rPr>
                <w:rFonts w:cs="Arial"/>
              </w:rPr>
              <w:t>a</w:t>
            </w:r>
            <w:r w:rsidRPr="002113B5">
              <w:rPr>
                <w:rFonts w:cs="Arial"/>
              </w:rPr>
              <w:t xml:space="preserve">chieving </w:t>
            </w:r>
            <w:r w:rsidR="00B776E0" w:rsidRPr="002113B5">
              <w:rPr>
                <w:rFonts w:cs="Arial"/>
              </w:rPr>
              <w:t>and maintaining registration of trainers, where applicable</w:t>
            </w:r>
          </w:p>
        </w:tc>
      </w:tr>
      <w:tr w:rsidR="00B776E0" w:rsidRPr="002113B5" w14:paraId="6C20FE66" w14:textId="77777777">
        <w:tc>
          <w:tcPr>
            <w:tcW w:w="9776" w:type="dxa"/>
          </w:tcPr>
          <w:p w14:paraId="45FF3F02" w14:textId="77777777" w:rsidR="003D355F" w:rsidRDefault="00625FDA" w:rsidP="00260880">
            <w:pPr>
              <w:numPr>
                <w:ilvl w:val="0"/>
                <w:numId w:val="33"/>
              </w:numPr>
              <w:spacing w:before="40" w:after="40"/>
              <w:ind w:left="714" w:hanging="357"/>
              <w:rPr>
                <w:rFonts w:cs="Arial"/>
              </w:rPr>
            </w:pPr>
            <w:r>
              <w:rPr>
                <w:rFonts w:cs="Arial"/>
              </w:rPr>
              <w:t>h</w:t>
            </w:r>
            <w:r w:rsidRPr="002113B5">
              <w:rPr>
                <w:rFonts w:cs="Arial"/>
              </w:rPr>
              <w:t xml:space="preserve">armonising </w:t>
            </w:r>
            <w:r w:rsidR="00B776E0" w:rsidRPr="002113B5">
              <w:rPr>
                <w:rFonts w:cs="Arial"/>
              </w:rPr>
              <w:t>training with the apprentice training systems</w:t>
            </w:r>
          </w:p>
        </w:tc>
      </w:tr>
      <w:tr w:rsidR="00B776E0" w:rsidRPr="002113B5" w14:paraId="69087B16" w14:textId="77777777">
        <w:tc>
          <w:tcPr>
            <w:tcW w:w="9776" w:type="dxa"/>
          </w:tcPr>
          <w:p w14:paraId="48CC849E" w14:textId="77777777" w:rsidR="003D355F" w:rsidRDefault="00625FDA" w:rsidP="00260880">
            <w:pPr>
              <w:numPr>
                <w:ilvl w:val="0"/>
                <w:numId w:val="33"/>
              </w:numPr>
              <w:spacing w:before="40" w:after="40"/>
              <w:ind w:left="714" w:hanging="357"/>
              <w:rPr>
                <w:rFonts w:cs="Arial"/>
              </w:rPr>
            </w:pPr>
            <w:r>
              <w:rPr>
                <w:rFonts w:cs="Arial"/>
              </w:rPr>
              <w:t>s</w:t>
            </w:r>
            <w:r w:rsidRPr="002113B5">
              <w:rPr>
                <w:rFonts w:cs="Arial"/>
              </w:rPr>
              <w:t xml:space="preserve">erving </w:t>
            </w:r>
            <w:r w:rsidR="00B776E0" w:rsidRPr="002113B5">
              <w:rPr>
                <w:rFonts w:cs="Arial"/>
              </w:rPr>
              <w:t>on government agency boards and committees</w:t>
            </w:r>
          </w:p>
        </w:tc>
      </w:tr>
      <w:tr w:rsidR="00B776E0" w:rsidRPr="002113B5" w14:paraId="576F84FC" w14:textId="77777777">
        <w:tc>
          <w:tcPr>
            <w:tcW w:w="9776" w:type="dxa"/>
          </w:tcPr>
          <w:p w14:paraId="0566E518" w14:textId="77777777" w:rsidR="003D355F" w:rsidRDefault="00625FDA" w:rsidP="00260880">
            <w:pPr>
              <w:numPr>
                <w:ilvl w:val="0"/>
                <w:numId w:val="33"/>
              </w:numPr>
              <w:spacing w:before="40" w:after="40"/>
              <w:ind w:left="714" w:hanging="357"/>
              <w:rPr>
                <w:rFonts w:cs="Arial"/>
              </w:rPr>
            </w:pPr>
            <w:r>
              <w:rPr>
                <w:rFonts w:cs="Arial"/>
              </w:rPr>
              <w:t>a</w:t>
            </w:r>
            <w:r w:rsidRPr="002113B5">
              <w:rPr>
                <w:rFonts w:cs="Arial"/>
              </w:rPr>
              <w:t xml:space="preserve">ssisting </w:t>
            </w:r>
            <w:r w:rsidR="00B776E0" w:rsidRPr="002113B5">
              <w:rPr>
                <w:rFonts w:cs="Arial"/>
              </w:rPr>
              <w:t>with trade testing</w:t>
            </w:r>
          </w:p>
        </w:tc>
      </w:tr>
      <w:tr w:rsidR="00B776E0" w:rsidRPr="002113B5" w14:paraId="7AB4C7C2" w14:textId="77777777">
        <w:tc>
          <w:tcPr>
            <w:tcW w:w="9776" w:type="dxa"/>
          </w:tcPr>
          <w:p w14:paraId="6C4DAB62" w14:textId="77777777" w:rsidR="003D355F" w:rsidRDefault="00625FDA" w:rsidP="00260880">
            <w:pPr>
              <w:numPr>
                <w:ilvl w:val="0"/>
                <w:numId w:val="33"/>
              </w:numPr>
              <w:spacing w:before="40" w:after="40"/>
              <w:ind w:left="714" w:hanging="357"/>
              <w:rPr>
                <w:rFonts w:cs="Arial"/>
              </w:rPr>
            </w:pPr>
            <w:r>
              <w:rPr>
                <w:rFonts w:cs="Arial"/>
              </w:rPr>
              <w:t>a</w:t>
            </w:r>
            <w:r w:rsidRPr="002113B5">
              <w:rPr>
                <w:rFonts w:cs="Arial"/>
              </w:rPr>
              <w:t xml:space="preserve">ssisting </w:t>
            </w:r>
            <w:r w:rsidR="00B776E0" w:rsidRPr="002113B5">
              <w:rPr>
                <w:rFonts w:cs="Arial"/>
              </w:rPr>
              <w:t>with licencing arrangements</w:t>
            </w:r>
          </w:p>
        </w:tc>
      </w:tr>
      <w:tr w:rsidR="00B776E0" w:rsidRPr="002113B5" w14:paraId="7E5300D6" w14:textId="77777777">
        <w:tc>
          <w:tcPr>
            <w:tcW w:w="9776" w:type="dxa"/>
          </w:tcPr>
          <w:p w14:paraId="046052BE" w14:textId="77777777" w:rsidR="003D355F" w:rsidRDefault="00625FDA" w:rsidP="00260880">
            <w:pPr>
              <w:numPr>
                <w:ilvl w:val="0"/>
                <w:numId w:val="33"/>
              </w:numPr>
              <w:spacing w:before="40" w:after="40"/>
              <w:ind w:left="714" w:hanging="357"/>
              <w:rPr>
                <w:rFonts w:cs="Arial"/>
              </w:rPr>
            </w:pPr>
            <w:r>
              <w:rPr>
                <w:rFonts w:cs="Arial"/>
              </w:rPr>
              <w:t>a</w:t>
            </w:r>
            <w:r w:rsidRPr="002113B5">
              <w:rPr>
                <w:rFonts w:cs="Arial"/>
              </w:rPr>
              <w:t xml:space="preserve">ssisting </w:t>
            </w:r>
            <w:r w:rsidR="00B776E0" w:rsidRPr="002113B5">
              <w:rPr>
                <w:rFonts w:cs="Arial"/>
              </w:rPr>
              <w:t>with development of legislation, policy, regulations</w:t>
            </w:r>
          </w:p>
        </w:tc>
      </w:tr>
      <w:tr w:rsidR="00B776E0" w:rsidRPr="002113B5" w14:paraId="2069AC4A" w14:textId="77777777">
        <w:tc>
          <w:tcPr>
            <w:tcW w:w="9776" w:type="dxa"/>
          </w:tcPr>
          <w:p w14:paraId="51540C53" w14:textId="77777777" w:rsidR="003D355F" w:rsidRDefault="00625FDA" w:rsidP="00260880">
            <w:pPr>
              <w:numPr>
                <w:ilvl w:val="0"/>
                <w:numId w:val="33"/>
              </w:numPr>
              <w:spacing w:before="40" w:after="40"/>
              <w:ind w:left="714" w:hanging="357"/>
              <w:rPr>
                <w:rFonts w:cs="Arial"/>
              </w:rPr>
            </w:pPr>
            <w:r>
              <w:rPr>
                <w:rFonts w:cs="Arial"/>
              </w:rPr>
              <w:t>p</w:t>
            </w:r>
            <w:r w:rsidRPr="002113B5">
              <w:rPr>
                <w:rFonts w:cs="Arial"/>
              </w:rPr>
              <w:t xml:space="preserve">roviding </w:t>
            </w:r>
            <w:r w:rsidR="00B776E0" w:rsidRPr="002113B5">
              <w:rPr>
                <w:rFonts w:cs="Arial"/>
              </w:rPr>
              <w:t>skills upgrading on a fee-for-service basis</w:t>
            </w:r>
          </w:p>
        </w:tc>
      </w:tr>
      <w:tr w:rsidR="00B776E0" w:rsidRPr="002113B5" w14:paraId="45F1261F" w14:textId="77777777">
        <w:tc>
          <w:tcPr>
            <w:tcW w:w="9776" w:type="dxa"/>
          </w:tcPr>
          <w:p w14:paraId="11034816" w14:textId="77777777" w:rsidR="003D355F" w:rsidRDefault="00625FDA" w:rsidP="00260880">
            <w:pPr>
              <w:numPr>
                <w:ilvl w:val="0"/>
                <w:numId w:val="33"/>
              </w:numPr>
              <w:spacing w:before="40" w:after="40"/>
              <w:ind w:left="714" w:hanging="357"/>
              <w:rPr>
                <w:rFonts w:cs="Arial"/>
              </w:rPr>
            </w:pPr>
            <w:r>
              <w:rPr>
                <w:rFonts w:cs="Arial"/>
              </w:rPr>
              <w:t>p</w:t>
            </w:r>
            <w:r w:rsidRPr="002113B5">
              <w:rPr>
                <w:rFonts w:cs="Arial"/>
              </w:rPr>
              <w:t xml:space="preserve">roviding </w:t>
            </w:r>
            <w:r w:rsidR="00B776E0" w:rsidRPr="002113B5">
              <w:rPr>
                <w:rFonts w:cs="Arial"/>
              </w:rPr>
              <w:t>updates on industry trends and training package changes in Australia</w:t>
            </w:r>
            <w:r w:rsidR="003D0672">
              <w:rPr>
                <w:rFonts w:cs="Arial"/>
              </w:rPr>
              <w:t>.</w:t>
            </w:r>
          </w:p>
        </w:tc>
      </w:tr>
    </w:tbl>
    <w:p w14:paraId="4F503A98" w14:textId="77777777" w:rsidR="00F72173" w:rsidRDefault="00F72173" w:rsidP="00B776E0">
      <w:pPr>
        <w:rPr>
          <w:rFonts w:cs="Arial"/>
          <w:color w:val="000000" w:themeColor="text1"/>
        </w:rPr>
      </w:pPr>
    </w:p>
    <w:p w14:paraId="6B7D2E5E" w14:textId="77777777" w:rsidR="002E2E63" w:rsidRDefault="002E2E63" w:rsidP="002028A6">
      <w:pPr>
        <w:pStyle w:val="Heading1"/>
        <w:rPr>
          <w:color w:val="000000" w:themeColor="text1"/>
        </w:rPr>
        <w:sectPr w:rsidR="002E2E63" w:rsidSect="00FF3EDE">
          <w:headerReference w:type="default" r:id="rId68"/>
          <w:endnotePr>
            <w:numFmt w:val="decimal"/>
          </w:endnotePr>
          <w:type w:val="continuous"/>
          <w:pgSz w:w="11901" w:h="16834"/>
          <w:pgMar w:top="1440" w:right="1701" w:bottom="1440" w:left="1701" w:header="720" w:footer="720" w:gutter="0"/>
          <w:cols w:space="720"/>
        </w:sectPr>
      </w:pPr>
    </w:p>
    <w:p w14:paraId="53E4B00F" w14:textId="3FBDA281" w:rsidR="003D355F" w:rsidRDefault="00F72173" w:rsidP="002028A6">
      <w:pPr>
        <w:pStyle w:val="Heading1"/>
      </w:pPr>
      <w:r>
        <w:rPr>
          <w:color w:val="000000" w:themeColor="text1"/>
        </w:rPr>
        <w:br w:type="page"/>
      </w:r>
      <w:bookmarkStart w:id="768" w:name="_Toc278447938"/>
      <w:bookmarkStart w:id="769" w:name="_Toc278453411"/>
      <w:r w:rsidR="008A0834">
        <w:t>ANNEX 7: LABOUR MOBILITY</w:t>
      </w:r>
      <w:bookmarkEnd w:id="768"/>
      <w:bookmarkEnd w:id="769"/>
    </w:p>
    <w:p w14:paraId="11E44660" w14:textId="7D6C7C2E" w:rsidR="009A336A" w:rsidRPr="009A336A" w:rsidRDefault="009A336A" w:rsidP="009A336A">
      <w:pPr>
        <w:rPr>
          <w:b/>
        </w:rPr>
      </w:pPr>
      <w:r w:rsidRPr="009A336A">
        <w:rPr>
          <w:b/>
        </w:rPr>
        <w:t>Table of contents</w:t>
      </w:r>
    </w:p>
    <w:p w14:paraId="01D5DE49"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t>1</w:t>
      </w:r>
      <w:r w:rsidRPr="000E416E">
        <w:rPr>
          <w:rFonts w:asciiTheme="minorHAnsi" w:eastAsiaTheme="minorEastAsia" w:hAnsiTheme="minorHAnsi" w:cstheme="minorBidi"/>
          <w:sz w:val="24"/>
          <w:lang w:val="en-US" w:eastAsia="ja-JP"/>
        </w:rPr>
        <w:tab/>
      </w:r>
      <w:r w:rsidRPr="000E416E">
        <w:t xml:space="preserve">To what extent has APTC training enhanced access to regional and international </w:t>
      </w:r>
      <w:r w:rsidRPr="000E416E">
        <w:br/>
      </w:r>
      <w:r w:rsidRPr="000E416E">
        <w:tab/>
        <w:t>labour markets, and why?</w:t>
      </w:r>
      <w:r w:rsidRPr="000E416E">
        <w:tab/>
      </w:r>
      <w:r w:rsidRPr="000E416E">
        <w:fldChar w:fldCharType="begin"/>
      </w:r>
      <w:r w:rsidRPr="000E416E">
        <w:instrText xml:space="preserve"> PAGEREF _Toc278447939 \h </w:instrText>
      </w:r>
      <w:r w:rsidRPr="000E416E">
        <w:fldChar w:fldCharType="separate"/>
      </w:r>
      <w:r w:rsidR="00EA0B4D">
        <w:t>130</w:t>
      </w:r>
      <w:r w:rsidRPr="000E416E">
        <w:fldChar w:fldCharType="end"/>
      </w:r>
    </w:p>
    <w:p w14:paraId="04BD4188" w14:textId="77777777" w:rsidR="00543F20" w:rsidRPr="000E416E" w:rsidRDefault="00543F20" w:rsidP="00CF28BC">
      <w:pPr>
        <w:pStyle w:val="TOC1"/>
        <w:ind w:left="351" w:hanging="351"/>
        <w:rPr>
          <w:rFonts w:asciiTheme="minorHAnsi" w:eastAsiaTheme="minorEastAsia" w:hAnsiTheme="minorHAnsi" w:cstheme="minorBidi"/>
          <w:sz w:val="24"/>
          <w:lang w:val="en-US" w:eastAsia="ja-JP"/>
        </w:rPr>
      </w:pPr>
      <w:r w:rsidRPr="000E416E">
        <w:t xml:space="preserve">2 </w:t>
      </w:r>
      <w:r w:rsidRPr="000E416E">
        <w:rPr>
          <w:rFonts w:asciiTheme="minorHAnsi" w:eastAsiaTheme="minorEastAsia" w:hAnsiTheme="minorHAnsi" w:cstheme="minorBidi"/>
          <w:sz w:val="24"/>
          <w:lang w:val="en-US" w:eastAsia="ja-JP"/>
        </w:rPr>
        <w:tab/>
      </w:r>
      <w:r w:rsidRPr="000E416E">
        <w:t xml:space="preserve">Incidence: APTC graduates take-up of Pacific regional and international </w:t>
      </w:r>
      <w:r w:rsidRPr="000E416E">
        <w:br/>
        <w:t>employment</w:t>
      </w:r>
      <w:r w:rsidRPr="000E416E">
        <w:tab/>
      </w:r>
      <w:r w:rsidRPr="000E416E">
        <w:fldChar w:fldCharType="begin"/>
      </w:r>
      <w:r w:rsidRPr="000E416E">
        <w:instrText xml:space="preserve"> PAGEREF _Toc278447940 \h </w:instrText>
      </w:r>
      <w:r w:rsidRPr="000E416E">
        <w:fldChar w:fldCharType="separate"/>
      </w:r>
      <w:r w:rsidR="00EA0B4D">
        <w:t>131</w:t>
      </w:r>
      <w:r w:rsidRPr="000E416E">
        <w:fldChar w:fldCharType="end"/>
      </w:r>
    </w:p>
    <w:p w14:paraId="6B87BBEC"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t xml:space="preserve">3 </w:t>
      </w:r>
      <w:r w:rsidRPr="000E416E">
        <w:rPr>
          <w:rFonts w:asciiTheme="minorHAnsi" w:eastAsiaTheme="minorEastAsia" w:hAnsiTheme="minorHAnsi" w:cstheme="minorBidi"/>
          <w:sz w:val="24"/>
          <w:lang w:val="en-US" w:eastAsia="ja-JP"/>
        </w:rPr>
        <w:tab/>
      </w:r>
      <w:r w:rsidRPr="000E416E">
        <w:t>Age and migration</w:t>
      </w:r>
      <w:r w:rsidRPr="000E416E">
        <w:tab/>
      </w:r>
      <w:r w:rsidRPr="000E416E">
        <w:fldChar w:fldCharType="begin"/>
      </w:r>
      <w:r w:rsidRPr="000E416E">
        <w:instrText xml:space="preserve"> PAGEREF _Toc278447941 \h </w:instrText>
      </w:r>
      <w:r w:rsidRPr="000E416E">
        <w:fldChar w:fldCharType="separate"/>
      </w:r>
      <w:r w:rsidR="00EA0B4D">
        <w:t>132</w:t>
      </w:r>
      <w:r w:rsidRPr="000E416E">
        <w:fldChar w:fldCharType="end"/>
      </w:r>
    </w:p>
    <w:p w14:paraId="51414270"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t xml:space="preserve">4 </w:t>
      </w:r>
      <w:r w:rsidRPr="000E416E">
        <w:rPr>
          <w:rFonts w:asciiTheme="minorHAnsi" w:eastAsiaTheme="minorEastAsia" w:hAnsiTheme="minorHAnsi" w:cstheme="minorBidi"/>
          <w:sz w:val="24"/>
          <w:lang w:val="en-US" w:eastAsia="ja-JP"/>
        </w:rPr>
        <w:tab/>
      </w:r>
      <w:r w:rsidRPr="000E416E">
        <w:t>Differences between Stage I and II graduates</w:t>
      </w:r>
      <w:r w:rsidRPr="000E416E">
        <w:tab/>
      </w:r>
      <w:r w:rsidRPr="000E416E">
        <w:fldChar w:fldCharType="begin"/>
      </w:r>
      <w:r w:rsidRPr="000E416E">
        <w:instrText xml:space="preserve"> PAGEREF _Toc278447942 \h </w:instrText>
      </w:r>
      <w:r w:rsidRPr="000E416E">
        <w:fldChar w:fldCharType="separate"/>
      </w:r>
      <w:r w:rsidR="00EA0B4D">
        <w:t>132</w:t>
      </w:r>
      <w:r w:rsidRPr="000E416E">
        <w:fldChar w:fldCharType="end"/>
      </w:r>
    </w:p>
    <w:p w14:paraId="4F9E9B07"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t xml:space="preserve">5 </w:t>
      </w:r>
      <w:r w:rsidRPr="000E416E">
        <w:rPr>
          <w:rFonts w:asciiTheme="minorHAnsi" w:eastAsiaTheme="minorEastAsia" w:hAnsiTheme="minorHAnsi" w:cstheme="minorBidi"/>
          <w:sz w:val="24"/>
          <w:lang w:val="en-US" w:eastAsia="ja-JP"/>
        </w:rPr>
        <w:tab/>
      </w:r>
      <w:r w:rsidRPr="000E416E">
        <w:t>Reasons given for migration</w:t>
      </w:r>
      <w:r w:rsidRPr="000E416E">
        <w:tab/>
      </w:r>
      <w:r w:rsidRPr="000E416E">
        <w:fldChar w:fldCharType="begin"/>
      </w:r>
      <w:r w:rsidRPr="000E416E">
        <w:instrText xml:space="preserve"> PAGEREF _Toc278447943 \h </w:instrText>
      </w:r>
      <w:r w:rsidRPr="000E416E">
        <w:fldChar w:fldCharType="separate"/>
      </w:r>
      <w:r w:rsidR="00EA0B4D">
        <w:t>132</w:t>
      </w:r>
      <w:r w:rsidRPr="000E416E">
        <w:fldChar w:fldCharType="end"/>
      </w:r>
    </w:p>
    <w:p w14:paraId="12AE3B4E"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t xml:space="preserve">6 </w:t>
      </w:r>
      <w:r w:rsidRPr="000E416E">
        <w:rPr>
          <w:rFonts w:asciiTheme="minorHAnsi" w:eastAsiaTheme="minorEastAsia" w:hAnsiTheme="minorHAnsi" w:cstheme="minorBidi"/>
          <w:sz w:val="24"/>
          <w:lang w:val="en-US" w:eastAsia="ja-JP"/>
        </w:rPr>
        <w:tab/>
      </w:r>
      <w:r w:rsidRPr="000E416E">
        <w:t>Qualifications of APTC migrants</w:t>
      </w:r>
      <w:r w:rsidRPr="000E416E">
        <w:tab/>
      </w:r>
      <w:r w:rsidRPr="000E416E">
        <w:fldChar w:fldCharType="begin"/>
      </w:r>
      <w:r w:rsidRPr="000E416E">
        <w:instrText xml:space="preserve"> PAGEREF _Toc278447944 \h </w:instrText>
      </w:r>
      <w:r w:rsidRPr="000E416E">
        <w:fldChar w:fldCharType="separate"/>
      </w:r>
      <w:r w:rsidR="00EA0B4D">
        <w:t>132</w:t>
      </w:r>
      <w:r w:rsidRPr="000E416E">
        <w:fldChar w:fldCharType="end"/>
      </w:r>
    </w:p>
    <w:p w14:paraId="4125D80F"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t xml:space="preserve">7 </w:t>
      </w:r>
      <w:r w:rsidRPr="000E416E">
        <w:rPr>
          <w:rFonts w:asciiTheme="minorHAnsi" w:eastAsiaTheme="minorEastAsia" w:hAnsiTheme="minorHAnsi" w:cstheme="minorBidi"/>
          <w:sz w:val="24"/>
          <w:lang w:val="en-US" w:eastAsia="ja-JP"/>
        </w:rPr>
        <w:tab/>
      </w:r>
      <w:r w:rsidRPr="000E416E">
        <w:t>Is language a barrier to migration?</w:t>
      </w:r>
      <w:r w:rsidRPr="000E416E">
        <w:tab/>
      </w:r>
      <w:r w:rsidRPr="000E416E">
        <w:fldChar w:fldCharType="begin"/>
      </w:r>
      <w:r w:rsidRPr="000E416E">
        <w:instrText xml:space="preserve"> PAGEREF _Toc278447945 \h </w:instrText>
      </w:r>
      <w:r w:rsidRPr="000E416E">
        <w:fldChar w:fldCharType="separate"/>
      </w:r>
      <w:r w:rsidR="00EA0B4D">
        <w:t>133</w:t>
      </w:r>
      <w:r w:rsidRPr="000E416E">
        <w:fldChar w:fldCharType="end"/>
      </w:r>
    </w:p>
    <w:p w14:paraId="63DE7E2E"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t xml:space="preserve">8 </w:t>
      </w:r>
      <w:r w:rsidRPr="000E416E">
        <w:rPr>
          <w:rFonts w:asciiTheme="minorHAnsi" w:eastAsiaTheme="minorEastAsia" w:hAnsiTheme="minorHAnsi" w:cstheme="minorBidi"/>
          <w:sz w:val="24"/>
          <w:lang w:val="en-US" w:eastAsia="ja-JP"/>
        </w:rPr>
        <w:tab/>
      </w:r>
      <w:r w:rsidRPr="000E416E">
        <w:t>What were the major factors influencing APTC graduates choices?</w:t>
      </w:r>
      <w:r w:rsidRPr="000E416E">
        <w:tab/>
      </w:r>
      <w:r w:rsidRPr="000E416E">
        <w:fldChar w:fldCharType="begin"/>
      </w:r>
      <w:r w:rsidRPr="000E416E">
        <w:instrText xml:space="preserve"> PAGEREF _Toc278447946 \h </w:instrText>
      </w:r>
      <w:r w:rsidRPr="000E416E">
        <w:fldChar w:fldCharType="separate"/>
      </w:r>
      <w:r w:rsidR="00EA0B4D">
        <w:t>133</w:t>
      </w:r>
      <w:r w:rsidRPr="000E416E">
        <w:fldChar w:fldCharType="end"/>
      </w:r>
    </w:p>
    <w:p w14:paraId="699B9688"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rPr>
          <w:lang w:eastAsia="en-AU"/>
        </w:rPr>
        <w:t xml:space="preserve">9 </w:t>
      </w:r>
      <w:r w:rsidRPr="000E416E">
        <w:rPr>
          <w:rFonts w:asciiTheme="minorHAnsi" w:eastAsiaTheme="minorEastAsia" w:hAnsiTheme="minorHAnsi" w:cstheme="minorBidi"/>
          <w:sz w:val="24"/>
          <w:lang w:val="en-US" w:eastAsia="ja-JP"/>
        </w:rPr>
        <w:tab/>
      </w:r>
      <w:r w:rsidRPr="000E416E">
        <w:rPr>
          <w:lang w:eastAsia="en-AU"/>
        </w:rPr>
        <w:t>Obstacles to migration</w:t>
      </w:r>
      <w:r w:rsidRPr="000E416E">
        <w:tab/>
      </w:r>
      <w:r w:rsidRPr="000E416E">
        <w:fldChar w:fldCharType="begin"/>
      </w:r>
      <w:r w:rsidRPr="000E416E">
        <w:instrText xml:space="preserve"> PAGEREF _Toc278447947 \h </w:instrText>
      </w:r>
      <w:r w:rsidRPr="000E416E">
        <w:fldChar w:fldCharType="separate"/>
      </w:r>
      <w:r w:rsidR="00EA0B4D">
        <w:t>134</w:t>
      </w:r>
      <w:r w:rsidRPr="000E416E">
        <w:fldChar w:fldCharType="end"/>
      </w:r>
    </w:p>
    <w:p w14:paraId="10EAC7DC"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t xml:space="preserve">10 </w:t>
      </w:r>
      <w:r w:rsidRPr="000E416E">
        <w:rPr>
          <w:rFonts w:asciiTheme="minorHAnsi" w:eastAsiaTheme="minorEastAsia" w:hAnsiTheme="minorHAnsi" w:cstheme="minorBidi"/>
          <w:sz w:val="24"/>
          <w:lang w:val="en-US" w:eastAsia="ja-JP"/>
        </w:rPr>
        <w:tab/>
      </w:r>
      <w:r w:rsidRPr="000E416E">
        <w:t>Changes in labour market demand</w:t>
      </w:r>
      <w:r w:rsidRPr="000E416E">
        <w:tab/>
      </w:r>
      <w:r w:rsidRPr="000E416E">
        <w:fldChar w:fldCharType="begin"/>
      </w:r>
      <w:r w:rsidRPr="000E416E">
        <w:instrText xml:space="preserve"> PAGEREF _Toc278447948 \h </w:instrText>
      </w:r>
      <w:r w:rsidRPr="000E416E">
        <w:fldChar w:fldCharType="separate"/>
      </w:r>
      <w:r w:rsidR="00EA0B4D">
        <w:t>135</w:t>
      </w:r>
      <w:r w:rsidRPr="000E416E">
        <w:fldChar w:fldCharType="end"/>
      </w:r>
    </w:p>
    <w:p w14:paraId="2150F7F1" w14:textId="3F065DFC" w:rsidR="009A336A" w:rsidRPr="009A336A" w:rsidRDefault="009A336A" w:rsidP="00D3309F">
      <w:pPr>
        <w:pStyle w:val="TOC2"/>
        <w:tabs>
          <w:tab w:val="left" w:pos="680"/>
          <w:tab w:val="right" w:leader="dot" w:pos="8489"/>
        </w:tabs>
        <w:ind w:left="680" w:hanging="538"/>
        <w:rPr>
          <w:rFonts w:ascii="Arial" w:eastAsiaTheme="minorEastAsia" w:hAnsi="Arial" w:cs="Arial"/>
          <w:noProof/>
          <w:sz w:val="20"/>
          <w:szCs w:val="20"/>
          <w:lang w:val="en-US" w:eastAsia="ja-JP"/>
        </w:rPr>
      </w:pPr>
      <w:r w:rsidRPr="009A336A">
        <w:rPr>
          <w:rFonts w:ascii="Arial" w:hAnsi="Arial" w:cs="Arial"/>
          <w:noProof/>
          <w:sz w:val="20"/>
          <w:szCs w:val="20"/>
        </w:rPr>
        <w:t xml:space="preserve">10.1 </w:t>
      </w:r>
      <w:r w:rsidRPr="009A336A">
        <w:rPr>
          <w:rFonts w:ascii="Arial" w:eastAsiaTheme="minorEastAsia" w:hAnsi="Arial" w:cs="Arial"/>
          <w:noProof/>
          <w:sz w:val="20"/>
          <w:szCs w:val="20"/>
          <w:lang w:val="en-US" w:eastAsia="ja-JP"/>
        </w:rPr>
        <w:tab/>
      </w:r>
      <w:r w:rsidRPr="009A336A">
        <w:rPr>
          <w:rFonts w:ascii="Arial" w:hAnsi="Arial" w:cs="Arial"/>
          <w:noProof/>
          <w:sz w:val="20"/>
          <w:szCs w:val="20"/>
        </w:rPr>
        <w:t>To what extent have the original an</w:t>
      </w:r>
      <w:r>
        <w:rPr>
          <w:rFonts w:ascii="Arial" w:hAnsi="Arial" w:cs="Arial"/>
          <w:noProof/>
          <w:sz w:val="20"/>
          <w:szCs w:val="20"/>
        </w:rPr>
        <w:t xml:space="preserve">alysis and assumptions of the </w:t>
      </w:r>
      <w:r w:rsidRPr="009A336A">
        <w:rPr>
          <w:rFonts w:ascii="Arial" w:hAnsi="Arial" w:cs="Arial"/>
          <w:noProof/>
          <w:sz w:val="20"/>
          <w:szCs w:val="20"/>
        </w:rPr>
        <w:t xml:space="preserve">international </w:t>
      </w:r>
      <w:r w:rsidR="00D3309F">
        <w:rPr>
          <w:rFonts w:ascii="Arial" w:hAnsi="Arial" w:cs="Arial"/>
          <w:noProof/>
          <w:sz w:val="20"/>
          <w:szCs w:val="20"/>
        </w:rPr>
        <w:br/>
      </w:r>
      <w:r w:rsidRPr="009A336A">
        <w:rPr>
          <w:rFonts w:ascii="Arial" w:hAnsi="Arial" w:cs="Arial"/>
          <w:noProof/>
          <w:sz w:val="20"/>
          <w:szCs w:val="20"/>
        </w:rPr>
        <w:t>labour market turned out to be accurate?</w:t>
      </w:r>
      <w:r w:rsidRPr="009A336A">
        <w:rPr>
          <w:rFonts w:ascii="Arial" w:hAnsi="Arial" w:cs="Arial"/>
          <w:noProof/>
          <w:sz w:val="20"/>
          <w:szCs w:val="20"/>
        </w:rPr>
        <w:tab/>
      </w:r>
      <w:r w:rsidRPr="009A336A">
        <w:rPr>
          <w:rFonts w:ascii="Arial" w:hAnsi="Arial" w:cs="Arial"/>
          <w:noProof/>
          <w:sz w:val="20"/>
          <w:szCs w:val="20"/>
        </w:rPr>
        <w:fldChar w:fldCharType="begin"/>
      </w:r>
      <w:r w:rsidRPr="009A336A">
        <w:rPr>
          <w:rFonts w:ascii="Arial" w:hAnsi="Arial" w:cs="Arial"/>
          <w:noProof/>
          <w:sz w:val="20"/>
          <w:szCs w:val="20"/>
        </w:rPr>
        <w:instrText xml:space="preserve"> PAGEREF _Toc274909932 \h </w:instrText>
      </w:r>
      <w:r w:rsidRPr="009A336A">
        <w:rPr>
          <w:rFonts w:ascii="Arial" w:hAnsi="Arial" w:cs="Arial"/>
          <w:noProof/>
          <w:sz w:val="20"/>
          <w:szCs w:val="20"/>
        </w:rPr>
      </w:r>
      <w:r w:rsidRPr="009A336A">
        <w:rPr>
          <w:rFonts w:ascii="Arial" w:hAnsi="Arial" w:cs="Arial"/>
          <w:noProof/>
          <w:sz w:val="20"/>
          <w:szCs w:val="20"/>
        </w:rPr>
        <w:fldChar w:fldCharType="separate"/>
      </w:r>
      <w:r w:rsidR="00EA0B4D">
        <w:rPr>
          <w:rFonts w:ascii="Arial" w:hAnsi="Arial" w:cs="Arial"/>
          <w:noProof/>
          <w:sz w:val="20"/>
          <w:szCs w:val="20"/>
        </w:rPr>
        <w:t>135</w:t>
      </w:r>
      <w:r w:rsidRPr="009A336A">
        <w:rPr>
          <w:rFonts w:ascii="Arial" w:hAnsi="Arial" w:cs="Arial"/>
          <w:noProof/>
          <w:sz w:val="20"/>
          <w:szCs w:val="20"/>
        </w:rPr>
        <w:fldChar w:fldCharType="end"/>
      </w:r>
    </w:p>
    <w:p w14:paraId="3A4495FE" w14:textId="77777777" w:rsidR="009A336A" w:rsidRPr="009A336A" w:rsidRDefault="009A336A" w:rsidP="009A336A">
      <w:pPr>
        <w:pStyle w:val="TOC2"/>
        <w:tabs>
          <w:tab w:val="left" w:pos="680"/>
          <w:tab w:val="right" w:leader="dot" w:pos="8489"/>
        </w:tabs>
        <w:ind w:left="142"/>
        <w:rPr>
          <w:rFonts w:ascii="Arial" w:eastAsiaTheme="minorEastAsia" w:hAnsi="Arial" w:cs="Arial"/>
          <w:noProof/>
          <w:sz w:val="20"/>
          <w:szCs w:val="20"/>
          <w:lang w:val="en-US" w:eastAsia="ja-JP"/>
        </w:rPr>
      </w:pPr>
      <w:r w:rsidRPr="009A336A">
        <w:rPr>
          <w:rFonts w:ascii="Arial" w:hAnsi="Arial" w:cs="Arial"/>
          <w:noProof/>
          <w:sz w:val="20"/>
          <w:szCs w:val="20"/>
        </w:rPr>
        <w:t xml:space="preserve">10.2 </w:t>
      </w:r>
      <w:r w:rsidRPr="009A336A">
        <w:rPr>
          <w:rFonts w:ascii="Arial" w:eastAsiaTheme="minorEastAsia" w:hAnsi="Arial" w:cs="Arial"/>
          <w:noProof/>
          <w:sz w:val="20"/>
          <w:szCs w:val="20"/>
          <w:lang w:val="en-US" w:eastAsia="ja-JP"/>
        </w:rPr>
        <w:tab/>
      </w:r>
      <w:r w:rsidRPr="009A336A">
        <w:rPr>
          <w:rFonts w:ascii="Arial" w:hAnsi="Arial" w:cs="Arial"/>
          <w:noProof/>
          <w:sz w:val="20"/>
          <w:szCs w:val="20"/>
        </w:rPr>
        <w:t>Demand for APTC qualifications</w:t>
      </w:r>
      <w:r w:rsidRPr="009A336A">
        <w:rPr>
          <w:rFonts w:ascii="Arial" w:hAnsi="Arial" w:cs="Arial"/>
          <w:noProof/>
          <w:sz w:val="20"/>
          <w:szCs w:val="20"/>
        </w:rPr>
        <w:tab/>
      </w:r>
      <w:r w:rsidRPr="009A336A">
        <w:rPr>
          <w:rFonts w:ascii="Arial" w:hAnsi="Arial" w:cs="Arial"/>
          <w:noProof/>
          <w:sz w:val="20"/>
          <w:szCs w:val="20"/>
        </w:rPr>
        <w:fldChar w:fldCharType="begin"/>
      </w:r>
      <w:r w:rsidRPr="009A336A">
        <w:rPr>
          <w:rFonts w:ascii="Arial" w:hAnsi="Arial" w:cs="Arial"/>
          <w:noProof/>
          <w:sz w:val="20"/>
          <w:szCs w:val="20"/>
        </w:rPr>
        <w:instrText xml:space="preserve"> PAGEREF _Toc274909933 \h </w:instrText>
      </w:r>
      <w:r w:rsidRPr="009A336A">
        <w:rPr>
          <w:rFonts w:ascii="Arial" w:hAnsi="Arial" w:cs="Arial"/>
          <w:noProof/>
          <w:sz w:val="20"/>
          <w:szCs w:val="20"/>
        </w:rPr>
      </w:r>
      <w:r w:rsidRPr="009A336A">
        <w:rPr>
          <w:rFonts w:ascii="Arial" w:hAnsi="Arial" w:cs="Arial"/>
          <w:noProof/>
          <w:sz w:val="20"/>
          <w:szCs w:val="20"/>
        </w:rPr>
        <w:fldChar w:fldCharType="separate"/>
      </w:r>
      <w:r w:rsidR="00EA0B4D">
        <w:rPr>
          <w:rFonts w:ascii="Arial" w:hAnsi="Arial" w:cs="Arial"/>
          <w:noProof/>
          <w:sz w:val="20"/>
          <w:szCs w:val="20"/>
        </w:rPr>
        <w:t>135</w:t>
      </w:r>
      <w:r w:rsidRPr="009A336A">
        <w:rPr>
          <w:rFonts w:ascii="Arial" w:hAnsi="Arial" w:cs="Arial"/>
          <w:noProof/>
          <w:sz w:val="20"/>
          <w:szCs w:val="20"/>
        </w:rPr>
        <w:fldChar w:fldCharType="end"/>
      </w:r>
    </w:p>
    <w:p w14:paraId="743B0903" w14:textId="77777777" w:rsidR="009A336A" w:rsidRPr="009A336A" w:rsidRDefault="009A336A" w:rsidP="009A336A">
      <w:pPr>
        <w:pStyle w:val="TOC2"/>
        <w:tabs>
          <w:tab w:val="left" w:pos="680"/>
          <w:tab w:val="right" w:leader="dot" w:pos="8489"/>
        </w:tabs>
        <w:ind w:left="142"/>
        <w:rPr>
          <w:rFonts w:ascii="Arial" w:eastAsiaTheme="minorEastAsia" w:hAnsi="Arial" w:cs="Arial"/>
          <w:noProof/>
          <w:sz w:val="20"/>
          <w:szCs w:val="20"/>
          <w:lang w:val="en-US" w:eastAsia="ja-JP"/>
        </w:rPr>
      </w:pPr>
      <w:r w:rsidRPr="009A336A">
        <w:rPr>
          <w:rFonts w:ascii="Arial" w:hAnsi="Arial" w:cs="Arial"/>
          <w:noProof/>
          <w:sz w:val="20"/>
          <w:szCs w:val="20"/>
        </w:rPr>
        <w:t xml:space="preserve">10.3 </w:t>
      </w:r>
      <w:r w:rsidRPr="009A336A">
        <w:rPr>
          <w:rFonts w:ascii="Arial" w:eastAsiaTheme="minorEastAsia" w:hAnsi="Arial" w:cs="Arial"/>
          <w:noProof/>
          <w:sz w:val="20"/>
          <w:szCs w:val="20"/>
          <w:lang w:val="en-US" w:eastAsia="ja-JP"/>
        </w:rPr>
        <w:tab/>
      </w:r>
      <w:r w:rsidRPr="009A336A">
        <w:rPr>
          <w:rFonts w:ascii="Arial" w:hAnsi="Arial" w:cs="Arial"/>
          <w:noProof/>
          <w:sz w:val="20"/>
          <w:szCs w:val="20"/>
        </w:rPr>
        <w:t>What factors have changed, why and to what extent?</w:t>
      </w:r>
      <w:r w:rsidRPr="009A336A">
        <w:rPr>
          <w:rFonts w:ascii="Arial" w:hAnsi="Arial" w:cs="Arial"/>
          <w:noProof/>
          <w:sz w:val="20"/>
          <w:szCs w:val="20"/>
        </w:rPr>
        <w:tab/>
      </w:r>
      <w:r w:rsidRPr="009A336A">
        <w:rPr>
          <w:rFonts w:ascii="Arial" w:hAnsi="Arial" w:cs="Arial"/>
          <w:noProof/>
          <w:sz w:val="20"/>
          <w:szCs w:val="20"/>
        </w:rPr>
        <w:fldChar w:fldCharType="begin"/>
      </w:r>
      <w:r w:rsidRPr="009A336A">
        <w:rPr>
          <w:rFonts w:ascii="Arial" w:hAnsi="Arial" w:cs="Arial"/>
          <w:noProof/>
          <w:sz w:val="20"/>
          <w:szCs w:val="20"/>
        </w:rPr>
        <w:instrText xml:space="preserve"> PAGEREF _Toc274909934 \h </w:instrText>
      </w:r>
      <w:r w:rsidRPr="009A336A">
        <w:rPr>
          <w:rFonts w:ascii="Arial" w:hAnsi="Arial" w:cs="Arial"/>
          <w:noProof/>
          <w:sz w:val="20"/>
          <w:szCs w:val="20"/>
        </w:rPr>
      </w:r>
      <w:r w:rsidRPr="009A336A">
        <w:rPr>
          <w:rFonts w:ascii="Arial" w:hAnsi="Arial" w:cs="Arial"/>
          <w:noProof/>
          <w:sz w:val="20"/>
          <w:szCs w:val="20"/>
        </w:rPr>
        <w:fldChar w:fldCharType="separate"/>
      </w:r>
      <w:r w:rsidR="00EA0B4D">
        <w:rPr>
          <w:rFonts w:ascii="Arial" w:hAnsi="Arial" w:cs="Arial"/>
          <w:noProof/>
          <w:sz w:val="20"/>
          <w:szCs w:val="20"/>
        </w:rPr>
        <w:t>135</w:t>
      </w:r>
      <w:r w:rsidRPr="009A336A">
        <w:rPr>
          <w:rFonts w:ascii="Arial" w:hAnsi="Arial" w:cs="Arial"/>
          <w:noProof/>
          <w:sz w:val="20"/>
          <w:szCs w:val="20"/>
        </w:rPr>
        <w:fldChar w:fldCharType="end"/>
      </w:r>
    </w:p>
    <w:p w14:paraId="0FCC8895" w14:textId="2595780B" w:rsidR="00543F20" w:rsidRPr="000E416E" w:rsidRDefault="00543F20" w:rsidP="00D3309F">
      <w:pPr>
        <w:pStyle w:val="TOC1"/>
        <w:ind w:left="351" w:hanging="351"/>
        <w:rPr>
          <w:rFonts w:asciiTheme="minorHAnsi" w:eastAsiaTheme="minorEastAsia" w:hAnsiTheme="minorHAnsi" w:cstheme="minorBidi"/>
          <w:sz w:val="24"/>
          <w:lang w:val="en-US" w:eastAsia="ja-JP"/>
        </w:rPr>
      </w:pPr>
      <w:r w:rsidRPr="000E416E">
        <w:t xml:space="preserve">11 </w:t>
      </w:r>
      <w:r w:rsidRPr="000E416E">
        <w:rPr>
          <w:rFonts w:asciiTheme="minorHAnsi" w:eastAsiaTheme="minorEastAsia" w:hAnsiTheme="minorHAnsi" w:cstheme="minorBidi"/>
          <w:sz w:val="24"/>
          <w:lang w:val="en-US" w:eastAsia="ja-JP"/>
        </w:rPr>
        <w:tab/>
      </w:r>
      <w:r w:rsidRPr="000E416E">
        <w:t xml:space="preserve">Supply factors: To what extent does APTC have the institutional capacity </w:t>
      </w:r>
      <w:r w:rsidR="00D3309F">
        <w:br/>
      </w:r>
      <w:r w:rsidRPr="000E416E">
        <w:t>to train for regional and international markets?</w:t>
      </w:r>
      <w:r w:rsidRPr="000E416E">
        <w:tab/>
      </w:r>
      <w:r w:rsidRPr="000E416E">
        <w:fldChar w:fldCharType="begin"/>
      </w:r>
      <w:r w:rsidRPr="000E416E">
        <w:instrText xml:space="preserve"> PAGEREF _Toc278447952 \h </w:instrText>
      </w:r>
      <w:r w:rsidRPr="000E416E">
        <w:fldChar w:fldCharType="separate"/>
      </w:r>
      <w:r w:rsidR="00EA0B4D">
        <w:t>137</w:t>
      </w:r>
      <w:r w:rsidRPr="000E416E">
        <w:fldChar w:fldCharType="end"/>
      </w:r>
    </w:p>
    <w:p w14:paraId="7B541ADA" w14:textId="77777777" w:rsidR="009A336A" w:rsidRPr="009A336A" w:rsidRDefault="009A336A" w:rsidP="009A336A">
      <w:pPr>
        <w:pStyle w:val="TOC2"/>
        <w:tabs>
          <w:tab w:val="left" w:pos="680"/>
          <w:tab w:val="right" w:leader="dot" w:pos="8489"/>
        </w:tabs>
        <w:ind w:firstLine="142"/>
        <w:rPr>
          <w:rFonts w:ascii="Arial" w:eastAsiaTheme="minorEastAsia" w:hAnsi="Arial" w:cs="Arial"/>
          <w:noProof/>
          <w:sz w:val="20"/>
          <w:szCs w:val="20"/>
          <w:lang w:val="en-US" w:eastAsia="ja-JP"/>
        </w:rPr>
      </w:pPr>
      <w:r w:rsidRPr="009A336A">
        <w:rPr>
          <w:rFonts w:ascii="Arial" w:hAnsi="Arial" w:cs="Arial"/>
          <w:noProof/>
          <w:sz w:val="20"/>
          <w:szCs w:val="20"/>
        </w:rPr>
        <w:t xml:space="preserve">11.1 </w:t>
      </w:r>
      <w:r w:rsidRPr="009A336A">
        <w:rPr>
          <w:rFonts w:ascii="Arial" w:eastAsiaTheme="minorEastAsia" w:hAnsi="Arial" w:cs="Arial"/>
          <w:noProof/>
          <w:sz w:val="20"/>
          <w:szCs w:val="20"/>
          <w:lang w:val="en-US" w:eastAsia="ja-JP"/>
        </w:rPr>
        <w:tab/>
      </w:r>
      <w:r w:rsidRPr="009A336A">
        <w:rPr>
          <w:rFonts w:ascii="Arial" w:hAnsi="Arial" w:cs="Arial"/>
          <w:noProof/>
          <w:sz w:val="20"/>
          <w:szCs w:val="20"/>
        </w:rPr>
        <w:t>Intention to migrate</w:t>
      </w:r>
      <w:r w:rsidRPr="009A336A">
        <w:rPr>
          <w:rFonts w:ascii="Arial" w:hAnsi="Arial" w:cs="Arial"/>
          <w:noProof/>
          <w:sz w:val="20"/>
          <w:szCs w:val="20"/>
        </w:rPr>
        <w:tab/>
      </w:r>
      <w:r w:rsidRPr="009A336A">
        <w:rPr>
          <w:rFonts w:ascii="Arial" w:hAnsi="Arial" w:cs="Arial"/>
          <w:noProof/>
          <w:sz w:val="20"/>
          <w:szCs w:val="20"/>
        </w:rPr>
        <w:fldChar w:fldCharType="begin"/>
      </w:r>
      <w:r w:rsidRPr="009A336A">
        <w:rPr>
          <w:rFonts w:ascii="Arial" w:hAnsi="Arial" w:cs="Arial"/>
          <w:noProof/>
          <w:sz w:val="20"/>
          <w:szCs w:val="20"/>
        </w:rPr>
        <w:instrText xml:space="preserve"> PAGEREF _Toc274909936 \h </w:instrText>
      </w:r>
      <w:r w:rsidRPr="009A336A">
        <w:rPr>
          <w:rFonts w:ascii="Arial" w:hAnsi="Arial" w:cs="Arial"/>
          <w:noProof/>
          <w:sz w:val="20"/>
          <w:szCs w:val="20"/>
        </w:rPr>
      </w:r>
      <w:r w:rsidRPr="009A336A">
        <w:rPr>
          <w:rFonts w:ascii="Arial" w:hAnsi="Arial" w:cs="Arial"/>
          <w:noProof/>
          <w:sz w:val="20"/>
          <w:szCs w:val="20"/>
        </w:rPr>
        <w:fldChar w:fldCharType="separate"/>
      </w:r>
      <w:r w:rsidR="00EA0B4D">
        <w:rPr>
          <w:rFonts w:ascii="Arial" w:hAnsi="Arial" w:cs="Arial"/>
          <w:noProof/>
          <w:sz w:val="20"/>
          <w:szCs w:val="20"/>
        </w:rPr>
        <w:t>137</w:t>
      </w:r>
      <w:r w:rsidRPr="009A336A">
        <w:rPr>
          <w:rFonts w:ascii="Arial" w:hAnsi="Arial" w:cs="Arial"/>
          <w:noProof/>
          <w:sz w:val="20"/>
          <w:szCs w:val="20"/>
        </w:rPr>
        <w:fldChar w:fldCharType="end"/>
      </w:r>
    </w:p>
    <w:p w14:paraId="6497153B" w14:textId="77777777" w:rsidR="009A336A" w:rsidRPr="009A336A" w:rsidRDefault="009A336A" w:rsidP="009A336A">
      <w:pPr>
        <w:pStyle w:val="TOC2"/>
        <w:tabs>
          <w:tab w:val="left" w:pos="680"/>
          <w:tab w:val="right" w:leader="dot" w:pos="8489"/>
        </w:tabs>
        <w:ind w:firstLine="142"/>
        <w:rPr>
          <w:rFonts w:ascii="Arial" w:eastAsiaTheme="minorEastAsia" w:hAnsi="Arial" w:cs="Arial"/>
          <w:noProof/>
          <w:sz w:val="20"/>
          <w:szCs w:val="20"/>
          <w:lang w:val="en-US" w:eastAsia="ja-JP"/>
        </w:rPr>
      </w:pPr>
      <w:r w:rsidRPr="009A336A">
        <w:rPr>
          <w:rFonts w:ascii="Arial" w:hAnsi="Arial" w:cs="Arial"/>
          <w:noProof/>
          <w:sz w:val="20"/>
          <w:szCs w:val="20"/>
        </w:rPr>
        <w:t xml:space="preserve">11.2 </w:t>
      </w:r>
      <w:r w:rsidRPr="009A336A">
        <w:rPr>
          <w:rFonts w:ascii="Arial" w:eastAsiaTheme="minorEastAsia" w:hAnsi="Arial" w:cs="Arial"/>
          <w:noProof/>
          <w:sz w:val="20"/>
          <w:szCs w:val="20"/>
          <w:lang w:val="en-US" w:eastAsia="ja-JP"/>
        </w:rPr>
        <w:tab/>
      </w:r>
      <w:r w:rsidRPr="009A336A">
        <w:rPr>
          <w:rFonts w:ascii="Arial" w:hAnsi="Arial" w:cs="Arial"/>
          <w:noProof/>
          <w:sz w:val="20"/>
          <w:szCs w:val="20"/>
        </w:rPr>
        <w:t>Does APTC provide valid international qualifications?</w:t>
      </w:r>
      <w:r w:rsidRPr="009A336A">
        <w:rPr>
          <w:rFonts w:ascii="Arial" w:hAnsi="Arial" w:cs="Arial"/>
          <w:noProof/>
          <w:sz w:val="20"/>
          <w:szCs w:val="20"/>
        </w:rPr>
        <w:tab/>
      </w:r>
      <w:r w:rsidRPr="009A336A">
        <w:rPr>
          <w:rFonts w:ascii="Arial" w:hAnsi="Arial" w:cs="Arial"/>
          <w:noProof/>
          <w:sz w:val="20"/>
          <w:szCs w:val="20"/>
        </w:rPr>
        <w:fldChar w:fldCharType="begin"/>
      </w:r>
      <w:r w:rsidRPr="009A336A">
        <w:rPr>
          <w:rFonts w:ascii="Arial" w:hAnsi="Arial" w:cs="Arial"/>
          <w:noProof/>
          <w:sz w:val="20"/>
          <w:szCs w:val="20"/>
        </w:rPr>
        <w:instrText xml:space="preserve"> PAGEREF _Toc274909937 \h </w:instrText>
      </w:r>
      <w:r w:rsidRPr="009A336A">
        <w:rPr>
          <w:rFonts w:ascii="Arial" w:hAnsi="Arial" w:cs="Arial"/>
          <w:noProof/>
          <w:sz w:val="20"/>
          <w:szCs w:val="20"/>
        </w:rPr>
      </w:r>
      <w:r w:rsidRPr="009A336A">
        <w:rPr>
          <w:rFonts w:ascii="Arial" w:hAnsi="Arial" w:cs="Arial"/>
          <w:noProof/>
          <w:sz w:val="20"/>
          <w:szCs w:val="20"/>
        </w:rPr>
        <w:fldChar w:fldCharType="separate"/>
      </w:r>
      <w:r w:rsidR="00EA0B4D">
        <w:rPr>
          <w:rFonts w:ascii="Arial" w:hAnsi="Arial" w:cs="Arial"/>
          <w:noProof/>
          <w:sz w:val="20"/>
          <w:szCs w:val="20"/>
        </w:rPr>
        <w:t>138</w:t>
      </w:r>
      <w:r w:rsidRPr="009A336A">
        <w:rPr>
          <w:rFonts w:ascii="Arial" w:hAnsi="Arial" w:cs="Arial"/>
          <w:noProof/>
          <w:sz w:val="20"/>
          <w:szCs w:val="20"/>
        </w:rPr>
        <w:fldChar w:fldCharType="end"/>
      </w:r>
    </w:p>
    <w:p w14:paraId="0B19F125" w14:textId="77777777" w:rsidR="00543F20" w:rsidRPr="000E416E" w:rsidRDefault="00543F20" w:rsidP="00CF28BC">
      <w:pPr>
        <w:pStyle w:val="TOC1"/>
        <w:ind w:left="351" w:hanging="351"/>
        <w:rPr>
          <w:rFonts w:asciiTheme="minorHAnsi" w:eastAsiaTheme="minorEastAsia" w:hAnsiTheme="minorHAnsi" w:cstheme="minorBidi"/>
          <w:sz w:val="24"/>
          <w:lang w:val="en-US" w:eastAsia="ja-JP"/>
        </w:rPr>
      </w:pPr>
      <w:r w:rsidRPr="000E416E">
        <w:t xml:space="preserve">12 </w:t>
      </w:r>
      <w:r w:rsidRPr="000E416E">
        <w:rPr>
          <w:rFonts w:asciiTheme="minorHAnsi" w:eastAsiaTheme="minorEastAsia" w:hAnsiTheme="minorHAnsi" w:cstheme="minorBidi"/>
          <w:sz w:val="24"/>
          <w:lang w:val="en-US" w:eastAsia="ja-JP"/>
        </w:rPr>
        <w:tab/>
      </w:r>
      <w:r w:rsidRPr="000E416E">
        <w:t xml:space="preserve">To what extent were APTC students and graduates provided information, </w:t>
      </w:r>
      <w:r>
        <w:br/>
      </w:r>
      <w:r w:rsidRPr="000E416E">
        <w:t>search skills and support for regional and international employment?</w:t>
      </w:r>
      <w:r w:rsidRPr="000E416E">
        <w:tab/>
      </w:r>
      <w:r w:rsidRPr="000E416E">
        <w:fldChar w:fldCharType="begin"/>
      </w:r>
      <w:r w:rsidRPr="000E416E">
        <w:instrText xml:space="preserve"> PAGEREF _Toc278447955 \h </w:instrText>
      </w:r>
      <w:r w:rsidRPr="000E416E">
        <w:fldChar w:fldCharType="separate"/>
      </w:r>
      <w:r w:rsidR="00EA0B4D">
        <w:t>138</w:t>
      </w:r>
      <w:r w:rsidRPr="000E416E">
        <w:fldChar w:fldCharType="end"/>
      </w:r>
    </w:p>
    <w:p w14:paraId="56270753"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t xml:space="preserve">13 </w:t>
      </w:r>
      <w:r w:rsidRPr="000E416E">
        <w:rPr>
          <w:rFonts w:asciiTheme="minorHAnsi" w:eastAsiaTheme="minorEastAsia" w:hAnsiTheme="minorHAnsi" w:cstheme="minorBidi"/>
          <w:sz w:val="24"/>
          <w:lang w:val="en-US" w:eastAsia="ja-JP"/>
        </w:rPr>
        <w:tab/>
      </w:r>
      <w:r w:rsidRPr="000E416E">
        <w:t>Support needed to achieve APTC’s labour mobility objective</w:t>
      </w:r>
      <w:r w:rsidRPr="000E416E">
        <w:tab/>
      </w:r>
      <w:r w:rsidRPr="000E416E">
        <w:fldChar w:fldCharType="begin"/>
      </w:r>
      <w:r w:rsidRPr="000E416E">
        <w:instrText xml:space="preserve"> PAGEREF _Toc278447956 \h </w:instrText>
      </w:r>
      <w:r w:rsidRPr="000E416E">
        <w:fldChar w:fldCharType="separate"/>
      </w:r>
      <w:r w:rsidR="00EA0B4D">
        <w:t>139</w:t>
      </w:r>
      <w:r w:rsidRPr="000E416E">
        <w:fldChar w:fldCharType="end"/>
      </w:r>
    </w:p>
    <w:p w14:paraId="09A598CE" w14:textId="77777777" w:rsidR="00543F20" w:rsidRPr="000E416E" w:rsidRDefault="00543F20" w:rsidP="00441936">
      <w:pPr>
        <w:pStyle w:val="TOC1"/>
        <w:rPr>
          <w:rFonts w:asciiTheme="minorHAnsi" w:eastAsiaTheme="minorEastAsia" w:hAnsiTheme="minorHAnsi" w:cstheme="minorBidi"/>
          <w:sz w:val="24"/>
          <w:lang w:val="en-US" w:eastAsia="ja-JP"/>
        </w:rPr>
      </w:pPr>
      <w:r w:rsidRPr="000E416E">
        <w:t xml:space="preserve">14 </w:t>
      </w:r>
      <w:r w:rsidRPr="000E416E">
        <w:rPr>
          <w:rFonts w:asciiTheme="minorHAnsi" w:eastAsiaTheme="minorEastAsia" w:hAnsiTheme="minorHAnsi" w:cstheme="minorBidi"/>
          <w:sz w:val="24"/>
          <w:lang w:val="en-US" w:eastAsia="ja-JP"/>
        </w:rPr>
        <w:tab/>
      </w:r>
      <w:r w:rsidRPr="000E416E">
        <w:t>Conclusions</w:t>
      </w:r>
      <w:r w:rsidRPr="000E416E">
        <w:tab/>
      </w:r>
      <w:r w:rsidRPr="000E416E">
        <w:fldChar w:fldCharType="begin"/>
      </w:r>
      <w:r w:rsidRPr="000E416E">
        <w:instrText xml:space="preserve"> PAGEREF _Toc278447957 \h </w:instrText>
      </w:r>
      <w:r w:rsidRPr="000E416E">
        <w:fldChar w:fldCharType="separate"/>
      </w:r>
      <w:r w:rsidR="00EA0B4D">
        <w:t>140</w:t>
      </w:r>
      <w:r w:rsidRPr="000E416E">
        <w:fldChar w:fldCharType="end"/>
      </w:r>
    </w:p>
    <w:p w14:paraId="30E3C119" w14:textId="77777777" w:rsidR="00543F20" w:rsidRPr="000E416E" w:rsidRDefault="00543F20" w:rsidP="00441936">
      <w:pPr>
        <w:pStyle w:val="TOC1"/>
        <w:rPr>
          <w:rFonts w:asciiTheme="minorHAnsi" w:eastAsiaTheme="minorEastAsia" w:hAnsiTheme="minorHAnsi" w:cstheme="minorBidi"/>
          <w:sz w:val="24"/>
          <w:lang w:val="en-US" w:eastAsia="ja-JP"/>
        </w:rPr>
      </w:pPr>
      <w:r>
        <w:br/>
      </w:r>
      <w:r w:rsidRPr="000E416E">
        <w:t>Attachment to Annex 7: Identifying</w:t>
      </w:r>
      <w:r>
        <w:t xml:space="preserve"> demand for APTC qualifications</w:t>
      </w:r>
      <w:r w:rsidRPr="000E416E">
        <w:tab/>
      </w:r>
      <w:r w:rsidRPr="000E416E">
        <w:fldChar w:fldCharType="begin"/>
      </w:r>
      <w:r w:rsidRPr="000E416E">
        <w:instrText xml:space="preserve"> PAGEREF _Toc278447958 \h </w:instrText>
      </w:r>
      <w:r w:rsidRPr="000E416E">
        <w:fldChar w:fldCharType="separate"/>
      </w:r>
      <w:r w:rsidR="00EA0B4D">
        <w:t>143</w:t>
      </w:r>
      <w:r w:rsidRPr="000E416E">
        <w:fldChar w:fldCharType="end"/>
      </w:r>
    </w:p>
    <w:p w14:paraId="1A939FD9" w14:textId="77777777" w:rsidR="009A336A" w:rsidRPr="009A336A" w:rsidRDefault="009A336A" w:rsidP="009A336A"/>
    <w:p w14:paraId="07431D4C" w14:textId="77777777" w:rsidR="009B4045" w:rsidRDefault="009B4045" w:rsidP="000668BA">
      <w:pPr>
        <w:pStyle w:val="Heading1"/>
        <w:numPr>
          <w:ilvl w:val="0"/>
          <w:numId w:val="61"/>
        </w:numPr>
      </w:pPr>
      <w:bookmarkStart w:id="770" w:name="_Toc278447939"/>
      <w:bookmarkStart w:id="771" w:name="_Toc278453412"/>
      <w:r w:rsidRPr="00631294">
        <w:t>To what extent has APTC training enhanced access to regional and international labour markets, and why?</w:t>
      </w:r>
      <w:bookmarkEnd w:id="770"/>
      <w:bookmarkEnd w:id="771"/>
      <w:r>
        <w:t xml:space="preserve"> </w:t>
      </w:r>
    </w:p>
    <w:p w14:paraId="34C7AB07" w14:textId="1630357E" w:rsidR="009B4045" w:rsidRDefault="009B4045" w:rsidP="009B4045">
      <w:pPr>
        <w:rPr>
          <w:rFonts w:cs="Arial"/>
          <w:color w:val="000000"/>
          <w:szCs w:val="22"/>
          <w:lang w:eastAsia="en-AU"/>
        </w:rPr>
      </w:pPr>
      <w:r>
        <w:rPr>
          <w:rFonts w:cs="Arial"/>
          <w:color w:val="000000"/>
          <w:szCs w:val="22"/>
          <w:lang w:eastAsia="en-AU"/>
        </w:rPr>
        <w:t>Fewer than one-in-</w:t>
      </w:r>
      <w:r w:rsidR="001B61DE">
        <w:rPr>
          <w:rFonts w:cs="Arial"/>
          <w:color w:val="000000"/>
          <w:szCs w:val="22"/>
          <w:lang w:eastAsia="en-AU"/>
        </w:rPr>
        <w:t>twenty</w:t>
      </w:r>
      <w:r w:rsidR="00CA17E1">
        <w:rPr>
          <w:rFonts w:cs="Arial"/>
          <w:color w:val="000000"/>
          <w:szCs w:val="22"/>
          <w:lang w:eastAsia="en-AU"/>
        </w:rPr>
        <w:t xml:space="preserve"> </w:t>
      </w:r>
      <w:r>
        <w:rPr>
          <w:rFonts w:cs="Arial"/>
          <w:color w:val="000000"/>
          <w:szCs w:val="22"/>
          <w:lang w:eastAsia="en-AU"/>
        </w:rPr>
        <w:t xml:space="preserve">APTC graduates have migrated to other countries in the Pacific or to high-income labour markets. This is confirmed by data from several sources. </w:t>
      </w:r>
      <w:r w:rsidRPr="00F94C1F">
        <w:rPr>
          <w:rFonts w:cs="Arial"/>
          <w:color w:val="000000"/>
          <w:szCs w:val="22"/>
          <w:lang w:eastAsia="en-AU"/>
        </w:rPr>
        <w:t>APTC has collected information on the number of its graduates who have migrated overseas.</w:t>
      </w:r>
      <w:r>
        <w:rPr>
          <w:rStyle w:val="FootnoteReference"/>
          <w:rFonts w:cs="Arial"/>
          <w:lang w:eastAsia="en-AU"/>
        </w:rPr>
        <w:footnoteReference w:id="51"/>
      </w:r>
      <w:r w:rsidRPr="00F94C1F">
        <w:rPr>
          <w:rFonts w:cs="Arial"/>
          <w:color w:val="000000"/>
          <w:szCs w:val="22"/>
          <w:lang w:eastAsia="en-AU"/>
        </w:rPr>
        <w:t xml:space="preserve"> </w:t>
      </w:r>
      <w:r>
        <w:rPr>
          <w:rFonts w:cs="Arial"/>
          <w:color w:val="000000"/>
          <w:szCs w:val="22"/>
          <w:lang w:eastAsia="en-AU"/>
        </w:rPr>
        <w:t>Their destinations are mainly Australia and New Zealand but also other countries in the Pacific</w:t>
      </w:r>
      <w:r w:rsidR="00D90654">
        <w:rPr>
          <w:rFonts w:cs="Arial"/>
          <w:color w:val="000000"/>
          <w:szCs w:val="22"/>
          <w:lang w:eastAsia="en-AU"/>
        </w:rPr>
        <w:t>,</w:t>
      </w:r>
      <w:r>
        <w:rPr>
          <w:rFonts w:cs="Arial"/>
          <w:color w:val="000000"/>
          <w:szCs w:val="22"/>
          <w:lang w:eastAsia="en-AU"/>
        </w:rPr>
        <w:t xml:space="preserve"> as well as USA and Canada. </w:t>
      </w:r>
      <w:r w:rsidRPr="00F94C1F">
        <w:rPr>
          <w:rFonts w:cs="Arial"/>
          <w:color w:val="000000"/>
          <w:szCs w:val="22"/>
          <w:lang w:eastAsia="en-AU"/>
        </w:rPr>
        <w:t xml:space="preserve">The </w:t>
      </w:r>
      <w:r>
        <w:rPr>
          <w:rFonts w:cs="Arial"/>
          <w:color w:val="000000"/>
          <w:szCs w:val="22"/>
          <w:lang w:eastAsia="en-AU"/>
        </w:rPr>
        <w:t xml:space="preserve">APTC </w:t>
      </w:r>
      <w:r w:rsidRPr="00F94C1F">
        <w:rPr>
          <w:rFonts w:cs="Arial"/>
          <w:color w:val="000000"/>
          <w:szCs w:val="22"/>
          <w:lang w:eastAsia="en-AU"/>
        </w:rPr>
        <w:t>count in June 2014 is 158 APTC graduates who have migrated</w:t>
      </w:r>
      <w:r>
        <w:rPr>
          <w:rFonts w:cs="Arial"/>
          <w:color w:val="000000"/>
          <w:szCs w:val="22"/>
          <w:lang w:eastAsia="en-AU"/>
        </w:rPr>
        <w:t xml:space="preserve"> overseas</w:t>
      </w:r>
      <w:r w:rsidRPr="00F94C1F">
        <w:rPr>
          <w:rFonts w:cs="Arial"/>
          <w:color w:val="000000"/>
          <w:szCs w:val="22"/>
          <w:lang w:eastAsia="en-AU"/>
        </w:rPr>
        <w:t>, which is 2.5 per cent of the 6211</w:t>
      </w:r>
      <w:r w:rsidR="00EF3280">
        <w:rPr>
          <w:rFonts w:cs="Arial"/>
          <w:color w:val="000000"/>
          <w:szCs w:val="22"/>
          <w:lang w:eastAsia="en-AU"/>
        </w:rPr>
        <w:t> </w:t>
      </w:r>
      <w:r w:rsidRPr="00F94C1F">
        <w:rPr>
          <w:rFonts w:cs="Arial"/>
          <w:color w:val="000000"/>
          <w:szCs w:val="22"/>
          <w:lang w:eastAsia="en-AU"/>
        </w:rPr>
        <w:t xml:space="preserve">APTC graduates to June 2014. However, this count does not include at least </w:t>
      </w:r>
      <w:r w:rsidR="00EF3280" w:rsidRPr="00F94C1F">
        <w:rPr>
          <w:rFonts w:cs="Arial"/>
          <w:color w:val="000000"/>
          <w:szCs w:val="22"/>
          <w:lang w:eastAsia="en-AU"/>
        </w:rPr>
        <w:t>25</w:t>
      </w:r>
      <w:r w:rsidR="00EF3280">
        <w:rPr>
          <w:rFonts w:cs="Arial"/>
          <w:color w:val="000000"/>
          <w:szCs w:val="22"/>
          <w:lang w:eastAsia="en-AU"/>
        </w:rPr>
        <w:t> </w:t>
      </w:r>
      <w:r w:rsidRPr="00F94C1F">
        <w:rPr>
          <w:rFonts w:cs="Arial"/>
          <w:color w:val="000000"/>
          <w:szCs w:val="22"/>
          <w:lang w:eastAsia="en-AU"/>
        </w:rPr>
        <w:t xml:space="preserve">APTC graduates from Papua New Guinea who migrated to Australia in 2011 and 2012. This increases the number of recorded APTC graduates who have migrated overseas at some stage </w:t>
      </w:r>
      <w:r>
        <w:rPr>
          <w:rFonts w:cs="Arial"/>
          <w:color w:val="000000"/>
          <w:szCs w:val="22"/>
          <w:lang w:eastAsia="en-AU"/>
        </w:rPr>
        <w:t xml:space="preserve">to </w:t>
      </w:r>
      <w:r w:rsidRPr="00F94C1F">
        <w:rPr>
          <w:rFonts w:cs="Arial"/>
          <w:color w:val="000000"/>
          <w:szCs w:val="22"/>
          <w:lang w:eastAsia="en-AU"/>
        </w:rPr>
        <w:t>180 or 2.9 per cent of APTC graduate</w:t>
      </w:r>
      <w:r>
        <w:rPr>
          <w:rFonts w:cs="Arial"/>
          <w:color w:val="000000"/>
          <w:szCs w:val="22"/>
          <w:lang w:eastAsia="en-AU"/>
        </w:rPr>
        <w:t>s to June 2014</w:t>
      </w:r>
      <w:r w:rsidRPr="00F94C1F">
        <w:rPr>
          <w:rFonts w:cs="Arial"/>
          <w:color w:val="000000"/>
          <w:szCs w:val="22"/>
          <w:lang w:eastAsia="en-AU"/>
        </w:rPr>
        <w:t xml:space="preserve">. </w:t>
      </w:r>
    </w:p>
    <w:p w14:paraId="6AF8EAC8" w14:textId="39666623" w:rsidR="009B4045" w:rsidRDefault="009B4045" w:rsidP="009B4045">
      <w:pPr>
        <w:rPr>
          <w:rFonts w:cs="Arial"/>
          <w:color w:val="000000"/>
          <w:szCs w:val="22"/>
          <w:lang w:eastAsia="en-AU"/>
        </w:rPr>
      </w:pPr>
      <w:r w:rsidRPr="00F94C1F">
        <w:rPr>
          <w:rFonts w:cs="Arial"/>
          <w:color w:val="000000"/>
          <w:szCs w:val="22"/>
          <w:lang w:eastAsia="en-AU"/>
        </w:rPr>
        <w:t xml:space="preserve">This </w:t>
      </w:r>
      <w:r>
        <w:rPr>
          <w:rFonts w:cs="Arial"/>
          <w:color w:val="000000"/>
          <w:szCs w:val="22"/>
          <w:lang w:eastAsia="en-AU"/>
        </w:rPr>
        <w:t xml:space="preserve">migration rate </w:t>
      </w:r>
      <w:r w:rsidRPr="00F94C1F">
        <w:rPr>
          <w:rFonts w:cs="Arial"/>
          <w:color w:val="000000"/>
          <w:szCs w:val="22"/>
          <w:lang w:eastAsia="en-AU"/>
        </w:rPr>
        <w:t xml:space="preserve">is consistent with the 2013 </w:t>
      </w:r>
      <w:r w:rsidR="004D0563">
        <w:rPr>
          <w:rFonts w:cs="Arial"/>
          <w:color w:val="000000"/>
          <w:szCs w:val="22"/>
          <w:lang w:eastAsia="en-AU"/>
        </w:rPr>
        <w:t xml:space="preserve">NCVER’s </w:t>
      </w:r>
      <w:r w:rsidRPr="00F94C1F">
        <w:rPr>
          <w:rFonts w:cs="Arial"/>
          <w:color w:val="000000"/>
          <w:szCs w:val="22"/>
          <w:lang w:eastAsia="en-AU"/>
        </w:rPr>
        <w:t xml:space="preserve">APTC </w:t>
      </w:r>
      <w:r>
        <w:rPr>
          <w:rFonts w:cs="Arial"/>
          <w:color w:val="000000"/>
          <w:szCs w:val="22"/>
          <w:lang w:eastAsia="en-AU"/>
        </w:rPr>
        <w:t xml:space="preserve">Graduates </w:t>
      </w:r>
      <w:r w:rsidRPr="00F94C1F">
        <w:rPr>
          <w:rFonts w:cs="Arial"/>
          <w:color w:val="000000"/>
          <w:szCs w:val="22"/>
          <w:lang w:eastAsia="en-AU"/>
        </w:rPr>
        <w:t>Down the Track</w:t>
      </w:r>
      <w:r>
        <w:rPr>
          <w:rFonts w:cs="Arial"/>
          <w:color w:val="000000"/>
          <w:szCs w:val="22"/>
          <w:lang w:eastAsia="en-AU"/>
        </w:rPr>
        <w:t xml:space="preserve"> s</w:t>
      </w:r>
      <w:r w:rsidRPr="00F94C1F">
        <w:rPr>
          <w:rFonts w:cs="Arial"/>
          <w:color w:val="000000"/>
          <w:szCs w:val="22"/>
          <w:lang w:eastAsia="en-AU"/>
        </w:rPr>
        <w:t xml:space="preserve">urvey of </w:t>
      </w:r>
      <w:r w:rsidR="001F5811">
        <w:rPr>
          <w:rFonts w:cs="Arial"/>
          <w:color w:val="000000"/>
          <w:szCs w:val="22"/>
          <w:lang w:eastAsia="en-AU"/>
        </w:rPr>
        <w:t>Stage I</w:t>
      </w:r>
      <w:r w:rsidRPr="00F94C1F">
        <w:rPr>
          <w:rFonts w:cs="Arial"/>
          <w:color w:val="000000"/>
          <w:szCs w:val="22"/>
          <w:lang w:eastAsia="en-AU"/>
        </w:rPr>
        <w:t xml:space="preserve"> graduates which found that 3.3 per cent had migrated to a different country. Detailed analysis of the APTC Past Student Tracer Survey also found that less than 3 per cent of graduates had migrated to Australia or New Zealand</w:t>
      </w:r>
      <w:r>
        <w:rPr>
          <w:rFonts w:cs="Arial"/>
          <w:color w:val="000000"/>
          <w:szCs w:val="22"/>
          <w:lang w:eastAsia="en-AU"/>
        </w:rPr>
        <w:t xml:space="preserve"> (</w:t>
      </w:r>
      <w:r w:rsidRPr="00286883">
        <w:rPr>
          <w:rFonts w:cs="Arial"/>
          <w:color w:val="000000"/>
          <w:szCs w:val="22"/>
          <w:lang w:eastAsia="en-AU"/>
        </w:rPr>
        <w:t xml:space="preserve">Clemens, Graham and Howes </w:t>
      </w:r>
      <w:r>
        <w:rPr>
          <w:rFonts w:cs="Arial"/>
          <w:color w:val="000000"/>
          <w:szCs w:val="22"/>
          <w:lang w:eastAsia="en-AU"/>
        </w:rPr>
        <w:t>2014)</w:t>
      </w:r>
      <w:r w:rsidRPr="00F94C1F">
        <w:rPr>
          <w:rFonts w:cs="Arial"/>
          <w:color w:val="000000"/>
          <w:szCs w:val="22"/>
          <w:lang w:eastAsia="en-AU"/>
        </w:rPr>
        <w:t>.</w:t>
      </w:r>
      <w:r>
        <w:rPr>
          <w:rFonts w:cs="Arial"/>
          <w:color w:val="000000"/>
          <w:szCs w:val="22"/>
          <w:lang w:eastAsia="en-AU"/>
        </w:rPr>
        <w:t xml:space="preserve"> </w:t>
      </w:r>
      <w:r w:rsidRPr="00F94C1F">
        <w:rPr>
          <w:rFonts w:cs="Arial"/>
          <w:color w:val="000000"/>
          <w:szCs w:val="22"/>
          <w:lang w:eastAsia="en-AU"/>
        </w:rPr>
        <w:t xml:space="preserve">However, the above calculation assumes all APTC graduates have an equal chance of migrating. </w:t>
      </w:r>
      <w:r>
        <w:rPr>
          <w:rFonts w:cs="Arial"/>
          <w:color w:val="000000"/>
          <w:szCs w:val="22"/>
          <w:lang w:eastAsia="en-AU"/>
        </w:rPr>
        <w:t xml:space="preserve">As noted below, </w:t>
      </w:r>
      <w:r w:rsidRPr="00F94C1F">
        <w:rPr>
          <w:rFonts w:cs="Arial"/>
          <w:color w:val="000000"/>
          <w:szCs w:val="22"/>
          <w:lang w:eastAsia="en-AU"/>
        </w:rPr>
        <w:t xml:space="preserve">less than half of APTC graduates </w:t>
      </w:r>
      <w:r>
        <w:rPr>
          <w:rFonts w:cs="Arial"/>
          <w:color w:val="000000"/>
          <w:szCs w:val="22"/>
          <w:lang w:eastAsia="en-AU"/>
        </w:rPr>
        <w:t>(</w:t>
      </w:r>
      <w:r w:rsidRPr="00F94C1F">
        <w:rPr>
          <w:rFonts w:cs="Arial"/>
          <w:color w:val="000000"/>
          <w:szCs w:val="22"/>
          <w:lang w:eastAsia="en-AU"/>
        </w:rPr>
        <w:t>46 per cent</w:t>
      </w:r>
      <w:r>
        <w:rPr>
          <w:rFonts w:cs="Arial"/>
          <w:color w:val="000000"/>
          <w:szCs w:val="22"/>
          <w:lang w:eastAsia="en-AU"/>
        </w:rPr>
        <w:t>)</w:t>
      </w:r>
      <w:r w:rsidRPr="00F94C1F">
        <w:rPr>
          <w:rFonts w:cs="Arial"/>
          <w:color w:val="000000"/>
          <w:szCs w:val="22"/>
          <w:lang w:eastAsia="en-AU"/>
        </w:rPr>
        <w:t xml:space="preserve"> are </w:t>
      </w:r>
      <w:r>
        <w:rPr>
          <w:rFonts w:cs="Arial"/>
          <w:color w:val="000000"/>
          <w:szCs w:val="22"/>
          <w:lang w:eastAsia="en-AU"/>
        </w:rPr>
        <w:t xml:space="preserve">in an approved </w:t>
      </w:r>
      <w:r w:rsidRPr="00F94C1F">
        <w:rPr>
          <w:rFonts w:cs="Arial"/>
          <w:color w:val="000000"/>
          <w:szCs w:val="22"/>
          <w:lang w:eastAsia="en-AU"/>
        </w:rPr>
        <w:t xml:space="preserve">occupation or appropriate qualification level </w:t>
      </w:r>
      <w:r>
        <w:rPr>
          <w:rFonts w:cs="Arial"/>
          <w:color w:val="000000"/>
          <w:szCs w:val="22"/>
          <w:lang w:eastAsia="en-AU"/>
        </w:rPr>
        <w:t xml:space="preserve">to be </w:t>
      </w:r>
      <w:r w:rsidRPr="00F94C1F">
        <w:rPr>
          <w:rFonts w:cs="Arial"/>
          <w:color w:val="000000"/>
          <w:szCs w:val="22"/>
          <w:lang w:eastAsia="en-AU"/>
        </w:rPr>
        <w:t xml:space="preserve">eligible to gain </w:t>
      </w:r>
      <w:r>
        <w:rPr>
          <w:rFonts w:cs="Arial"/>
          <w:color w:val="000000"/>
          <w:szCs w:val="22"/>
          <w:lang w:eastAsia="en-AU"/>
        </w:rPr>
        <w:t xml:space="preserve">skilled migrant </w:t>
      </w:r>
      <w:r w:rsidRPr="00F94C1F">
        <w:rPr>
          <w:rFonts w:cs="Arial"/>
          <w:color w:val="000000"/>
          <w:szCs w:val="22"/>
          <w:lang w:eastAsia="en-AU"/>
        </w:rPr>
        <w:t>entry</w:t>
      </w:r>
      <w:r>
        <w:rPr>
          <w:rFonts w:cs="Arial"/>
          <w:color w:val="000000"/>
          <w:szCs w:val="22"/>
          <w:lang w:eastAsia="en-AU"/>
        </w:rPr>
        <w:t xml:space="preserve"> to Australia or New Zealand.</w:t>
      </w:r>
      <w:r>
        <w:rPr>
          <w:rStyle w:val="FootnoteReference"/>
          <w:rFonts w:cs="Arial"/>
          <w:lang w:eastAsia="en-AU"/>
        </w:rPr>
        <w:footnoteReference w:id="52"/>
      </w:r>
      <w:r>
        <w:rPr>
          <w:rFonts w:cs="Arial"/>
          <w:color w:val="000000"/>
          <w:szCs w:val="22"/>
          <w:lang w:eastAsia="en-AU"/>
        </w:rPr>
        <w:t xml:space="preserve"> Also n</w:t>
      </w:r>
      <w:r w:rsidRPr="00F94C1F">
        <w:rPr>
          <w:rFonts w:cs="Arial"/>
          <w:color w:val="000000"/>
          <w:szCs w:val="22"/>
          <w:lang w:eastAsia="en-AU"/>
        </w:rPr>
        <w:t>ew industry entrants to APTC in eligible occupations may not have relevant or sufficient work experience to qualify for skill migrant entry.</w:t>
      </w:r>
      <w:r>
        <w:rPr>
          <w:rFonts w:cs="Arial"/>
          <w:color w:val="000000"/>
          <w:szCs w:val="22"/>
          <w:lang w:eastAsia="en-AU"/>
        </w:rPr>
        <w:t xml:space="preserve"> So time since graduation needs to be taken into account. </w:t>
      </w:r>
      <w:r w:rsidRPr="00F94C1F">
        <w:rPr>
          <w:rFonts w:cs="Arial"/>
          <w:color w:val="000000"/>
          <w:szCs w:val="22"/>
          <w:lang w:eastAsia="en-AU"/>
        </w:rPr>
        <w:t xml:space="preserve">The number of APTC graduates in approved occupations and eligible qualifications for the period from 2007 to the end of 2012 was 2598. Using this as the denominator, the </w:t>
      </w:r>
      <w:r>
        <w:rPr>
          <w:rFonts w:cs="Arial"/>
          <w:color w:val="000000"/>
          <w:szCs w:val="22"/>
          <w:lang w:eastAsia="en-AU"/>
        </w:rPr>
        <w:t xml:space="preserve">number </w:t>
      </w:r>
      <w:r w:rsidRPr="00F94C1F">
        <w:rPr>
          <w:rFonts w:cs="Arial"/>
          <w:color w:val="000000"/>
          <w:szCs w:val="22"/>
          <w:lang w:eastAsia="en-AU"/>
        </w:rPr>
        <w:t xml:space="preserve">of APTC graduates who had migrated </w:t>
      </w:r>
      <w:r>
        <w:rPr>
          <w:rFonts w:cs="Arial"/>
          <w:color w:val="000000"/>
          <w:szCs w:val="22"/>
          <w:lang w:eastAsia="en-AU"/>
        </w:rPr>
        <w:t xml:space="preserve">as a proportion </w:t>
      </w:r>
      <w:r w:rsidRPr="00F94C1F">
        <w:rPr>
          <w:rFonts w:cs="Arial"/>
          <w:color w:val="000000"/>
          <w:szCs w:val="22"/>
          <w:lang w:eastAsia="en-AU"/>
        </w:rPr>
        <w:t>of eligible APTC graduates</w:t>
      </w:r>
      <w:r>
        <w:rPr>
          <w:rFonts w:cs="Arial"/>
          <w:color w:val="000000"/>
          <w:szCs w:val="22"/>
          <w:lang w:eastAsia="en-AU"/>
        </w:rPr>
        <w:t xml:space="preserve"> </w:t>
      </w:r>
      <w:r w:rsidR="001679A6">
        <w:rPr>
          <w:rFonts w:cs="Arial"/>
          <w:color w:val="000000"/>
          <w:szCs w:val="22"/>
          <w:lang w:eastAsia="en-AU"/>
        </w:rPr>
        <w:t xml:space="preserve">from </w:t>
      </w:r>
      <w:r>
        <w:rPr>
          <w:rFonts w:cs="Arial"/>
          <w:color w:val="000000"/>
          <w:szCs w:val="22"/>
          <w:lang w:eastAsia="en-AU"/>
        </w:rPr>
        <w:t>2007 to end</w:t>
      </w:r>
      <w:r w:rsidR="002302F3">
        <w:rPr>
          <w:rFonts w:cs="Arial"/>
          <w:color w:val="000000"/>
          <w:szCs w:val="22"/>
          <w:lang w:eastAsia="en-AU"/>
        </w:rPr>
        <w:t>-</w:t>
      </w:r>
      <w:r>
        <w:rPr>
          <w:rFonts w:cs="Arial"/>
          <w:color w:val="000000"/>
          <w:szCs w:val="22"/>
          <w:lang w:eastAsia="en-AU"/>
        </w:rPr>
        <w:t>2012 is 6.9</w:t>
      </w:r>
      <w:r w:rsidR="001717BF">
        <w:rPr>
          <w:rFonts w:cs="Arial"/>
          <w:color w:val="000000"/>
          <w:szCs w:val="22"/>
          <w:lang w:eastAsia="en-AU"/>
        </w:rPr>
        <w:t> </w:t>
      </w:r>
      <w:r>
        <w:rPr>
          <w:rFonts w:cs="Arial"/>
          <w:color w:val="000000"/>
          <w:szCs w:val="22"/>
          <w:lang w:eastAsia="en-AU"/>
        </w:rPr>
        <w:t>per cent</w:t>
      </w:r>
      <w:r w:rsidRPr="00F94C1F">
        <w:rPr>
          <w:rFonts w:cs="Arial"/>
          <w:color w:val="000000"/>
          <w:szCs w:val="22"/>
          <w:lang w:eastAsia="en-AU"/>
        </w:rPr>
        <w:t xml:space="preserve">. </w:t>
      </w:r>
    </w:p>
    <w:p w14:paraId="6A53E02F" w14:textId="441A60FC" w:rsidR="003D355F" w:rsidRDefault="005A4C2B" w:rsidP="002028A6">
      <w:pPr>
        <w:pStyle w:val="Heading1"/>
      </w:pPr>
      <w:bookmarkStart w:id="772" w:name="_Toc278447940"/>
      <w:bookmarkStart w:id="773" w:name="_Toc278453413"/>
      <w:r>
        <w:t xml:space="preserve">2 </w:t>
      </w:r>
      <w:r w:rsidR="000C0476">
        <w:tab/>
      </w:r>
      <w:r w:rsidR="009B4045">
        <w:t>Incidence: APTC graduates t</w:t>
      </w:r>
      <w:r w:rsidR="009B4045" w:rsidRPr="00631294">
        <w:t>ake</w:t>
      </w:r>
      <w:r w:rsidR="009B4045">
        <w:t>-</w:t>
      </w:r>
      <w:r w:rsidR="009B4045" w:rsidRPr="00631294">
        <w:t xml:space="preserve">up </w:t>
      </w:r>
      <w:r w:rsidR="009B4045">
        <w:t xml:space="preserve">of </w:t>
      </w:r>
      <w:r w:rsidR="009B4045" w:rsidRPr="00631294">
        <w:t>Pacific regional</w:t>
      </w:r>
      <w:r w:rsidR="009B4045">
        <w:t xml:space="preserve"> and international employment</w:t>
      </w:r>
      <w:bookmarkEnd w:id="772"/>
      <w:bookmarkEnd w:id="773"/>
      <w:r w:rsidR="009B4045">
        <w:t xml:space="preserve"> </w:t>
      </w:r>
    </w:p>
    <w:p w14:paraId="2ECC49B6" w14:textId="2220DD38" w:rsidR="009B4045" w:rsidRPr="008E3187" w:rsidRDefault="00E04778" w:rsidP="009B4045">
      <w:pPr>
        <w:rPr>
          <w:rFonts w:cs="Arial"/>
          <w:color w:val="000000"/>
          <w:szCs w:val="22"/>
          <w:lang w:eastAsia="en-AU"/>
        </w:rPr>
      </w:pPr>
      <w:r w:rsidRPr="00E04778">
        <w:rPr>
          <w:rFonts w:cs="Arial"/>
          <w:color w:val="000000"/>
          <w:szCs w:val="22"/>
          <w:lang w:eastAsia="en-AU"/>
        </w:rPr>
        <w:t>Using the APTC database o</w:t>
      </w:r>
      <w:r w:rsidR="004A7DB6">
        <w:rPr>
          <w:rFonts w:cs="Arial"/>
          <w:color w:val="000000"/>
          <w:szCs w:val="22"/>
          <w:lang w:eastAsia="en-AU"/>
        </w:rPr>
        <w:t xml:space="preserve">f graduates who have migrated, </w:t>
      </w:r>
      <w:r w:rsidRPr="00E04778">
        <w:rPr>
          <w:rFonts w:cs="Arial"/>
          <w:color w:val="000000"/>
          <w:szCs w:val="22"/>
          <w:lang w:eastAsia="en-AU"/>
        </w:rPr>
        <w:t xml:space="preserve">the </w:t>
      </w:r>
      <w:r w:rsidR="009B4045">
        <w:rPr>
          <w:rFonts w:cs="Arial"/>
          <w:color w:val="000000"/>
          <w:szCs w:val="22"/>
          <w:lang w:eastAsia="en-AU"/>
        </w:rPr>
        <w:t xml:space="preserve">destination countries for APTC migrants is shown in Table </w:t>
      </w:r>
      <w:r w:rsidR="00161033">
        <w:rPr>
          <w:rFonts w:cs="Arial"/>
          <w:color w:val="000000"/>
          <w:szCs w:val="22"/>
          <w:lang w:eastAsia="en-AU"/>
        </w:rPr>
        <w:t>7.</w:t>
      </w:r>
      <w:r w:rsidR="009B4045">
        <w:rPr>
          <w:rFonts w:cs="Arial"/>
          <w:color w:val="000000"/>
          <w:szCs w:val="22"/>
          <w:lang w:eastAsia="en-AU"/>
        </w:rPr>
        <w:t xml:space="preserve">1. </w:t>
      </w:r>
      <w:r w:rsidR="009B4045" w:rsidRPr="008E3187">
        <w:rPr>
          <w:rFonts w:cs="Arial"/>
          <w:color w:val="000000"/>
          <w:szCs w:val="22"/>
          <w:lang w:eastAsia="en-AU"/>
        </w:rPr>
        <w:t>Less than one per cent of APTC graduates have migrated to Australia, the largest regional labour market with the most opportunities for work for skilled migrants.</w:t>
      </w:r>
    </w:p>
    <w:p w14:paraId="6E348E66" w14:textId="77777777" w:rsidR="009B4045" w:rsidRPr="008E3187" w:rsidRDefault="009B4045" w:rsidP="009B4045">
      <w:pPr>
        <w:rPr>
          <w:rFonts w:cs="Arial"/>
          <w:color w:val="000000"/>
          <w:szCs w:val="22"/>
          <w:lang w:eastAsia="en-AU"/>
        </w:rPr>
      </w:pPr>
      <w:r w:rsidRPr="008E3187">
        <w:rPr>
          <w:rFonts w:cs="Arial"/>
          <w:color w:val="000000"/>
          <w:szCs w:val="22"/>
          <w:lang w:eastAsia="en-AU"/>
        </w:rPr>
        <w:t xml:space="preserve">APTC migrants have made use of existing ties between specific Pacific countries and the main destination countries of Australia, New Zealand, Canada or the USA. In the case of the 69 APTC migrants in Australia, the largest numbers are from PNG (30), Vanuatu (15) and Fiji (14). The large number of PNG migrants in Australia is most likely due to close linkages </w:t>
      </w:r>
      <w:r w:rsidR="00BB5D16">
        <w:rPr>
          <w:rFonts w:cs="Arial"/>
          <w:color w:val="000000"/>
          <w:szCs w:val="22"/>
          <w:lang w:eastAsia="en-AU"/>
        </w:rPr>
        <w:t>of</w:t>
      </w:r>
      <w:r w:rsidR="00161033">
        <w:rPr>
          <w:rFonts w:cs="Arial"/>
          <w:color w:val="000000"/>
          <w:szCs w:val="22"/>
          <w:lang w:eastAsia="en-AU"/>
        </w:rPr>
        <w:t xml:space="preserve"> </w:t>
      </w:r>
      <w:r w:rsidRPr="008E3187">
        <w:rPr>
          <w:rFonts w:cs="Arial"/>
          <w:color w:val="000000"/>
          <w:szCs w:val="22"/>
          <w:lang w:eastAsia="en-AU"/>
        </w:rPr>
        <w:t xml:space="preserve">mining companies between both countries. The strong preference of APTC migrants for New Zealand reflects the greater strength of existing ties due to a large diaspora community and easier access for migrants from Samoa, Tonga and Fiji. Of the 51 APTC migrants in New Zealand, 22 are from Samoa, 10 are from Tonga and 10 are from Fiji. </w:t>
      </w:r>
    </w:p>
    <w:p w14:paraId="7147E39A" w14:textId="1717C0F0" w:rsidR="009B4045" w:rsidRPr="0016005A" w:rsidRDefault="009B4045" w:rsidP="0016005A">
      <w:pPr>
        <w:pStyle w:val="Tableheading"/>
        <w:rPr>
          <w:lang w:eastAsia="en-AU"/>
        </w:rPr>
      </w:pPr>
      <w:bookmarkStart w:id="774" w:name="_Toc274146486"/>
      <w:bookmarkStart w:id="775" w:name="_Toc274915945"/>
      <w:bookmarkStart w:id="776" w:name="_Toc278446924"/>
      <w:r w:rsidRPr="005716C0">
        <w:rPr>
          <w:lang w:eastAsia="en-AU"/>
        </w:rPr>
        <w:t xml:space="preserve">Table </w:t>
      </w:r>
      <w:r w:rsidR="0016005A">
        <w:rPr>
          <w:lang w:eastAsia="en-AU"/>
        </w:rPr>
        <w:t>7.</w:t>
      </w:r>
      <w:r w:rsidRPr="005716C0">
        <w:rPr>
          <w:lang w:eastAsia="en-AU"/>
        </w:rPr>
        <w:t>1: Country of destination of APTC migrants, June 2014</w:t>
      </w:r>
      <w:r w:rsidR="002A4907">
        <w:rPr>
          <w:lang w:eastAsia="en-AU"/>
        </w:rPr>
        <w:t xml:space="preserve"> (%)</w:t>
      </w:r>
      <w:bookmarkEnd w:id="774"/>
      <w:bookmarkEnd w:id="775"/>
      <w:bookmarkEnd w:id="776"/>
    </w:p>
    <w:tbl>
      <w:tblPr>
        <w:tblpPr w:leftFromText="180" w:rightFromText="180" w:vertAnchor="text" w:horzAnchor="margin" w:tblpX="108" w:tblpY="166"/>
        <w:tblW w:w="6204" w:type="dxa"/>
        <w:tblLook w:val="04A0" w:firstRow="1" w:lastRow="0" w:firstColumn="1" w:lastColumn="0" w:noHBand="0" w:noVBand="1"/>
      </w:tblPr>
      <w:tblGrid>
        <w:gridCol w:w="2434"/>
        <w:gridCol w:w="651"/>
        <w:gridCol w:w="2410"/>
        <w:gridCol w:w="709"/>
      </w:tblGrid>
      <w:tr w:rsidR="006715C7" w:rsidRPr="002A4907" w14:paraId="6514D724" w14:textId="77777777" w:rsidTr="006715C7">
        <w:tc>
          <w:tcPr>
            <w:tcW w:w="2434" w:type="dxa"/>
            <w:shd w:val="clear" w:color="000000" w:fill="C5E0B3" w:themeFill="accent6" w:themeFillTint="66"/>
            <w:vAlign w:val="center"/>
          </w:tcPr>
          <w:p w14:paraId="6DF37138" w14:textId="77777777" w:rsidR="009B4045" w:rsidRPr="002A4907" w:rsidRDefault="009B4045" w:rsidP="006715C7">
            <w:pPr>
              <w:spacing w:before="80" w:after="80"/>
              <w:rPr>
                <w:rFonts w:cs="Arial"/>
                <w:b/>
                <w:sz w:val="18"/>
                <w:szCs w:val="20"/>
              </w:rPr>
            </w:pPr>
            <w:r w:rsidRPr="002A4907">
              <w:rPr>
                <w:rFonts w:cs="Arial"/>
                <w:b/>
                <w:sz w:val="18"/>
                <w:szCs w:val="20"/>
              </w:rPr>
              <w:t xml:space="preserve">Country of destination </w:t>
            </w:r>
          </w:p>
        </w:tc>
        <w:tc>
          <w:tcPr>
            <w:tcW w:w="651" w:type="dxa"/>
            <w:tcBorders>
              <w:right w:val="single" w:sz="4" w:space="0" w:color="A8D08D" w:themeColor="accent6" w:themeTint="99"/>
            </w:tcBorders>
            <w:shd w:val="clear" w:color="000000" w:fill="C5E0B3" w:themeFill="accent6" w:themeFillTint="66"/>
            <w:vAlign w:val="center"/>
          </w:tcPr>
          <w:p w14:paraId="2F4B6F4D" w14:textId="77777777" w:rsidR="009B4045" w:rsidRPr="002A4907" w:rsidRDefault="009B4045" w:rsidP="006715C7">
            <w:pPr>
              <w:spacing w:before="80" w:after="80"/>
              <w:jc w:val="right"/>
              <w:rPr>
                <w:rFonts w:cs="Arial"/>
                <w:b/>
                <w:sz w:val="18"/>
                <w:szCs w:val="20"/>
              </w:rPr>
            </w:pPr>
            <w:r w:rsidRPr="002A4907">
              <w:rPr>
                <w:rFonts w:cs="Arial"/>
                <w:b/>
                <w:sz w:val="18"/>
                <w:szCs w:val="20"/>
              </w:rPr>
              <w:t>%</w:t>
            </w:r>
          </w:p>
        </w:tc>
        <w:tc>
          <w:tcPr>
            <w:tcW w:w="2410" w:type="dxa"/>
            <w:tcBorders>
              <w:left w:val="single" w:sz="4" w:space="0" w:color="A8D08D" w:themeColor="accent6" w:themeTint="99"/>
            </w:tcBorders>
            <w:shd w:val="clear" w:color="000000" w:fill="C5E0B3" w:themeFill="accent6" w:themeFillTint="66"/>
            <w:vAlign w:val="center"/>
          </w:tcPr>
          <w:p w14:paraId="7BF99D7C" w14:textId="77777777" w:rsidR="009B4045" w:rsidRPr="002A4907" w:rsidRDefault="009B4045" w:rsidP="006715C7">
            <w:pPr>
              <w:spacing w:before="80" w:after="80"/>
              <w:rPr>
                <w:rFonts w:cs="Arial"/>
                <w:b/>
                <w:sz w:val="18"/>
                <w:szCs w:val="20"/>
              </w:rPr>
            </w:pPr>
            <w:r w:rsidRPr="002A4907">
              <w:rPr>
                <w:rFonts w:cs="Arial"/>
                <w:b/>
                <w:sz w:val="18"/>
                <w:szCs w:val="20"/>
              </w:rPr>
              <w:t xml:space="preserve">Country of destination </w:t>
            </w:r>
          </w:p>
        </w:tc>
        <w:tc>
          <w:tcPr>
            <w:tcW w:w="709" w:type="dxa"/>
            <w:shd w:val="clear" w:color="000000" w:fill="C5E0B3" w:themeFill="accent6" w:themeFillTint="66"/>
            <w:vAlign w:val="center"/>
          </w:tcPr>
          <w:p w14:paraId="321B86F3" w14:textId="77777777" w:rsidR="009B4045" w:rsidRPr="002A4907" w:rsidRDefault="009B4045" w:rsidP="006715C7">
            <w:pPr>
              <w:spacing w:before="80" w:after="80"/>
              <w:jc w:val="right"/>
              <w:rPr>
                <w:rFonts w:cs="Arial"/>
                <w:b/>
                <w:sz w:val="18"/>
                <w:szCs w:val="20"/>
              </w:rPr>
            </w:pPr>
            <w:r w:rsidRPr="002A4907">
              <w:rPr>
                <w:rFonts w:cs="Arial"/>
                <w:b/>
                <w:sz w:val="18"/>
                <w:szCs w:val="20"/>
              </w:rPr>
              <w:t>%</w:t>
            </w:r>
          </w:p>
        </w:tc>
      </w:tr>
      <w:tr w:rsidR="006715C7" w:rsidRPr="002A4907" w14:paraId="206A765B" w14:textId="77777777" w:rsidTr="006715C7">
        <w:trPr>
          <w:trHeight w:val="288"/>
        </w:trPr>
        <w:tc>
          <w:tcPr>
            <w:tcW w:w="2434" w:type="dxa"/>
            <w:shd w:val="clear" w:color="auto" w:fill="auto"/>
            <w:vAlign w:val="center"/>
          </w:tcPr>
          <w:p w14:paraId="6B8E6920" w14:textId="77777777" w:rsidR="009B4045" w:rsidRPr="002A4907" w:rsidRDefault="009B4045" w:rsidP="002A4907">
            <w:pPr>
              <w:pStyle w:val="Insidebox"/>
              <w:rPr>
                <w:sz w:val="18"/>
              </w:rPr>
            </w:pPr>
            <w:r w:rsidRPr="002A4907">
              <w:rPr>
                <w:sz w:val="18"/>
              </w:rPr>
              <w:t>Australia</w:t>
            </w:r>
          </w:p>
        </w:tc>
        <w:tc>
          <w:tcPr>
            <w:tcW w:w="651" w:type="dxa"/>
            <w:tcBorders>
              <w:right w:val="single" w:sz="4" w:space="0" w:color="A8D08D" w:themeColor="accent6" w:themeTint="99"/>
            </w:tcBorders>
            <w:shd w:val="clear" w:color="auto" w:fill="auto"/>
            <w:vAlign w:val="center"/>
          </w:tcPr>
          <w:p w14:paraId="5163E3CA" w14:textId="77777777" w:rsidR="009B4045" w:rsidRPr="002A4907" w:rsidRDefault="009B4045" w:rsidP="002A4907">
            <w:pPr>
              <w:pStyle w:val="Insidebox"/>
              <w:jc w:val="right"/>
              <w:rPr>
                <w:sz w:val="18"/>
              </w:rPr>
            </w:pPr>
            <w:r w:rsidRPr="002A4907">
              <w:rPr>
                <w:sz w:val="18"/>
              </w:rPr>
              <w:t>38.3</w:t>
            </w:r>
          </w:p>
        </w:tc>
        <w:tc>
          <w:tcPr>
            <w:tcW w:w="2410" w:type="dxa"/>
            <w:tcBorders>
              <w:left w:val="single" w:sz="4" w:space="0" w:color="A8D08D" w:themeColor="accent6" w:themeTint="99"/>
            </w:tcBorders>
            <w:shd w:val="clear" w:color="auto" w:fill="auto"/>
            <w:vAlign w:val="center"/>
          </w:tcPr>
          <w:p w14:paraId="00269D45" w14:textId="77777777" w:rsidR="009B4045" w:rsidRPr="002A4907" w:rsidRDefault="009B4045" w:rsidP="002A4907">
            <w:pPr>
              <w:pStyle w:val="Insidebox"/>
              <w:rPr>
                <w:sz w:val="18"/>
              </w:rPr>
            </w:pPr>
            <w:r w:rsidRPr="002A4907">
              <w:rPr>
                <w:sz w:val="18"/>
              </w:rPr>
              <w:t>Vanuatu</w:t>
            </w:r>
          </w:p>
        </w:tc>
        <w:tc>
          <w:tcPr>
            <w:tcW w:w="709" w:type="dxa"/>
            <w:shd w:val="clear" w:color="auto" w:fill="auto"/>
            <w:vAlign w:val="center"/>
          </w:tcPr>
          <w:p w14:paraId="646C0E38" w14:textId="77777777" w:rsidR="009B4045" w:rsidRPr="002A4907" w:rsidRDefault="009B4045" w:rsidP="002A4907">
            <w:pPr>
              <w:pStyle w:val="Insidebox"/>
              <w:jc w:val="right"/>
              <w:rPr>
                <w:sz w:val="18"/>
              </w:rPr>
            </w:pPr>
            <w:r w:rsidRPr="002A4907">
              <w:rPr>
                <w:sz w:val="18"/>
              </w:rPr>
              <w:t>4.4</w:t>
            </w:r>
          </w:p>
        </w:tc>
      </w:tr>
      <w:tr w:rsidR="006715C7" w:rsidRPr="002A4907" w14:paraId="0B591CB4" w14:textId="77777777" w:rsidTr="006715C7">
        <w:trPr>
          <w:trHeight w:val="288"/>
        </w:trPr>
        <w:tc>
          <w:tcPr>
            <w:tcW w:w="2434" w:type="dxa"/>
            <w:shd w:val="clear" w:color="auto" w:fill="auto"/>
            <w:vAlign w:val="center"/>
          </w:tcPr>
          <w:p w14:paraId="2F4B3429" w14:textId="77777777" w:rsidR="009B4045" w:rsidRPr="002A4907" w:rsidRDefault="009B4045" w:rsidP="002A4907">
            <w:pPr>
              <w:pStyle w:val="Insidebox"/>
              <w:rPr>
                <w:sz w:val="18"/>
              </w:rPr>
            </w:pPr>
            <w:r w:rsidRPr="002A4907">
              <w:rPr>
                <w:sz w:val="18"/>
              </w:rPr>
              <w:t>New Zealand</w:t>
            </w:r>
          </w:p>
        </w:tc>
        <w:tc>
          <w:tcPr>
            <w:tcW w:w="651" w:type="dxa"/>
            <w:tcBorders>
              <w:right w:val="single" w:sz="4" w:space="0" w:color="A8D08D" w:themeColor="accent6" w:themeTint="99"/>
            </w:tcBorders>
            <w:shd w:val="clear" w:color="auto" w:fill="auto"/>
            <w:vAlign w:val="center"/>
          </w:tcPr>
          <w:p w14:paraId="731CDE16" w14:textId="77777777" w:rsidR="009B4045" w:rsidRPr="002A4907" w:rsidRDefault="009B4045" w:rsidP="002A4907">
            <w:pPr>
              <w:pStyle w:val="Insidebox"/>
              <w:jc w:val="right"/>
              <w:rPr>
                <w:sz w:val="18"/>
              </w:rPr>
            </w:pPr>
            <w:r w:rsidRPr="002A4907">
              <w:rPr>
                <w:sz w:val="18"/>
              </w:rPr>
              <w:t>28.3</w:t>
            </w:r>
          </w:p>
        </w:tc>
        <w:tc>
          <w:tcPr>
            <w:tcW w:w="2410" w:type="dxa"/>
            <w:tcBorders>
              <w:left w:val="single" w:sz="4" w:space="0" w:color="A8D08D" w:themeColor="accent6" w:themeTint="99"/>
            </w:tcBorders>
            <w:shd w:val="clear" w:color="auto" w:fill="auto"/>
            <w:vAlign w:val="center"/>
          </w:tcPr>
          <w:p w14:paraId="3580DFFD" w14:textId="77777777" w:rsidR="009B4045" w:rsidRPr="002A4907" w:rsidRDefault="009B4045" w:rsidP="002A4907">
            <w:pPr>
              <w:pStyle w:val="Insidebox"/>
              <w:rPr>
                <w:sz w:val="18"/>
              </w:rPr>
            </w:pPr>
            <w:r w:rsidRPr="002A4907">
              <w:rPr>
                <w:sz w:val="18"/>
              </w:rPr>
              <w:t>Other</w:t>
            </w:r>
          </w:p>
        </w:tc>
        <w:tc>
          <w:tcPr>
            <w:tcW w:w="709" w:type="dxa"/>
            <w:shd w:val="clear" w:color="auto" w:fill="auto"/>
            <w:vAlign w:val="center"/>
          </w:tcPr>
          <w:p w14:paraId="2C1DB943" w14:textId="77777777" w:rsidR="009B4045" w:rsidRPr="002A4907" w:rsidRDefault="009B4045" w:rsidP="002A4907">
            <w:pPr>
              <w:pStyle w:val="Insidebox"/>
              <w:jc w:val="right"/>
              <w:rPr>
                <w:sz w:val="18"/>
              </w:rPr>
            </w:pPr>
            <w:r w:rsidRPr="002A4907">
              <w:rPr>
                <w:sz w:val="18"/>
              </w:rPr>
              <w:t>2.8</w:t>
            </w:r>
          </w:p>
        </w:tc>
      </w:tr>
      <w:tr w:rsidR="006715C7" w:rsidRPr="002A4907" w14:paraId="63633510" w14:textId="77777777" w:rsidTr="006715C7">
        <w:trPr>
          <w:trHeight w:val="288"/>
        </w:trPr>
        <w:tc>
          <w:tcPr>
            <w:tcW w:w="2434" w:type="dxa"/>
            <w:shd w:val="clear" w:color="auto" w:fill="auto"/>
            <w:vAlign w:val="center"/>
          </w:tcPr>
          <w:p w14:paraId="74AEE54D" w14:textId="77777777" w:rsidR="009B4045" w:rsidRPr="002A4907" w:rsidRDefault="009B4045" w:rsidP="002A4907">
            <w:pPr>
              <w:pStyle w:val="Insidebox"/>
              <w:rPr>
                <w:sz w:val="18"/>
              </w:rPr>
            </w:pPr>
            <w:r w:rsidRPr="002A4907">
              <w:rPr>
                <w:sz w:val="18"/>
              </w:rPr>
              <w:t>Other Pacific countries</w:t>
            </w:r>
          </w:p>
        </w:tc>
        <w:tc>
          <w:tcPr>
            <w:tcW w:w="651" w:type="dxa"/>
            <w:tcBorders>
              <w:right w:val="single" w:sz="4" w:space="0" w:color="A8D08D" w:themeColor="accent6" w:themeTint="99"/>
            </w:tcBorders>
            <w:shd w:val="clear" w:color="auto" w:fill="auto"/>
            <w:vAlign w:val="center"/>
          </w:tcPr>
          <w:p w14:paraId="749FB8D9" w14:textId="77777777" w:rsidR="009B4045" w:rsidRPr="002A4907" w:rsidRDefault="009B4045" w:rsidP="002A4907">
            <w:pPr>
              <w:pStyle w:val="Insidebox"/>
              <w:jc w:val="right"/>
              <w:rPr>
                <w:sz w:val="18"/>
              </w:rPr>
            </w:pPr>
            <w:r w:rsidRPr="002A4907">
              <w:rPr>
                <w:sz w:val="18"/>
              </w:rPr>
              <w:t>7.2</w:t>
            </w:r>
          </w:p>
        </w:tc>
        <w:tc>
          <w:tcPr>
            <w:tcW w:w="2410" w:type="dxa"/>
            <w:tcBorders>
              <w:left w:val="single" w:sz="4" w:space="0" w:color="A8D08D" w:themeColor="accent6" w:themeTint="99"/>
            </w:tcBorders>
            <w:shd w:val="clear" w:color="auto" w:fill="auto"/>
            <w:vAlign w:val="center"/>
          </w:tcPr>
          <w:p w14:paraId="2E836308" w14:textId="77777777" w:rsidR="009B4045" w:rsidRPr="002A4907" w:rsidRDefault="009B4045" w:rsidP="002A4907">
            <w:pPr>
              <w:pStyle w:val="Insidebox"/>
              <w:rPr>
                <w:sz w:val="18"/>
              </w:rPr>
            </w:pPr>
            <w:r w:rsidRPr="002A4907">
              <w:rPr>
                <w:sz w:val="18"/>
              </w:rPr>
              <w:t>Canada</w:t>
            </w:r>
          </w:p>
        </w:tc>
        <w:tc>
          <w:tcPr>
            <w:tcW w:w="709" w:type="dxa"/>
            <w:shd w:val="clear" w:color="auto" w:fill="auto"/>
            <w:vAlign w:val="center"/>
          </w:tcPr>
          <w:p w14:paraId="017AE9AD" w14:textId="77777777" w:rsidR="009B4045" w:rsidRPr="002A4907" w:rsidRDefault="009B4045" w:rsidP="002A4907">
            <w:pPr>
              <w:pStyle w:val="Insidebox"/>
              <w:jc w:val="right"/>
              <w:rPr>
                <w:sz w:val="18"/>
              </w:rPr>
            </w:pPr>
            <w:r w:rsidRPr="002A4907">
              <w:rPr>
                <w:sz w:val="18"/>
              </w:rPr>
              <w:t>2.2</w:t>
            </w:r>
          </w:p>
        </w:tc>
      </w:tr>
      <w:tr w:rsidR="006715C7" w:rsidRPr="002A4907" w14:paraId="00C9B911" w14:textId="77777777" w:rsidTr="006715C7">
        <w:trPr>
          <w:trHeight w:val="288"/>
        </w:trPr>
        <w:tc>
          <w:tcPr>
            <w:tcW w:w="2434" w:type="dxa"/>
            <w:shd w:val="clear" w:color="auto" w:fill="auto"/>
            <w:vAlign w:val="center"/>
          </w:tcPr>
          <w:p w14:paraId="6FF78EE3" w14:textId="77777777" w:rsidR="009B4045" w:rsidRPr="002A4907" w:rsidRDefault="009B4045" w:rsidP="002A4907">
            <w:pPr>
              <w:pStyle w:val="Insidebox"/>
              <w:rPr>
                <w:sz w:val="18"/>
              </w:rPr>
            </w:pPr>
            <w:r w:rsidRPr="002A4907">
              <w:rPr>
                <w:sz w:val="18"/>
              </w:rPr>
              <w:t>Samoa</w:t>
            </w:r>
          </w:p>
        </w:tc>
        <w:tc>
          <w:tcPr>
            <w:tcW w:w="651" w:type="dxa"/>
            <w:tcBorders>
              <w:right w:val="single" w:sz="4" w:space="0" w:color="A8D08D" w:themeColor="accent6" w:themeTint="99"/>
            </w:tcBorders>
            <w:shd w:val="clear" w:color="auto" w:fill="auto"/>
            <w:vAlign w:val="center"/>
          </w:tcPr>
          <w:p w14:paraId="07318B3C" w14:textId="77777777" w:rsidR="009B4045" w:rsidRPr="002A4907" w:rsidRDefault="009B4045" w:rsidP="002A4907">
            <w:pPr>
              <w:pStyle w:val="Insidebox"/>
              <w:jc w:val="right"/>
              <w:rPr>
                <w:sz w:val="18"/>
              </w:rPr>
            </w:pPr>
            <w:r w:rsidRPr="002A4907">
              <w:rPr>
                <w:sz w:val="18"/>
              </w:rPr>
              <w:t>5</w:t>
            </w:r>
          </w:p>
        </w:tc>
        <w:tc>
          <w:tcPr>
            <w:tcW w:w="2410" w:type="dxa"/>
            <w:tcBorders>
              <w:left w:val="single" w:sz="4" w:space="0" w:color="A8D08D" w:themeColor="accent6" w:themeTint="99"/>
            </w:tcBorders>
            <w:shd w:val="clear" w:color="auto" w:fill="auto"/>
            <w:vAlign w:val="center"/>
          </w:tcPr>
          <w:p w14:paraId="12B73E83" w14:textId="77777777" w:rsidR="009B4045" w:rsidRPr="002A4907" w:rsidRDefault="009B4045" w:rsidP="002A4907">
            <w:pPr>
              <w:pStyle w:val="Insidebox"/>
              <w:rPr>
                <w:sz w:val="18"/>
              </w:rPr>
            </w:pPr>
            <w:r w:rsidRPr="002A4907">
              <w:rPr>
                <w:sz w:val="18"/>
              </w:rPr>
              <w:t>PNG</w:t>
            </w:r>
          </w:p>
        </w:tc>
        <w:tc>
          <w:tcPr>
            <w:tcW w:w="709" w:type="dxa"/>
            <w:shd w:val="clear" w:color="auto" w:fill="auto"/>
            <w:vAlign w:val="center"/>
          </w:tcPr>
          <w:p w14:paraId="1AE5E688" w14:textId="77777777" w:rsidR="009B4045" w:rsidRPr="002A4907" w:rsidRDefault="009B4045" w:rsidP="002A4907">
            <w:pPr>
              <w:pStyle w:val="Insidebox"/>
              <w:jc w:val="right"/>
              <w:rPr>
                <w:sz w:val="18"/>
              </w:rPr>
            </w:pPr>
            <w:r w:rsidRPr="002A4907">
              <w:rPr>
                <w:sz w:val="18"/>
              </w:rPr>
              <w:t>2.2</w:t>
            </w:r>
          </w:p>
        </w:tc>
      </w:tr>
      <w:tr w:rsidR="006715C7" w:rsidRPr="002A4907" w14:paraId="61945DCF" w14:textId="77777777" w:rsidTr="006715C7">
        <w:trPr>
          <w:trHeight w:val="288"/>
        </w:trPr>
        <w:tc>
          <w:tcPr>
            <w:tcW w:w="2434" w:type="dxa"/>
            <w:shd w:val="clear" w:color="auto" w:fill="auto"/>
            <w:vAlign w:val="center"/>
          </w:tcPr>
          <w:p w14:paraId="55CD637E" w14:textId="77777777" w:rsidR="009B4045" w:rsidRPr="002A4907" w:rsidRDefault="009B4045" w:rsidP="002A4907">
            <w:pPr>
              <w:pStyle w:val="Insidebox"/>
              <w:rPr>
                <w:sz w:val="18"/>
              </w:rPr>
            </w:pPr>
            <w:r w:rsidRPr="002A4907">
              <w:rPr>
                <w:sz w:val="18"/>
              </w:rPr>
              <w:t>USA</w:t>
            </w:r>
          </w:p>
        </w:tc>
        <w:tc>
          <w:tcPr>
            <w:tcW w:w="651" w:type="dxa"/>
            <w:tcBorders>
              <w:right w:val="single" w:sz="4" w:space="0" w:color="A8D08D" w:themeColor="accent6" w:themeTint="99"/>
            </w:tcBorders>
            <w:shd w:val="clear" w:color="auto" w:fill="auto"/>
            <w:vAlign w:val="center"/>
          </w:tcPr>
          <w:p w14:paraId="436EB9F5" w14:textId="77777777" w:rsidR="009B4045" w:rsidRPr="002A4907" w:rsidRDefault="009B4045" w:rsidP="002A4907">
            <w:pPr>
              <w:pStyle w:val="Insidebox"/>
              <w:jc w:val="right"/>
              <w:rPr>
                <w:sz w:val="18"/>
              </w:rPr>
            </w:pPr>
            <w:r w:rsidRPr="002A4907">
              <w:rPr>
                <w:sz w:val="18"/>
              </w:rPr>
              <w:t>5</w:t>
            </w:r>
          </w:p>
        </w:tc>
        <w:tc>
          <w:tcPr>
            <w:tcW w:w="2410" w:type="dxa"/>
            <w:tcBorders>
              <w:left w:val="single" w:sz="4" w:space="0" w:color="A8D08D" w:themeColor="accent6" w:themeTint="99"/>
            </w:tcBorders>
            <w:shd w:val="clear" w:color="auto" w:fill="auto"/>
            <w:vAlign w:val="center"/>
          </w:tcPr>
          <w:p w14:paraId="09E0C180" w14:textId="77777777" w:rsidR="009B4045" w:rsidRPr="002A4907" w:rsidRDefault="009B4045" w:rsidP="002A4907">
            <w:pPr>
              <w:pStyle w:val="Insidebox"/>
              <w:rPr>
                <w:sz w:val="18"/>
              </w:rPr>
            </w:pPr>
            <w:r w:rsidRPr="002A4907">
              <w:rPr>
                <w:sz w:val="18"/>
              </w:rPr>
              <w:t> </w:t>
            </w:r>
          </w:p>
        </w:tc>
        <w:tc>
          <w:tcPr>
            <w:tcW w:w="709" w:type="dxa"/>
            <w:shd w:val="clear" w:color="auto" w:fill="auto"/>
            <w:vAlign w:val="center"/>
          </w:tcPr>
          <w:p w14:paraId="0E6C08A5" w14:textId="77777777" w:rsidR="009B4045" w:rsidRPr="002A4907" w:rsidRDefault="009B4045" w:rsidP="002A4907">
            <w:pPr>
              <w:pStyle w:val="Insidebox"/>
              <w:jc w:val="right"/>
              <w:rPr>
                <w:sz w:val="18"/>
              </w:rPr>
            </w:pPr>
            <w:r w:rsidRPr="002A4907">
              <w:rPr>
                <w:sz w:val="18"/>
              </w:rPr>
              <w:t>100</w:t>
            </w:r>
          </w:p>
        </w:tc>
      </w:tr>
      <w:tr w:rsidR="006715C7" w:rsidRPr="002A4907" w14:paraId="08E0E2AA" w14:textId="77777777" w:rsidTr="006715C7">
        <w:trPr>
          <w:trHeight w:val="288"/>
        </w:trPr>
        <w:tc>
          <w:tcPr>
            <w:tcW w:w="2434" w:type="dxa"/>
            <w:tcBorders>
              <w:bottom w:val="single" w:sz="4" w:space="0" w:color="A8D08D" w:themeColor="accent6" w:themeTint="99"/>
            </w:tcBorders>
            <w:shd w:val="clear" w:color="auto" w:fill="auto"/>
            <w:vAlign w:val="center"/>
          </w:tcPr>
          <w:p w14:paraId="13DFAD10" w14:textId="77777777" w:rsidR="009B4045" w:rsidRPr="002A4907" w:rsidRDefault="009B4045" w:rsidP="002A4907">
            <w:pPr>
              <w:pStyle w:val="Insidebox"/>
              <w:rPr>
                <w:sz w:val="18"/>
              </w:rPr>
            </w:pPr>
            <w:r w:rsidRPr="002A4907">
              <w:rPr>
                <w:sz w:val="18"/>
              </w:rPr>
              <w:t>Fiji</w:t>
            </w:r>
          </w:p>
        </w:tc>
        <w:tc>
          <w:tcPr>
            <w:tcW w:w="651" w:type="dxa"/>
            <w:tcBorders>
              <w:bottom w:val="single" w:sz="4" w:space="0" w:color="A8D08D" w:themeColor="accent6" w:themeTint="99"/>
              <w:right w:val="single" w:sz="4" w:space="0" w:color="A8D08D" w:themeColor="accent6" w:themeTint="99"/>
            </w:tcBorders>
            <w:shd w:val="clear" w:color="auto" w:fill="auto"/>
            <w:vAlign w:val="center"/>
          </w:tcPr>
          <w:p w14:paraId="06FEF0A5" w14:textId="77777777" w:rsidR="009B4045" w:rsidRPr="002A4907" w:rsidRDefault="009B4045" w:rsidP="002A4907">
            <w:pPr>
              <w:pStyle w:val="Insidebox"/>
              <w:jc w:val="right"/>
              <w:rPr>
                <w:sz w:val="18"/>
              </w:rPr>
            </w:pPr>
            <w:r w:rsidRPr="002A4907">
              <w:rPr>
                <w:sz w:val="18"/>
              </w:rPr>
              <w:t>4.4</w:t>
            </w:r>
          </w:p>
        </w:tc>
        <w:tc>
          <w:tcPr>
            <w:tcW w:w="2410" w:type="dxa"/>
            <w:tcBorders>
              <w:left w:val="single" w:sz="4" w:space="0" w:color="A8D08D" w:themeColor="accent6" w:themeTint="99"/>
              <w:bottom w:val="single" w:sz="4" w:space="0" w:color="A8D08D" w:themeColor="accent6" w:themeTint="99"/>
            </w:tcBorders>
            <w:shd w:val="clear" w:color="auto" w:fill="auto"/>
            <w:vAlign w:val="center"/>
          </w:tcPr>
          <w:p w14:paraId="7D629565" w14:textId="77777777" w:rsidR="009B4045" w:rsidRPr="006715C7" w:rsidRDefault="009B4045" w:rsidP="002A4907">
            <w:pPr>
              <w:pStyle w:val="Insidebox"/>
              <w:rPr>
                <w:b/>
                <w:sz w:val="18"/>
              </w:rPr>
            </w:pPr>
            <w:r w:rsidRPr="006715C7">
              <w:rPr>
                <w:b/>
                <w:sz w:val="18"/>
              </w:rPr>
              <w:t>N</w:t>
            </w:r>
          </w:p>
        </w:tc>
        <w:tc>
          <w:tcPr>
            <w:tcW w:w="709" w:type="dxa"/>
            <w:tcBorders>
              <w:bottom w:val="single" w:sz="4" w:space="0" w:color="A8D08D" w:themeColor="accent6" w:themeTint="99"/>
            </w:tcBorders>
            <w:shd w:val="clear" w:color="auto" w:fill="auto"/>
            <w:vAlign w:val="center"/>
          </w:tcPr>
          <w:p w14:paraId="4A0A5161" w14:textId="77777777" w:rsidR="009B4045" w:rsidRPr="006715C7" w:rsidRDefault="009B4045" w:rsidP="002A4907">
            <w:pPr>
              <w:pStyle w:val="Insidebox"/>
              <w:jc w:val="right"/>
              <w:rPr>
                <w:b/>
                <w:sz w:val="18"/>
              </w:rPr>
            </w:pPr>
            <w:r w:rsidRPr="006715C7">
              <w:rPr>
                <w:b/>
                <w:sz w:val="18"/>
              </w:rPr>
              <w:t>180</w:t>
            </w:r>
          </w:p>
        </w:tc>
      </w:tr>
      <w:tr w:rsidR="009B4045" w:rsidRPr="002A4907" w14:paraId="3F194576" w14:textId="77777777" w:rsidTr="006715C7">
        <w:trPr>
          <w:trHeight w:val="288"/>
        </w:trPr>
        <w:tc>
          <w:tcPr>
            <w:tcW w:w="6204" w:type="dxa"/>
            <w:gridSpan w:val="4"/>
            <w:tcBorders>
              <w:top w:val="single" w:sz="4" w:space="0" w:color="A8D08D" w:themeColor="accent6" w:themeTint="99"/>
            </w:tcBorders>
            <w:shd w:val="clear" w:color="auto" w:fill="auto"/>
            <w:vAlign w:val="center"/>
          </w:tcPr>
          <w:p w14:paraId="366440DE" w14:textId="77777777" w:rsidR="009B4045" w:rsidRPr="002A4907" w:rsidRDefault="009B4045" w:rsidP="002A4907">
            <w:pPr>
              <w:pStyle w:val="Insidebox"/>
              <w:rPr>
                <w:sz w:val="18"/>
              </w:rPr>
            </w:pPr>
            <w:r w:rsidRPr="002A4907">
              <w:rPr>
                <w:sz w:val="14"/>
              </w:rPr>
              <w:t xml:space="preserve">Source: APTC EMIS </w:t>
            </w:r>
          </w:p>
        </w:tc>
      </w:tr>
    </w:tbl>
    <w:p w14:paraId="478A9E47" w14:textId="77777777" w:rsidR="009B4045" w:rsidRDefault="009B4045" w:rsidP="009B4045">
      <w:pPr>
        <w:pStyle w:val="Insidebox"/>
        <w:rPr>
          <w:b/>
          <w:bCs/>
        </w:rPr>
      </w:pPr>
    </w:p>
    <w:p w14:paraId="2BE6DE8A" w14:textId="77777777" w:rsidR="009B4045" w:rsidRPr="005716C0" w:rsidRDefault="009B4045" w:rsidP="009B4045">
      <w:pPr>
        <w:spacing w:before="60"/>
        <w:ind w:left="1701" w:right="910"/>
        <w:rPr>
          <w:rFonts w:cs="Arial"/>
          <w:b/>
          <w:bCs/>
          <w:color w:val="000000"/>
          <w:szCs w:val="22"/>
          <w:lang w:eastAsia="en-AU"/>
        </w:rPr>
      </w:pPr>
    </w:p>
    <w:p w14:paraId="52F41851" w14:textId="77777777" w:rsidR="009B4045" w:rsidRDefault="009B4045" w:rsidP="009B4045">
      <w:pPr>
        <w:rPr>
          <w:rFonts w:cs="Arial"/>
          <w:color w:val="000000"/>
          <w:szCs w:val="22"/>
          <w:lang w:eastAsia="en-AU"/>
        </w:rPr>
      </w:pPr>
    </w:p>
    <w:p w14:paraId="7955C080" w14:textId="77777777" w:rsidR="009B4045" w:rsidRDefault="009B4045" w:rsidP="009B4045">
      <w:pPr>
        <w:rPr>
          <w:rFonts w:cs="Arial"/>
          <w:color w:val="000000"/>
          <w:szCs w:val="22"/>
          <w:lang w:eastAsia="en-AU"/>
        </w:rPr>
      </w:pPr>
    </w:p>
    <w:p w14:paraId="69C6EFF9" w14:textId="77777777" w:rsidR="009B4045" w:rsidRDefault="009B4045" w:rsidP="009B4045">
      <w:pPr>
        <w:rPr>
          <w:rFonts w:cs="Arial"/>
          <w:color w:val="000000"/>
          <w:szCs w:val="22"/>
          <w:lang w:eastAsia="en-AU"/>
        </w:rPr>
      </w:pPr>
    </w:p>
    <w:p w14:paraId="0FF11EDE" w14:textId="77777777" w:rsidR="009B4045" w:rsidRDefault="009B4045" w:rsidP="009B4045">
      <w:pPr>
        <w:rPr>
          <w:rFonts w:cs="Arial"/>
          <w:color w:val="000000"/>
          <w:szCs w:val="22"/>
          <w:lang w:eastAsia="en-AU"/>
        </w:rPr>
      </w:pPr>
    </w:p>
    <w:p w14:paraId="3039E458" w14:textId="77777777" w:rsidR="009B4045" w:rsidRDefault="009B4045" w:rsidP="009B4045">
      <w:pPr>
        <w:rPr>
          <w:rFonts w:cs="Arial"/>
          <w:color w:val="000000"/>
          <w:szCs w:val="22"/>
          <w:lang w:eastAsia="en-AU"/>
        </w:rPr>
      </w:pPr>
    </w:p>
    <w:p w14:paraId="06F5E8ED" w14:textId="77777777" w:rsidR="009B4045" w:rsidRDefault="009B4045" w:rsidP="009B4045">
      <w:pPr>
        <w:rPr>
          <w:rFonts w:cs="Arial"/>
          <w:color w:val="000000"/>
          <w:szCs w:val="22"/>
          <w:lang w:eastAsia="en-AU"/>
        </w:rPr>
      </w:pPr>
    </w:p>
    <w:p w14:paraId="22F5930F" w14:textId="77777777" w:rsidR="009B4045" w:rsidRDefault="009B4045" w:rsidP="009B4045">
      <w:pPr>
        <w:rPr>
          <w:rFonts w:cs="Arial"/>
          <w:szCs w:val="22"/>
        </w:rPr>
      </w:pPr>
      <w:r w:rsidRPr="00D675F6">
        <w:rPr>
          <w:rFonts w:cs="Arial"/>
          <w:color w:val="000000"/>
          <w:szCs w:val="22"/>
          <w:lang w:eastAsia="en-AU"/>
        </w:rPr>
        <w:t xml:space="preserve">The country of origin of APTC migrants needs to be compared with the country of origin of all APTC graduates. </w:t>
      </w:r>
      <w:r>
        <w:rPr>
          <w:rFonts w:cs="Arial"/>
          <w:color w:val="000000"/>
          <w:szCs w:val="22"/>
          <w:lang w:eastAsia="en-AU"/>
        </w:rPr>
        <w:t xml:space="preserve">This comparison shows that </w:t>
      </w:r>
      <w:r w:rsidRPr="00D675F6">
        <w:rPr>
          <w:rFonts w:cs="Arial"/>
          <w:color w:val="000000"/>
          <w:szCs w:val="22"/>
          <w:lang w:eastAsia="en-AU"/>
        </w:rPr>
        <w:t xml:space="preserve">APTC migrants from Fiji, Papua New Guinea, Solomon Islands, and Vanuatu are under-represented compared with their </w:t>
      </w:r>
      <w:r>
        <w:rPr>
          <w:rFonts w:cs="Arial"/>
          <w:color w:val="000000"/>
          <w:szCs w:val="22"/>
          <w:lang w:eastAsia="en-AU"/>
        </w:rPr>
        <w:t xml:space="preserve">country’s </w:t>
      </w:r>
      <w:r w:rsidRPr="00D675F6">
        <w:rPr>
          <w:rFonts w:cs="Arial"/>
          <w:color w:val="000000"/>
          <w:szCs w:val="22"/>
          <w:lang w:eastAsia="en-AU"/>
        </w:rPr>
        <w:t xml:space="preserve">share of all APTC graduates. In contrast, APTC migrants from Samoa in particular are over-represented compared with their share of all APTC graduates. APTC migrants from Tonga, Marshall Islands, Kiribati and Tuvalu are also over-represented compared with their share of all APTC graduates. </w:t>
      </w:r>
      <w:r>
        <w:rPr>
          <w:rFonts w:cs="Arial"/>
          <w:szCs w:val="22"/>
        </w:rPr>
        <w:t>Two-in-five of APTC migrants are women</w:t>
      </w:r>
      <w:r w:rsidR="004A50D0">
        <w:rPr>
          <w:rFonts w:cs="Arial"/>
          <w:szCs w:val="22"/>
        </w:rPr>
        <w:t>; the</w:t>
      </w:r>
      <w:r>
        <w:rPr>
          <w:rFonts w:cs="Arial"/>
          <w:szCs w:val="22"/>
        </w:rPr>
        <w:t xml:space="preserve"> balance between the sexes is the same as the profile of all APTC graduates. </w:t>
      </w:r>
    </w:p>
    <w:p w14:paraId="42175A73" w14:textId="4307755E" w:rsidR="003D355F" w:rsidRDefault="005A4C2B" w:rsidP="002028A6">
      <w:pPr>
        <w:pStyle w:val="Heading1"/>
      </w:pPr>
      <w:bookmarkStart w:id="777" w:name="_Toc278447941"/>
      <w:bookmarkStart w:id="778" w:name="_Toc278453414"/>
      <w:r>
        <w:t xml:space="preserve">3 </w:t>
      </w:r>
      <w:r w:rsidR="000C0476">
        <w:tab/>
      </w:r>
      <w:r w:rsidR="009B4045">
        <w:t>Age and migration</w:t>
      </w:r>
      <w:bookmarkEnd w:id="777"/>
      <w:bookmarkEnd w:id="778"/>
    </w:p>
    <w:p w14:paraId="14F5C9DE" w14:textId="77777777" w:rsidR="009B4045" w:rsidRDefault="009B4045" w:rsidP="009B4045">
      <w:pPr>
        <w:rPr>
          <w:rFonts w:cs="Arial"/>
          <w:szCs w:val="22"/>
        </w:rPr>
      </w:pPr>
      <w:r>
        <w:rPr>
          <w:rFonts w:cs="Arial"/>
          <w:szCs w:val="22"/>
        </w:rPr>
        <w:t>Apart from the barriers to migration, discussed below, the age of many APTC graduates may have been a disincentive to migrate. There is a stronger tendency for the 25</w:t>
      </w:r>
      <w:r w:rsidR="00346E06">
        <w:rPr>
          <w:rFonts w:cs="Arial"/>
          <w:szCs w:val="22"/>
        </w:rPr>
        <w:t>–</w:t>
      </w:r>
      <w:r>
        <w:rPr>
          <w:rFonts w:cs="Arial"/>
          <w:szCs w:val="22"/>
        </w:rPr>
        <w:t>29 and 30</w:t>
      </w:r>
      <w:r w:rsidR="00346E06">
        <w:rPr>
          <w:rFonts w:cs="Arial"/>
          <w:szCs w:val="22"/>
        </w:rPr>
        <w:t>–</w:t>
      </w:r>
      <w:r>
        <w:rPr>
          <w:rFonts w:cs="Arial"/>
          <w:szCs w:val="22"/>
        </w:rPr>
        <w:t>34 age groups to be migrants. Over half of the APTC migrants (</w:t>
      </w:r>
      <w:r w:rsidR="001A6F89">
        <w:rPr>
          <w:rFonts w:cs="Arial"/>
          <w:szCs w:val="22"/>
        </w:rPr>
        <w:t>54 </w:t>
      </w:r>
      <w:r>
        <w:rPr>
          <w:rFonts w:cs="Arial"/>
          <w:szCs w:val="22"/>
        </w:rPr>
        <w:t>per cent) are in these age groups compared with 44 per cent of all graduates. The specific age group with the strongest likelihood of migrating is 25</w:t>
      </w:r>
      <w:r w:rsidR="009104E2">
        <w:rPr>
          <w:rFonts w:cs="Arial"/>
          <w:szCs w:val="22"/>
        </w:rPr>
        <w:t>–</w:t>
      </w:r>
      <w:r>
        <w:rPr>
          <w:rFonts w:cs="Arial"/>
          <w:szCs w:val="22"/>
        </w:rPr>
        <w:t>29 years (29 per cent of all migrants compared with 22 per cent of all graduates).</w:t>
      </w:r>
    </w:p>
    <w:p w14:paraId="344E0631" w14:textId="77777777" w:rsidR="009B4045" w:rsidRDefault="009B4045" w:rsidP="009B4045">
      <w:pPr>
        <w:rPr>
          <w:rFonts w:cs="Arial"/>
          <w:szCs w:val="22"/>
        </w:rPr>
      </w:pPr>
      <w:r>
        <w:rPr>
          <w:rFonts w:cs="Arial"/>
          <w:szCs w:val="22"/>
        </w:rPr>
        <w:t xml:space="preserve">The high proportion of APTC graduates outside these prime ages for migration is one factor that may have discouraged the migration of many APTC graduates. Seven-in-ten enrolled students have been aged 30 years or more and close to half of the APTC have been aged over 35 years of age. </w:t>
      </w:r>
    </w:p>
    <w:p w14:paraId="305056A6" w14:textId="77777777" w:rsidR="009B4045" w:rsidRDefault="009B4045" w:rsidP="009B4045">
      <w:pPr>
        <w:rPr>
          <w:rFonts w:cs="Arial"/>
          <w:szCs w:val="22"/>
        </w:rPr>
      </w:pPr>
      <w:r>
        <w:rPr>
          <w:rFonts w:cs="Arial"/>
          <w:szCs w:val="22"/>
        </w:rPr>
        <w:t>One factor that disposes the 25</w:t>
      </w:r>
      <w:r w:rsidR="00F444F6">
        <w:rPr>
          <w:rFonts w:cs="Arial"/>
          <w:szCs w:val="22"/>
        </w:rPr>
        <w:t>–</w:t>
      </w:r>
      <w:r>
        <w:rPr>
          <w:rFonts w:cs="Arial"/>
          <w:szCs w:val="22"/>
        </w:rPr>
        <w:t xml:space="preserve">34 year age group of APTC graduates to migrate is being an established existing employee with the savings to migrate. An existing employee in a junior position and lower end of the wage scale also has a strong economic incentive to migrate. This age group is also more likely to be married but with young children who </w:t>
      </w:r>
      <w:r w:rsidR="00151BA0">
        <w:rPr>
          <w:rFonts w:cs="Arial"/>
          <w:szCs w:val="22"/>
        </w:rPr>
        <w:t>are not yet settled in</w:t>
      </w:r>
      <w:r>
        <w:rPr>
          <w:rFonts w:cs="Arial"/>
          <w:szCs w:val="22"/>
        </w:rPr>
        <w:t xml:space="preserve"> school. In contrast, APTC graduates in older age groups are much more likely to be settled and hence have a disincentive to migrate. They are likely to have a more senior position at work and earn</w:t>
      </w:r>
      <w:r w:rsidR="001D2ABE">
        <w:rPr>
          <w:rFonts w:cs="Arial"/>
          <w:szCs w:val="22"/>
        </w:rPr>
        <w:t xml:space="preserve"> a</w:t>
      </w:r>
      <w:r>
        <w:rPr>
          <w:rFonts w:cs="Arial"/>
          <w:szCs w:val="22"/>
        </w:rPr>
        <w:t xml:space="preserve"> higher pay. Their children will be in higher levels at school and they and their families have ties which embed them more in the community. Younger APTC graduates also have a disincentive to migrate if they have had limited employment experience before APTC. This absence of an employment record or the savings makes it much harder for them to decide to migrate. </w:t>
      </w:r>
    </w:p>
    <w:p w14:paraId="1518F7C6" w14:textId="102E7E7A" w:rsidR="003D355F" w:rsidRDefault="005A4C2B" w:rsidP="002028A6">
      <w:pPr>
        <w:pStyle w:val="Heading1"/>
      </w:pPr>
      <w:bookmarkStart w:id="779" w:name="_Toc278447942"/>
      <w:bookmarkStart w:id="780" w:name="_Toc278453415"/>
      <w:r>
        <w:t xml:space="preserve">4 </w:t>
      </w:r>
      <w:r w:rsidR="000C0476">
        <w:tab/>
      </w:r>
      <w:r w:rsidR="009B4045">
        <w:t xml:space="preserve">Differences between </w:t>
      </w:r>
      <w:r w:rsidR="001F5811">
        <w:t>Stage I</w:t>
      </w:r>
      <w:r w:rsidR="009B4045">
        <w:t xml:space="preserve"> and </w:t>
      </w:r>
      <w:r w:rsidR="00AA7298">
        <w:t xml:space="preserve">II </w:t>
      </w:r>
      <w:r w:rsidR="009B4045">
        <w:t>graduates</w:t>
      </w:r>
      <w:bookmarkEnd w:id="779"/>
      <w:bookmarkEnd w:id="780"/>
    </w:p>
    <w:p w14:paraId="79E615C2" w14:textId="77777777" w:rsidR="009B4045" w:rsidRPr="00FA415D" w:rsidRDefault="009B4045" w:rsidP="009B4045">
      <w:pPr>
        <w:rPr>
          <w:rFonts w:cs="Arial"/>
          <w:szCs w:val="22"/>
        </w:rPr>
      </w:pPr>
      <w:r>
        <w:rPr>
          <w:rFonts w:cs="Arial"/>
          <w:szCs w:val="22"/>
        </w:rPr>
        <w:t xml:space="preserve">Three-out-of-four APTC migrants (75 per cent) are from Stage </w:t>
      </w:r>
      <w:r w:rsidR="00AA7298">
        <w:rPr>
          <w:rFonts w:cs="Arial"/>
          <w:szCs w:val="22"/>
        </w:rPr>
        <w:t>I</w:t>
      </w:r>
      <w:r w:rsidR="00372B0B">
        <w:rPr>
          <w:rFonts w:cs="Arial"/>
          <w:szCs w:val="22"/>
        </w:rPr>
        <w:t xml:space="preserve"> </w:t>
      </w:r>
      <w:r>
        <w:rPr>
          <w:rFonts w:cs="Arial"/>
          <w:szCs w:val="22"/>
        </w:rPr>
        <w:t xml:space="preserve">and one-in-four are from </w:t>
      </w:r>
      <w:r w:rsidR="001F5811">
        <w:rPr>
          <w:rFonts w:cs="Arial"/>
          <w:szCs w:val="22"/>
        </w:rPr>
        <w:t>Stage II</w:t>
      </w:r>
      <w:r>
        <w:rPr>
          <w:rFonts w:cs="Arial"/>
          <w:szCs w:val="22"/>
        </w:rPr>
        <w:t xml:space="preserve">. This compares with 57 per cent of APTC students in </w:t>
      </w:r>
      <w:r w:rsidR="001F5811">
        <w:rPr>
          <w:rFonts w:cs="Arial"/>
          <w:szCs w:val="22"/>
        </w:rPr>
        <w:t>Stage I</w:t>
      </w:r>
      <w:r>
        <w:rPr>
          <w:rFonts w:cs="Arial"/>
          <w:szCs w:val="22"/>
        </w:rPr>
        <w:t xml:space="preserve"> and 43</w:t>
      </w:r>
      <w:r w:rsidR="00372B0B">
        <w:rPr>
          <w:rFonts w:cs="Arial"/>
          <w:szCs w:val="22"/>
        </w:rPr>
        <w:t> </w:t>
      </w:r>
      <w:r>
        <w:rPr>
          <w:rFonts w:cs="Arial"/>
          <w:szCs w:val="22"/>
        </w:rPr>
        <w:t>per</w:t>
      </w:r>
      <w:r w:rsidR="00372B0B">
        <w:rPr>
          <w:rFonts w:cs="Arial"/>
          <w:szCs w:val="22"/>
        </w:rPr>
        <w:t> </w:t>
      </w:r>
      <w:r>
        <w:rPr>
          <w:rFonts w:cs="Arial"/>
          <w:szCs w:val="22"/>
        </w:rPr>
        <w:t xml:space="preserve">cent to December 2013 in Stage </w:t>
      </w:r>
      <w:r w:rsidR="00AA7298">
        <w:rPr>
          <w:rFonts w:cs="Arial"/>
          <w:szCs w:val="22"/>
        </w:rPr>
        <w:t>II</w:t>
      </w:r>
      <w:r>
        <w:rPr>
          <w:rFonts w:cs="Arial"/>
          <w:szCs w:val="22"/>
        </w:rPr>
        <w:t xml:space="preserve">. The larger share of APTC migrants from Stage </w:t>
      </w:r>
      <w:r w:rsidR="00B83DBA">
        <w:rPr>
          <w:rFonts w:cs="Arial"/>
          <w:szCs w:val="22"/>
        </w:rPr>
        <w:t>I</w:t>
      </w:r>
      <w:r w:rsidR="00DF68B6">
        <w:rPr>
          <w:rFonts w:cs="Arial"/>
          <w:szCs w:val="22"/>
        </w:rPr>
        <w:t xml:space="preserve"> </w:t>
      </w:r>
      <w:r>
        <w:rPr>
          <w:rFonts w:cs="Arial"/>
          <w:szCs w:val="22"/>
        </w:rPr>
        <w:t xml:space="preserve">may indicate that the decision to migrate increases with the length of time after graduation. This is consistent with the requirement in many cases for ‘post qualification relevant employment’ for skills-based migrant entry to Australia. It may also indicate that APTC gave more emphasis to the labour mobility objective in </w:t>
      </w:r>
      <w:r w:rsidR="001F5811">
        <w:rPr>
          <w:rFonts w:cs="Arial"/>
          <w:szCs w:val="22"/>
        </w:rPr>
        <w:t>Stage I</w:t>
      </w:r>
      <w:r>
        <w:rPr>
          <w:rFonts w:cs="Arial"/>
          <w:szCs w:val="22"/>
        </w:rPr>
        <w:t xml:space="preserve"> than in </w:t>
      </w:r>
      <w:r w:rsidR="001F5811">
        <w:rPr>
          <w:rFonts w:cs="Arial"/>
          <w:szCs w:val="22"/>
        </w:rPr>
        <w:t>Stage</w:t>
      </w:r>
      <w:r w:rsidR="00AA7298">
        <w:rPr>
          <w:rFonts w:cs="Arial"/>
          <w:szCs w:val="22"/>
        </w:rPr>
        <w:t> </w:t>
      </w:r>
      <w:r w:rsidR="001F5811">
        <w:rPr>
          <w:rFonts w:cs="Arial"/>
          <w:szCs w:val="22"/>
        </w:rPr>
        <w:t>II</w:t>
      </w:r>
      <w:r>
        <w:rPr>
          <w:rFonts w:cs="Arial"/>
          <w:szCs w:val="22"/>
        </w:rPr>
        <w:t xml:space="preserve">. </w:t>
      </w:r>
      <w:r w:rsidRPr="00FA415D">
        <w:rPr>
          <w:rFonts w:cs="Arial"/>
          <w:szCs w:val="22"/>
        </w:rPr>
        <w:t xml:space="preserve">This is suggested by the fact that the proportion of graduates from Stage </w:t>
      </w:r>
      <w:r w:rsidR="00AA7298">
        <w:rPr>
          <w:rFonts w:cs="Arial"/>
          <w:szCs w:val="22"/>
        </w:rPr>
        <w:t>I</w:t>
      </w:r>
      <w:r w:rsidR="00DF68B6" w:rsidRPr="00FA415D">
        <w:rPr>
          <w:rFonts w:cs="Arial"/>
          <w:szCs w:val="22"/>
        </w:rPr>
        <w:t xml:space="preserve"> </w:t>
      </w:r>
      <w:r w:rsidRPr="00FA415D">
        <w:rPr>
          <w:rFonts w:cs="Arial"/>
          <w:szCs w:val="22"/>
        </w:rPr>
        <w:t xml:space="preserve">in eligible occupations and the required qualification level to migrate fell from 49 per cent to 42 per cent in Stage </w:t>
      </w:r>
      <w:r w:rsidR="00AA7298">
        <w:rPr>
          <w:rFonts w:cs="Arial"/>
          <w:szCs w:val="22"/>
        </w:rPr>
        <w:t>II</w:t>
      </w:r>
      <w:r w:rsidRPr="00FA415D">
        <w:rPr>
          <w:rFonts w:cs="Arial"/>
          <w:szCs w:val="22"/>
        </w:rPr>
        <w:t xml:space="preserve">. </w:t>
      </w:r>
    </w:p>
    <w:p w14:paraId="0ADDA17A" w14:textId="62B6D44D" w:rsidR="003D355F" w:rsidRDefault="005A4C2B" w:rsidP="002028A6">
      <w:pPr>
        <w:pStyle w:val="Heading1"/>
      </w:pPr>
      <w:bookmarkStart w:id="781" w:name="_Toc278447943"/>
      <w:bookmarkStart w:id="782" w:name="_Toc278453416"/>
      <w:r>
        <w:t xml:space="preserve">5 </w:t>
      </w:r>
      <w:r w:rsidR="000C0476">
        <w:tab/>
      </w:r>
      <w:r w:rsidR="009B4045">
        <w:t>Reasons given for migration</w:t>
      </w:r>
      <w:bookmarkEnd w:id="781"/>
      <w:bookmarkEnd w:id="782"/>
    </w:p>
    <w:p w14:paraId="73886B4E" w14:textId="77777777" w:rsidR="009B4045" w:rsidRDefault="009B4045" w:rsidP="009B4045">
      <w:r>
        <w:rPr>
          <w:rFonts w:cs="Arial"/>
          <w:szCs w:val="22"/>
        </w:rPr>
        <w:t>Employment is not the only reason for APTC graduates to migrate. Further study is also important, especially to New Zealand. The APTC database on graduates who have migrated only has information on reason for migration for two-out-of-three APTC migrants. Only three-in-five (62 per cent) APTC migrants have done so for employment reasons and one-in-three have migrated for further study. Of the APTC migrants who have gone to Australia, two-in-three have migrated for employment and a third for further study. However, for New Zealand a different pattern is evident. Near to three-in-five APTC migrants (57 per</w:t>
      </w:r>
      <w:r w:rsidR="00132B76">
        <w:rPr>
          <w:rFonts w:cs="Arial"/>
          <w:szCs w:val="22"/>
        </w:rPr>
        <w:t xml:space="preserve"> </w:t>
      </w:r>
      <w:r>
        <w:rPr>
          <w:rFonts w:cs="Arial"/>
          <w:szCs w:val="22"/>
        </w:rPr>
        <w:t xml:space="preserve">cent) have migrated for further study and only two-in-five (43 per cent) have migrated for employment. </w:t>
      </w:r>
    </w:p>
    <w:p w14:paraId="5389930F" w14:textId="1AFB80D7" w:rsidR="003D355F" w:rsidRDefault="005A4C2B" w:rsidP="002028A6">
      <w:pPr>
        <w:pStyle w:val="Heading1"/>
      </w:pPr>
      <w:bookmarkStart w:id="783" w:name="_Toc278447944"/>
      <w:bookmarkStart w:id="784" w:name="_Toc278453417"/>
      <w:r>
        <w:rPr>
          <w:szCs w:val="22"/>
        </w:rPr>
        <w:t xml:space="preserve">6 </w:t>
      </w:r>
      <w:bookmarkStart w:id="785" w:name="Broad_field_of_study_"/>
      <w:bookmarkEnd w:id="785"/>
      <w:r w:rsidR="000C0476">
        <w:rPr>
          <w:szCs w:val="22"/>
        </w:rPr>
        <w:tab/>
      </w:r>
      <w:r w:rsidR="009B4045">
        <w:t>Qualifications of APTC migrants</w:t>
      </w:r>
      <w:bookmarkEnd w:id="783"/>
      <w:bookmarkEnd w:id="784"/>
    </w:p>
    <w:p w14:paraId="5FDB8CE0" w14:textId="77777777" w:rsidR="009B4045" w:rsidRDefault="009B4045" w:rsidP="009B4045">
      <w:r>
        <w:rPr>
          <w:rFonts w:cs="Arial"/>
          <w:szCs w:val="22"/>
        </w:rPr>
        <w:t xml:space="preserve">The largest number of APTC migrants </w:t>
      </w:r>
      <w:r w:rsidR="00926B5E">
        <w:rPr>
          <w:rFonts w:cs="Arial"/>
          <w:szCs w:val="22"/>
        </w:rPr>
        <w:t xml:space="preserve">has </w:t>
      </w:r>
      <w:r>
        <w:rPr>
          <w:rFonts w:cs="Arial"/>
          <w:szCs w:val="22"/>
        </w:rPr>
        <w:t xml:space="preserve">qualifications obtained in SHCS. However, this simply reflects the larger share of graduates from this School. More APTC graduates with trades-based qualifications have </w:t>
      </w:r>
      <w:r w:rsidRPr="00316BFC">
        <w:rPr>
          <w:rFonts w:cs="Arial"/>
          <w:szCs w:val="22"/>
        </w:rPr>
        <w:t>migrate</w:t>
      </w:r>
      <w:r>
        <w:rPr>
          <w:rFonts w:cs="Arial"/>
          <w:szCs w:val="22"/>
        </w:rPr>
        <w:t xml:space="preserve">d compared with their share of APTC graduates (40 and 34 per cent respectively). </w:t>
      </w:r>
    </w:p>
    <w:p w14:paraId="04B852D5" w14:textId="77777777" w:rsidR="009B4045" w:rsidRDefault="009B4045" w:rsidP="009B4045">
      <w:r>
        <w:rPr>
          <w:rFonts w:cs="Arial"/>
          <w:szCs w:val="22"/>
        </w:rPr>
        <w:t xml:space="preserve">In terms of migration to Australia, the largest group </w:t>
      </w:r>
      <w:r w:rsidR="00B578A0">
        <w:rPr>
          <w:rFonts w:cs="Arial"/>
          <w:szCs w:val="22"/>
        </w:rPr>
        <w:t xml:space="preserve">is </w:t>
      </w:r>
      <w:r>
        <w:rPr>
          <w:rFonts w:cs="Arial"/>
          <w:szCs w:val="22"/>
        </w:rPr>
        <w:t xml:space="preserve">trades-based, accounting for nearly half (46 per cent) of the qualifications of APTC migrants to Australia. The next largest group </w:t>
      </w:r>
      <w:r w:rsidR="00B578A0">
        <w:rPr>
          <w:rFonts w:cs="Arial"/>
          <w:szCs w:val="22"/>
        </w:rPr>
        <w:t xml:space="preserve">has </w:t>
      </w:r>
      <w:r>
        <w:rPr>
          <w:rFonts w:cs="Arial"/>
          <w:szCs w:val="22"/>
        </w:rPr>
        <w:t xml:space="preserve">qualifications related to tourism and hospitality. Three qualifications, </w:t>
      </w:r>
      <w:r w:rsidR="0088747B">
        <w:rPr>
          <w:rFonts w:cs="Arial"/>
          <w:szCs w:val="22"/>
        </w:rPr>
        <w:t xml:space="preserve">Certificates III </w:t>
      </w:r>
      <w:r>
        <w:rPr>
          <w:rFonts w:cs="Arial"/>
          <w:szCs w:val="22"/>
        </w:rPr>
        <w:t xml:space="preserve">in </w:t>
      </w:r>
      <w:r w:rsidR="0088747B">
        <w:rPr>
          <w:rFonts w:cs="Arial"/>
          <w:szCs w:val="22"/>
        </w:rPr>
        <w:t>Tourism</w:t>
      </w:r>
      <w:r>
        <w:rPr>
          <w:rFonts w:cs="Arial"/>
          <w:szCs w:val="22"/>
        </w:rPr>
        <w:t xml:space="preserve">, </w:t>
      </w:r>
      <w:r w:rsidR="0088747B">
        <w:rPr>
          <w:rFonts w:cs="Arial"/>
          <w:szCs w:val="22"/>
        </w:rPr>
        <w:t>Hospitality</w:t>
      </w:r>
      <w:r>
        <w:rPr>
          <w:rFonts w:cs="Arial"/>
          <w:szCs w:val="22"/>
        </w:rPr>
        <w:t xml:space="preserve">, and </w:t>
      </w:r>
      <w:r w:rsidR="0088747B">
        <w:rPr>
          <w:rFonts w:cs="Arial"/>
          <w:szCs w:val="22"/>
        </w:rPr>
        <w:t xml:space="preserve">Hospitality </w:t>
      </w:r>
      <w:r>
        <w:rPr>
          <w:rFonts w:cs="Arial"/>
          <w:szCs w:val="22"/>
        </w:rPr>
        <w:t>(</w:t>
      </w:r>
      <w:r w:rsidR="0088747B">
        <w:rPr>
          <w:rFonts w:cs="Arial"/>
          <w:szCs w:val="22"/>
        </w:rPr>
        <w:t>Supervision</w:t>
      </w:r>
      <w:r>
        <w:rPr>
          <w:rFonts w:cs="Arial"/>
          <w:szCs w:val="22"/>
        </w:rPr>
        <w:t xml:space="preserve">) account for over one-in-five (22 per cent) of the qualifications of all APTC migrants to Australia. These occupations are not eligible occupations for skilled migrant entry as a primary applicant. So these APTC graduates are not likely to have gained entry to work in Australia through the skilled migrant visa. This is despite the fact that employment was given as their reason for migrating. </w:t>
      </w:r>
    </w:p>
    <w:p w14:paraId="2E4E669C" w14:textId="5E6F5BF7" w:rsidR="009B4045" w:rsidRDefault="009B4045" w:rsidP="009B4045">
      <w:pPr>
        <w:rPr>
          <w:rFonts w:cs="Arial"/>
          <w:szCs w:val="22"/>
        </w:rPr>
      </w:pPr>
      <w:r>
        <w:rPr>
          <w:rFonts w:cs="Arial"/>
          <w:szCs w:val="22"/>
        </w:rPr>
        <w:t xml:space="preserve">In the case of APTC migrants going to New Zealand, the most common APTC qualification is the </w:t>
      </w:r>
      <w:r w:rsidR="003272C3">
        <w:rPr>
          <w:rFonts w:cs="Arial"/>
          <w:szCs w:val="22"/>
        </w:rPr>
        <w:t xml:space="preserve">Certificate </w:t>
      </w:r>
      <w:r>
        <w:rPr>
          <w:rFonts w:cs="Arial"/>
          <w:szCs w:val="22"/>
        </w:rPr>
        <w:t xml:space="preserve">IV in </w:t>
      </w:r>
      <w:r w:rsidR="003272C3">
        <w:rPr>
          <w:rFonts w:cs="Arial"/>
          <w:szCs w:val="22"/>
        </w:rPr>
        <w:t xml:space="preserve">Training </w:t>
      </w:r>
      <w:r>
        <w:rPr>
          <w:rFonts w:cs="Arial"/>
          <w:szCs w:val="22"/>
        </w:rPr>
        <w:t xml:space="preserve">and </w:t>
      </w:r>
      <w:r w:rsidR="003272C3">
        <w:rPr>
          <w:rFonts w:cs="Arial"/>
          <w:szCs w:val="22"/>
        </w:rPr>
        <w:t>Assessment</w:t>
      </w:r>
      <w:r>
        <w:rPr>
          <w:rFonts w:cs="Arial"/>
          <w:szCs w:val="22"/>
        </w:rPr>
        <w:t xml:space="preserve">, accounting for one-in-five migrants. Most of these certificate holders (80 per cent) had further education as the reason for migrating. This may be due to </w:t>
      </w:r>
      <w:r w:rsidR="001717BF">
        <w:rPr>
          <w:rFonts w:cs="Arial"/>
          <w:szCs w:val="22"/>
        </w:rPr>
        <w:t xml:space="preserve">the </w:t>
      </w:r>
      <w:r>
        <w:rPr>
          <w:rFonts w:cs="Arial"/>
          <w:szCs w:val="22"/>
        </w:rPr>
        <w:t xml:space="preserve">close ties </w:t>
      </w:r>
      <w:r w:rsidR="001717BF">
        <w:rPr>
          <w:rFonts w:cs="Arial"/>
          <w:szCs w:val="22"/>
        </w:rPr>
        <w:t xml:space="preserve">with </w:t>
      </w:r>
      <w:r>
        <w:rPr>
          <w:rFonts w:cs="Arial"/>
          <w:szCs w:val="22"/>
        </w:rPr>
        <w:t>some countries such as Samoa and Tonga have with New Zealand educational institutions. The next largest group of the APTC migrants to New Zealand have qualifications re</w:t>
      </w:r>
      <w:r w:rsidR="00BE58BE">
        <w:rPr>
          <w:rFonts w:cs="Arial"/>
          <w:szCs w:val="22"/>
        </w:rPr>
        <w:t xml:space="preserve">lated to hospitality </w:t>
      </w:r>
      <w:r w:rsidR="00AF4BB5">
        <w:rPr>
          <w:rFonts w:cs="Arial"/>
          <w:szCs w:val="22"/>
        </w:rPr>
        <w:t xml:space="preserve">including </w:t>
      </w:r>
      <w:r>
        <w:rPr>
          <w:rFonts w:cs="Arial"/>
          <w:szCs w:val="22"/>
        </w:rPr>
        <w:t xml:space="preserve">commercial cookery, hospitality, patisserie, and hospitality (supervision). The trades-based qualifications account for only one-in-four (27 per cent) of all APTC migrants to New Zealand. </w:t>
      </w:r>
    </w:p>
    <w:p w14:paraId="10C32F1D" w14:textId="3D8A7D0A" w:rsidR="003D355F" w:rsidRDefault="005A4C2B" w:rsidP="002028A6">
      <w:pPr>
        <w:pStyle w:val="Heading1"/>
      </w:pPr>
      <w:bookmarkStart w:id="786" w:name="_Toc278447945"/>
      <w:bookmarkStart w:id="787" w:name="_Toc278453418"/>
      <w:r>
        <w:t xml:space="preserve">7 </w:t>
      </w:r>
      <w:r w:rsidR="000C0476">
        <w:tab/>
      </w:r>
      <w:r w:rsidR="009B4045">
        <w:t>Is language a barrier to migration?</w:t>
      </w:r>
      <w:bookmarkEnd w:id="786"/>
      <w:bookmarkEnd w:id="787"/>
    </w:p>
    <w:p w14:paraId="2AF3271B" w14:textId="77777777" w:rsidR="009B4045" w:rsidRDefault="009B4045" w:rsidP="009B4045">
      <w:pPr>
        <w:rPr>
          <w:rFonts w:cs="Arial"/>
          <w:szCs w:val="22"/>
        </w:rPr>
      </w:pPr>
      <w:r>
        <w:rPr>
          <w:rFonts w:cs="Arial"/>
          <w:szCs w:val="22"/>
        </w:rPr>
        <w:t xml:space="preserve">APTC test scores for language ability show that APTC graduates with trade qualifications had a higher standard of English when they applied to APTC than other APTC applicants. In addition, APTC graduates who have migrated had a higher English score (and lower standard deviation around that score) when they applied to APTC compared to their peers. A higher standard of English prior to starting at APTC may be </w:t>
      </w:r>
      <w:r w:rsidR="00C95400">
        <w:rPr>
          <w:rFonts w:cs="Arial"/>
          <w:szCs w:val="22"/>
        </w:rPr>
        <w:t xml:space="preserve">an </w:t>
      </w:r>
      <w:r>
        <w:rPr>
          <w:rFonts w:cs="Arial"/>
          <w:szCs w:val="22"/>
        </w:rPr>
        <w:t xml:space="preserve">important factor predisposing a trade-qualified APTC graduate to migrate. </w:t>
      </w:r>
    </w:p>
    <w:p w14:paraId="4D231B51" w14:textId="77777777" w:rsidR="000C0476" w:rsidRPr="000C0476" w:rsidRDefault="000C0476" w:rsidP="009B4045">
      <w:pPr>
        <w:rPr>
          <w:rFonts w:cs="Arial"/>
          <w:sz w:val="2"/>
          <w:szCs w:val="22"/>
        </w:rPr>
      </w:pPr>
    </w:p>
    <w:p w14:paraId="4D2FF9CB" w14:textId="04EBC6AC" w:rsidR="003D355F" w:rsidRDefault="005A4C2B" w:rsidP="002028A6">
      <w:pPr>
        <w:pStyle w:val="Heading1"/>
      </w:pPr>
      <w:bookmarkStart w:id="788" w:name="_Toc278447946"/>
      <w:bookmarkStart w:id="789" w:name="_Toc278453419"/>
      <w:r>
        <w:t xml:space="preserve">8 </w:t>
      </w:r>
      <w:r w:rsidR="000C0476">
        <w:tab/>
      </w:r>
      <w:r w:rsidR="009B4045" w:rsidRPr="00631294">
        <w:t xml:space="preserve">What were the major factors influencing </w:t>
      </w:r>
      <w:r w:rsidR="009B4045">
        <w:t xml:space="preserve">APTC graduates </w:t>
      </w:r>
      <w:r w:rsidR="009B4045" w:rsidRPr="00631294">
        <w:t>choices?</w:t>
      </w:r>
      <w:bookmarkEnd w:id="788"/>
      <w:bookmarkEnd w:id="789"/>
      <w:r w:rsidR="009B4045" w:rsidRPr="00631294">
        <w:t xml:space="preserve"> </w:t>
      </w:r>
    </w:p>
    <w:p w14:paraId="448EC96C" w14:textId="77777777" w:rsidR="009B4045" w:rsidRDefault="009B4045" w:rsidP="009B4045">
      <w:pPr>
        <w:rPr>
          <w:rFonts w:cs="Arial"/>
          <w:szCs w:val="22"/>
        </w:rPr>
      </w:pPr>
      <w:r>
        <w:rPr>
          <w:rFonts w:cs="Arial"/>
          <w:color w:val="000000"/>
          <w:szCs w:val="22"/>
          <w:lang w:eastAsia="en-AU"/>
        </w:rPr>
        <w:t xml:space="preserve">Three </w:t>
      </w:r>
      <w:r w:rsidRPr="009E2B8F">
        <w:rPr>
          <w:rFonts w:cs="Arial"/>
          <w:color w:val="000000"/>
          <w:szCs w:val="22"/>
          <w:lang w:eastAsia="en-AU"/>
        </w:rPr>
        <w:t xml:space="preserve">factors have a strong influence over the </w:t>
      </w:r>
      <w:r>
        <w:rPr>
          <w:rFonts w:cs="Arial"/>
          <w:color w:val="000000"/>
          <w:szCs w:val="22"/>
          <w:lang w:eastAsia="en-AU"/>
        </w:rPr>
        <w:t xml:space="preserve">APTC graduate’s </w:t>
      </w:r>
      <w:r w:rsidRPr="009E2B8F">
        <w:rPr>
          <w:rFonts w:cs="Arial"/>
          <w:color w:val="000000"/>
          <w:szCs w:val="22"/>
          <w:lang w:eastAsia="en-AU"/>
        </w:rPr>
        <w:t xml:space="preserve">decision to migrate. </w:t>
      </w:r>
      <w:r>
        <w:rPr>
          <w:rFonts w:cs="Arial"/>
          <w:color w:val="000000"/>
          <w:szCs w:val="22"/>
          <w:lang w:eastAsia="en-AU"/>
        </w:rPr>
        <w:t xml:space="preserve">The first </w:t>
      </w:r>
      <w:r>
        <w:rPr>
          <w:rFonts w:cs="Arial"/>
          <w:szCs w:val="22"/>
        </w:rPr>
        <w:t xml:space="preserve">is the pull of diaspora in the destination country. Second is ease of access to the destination country and third is the role of intermediaries in facilitating the migration. </w:t>
      </w:r>
    </w:p>
    <w:p w14:paraId="34D2048F" w14:textId="679A4E5A" w:rsidR="009B4045" w:rsidRPr="009E2B8F" w:rsidRDefault="009B4045" w:rsidP="009B4045">
      <w:pPr>
        <w:rPr>
          <w:rFonts w:cs="Arial"/>
          <w:color w:val="000000"/>
          <w:szCs w:val="22"/>
          <w:lang w:eastAsia="en-AU"/>
        </w:rPr>
      </w:pPr>
      <w:r>
        <w:rPr>
          <w:rFonts w:cs="Arial"/>
          <w:color w:val="000000"/>
          <w:szCs w:val="22"/>
          <w:lang w:eastAsia="en-AU"/>
        </w:rPr>
        <w:t>T</w:t>
      </w:r>
      <w:r w:rsidRPr="009E2B8F">
        <w:rPr>
          <w:rFonts w:cs="Arial"/>
          <w:color w:val="000000"/>
          <w:szCs w:val="22"/>
          <w:lang w:eastAsia="en-AU"/>
        </w:rPr>
        <w:t>he size of the dia</w:t>
      </w:r>
      <w:r>
        <w:rPr>
          <w:rFonts w:cs="Arial"/>
          <w:color w:val="000000"/>
          <w:szCs w:val="22"/>
          <w:lang w:eastAsia="en-AU"/>
        </w:rPr>
        <w:t xml:space="preserve">spora in the destination country is a strong pull factor. As noted above, </w:t>
      </w:r>
      <w:r>
        <w:rPr>
          <w:rFonts w:cs="Arial"/>
          <w:szCs w:val="22"/>
        </w:rPr>
        <w:t xml:space="preserve">Samoan APTC graduates are over-represented in the migrant stream compared with their share of all APTC graduates. The </w:t>
      </w:r>
      <w:r w:rsidRPr="009E2B8F">
        <w:rPr>
          <w:rFonts w:cs="Arial"/>
          <w:color w:val="000000"/>
          <w:szCs w:val="22"/>
          <w:lang w:eastAsia="en-AU"/>
        </w:rPr>
        <w:t>ease of entry for migrants from some Pacific countries to New Zealand</w:t>
      </w:r>
      <w:r>
        <w:rPr>
          <w:rFonts w:cs="Arial"/>
          <w:color w:val="000000"/>
          <w:szCs w:val="22"/>
          <w:lang w:eastAsia="en-AU"/>
        </w:rPr>
        <w:t>,</w:t>
      </w:r>
      <w:r w:rsidRPr="009E2B8F">
        <w:rPr>
          <w:rFonts w:cs="Arial"/>
          <w:color w:val="000000"/>
          <w:szCs w:val="22"/>
          <w:lang w:eastAsia="en-AU"/>
        </w:rPr>
        <w:t xml:space="preserve"> and via New Zealand, to Australia</w:t>
      </w:r>
      <w:r>
        <w:rPr>
          <w:rFonts w:cs="Arial"/>
          <w:color w:val="000000"/>
          <w:szCs w:val="22"/>
          <w:lang w:eastAsia="en-AU"/>
        </w:rPr>
        <w:t xml:space="preserve"> means </w:t>
      </w:r>
      <w:r w:rsidRPr="009E2B8F">
        <w:rPr>
          <w:rFonts w:cs="Arial"/>
          <w:color w:val="000000"/>
          <w:szCs w:val="22"/>
          <w:lang w:eastAsia="en-AU"/>
        </w:rPr>
        <w:t>APTC graduates from Samoa and Tonga are more l</w:t>
      </w:r>
      <w:r>
        <w:rPr>
          <w:rFonts w:cs="Arial"/>
          <w:color w:val="000000"/>
          <w:szCs w:val="22"/>
          <w:lang w:eastAsia="en-AU"/>
        </w:rPr>
        <w:t xml:space="preserve">ikely to migrate to New Zealand. </w:t>
      </w:r>
      <w:r w:rsidR="005546FD">
        <w:rPr>
          <w:rFonts w:cs="Arial"/>
          <w:color w:val="000000"/>
          <w:szCs w:val="22"/>
          <w:lang w:eastAsia="en-AU"/>
        </w:rPr>
        <w:t>New Zealand’s</w:t>
      </w:r>
      <w:r w:rsidR="005546FD" w:rsidRPr="009E2B8F">
        <w:rPr>
          <w:rFonts w:cs="Arial"/>
          <w:color w:val="000000"/>
          <w:szCs w:val="22"/>
          <w:lang w:eastAsia="en-AU"/>
        </w:rPr>
        <w:t xml:space="preserve"> </w:t>
      </w:r>
      <w:r w:rsidRPr="009E2B8F">
        <w:rPr>
          <w:rFonts w:cs="Arial"/>
          <w:color w:val="000000"/>
          <w:szCs w:val="22"/>
          <w:lang w:eastAsia="en-AU"/>
        </w:rPr>
        <w:t xml:space="preserve">special Pacific Access Category visa </w:t>
      </w:r>
      <w:r w:rsidR="00355098">
        <w:rPr>
          <w:rFonts w:cs="Arial"/>
          <w:color w:val="000000"/>
          <w:szCs w:val="22"/>
          <w:lang w:eastAsia="en-AU"/>
        </w:rPr>
        <w:t>for</w:t>
      </w:r>
      <w:r w:rsidRPr="009E2B8F">
        <w:rPr>
          <w:rFonts w:cs="Arial"/>
          <w:color w:val="000000"/>
          <w:szCs w:val="22"/>
          <w:lang w:eastAsia="en-AU"/>
        </w:rPr>
        <w:t xml:space="preserve"> these countries also makes it much easier and cheaper to obtain entry</w:t>
      </w:r>
      <w:r w:rsidR="009E1F3D">
        <w:rPr>
          <w:rFonts w:cs="Arial"/>
          <w:color w:val="000000"/>
          <w:szCs w:val="22"/>
          <w:lang w:eastAsia="en-AU"/>
        </w:rPr>
        <w:t>,</w:t>
      </w:r>
      <w:r w:rsidRPr="009E2B8F">
        <w:rPr>
          <w:rFonts w:cs="Arial"/>
          <w:color w:val="000000"/>
          <w:szCs w:val="22"/>
          <w:lang w:eastAsia="en-AU"/>
        </w:rPr>
        <w:t xml:space="preserve"> compared with the skilled</w:t>
      </w:r>
      <w:r w:rsidR="009E1F3D">
        <w:rPr>
          <w:rFonts w:cs="Arial"/>
          <w:color w:val="000000"/>
          <w:szCs w:val="22"/>
          <w:lang w:eastAsia="en-AU"/>
        </w:rPr>
        <w:t>-</w:t>
      </w:r>
      <w:r w:rsidRPr="009E2B8F">
        <w:rPr>
          <w:rFonts w:cs="Arial"/>
          <w:color w:val="000000"/>
          <w:szCs w:val="22"/>
          <w:lang w:eastAsia="en-AU"/>
        </w:rPr>
        <w:t>based entry requirements for Australia. The Pacific Access Category visa requires the applicant to have a job but there is no skill threshold</w:t>
      </w:r>
      <w:r>
        <w:rPr>
          <w:rFonts w:cs="Arial"/>
          <w:color w:val="000000"/>
          <w:szCs w:val="22"/>
          <w:lang w:eastAsia="en-AU"/>
        </w:rPr>
        <w:t xml:space="preserve"> requirement</w:t>
      </w:r>
      <w:r w:rsidRPr="009E2B8F">
        <w:rPr>
          <w:rFonts w:cs="Arial"/>
          <w:color w:val="000000"/>
          <w:szCs w:val="22"/>
          <w:lang w:eastAsia="en-AU"/>
        </w:rPr>
        <w:t xml:space="preserve"> for this job offer. </w:t>
      </w:r>
      <w:r w:rsidR="00E04778" w:rsidRPr="00E04778">
        <w:rPr>
          <w:rFonts w:cs="Arial"/>
          <w:color w:val="000000"/>
          <w:szCs w:val="22"/>
          <w:lang w:eastAsia="en-AU"/>
        </w:rPr>
        <w:t>Samo</w:t>
      </w:r>
      <w:r w:rsidR="00E04778">
        <w:rPr>
          <w:rFonts w:cs="Arial"/>
          <w:color w:val="000000"/>
          <w:szCs w:val="22"/>
          <w:lang w:eastAsia="en-AU"/>
        </w:rPr>
        <w:t>a and Tonga have large diaspora</w:t>
      </w:r>
      <w:r w:rsidR="00E04778" w:rsidRPr="00E04778">
        <w:rPr>
          <w:rFonts w:cs="Arial"/>
          <w:color w:val="000000"/>
          <w:szCs w:val="22"/>
          <w:lang w:eastAsia="en-AU"/>
        </w:rPr>
        <w:t xml:space="preserve"> in Australia, especially </w:t>
      </w:r>
      <w:r w:rsidR="00C40525">
        <w:rPr>
          <w:rFonts w:cs="Arial"/>
          <w:color w:val="000000"/>
          <w:szCs w:val="22"/>
          <w:lang w:eastAsia="en-AU"/>
        </w:rPr>
        <w:t xml:space="preserve">in light </w:t>
      </w:r>
      <w:r w:rsidR="00E04778" w:rsidRPr="00E04778">
        <w:rPr>
          <w:rFonts w:cs="Arial"/>
          <w:color w:val="000000"/>
          <w:szCs w:val="22"/>
          <w:lang w:eastAsia="en-AU"/>
        </w:rPr>
        <w:t>of their populations.</w:t>
      </w:r>
      <w:r w:rsidR="00E04778" w:rsidRPr="00E04778">
        <w:rPr>
          <w:rFonts w:cs="Arial"/>
          <w:szCs w:val="16"/>
          <w:vertAlign w:val="superscript"/>
          <w:lang w:val="sv-SE" w:eastAsia="sv-SE"/>
        </w:rPr>
        <w:t xml:space="preserve"> </w:t>
      </w:r>
      <w:r w:rsidR="00E04778" w:rsidRPr="00E04778">
        <w:rPr>
          <w:rFonts w:cs="Arial"/>
          <w:szCs w:val="16"/>
          <w:vertAlign w:val="superscript"/>
          <w:lang w:val="sv-SE" w:eastAsia="sv-SE"/>
        </w:rPr>
        <w:footnoteReference w:id="53"/>
      </w:r>
      <w:r w:rsidR="00E04778" w:rsidRPr="00E04778">
        <w:rPr>
          <w:rFonts w:cs="Arial"/>
          <w:color w:val="000000"/>
          <w:szCs w:val="22"/>
          <w:lang w:eastAsia="en-AU"/>
        </w:rPr>
        <w:t xml:space="preserve">  </w:t>
      </w:r>
    </w:p>
    <w:p w14:paraId="7805B0FF" w14:textId="10B67F0E" w:rsidR="009B4045" w:rsidRDefault="009B4045" w:rsidP="009B4045">
      <w:pPr>
        <w:rPr>
          <w:rFonts w:cs="Arial"/>
          <w:color w:val="000000"/>
          <w:szCs w:val="22"/>
          <w:lang w:eastAsia="en-AU"/>
        </w:rPr>
      </w:pPr>
      <w:r w:rsidRPr="009E2B8F">
        <w:rPr>
          <w:rFonts w:cs="Arial"/>
          <w:color w:val="000000"/>
          <w:szCs w:val="22"/>
          <w:lang w:eastAsia="en-AU"/>
        </w:rPr>
        <w:t xml:space="preserve">In contrast, the lower share of APTC migrants </w:t>
      </w:r>
      <w:r>
        <w:rPr>
          <w:rFonts w:cs="Arial"/>
          <w:color w:val="000000"/>
          <w:szCs w:val="22"/>
          <w:lang w:eastAsia="en-AU"/>
        </w:rPr>
        <w:t xml:space="preserve">to Australia </w:t>
      </w:r>
      <w:r w:rsidRPr="009E2B8F">
        <w:rPr>
          <w:rFonts w:cs="Arial"/>
          <w:color w:val="000000"/>
          <w:szCs w:val="22"/>
          <w:lang w:eastAsia="en-AU"/>
        </w:rPr>
        <w:t>from Solomon Islands in particular, followed by Papua New Guinea and Vanuatu reflect much lower historical migrant flows from these countries</w:t>
      </w:r>
      <w:r>
        <w:rPr>
          <w:rFonts w:cs="Arial"/>
          <w:color w:val="000000"/>
          <w:szCs w:val="22"/>
          <w:lang w:eastAsia="en-AU"/>
        </w:rPr>
        <w:t xml:space="preserve"> (Bedford </w:t>
      </w:r>
      <w:r w:rsidR="009E1F3D">
        <w:rPr>
          <w:rFonts w:cs="Arial"/>
          <w:color w:val="000000"/>
          <w:szCs w:val="22"/>
          <w:lang w:eastAsia="en-AU"/>
        </w:rPr>
        <w:t xml:space="preserve">and </w:t>
      </w:r>
      <w:r>
        <w:rPr>
          <w:rFonts w:cs="Arial"/>
          <w:color w:val="000000"/>
          <w:szCs w:val="22"/>
          <w:lang w:eastAsia="en-AU"/>
        </w:rPr>
        <w:t>Hugo 2012, pp</w:t>
      </w:r>
      <w:r w:rsidR="009E1F3D">
        <w:rPr>
          <w:rFonts w:cs="Arial"/>
          <w:color w:val="000000"/>
          <w:szCs w:val="22"/>
          <w:lang w:eastAsia="en-AU"/>
        </w:rPr>
        <w:t>.</w:t>
      </w:r>
      <w:r>
        <w:rPr>
          <w:rFonts w:cs="Arial"/>
          <w:color w:val="000000"/>
          <w:szCs w:val="22"/>
          <w:lang w:eastAsia="en-AU"/>
        </w:rPr>
        <w:t xml:space="preserve"> 54</w:t>
      </w:r>
      <w:r w:rsidR="00D80DA8">
        <w:rPr>
          <w:rFonts w:cs="Arial"/>
          <w:color w:val="000000"/>
          <w:szCs w:val="22"/>
          <w:lang w:eastAsia="en-AU"/>
        </w:rPr>
        <w:t>–</w:t>
      </w:r>
      <w:r>
        <w:rPr>
          <w:rFonts w:cs="Arial"/>
          <w:color w:val="000000"/>
          <w:szCs w:val="22"/>
          <w:lang w:eastAsia="en-AU"/>
        </w:rPr>
        <w:t>55)</w:t>
      </w:r>
      <w:r w:rsidRPr="009E2B8F">
        <w:rPr>
          <w:rFonts w:cs="Arial"/>
          <w:color w:val="000000"/>
          <w:szCs w:val="22"/>
          <w:lang w:eastAsia="en-AU"/>
        </w:rPr>
        <w:t>. The obstacles facing migrants from the Melanesian countries are the reverse of those noted above. The first is the absence of a large diaspora from Solomon Islands and Vanuatu in Australia.</w:t>
      </w:r>
      <w:r w:rsidR="00E04778" w:rsidRPr="00E04778">
        <w:rPr>
          <w:rFonts w:cs="Arial"/>
          <w:szCs w:val="16"/>
          <w:vertAlign w:val="superscript"/>
          <w:lang w:val="sv-SE" w:eastAsia="sv-SE"/>
        </w:rPr>
        <w:footnoteReference w:id="54"/>
      </w:r>
      <w:r w:rsidR="00E04778" w:rsidRPr="00E04778">
        <w:rPr>
          <w:rFonts w:cs="Arial"/>
          <w:color w:val="000000"/>
          <w:szCs w:val="22"/>
          <w:lang w:eastAsia="en-AU"/>
        </w:rPr>
        <w:t xml:space="preserve"> </w:t>
      </w:r>
      <w:r w:rsidRPr="009E2B8F">
        <w:rPr>
          <w:rFonts w:cs="Arial"/>
          <w:color w:val="000000"/>
          <w:szCs w:val="22"/>
          <w:lang w:eastAsia="en-AU"/>
        </w:rPr>
        <w:t xml:space="preserve">The second obstacle is the </w:t>
      </w:r>
      <w:r>
        <w:rPr>
          <w:rFonts w:cs="Arial"/>
          <w:color w:val="000000"/>
          <w:szCs w:val="22"/>
          <w:lang w:eastAsia="en-AU"/>
        </w:rPr>
        <w:t xml:space="preserve">lack of a special access visa and the </w:t>
      </w:r>
      <w:r w:rsidRPr="009E2B8F">
        <w:rPr>
          <w:rFonts w:cs="Arial"/>
          <w:color w:val="000000"/>
          <w:szCs w:val="22"/>
          <w:lang w:eastAsia="en-AU"/>
        </w:rPr>
        <w:t xml:space="preserve">difficulty of meeting the skilled migrant entry requirements. The case of PNG is different because it has a diaspora of some size in Australia and </w:t>
      </w:r>
      <w:r>
        <w:rPr>
          <w:rFonts w:cs="Arial"/>
          <w:color w:val="000000"/>
          <w:szCs w:val="22"/>
          <w:lang w:eastAsia="en-AU"/>
        </w:rPr>
        <w:t xml:space="preserve">a </w:t>
      </w:r>
      <w:r w:rsidRPr="009E2B8F">
        <w:rPr>
          <w:rFonts w:cs="Arial"/>
          <w:color w:val="000000"/>
          <w:szCs w:val="22"/>
          <w:lang w:eastAsia="en-AU"/>
        </w:rPr>
        <w:t>recent significant number of migrants who have gained skilled migrant work in Australia</w:t>
      </w:r>
      <w:r>
        <w:rPr>
          <w:rFonts w:cs="Arial"/>
          <w:color w:val="000000"/>
          <w:szCs w:val="22"/>
          <w:lang w:eastAsia="en-AU"/>
        </w:rPr>
        <w:t xml:space="preserve"> (Filer et al 2013)</w:t>
      </w:r>
      <w:r w:rsidRPr="009E2B8F">
        <w:rPr>
          <w:rFonts w:cs="Arial"/>
          <w:color w:val="000000"/>
          <w:szCs w:val="22"/>
          <w:lang w:eastAsia="en-AU"/>
        </w:rPr>
        <w:t xml:space="preserve">. The role of labour market intermediaries such as labour hire companies </w:t>
      </w:r>
      <w:r w:rsidR="00E04778" w:rsidRPr="00E04778">
        <w:rPr>
          <w:rFonts w:cs="Arial"/>
          <w:color w:val="000000"/>
          <w:szCs w:val="22"/>
          <w:lang w:eastAsia="en-AU"/>
        </w:rPr>
        <w:t xml:space="preserve">in the mining industry in both countries </w:t>
      </w:r>
      <w:r>
        <w:rPr>
          <w:rFonts w:cs="Arial"/>
          <w:color w:val="000000"/>
          <w:szCs w:val="22"/>
          <w:lang w:eastAsia="en-AU"/>
        </w:rPr>
        <w:t xml:space="preserve">may be one factor in </w:t>
      </w:r>
      <w:r w:rsidRPr="009E2B8F">
        <w:rPr>
          <w:rFonts w:cs="Arial"/>
          <w:color w:val="000000"/>
          <w:szCs w:val="22"/>
          <w:lang w:eastAsia="en-AU"/>
        </w:rPr>
        <w:t xml:space="preserve">understanding how PNG skilled migrants overcame the obstacles to skilled migration faced by Solomon Islands and Vanuatu. </w:t>
      </w:r>
    </w:p>
    <w:p w14:paraId="0D6418AE" w14:textId="17277D37" w:rsidR="003D355F" w:rsidRDefault="005A4C2B" w:rsidP="002028A6">
      <w:pPr>
        <w:pStyle w:val="Heading1"/>
        <w:rPr>
          <w:lang w:eastAsia="en-AU"/>
        </w:rPr>
      </w:pPr>
      <w:bookmarkStart w:id="790" w:name="_Toc278447947"/>
      <w:bookmarkStart w:id="791" w:name="_Toc278453420"/>
      <w:r>
        <w:rPr>
          <w:lang w:eastAsia="en-AU"/>
        </w:rPr>
        <w:t xml:space="preserve">9 </w:t>
      </w:r>
      <w:r w:rsidR="00EF35C2">
        <w:rPr>
          <w:lang w:eastAsia="en-AU"/>
        </w:rPr>
        <w:tab/>
      </w:r>
      <w:r w:rsidR="009B4045">
        <w:rPr>
          <w:lang w:eastAsia="en-AU"/>
        </w:rPr>
        <w:t>Obstacles to migration</w:t>
      </w:r>
      <w:bookmarkEnd w:id="790"/>
      <w:bookmarkEnd w:id="791"/>
    </w:p>
    <w:p w14:paraId="5413905E" w14:textId="72F30020" w:rsidR="009B4045" w:rsidRDefault="009B4045" w:rsidP="009B4045">
      <w:pPr>
        <w:rPr>
          <w:rFonts w:cs="Arial"/>
          <w:szCs w:val="22"/>
        </w:rPr>
      </w:pPr>
      <w:r>
        <w:rPr>
          <w:rFonts w:cs="Arial"/>
          <w:szCs w:val="22"/>
        </w:rPr>
        <w:t xml:space="preserve">The 2013 </w:t>
      </w:r>
      <w:r w:rsidR="004D0563">
        <w:rPr>
          <w:rFonts w:cs="Arial"/>
          <w:szCs w:val="22"/>
        </w:rPr>
        <w:t xml:space="preserve">NCVER </w:t>
      </w:r>
      <w:r>
        <w:rPr>
          <w:rFonts w:cs="Arial"/>
          <w:szCs w:val="22"/>
        </w:rPr>
        <w:t>APTC Graduates Down the Track</w:t>
      </w:r>
      <w:r w:rsidR="007D296B">
        <w:rPr>
          <w:rFonts w:cs="Arial"/>
          <w:szCs w:val="22"/>
        </w:rPr>
        <w:t xml:space="preserve"> </w:t>
      </w:r>
      <w:r>
        <w:rPr>
          <w:rFonts w:cs="Arial"/>
          <w:szCs w:val="22"/>
        </w:rPr>
        <w:t xml:space="preserve">survey shows that just under </w:t>
      </w:r>
      <w:r w:rsidR="008547DF">
        <w:rPr>
          <w:rFonts w:cs="Arial"/>
          <w:szCs w:val="22"/>
        </w:rPr>
        <w:br/>
      </w:r>
      <w:r>
        <w:rPr>
          <w:rFonts w:cs="Arial"/>
          <w:szCs w:val="22"/>
        </w:rPr>
        <w:t>one-in-</w:t>
      </w:r>
      <w:r w:rsidR="00980BED">
        <w:rPr>
          <w:rFonts w:cs="Arial"/>
          <w:szCs w:val="22"/>
        </w:rPr>
        <w:t>ten</w:t>
      </w:r>
      <w:r w:rsidR="007B63C9">
        <w:rPr>
          <w:rFonts w:cs="Arial"/>
          <w:szCs w:val="22"/>
        </w:rPr>
        <w:t xml:space="preserve"> </w:t>
      </w:r>
      <w:r>
        <w:rPr>
          <w:rFonts w:cs="Arial"/>
          <w:szCs w:val="22"/>
        </w:rPr>
        <w:t xml:space="preserve">APTC graduates from Stage </w:t>
      </w:r>
      <w:r w:rsidR="005F3A09">
        <w:rPr>
          <w:rFonts w:cs="Arial"/>
          <w:szCs w:val="22"/>
        </w:rPr>
        <w:t>I</w:t>
      </w:r>
      <w:r w:rsidR="007B63C9">
        <w:rPr>
          <w:rFonts w:cs="Arial"/>
          <w:szCs w:val="22"/>
        </w:rPr>
        <w:t xml:space="preserve"> </w:t>
      </w:r>
      <w:r>
        <w:rPr>
          <w:rFonts w:cs="Arial"/>
          <w:szCs w:val="22"/>
        </w:rPr>
        <w:t xml:space="preserve">(8 per cent) had applied to migrate to another country for work and had been unsuccessful. </w:t>
      </w:r>
      <w:r w:rsidR="0073321E" w:rsidRPr="0073321E">
        <w:rPr>
          <w:rFonts w:cs="Arial"/>
          <w:szCs w:val="22"/>
        </w:rPr>
        <w:t xml:space="preserve">Analysis undertaken for this review shows that </w:t>
      </w:r>
      <w:r>
        <w:rPr>
          <w:rFonts w:cs="Arial"/>
          <w:szCs w:val="22"/>
        </w:rPr>
        <w:t xml:space="preserve">Australia was the </w:t>
      </w:r>
      <w:r w:rsidR="00E04778">
        <w:rPr>
          <w:rFonts w:cs="Arial"/>
          <w:szCs w:val="22"/>
        </w:rPr>
        <w:t xml:space="preserve">least successful country for </w:t>
      </w:r>
      <w:r>
        <w:rPr>
          <w:rFonts w:cs="Arial"/>
          <w:szCs w:val="22"/>
        </w:rPr>
        <w:t xml:space="preserve">APTC graduates, accounting for half of the unsuccessful applicants. In contrast, only </w:t>
      </w:r>
      <w:r w:rsidR="0073321E">
        <w:rPr>
          <w:rFonts w:cs="Arial"/>
          <w:szCs w:val="22"/>
        </w:rPr>
        <w:t>four</w:t>
      </w:r>
      <w:r>
        <w:rPr>
          <w:rFonts w:cs="Arial"/>
          <w:szCs w:val="22"/>
        </w:rPr>
        <w:t xml:space="preserve"> per cent of unsuccessful applicants</w:t>
      </w:r>
      <w:r w:rsidRPr="004A7964">
        <w:rPr>
          <w:rFonts w:cs="Arial"/>
          <w:szCs w:val="22"/>
        </w:rPr>
        <w:t xml:space="preserve"> </w:t>
      </w:r>
      <w:r>
        <w:rPr>
          <w:rFonts w:cs="Arial"/>
          <w:szCs w:val="22"/>
        </w:rPr>
        <w:t xml:space="preserve">had applied to migrate to New Zealand. The two most common reasons given for their lack of success were related to immigration requirements (47 per cent) and personal </w:t>
      </w:r>
      <w:r w:rsidR="00C40525">
        <w:rPr>
          <w:rFonts w:cs="Arial"/>
          <w:szCs w:val="22"/>
        </w:rPr>
        <w:t xml:space="preserve">factors </w:t>
      </w:r>
      <w:r>
        <w:rPr>
          <w:rFonts w:cs="Arial"/>
          <w:szCs w:val="22"/>
        </w:rPr>
        <w:t>(</w:t>
      </w:r>
      <w:r w:rsidR="00641D6F">
        <w:rPr>
          <w:rFonts w:cs="Arial"/>
          <w:szCs w:val="22"/>
        </w:rPr>
        <w:t>36 per </w:t>
      </w:r>
      <w:r>
        <w:rPr>
          <w:rFonts w:cs="Arial"/>
          <w:szCs w:val="22"/>
        </w:rPr>
        <w:t xml:space="preserve">cent). </w:t>
      </w:r>
    </w:p>
    <w:p w14:paraId="0D965918" w14:textId="3DEECD7C" w:rsidR="009B4045" w:rsidRDefault="009B4045" w:rsidP="009B4045">
      <w:pPr>
        <w:rPr>
          <w:lang w:eastAsia="en-AU"/>
        </w:rPr>
      </w:pPr>
      <w:r>
        <w:rPr>
          <w:lang w:eastAsia="en-AU"/>
        </w:rPr>
        <w:t>H</w:t>
      </w:r>
      <w:r w:rsidRPr="00A51D96">
        <w:rPr>
          <w:lang w:eastAsia="en-AU"/>
        </w:rPr>
        <w:t xml:space="preserve">alf of </w:t>
      </w:r>
      <w:r>
        <w:rPr>
          <w:lang w:eastAsia="en-AU"/>
        </w:rPr>
        <w:t xml:space="preserve">the 174 </w:t>
      </w:r>
      <w:r w:rsidRPr="00A51D96">
        <w:rPr>
          <w:lang w:eastAsia="en-AU"/>
        </w:rPr>
        <w:t xml:space="preserve">APTC graduates </w:t>
      </w:r>
      <w:r w:rsidRPr="009127B3">
        <w:rPr>
          <w:lang w:eastAsia="en-AU"/>
        </w:rPr>
        <w:t xml:space="preserve">(49 per cent) </w:t>
      </w:r>
      <w:r>
        <w:rPr>
          <w:lang w:eastAsia="en-AU"/>
        </w:rPr>
        <w:t xml:space="preserve">who were </w:t>
      </w:r>
      <w:r w:rsidRPr="00A51D96">
        <w:rPr>
          <w:lang w:eastAsia="en-AU"/>
        </w:rPr>
        <w:t xml:space="preserve">surveyed </w:t>
      </w:r>
      <w:r>
        <w:rPr>
          <w:lang w:eastAsia="en-AU"/>
        </w:rPr>
        <w:t xml:space="preserve">by the review team were </w:t>
      </w:r>
      <w:r w:rsidRPr="00A51D96">
        <w:rPr>
          <w:lang w:eastAsia="en-AU"/>
        </w:rPr>
        <w:t xml:space="preserve">planning to migrate for work </w:t>
      </w:r>
      <w:r>
        <w:rPr>
          <w:lang w:eastAsia="en-AU"/>
        </w:rPr>
        <w:t xml:space="preserve">to Australia, </w:t>
      </w:r>
      <w:r w:rsidRPr="00A51D96">
        <w:rPr>
          <w:lang w:eastAsia="en-AU"/>
        </w:rPr>
        <w:t>and three-in-</w:t>
      </w:r>
      <w:r w:rsidR="00BD0510">
        <w:rPr>
          <w:lang w:eastAsia="en-AU"/>
        </w:rPr>
        <w:t>ten</w:t>
      </w:r>
      <w:r w:rsidR="007B0D5C" w:rsidRPr="00A51D96">
        <w:rPr>
          <w:lang w:eastAsia="en-AU"/>
        </w:rPr>
        <w:t xml:space="preserve"> </w:t>
      </w:r>
      <w:r w:rsidRPr="00A51D96">
        <w:rPr>
          <w:lang w:eastAsia="en-AU"/>
        </w:rPr>
        <w:t>(29 per cent) ha</w:t>
      </w:r>
      <w:r>
        <w:rPr>
          <w:lang w:eastAsia="en-AU"/>
        </w:rPr>
        <w:t xml:space="preserve">d </w:t>
      </w:r>
      <w:r w:rsidRPr="00A51D96">
        <w:rPr>
          <w:lang w:eastAsia="en-AU"/>
        </w:rPr>
        <w:t>taken steps to migrate. Half (48 per cent) of those planning to migrate for work to Australia or New Zealand said they planned to stay there for over five years, one-in-four for four to five years, and one-in-five for one to three years.</w:t>
      </w:r>
      <w:r>
        <w:rPr>
          <w:lang w:eastAsia="en-AU"/>
        </w:rPr>
        <w:t xml:space="preserve"> A smaller number of graduates (94) </w:t>
      </w:r>
      <w:r w:rsidR="007B0D5C">
        <w:rPr>
          <w:lang w:eastAsia="en-AU"/>
        </w:rPr>
        <w:t xml:space="preserve">were </w:t>
      </w:r>
      <w:r>
        <w:rPr>
          <w:lang w:eastAsia="en-AU"/>
        </w:rPr>
        <w:t>asked about actual steps taken to migrate to Australia. O</w:t>
      </w:r>
      <w:r w:rsidRPr="00532080">
        <w:rPr>
          <w:lang w:eastAsia="en-AU"/>
        </w:rPr>
        <w:t>ne-in-five graduates (</w:t>
      </w:r>
      <w:r w:rsidR="005F0031" w:rsidRPr="00532080">
        <w:rPr>
          <w:lang w:eastAsia="en-AU"/>
        </w:rPr>
        <w:t>22</w:t>
      </w:r>
      <w:r w:rsidR="005F0031">
        <w:rPr>
          <w:lang w:eastAsia="en-AU"/>
        </w:rPr>
        <w:t> </w:t>
      </w:r>
      <w:r w:rsidRPr="00532080">
        <w:rPr>
          <w:lang w:eastAsia="en-AU"/>
        </w:rPr>
        <w:t>per cent) had started to apply to migrate online, one-in-six (16 per cent) had asked for help from an immigration agent in Australia and only 7 per cent of graduates had completed the process successfully. Three-in-</w:t>
      </w:r>
      <w:r w:rsidR="001A0525">
        <w:rPr>
          <w:lang w:eastAsia="en-AU"/>
        </w:rPr>
        <w:t>ten</w:t>
      </w:r>
      <w:r w:rsidR="00D75519" w:rsidRPr="00532080">
        <w:rPr>
          <w:lang w:eastAsia="en-AU"/>
        </w:rPr>
        <w:t xml:space="preserve"> </w:t>
      </w:r>
      <w:r w:rsidRPr="00532080">
        <w:rPr>
          <w:lang w:eastAsia="en-AU"/>
        </w:rPr>
        <w:t>graduates had taken other steps.</w:t>
      </w:r>
    </w:p>
    <w:p w14:paraId="5BE49342" w14:textId="77777777" w:rsidR="009B4045" w:rsidRDefault="009B4045" w:rsidP="009B4045">
      <w:pPr>
        <w:rPr>
          <w:lang w:eastAsia="en-AU"/>
        </w:rPr>
      </w:pPr>
      <w:r>
        <w:rPr>
          <w:lang w:eastAsia="en-AU"/>
        </w:rPr>
        <w:t xml:space="preserve">Feedback was </w:t>
      </w:r>
      <w:r>
        <w:rPr>
          <w:rFonts w:cs="Arial"/>
          <w:szCs w:val="22"/>
        </w:rPr>
        <w:t xml:space="preserve">sought from those who wanted to migrate but encountered problems in applying to migrate. </w:t>
      </w:r>
      <w:r>
        <w:t xml:space="preserve">Some 68 APTC graduates gave details of the problems they had encountered. The greatest barrier they identified (34 per cent of the problems mentioned) was the lack of information or a suitable guide to turn to for help. The next two barriers were the cost or lack of finance to apply for a visa and the difficulty of applying for a visa (16 per cent respectively). The lack of a job offer was the next most important barrier identified (13 per cent of the responses), followed by lack of internet access (8 per cent). Other less prominent issues mentioned were: qualification not recognised for entry to Australia or New Zealand (5 per cent), lack of accommodation or contacts (6 per cent) and personal reasons (3 per cent). </w:t>
      </w:r>
    </w:p>
    <w:p w14:paraId="6AF224E3" w14:textId="77777777" w:rsidR="009B4045" w:rsidRDefault="009B4045" w:rsidP="009B4045">
      <w:r>
        <w:t xml:space="preserve">Graduates were asked what steps they could take to overcome the problems they had encountered. The most prominent step they identified was to seek information from the APTC (28 per cent of all proposed steps). A further </w:t>
      </w:r>
      <w:r w:rsidR="00EC03CD">
        <w:t xml:space="preserve">six </w:t>
      </w:r>
      <w:r>
        <w:t xml:space="preserve">per cent of the responses suggested that APTC could help them find a job overseas. Other sources of information referred to were the internet, and government officials from Australia or New Zealand. Some graduates suggested that the APTC alumni association could play a valuable role in providing information and guidance on how to apply to migrate. </w:t>
      </w:r>
    </w:p>
    <w:p w14:paraId="667E1777" w14:textId="77777777" w:rsidR="009B4045" w:rsidRDefault="009B4045" w:rsidP="009B4045">
      <w:r>
        <w:t xml:space="preserve">However, only a few graduates were aware of the importance of getting a job offer first, </w:t>
      </w:r>
      <w:r w:rsidR="00A25C93">
        <w:t xml:space="preserve">and </w:t>
      </w:r>
      <w:r>
        <w:t xml:space="preserve">the need to have the required qualification level or appropriate work experience as basic requirements for approval to enter Australia or New Zealand as a skilled migrant. </w:t>
      </w:r>
    </w:p>
    <w:p w14:paraId="0E572BF1" w14:textId="3DB5D03E" w:rsidR="003D355F" w:rsidRDefault="005A4C2B" w:rsidP="002028A6">
      <w:pPr>
        <w:pStyle w:val="Heading1"/>
      </w:pPr>
      <w:bookmarkStart w:id="792" w:name="_Toc278447948"/>
      <w:bookmarkStart w:id="793" w:name="_Toc278453421"/>
      <w:r>
        <w:t xml:space="preserve">10 </w:t>
      </w:r>
      <w:r w:rsidR="0001376E">
        <w:tab/>
      </w:r>
      <w:r w:rsidR="009B4045" w:rsidRPr="00631294">
        <w:t>Changes in labour market demand</w:t>
      </w:r>
      <w:bookmarkEnd w:id="792"/>
      <w:bookmarkEnd w:id="793"/>
      <w:r w:rsidR="009B4045" w:rsidRPr="00631294">
        <w:t xml:space="preserve"> </w:t>
      </w:r>
    </w:p>
    <w:p w14:paraId="413D6BC2" w14:textId="1A9A3C47" w:rsidR="003D355F" w:rsidRDefault="005A4C2B" w:rsidP="002028A6">
      <w:pPr>
        <w:pStyle w:val="Heading2"/>
      </w:pPr>
      <w:bookmarkStart w:id="794" w:name="_Toc274145162"/>
      <w:bookmarkStart w:id="795" w:name="_Toc274900545"/>
      <w:bookmarkStart w:id="796" w:name="_Toc274909932"/>
      <w:bookmarkStart w:id="797" w:name="_Toc278447949"/>
      <w:bookmarkStart w:id="798" w:name="_Toc278453422"/>
      <w:r>
        <w:t xml:space="preserve">10.1 </w:t>
      </w:r>
      <w:r w:rsidR="0001376E">
        <w:tab/>
      </w:r>
      <w:r w:rsidR="009B4045" w:rsidRPr="00631294">
        <w:t xml:space="preserve">To what extent have the original analysis and assumptions of the </w:t>
      </w:r>
      <w:r w:rsidR="0001376E">
        <w:br/>
      </w:r>
      <w:r w:rsidR="0001376E">
        <w:tab/>
      </w:r>
      <w:r w:rsidR="009B4045" w:rsidRPr="00631294">
        <w:t>international labour market turned out to be accurate?</w:t>
      </w:r>
      <w:bookmarkEnd w:id="794"/>
      <w:bookmarkEnd w:id="795"/>
      <w:bookmarkEnd w:id="796"/>
      <w:bookmarkEnd w:id="797"/>
      <w:bookmarkEnd w:id="798"/>
      <w:r w:rsidR="009B4045">
        <w:t xml:space="preserve"> </w:t>
      </w:r>
    </w:p>
    <w:p w14:paraId="6C5BB596" w14:textId="77777777" w:rsidR="009B4045" w:rsidRDefault="009B4045" w:rsidP="009B4045">
      <w:r>
        <w:t xml:space="preserve">It is not clear what source was used to produce the original list of qualifications specified </w:t>
      </w:r>
      <w:r w:rsidR="00146727">
        <w:t xml:space="preserve">in </w:t>
      </w:r>
      <w:r>
        <w:t xml:space="preserve">the Stage </w:t>
      </w:r>
      <w:r w:rsidR="00546F37" w:rsidRPr="00546F37">
        <w:t>I</w:t>
      </w:r>
      <w:r w:rsidR="00146727">
        <w:t xml:space="preserve"> </w:t>
      </w:r>
      <w:r>
        <w:t xml:space="preserve">Scope of Services. The </w:t>
      </w:r>
      <w:r w:rsidR="004F4A3B">
        <w:t xml:space="preserve">Australian </w:t>
      </w:r>
      <w:r>
        <w:t>Department of Immigration uses two skill shortages lists to identify approved occupations for skilled migrant entry: the Skilled Occupations List (SOL) and the Consolidated Sponsored Occupations List (CSOL).</w:t>
      </w:r>
      <w:r>
        <w:rPr>
          <w:rStyle w:val="FootnoteReference"/>
        </w:rPr>
        <w:footnoteReference w:id="55"/>
      </w:r>
      <w:r>
        <w:t xml:space="preserve"> The first list focuses on more specialised skills that are needed in the economy over the medium to longer term. The second list is applicable to the Temporary Work (Skilled) 457 visa</w:t>
      </w:r>
      <w:r w:rsidR="003668DA">
        <w:t>,</w:t>
      </w:r>
      <w:r w:rsidR="00F34350">
        <w:t xml:space="preserve"> </w:t>
      </w:r>
      <w:r>
        <w:t xml:space="preserve">focuses on </w:t>
      </w:r>
      <w:r w:rsidR="003668DA">
        <w:t xml:space="preserve">the </w:t>
      </w:r>
      <w:r>
        <w:t>current skill needs of employers</w:t>
      </w:r>
      <w:r w:rsidR="003668DA">
        <w:t>,</w:t>
      </w:r>
      <w:r>
        <w:t xml:space="preserve"> and is used to approve applications for </w:t>
      </w:r>
      <w:r w:rsidRPr="00321927">
        <w:t>Temporary Work (Skilled) visa</w:t>
      </w:r>
      <w:r>
        <w:t>s</w:t>
      </w:r>
      <w:r w:rsidRPr="00321927">
        <w:t xml:space="preserve"> (subclass 457)</w:t>
      </w:r>
      <w:r>
        <w:t xml:space="preserve">. Information about the occupations of 457 visa holders since 2007 is used below to show Australian employer demand for occupations related to APTC qualifications. </w:t>
      </w:r>
    </w:p>
    <w:p w14:paraId="1552199B" w14:textId="2A073122" w:rsidR="003D355F" w:rsidRDefault="005A4C2B" w:rsidP="002028A6">
      <w:pPr>
        <w:pStyle w:val="Heading2"/>
      </w:pPr>
      <w:bookmarkStart w:id="799" w:name="_Toc274145163"/>
      <w:bookmarkStart w:id="800" w:name="_Toc274900546"/>
      <w:bookmarkStart w:id="801" w:name="_Toc274909933"/>
      <w:bookmarkStart w:id="802" w:name="_Toc278447950"/>
      <w:bookmarkStart w:id="803" w:name="_Toc278453423"/>
      <w:r>
        <w:t xml:space="preserve">10.2 </w:t>
      </w:r>
      <w:r w:rsidR="0001376E">
        <w:tab/>
      </w:r>
      <w:r w:rsidR="009B4045">
        <w:t>Demand for APTC qualifications</w:t>
      </w:r>
      <w:bookmarkEnd w:id="799"/>
      <w:bookmarkEnd w:id="800"/>
      <w:bookmarkEnd w:id="801"/>
      <w:bookmarkEnd w:id="802"/>
      <w:bookmarkEnd w:id="803"/>
    </w:p>
    <w:p w14:paraId="09AD082F" w14:textId="77777777" w:rsidR="009B4045" w:rsidRPr="00F255DE" w:rsidRDefault="009B4045" w:rsidP="009B4045">
      <w:r w:rsidRPr="00F255DE">
        <w:t xml:space="preserve">APTC was conceived </w:t>
      </w:r>
      <w:r>
        <w:t xml:space="preserve">in 2006 when </w:t>
      </w:r>
      <w:r w:rsidRPr="00F255DE">
        <w:t xml:space="preserve">skilled labour shortages </w:t>
      </w:r>
      <w:r>
        <w:t xml:space="preserve">related to the mining sector and elsewhere in the economy </w:t>
      </w:r>
      <w:r w:rsidRPr="00F255DE">
        <w:t>were acute in Australia</w:t>
      </w:r>
      <w:r>
        <w:t xml:space="preserve"> (ACCI 2007). Pacific employers and others may have seen the setting up of the APTC as a way to</w:t>
      </w:r>
      <w:r w:rsidRPr="00F255DE">
        <w:t xml:space="preserve"> fill skill vacancies in Australia</w:t>
      </w:r>
      <w:r>
        <w:t xml:space="preserve">. </w:t>
      </w:r>
      <w:r w:rsidRPr="00F255DE">
        <w:t xml:space="preserve">However, labour demand </w:t>
      </w:r>
      <w:r>
        <w:t xml:space="preserve">in the mining sector </w:t>
      </w:r>
      <w:r w:rsidRPr="00F255DE">
        <w:t>has since cooled and skills are not in such high demand.</w:t>
      </w:r>
    </w:p>
    <w:p w14:paraId="4E1FA161" w14:textId="77777777" w:rsidR="009B4045" w:rsidRDefault="009B4045" w:rsidP="009B4045">
      <w:r>
        <w:t>In general, data on the occupations of 457 visa holders between the first quarter of 2008 and first quarter of 2014 shows that one-in-five (20 per cent) are in trades-related occupations and only one per cent are in community and personal service worker occupations. The occupational profile of the permanent skill migration stream for the three years between financial year 2010/11 and 2012/13 shows a similar pattern. One</w:t>
      </w:r>
      <w:r w:rsidR="00A4047D">
        <w:t>-</w:t>
      </w:r>
      <w:r>
        <w:t>in</w:t>
      </w:r>
      <w:r w:rsidR="00A4047D">
        <w:t>-</w:t>
      </w:r>
      <w:r>
        <w:t xml:space="preserve">four (24 per cent) of the primary migrants in the permanent skilled migration stream over the three years to end of June 2013 had trades-related occupations. Only </w:t>
      </w:r>
      <w:r w:rsidR="00182F2A">
        <w:t>one per </w:t>
      </w:r>
      <w:r>
        <w:t xml:space="preserve">cent of the same skilled permanent migrants were community and personal service workers. </w:t>
      </w:r>
    </w:p>
    <w:p w14:paraId="2E7EE9D2" w14:textId="6F58BA4B" w:rsidR="009B4045" w:rsidRDefault="009B4045" w:rsidP="009B4045">
      <w:r>
        <w:t>On this evidence, there is little demand for migrants with qualifications related to community or personal service. This includes occupations related to child and aged care</w:t>
      </w:r>
      <w:r w:rsidR="006B6DE5">
        <w:t>,</w:t>
      </w:r>
      <w:r>
        <w:t xml:space="preserve"> as well as in tourism and hospitality. </w:t>
      </w:r>
      <w:r w:rsidR="004A7DB6">
        <w:t>In part</w:t>
      </w:r>
      <w:r w:rsidR="00FF7803">
        <w:t>,</w:t>
      </w:r>
      <w:r w:rsidR="004A7DB6">
        <w:t xml:space="preserve"> t</w:t>
      </w:r>
      <w:r w:rsidR="0073321E" w:rsidRPr="0073321E">
        <w:t xml:space="preserve">his is due to the fact that these occupations or </w:t>
      </w:r>
      <w:r w:rsidR="00C40525">
        <w:t xml:space="preserve">related </w:t>
      </w:r>
      <w:r w:rsidR="0073321E" w:rsidRPr="0073321E">
        <w:t xml:space="preserve">qualifications below diploma level are not approved for entry to Australia as skilled migrants. </w:t>
      </w:r>
      <w:r w:rsidR="004A7DB6" w:rsidRPr="004A7DB6">
        <w:t xml:space="preserve">In the case of aged care, skilled entry requires migrants to have a relevant qualification at least at diploma level. The lack in </w:t>
      </w:r>
      <w:r w:rsidR="00C40525">
        <w:t xml:space="preserve">PICs </w:t>
      </w:r>
      <w:r w:rsidR="004A7DB6" w:rsidRPr="004A7DB6">
        <w:t>of suitable qualifications at this level may make it hard for potential migrants to meet this requirement. Also</w:t>
      </w:r>
      <w:r w:rsidR="006230FD">
        <w:t>,</w:t>
      </w:r>
      <w:r w:rsidR="004A7DB6" w:rsidRPr="004A7DB6">
        <w:t xml:space="preserve"> this type of work compared with other areas of similar work</w:t>
      </w:r>
      <w:r w:rsidR="006230FD">
        <w:t>,</w:t>
      </w:r>
      <w:r w:rsidR="004A7DB6" w:rsidRPr="004A7DB6">
        <w:t xml:space="preserve"> such as general nursing</w:t>
      </w:r>
      <w:r w:rsidR="006230FD">
        <w:t>,</w:t>
      </w:r>
      <w:r w:rsidR="004A7DB6" w:rsidRPr="004A7DB6">
        <w:t xml:space="preserve"> may not be paid as well and hence </w:t>
      </w:r>
      <w:r w:rsidR="00C40525">
        <w:t xml:space="preserve">less </w:t>
      </w:r>
      <w:r w:rsidR="004A7DB6" w:rsidRPr="004A7DB6">
        <w:t xml:space="preserve">attractive to potential migrants. </w:t>
      </w:r>
    </w:p>
    <w:p w14:paraId="55DCE020" w14:textId="70F4BED0" w:rsidR="003D355F" w:rsidRDefault="00C7529A" w:rsidP="002028A6">
      <w:pPr>
        <w:pStyle w:val="Heading2"/>
      </w:pPr>
      <w:bookmarkStart w:id="804" w:name="_Toc274145164"/>
      <w:bookmarkStart w:id="805" w:name="_Toc274900547"/>
      <w:bookmarkStart w:id="806" w:name="_Toc274909934"/>
      <w:bookmarkStart w:id="807" w:name="_Toc278447951"/>
      <w:bookmarkStart w:id="808" w:name="_Toc278453424"/>
      <w:r>
        <w:t xml:space="preserve">10.3 </w:t>
      </w:r>
      <w:r w:rsidR="0001376E">
        <w:tab/>
      </w:r>
      <w:r w:rsidR="009B4045" w:rsidRPr="00631294">
        <w:t>What factors have changed, why and to what extent?</w:t>
      </w:r>
      <w:bookmarkEnd w:id="804"/>
      <w:bookmarkEnd w:id="805"/>
      <w:bookmarkEnd w:id="806"/>
      <w:bookmarkEnd w:id="807"/>
      <w:bookmarkEnd w:id="808"/>
      <w:r w:rsidR="009B4045" w:rsidRPr="00631294">
        <w:t xml:space="preserve"> </w:t>
      </w:r>
    </w:p>
    <w:p w14:paraId="158F065E" w14:textId="1540679C" w:rsidR="009B4045" w:rsidRDefault="009B4045" w:rsidP="009B4045">
      <w:r>
        <w:t>Since the original analysis for the design of the APTC in 2006, Australia</w:t>
      </w:r>
      <w:r w:rsidR="008547DF">
        <w:t>’s</w:t>
      </w:r>
      <w:r>
        <w:t xml:space="preserve"> and </w:t>
      </w:r>
      <w:r w:rsidR="00517D20">
        <w:t>New </w:t>
      </w:r>
      <w:r>
        <w:t>Zealand’s skilled migration system</w:t>
      </w:r>
      <w:r w:rsidR="008547DF">
        <w:t>s</w:t>
      </w:r>
      <w:r>
        <w:t xml:space="preserve"> ha</w:t>
      </w:r>
      <w:r w:rsidR="008547DF">
        <w:t>ve</w:t>
      </w:r>
      <w:r>
        <w:t xml:space="preserve"> become notably more employer-led and with a greater focus on access for skilled migrants on short-term visas. Australia’s skilled migration program, particularly since 2009, has moved from ‘supply</w:t>
      </w:r>
      <w:r w:rsidR="00B13BA9">
        <w:t>-</w:t>
      </w:r>
      <w:r>
        <w:t xml:space="preserve">driven’ independent skilled migration towards ‘demand-driven’ outcomes, in the form of employer and government-sponsored skilled migration. The objective of this demand-led approach </w:t>
      </w:r>
      <w:r w:rsidR="00AA4D20">
        <w:t xml:space="preserve">is </w:t>
      </w:r>
      <w:r>
        <w:t xml:space="preserve">to ensure that migrants go directly to jobs offered by employers in an approved occupation (Phillips </w:t>
      </w:r>
      <w:r w:rsidR="00E7383A">
        <w:t xml:space="preserve">and </w:t>
      </w:r>
      <w:r>
        <w:t>Spinks 2012</w:t>
      </w:r>
      <w:r w:rsidR="00E7383A">
        <w:t xml:space="preserve">; </w:t>
      </w:r>
      <w:r>
        <w:t xml:space="preserve">Cully 2011). </w:t>
      </w:r>
    </w:p>
    <w:p w14:paraId="2AF3F65A" w14:textId="3C1B7E62" w:rsidR="009B4045" w:rsidRDefault="009B4045" w:rsidP="009B4045">
      <w:r>
        <w:t xml:space="preserve">The significance of this greater reliance on employer selection in both countries has been highlighted by a comparative study of the migration systems of Australia and </w:t>
      </w:r>
      <w:r w:rsidR="008433AE">
        <w:t>New </w:t>
      </w:r>
      <w:r>
        <w:t>Zealand: ‘Employers in both countries have come to exert extraordinary influence on permanent as well as temporary entry flows’ (Hawthorne 2011, p</w:t>
      </w:r>
      <w:r w:rsidR="00512A34">
        <w:t>.</w:t>
      </w:r>
      <w:r>
        <w:t xml:space="preserve"> 157). The study notes in particular that Australian employers in selecting migrants want migrants with high-level English language ability. They are also seeking people from comparable high-quality education systems, and who can fit into the workplace at speed.</w:t>
      </w:r>
    </w:p>
    <w:p w14:paraId="6C3EA8FE" w14:textId="77777777" w:rsidR="009B4045" w:rsidRDefault="009B4045" w:rsidP="009B4045">
      <w:r>
        <w:t>This new emphasis on employer-led skill migration has been further strengthened with the introduction in 2012 of the Skilled Migrant Selection Model known as SkillSelect. The new selection system requires prospective applicants to submit an expression of interest before being invited to make a visa application by an employer or state or territory governments. The new selection system applies to both temporary and permanent employer</w:t>
      </w:r>
      <w:r w:rsidR="00C5142A">
        <w:t>-</w:t>
      </w:r>
      <w:r>
        <w:t>sponsored migrant visas.</w:t>
      </w:r>
    </w:p>
    <w:p w14:paraId="3AE6115C" w14:textId="5C5FCFB1" w:rsidR="009B4045" w:rsidRDefault="009B4045" w:rsidP="009B4045">
      <w:r>
        <w:t>A related change in the migration system is the growth in Temporary Work (Skilled) (457) visas. This growth has been described as ‘one of the greatest changes in immigration patterns to Australia in the last decade’ (</w:t>
      </w:r>
      <w:r w:rsidRPr="00794D97">
        <w:t>Phillips</w:t>
      </w:r>
      <w:r>
        <w:t xml:space="preserve"> 2013). Three aspects of the greater use of temporary work visas for migrant selection are worth noting. First, its high responsiveness to labour market need means that considerable benefits accrue not only to employers but also to the skilled migrant. Because employer-sponsored migrants go directly to jobs, they have a high employment rate in a job matched to </w:t>
      </w:r>
      <w:r w:rsidR="00231E8A">
        <w:br/>
      </w:r>
      <w:r>
        <w:t xml:space="preserve">their skill set and work experience (Department of Immigration </w:t>
      </w:r>
      <w:r w:rsidR="00C5142A">
        <w:t xml:space="preserve">and </w:t>
      </w:r>
      <w:r>
        <w:t>Border Protection, 2010, p</w:t>
      </w:r>
      <w:r w:rsidR="00C5142A">
        <w:t>.</w:t>
      </w:r>
      <w:r>
        <w:t xml:space="preserve"> 5)</w:t>
      </w:r>
      <w:r w:rsidRPr="00EC723F">
        <w:t>.</w:t>
      </w:r>
    </w:p>
    <w:p w14:paraId="2734BE48" w14:textId="77777777" w:rsidR="009B4045" w:rsidRDefault="009B4045" w:rsidP="009B4045">
      <w:r>
        <w:t xml:space="preserve">The second potential benefit to both </w:t>
      </w:r>
      <w:r w:rsidR="00D74CDF">
        <w:t xml:space="preserve">the </w:t>
      </w:r>
      <w:r>
        <w:t xml:space="preserve">employer and skilled migrant is the chance for both parties to assess whether they want to make the job and move a permanent one. </w:t>
      </w:r>
      <w:r w:rsidRPr="00EC723F">
        <w:t>In the year to end</w:t>
      </w:r>
      <w:r w:rsidR="00D74CDF">
        <w:t>-</w:t>
      </w:r>
      <w:r w:rsidRPr="00EC723F">
        <w:t>March 2014, one</w:t>
      </w:r>
      <w:r>
        <w:t>-</w:t>
      </w:r>
      <w:r w:rsidRPr="00EC723F">
        <w:t>in</w:t>
      </w:r>
      <w:r>
        <w:t>-</w:t>
      </w:r>
      <w:r w:rsidRPr="00EC723F">
        <w:t>three temporary visa holders applied for permanent residence</w:t>
      </w:r>
      <w:r>
        <w:t xml:space="preserve"> (Department of Immigration </w:t>
      </w:r>
      <w:r w:rsidR="006F1B51">
        <w:t xml:space="preserve">and </w:t>
      </w:r>
      <w:r>
        <w:t>Border Protection, 2014, p</w:t>
      </w:r>
      <w:r w:rsidR="006F1B51">
        <w:t>.</w:t>
      </w:r>
      <w:r>
        <w:t xml:space="preserve"> 2)</w:t>
      </w:r>
      <w:r w:rsidRPr="00EC723F">
        <w:t>.</w:t>
      </w:r>
    </w:p>
    <w:p w14:paraId="2D748B0D" w14:textId="253D40E8" w:rsidR="009B4045" w:rsidRDefault="009B4045" w:rsidP="009B4045">
      <w:r>
        <w:t>The third feature of the temporary skilled work visa pathway to work in Australia is that many 457 visa applications come from students and working holiday makers already in the country. In the year to end</w:t>
      </w:r>
      <w:r w:rsidR="008759CF">
        <w:t>-</w:t>
      </w:r>
      <w:r>
        <w:t xml:space="preserve">March 2014, three-in-five applicants (58 per cent) for the temporary work visa were already in Australia (Department of Immigration </w:t>
      </w:r>
      <w:r w:rsidR="00CB0E84">
        <w:t xml:space="preserve">and </w:t>
      </w:r>
      <w:r>
        <w:t>Border Protection, 2014, pp</w:t>
      </w:r>
      <w:r w:rsidR="00CB0E84">
        <w:t>.</w:t>
      </w:r>
      <w:r>
        <w:t xml:space="preserve"> 1</w:t>
      </w:r>
      <w:r w:rsidR="00231E8A">
        <w:t>–</w:t>
      </w:r>
      <w:r>
        <w:t>2)</w:t>
      </w:r>
      <w:r w:rsidRPr="00EC723F">
        <w:t>.</w:t>
      </w:r>
    </w:p>
    <w:p w14:paraId="6B0742B8" w14:textId="77777777" w:rsidR="009B4045" w:rsidRDefault="009B4045" w:rsidP="009B4045">
      <w:r>
        <w:t>New Zealand, in particular, has emphasised the importance of the two</w:t>
      </w:r>
      <w:r w:rsidR="00AA1607">
        <w:t>-</w:t>
      </w:r>
      <w:r>
        <w:t>step process of migrant selection: encouraging employers and migrants to use the temporary skilled work visa as a pathway to permanent migration. Over half of permanent migrants to New Zealand had a temporary work visa at some stage (OECD, 2014, p</w:t>
      </w:r>
      <w:r w:rsidR="00AA1607">
        <w:t>.</w:t>
      </w:r>
      <w:r>
        <w:t xml:space="preserve"> 19).</w:t>
      </w:r>
    </w:p>
    <w:p w14:paraId="12434E69" w14:textId="365B9A85" w:rsidR="000225ED" w:rsidRDefault="000225ED" w:rsidP="009B4045">
      <w:r w:rsidRPr="000225ED">
        <w:t>The profile of approved occupations for skilled migrant entry has also changed since 2006. For example, the APTC Stage II Desi</w:t>
      </w:r>
      <w:r>
        <w:t>gn noted the removal in May 201</w:t>
      </w:r>
      <w:r w:rsidRPr="000225ED">
        <w:t>0 of hospitality and related occupations from the Skilled Occupation List for migration to Australia.</w:t>
      </w:r>
    </w:p>
    <w:p w14:paraId="387EC670" w14:textId="77777777" w:rsidR="006715C7" w:rsidRDefault="006715C7">
      <w:pPr>
        <w:spacing w:after="0"/>
        <w:rPr>
          <w:rFonts w:cs="Arial"/>
          <w:b/>
          <w:bCs/>
          <w:color w:val="76923C"/>
          <w:sz w:val="24"/>
          <w:szCs w:val="28"/>
        </w:rPr>
      </w:pPr>
      <w:bookmarkStart w:id="809" w:name="_Toc278447952"/>
      <w:bookmarkStart w:id="810" w:name="_Toc278453425"/>
      <w:r>
        <w:br w:type="page"/>
      </w:r>
    </w:p>
    <w:p w14:paraId="1097743F" w14:textId="678D72EC" w:rsidR="003D355F" w:rsidRDefault="00C7529A" w:rsidP="002028A6">
      <w:pPr>
        <w:pStyle w:val="Heading1"/>
      </w:pPr>
      <w:r>
        <w:t xml:space="preserve">11 </w:t>
      </w:r>
      <w:r w:rsidR="0001376E">
        <w:tab/>
      </w:r>
      <w:r w:rsidR="009B4045" w:rsidRPr="00631294">
        <w:t>Supply factors</w:t>
      </w:r>
      <w:r w:rsidR="009B4045">
        <w:t>:</w:t>
      </w:r>
      <w:r w:rsidR="009B4045" w:rsidRPr="00631294">
        <w:t xml:space="preserve"> To what extent does APTC have the institutional capacity to train for regional and international markets?</w:t>
      </w:r>
      <w:bookmarkEnd w:id="809"/>
      <w:bookmarkEnd w:id="810"/>
      <w:r w:rsidR="009B4045">
        <w:t xml:space="preserve"> </w:t>
      </w:r>
    </w:p>
    <w:p w14:paraId="1D5361D7" w14:textId="2A54C5F8" w:rsidR="003D355F" w:rsidRDefault="00C7529A" w:rsidP="002028A6">
      <w:pPr>
        <w:pStyle w:val="Heading2"/>
      </w:pPr>
      <w:bookmarkStart w:id="811" w:name="_Toc274145166"/>
      <w:bookmarkStart w:id="812" w:name="_Toc274900549"/>
      <w:bookmarkStart w:id="813" w:name="_Toc274909936"/>
      <w:bookmarkStart w:id="814" w:name="_Toc278447953"/>
      <w:bookmarkStart w:id="815" w:name="_Toc278453426"/>
      <w:r>
        <w:t xml:space="preserve">11.1 </w:t>
      </w:r>
      <w:r w:rsidR="0001376E">
        <w:tab/>
      </w:r>
      <w:r w:rsidR="009B4045">
        <w:t>Intention to migrate</w:t>
      </w:r>
      <w:bookmarkEnd w:id="811"/>
      <w:bookmarkEnd w:id="812"/>
      <w:bookmarkEnd w:id="813"/>
      <w:bookmarkEnd w:id="814"/>
      <w:bookmarkEnd w:id="815"/>
    </w:p>
    <w:p w14:paraId="22DD3D7D" w14:textId="77777777" w:rsidR="009B4045" w:rsidRDefault="009B4045" w:rsidP="009B4045">
      <w:pPr>
        <w:rPr>
          <w:lang w:eastAsia="en-AU"/>
        </w:rPr>
      </w:pPr>
      <w:r>
        <w:rPr>
          <w:lang w:eastAsia="en-AU"/>
        </w:rPr>
        <w:t xml:space="preserve">Most APTC graduates want to migrate, one-in-four have a strong intention to do so and many have taken steps </w:t>
      </w:r>
      <w:r w:rsidR="0077247E">
        <w:rPr>
          <w:lang w:eastAsia="en-AU"/>
        </w:rPr>
        <w:t>towards this</w:t>
      </w:r>
      <w:r>
        <w:rPr>
          <w:lang w:eastAsia="en-AU"/>
        </w:rPr>
        <w:t>. APTC graduates from Fiji, PNG and Solomon Islands, in particular plan to migrate. APTC graduates see their Australian</w:t>
      </w:r>
      <w:r w:rsidR="00494983">
        <w:rPr>
          <w:lang w:eastAsia="en-AU"/>
        </w:rPr>
        <w:t>-</w:t>
      </w:r>
      <w:r>
        <w:rPr>
          <w:lang w:eastAsia="en-AU"/>
        </w:rPr>
        <w:t xml:space="preserve">recognised qualification </w:t>
      </w:r>
      <w:r w:rsidR="00494983">
        <w:rPr>
          <w:lang w:eastAsia="en-AU"/>
        </w:rPr>
        <w:t xml:space="preserve">as </w:t>
      </w:r>
      <w:r>
        <w:rPr>
          <w:lang w:eastAsia="en-AU"/>
        </w:rPr>
        <w:t xml:space="preserve">making it easier for them to do this. </w:t>
      </w:r>
      <w:r w:rsidRPr="005E55E4">
        <w:rPr>
          <w:lang w:eastAsia="en-AU"/>
        </w:rPr>
        <w:t>Graduates with trade-based qualifications are more likely to have a strong intention to migrate.</w:t>
      </w:r>
      <w:r>
        <w:rPr>
          <w:lang w:eastAsia="en-AU"/>
        </w:rPr>
        <w:t xml:space="preserve"> </w:t>
      </w:r>
    </w:p>
    <w:p w14:paraId="1C8CA9B9" w14:textId="4A85D62C" w:rsidR="009B4045" w:rsidRDefault="009B4045" w:rsidP="00A71DF0">
      <w:pPr>
        <w:pStyle w:val="BodyTextIndent"/>
        <w:ind w:left="0"/>
        <w:rPr>
          <w:rFonts w:cs="Arial"/>
          <w:color w:val="000000"/>
          <w:lang w:eastAsia="en-AU"/>
        </w:rPr>
      </w:pPr>
      <w:r>
        <w:rPr>
          <w:lang w:eastAsia="en-AU"/>
        </w:rPr>
        <w:t>In t</w:t>
      </w:r>
      <w:r w:rsidRPr="00E739DF">
        <w:rPr>
          <w:lang w:eastAsia="en-AU"/>
        </w:rPr>
        <w:t xml:space="preserve">he </w:t>
      </w:r>
      <w:r>
        <w:rPr>
          <w:lang w:eastAsia="en-AU"/>
        </w:rPr>
        <w:t xml:space="preserve">2013 </w:t>
      </w:r>
      <w:r w:rsidR="004D0563">
        <w:rPr>
          <w:lang w:eastAsia="en-AU"/>
        </w:rPr>
        <w:t xml:space="preserve">NCVER </w:t>
      </w:r>
      <w:r w:rsidRPr="00E739DF">
        <w:rPr>
          <w:lang w:eastAsia="en-AU"/>
        </w:rPr>
        <w:t>APTC</w:t>
      </w:r>
      <w:r>
        <w:rPr>
          <w:lang w:eastAsia="en-AU"/>
        </w:rPr>
        <w:t xml:space="preserve"> Graduates </w:t>
      </w:r>
      <w:r w:rsidRPr="00E739DF">
        <w:rPr>
          <w:lang w:eastAsia="en-AU"/>
        </w:rPr>
        <w:t>Down the Track</w:t>
      </w:r>
      <w:r>
        <w:rPr>
          <w:lang w:eastAsia="en-AU"/>
        </w:rPr>
        <w:t xml:space="preserve"> survey, graduates were asked to </w:t>
      </w:r>
      <w:r w:rsidRPr="00E739DF">
        <w:rPr>
          <w:lang w:eastAsia="en-AU"/>
        </w:rPr>
        <w:t>rate on a five</w:t>
      </w:r>
      <w:r>
        <w:rPr>
          <w:lang w:eastAsia="en-AU"/>
        </w:rPr>
        <w:t>-</w:t>
      </w:r>
      <w:r w:rsidRPr="00E739DF">
        <w:rPr>
          <w:lang w:eastAsia="en-AU"/>
        </w:rPr>
        <w:t>point scale whether they agreed or disagreed with the statement: 'In the future, I intend to move country or region for work'.</w:t>
      </w:r>
      <w:r>
        <w:rPr>
          <w:lang w:eastAsia="en-AU"/>
        </w:rPr>
        <w:t xml:space="preserve"> </w:t>
      </w:r>
      <w:r w:rsidRPr="00E739DF">
        <w:rPr>
          <w:lang w:eastAsia="en-AU"/>
        </w:rPr>
        <w:t xml:space="preserve">Most </w:t>
      </w:r>
      <w:r>
        <w:rPr>
          <w:lang w:eastAsia="en-AU"/>
        </w:rPr>
        <w:t xml:space="preserve">either </w:t>
      </w:r>
      <w:r w:rsidRPr="00E739DF">
        <w:rPr>
          <w:lang w:eastAsia="en-AU"/>
        </w:rPr>
        <w:t xml:space="preserve">agreed with the statement (60 per cent) </w:t>
      </w:r>
      <w:r>
        <w:rPr>
          <w:lang w:eastAsia="en-AU"/>
        </w:rPr>
        <w:t xml:space="preserve">or </w:t>
      </w:r>
      <w:r w:rsidRPr="00E739DF">
        <w:rPr>
          <w:lang w:eastAsia="en-AU"/>
        </w:rPr>
        <w:t>strongly agreed (25 per cent).</w:t>
      </w:r>
      <w:r>
        <w:rPr>
          <w:lang w:eastAsia="en-AU"/>
        </w:rPr>
        <w:t xml:space="preserve"> </w:t>
      </w:r>
      <w:r w:rsidRPr="005E55E4">
        <w:t>As many as four-out-of-five APTC graduates from PNG (81 per cent) said they strongly agreed with the statement. Nearly half (46 per cent) of APTC graduates from Solomon Islands also strongly agreed with</w:t>
      </w:r>
      <w:r w:rsidRPr="005E55E4">
        <w:rPr>
          <w:rFonts w:cs="Arial"/>
          <w:color w:val="000000"/>
          <w:lang w:eastAsia="en-AU"/>
        </w:rPr>
        <w:t xml:space="preserve"> the statement</w:t>
      </w:r>
      <w:r w:rsidRPr="00045C4C">
        <w:rPr>
          <w:rFonts w:cs="Arial"/>
          <w:color w:val="000000"/>
          <w:lang w:eastAsia="en-AU"/>
        </w:rPr>
        <w:t>.</w:t>
      </w:r>
      <w:r>
        <w:rPr>
          <w:rFonts w:cs="Arial"/>
          <w:color w:val="000000"/>
          <w:lang w:eastAsia="en-AU"/>
        </w:rPr>
        <w:t xml:space="preserve"> </w:t>
      </w:r>
    </w:p>
    <w:p w14:paraId="5B57D25B" w14:textId="77777777" w:rsidR="009B4045" w:rsidRDefault="009B4045" w:rsidP="00A71DF0">
      <w:pPr>
        <w:pStyle w:val="BodyTextIndent"/>
        <w:ind w:left="0"/>
        <w:rPr>
          <w:rFonts w:cs="Arial"/>
          <w:color w:val="000000"/>
          <w:lang w:eastAsia="en-AU"/>
        </w:rPr>
      </w:pPr>
      <w:r>
        <w:rPr>
          <w:rFonts w:cs="Arial"/>
          <w:color w:val="000000"/>
          <w:lang w:eastAsia="en-AU"/>
        </w:rPr>
        <w:t xml:space="preserve">Responses from the 174 APTC graduates who met the review team and responded to the questionnaire confirmed the findings above. </w:t>
      </w:r>
      <w:r w:rsidRPr="00066E90">
        <w:rPr>
          <w:rFonts w:cs="Arial"/>
          <w:color w:val="000000"/>
          <w:lang w:eastAsia="en-AU"/>
        </w:rPr>
        <w:t>Over half of APTC graduates surveyed (54 per cent) are planning to migrate for work to other Pacific countries in the region and another 22 per cent have taken steps to migrate. In relation to Australia, half of the APTC graduates surveyed (49 per cent) are planning to migrate for work and three-in-ten (29 per cent) have taken steps to migrate. Similar but lower proportions apply to the intentions of APTC graduates to migrate to New Zealand for work.</w:t>
      </w:r>
      <w:r>
        <w:rPr>
          <w:rFonts w:cs="Arial"/>
          <w:color w:val="000000"/>
          <w:lang w:eastAsia="en-AU"/>
        </w:rPr>
        <w:t xml:space="preserve"> </w:t>
      </w:r>
    </w:p>
    <w:p w14:paraId="532DD715" w14:textId="77777777" w:rsidR="009B4045" w:rsidRDefault="009B4045" w:rsidP="00A71DF0">
      <w:pPr>
        <w:pStyle w:val="BodyTextIndent"/>
        <w:ind w:left="0"/>
        <w:rPr>
          <w:rFonts w:cs="Arial"/>
        </w:rPr>
      </w:pPr>
      <w:r>
        <w:rPr>
          <w:rFonts w:cs="Arial"/>
          <w:color w:val="000000"/>
          <w:lang w:eastAsia="en-AU"/>
        </w:rPr>
        <w:t xml:space="preserve">Responses from the 211 current APTC students on future plans after graduation showed that over a third of the students </w:t>
      </w:r>
      <w:r w:rsidRPr="0056149C">
        <w:rPr>
          <w:rFonts w:cs="Arial"/>
          <w:color w:val="000000"/>
          <w:lang w:eastAsia="en-AU"/>
        </w:rPr>
        <w:t>(37 per cent) said they would try to find a job in another country.</w:t>
      </w:r>
      <w:r>
        <w:rPr>
          <w:rFonts w:cs="Arial"/>
          <w:color w:val="000000"/>
          <w:lang w:eastAsia="en-AU"/>
        </w:rPr>
        <w:t xml:space="preserve"> </w:t>
      </w:r>
      <w:r>
        <w:rPr>
          <w:rFonts w:cs="Arial"/>
        </w:rPr>
        <w:t xml:space="preserve">Virtually every APTC graduate (98 per cent) who responded to 2013 </w:t>
      </w:r>
      <w:r w:rsidR="001D26B0">
        <w:rPr>
          <w:rFonts w:cs="Arial"/>
        </w:rPr>
        <w:t xml:space="preserve">‘Graduates </w:t>
      </w:r>
      <w:r>
        <w:rPr>
          <w:rFonts w:cs="Arial"/>
        </w:rPr>
        <w:t>Down the Track</w:t>
      </w:r>
      <w:r w:rsidR="001D26B0">
        <w:rPr>
          <w:rFonts w:cs="Arial"/>
        </w:rPr>
        <w:t>’</w:t>
      </w:r>
      <w:r>
        <w:rPr>
          <w:rFonts w:cs="Arial"/>
        </w:rPr>
        <w:t xml:space="preserve"> survey indicated that if they decided to migrate, their APTC qualification would make it easier for them to get a job. </w:t>
      </w:r>
      <w:r w:rsidRPr="00CF3C82">
        <w:rPr>
          <w:rFonts w:cs="Arial"/>
        </w:rPr>
        <w:t>The qualifications of graduates who say they are mostly likely to migrate in the future are set out in Table</w:t>
      </w:r>
      <w:r w:rsidR="00C80E0E">
        <w:rPr>
          <w:rFonts w:cs="Arial"/>
        </w:rPr>
        <w:t> 7</w:t>
      </w:r>
      <w:r w:rsidRPr="00CF3C82">
        <w:rPr>
          <w:rFonts w:cs="Arial"/>
        </w:rPr>
        <w:t>.2.</w:t>
      </w:r>
      <w:r>
        <w:rPr>
          <w:rFonts w:cs="Arial"/>
        </w:rPr>
        <w:t xml:space="preserve"> Graduates with trade-based qualifications are more likely to have a strong intention to migrate.</w:t>
      </w:r>
    </w:p>
    <w:p w14:paraId="20A11B4B" w14:textId="130EE41F" w:rsidR="009B4045" w:rsidRDefault="009B4045" w:rsidP="00661806">
      <w:pPr>
        <w:pStyle w:val="Tableheading"/>
      </w:pPr>
      <w:bookmarkStart w:id="816" w:name="_Toc274146487"/>
      <w:bookmarkStart w:id="817" w:name="_Toc274915946"/>
      <w:bookmarkStart w:id="818" w:name="_Toc278446925"/>
      <w:r>
        <w:t xml:space="preserve">Table </w:t>
      </w:r>
      <w:r w:rsidR="003B55A0">
        <w:t>7.</w:t>
      </w:r>
      <w:r>
        <w:t>2: Qualifications of APTC graduates most likely to migrate</w:t>
      </w:r>
      <w:r w:rsidR="00A038B5">
        <w:t xml:space="preserve"> </w:t>
      </w:r>
      <w:r w:rsidR="00D82E04">
        <w:br/>
      </w:r>
      <w:r w:rsidR="00A038B5">
        <w:t>(%</w:t>
      </w:r>
      <w:r w:rsidR="000F2294">
        <w:t xml:space="preserve"> for each qualification</w:t>
      </w:r>
      <w:r w:rsidR="00A038B5">
        <w:t>)</w:t>
      </w:r>
      <w:bookmarkEnd w:id="816"/>
      <w:bookmarkEnd w:id="817"/>
      <w:bookmarkEnd w:id="818"/>
    </w:p>
    <w:tbl>
      <w:tblPr>
        <w:tblW w:w="4273" w:type="dxa"/>
        <w:tblCellSpacing w:w="0" w:type="dxa"/>
        <w:tblCellMar>
          <w:top w:w="15" w:type="dxa"/>
          <w:left w:w="15" w:type="dxa"/>
          <w:bottom w:w="15" w:type="dxa"/>
          <w:right w:w="15" w:type="dxa"/>
        </w:tblCellMar>
        <w:tblLook w:val="04A0" w:firstRow="1" w:lastRow="0" w:firstColumn="1" w:lastColumn="0" w:noHBand="0" w:noVBand="1"/>
      </w:tblPr>
      <w:tblGrid>
        <w:gridCol w:w="2997"/>
        <w:gridCol w:w="1276"/>
      </w:tblGrid>
      <w:tr w:rsidR="006715C7" w:rsidRPr="00661806" w14:paraId="6B2FF22C" w14:textId="77777777" w:rsidTr="006715C7">
        <w:trPr>
          <w:trHeight w:val="480"/>
          <w:tblCellSpacing w:w="0" w:type="dxa"/>
        </w:trPr>
        <w:tc>
          <w:tcPr>
            <w:tcW w:w="2997" w:type="dxa"/>
            <w:shd w:val="clear" w:color="auto" w:fill="C5E0B3" w:themeFill="accent6" w:themeFillTint="66"/>
            <w:tcMar>
              <w:top w:w="0" w:type="dxa"/>
              <w:left w:w="20" w:type="dxa"/>
              <w:bottom w:w="20" w:type="dxa"/>
              <w:right w:w="0" w:type="dxa"/>
            </w:tcMar>
            <w:vAlign w:val="center"/>
          </w:tcPr>
          <w:p w14:paraId="5FA0DDD7" w14:textId="77777777" w:rsidR="009B4045" w:rsidRPr="00661806" w:rsidRDefault="009B4045" w:rsidP="006715C7">
            <w:pPr>
              <w:spacing w:before="40" w:after="40"/>
              <w:rPr>
                <w:rFonts w:cs="Arial"/>
                <w:b/>
                <w:sz w:val="18"/>
                <w:szCs w:val="20"/>
              </w:rPr>
            </w:pPr>
            <w:r w:rsidRPr="00661806">
              <w:rPr>
                <w:rFonts w:cs="Arial"/>
                <w:b/>
                <w:sz w:val="18"/>
                <w:szCs w:val="20"/>
              </w:rPr>
              <w:t xml:space="preserve">APTC </w:t>
            </w:r>
            <w:r w:rsidR="00726736">
              <w:rPr>
                <w:rFonts w:cs="Arial"/>
                <w:b/>
                <w:sz w:val="18"/>
                <w:szCs w:val="20"/>
              </w:rPr>
              <w:t>q</w:t>
            </w:r>
            <w:r w:rsidR="00726736" w:rsidRPr="00661806">
              <w:rPr>
                <w:rFonts w:cs="Arial"/>
                <w:b/>
                <w:sz w:val="18"/>
                <w:szCs w:val="20"/>
              </w:rPr>
              <w:t>ualification</w:t>
            </w:r>
          </w:p>
        </w:tc>
        <w:tc>
          <w:tcPr>
            <w:tcW w:w="1276" w:type="dxa"/>
            <w:shd w:val="clear" w:color="auto" w:fill="C5E0B3" w:themeFill="accent6" w:themeFillTint="66"/>
            <w:tcMar>
              <w:top w:w="0" w:type="dxa"/>
              <w:left w:w="20" w:type="dxa"/>
              <w:bottom w:w="20" w:type="dxa"/>
              <w:right w:w="0" w:type="dxa"/>
            </w:tcMar>
            <w:vAlign w:val="center"/>
          </w:tcPr>
          <w:p w14:paraId="396B79E4" w14:textId="77777777" w:rsidR="009B4045" w:rsidRPr="00661806" w:rsidRDefault="009B4045" w:rsidP="00661806">
            <w:pPr>
              <w:spacing w:before="40" w:after="40"/>
              <w:jc w:val="center"/>
              <w:rPr>
                <w:b/>
                <w:sz w:val="18"/>
                <w:szCs w:val="20"/>
              </w:rPr>
            </w:pPr>
            <w:r w:rsidRPr="00661806">
              <w:rPr>
                <w:b/>
                <w:sz w:val="18"/>
                <w:szCs w:val="20"/>
              </w:rPr>
              <w:t>%</w:t>
            </w:r>
          </w:p>
        </w:tc>
      </w:tr>
      <w:tr w:rsidR="006715C7" w:rsidRPr="00661806" w14:paraId="6B521F67" w14:textId="77777777" w:rsidTr="006715C7">
        <w:trPr>
          <w:trHeight w:val="264"/>
          <w:tblCellSpacing w:w="0" w:type="dxa"/>
        </w:trPr>
        <w:tc>
          <w:tcPr>
            <w:tcW w:w="2997" w:type="dxa"/>
            <w:shd w:val="clear" w:color="auto" w:fill="auto"/>
            <w:tcMar>
              <w:top w:w="0" w:type="dxa"/>
              <w:left w:w="20" w:type="dxa"/>
              <w:bottom w:w="20" w:type="dxa"/>
              <w:right w:w="0" w:type="dxa"/>
            </w:tcMar>
            <w:vAlign w:val="bottom"/>
          </w:tcPr>
          <w:p w14:paraId="296A73BA" w14:textId="77777777" w:rsidR="009B4045" w:rsidRPr="00661806" w:rsidRDefault="009B4045" w:rsidP="00661806">
            <w:pPr>
              <w:pStyle w:val="Insidebox"/>
              <w:spacing w:before="40" w:after="40"/>
              <w:rPr>
                <w:sz w:val="18"/>
              </w:rPr>
            </w:pPr>
            <w:r w:rsidRPr="00661806">
              <w:rPr>
                <w:sz w:val="18"/>
              </w:rPr>
              <w:t>Cert III Eng</w:t>
            </w:r>
            <w:r w:rsidR="00726736">
              <w:rPr>
                <w:sz w:val="18"/>
              </w:rPr>
              <w:t xml:space="preserve"> –</w:t>
            </w:r>
            <w:r w:rsidRPr="00661806">
              <w:rPr>
                <w:sz w:val="18"/>
              </w:rPr>
              <w:t xml:space="preserve"> Mechanical Trade</w:t>
            </w:r>
          </w:p>
        </w:tc>
        <w:tc>
          <w:tcPr>
            <w:tcW w:w="1276" w:type="dxa"/>
            <w:shd w:val="clear" w:color="auto" w:fill="auto"/>
            <w:tcMar>
              <w:top w:w="0" w:type="dxa"/>
              <w:left w:w="20" w:type="dxa"/>
              <w:bottom w:w="20" w:type="dxa"/>
              <w:right w:w="0" w:type="dxa"/>
            </w:tcMar>
            <w:vAlign w:val="bottom"/>
          </w:tcPr>
          <w:p w14:paraId="73E67637" w14:textId="77777777" w:rsidR="003D355F" w:rsidRDefault="009B4045">
            <w:pPr>
              <w:pStyle w:val="Insidebox"/>
              <w:spacing w:before="40" w:after="40"/>
              <w:jc w:val="center"/>
              <w:rPr>
                <w:sz w:val="18"/>
              </w:rPr>
            </w:pPr>
            <w:r w:rsidRPr="00661806">
              <w:rPr>
                <w:sz w:val="18"/>
              </w:rPr>
              <w:t>43</w:t>
            </w:r>
          </w:p>
        </w:tc>
      </w:tr>
      <w:tr w:rsidR="006715C7" w:rsidRPr="00661806" w14:paraId="6DEAACE3" w14:textId="77777777" w:rsidTr="006715C7">
        <w:trPr>
          <w:trHeight w:val="264"/>
          <w:tblCellSpacing w:w="0" w:type="dxa"/>
        </w:trPr>
        <w:tc>
          <w:tcPr>
            <w:tcW w:w="2997" w:type="dxa"/>
            <w:shd w:val="clear" w:color="auto" w:fill="auto"/>
            <w:tcMar>
              <w:top w:w="0" w:type="dxa"/>
              <w:left w:w="20" w:type="dxa"/>
              <w:bottom w:w="20" w:type="dxa"/>
              <w:right w:w="0" w:type="dxa"/>
            </w:tcMar>
            <w:vAlign w:val="bottom"/>
          </w:tcPr>
          <w:p w14:paraId="488BA356" w14:textId="77777777" w:rsidR="009B4045" w:rsidRPr="00661806" w:rsidRDefault="009B4045" w:rsidP="00661806">
            <w:pPr>
              <w:pStyle w:val="Insidebox"/>
              <w:spacing w:before="40" w:after="40"/>
              <w:rPr>
                <w:sz w:val="18"/>
              </w:rPr>
            </w:pPr>
            <w:r w:rsidRPr="00661806">
              <w:rPr>
                <w:sz w:val="18"/>
              </w:rPr>
              <w:t>Cert III Painting/Decorating</w:t>
            </w:r>
          </w:p>
        </w:tc>
        <w:tc>
          <w:tcPr>
            <w:tcW w:w="1276" w:type="dxa"/>
            <w:shd w:val="clear" w:color="auto" w:fill="auto"/>
            <w:tcMar>
              <w:top w:w="0" w:type="dxa"/>
              <w:left w:w="20" w:type="dxa"/>
              <w:bottom w:w="20" w:type="dxa"/>
              <w:right w:w="0" w:type="dxa"/>
            </w:tcMar>
            <w:vAlign w:val="bottom"/>
          </w:tcPr>
          <w:p w14:paraId="3005E9E4" w14:textId="77777777" w:rsidR="003D355F" w:rsidRDefault="009B4045">
            <w:pPr>
              <w:pStyle w:val="Insidebox"/>
              <w:spacing w:before="40" w:after="40"/>
              <w:jc w:val="center"/>
              <w:rPr>
                <w:sz w:val="18"/>
              </w:rPr>
            </w:pPr>
            <w:r w:rsidRPr="00661806">
              <w:rPr>
                <w:sz w:val="18"/>
              </w:rPr>
              <w:t>38</w:t>
            </w:r>
          </w:p>
        </w:tc>
      </w:tr>
      <w:tr w:rsidR="006715C7" w:rsidRPr="00661806" w14:paraId="3A157C88" w14:textId="77777777" w:rsidTr="006715C7">
        <w:trPr>
          <w:trHeight w:val="264"/>
          <w:tblCellSpacing w:w="0" w:type="dxa"/>
        </w:trPr>
        <w:tc>
          <w:tcPr>
            <w:tcW w:w="2997" w:type="dxa"/>
            <w:shd w:val="clear" w:color="auto" w:fill="auto"/>
            <w:tcMar>
              <w:top w:w="0" w:type="dxa"/>
              <w:left w:w="20" w:type="dxa"/>
              <w:bottom w:w="20" w:type="dxa"/>
              <w:right w:w="0" w:type="dxa"/>
            </w:tcMar>
            <w:vAlign w:val="bottom"/>
          </w:tcPr>
          <w:p w14:paraId="5EF7713B" w14:textId="57190994" w:rsidR="009B4045" w:rsidRPr="00661806" w:rsidRDefault="009B4045" w:rsidP="00703F94">
            <w:pPr>
              <w:pStyle w:val="Insidebox"/>
              <w:spacing w:before="40" w:after="40"/>
              <w:rPr>
                <w:sz w:val="18"/>
              </w:rPr>
            </w:pPr>
            <w:r w:rsidRPr="00661806">
              <w:rPr>
                <w:sz w:val="18"/>
              </w:rPr>
              <w:t>Cert III Wall &amp; Floor Tiling</w:t>
            </w:r>
          </w:p>
        </w:tc>
        <w:tc>
          <w:tcPr>
            <w:tcW w:w="1276" w:type="dxa"/>
            <w:shd w:val="clear" w:color="auto" w:fill="auto"/>
            <w:tcMar>
              <w:top w:w="0" w:type="dxa"/>
              <w:left w:w="20" w:type="dxa"/>
              <w:bottom w:w="20" w:type="dxa"/>
              <w:right w:w="0" w:type="dxa"/>
            </w:tcMar>
            <w:vAlign w:val="bottom"/>
          </w:tcPr>
          <w:p w14:paraId="55BFCC82" w14:textId="77777777" w:rsidR="003D355F" w:rsidRDefault="009B4045">
            <w:pPr>
              <w:pStyle w:val="Insidebox"/>
              <w:spacing w:before="40" w:after="40"/>
              <w:jc w:val="center"/>
              <w:rPr>
                <w:sz w:val="18"/>
              </w:rPr>
            </w:pPr>
            <w:r w:rsidRPr="00661806">
              <w:rPr>
                <w:sz w:val="18"/>
              </w:rPr>
              <w:t>36</w:t>
            </w:r>
          </w:p>
        </w:tc>
      </w:tr>
      <w:tr w:rsidR="006715C7" w:rsidRPr="00661806" w14:paraId="2E8CA7F5" w14:textId="77777777" w:rsidTr="006715C7">
        <w:trPr>
          <w:trHeight w:val="264"/>
          <w:tblCellSpacing w:w="0" w:type="dxa"/>
        </w:trPr>
        <w:tc>
          <w:tcPr>
            <w:tcW w:w="2997" w:type="dxa"/>
            <w:shd w:val="clear" w:color="auto" w:fill="auto"/>
            <w:tcMar>
              <w:top w:w="0" w:type="dxa"/>
              <w:left w:w="20" w:type="dxa"/>
              <w:bottom w:w="20" w:type="dxa"/>
              <w:right w:w="0" w:type="dxa"/>
            </w:tcMar>
            <w:vAlign w:val="bottom"/>
          </w:tcPr>
          <w:p w14:paraId="6557370F" w14:textId="77777777" w:rsidR="009B4045" w:rsidRPr="00661806" w:rsidRDefault="009B4045" w:rsidP="00661806">
            <w:pPr>
              <w:pStyle w:val="Insidebox"/>
              <w:spacing w:before="40" w:after="40"/>
              <w:rPr>
                <w:sz w:val="18"/>
              </w:rPr>
            </w:pPr>
            <w:r w:rsidRPr="00661806">
              <w:rPr>
                <w:sz w:val="18"/>
              </w:rPr>
              <w:t>Cert III Auto Mech Technology</w:t>
            </w:r>
          </w:p>
        </w:tc>
        <w:tc>
          <w:tcPr>
            <w:tcW w:w="1276" w:type="dxa"/>
            <w:shd w:val="clear" w:color="auto" w:fill="auto"/>
            <w:tcMar>
              <w:top w:w="0" w:type="dxa"/>
              <w:left w:w="20" w:type="dxa"/>
              <w:bottom w:w="20" w:type="dxa"/>
              <w:right w:w="0" w:type="dxa"/>
            </w:tcMar>
            <w:vAlign w:val="bottom"/>
          </w:tcPr>
          <w:p w14:paraId="5DE8297E" w14:textId="77777777" w:rsidR="003D355F" w:rsidRDefault="009B4045">
            <w:pPr>
              <w:pStyle w:val="Insidebox"/>
              <w:spacing w:before="40" w:after="40"/>
              <w:jc w:val="center"/>
              <w:rPr>
                <w:sz w:val="18"/>
              </w:rPr>
            </w:pPr>
            <w:r w:rsidRPr="00661806">
              <w:rPr>
                <w:sz w:val="18"/>
              </w:rPr>
              <w:t>35</w:t>
            </w:r>
          </w:p>
        </w:tc>
      </w:tr>
      <w:tr w:rsidR="006715C7" w:rsidRPr="00661806" w14:paraId="1D04BA8A" w14:textId="77777777" w:rsidTr="006715C7">
        <w:trPr>
          <w:trHeight w:val="264"/>
          <w:tblCellSpacing w:w="0" w:type="dxa"/>
        </w:trPr>
        <w:tc>
          <w:tcPr>
            <w:tcW w:w="2997" w:type="dxa"/>
            <w:shd w:val="clear" w:color="auto" w:fill="auto"/>
            <w:tcMar>
              <w:top w:w="0" w:type="dxa"/>
              <w:left w:w="20" w:type="dxa"/>
              <w:bottom w:w="20" w:type="dxa"/>
              <w:right w:w="0" w:type="dxa"/>
            </w:tcMar>
            <w:vAlign w:val="bottom"/>
          </w:tcPr>
          <w:p w14:paraId="65142C08" w14:textId="77777777" w:rsidR="009B4045" w:rsidRPr="00661806" w:rsidRDefault="009B4045" w:rsidP="00661806">
            <w:pPr>
              <w:pStyle w:val="Insidebox"/>
              <w:spacing w:before="40" w:after="40"/>
              <w:rPr>
                <w:sz w:val="18"/>
              </w:rPr>
            </w:pPr>
            <w:r w:rsidRPr="00661806">
              <w:rPr>
                <w:sz w:val="18"/>
              </w:rPr>
              <w:t>Cert III Carpentry</w:t>
            </w:r>
          </w:p>
        </w:tc>
        <w:tc>
          <w:tcPr>
            <w:tcW w:w="1276" w:type="dxa"/>
            <w:shd w:val="clear" w:color="auto" w:fill="auto"/>
            <w:tcMar>
              <w:top w:w="0" w:type="dxa"/>
              <w:left w:w="20" w:type="dxa"/>
              <w:bottom w:w="20" w:type="dxa"/>
              <w:right w:w="0" w:type="dxa"/>
            </w:tcMar>
            <w:vAlign w:val="bottom"/>
          </w:tcPr>
          <w:p w14:paraId="51EA1A6D" w14:textId="77777777" w:rsidR="003D355F" w:rsidRDefault="009B4045">
            <w:pPr>
              <w:pStyle w:val="Insidebox"/>
              <w:spacing w:before="40" w:after="40"/>
              <w:jc w:val="center"/>
              <w:rPr>
                <w:sz w:val="18"/>
              </w:rPr>
            </w:pPr>
            <w:r w:rsidRPr="00661806">
              <w:rPr>
                <w:sz w:val="18"/>
              </w:rPr>
              <w:t>33</w:t>
            </w:r>
          </w:p>
        </w:tc>
      </w:tr>
      <w:tr w:rsidR="006715C7" w:rsidRPr="00661806" w14:paraId="2590D6B7" w14:textId="77777777" w:rsidTr="006715C7">
        <w:trPr>
          <w:trHeight w:val="264"/>
          <w:tblCellSpacing w:w="0" w:type="dxa"/>
        </w:trPr>
        <w:tc>
          <w:tcPr>
            <w:tcW w:w="2997" w:type="dxa"/>
            <w:shd w:val="clear" w:color="auto" w:fill="auto"/>
            <w:tcMar>
              <w:top w:w="0" w:type="dxa"/>
              <w:left w:w="20" w:type="dxa"/>
              <w:bottom w:w="20" w:type="dxa"/>
              <w:right w:w="0" w:type="dxa"/>
            </w:tcMar>
            <w:vAlign w:val="bottom"/>
          </w:tcPr>
          <w:p w14:paraId="59750C09" w14:textId="77777777" w:rsidR="009B4045" w:rsidRPr="00661806" w:rsidRDefault="009B4045" w:rsidP="00661806">
            <w:pPr>
              <w:pStyle w:val="Insidebox"/>
              <w:spacing w:before="40" w:after="40"/>
              <w:rPr>
                <w:sz w:val="18"/>
              </w:rPr>
            </w:pPr>
            <w:r w:rsidRPr="00661806">
              <w:rPr>
                <w:sz w:val="18"/>
              </w:rPr>
              <w:t>Cert III Tourism</w:t>
            </w:r>
          </w:p>
        </w:tc>
        <w:tc>
          <w:tcPr>
            <w:tcW w:w="1276" w:type="dxa"/>
            <w:shd w:val="clear" w:color="auto" w:fill="auto"/>
            <w:tcMar>
              <w:top w:w="0" w:type="dxa"/>
              <w:left w:w="20" w:type="dxa"/>
              <w:bottom w:w="20" w:type="dxa"/>
              <w:right w:w="0" w:type="dxa"/>
            </w:tcMar>
            <w:vAlign w:val="bottom"/>
          </w:tcPr>
          <w:p w14:paraId="7A5B8F2E" w14:textId="77777777" w:rsidR="003D355F" w:rsidRDefault="009B4045">
            <w:pPr>
              <w:pStyle w:val="Insidebox"/>
              <w:spacing w:before="40" w:after="40"/>
              <w:jc w:val="center"/>
              <w:rPr>
                <w:sz w:val="18"/>
              </w:rPr>
            </w:pPr>
            <w:r w:rsidRPr="00661806">
              <w:rPr>
                <w:sz w:val="18"/>
              </w:rPr>
              <w:t>33</w:t>
            </w:r>
          </w:p>
        </w:tc>
      </w:tr>
      <w:tr w:rsidR="006715C7" w:rsidRPr="00661806" w14:paraId="620FA9D1" w14:textId="77777777" w:rsidTr="006715C7">
        <w:trPr>
          <w:trHeight w:val="264"/>
          <w:tblCellSpacing w:w="0" w:type="dxa"/>
        </w:trPr>
        <w:tc>
          <w:tcPr>
            <w:tcW w:w="2997" w:type="dxa"/>
            <w:shd w:val="clear" w:color="auto" w:fill="auto"/>
            <w:tcMar>
              <w:top w:w="0" w:type="dxa"/>
              <w:left w:w="20" w:type="dxa"/>
              <w:bottom w:w="20" w:type="dxa"/>
              <w:right w:w="0" w:type="dxa"/>
            </w:tcMar>
            <w:vAlign w:val="bottom"/>
          </w:tcPr>
          <w:p w14:paraId="4089FFD3" w14:textId="77777777" w:rsidR="009B4045" w:rsidRPr="00661806" w:rsidRDefault="009B4045" w:rsidP="00661806">
            <w:pPr>
              <w:pStyle w:val="Insidebox"/>
              <w:spacing w:before="40" w:after="40"/>
              <w:rPr>
                <w:sz w:val="18"/>
              </w:rPr>
            </w:pPr>
            <w:r w:rsidRPr="00661806">
              <w:rPr>
                <w:sz w:val="18"/>
              </w:rPr>
              <w:t>Cert IV Hospitality (supervision)</w:t>
            </w:r>
          </w:p>
        </w:tc>
        <w:tc>
          <w:tcPr>
            <w:tcW w:w="1276" w:type="dxa"/>
            <w:shd w:val="clear" w:color="auto" w:fill="auto"/>
            <w:tcMar>
              <w:top w:w="0" w:type="dxa"/>
              <w:left w:w="20" w:type="dxa"/>
              <w:bottom w:w="20" w:type="dxa"/>
              <w:right w:w="0" w:type="dxa"/>
            </w:tcMar>
            <w:vAlign w:val="bottom"/>
          </w:tcPr>
          <w:p w14:paraId="09281739" w14:textId="77777777" w:rsidR="003D355F" w:rsidRDefault="009B4045">
            <w:pPr>
              <w:pStyle w:val="Insidebox"/>
              <w:spacing w:before="40" w:after="40"/>
              <w:jc w:val="center"/>
              <w:rPr>
                <w:sz w:val="18"/>
              </w:rPr>
            </w:pPr>
            <w:r w:rsidRPr="00661806">
              <w:rPr>
                <w:sz w:val="18"/>
              </w:rPr>
              <w:t>30</w:t>
            </w:r>
          </w:p>
        </w:tc>
      </w:tr>
      <w:tr w:rsidR="006715C7" w:rsidRPr="00661806" w14:paraId="42127E88" w14:textId="77777777" w:rsidTr="006715C7">
        <w:trPr>
          <w:trHeight w:val="264"/>
          <w:tblCellSpacing w:w="0" w:type="dxa"/>
        </w:trPr>
        <w:tc>
          <w:tcPr>
            <w:tcW w:w="2997" w:type="dxa"/>
            <w:shd w:val="clear" w:color="auto" w:fill="auto"/>
            <w:tcMar>
              <w:top w:w="0" w:type="dxa"/>
              <w:left w:w="20" w:type="dxa"/>
              <w:bottom w:w="20" w:type="dxa"/>
              <w:right w:w="0" w:type="dxa"/>
            </w:tcMar>
            <w:vAlign w:val="bottom"/>
          </w:tcPr>
          <w:p w14:paraId="0DF2950A" w14:textId="77777777" w:rsidR="009B4045" w:rsidRPr="00661806" w:rsidRDefault="009B4045" w:rsidP="00661806">
            <w:pPr>
              <w:pStyle w:val="Insidebox"/>
              <w:spacing w:before="40" w:after="40"/>
              <w:rPr>
                <w:sz w:val="18"/>
              </w:rPr>
            </w:pPr>
            <w:r w:rsidRPr="00661806">
              <w:rPr>
                <w:sz w:val="18"/>
              </w:rPr>
              <w:t>Cert III Hospitality (operations)</w:t>
            </w:r>
          </w:p>
        </w:tc>
        <w:tc>
          <w:tcPr>
            <w:tcW w:w="1276" w:type="dxa"/>
            <w:shd w:val="clear" w:color="auto" w:fill="auto"/>
            <w:tcMar>
              <w:top w:w="0" w:type="dxa"/>
              <w:left w:w="20" w:type="dxa"/>
              <w:bottom w:w="20" w:type="dxa"/>
              <w:right w:w="0" w:type="dxa"/>
            </w:tcMar>
            <w:vAlign w:val="bottom"/>
          </w:tcPr>
          <w:p w14:paraId="2E4C5981" w14:textId="77777777" w:rsidR="003D355F" w:rsidRDefault="009B4045">
            <w:pPr>
              <w:pStyle w:val="Insidebox"/>
              <w:spacing w:before="40" w:after="40"/>
              <w:jc w:val="center"/>
              <w:rPr>
                <w:sz w:val="18"/>
              </w:rPr>
            </w:pPr>
            <w:r w:rsidRPr="00661806">
              <w:rPr>
                <w:sz w:val="18"/>
              </w:rPr>
              <w:t>27</w:t>
            </w:r>
          </w:p>
        </w:tc>
      </w:tr>
      <w:tr w:rsidR="006715C7" w:rsidRPr="00661806" w14:paraId="3138D020" w14:textId="77777777" w:rsidTr="006715C7">
        <w:trPr>
          <w:trHeight w:val="264"/>
          <w:tblCellSpacing w:w="0" w:type="dxa"/>
        </w:trPr>
        <w:tc>
          <w:tcPr>
            <w:tcW w:w="2997" w:type="dxa"/>
            <w:shd w:val="clear" w:color="auto" w:fill="auto"/>
            <w:tcMar>
              <w:top w:w="0" w:type="dxa"/>
              <w:left w:w="20" w:type="dxa"/>
              <w:bottom w:w="20" w:type="dxa"/>
              <w:right w:w="0" w:type="dxa"/>
            </w:tcMar>
            <w:vAlign w:val="bottom"/>
          </w:tcPr>
          <w:p w14:paraId="5A8D0AFC" w14:textId="77777777" w:rsidR="009B4045" w:rsidRPr="00661806" w:rsidRDefault="009B4045" w:rsidP="00661806">
            <w:pPr>
              <w:pStyle w:val="Insidebox"/>
              <w:spacing w:before="40" w:after="40"/>
              <w:rPr>
                <w:sz w:val="18"/>
              </w:rPr>
            </w:pPr>
            <w:r w:rsidRPr="00661806">
              <w:rPr>
                <w:sz w:val="18"/>
              </w:rPr>
              <w:t>Cert III Children’s Services</w:t>
            </w:r>
          </w:p>
        </w:tc>
        <w:tc>
          <w:tcPr>
            <w:tcW w:w="1276" w:type="dxa"/>
            <w:shd w:val="clear" w:color="auto" w:fill="auto"/>
            <w:tcMar>
              <w:top w:w="0" w:type="dxa"/>
              <w:left w:w="20" w:type="dxa"/>
              <w:bottom w:w="20" w:type="dxa"/>
              <w:right w:w="0" w:type="dxa"/>
            </w:tcMar>
            <w:vAlign w:val="bottom"/>
          </w:tcPr>
          <w:p w14:paraId="6FEB4EBE" w14:textId="77777777" w:rsidR="003D355F" w:rsidRDefault="009B4045">
            <w:pPr>
              <w:pStyle w:val="Insidebox"/>
              <w:spacing w:before="40" w:after="40"/>
              <w:jc w:val="center"/>
              <w:rPr>
                <w:sz w:val="18"/>
              </w:rPr>
            </w:pPr>
            <w:r w:rsidRPr="00661806">
              <w:rPr>
                <w:sz w:val="18"/>
              </w:rPr>
              <w:t>27</w:t>
            </w:r>
          </w:p>
        </w:tc>
      </w:tr>
      <w:tr w:rsidR="009B4045" w:rsidRPr="00661806" w14:paraId="5602E9F8" w14:textId="77777777" w:rsidTr="006715C7">
        <w:trPr>
          <w:trHeight w:val="264"/>
          <w:tblCellSpacing w:w="0" w:type="dxa"/>
        </w:trPr>
        <w:tc>
          <w:tcPr>
            <w:tcW w:w="4273" w:type="dxa"/>
            <w:gridSpan w:val="2"/>
            <w:tcBorders>
              <w:top w:val="single" w:sz="4" w:space="0" w:color="C5E0B3" w:themeColor="accent6" w:themeTint="66"/>
            </w:tcBorders>
            <w:shd w:val="clear" w:color="auto" w:fill="auto"/>
            <w:tcMar>
              <w:top w:w="0" w:type="dxa"/>
              <w:left w:w="20" w:type="dxa"/>
              <w:bottom w:w="20" w:type="dxa"/>
              <w:right w:w="0" w:type="dxa"/>
            </w:tcMar>
            <w:vAlign w:val="bottom"/>
          </w:tcPr>
          <w:p w14:paraId="6B953443" w14:textId="3804DBCC" w:rsidR="009B4045" w:rsidRPr="00661806" w:rsidRDefault="009B4045" w:rsidP="004A5634">
            <w:pPr>
              <w:pStyle w:val="Insidebox"/>
              <w:spacing w:before="40" w:after="40"/>
              <w:rPr>
                <w:sz w:val="14"/>
              </w:rPr>
            </w:pPr>
          </w:p>
        </w:tc>
      </w:tr>
    </w:tbl>
    <w:p w14:paraId="48D6C435" w14:textId="33F53B83" w:rsidR="003D355F" w:rsidRDefault="006715C7">
      <w:r w:rsidRPr="00A71DF0">
        <w:rPr>
          <w:sz w:val="16"/>
        </w:rPr>
        <w:t xml:space="preserve">Source: </w:t>
      </w:r>
      <w:r>
        <w:rPr>
          <w:sz w:val="16"/>
        </w:rPr>
        <w:t xml:space="preserve">NCVER </w:t>
      </w:r>
      <w:r w:rsidRPr="00A71DF0">
        <w:rPr>
          <w:sz w:val="16"/>
        </w:rPr>
        <w:t>APTC Graduates Down the Track survey, December 2013</w:t>
      </w:r>
      <w:r>
        <w:rPr>
          <w:sz w:val="16"/>
        </w:rPr>
        <w:t xml:space="preserve"> </w:t>
      </w:r>
      <w:r>
        <w:rPr>
          <w:sz w:val="16"/>
        </w:rPr>
        <w:br/>
        <w:t xml:space="preserve">– (based on </w:t>
      </w:r>
      <w:r w:rsidRPr="004A5634">
        <w:rPr>
          <w:sz w:val="16"/>
        </w:rPr>
        <w:t xml:space="preserve">percentage of each qualification giving a rating of five on </w:t>
      </w:r>
      <w:r>
        <w:rPr>
          <w:sz w:val="16"/>
        </w:rPr>
        <w:t xml:space="preserve">a five-point scale </w:t>
      </w:r>
      <w:r>
        <w:rPr>
          <w:sz w:val="16"/>
        </w:rPr>
        <w:br/>
        <w:t>of intention to move country or region)</w:t>
      </w:r>
    </w:p>
    <w:p w14:paraId="028733BB" w14:textId="3D52447D" w:rsidR="003D355F" w:rsidRDefault="00145A61" w:rsidP="002028A6">
      <w:pPr>
        <w:pStyle w:val="Heading2"/>
      </w:pPr>
      <w:bookmarkStart w:id="819" w:name="_Toc274145167"/>
      <w:bookmarkStart w:id="820" w:name="_Toc274900550"/>
      <w:bookmarkStart w:id="821" w:name="_Toc274909937"/>
      <w:bookmarkStart w:id="822" w:name="_Toc278447954"/>
      <w:bookmarkStart w:id="823" w:name="_Toc278453427"/>
      <w:r>
        <w:t xml:space="preserve">11.2 </w:t>
      </w:r>
      <w:r w:rsidR="00D82E04">
        <w:tab/>
      </w:r>
      <w:r w:rsidR="009B4045" w:rsidRPr="00631294">
        <w:t xml:space="preserve">Does </w:t>
      </w:r>
      <w:r w:rsidR="009B4045">
        <w:t xml:space="preserve">APTC </w:t>
      </w:r>
      <w:r w:rsidR="009B4045" w:rsidRPr="00631294">
        <w:t>provide valid international qualifications?</w:t>
      </w:r>
      <w:bookmarkEnd w:id="819"/>
      <w:bookmarkEnd w:id="820"/>
      <w:bookmarkEnd w:id="821"/>
      <w:bookmarkEnd w:id="822"/>
      <w:bookmarkEnd w:id="823"/>
      <w:r w:rsidR="009B4045" w:rsidRPr="00631294">
        <w:t xml:space="preserve"> </w:t>
      </w:r>
    </w:p>
    <w:p w14:paraId="17D84A27" w14:textId="77777777" w:rsidR="009B4045" w:rsidRDefault="009B4045" w:rsidP="009B4045">
      <w:pPr>
        <w:rPr>
          <w:rFonts w:cs="Arial"/>
          <w:szCs w:val="22"/>
        </w:rPr>
      </w:pPr>
      <w:r>
        <w:rPr>
          <w:rFonts w:cs="Arial"/>
          <w:szCs w:val="22"/>
        </w:rPr>
        <w:t>APTC does provide valid international qualifications but many are not at a level which is sufficient to enter Australia or New Zealand as a skilled migrant. As noted above, APTC graduates see their qualification as giving them the chance to work in Australia and New Zealand. However, APTC has not provided eligible qualifications to enable most APTC graduates to migrate to work in Australia or New Zealand. T</w:t>
      </w:r>
      <w:r w:rsidRPr="0090481B">
        <w:rPr>
          <w:rFonts w:cs="Arial"/>
          <w:szCs w:val="22"/>
        </w:rPr>
        <w:t xml:space="preserve">he proportion of graduates from Stage </w:t>
      </w:r>
      <w:r w:rsidR="0058128F">
        <w:rPr>
          <w:rFonts w:cs="Arial"/>
          <w:szCs w:val="22"/>
        </w:rPr>
        <w:t>I</w:t>
      </w:r>
      <w:r w:rsidR="00715214" w:rsidRPr="0090481B">
        <w:rPr>
          <w:rFonts w:cs="Arial"/>
          <w:szCs w:val="22"/>
        </w:rPr>
        <w:t xml:space="preserve"> </w:t>
      </w:r>
      <w:r w:rsidRPr="0090481B">
        <w:rPr>
          <w:rFonts w:cs="Arial"/>
          <w:szCs w:val="22"/>
        </w:rPr>
        <w:t xml:space="preserve">in eligible occupations and the required qualification level </w:t>
      </w:r>
      <w:r>
        <w:rPr>
          <w:rFonts w:cs="Arial"/>
          <w:szCs w:val="22"/>
        </w:rPr>
        <w:t xml:space="preserve">was </w:t>
      </w:r>
      <w:r w:rsidRPr="0090481B">
        <w:rPr>
          <w:rFonts w:cs="Arial"/>
          <w:szCs w:val="22"/>
        </w:rPr>
        <w:t xml:space="preserve">49 per cent. In Stage </w:t>
      </w:r>
      <w:r w:rsidR="0058128F">
        <w:rPr>
          <w:rFonts w:cs="Arial"/>
          <w:szCs w:val="22"/>
        </w:rPr>
        <w:t>II</w:t>
      </w:r>
      <w:r w:rsidR="00715214" w:rsidRPr="0090481B">
        <w:rPr>
          <w:rFonts w:cs="Arial"/>
          <w:szCs w:val="22"/>
        </w:rPr>
        <w:t xml:space="preserve"> </w:t>
      </w:r>
      <w:r w:rsidRPr="0090481B">
        <w:rPr>
          <w:rFonts w:cs="Arial"/>
          <w:szCs w:val="22"/>
        </w:rPr>
        <w:t xml:space="preserve">it is </w:t>
      </w:r>
      <w:r>
        <w:rPr>
          <w:rFonts w:cs="Arial"/>
          <w:szCs w:val="22"/>
        </w:rPr>
        <w:t xml:space="preserve">even less </w:t>
      </w:r>
      <w:r w:rsidR="00715214">
        <w:rPr>
          <w:rFonts w:cs="Arial"/>
          <w:szCs w:val="22"/>
        </w:rPr>
        <w:t>–</w:t>
      </w:r>
      <w:r>
        <w:rPr>
          <w:rFonts w:cs="Arial"/>
          <w:szCs w:val="22"/>
        </w:rPr>
        <w:t xml:space="preserve"> </w:t>
      </w:r>
      <w:r w:rsidRPr="0090481B">
        <w:rPr>
          <w:rFonts w:cs="Arial"/>
          <w:szCs w:val="22"/>
        </w:rPr>
        <w:t>42 per cent.</w:t>
      </w:r>
      <w:r>
        <w:rPr>
          <w:rFonts w:cs="Arial"/>
          <w:szCs w:val="22"/>
        </w:rPr>
        <w:t xml:space="preserve"> New industry entrants also may be ineligible if they do not have relevant employment experience or a sufficient record of post-qualification employment. </w:t>
      </w:r>
    </w:p>
    <w:p w14:paraId="5FA17D01" w14:textId="77777777" w:rsidR="009B4045" w:rsidRDefault="009B4045" w:rsidP="009B4045">
      <w:r>
        <w:rPr>
          <w:rFonts w:cs="Arial"/>
          <w:szCs w:val="22"/>
        </w:rPr>
        <w:t xml:space="preserve">Unlike the trades-based occupations of STT, most of the qualifications offered by SHCS are not at the required qualification level to gain skilled migrant entry to Australia. APTC graduates in the general or non-trades occupations with qualifications less than a diploma are not eligible to work in an approved occupation. VETASSESS, an Australian assessment agency which approves most migrants’ qualifications at sub-degree level, informed the review that it has no scope to assess relevant work experience as a substitute for a qualification. The means that APTC qualifications at </w:t>
      </w:r>
      <w:r w:rsidR="007F6D12">
        <w:rPr>
          <w:rFonts w:cs="Arial"/>
          <w:szCs w:val="22"/>
        </w:rPr>
        <w:t xml:space="preserve">Certificate </w:t>
      </w:r>
      <w:r>
        <w:rPr>
          <w:rFonts w:cs="Arial"/>
          <w:szCs w:val="22"/>
        </w:rPr>
        <w:t xml:space="preserve">III or IV levels do not meet the requirements of approved non-trades occupations. The three APTC Level IV </w:t>
      </w:r>
      <w:r w:rsidR="00920EC7">
        <w:rPr>
          <w:rFonts w:cs="Arial"/>
          <w:szCs w:val="22"/>
        </w:rPr>
        <w:t xml:space="preserve">Certificates </w:t>
      </w:r>
      <w:r>
        <w:rPr>
          <w:rFonts w:cs="Arial"/>
          <w:szCs w:val="22"/>
        </w:rPr>
        <w:t xml:space="preserve">in </w:t>
      </w:r>
      <w:r w:rsidR="00920EC7">
        <w:rPr>
          <w:rFonts w:cs="Arial"/>
          <w:szCs w:val="22"/>
        </w:rPr>
        <w:t>Disability</w:t>
      </w:r>
      <w:r>
        <w:rPr>
          <w:rFonts w:cs="Arial"/>
          <w:szCs w:val="22"/>
        </w:rPr>
        <w:t xml:space="preserve">, in </w:t>
      </w:r>
      <w:r w:rsidR="00920EC7">
        <w:rPr>
          <w:rFonts w:cs="Arial"/>
          <w:szCs w:val="22"/>
        </w:rPr>
        <w:t xml:space="preserve">Youth Work </w:t>
      </w:r>
      <w:r>
        <w:rPr>
          <w:rFonts w:cs="Arial"/>
          <w:szCs w:val="22"/>
        </w:rPr>
        <w:t xml:space="preserve">and in </w:t>
      </w:r>
      <w:r w:rsidR="00920EC7">
        <w:rPr>
          <w:rFonts w:cs="Arial"/>
          <w:szCs w:val="22"/>
        </w:rPr>
        <w:t xml:space="preserve">Community Development </w:t>
      </w:r>
      <w:r>
        <w:rPr>
          <w:rFonts w:cs="Arial"/>
          <w:szCs w:val="22"/>
        </w:rPr>
        <w:t xml:space="preserve">are only of value to the assessment of relevant employment experience required for skilled migrant entry. </w:t>
      </w:r>
    </w:p>
    <w:p w14:paraId="5145811B" w14:textId="77777777" w:rsidR="009B4045" w:rsidRDefault="009B4045" w:rsidP="009B4045">
      <w:pPr>
        <w:rPr>
          <w:rFonts w:cs="Arial"/>
          <w:szCs w:val="22"/>
        </w:rPr>
      </w:pPr>
      <w:r>
        <w:rPr>
          <w:rFonts w:cs="Arial"/>
          <w:szCs w:val="22"/>
        </w:rPr>
        <w:t xml:space="preserve">The only two qualifications offered by APTC that may meet the qualification threshold requirements of approved general occupations are </w:t>
      </w:r>
      <w:r w:rsidR="00404A9D">
        <w:rPr>
          <w:rFonts w:cs="Arial"/>
          <w:szCs w:val="22"/>
        </w:rPr>
        <w:t xml:space="preserve">the Diploma </w:t>
      </w:r>
      <w:r>
        <w:rPr>
          <w:rFonts w:cs="Arial"/>
          <w:szCs w:val="22"/>
        </w:rPr>
        <w:t xml:space="preserve">of </w:t>
      </w:r>
      <w:r w:rsidR="00404A9D">
        <w:rPr>
          <w:rFonts w:cs="Arial"/>
          <w:szCs w:val="22"/>
        </w:rPr>
        <w:t xml:space="preserve">Children’s Services </w:t>
      </w:r>
      <w:r>
        <w:rPr>
          <w:rFonts w:cs="Arial"/>
          <w:szCs w:val="22"/>
        </w:rPr>
        <w:t xml:space="preserve">and the </w:t>
      </w:r>
      <w:r w:rsidR="00404A9D">
        <w:rPr>
          <w:rFonts w:cs="Arial"/>
          <w:szCs w:val="22"/>
        </w:rPr>
        <w:t xml:space="preserve">Diploma </w:t>
      </w:r>
      <w:r>
        <w:rPr>
          <w:rFonts w:cs="Arial"/>
          <w:szCs w:val="22"/>
        </w:rPr>
        <w:t xml:space="preserve">of </w:t>
      </w:r>
      <w:r w:rsidR="00404A9D">
        <w:rPr>
          <w:rFonts w:cs="Arial"/>
          <w:szCs w:val="22"/>
        </w:rPr>
        <w:t>Community Services Work</w:t>
      </w:r>
      <w:r>
        <w:rPr>
          <w:rFonts w:cs="Arial"/>
          <w:szCs w:val="22"/>
        </w:rPr>
        <w:t>. However,</w:t>
      </w:r>
      <w:r w:rsidRPr="00C214B1">
        <w:rPr>
          <w:rFonts w:cs="Arial"/>
          <w:szCs w:val="22"/>
        </w:rPr>
        <w:t xml:space="preserve"> APTC is </w:t>
      </w:r>
      <w:r>
        <w:rPr>
          <w:rFonts w:cs="Arial"/>
          <w:szCs w:val="22"/>
        </w:rPr>
        <w:t xml:space="preserve">not offering </w:t>
      </w:r>
      <w:r w:rsidRPr="00C214B1">
        <w:rPr>
          <w:rFonts w:cs="Arial"/>
          <w:szCs w:val="22"/>
        </w:rPr>
        <w:t xml:space="preserve">the </w:t>
      </w:r>
      <w:r w:rsidR="00077FB1">
        <w:rPr>
          <w:rFonts w:cs="Arial"/>
          <w:szCs w:val="22"/>
        </w:rPr>
        <w:t>D</w:t>
      </w:r>
      <w:r w:rsidR="00077FB1" w:rsidRPr="00C214B1">
        <w:rPr>
          <w:rFonts w:cs="Arial"/>
          <w:szCs w:val="22"/>
        </w:rPr>
        <w:t xml:space="preserve">iploma </w:t>
      </w:r>
      <w:r w:rsidRPr="00C214B1">
        <w:rPr>
          <w:rFonts w:cs="Arial"/>
          <w:szCs w:val="22"/>
        </w:rPr>
        <w:t xml:space="preserve">of </w:t>
      </w:r>
      <w:r w:rsidR="00077FB1">
        <w:rPr>
          <w:rFonts w:cs="Arial"/>
          <w:szCs w:val="22"/>
        </w:rPr>
        <w:t>C</w:t>
      </w:r>
      <w:r w:rsidR="00077FB1" w:rsidRPr="00C214B1">
        <w:rPr>
          <w:rFonts w:cs="Arial"/>
          <w:szCs w:val="22"/>
        </w:rPr>
        <w:t>hildren</w:t>
      </w:r>
      <w:r w:rsidR="00077FB1">
        <w:rPr>
          <w:rFonts w:cs="Arial"/>
          <w:szCs w:val="22"/>
        </w:rPr>
        <w:t>’</w:t>
      </w:r>
      <w:r w:rsidR="00077FB1" w:rsidRPr="00C214B1">
        <w:rPr>
          <w:rFonts w:cs="Arial"/>
          <w:szCs w:val="22"/>
        </w:rPr>
        <w:t xml:space="preserve">s </w:t>
      </w:r>
      <w:r w:rsidR="00077FB1">
        <w:rPr>
          <w:rFonts w:cs="Arial"/>
          <w:szCs w:val="22"/>
        </w:rPr>
        <w:t>S</w:t>
      </w:r>
      <w:r w:rsidR="00077FB1" w:rsidRPr="00C214B1">
        <w:rPr>
          <w:rFonts w:cs="Arial"/>
          <w:szCs w:val="22"/>
        </w:rPr>
        <w:t>ervices</w:t>
      </w:r>
      <w:r w:rsidR="00077FB1">
        <w:rPr>
          <w:rFonts w:cs="Arial"/>
          <w:szCs w:val="22"/>
        </w:rPr>
        <w:t xml:space="preserve"> </w:t>
      </w:r>
      <w:r>
        <w:rPr>
          <w:rFonts w:cs="Arial"/>
          <w:szCs w:val="22"/>
        </w:rPr>
        <w:t xml:space="preserve">in the future after the current intake has graduated because the qualification </w:t>
      </w:r>
      <w:r w:rsidRPr="00C214B1">
        <w:rPr>
          <w:rFonts w:cs="Arial"/>
          <w:szCs w:val="22"/>
        </w:rPr>
        <w:t xml:space="preserve">has been superseded. </w:t>
      </w:r>
      <w:r>
        <w:rPr>
          <w:rFonts w:cs="Arial"/>
          <w:szCs w:val="22"/>
        </w:rPr>
        <w:t xml:space="preserve">The APTC </w:t>
      </w:r>
      <w:r w:rsidRPr="00C214B1">
        <w:rPr>
          <w:rFonts w:cs="Arial"/>
          <w:szCs w:val="22"/>
        </w:rPr>
        <w:t xml:space="preserve">will not offer the new </w:t>
      </w:r>
      <w:r w:rsidR="00B74881">
        <w:rPr>
          <w:rFonts w:cs="Arial"/>
          <w:szCs w:val="22"/>
        </w:rPr>
        <w:t>D</w:t>
      </w:r>
      <w:r w:rsidR="00B74881" w:rsidRPr="00C214B1">
        <w:rPr>
          <w:rFonts w:cs="Arial"/>
          <w:szCs w:val="22"/>
        </w:rPr>
        <w:t xml:space="preserve">iploma </w:t>
      </w:r>
      <w:r w:rsidRPr="00C214B1">
        <w:rPr>
          <w:rFonts w:cs="Arial"/>
          <w:szCs w:val="22"/>
        </w:rPr>
        <w:t xml:space="preserve">of </w:t>
      </w:r>
      <w:r w:rsidR="00B74881">
        <w:rPr>
          <w:rFonts w:cs="Arial"/>
          <w:szCs w:val="22"/>
        </w:rPr>
        <w:t>E</w:t>
      </w:r>
      <w:r w:rsidR="00B74881" w:rsidRPr="00C214B1">
        <w:rPr>
          <w:rFonts w:cs="Arial"/>
          <w:szCs w:val="22"/>
        </w:rPr>
        <w:t xml:space="preserve">arly </w:t>
      </w:r>
      <w:r w:rsidR="00B74881">
        <w:rPr>
          <w:rFonts w:cs="Arial"/>
          <w:szCs w:val="22"/>
        </w:rPr>
        <w:t>C</w:t>
      </w:r>
      <w:r w:rsidR="00B74881" w:rsidRPr="00C214B1">
        <w:rPr>
          <w:rFonts w:cs="Arial"/>
          <w:szCs w:val="22"/>
        </w:rPr>
        <w:t xml:space="preserve">hildhood </w:t>
      </w:r>
      <w:r w:rsidR="00B74881">
        <w:rPr>
          <w:rFonts w:cs="Arial"/>
          <w:szCs w:val="22"/>
        </w:rPr>
        <w:t>E</w:t>
      </w:r>
      <w:r w:rsidR="00B74881" w:rsidRPr="00C214B1">
        <w:rPr>
          <w:rFonts w:cs="Arial"/>
          <w:szCs w:val="22"/>
        </w:rPr>
        <w:t xml:space="preserve">ducation </w:t>
      </w:r>
      <w:r w:rsidRPr="00C214B1">
        <w:rPr>
          <w:rFonts w:cs="Arial"/>
          <w:szCs w:val="22"/>
        </w:rPr>
        <w:t xml:space="preserve">and </w:t>
      </w:r>
      <w:r w:rsidR="00B74881">
        <w:rPr>
          <w:rFonts w:cs="Arial"/>
          <w:szCs w:val="22"/>
        </w:rPr>
        <w:t>C</w:t>
      </w:r>
      <w:r w:rsidR="00B74881" w:rsidRPr="00C214B1">
        <w:rPr>
          <w:rFonts w:cs="Arial"/>
          <w:szCs w:val="22"/>
        </w:rPr>
        <w:t xml:space="preserve">are </w:t>
      </w:r>
      <w:r w:rsidRPr="00C214B1">
        <w:rPr>
          <w:rFonts w:cs="Arial"/>
          <w:szCs w:val="22"/>
        </w:rPr>
        <w:t xml:space="preserve">because </w:t>
      </w:r>
      <w:r>
        <w:rPr>
          <w:rFonts w:cs="Arial"/>
          <w:szCs w:val="22"/>
        </w:rPr>
        <w:t xml:space="preserve">the </w:t>
      </w:r>
      <w:r w:rsidRPr="00C214B1">
        <w:rPr>
          <w:rFonts w:cs="Arial"/>
          <w:szCs w:val="22"/>
        </w:rPr>
        <w:t>facilities requirements cannot be met</w:t>
      </w:r>
      <w:r>
        <w:rPr>
          <w:rFonts w:cs="Arial"/>
          <w:szCs w:val="22"/>
        </w:rPr>
        <w:t xml:space="preserve">. </w:t>
      </w:r>
    </w:p>
    <w:p w14:paraId="7276B84E" w14:textId="77777777" w:rsidR="009B4045" w:rsidRDefault="009B4045" w:rsidP="009B4045">
      <w:pPr>
        <w:rPr>
          <w:rFonts w:cs="Arial"/>
          <w:szCs w:val="22"/>
        </w:rPr>
      </w:pPr>
      <w:r>
        <w:rPr>
          <w:rFonts w:cs="Arial"/>
          <w:szCs w:val="22"/>
        </w:rPr>
        <w:t xml:space="preserve">The </w:t>
      </w:r>
      <w:r w:rsidR="00534EF9">
        <w:rPr>
          <w:rFonts w:cs="Arial"/>
          <w:szCs w:val="22"/>
        </w:rPr>
        <w:t xml:space="preserve">Diploma </w:t>
      </w:r>
      <w:r>
        <w:rPr>
          <w:rFonts w:cs="Arial"/>
          <w:szCs w:val="22"/>
        </w:rPr>
        <w:t xml:space="preserve">of </w:t>
      </w:r>
      <w:r w:rsidR="00534EF9">
        <w:rPr>
          <w:rFonts w:cs="Arial"/>
          <w:szCs w:val="22"/>
        </w:rPr>
        <w:t xml:space="preserve">Management </w:t>
      </w:r>
      <w:r>
        <w:rPr>
          <w:rFonts w:cs="Arial"/>
          <w:szCs w:val="22"/>
        </w:rPr>
        <w:t xml:space="preserve">may meet the threshold requirement for a managerial position in accommodation and hospitality, cafe or restaurant manager, residential care or </w:t>
      </w:r>
      <w:r w:rsidR="00D64CE8">
        <w:rPr>
          <w:rFonts w:cs="Arial"/>
          <w:szCs w:val="22"/>
        </w:rPr>
        <w:t xml:space="preserve">hair </w:t>
      </w:r>
      <w:r>
        <w:rPr>
          <w:rFonts w:cs="Arial"/>
          <w:szCs w:val="22"/>
        </w:rPr>
        <w:t xml:space="preserve">or </w:t>
      </w:r>
      <w:r w:rsidR="00D64CE8">
        <w:rPr>
          <w:rFonts w:cs="Arial"/>
          <w:szCs w:val="22"/>
        </w:rPr>
        <w:t xml:space="preserve">beauty salon manager </w:t>
      </w:r>
      <w:r>
        <w:rPr>
          <w:rFonts w:cs="Arial"/>
          <w:szCs w:val="22"/>
        </w:rPr>
        <w:t xml:space="preserve">if it is combined with a relevant Certificate III or IV qualification and relevant work experience. </w:t>
      </w:r>
    </w:p>
    <w:p w14:paraId="4F897DD3" w14:textId="181A5757" w:rsidR="003D355F" w:rsidRDefault="00145A61" w:rsidP="002028A6">
      <w:pPr>
        <w:pStyle w:val="Heading1"/>
      </w:pPr>
      <w:bookmarkStart w:id="824" w:name="_Toc278447955"/>
      <w:bookmarkStart w:id="825" w:name="_Toc278453428"/>
      <w:r>
        <w:t xml:space="preserve">12 </w:t>
      </w:r>
      <w:r w:rsidR="00D82E04">
        <w:tab/>
      </w:r>
      <w:r w:rsidR="009B4045" w:rsidRPr="00631294">
        <w:t>To what extent were APTC students and graduates provided information, search skills and support for regional and international employment?</w:t>
      </w:r>
      <w:bookmarkEnd w:id="824"/>
      <w:bookmarkEnd w:id="825"/>
    </w:p>
    <w:p w14:paraId="68ACDA4C" w14:textId="0C1A0E39" w:rsidR="009B4045" w:rsidRDefault="009B4045" w:rsidP="002F5BC4">
      <w:pPr>
        <w:pStyle w:val="BodyTextIndent"/>
        <w:ind w:left="0"/>
      </w:pPr>
      <w:r>
        <w:t xml:space="preserve">Feedback from APTC students and graduates shows that APTC did not provide information on overseas job opportunities. The Stage </w:t>
      </w:r>
      <w:r w:rsidR="00D52C26">
        <w:t>II</w:t>
      </w:r>
      <w:r w:rsidR="00D0660F">
        <w:t xml:space="preserve"> </w:t>
      </w:r>
      <w:r>
        <w:t xml:space="preserve">Scope of Services identifies the goals of the </w:t>
      </w:r>
      <w:r w:rsidR="00D0660F">
        <w:t>APTC-to-</w:t>
      </w:r>
      <w:r w:rsidR="00544C69">
        <w:t>W</w:t>
      </w:r>
      <w:r w:rsidR="00D0660F">
        <w:t xml:space="preserve">ork </w:t>
      </w:r>
      <w:r>
        <w:t xml:space="preserve">program as: ‘to improve employment rates and productivity’. Specifically, the program is to show students how to identify employment opportunities and to help them apply for work ‘domestically and overseas’ (Para 5.21). APTC, in the specification for an internal review of the program, acknowledges this information gap by stating that the review is to look at including additional content such as migration information for APTC students (APTC 2014). </w:t>
      </w:r>
    </w:p>
    <w:p w14:paraId="4A3F7CDC" w14:textId="5EA054C8" w:rsidR="009B4045" w:rsidRDefault="009B4045" w:rsidP="009B4045">
      <w:r>
        <w:t xml:space="preserve">Responses to the review team’s questionnaire showed that APTC did provide just over a majority of graduates with information about options for further study. However, in open-ended responses from graduates on suggestions to improve APTC, </w:t>
      </w:r>
      <w:r w:rsidRPr="00491693">
        <w:t xml:space="preserve">over </w:t>
      </w:r>
      <w:r w:rsidR="00544C69">
        <w:br/>
      </w:r>
      <w:r w:rsidRPr="00491693">
        <w:t>one</w:t>
      </w:r>
      <w:r w:rsidR="00517984">
        <w:t>-</w:t>
      </w:r>
      <w:r w:rsidRPr="00491693">
        <w:t xml:space="preserve">third of the responses (37 per cent) related to requests for help to find work and one-in-five comments (21 per cent) related specifically to a request for help to find work overseas, usually in Australia. </w:t>
      </w:r>
      <w:r>
        <w:t xml:space="preserve">Another set of open-ended responses by graduates on problems encountered in applying to migrate showed that their biggest problem was </w:t>
      </w:r>
      <w:r w:rsidRPr="005C30AA">
        <w:t>the lack of information or a suitable guide to turn to for help.</w:t>
      </w:r>
      <w:r>
        <w:t xml:space="preserve"> Graduates were also asked what steps they could take to overcome any problems they faced in seeking to migrate overseas. S</w:t>
      </w:r>
      <w:r w:rsidRPr="00B578E5">
        <w:t>eek</w:t>
      </w:r>
      <w:r>
        <w:t>ing</w:t>
      </w:r>
      <w:r w:rsidRPr="00B578E5">
        <w:t xml:space="preserve"> information from the APTC </w:t>
      </w:r>
      <w:r>
        <w:t xml:space="preserve">was the largest group of responses </w:t>
      </w:r>
      <w:r w:rsidRPr="00B578E5">
        <w:t xml:space="preserve">(28 per cent of all proposed steps). A further </w:t>
      </w:r>
      <w:r>
        <w:t>six</w:t>
      </w:r>
      <w:r w:rsidRPr="00B578E5">
        <w:t xml:space="preserve"> per cent of the</w:t>
      </w:r>
      <w:r>
        <w:t xml:space="preserve"> responses suggested that APTC sh</w:t>
      </w:r>
      <w:r w:rsidRPr="00B578E5">
        <w:t>ould help them find a job overseas.</w:t>
      </w:r>
    </w:p>
    <w:p w14:paraId="00A5E94E" w14:textId="77777777" w:rsidR="009B4045" w:rsidRDefault="009B4045" w:rsidP="009B4045">
      <w:r>
        <w:t>Current s</w:t>
      </w:r>
      <w:r w:rsidRPr="003A15C5">
        <w:t xml:space="preserve">tudents were asked whether APTC had given them good information about where to find jobs with the skills they are getting at APTC. Near to three-in-four students (73 per cent) were satisfied, </w:t>
      </w:r>
      <w:r w:rsidR="000B5114">
        <w:t xml:space="preserve">and </w:t>
      </w:r>
      <w:r w:rsidRPr="003A15C5">
        <w:t xml:space="preserve">two-in-five (43 per cent) </w:t>
      </w:r>
      <w:r>
        <w:t xml:space="preserve">were </w:t>
      </w:r>
      <w:r w:rsidRPr="003A15C5">
        <w:t>very satisfied.</w:t>
      </w:r>
      <w:r>
        <w:t xml:space="preserve"> However, other responses indicated that some APTC students wanted more help to find work after graduating. In response to a request for suggestions on changes to improve APTC, two-thirds of the students provided open-ended responses. One-in-three responses from students (32 per cent) referred to the need for APTC to help them to find work, and one-in-five responses (20 per cent) specifically requested help from APTC to find work overseas.</w:t>
      </w:r>
    </w:p>
    <w:p w14:paraId="77F3FF98" w14:textId="4595559C" w:rsidR="003D355F" w:rsidRDefault="009A25D2" w:rsidP="002028A6">
      <w:pPr>
        <w:pStyle w:val="Heading1"/>
      </w:pPr>
      <w:bookmarkStart w:id="826" w:name="_Toc278447956"/>
      <w:bookmarkStart w:id="827" w:name="_Toc278453429"/>
      <w:r>
        <w:t xml:space="preserve">13 </w:t>
      </w:r>
      <w:r w:rsidR="00D82E04">
        <w:tab/>
      </w:r>
      <w:r w:rsidR="009B4045">
        <w:t>Support needed to achieve APTC’s labour mobility objective</w:t>
      </w:r>
      <w:bookmarkEnd w:id="826"/>
      <w:bookmarkEnd w:id="827"/>
      <w:r w:rsidR="009B4045">
        <w:t xml:space="preserve"> </w:t>
      </w:r>
    </w:p>
    <w:p w14:paraId="66A15524" w14:textId="77777777" w:rsidR="009B4045" w:rsidRDefault="009B4045" w:rsidP="009B4045">
      <w:r>
        <w:t xml:space="preserve">Many Pacific employers see a conflict between the national and international focus of the APTC objective of helping </w:t>
      </w:r>
      <w:r w:rsidRPr="00C132AD">
        <w:t>Pacific Islander women and men with Australian qualifications realise improved employment opportunities</w:t>
      </w:r>
      <w:r>
        <w:t>. The employers who agree to release their employees to attend APTC and support them while they are students are entitled to have their investment protected. This principle should underpin APTC publicity about</w:t>
      </w:r>
      <w:r w:rsidR="00133B41">
        <w:t>,</w:t>
      </w:r>
      <w:r>
        <w:t xml:space="preserve"> and eligibility for</w:t>
      </w:r>
      <w:r w:rsidR="00133B41">
        <w:t>,</w:t>
      </w:r>
      <w:r>
        <w:t xml:space="preserve"> its support for APTC graduates to migrate overseas. </w:t>
      </w:r>
    </w:p>
    <w:p w14:paraId="564C333F" w14:textId="1D7EAD06" w:rsidR="009B4045" w:rsidRDefault="009B4045" w:rsidP="009B4045">
      <w:r>
        <w:t>APTC</w:t>
      </w:r>
      <w:r w:rsidR="00E02C21">
        <w:t>,</w:t>
      </w:r>
      <w:r>
        <w:t xml:space="preserve"> in the information it provides to students and graduates through the alumni network</w:t>
      </w:r>
      <w:r w:rsidR="00E02C21">
        <w:t>,</w:t>
      </w:r>
      <w:r>
        <w:t xml:space="preserve"> should give due emphasis to the importance of a job offer from an Australian or New Zealand employer. Analysis of the open-ended responses of graduates on problems encountered in seeking to migrate show that few graduates surveyed by the review team realised the importance of this essential step in the migration process. </w:t>
      </w:r>
    </w:p>
    <w:p w14:paraId="4456EAAD" w14:textId="77777777" w:rsidR="009B4045" w:rsidRDefault="009B4045" w:rsidP="009B4045">
      <w:pPr>
        <w:rPr>
          <w:rFonts w:cs="Arial"/>
          <w:szCs w:val="22"/>
        </w:rPr>
      </w:pPr>
      <w:r>
        <w:rPr>
          <w:rFonts w:cs="Arial"/>
          <w:szCs w:val="22"/>
        </w:rPr>
        <w:t>The most accessible way for most migrants with qualifications and work experience to apply to work in Australia and New Zealand is via a temporary skilled work visa. As noted above, this visa has become a pathway to permanent employment and residence. This means employers want to be involved directly in the selection process. Some employers</w:t>
      </w:r>
      <w:r w:rsidR="00F5522C">
        <w:rPr>
          <w:rFonts w:cs="Arial"/>
          <w:szCs w:val="22"/>
        </w:rPr>
        <w:t>,</w:t>
      </w:r>
      <w:r>
        <w:rPr>
          <w:rFonts w:cs="Arial"/>
          <w:szCs w:val="22"/>
        </w:rPr>
        <w:t xml:space="preserve"> such as mining and construction companies in PNG</w:t>
      </w:r>
      <w:r w:rsidR="00F5522C">
        <w:rPr>
          <w:rFonts w:cs="Arial"/>
          <w:szCs w:val="22"/>
        </w:rPr>
        <w:t>,</w:t>
      </w:r>
      <w:r>
        <w:rPr>
          <w:rFonts w:cs="Arial"/>
          <w:szCs w:val="22"/>
        </w:rPr>
        <w:t xml:space="preserve"> have direct experience of the standard of skills and work conditions of workers from the Pacific. However, many Australian employers do not have this background and so need the opportunity to gather first-hand knowledge of the capabilities of APTC graduates. </w:t>
      </w:r>
    </w:p>
    <w:p w14:paraId="5575D32D" w14:textId="77777777" w:rsidR="009B4045" w:rsidRDefault="009B4045" w:rsidP="009B4045">
      <w:r>
        <w:rPr>
          <w:rFonts w:cs="Arial"/>
          <w:szCs w:val="22"/>
        </w:rPr>
        <w:t xml:space="preserve">APTC graduates who want to migrate for work in Australia need information about the skills assessment process. Applicants for entry to work in Australia on a Temporary Work (Skilled) Visa (subclass 457) with trade-based Australian recognised qualifications do not have to have to undertake a skills assessment. They only need to submit evidence of their Australian qualification, relevant employment and undertake a technical interview. The interview assesses a person’s employability skills based on </w:t>
      </w:r>
      <w:r w:rsidR="00577D2F">
        <w:rPr>
          <w:rFonts w:cs="Arial"/>
          <w:szCs w:val="22"/>
        </w:rPr>
        <w:t>30 </w:t>
      </w:r>
      <w:r>
        <w:rPr>
          <w:rFonts w:cs="Arial"/>
          <w:szCs w:val="22"/>
        </w:rPr>
        <w:t>questions such as how do they plan their work day, and how they work safely.</w:t>
      </w:r>
      <w:r w:rsidRPr="00AF497C">
        <w:rPr>
          <w:rFonts w:cs="Arial"/>
          <w:szCs w:val="22"/>
        </w:rPr>
        <w:t xml:space="preserve"> </w:t>
      </w:r>
      <w:r>
        <w:rPr>
          <w:rFonts w:cs="Arial"/>
          <w:szCs w:val="22"/>
        </w:rPr>
        <w:t xml:space="preserve">The latter can be conducted online or face-to-face interview and usually lasts for </w:t>
      </w:r>
      <w:r w:rsidR="00577D2F">
        <w:rPr>
          <w:rFonts w:cs="Arial"/>
          <w:szCs w:val="22"/>
        </w:rPr>
        <w:t>30 </w:t>
      </w:r>
      <w:r>
        <w:rPr>
          <w:rFonts w:cs="Arial"/>
          <w:szCs w:val="22"/>
        </w:rPr>
        <w:t xml:space="preserve">minutes. </w:t>
      </w:r>
    </w:p>
    <w:p w14:paraId="24334781" w14:textId="77777777" w:rsidR="009B4045" w:rsidRDefault="009B4045" w:rsidP="009B4045">
      <w:r>
        <w:rPr>
          <w:rFonts w:cs="Arial"/>
          <w:szCs w:val="22"/>
        </w:rPr>
        <w:t xml:space="preserve">Problems may occur in assessing the relevance of type of employment and the extent of employment. Applicants may find it difficult to provide evidence of relevant employment. Asking for a letter from an employer can jeopardise an applicant’s current position. So VETASSESS seeks other evidence such as pay slips. However, if pay slips are not available, other forms of evidence need to be presented. APTC also needs to inform especially new industry entrants about relevant employment requirements and need for evidence of this employment so that they respond appropriately if they need to. </w:t>
      </w:r>
    </w:p>
    <w:p w14:paraId="5E4AF7C1" w14:textId="77777777" w:rsidR="009B4045" w:rsidRDefault="009B4045" w:rsidP="009B4045">
      <w:r>
        <w:rPr>
          <w:rFonts w:cs="Arial"/>
          <w:szCs w:val="22"/>
        </w:rPr>
        <w:t xml:space="preserve">In some cases, Australian employers, due to enterprise agreements, may not recognise APTC qualifications. For 33 APTC graduates from Papua New Guinea seeking to work in Australia in 2011 and 2012, there was a lack of compatibility between their qualification (APTC Certificate III in Engineering Mechanical Trades </w:t>
      </w:r>
      <w:r w:rsidR="00CA341F">
        <w:rPr>
          <w:rFonts w:cs="Arial"/>
          <w:szCs w:val="22"/>
        </w:rPr>
        <w:t>–</w:t>
      </w:r>
      <w:r>
        <w:rPr>
          <w:rFonts w:cs="Arial"/>
          <w:szCs w:val="22"/>
        </w:rPr>
        <w:t xml:space="preserve"> Fitting &amp; Machining) and the requirements of the workplace they were recruited for (Mechanical Fitter). VETASSESS addressed this by giving the APTC qualified workers from PNG a skills assessment, using the recognition of prior learning (RPL) process to give them a qualification (fitter) which compl</w:t>
      </w:r>
      <w:r w:rsidR="0006000B">
        <w:rPr>
          <w:rFonts w:cs="Arial"/>
          <w:szCs w:val="22"/>
        </w:rPr>
        <w:t>i</w:t>
      </w:r>
      <w:r>
        <w:rPr>
          <w:rFonts w:cs="Arial"/>
          <w:szCs w:val="22"/>
        </w:rPr>
        <w:t xml:space="preserve">ed with the union requirements for a worksite. Labour hire companies in PNG played a key role in managing this process. APTC may need to offer to conduct a similar RPL process where an Australian employer does not recognise an APTC qualification, due to enterprise agreement requirements. </w:t>
      </w:r>
    </w:p>
    <w:p w14:paraId="7D0F836C" w14:textId="2AD13751" w:rsidR="009B4045" w:rsidRDefault="009B4045" w:rsidP="009B4045">
      <w:pPr>
        <w:rPr>
          <w:rFonts w:cs="Arial"/>
          <w:szCs w:val="22"/>
        </w:rPr>
      </w:pPr>
      <w:r>
        <w:rPr>
          <w:rFonts w:cs="Arial"/>
          <w:szCs w:val="22"/>
        </w:rPr>
        <w:t>APTC graduates seeking to migrate to Australia need also to undertake a language test which is assessed separately to the qualification assessment process. Applicants for a work visa for all approved occupations below a certain high salary limit are required to show evidence of their proficiency in English.</w:t>
      </w:r>
      <w:r>
        <w:rPr>
          <w:rStyle w:val="FootnoteReference"/>
          <w:rFonts w:cs="Arial"/>
        </w:rPr>
        <w:footnoteReference w:id="56"/>
      </w:r>
      <w:r>
        <w:rPr>
          <w:rFonts w:cs="Arial"/>
          <w:szCs w:val="22"/>
        </w:rPr>
        <w:t xml:space="preserve"> The requirements are to meet an International English Language Testing System (IELTS) test score of at least</w:t>
      </w:r>
      <w:r w:rsidR="000E7024">
        <w:rPr>
          <w:rFonts w:cs="Arial"/>
          <w:szCs w:val="22"/>
        </w:rPr>
        <w:t> </w:t>
      </w:r>
      <w:r>
        <w:rPr>
          <w:rFonts w:cs="Arial"/>
          <w:szCs w:val="22"/>
        </w:rPr>
        <w:t>5 in each of the four test components of speaking, reading, writing and listening. The cost of this test is A</w:t>
      </w:r>
      <w:r w:rsidR="003C13A6">
        <w:rPr>
          <w:rFonts w:cs="Arial"/>
          <w:szCs w:val="22"/>
        </w:rPr>
        <w:t>UD</w:t>
      </w:r>
      <w:r>
        <w:rPr>
          <w:rFonts w:cs="Arial"/>
          <w:szCs w:val="22"/>
        </w:rPr>
        <w:t xml:space="preserve">330. APTC assesses and rates the English language capability of all applicants and puts considerable resources into helping students lift their language, literacy and numeracy skills. A valuable post-test of the improved English language capability </w:t>
      </w:r>
      <w:r w:rsidR="00C72AC8">
        <w:rPr>
          <w:rFonts w:cs="Arial"/>
          <w:szCs w:val="22"/>
        </w:rPr>
        <w:t xml:space="preserve">of graduates </w:t>
      </w:r>
      <w:r>
        <w:rPr>
          <w:rFonts w:cs="Arial"/>
          <w:szCs w:val="22"/>
        </w:rPr>
        <w:t xml:space="preserve">would be for APTC to conduct the IELTS test. </w:t>
      </w:r>
    </w:p>
    <w:p w14:paraId="5731BE0B" w14:textId="40625662" w:rsidR="009B4045" w:rsidRDefault="009B4045" w:rsidP="009B4045">
      <w:pPr>
        <w:rPr>
          <w:rFonts w:cs="Arial"/>
          <w:szCs w:val="22"/>
        </w:rPr>
      </w:pPr>
      <w:r>
        <w:rPr>
          <w:rFonts w:cs="Arial"/>
          <w:szCs w:val="22"/>
        </w:rPr>
        <w:t xml:space="preserve">APTC graduates wanting to migrate for work to Australia need also be informed about the </w:t>
      </w:r>
      <w:r w:rsidR="000E7024">
        <w:rPr>
          <w:rFonts w:cs="Arial"/>
          <w:szCs w:val="22"/>
        </w:rPr>
        <w:t xml:space="preserve">required </w:t>
      </w:r>
      <w:r>
        <w:rPr>
          <w:rFonts w:cs="Arial"/>
          <w:szCs w:val="22"/>
        </w:rPr>
        <w:t xml:space="preserve">character and health checks. To obtain the required evidence for the health check may involve some expense and advance planning. In the case of PNG applicants, for example, this requires obtaining a digital chest x-ray report to provide evidence of the absence of TB. The review team was told that obtaining this x-ray was expensive and only </w:t>
      </w:r>
      <w:r w:rsidR="00743CA6">
        <w:rPr>
          <w:rFonts w:cs="Arial"/>
          <w:szCs w:val="22"/>
        </w:rPr>
        <w:t xml:space="preserve">available </w:t>
      </w:r>
      <w:r>
        <w:rPr>
          <w:rFonts w:cs="Arial"/>
          <w:szCs w:val="22"/>
        </w:rPr>
        <w:t xml:space="preserve">from one location in Port Moresby. </w:t>
      </w:r>
    </w:p>
    <w:p w14:paraId="2A5496EC" w14:textId="77777777" w:rsidR="009B4045" w:rsidRDefault="009B4045" w:rsidP="009B4045">
      <w:pPr>
        <w:rPr>
          <w:rFonts w:cs="Arial"/>
          <w:szCs w:val="22"/>
        </w:rPr>
      </w:pPr>
      <w:r>
        <w:rPr>
          <w:rFonts w:cs="Arial"/>
          <w:szCs w:val="22"/>
        </w:rPr>
        <w:t xml:space="preserve">In summary, there are a number of potential ways APTC could help graduates interested in using their qualifications to work in Australia or New Zealand. </w:t>
      </w:r>
    </w:p>
    <w:p w14:paraId="0A2E96EE" w14:textId="77777777" w:rsidR="009B4045" w:rsidRDefault="009B4045" w:rsidP="009B4045">
      <w:pPr>
        <w:rPr>
          <w:rFonts w:cs="Arial"/>
          <w:szCs w:val="22"/>
        </w:rPr>
      </w:pPr>
      <w:r>
        <w:rPr>
          <w:rFonts w:cs="Arial"/>
          <w:szCs w:val="22"/>
        </w:rPr>
        <w:t xml:space="preserve">APTC needs to state on its website which of the qualifications it offers are eligible to work as a skilled migrant in Australia or New Zealand. APTC also should provide information on its website and via its teaching or support staff on how APTC graduates seeking to migrate to Australia have to undertake a number of steps to gaining a work visa in addition to obtaining an appropriate qualification. The APTC website should also provide a link to the information about the skills assessment and other requirements for skilled migrant entry to Australia and New Zealand. </w:t>
      </w:r>
    </w:p>
    <w:p w14:paraId="3860EEF8" w14:textId="0D021392" w:rsidR="003D355F" w:rsidRDefault="009A25D2" w:rsidP="002028A6">
      <w:pPr>
        <w:pStyle w:val="Heading1"/>
      </w:pPr>
      <w:bookmarkStart w:id="828" w:name="_Toc278447957"/>
      <w:bookmarkStart w:id="829" w:name="_Toc278453430"/>
      <w:r>
        <w:t xml:space="preserve">14 </w:t>
      </w:r>
      <w:r w:rsidR="00D82E04">
        <w:tab/>
      </w:r>
      <w:r w:rsidR="009B4045">
        <w:t>Conclusions</w:t>
      </w:r>
      <w:bookmarkEnd w:id="828"/>
      <w:bookmarkEnd w:id="829"/>
      <w:r w:rsidR="009B4045">
        <w:t xml:space="preserve"> </w:t>
      </w:r>
    </w:p>
    <w:p w14:paraId="79BC7702" w14:textId="77777777" w:rsidR="009B4045" w:rsidRDefault="009B4045" w:rsidP="009B4045">
      <w:pPr>
        <w:rPr>
          <w:rFonts w:cs="Arial"/>
          <w:szCs w:val="22"/>
        </w:rPr>
      </w:pPr>
      <w:r>
        <w:rPr>
          <w:rFonts w:cs="Arial"/>
          <w:szCs w:val="22"/>
        </w:rPr>
        <w:t xml:space="preserve">Few APTC graduates have migrated overseas and only a minority of those who did so came via skilled migrant entry. </w:t>
      </w:r>
      <w:r w:rsidR="00B1313C">
        <w:rPr>
          <w:rFonts w:cs="Arial"/>
          <w:szCs w:val="22"/>
        </w:rPr>
        <w:t>I</w:t>
      </w:r>
      <w:r>
        <w:rPr>
          <w:rFonts w:cs="Arial"/>
          <w:szCs w:val="22"/>
        </w:rPr>
        <w:t>n large part</w:t>
      </w:r>
      <w:r w:rsidR="00B1313C">
        <w:rPr>
          <w:rFonts w:cs="Arial"/>
          <w:szCs w:val="22"/>
        </w:rPr>
        <w:t>, this</w:t>
      </w:r>
      <w:r>
        <w:rPr>
          <w:rFonts w:cs="Arial"/>
          <w:szCs w:val="22"/>
        </w:rPr>
        <w:t xml:space="preserve"> is due to APTC’s lack of promotion of its labour mobility objective. Another key obstacle is graduates’ lack of information on a range of issues. These relate to what qualifications are eligible, work experience and English language requirements and the importance of having a job offer. Graduates also lack information about what eligible occupations are in demand in Australia or New Zealand. For example, how many graduates know that </w:t>
      </w:r>
      <w:r w:rsidRPr="00C41E10">
        <w:rPr>
          <w:rFonts w:cs="Arial"/>
          <w:szCs w:val="22"/>
        </w:rPr>
        <w:t>there is little demand for migrants with qualifications related to community or personal service</w:t>
      </w:r>
      <w:r>
        <w:rPr>
          <w:rFonts w:cs="Arial"/>
          <w:szCs w:val="22"/>
        </w:rPr>
        <w:t>?</w:t>
      </w:r>
      <w:r w:rsidRPr="00C41E10">
        <w:rPr>
          <w:rFonts w:cs="Arial"/>
          <w:szCs w:val="22"/>
        </w:rPr>
        <w:t xml:space="preserve"> This includes occupations related to child and aged care as well as in tourism and hospitality</w:t>
      </w:r>
      <w:r>
        <w:rPr>
          <w:rFonts w:cs="Arial"/>
          <w:szCs w:val="22"/>
        </w:rPr>
        <w:t xml:space="preserve">. </w:t>
      </w:r>
    </w:p>
    <w:p w14:paraId="4E2E7C8A" w14:textId="77777777" w:rsidR="009B4045" w:rsidRPr="00482C0F" w:rsidRDefault="009B4045" w:rsidP="009B4045">
      <w:pPr>
        <w:rPr>
          <w:rFonts w:cs="Arial"/>
          <w:szCs w:val="22"/>
        </w:rPr>
      </w:pPr>
      <w:r>
        <w:rPr>
          <w:rFonts w:cs="Arial"/>
          <w:szCs w:val="22"/>
        </w:rPr>
        <w:t>However, despite a lack of promotion by APTC, m</w:t>
      </w:r>
      <w:r w:rsidRPr="00482C0F">
        <w:rPr>
          <w:rFonts w:cs="Arial"/>
          <w:szCs w:val="22"/>
        </w:rPr>
        <w:t>ost students and graduates believe</w:t>
      </w:r>
      <w:r>
        <w:rPr>
          <w:rFonts w:cs="Arial"/>
          <w:szCs w:val="22"/>
        </w:rPr>
        <w:t>,</w:t>
      </w:r>
      <w:r w:rsidRPr="00482C0F">
        <w:rPr>
          <w:rFonts w:cs="Arial"/>
          <w:szCs w:val="22"/>
        </w:rPr>
        <w:t xml:space="preserve"> not unreasonably</w:t>
      </w:r>
      <w:r>
        <w:rPr>
          <w:rFonts w:cs="Arial"/>
          <w:szCs w:val="22"/>
        </w:rPr>
        <w:t>,</w:t>
      </w:r>
      <w:r w:rsidRPr="00482C0F">
        <w:rPr>
          <w:rFonts w:cs="Arial"/>
          <w:szCs w:val="22"/>
        </w:rPr>
        <w:t xml:space="preserve"> that </w:t>
      </w:r>
      <w:r>
        <w:rPr>
          <w:rFonts w:cs="Arial"/>
          <w:szCs w:val="22"/>
        </w:rPr>
        <w:t xml:space="preserve">APTC </w:t>
      </w:r>
      <w:r w:rsidRPr="00482C0F">
        <w:rPr>
          <w:rFonts w:cs="Arial"/>
          <w:szCs w:val="22"/>
        </w:rPr>
        <w:t xml:space="preserve">is giving them the means to migrate to Australia or </w:t>
      </w:r>
      <w:r w:rsidR="00B64D00" w:rsidRPr="00482C0F">
        <w:rPr>
          <w:rFonts w:cs="Arial"/>
          <w:szCs w:val="22"/>
        </w:rPr>
        <w:t>New</w:t>
      </w:r>
      <w:r w:rsidR="00B64D00">
        <w:rPr>
          <w:rFonts w:cs="Arial"/>
          <w:szCs w:val="22"/>
        </w:rPr>
        <w:t> </w:t>
      </w:r>
      <w:r w:rsidRPr="00482C0F">
        <w:rPr>
          <w:rFonts w:cs="Arial"/>
          <w:szCs w:val="22"/>
        </w:rPr>
        <w:t>Zealand. The fact that this is not the case for a majority of students and graduates needs to be</w:t>
      </w:r>
      <w:r>
        <w:rPr>
          <w:rFonts w:cs="Arial"/>
          <w:szCs w:val="22"/>
        </w:rPr>
        <w:t xml:space="preserve"> corrected as soon as possible. </w:t>
      </w:r>
      <w:r w:rsidRPr="00482C0F">
        <w:rPr>
          <w:rFonts w:cs="Arial"/>
          <w:szCs w:val="22"/>
        </w:rPr>
        <w:t>APTC, as a matter of urgency and good practice, should provide more information on its website about its qualifications and the migration process to prospective and current students as well as to graduates. The APTC brand and reputation and</w:t>
      </w:r>
      <w:r w:rsidR="004E1D39">
        <w:rPr>
          <w:rFonts w:cs="Arial"/>
          <w:szCs w:val="22"/>
        </w:rPr>
        <w:t>,</w:t>
      </w:r>
      <w:r w:rsidRPr="00482C0F">
        <w:rPr>
          <w:rFonts w:cs="Arial"/>
          <w:szCs w:val="22"/>
        </w:rPr>
        <w:t xml:space="preserve"> indeed that of the Australian aid program</w:t>
      </w:r>
      <w:r w:rsidR="004E1D39">
        <w:rPr>
          <w:rFonts w:cs="Arial"/>
          <w:szCs w:val="22"/>
        </w:rPr>
        <w:t>,</w:t>
      </w:r>
      <w:r w:rsidRPr="00482C0F">
        <w:rPr>
          <w:rFonts w:cs="Arial"/>
          <w:szCs w:val="22"/>
        </w:rPr>
        <w:t xml:space="preserve"> is at risk of being accused of allowing a widespread impression to exist without correcting it. </w:t>
      </w:r>
    </w:p>
    <w:p w14:paraId="686C9ADD" w14:textId="77777777" w:rsidR="009B4045" w:rsidRPr="00482C0F" w:rsidRDefault="009B4045" w:rsidP="009B4045">
      <w:pPr>
        <w:rPr>
          <w:rFonts w:cs="Arial"/>
          <w:szCs w:val="22"/>
        </w:rPr>
      </w:pPr>
      <w:r w:rsidRPr="00482C0F">
        <w:rPr>
          <w:rFonts w:cs="Arial"/>
          <w:szCs w:val="22"/>
        </w:rPr>
        <w:t xml:space="preserve">Prospective students need to be given information about the link </w:t>
      </w:r>
      <w:r w:rsidR="00703168">
        <w:rPr>
          <w:rFonts w:cs="Arial"/>
          <w:szCs w:val="22"/>
        </w:rPr>
        <w:t xml:space="preserve">– </w:t>
      </w:r>
      <w:r w:rsidRPr="00482C0F">
        <w:rPr>
          <w:rFonts w:cs="Arial"/>
          <w:szCs w:val="22"/>
        </w:rPr>
        <w:t xml:space="preserve">or lack of it </w:t>
      </w:r>
      <w:r w:rsidR="00703168">
        <w:rPr>
          <w:rFonts w:cs="Arial"/>
          <w:szCs w:val="22"/>
        </w:rPr>
        <w:t xml:space="preserve">– </w:t>
      </w:r>
      <w:r w:rsidRPr="00482C0F">
        <w:rPr>
          <w:rFonts w:cs="Arial"/>
          <w:szCs w:val="22"/>
        </w:rPr>
        <w:t xml:space="preserve">between specific Australian qualifications </w:t>
      </w:r>
      <w:r w:rsidR="00703168">
        <w:rPr>
          <w:rFonts w:cs="Arial"/>
          <w:szCs w:val="22"/>
        </w:rPr>
        <w:t xml:space="preserve">that </w:t>
      </w:r>
      <w:r w:rsidRPr="00482C0F">
        <w:rPr>
          <w:rFonts w:cs="Arial"/>
          <w:szCs w:val="22"/>
        </w:rPr>
        <w:t xml:space="preserve">APTC offers and migration for work to Australia or New Zealand. Information should be provided also on the additional Australian regulatory requirements for trade-based qualifications in electrical, plumbing and refrigeration </w:t>
      </w:r>
      <w:r w:rsidR="003E75B3">
        <w:rPr>
          <w:rFonts w:cs="Arial"/>
          <w:szCs w:val="22"/>
        </w:rPr>
        <w:t>and</w:t>
      </w:r>
      <w:r w:rsidR="003E75B3" w:rsidRPr="00482C0F">
        <w:rPr>
          <w:rFonts w:cs="Arial"/>
          <w:szCs w:val="22"/>
        </w:rPr>
        <w:t xml:space="preserve"> </w:t>
      </w:r>
      <w:r w:rsidRPr="00482C0F">
        <w:rPr>
          <w:rFonts w:cs="Arial"/>
          <w:szCs w:val="22"/>
        </w:rPr>
        <w:t>air conditioning. The APTC website should also provide a link to the information about the skills assessment and other requirements for skilled migrant entry to Australia and New Zealand.</w:t>
      </w:r>
      <w:r>
        <w:rPr>
          <w:rFonts w:cs="Arial"/>
          <w:szCs w:val="22"/>
        </w:rPr>
        <w:t xml:space="preserve"> </w:t>
      </w:r>
    </w:p>
    <w:p w14:paraId="297DFD3C" w14:textId="55B71AAA" w:rsidR="009B4045" w:rsidRPr="00482C0F" w:rsidRDefault="009B4045" w:rsidP="009B4045">
      <w:pPr>
        <w:rPr>
          <w:rFonts w:cs="Arial"/>
          <w:szCs w:val="22"/>
        </w:rPr>
      </w:pPr>
      <w:r w:rsidRPr="00482C0F">
        <w:rPr>
          <w:rFonts w:cs="Arial"/>
          <w:szCs w:val="22"/>
        </w:rPr>
        <w:t>APTC should</w:t>
      </w:r>
      <w:r>
        <w:rPr>
          <w:rFonts w:cs="Arial"/>
          <w:szCs w:val="22"/>
        </w:rPr>
        <w:t xml:space="preserve"> </w:t>
      </w:r>
      <w:r w:rsidRPr="00482C0F">
        <w:rPr>
          <w:rFonts w:cs="Arial"/>
          <w:szCs w:val="22"/>
        </w:rPr>
        <w:t xml:space="preserve">provide, as part of the </w:t>
      </w:r>
      <w:r w:rsidR="00837707" w:rsidRPr="00482C0F">
        <w:rPr>
          <w:rFonts w:cs="Arial"/>
          <w:szCs w:val="22"/>
        </w:rPr>
        <w:t>APTC</w:t>
      </w:r>
      <w:r w:rsidR="00837707">
        <w:rPr>
          <w:rFonts w:cs="Arial"/>
          <w:szCs w:val="22"/>
        </w:rPr>
        <w:t>-</w:t>
      </w:r>
      <w:r w:rsidR="00837707" w:rsidRPr="00482C0F">
        <w:rPr>
          <w:rFonts w:cs="Arial"/>
          <w:szCs w:val="22"/>
        </w:rPr>
        <w:t>to</w:t>
      </w:r>
      <w:r w:rsidR="00837707">
        <w:rPr>
          <w:rFonts w:cs="Arial"/>
          <w:szCs w:val="22"/>
        </w:rPr>
        <w:t>-</w:t>
      </w:r>
      <w:r w:rsidR="00AE3A79">
        <w:rPr>
          <w:rFonts w:cs="Arial"/>
          <w:szCs w:val="22"/>
        </w:rPr>
        <w:t>W</w:t>
      </w:r>
      <w:r w:rsidR="00837707" w:rsidRPr="00482C0F">
        <w:rPr>
          <w:rFonts w:cs="Arial"/>
          <w:szCs w:val="22"/>
        </w:rPr>
        <w:t xml:space="preserve">ork </w:t>
      </w:r>
      <w:r w:rsidRPr="00482C0F">
        <w:rPr>
          <w:rFonts w:cs="Arial"/>
          <w:szCs w:val="22"/>
        </w:rPr>
        <w:t xml:space="preserve">program and within existing resources, information to current students and through alumni networks to graduates. This information should include: </w:t>
      </w:r>
    </w:p>
    <w:p w14:paraId="61689E51" w14:textId="77777777" w:rsidR="003D355F" w:rsidRDefault="00F90916" w:rsidP="000668BA">
      <w:pPr>
        <w:numPr>
          <w:ilvl w:val="0"/>
          <w:numId w:val="42"/>
        </w:numPr>
        <w:spacing w:before="120"/>
        <w:ind w:left="426" w:hanging="232"/>
        <w:rPr>
          <w:rFonts w:cs="Arial"/>
          <w:szCs w:val="22"/>
        </w:rPr>
      </w:pPr>
      <w:r>
        <w:rPr>
          <w:rFonts w:cs="Arial"/>
          <w:szCs w:val="22"/>
        </w:rPr>
        <w:t>d</w:t>
      </w:r>
      <w:r w:rsidRPr="00482C0F">
        <w:rPr>
          <w:rFonts w:cs="Arial"/>
          <w:szCs w:val="22"/>
        </w:rPr>
        <w:t xml:space="preserve">etails </w:t>
      </w:r>
      <w:r w:rsidR="009B4045" w:rsidRPr="00482C0F">
        <w:rPr>
          <w:rFonts w:cs="Arial"/>
          <w:szCs w:val="22"/>
        </w:rPr>
        <w:t xml:space="preserve">of the eligible qualifications for different types of skilled entry to Australia and New Zealand </w:t>
      </w:r>
    </w:p>
    <w:p w14:paraId="058E7A1F" w14:textId="77777777" w:rsidR="003D355F" w:rsidRDefault="00F90916" w:rsidP="000668BA">
      <w:pPr>
        <w:numPr>
          <w:ilvl w:val="0"/>
          <w:numId w:val="42"/>
        </w:numPr>
        <w:spacing w:before="120"/>
        <w:ind w:left="426" w:hanging="232"/>
        <w:rPr>
          <w:rFonts w:cs="Arial"/>
          <w:szCs w:val="22"/>
        </w:rPr>
      </w:pPr>
      <w:r>
        <w:rPr>
          <w:rFonts w:cs="Arial"/>
          <w:szCs w:val="22"/>
        </w:rPr>
        <w:t>f</w:t>
      </w:r>
      <w:r w:rsidRPr="00482C0F">
        <w:rPr>
          <w:rFonts w:cs="Arial"/>
          <w:szCs w:val="22"/>
        </w:rPr>
        <w:t xml:space="preserve">or </w:t>
      </w:r>
      <w:r w:rsidR="009B4045" w:rsidRPr="00482C0F">
        <w:rPr>
          <w:rFonts w:cs="Arial"/>
          <w:szCs w:val="22"/>
        </w:rPr>
        <w:t>new industry entrants in particular, details of the requirements for relevant employment/work experience needed for the migrant skills assessment process and the type of evidence needed</w:t>
      </w:r>
    </w:p>
    <w:p w14:paraId="45EFB1EE" w14:textId="77777777" w:rsidR="003D355F" w:rsidRDefault="00F90916" w:rsidP="000668BA">
      <w:pPr>
        <w:numPr>
          <w:ilvl w:val="0"/>
          <w:numId w:val="42"/>
        </w:numPr>
        <w:spacing w:before="120"/>
        <w:ind w:left="426" w:hanging="232"/>
        <w:rPr>
          <w:rFonts w:cs="Arial"/>
          <w:szCs w:val="22"/>
        </w:rPr>
      </w:pPr>
      <w:r>
        <w:rPr>
          <w:rFonts w:cs="Arial"/>
          <w:szCs w:val="22"/>
        </w:rPr>
        <w:t>u</w:t>
      </w:r>
      <w:r w:rsidRPr="00482C0F">
        <w:rPr>
          <w:rFonts w:cs="Arial"/>
          <w:szCs w:val="22"/>
        </w:rPr>
        <w:t>p</w:t>
      </w:r>
      <w:r w:rsidR="009B4045" w:rsidRPr="00482C0F">
        <w:rPr>
          <w:rFonts w:cs="Arial"/>
          <w:szCs w:val="22"/>
        </w:rPr>
        <w:t xml:space="preserve">-to-date advice on trends in employer demand in Australia and New Zealand based on the occupations of migrants, especially those on temporary work visas, based on publicly available data from the websites of immigration authorities in each country </w:t>
      </w:r>
    </w:p>
    <w:p w14:paraId="1789D9EB" w14:textId="77777777" w:rsidR="003D355F" w:rsidRDefault="00431546" w:rsidP="000668BA">
      <w:pPr>
        <w:numPr>
          <w:ilvl w:val="0"/>
          <w:numId w:val="42"/>
        </w:numPr>
        <w:spacing w:before="120"/>
        <w:ind w:left="426" w:hanging="232"/>
        <w:rPr>
          <w:rFonts w:cs="Arial"/>
          <w:szCs w:val="22"/>
        </w:rPr>
      </w:pPr>
      <w:r>
        <w:rPr>
          <w:rFonts w:cs="Arial"/>
          <w:szCs w:val="22"/>
        </w:rPr>
        <w:t xml:space="preserve">advice </w:t>
      </w:r>
      <w:r w:rsidR="009B4045">
        <w:rPr>
          <w:rFonts w:cs="Arial"/>
          <w:szCs w:val="22"/>
        </w:rPr>
        <w:t xml:space="preserve">to </w:t>
      </w:r>
      <w:r w:rsidR="009B4045" w:rsidRPr="00482C0F">
        <w:rPr>
          <w:rFonts w:cs="Arial"/>
          <w:szCs w:val="22"/>
        </w:rPr>
        <w:t xml:space="preserve">students and graduates on the costs involved for each step in the migration process. </w:t>
      </w:r>
    </w:p>
    <w:p w14:paraId="1E79D9C6" w14:textId="0940514B" w:rsidR="009B4045" w:rsidRPr="00482C0F" w:rsidRDefault="009B4045" w:rsidP="009B4045">
      <w:pPr>
        <w:rPr>
          <w:rFonts w:cs="Arial"/>
          <w:szCs w:val="22"/>
        </w:rPr>
      </w:pPr>
      <w:r w:rsidRPr="00482C0F">
        <w:rPr>
          <w:rFonts w:cs="Arial"/>
          <w:szCs w:val="22"/>
        </w:rPr>
        <w:t xml:space="preserve">APTC should change its focus from delivering </w:t>
      </w:r>
      <w:r>
        <w:rPr>
          <w:rFonts w:cs="Arial"/>
          <w:szCs w:val="22"/>
        </w:rPr>
        <w:t xml:space="preserve">merely </w:t>
      </w:r>
      <w:r w:rsidRPr="00482C0F">
        <w:rPr>
          <w:rFonts w:cs="Arial"/>
          <w:szCs w:val="22"/>
        </w:rPr>
        <w:t xml:space="preserve">outputs </w:t>
      </w:r>
      <w:r>
        <w:rPr>
          <w:rFonts w:cs="Arial"/>
          <w:szCs w:val="22"/>
        </w:rPr>
        <w:t xml:space="preserve">in the form of </w:t>
      </w:r>
      <w:r w:rsidRPr="00482C0F">
        <w:rPr>
          <w:rFonts w:cs="Arial"/>
          <w:szCs w:val="22"/>
        </w:rPr>
        <w:t xml:space="preserve">qualifications to delivering </w:t>
      </w:r>
      <w:r>
        <w:rPr>
          <w:rFonts w:cs="Arial"/>
          <w:szCs w:val="22"/>
        </w:rPr>
        <w:t xml:space="preserve">employment </w:t>
      </w:r>
      <w:r w:rsidRPr="00482C0F">
        <w:rPr>
          <w:rFonts w:cs="Arial"/>
          <w:szCs w:val="22"/>
        </w:rPr>
        <w:t>outcomes</w:t>
      </w:r>
      <w:r>
        <w:rPr>
          <w:rFonts w:cs="Arial"/>
          <w:szCs w:val="22"/>
        </w:rPr>
        <w:t xml:space="preserve">: the </w:t>
      </w:r>
      <w:r w:rsidRPr="00482C0F">
        <w:rPr>
          <w:rFonts w:cs="Arial"/>
          <w:szCs w:val="22"/>
        </w:rPr>
        <w:t xml:space="preserve">placement of graduates in jobs matched to their skills and consistent with their realistic preference. This requires the </w:t>
      </w:r>
      <w:r w:rsidR="0022384D" w:rsidRPr="00482C0F">
        <w:rPr>
          <w:rFonts w:cs="Arial"/>
          <w:szCs w:val="22"/>
        </w:rPr>
        <w:t>APTC</w:t>
      </w:r>
      <w:r w:rsidR="0022384D">
        <w:rPr>
          <w:rFonts w:cs="Arial"/>
          <w:szCs w:val="22"/>
        </w:rPr>
        <w:t>-</w:t>
      </w:r>
      <w:r w:rsidR="0022384D" w:rsidRPr="00482C0F">
        <w:rPr>
          <w:rFonts w:cs="Arial"/>
          <w:szCs w:val="22"/>
        </w:rPr>
        <w:t>to</w:t>
      </w:r>
      <w:r w:rsidR="0022384D">
        <w:rPr>
          <w:rFonts w:cs="Arial"/>
          <w:szCs w:val="22"/>
        </w:rPr>
        <w:t>-</w:t>
      </w:r>
      <w:r w:rsidR="00AE3A79">
        <w:rPr>
          <w:rFonts w:cs="Arial"/>
          <w:szCs w:val="22"/>
        </w:rPr>
        <w:t>W</w:t>
      </w:r>
      <w:r w:rsidR="0022384D" w:rsidRPr="00482C0F">
        <w:rPr>
          <w:rFonts w:cs="Arial"/>
          <w:szCs w:val="22"/>
        </w:rPr>
        <w:t xml:space="preserve">ork </w:t>
      </w:r>
      <w:r w:rsidR="0022384D">
        <w:rPr>
          <w:rFonts w:cs="Arial"/>
          <w:szCs w:val="22"/>
        </w:rPr>
        <w:t>t</w:t>
      </w:r>
      <w:r w:rsidR="0022384D" w:rsidRPr="00482C0F">
        <w:rPr>
          <w:rFonts w:cs="Arial"/>
          <w:szCs w:val="22"/>
        </w:rPr>
        <w:t xml:space="preserve">utor </w:t>
      </w:r>
      <w:r>
        <w:rPr>
          <w:rFonts w:cs="Arial"/>
          <w:szCs w:val="22"/>
        </w:rPr>
        <w:t xml:space="preserve">to set up and maintain a database of employers and to </w:t>
      </w:r>
      <w:r w:rsidRPr="00482C0F">
        <w:rPr>
          <w:rFonts w:cs="Arial"/>
          <w:szCs w:val="22"/>
        </w:rPr>
        <w:t xml:space="preserve">take an active role in matching unemployed graduates to available jobs. </w:t>
      </w:r>
      <w:r>
        <w:rPr>
          <w:rFonts w:cs="Arial"/>
          <w:szCs w:val="22"/>
        </w:rPr>
        <w:t xml:space="preserve">It should also include ensuring unemployed students are given work placements with employers who want to employ APTC graduates. </w:t>
      </w:r>
      <w:r w:rsidRPr="00482C0F">
        <w:rPr>
          <w:rFonts w:cs="Arial"/>
          <w:szCs w:val="22"/>
        </w:rPr>
        <w:t xml:space="preserve">A focus on graduate outcomes should also include support </w:t>
      </w:r>
      <w:r w:rsidR="00E04778" w:rsidRPr="00E04778">
        <w:rPr>
          <w:rFonts w:cs="Arial"/>
          <w:szCs w:val="22"/>
        </w:rPr>
        <w:t xml:space="preserve">based on </w:t>
      </w:r>
      <w:r w:rsidR="005541C8" w:rsidRPr="005541C8">
        <w:rPr>
          <w:rFonts w:cs="Arial"/>
          <w:szCs w:val="22"/>
        </w:rPr>
        <w:t xml:space="preserve">publicly available </w:t>
      </w:r>
      <w:r w:rsidR="00E04778" w:rsidRPr="00E04778">
        <w:rPr>
          <w:rFonts w:cs="Arial"/>
          <w:szCs w:val="22"/>
        </w:rPr>
        <w:t xml:space="preserve">information </w:t>
      </w:r>
      <w:r w:rsidRPr="00482C0F">
        <w:rPr>
          <w:rFonts w:cs="Arial"/>
          <w:szCs w:val="22"/>
        </w:rPr>
        <w:t xml:space="preserve">for eligible graduates to migrate. Not eligible for this support should be graduates who are working for the same employer and who were supported by that employer during their time at APTC. </w:t>
      </w:r>
    </w:p>
    <w:p w14:paraId="43A44CC2" w14:textId="0F070D49" w:rsidR="009B4045" w:rsidRPr="00482C0F" w:rsidRDefault="009B4045" w:rsidP="009B4045">
      <w:pPr>
        <w:rPr>
          <w:rFonts w:cs="Arial"/>
          <w:szCs w:val="22"/>
        </w:rPr>
      </w:pPr>
      <w:r w:rsidRPr="00482C0F">
        <w:rPr>
          <w:rFonts w:cs="Arial"/>
          <w:szCs w:val="22"/>
        </w:rPr>
        <w:t xml:space="preserve">The support APTC </w:t>
      </w:r>
      <w:r>
        <w:rPr>
          <w:rFonts w:cs="Arial"/>
          <w:szCs w:val="22"/>
        </w:rPr>
        <w:t>c</w:t>
      </w:r>
      <w:r w:rsidRPr="00482C0F">
        <w:rPr>
          <w:rFonts w:cs="Arial"/>
          <w:szCs w:val="22"/>
        </w:rPr>
        <w:t xml:space="preserve">ould offer should include conducting the IELTS test for students on request near to or after graduation. This can be justified as a quality measure to provide as an external assessment of the language support given to students during their training. Where students </w:t>
      </w:r>
      <w:r w:rsidR="003D6C54">
        <w:rPr>
          <w:rFonts w:cs="Arial"/>
          <w:szCs w:val="22"/>
        </w:rPr>
        <w:t xml:space="preserve">just </w:t>
      </w:r>
      <w:r w:rsidRPr="00482C0F">
        <w:rPr>
          <w:rFonts w:cs="Arial"/>
          <w:szCs w:val="22"/>
        </w:rPr>
        <w:t>fail to meet this external standard, APTC should provide</w:t>
      </w:r>
      <w:r w:rsidR="006C2B75">
        <w:rPr>
          <w:rFonts w:cs="Arial"/>
          <w:szCs w:val="22"/>
        </w:rPr>
        <w:t>,</w:t>
      </w:r>
      <w:r w:rsidRPr="00482C0F">
        <w:rPr>
          <w:rFonts w:cs="Arial"/>
          <w:szCs w:val="22"/>
        </w:rPr>
        <w:t xml:space="preserve"> if requested</w:t>
      </w:r>
      <w:r w:rsidR="006C2B75">
        <w:rPr>
          <w:rFonts w:cs="Arial"/>
          <w:szCs w:val="22"/>
        </w:rPr>
        <w:t>,</w:t>
      </w:r>
      <w:r w:rsidRPr="00482C0F">
        <w:rPr>
          <w:rFonts w:cs="Arial"/>
          <w:szCs w:val="22"/>
        </w:rPr>
        <w:t xml:space="preserve"> additional support through existing LLN staff to help students meet this standard. </w:t>
      </w:r>
      <w:r w:rsidR="003D6C54" w:rsidRPr="003D6C54">
        <w:rPr>
          <w:rFonts w:cs="Arial"/>
          <w:szCs w:val="22"/>
        </w:rPr>
        <w:t>This support may need to be on a fee-for-service basis.</w:t>
      </w:r>
    </w:p>
    <w:p w14:paraId="69D39E6C" w14:textId="77777777" w:rsidR="000139A1" w:rsidRDefault="000139A1">
      <w:pPr>
        <w:spacing w:after="0"/>
        <w:rPr>
          <w:rFonts w:cs="Arial"/>
          <w:szCs w:val="22"/>
        </w:rPr>
      </w:pPr>
      <w:r>
        <w:rPr>
          <w:rFonts w:cs="Arial"/>
          <w:szCs w:val="22"/>
        </w:rPr>
        <w:br w:type="page"/>
      </w:r>
    </w:p>
    <w:p w14:paraId="1121816D" w14:textId="51F97393" w:rsidR="009B4045" w:rsidRPr="00482C0F" w:rsidRDefault="009B4045" w:rsidP="009B4045">
      <w:pPr>
        <w:rPr>
          <w:rFonts w:cs="Arial"/>
          <w:szCs w:val="22"/>
        </w:rPr>
      </w:pPr>
      <w:r w:rsidRPr="00482C0F">
        <w:rPr>
          <w:rFonts w:cs="Arial"/>
          <w:szCs w:val="22"/>
        </w:rPr>
        <w:t>APTC should invite</w:t>
      </w:r>
      <w:r>
        <w:rPr>
          <w:rFonts w:cs="Arial"/>
          <w:szCs w:val="22"/>
        </w:rPr>
        <w:t>,</w:t>
      </w:r>
      <w:r w:rsidRPr="00482C0F">
        <w:rPr>
          <w:rFonts w:cs="Arial"/>
          <w:szCs w:val="22"/>
        </w:rPr>
        <w:t xml:space="preserve"> </w:t>
      </w:r>
      <w:r>
        <w:rPr>
          <w:rFonts w:cs="Arial"/>
          <w:szCs w:val="22"/>
        </w:rPr>
        <w:t xml:space="preserve">through relevant industry associations, </w:t>
      </w:r>
      <w:r w:rsidRPr="00482C0F">
        <w:rPr>
          <w:rFonts w:cs="Arial"/>
          <w:szCs w:val="22"/>
        </w:rPr>
        <w:t>employers</w:t>
      </w:r>
      <w:r>
        <w:rPr>
          <w:rFonts w:cs="Arial"/>
          <w:szCs w:val="22"/>
        </w:rPr>
        <w:t xml:space="preserve"> </w:t>
      </w:r>
      <w:r w:rsidRPr="00482C0F">
        <w:rPr>
          <w:rFonts w:cs="Arial"/>
          <w:szCs w:val="22"/>
        </w:rPr>
        <w:t>from Australia, New Zealand and PNG to visit APTC campuses and industry partner workplaces. This is to allow employers to assess for themselves the enthusiasm of the students, the quality of the training and the performance standards of work-based qualifications.</w:t>
      </w:r>
      <w:r>
        <w:rPr>
          <w:rFonts w:cs="Arial"/>
          <w:szCs w:val="22"/>
        </w:rPr>
        <w:t xml:space="preserve"> </w:t>
      </w:r>
      <w:r w:rsidRPr="00482C0F">
        <w:rPr>
          <w:rFonts w:cs="Arial"/>
          <w:szCs w:val="22"/>
        </w:rPr>
        <w:t>Employers should also be invited to select and interview job applicants from a pool of eligible graduates who wan</w:t>
      </w:r>
      <w:r>
        <w:rPr>
          <w:rFonts w:cs="Arial"/>
          <w:szCs w:val="22"/>
        </w:rPr>
        <w:t xml:space="preserve">t to migrate, with eligibility </w:t>
      </w:r>
      <w:r w:rsidRPr="00482C0F">
        <w:rPr>
          <w:rFonts w:cs="Arial"/>
          <w:szCs w:val="22"/>
        </w:rPr>
        <w:t xml:space="preserve">limited to those not with the same employer prior to their training and not sponsored by that employer during their training. </w:t>
      </w:r>
    </w:p>
    <w:p w14:paraId="4D6EE8FF" w14:textId="5DC7B862" w:rsidR="009B4045" w:rsidRPr="00482C0F" w:rsidRDefault="00583187" w:rsidP="009B4045">
      <w:pPr>
        <w:rPr>
          <w:rFonts w:cs="Arial"/>
          <w:szCs w:val="22"/>
        </w:rPr>
      </w:pPr>
      <w:r w:rsidRPr="00482C0F">
        <w:rPr>
          <w:rFonts w:cs="Arial"/>
          <w:szCs w:val="22"/>
        </w:rPr>
        <w:t>APTC</w:t>
      </w:r>
      <w:r>
        <w:rPr>
          <w:rFonts w:cs="Arial"/>
          <w:szCs w:val="22"/>
        </w:rPr>
        <w:t>-</w:t>
      </w:r>
      <w:r w:rsidRPr="00482C0F">
        <w:rPr>
          <w:rFonts w:cs="Arial"/>
          <w:szCs w:val="22"/>
        </w:rPr>
        <w:t>to</w:t>
      </w:r>
      <w:r>
        <w:rPr>
          <w:rFonts w:cs="Arial"/>
          <w:szCs w:val="22"/>
        </w:rPr>
        <w:t>-</w:t>
      </w:r>
      <w:r w:rsidR="000139A1">
        <w:rPr>
          <w:rFonts w:cs="Arial"/>
          <w:szCs w:val="22"/>
        </w:rPr>
        <w:t>W</w:t>
      </w:r>
      <w:r w:rsidRPr="00482C0F">
        <w:rPr>
          <w:rFonts w:cs="Arial"/>
          <w:szCs w:val="22"/>
        </w:rPr>
        <w:t xml:space="preserve">ork </w:t>
      </w:r>
      <w:r>
        <w:rPr>
          <w:rFonts w:cs="Arial"/>
          <w:szCs w:val="22"/>
        </w:rPr>
        <w:t>tutors</w:t>
      </w:r>
      <w:r w:rsidR="009B4045" w:rsidRPr="00482C0F">
        <w:rPr>
          <w:rFonts w:cs="Arial"/>
          <w:szCs w:val="22"/>
        </w:rPr>
        <w:t>, as part of their role in placing graduates in appropriate jobs, could offer to be the contact point for employers from Australia, New Zealand or PNG who wish to offer a job to an APTC graduate</w:t>
      </w:r>
      <w:r w:rsidR="003D6C54" w:rsidRPr="003D6C54">
        <w:t xml:space="preserve"> </w:t>
      </w:r>
      <w:r w:rsidR="003D6C54" w:rsidRPr="003D6C54">
        <w:rPr>
          <w:rFonts w:cs="Arial"/>
          <w:szCs w:val="22"/>
        </w:rPr>
        <w:t>based on their performance while at APTC</w:t>
      </w:r>
      <w:r w:rsidR="009B4045" w:rsidRPr="00482C0F">
        <w:rPr>
          <w:rFonts w:cs="Arial"/>
          <w:szCs w:val="22"/>
        </w:rPr>
        <w:t xml:space="preserve">. </w:t>
      </w:r>
      <w:r w:rsidR="009B4045">
        <w:rPr>
          <w:rFonts w:cs="Arial"/>
          <w:szCs w:val="22"/>
        </w:rPr>
        <w:t xml:space="preserve">APTC </w:t>
      </w:r>
      <w:r w:rsidR="00152BFB">
        <w:rPr>
          <w:rFonts w:cs="Arial"/>
          <w:szCs w:val="22"/>
        </w:rPr>
        <w:t>t</w:t>
      </w:r>
      <w:r w:rsidR="00152BFB" w:rsidRPr="00482C0F">
        <w:rPr>
          <w:rFonts w:cs="Arial"/>
          <w:szCs w:val="22"/>
        </w:rPr>
        <w:t xml:space="preserve">rainers </w:t>
      </w:r>
      <w:r w:rsidR="009B4045" w:rsidRPr="00482C0F">
        <w:rPr>
          <w:rFonts w:cs="Arial"/>
          <w:szCs w:val="22"/>
        </w:rPr>
        <w:t>should be encouraged to offer employers endorsements of specific eligible graduates.</w:t>
      </w:r>
      <w:r w:rsidR="009B4045">
        <w:rPr>
          <w:rFonts w:cs="Arial"/>
          <w:szCs w:val="22"/>
        </w:rPr>
        <w:t xml:space="preserve"> </w:t>
      </w:r>
      <w:r w:rsidR="009B4045" w:rsidRPr="00482C0F">
        <w:rPr>
          <w:rFonts w:cs="Arial"/>
          <w:szCs w:val="22"/>
        </w:rPr>
        <w:t xml:space="preserve">APTC should also offer to be a host venue for the conduct of technical interviews by VETASSESS by </w:t>
      </w:r>
      <w:r w:rsidR="00152BFB">
        <w:rPr>
          <w:rFonts w:cs="Arial"/>
          <w:szCs w:val="22"/>
        </w:rPr>
        <w:t>S</w:t>
      </w:r>
      <w:r w:rsidR="00152BFB" w:rsidRPr="00482C0F">
        <w:rPr>
          <w:rFonts w:cs="Arial"/>
          <w:szCs w:val="22"/>
        </w:rPr>
        <w:t xml:space="preserve">kype </w:t>
      </w:r>
      <w:r w:rsidR="009B4045" w:rsidRPr="00482C0F">
        <w:rPr>
          <w:rFonts w:cs="Arial"/>
          <w:szCs w:val="22"/>
        </w:rPr>
        <w:t xml:space="preserve">and conduct RPL assessments where these are required. </w:t>
      </w:r>
    </w:p>
    <w:p w14:paraId="32ED5388" w14:textId="77777777" w:rsidR="009B4045" w:rsidRDefault="009B4045" w:rsidP="009B4045">
      <w:pPr>
        <w:rPr>
          <w:rFonts w:cs="Arial"/>
        </w:rPr>
      </w:pPr>
    </w:p>
    <w:p w14:paraId="55AA5A87" w14:textId="77777777" w:rsidR="009B4045" w:rsidRDefault="009B4045" w:rsidP="009B4045">
      <w:pPr>
        <w:rPr>
          <w:rFonts w:cs="Arial"/>
        </w:rPr>
        <w:sectPr w:rsidR="009B4045" w:rsidSect="00FF3EDE">
          <w:headerReference w:type="default" r:id="rId69"/>
          <w:endnotePr>
            <w:numFmt w:val="decimal"/>
          </w:endnotePr>
          <w:type w:val="continuous"/>
          <w:pgSz w:w="11901" w:h="16834"/>
          <w:pgMar w:top="1440" w:right="1701" w:bottom="1440" w:left="1701" w:header="720" w:footer="720" w:gutter="0"/>
          <w:cols w:space="720"/>
        </w:sectPr>
      </w:pPr>
    </w:p>
    <w:p w14:paraId="3AAB531D" w14:textId="68AD20B5" w:rsidR="00D82E04" w:rsidRDefault="006715C7" w:rsidP="00D82E04">
      <w:pPr>
        <w:pStyle w:val="Heading1"/>
      </w:pPr>
      <w:bookmarkStart w:id="830" w:name="_Toc278447958"/>
      <w:bookmarkStart w:id="831" w:name="_Toc278453431"/>
      <w:bookmarkStart w:id="832" w:name="_Toc274146488"/>
      <w:r>
        <w:t>ATTACHMENT TO ANNEX 7</w:t>
      </w:r>
      <w:r w:rsidRPr="000A3B01">
        <w:t>: IDENTIFYING DEMAND FOR APTC QUALIFICATIONS</w:t>
      </w:r>
      <w:bookmarkEnd w:id="830"/>
      <w:bookmarkEnd w:id="831"/>
      <w:r w:rsidRPr="000A3B01">
        <w:t xml:space="preserve"> </w:t>
      </w:r>
    </w:p>
    <w:p w14:paraId="035FC9E2" w14:textId="59A04B23" w:rsidR="009B4045" w:rsidRPr="000A3B01" w:rsidRDefault="009B4045" w:rsidP="0001533E">
      <w:pPr>
        <w:pStyle w:val="Tableheading"/>
        <w:spacing w:before="0"/>
      </w:pPr>
      <w:bookmarkStart w:id="833" w:name="_Toc274915947"/>
      <w:bookmarkStart w:id="834" w:name="_Toc278446926"/>
      <w:r w:rsidRPr="000A3B01">
        <w:t>Number of eligible APTC qualifications for skilled entry to Australia compared with number of primary temporary visa holders (</w:t>
      </w:r>
      <w:r w:rsidR="00143EFE" w:rsidRPr="000A3B01">
        <w:t>457</w:t>
      </w:r>
      <w:r w:rsidR="00143EFE">
        <w:t> </w:t>
      </w:r>
      <w:r w:rsidRPr="000A3B01">
        <w:t>visas) in matched occupations approved in each specified period, mid</w:t>
      </w:r>
      <w:r w:rsidR="00143EFE">
        <w:t>-</w:t>
      </w:r>
      <w:r w:rsidRPr="000A3B01">
        <w:t>2008 to end</w:t>
      </w:r>
      <w:r w:rsidR="00143EFE">
        <w:t>-</w:t>
      </w:r>
      <w:r w:rsidRPr="000A3B01">
        <w:t>2013</w:t>
      </w:r>
      <w:bookmarkEnd w:id="832"/>
      <w:bookmarkEnd w:id="833"/>
      <w:bookmarkEnd w:id="834"/>
    </w:p>
    <w:tbl>
      <w:tblPr>
        <w:tblW w:w="13829" w:type="dxa"/>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236"/>
        <w:gridCol w:w="882"/>
        <w:gridCol w:w="882"/>
        <w:gridCol w:w="882"/>
        <w:gridCol w:w="882"/>
        <w:gridCol w:w="882"/>
        <w:gridCol w:w="882"/>
        <w:gridCol w:w="882"/>
        <w:gridCol w:w="882"/>
        <w:gridCol w:w="882"/>
        <w:gridCol w:w="882"/>
        <w:gridCol w:w="882"/>
        <w:gridCol w:w="891"/>
      </w:tblGrid>
      <w:tr w:rsidR="009B4045" w:rsidRPr="0001533E" w14:paraId="281D436E" w14:textId="77777777">
        <w:trPr>
          <w:trHeight w:val="804"/>
          <w:tblCellSpacing w:w="0" w:type="dxa"/>
        </w:trPr>
        <w:tc>
          <w:tcPr>
            <w:tcW w:w="3236"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0CD0989B" w14:textId="77777777" w:rsidR="009B4045" w:rsidRPr="0001533E" w:rsidRDefault="009B4045" w:rsidP="0001533E">
            <w:pPr>
              <w:spacing w:before="40" w:after="40"/>
              <w:rPr>
                <w:rFonts w:ascii="Times New Roman" w:hAnsi="Times New Roman"/>
                <w:b/>
                <w:color w:val="000000"/>
                <w:sz w:val="18"/>
                <w:szCs w:val="20"/>
                <w:lang w:eastAsia="en-AU"/>
              </w:rPr>
            </w:pPr>
            <w:r w:rsidRPr="0001533E">
              <w:rPr>
                <w:rFonts w:cs="Arial"/>
                <w:b/>
                <w:color w:val="000000"/>
                <w:sz w:val="18"/>
                <w:szCs w:val="22"/>
                <w:lang w:eastAsia="en-AU"/>
              </w:rPr>
              <w:t>ANZSCO occupations for temporary work visa (457) &amp; APTC qualification</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397B19F2"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30-Jun-08</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429F3620"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31-Dec-08</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70EC41F6"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30-Jun-09</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32AB807D"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31-Dec-09</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786D1AA4"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30-Jun-10</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0CA4009D"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31-Dec-10</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0AB84468"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30-Jun-11</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5A24F430"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31-Dec-11</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56B8CE4C"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30-Jun-12</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0ACF12ED"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31-Dec-12</w:t>
            </w:r>
          </w:p>
        </w:tc>
        <w:tc>
          <w:tcPr>
            <w:tcW w:w="882"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4515D55B"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30-Jun-13</w:t>
            </w:r>
          </w:p>
        </w:tc>
        <w:tc>
          <w:tcPr>
            <w:tcW w:w="891" w:type="dxa"/>
            <w:tcBorders>
              <w:top w:val="outset" w:sz="12" w:space="0" w:color="auto"/>
              <w:left w:val="single" w:sz="8" w:space="0" w:color="auto"/>
              <w:bottom w:val="single" w:sz="8" w:space="0" w:color="auto"/>
              <w:right w:val="single" w:sz="8" w:space="0" w:color="auto"/>
            </w:tcBorders>
            <w:shd w:val="clear" w:color="auto" w:fill="C5E0B3" w:themeFill="accent6" w:themeFillTint="66"/>
            <w:tcMar>
              <w:top w:w="0" w:type="dxa"/>
              <w:left w:w="20" w:type="dxa"/>
              <w:bottom w:w="20" w:type="dxa"/>
              <w:right w:w="0" w:type="dxa"/>
            </w:tcMar>
            <w:vAlign w:val="center"/>
          </w:tcPr>
          <w:p w14:paraId="71A6D3EE" w14:textId="77777777" w:rsidR="009B4045" w:rsidRPr="0001533E" w:rsidRDefault="009B4045" w:rsidP="0001533E">
            <w:pPr>
              <w:spacing w:before="40" w:after="40"/>
              <w:jc w:val="center"/>
              <w:rPr>
                <w:rFonts w:ascii="Times New Roman" w:hAnsi="Times New Roman"/>
                <w:b/>
                <w:color w:val="000000"/>
                <w:sz w:val="18"/>
                <w:szCs w:val="20"/>
                <w:lang w:eastAsia="en-AU"/>
              </w:rPr>
            </w:pPr>
            <w:r w:rsidRPr="0001533E">
              <w:rPr>
                <w:rFonts w:cs="Arial"/>
                <w:b/>
                <w:bCs/>
                <w:color w:val="000000"/>
                <w:sz w:val="18"/>
                <w:szCs w:val="17"/>
                <w:lang w:eastAsia="en-AU"/>
              </w:rPr>
              <w:t>31-Dec-13</w:t>
            </w:r>
          </w:p>
        </w:tc>
      </w:tr>
      <w:tr w:rsidR="009B4045" w:rsidRPr="0001533E" w14:paraId="6D8414D6" w14:textId="77777777">
        <w:trPr>
          <w:trHeight w:val="408"/>
          <w:tblCellSpacing w:w="0" w:type="dxa"/>
        </w:trPr>
        <w:tc>
          <w:tcPr>
            <w:tcW w:w="3236"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05B09115"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Carpenter</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61BA75F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807</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494D874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879</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3E4BD89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992</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7EC0968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797</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3D5BC76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905</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04FDBF1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886</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1599AFAD" w14:textId="74D7649E"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193</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43F54827" w14:textId="45643625"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289</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33DDE4DF" w14:textId="6E8444FD"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084</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62A21DA5" w14:textId="307111B4"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181</w:t>
            </w:r>
          </w:p>
        </w:tc>
        <w:tc>
          <w:tcPr>
            <w:tcW w:w="882"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00582C98" w14:textId="121BD5A7"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3</w:t>
            </w:r>
            <w:r w:rsidR="009B4045" w:rsidRPr="0001533E">
              <w:rPr>
                <w:rFonts w:cs="Arial"/>
                <w:color w:val="000000"/>
                <w:sz w:val="18"/>
                <w:szCs w:val="20"/>
                <w:lang w:eastAsia="en-AU"/>
              </w:rPr>
              <w:t>325</w:t>
            </w:r>
          </w:p>
        </w:tc>
        <w:tc>
          <w:tcPr>
            <w:tcW w:w="891" w:type="dxa"/>
            <w:tcBorders>
              <w:top w:val="single" w:sz="8" w:space="0" w:color="auto"/>
              <w:left w:val="single" w:sz="8" w:space="0" w:color="auto"/>
              <w:bottom w:val="single" w:sz="8" w:space="0" w:color="auto"/>
              <w:right w:val="single" w:sz="8" w:space="0" w:color="auto"/>
            </w:tcBorders>
            <w:tcMar>
              <w:top w:w="0" w:type="dxa"/>
              <w:left w:w="20" w:type="dxa"/>
              <w:bottom w:w="20" w:type="dxa"/>
              <w:right w:w="0" w:type="dxa"/>
            </w:tcMar>
            <w:vAlign w:val="center"/>
          </w:tcPr>
          <w:p w14:paraId="51B37B0A" w14:textId="42D9D0F4"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876</w:t>
            </w:r>
          </w:p>
        </w:tc>
      </w:tr>
      <w:tr w:rsidR="009B4045" w:rsidRPr="0001533E" w14:paraId="57ABD2A8" w14:textId="77777777">
        <w:trPr>
          <w:trHeight w:val="348"/>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7F2034AC"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Carpentry</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1191B01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37</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1D1CEA6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28</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7958290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54</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462C098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46</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22765B3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63</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3196C27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81</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7FAE6B5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50</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615930A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27</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35ACC30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10</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3FC1974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w:t>
            </w:r>
          </w:p>
        </w:tc>
        <w:tc>
          <w:tcPr>
            <w:tcW w:w="882" w:type="dxa"/>
            <w:tcBorders>
              <w:top w:val="outset" w:sz="6" w:space="0" w:color="auto"/>
              <w:left w:val="outset" w:sz="6" w:space="0" w:color="auto"/>
              <w:bottom w:val="outset" w:sz="6" w:space="0" w:color="auto"/>
              <w:right w:val="outset" w:sz="6" w:space="0" w:color="auto"/>
            </w:tcBorders>
            <w:shd w:val="clear" w:color="auto" w:fill="C9C9C9" w:themeFill="accent3" w:themeFillTint="99"/>
            <w:tcMar>
              <w:top w:w="0" w:type="dxa"/>
              <w:left w:w="20" w:type="dxa"/>
              <w:bottom w:w="20" w:type="dxa"/>
              <w:right w:w="0" w:type="dxa"/>
            </w:tcMar>
            <w:vAlign w:val="center"/>
          </w:tcPr>
          <w:p w14:paraId="00D5C5E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153</w:t>
            </w:r>
          </w:p>
        </w:tc>
        <w:tc>
          <w:tcPr>
            <w:tcW w:w="891" w:type="dxa"/>
            <w:tcBorders>
              <w:top w:val="outset" w:sz="6" w:space="0" w:color="auto"/>
              <w:left w:val="outset" w:sz="6" w:space="0" w:color="auto"/>
              <w:bottom w:val="outset" w:sz="6" w:space="0" w:color="auto"/>
              <w:right w:val="single" w:sz="8" w:space="0" w:color="000000"/>
            </w:tcBorders>
            <w:shd w:val="clear" w:color="auto" w:fill="C9C9C9" w:themeFill="accent3" w:themeFillTint="99"/>
            <w:tcMar>
              <w:top w:w="0" w:type="dxa"/>
              <w:left w:w="20" w:type="dxa"/>
              <w:bottom w:w="20" w:type="dxa"/>
              <w:right w:w="0" w:type="dxa"/>
            </w:tcMar>
            <w:vAlign w:val="center"/>
          </w:tcPr>
          <w:p w14:paraId="241513F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91</w:t>
            </w:r>
          </w:p>
        </w:tc>
      </w:tr>
      <w:tr w:rsidR="009B4045" w:rsidRPr="0001533E" w14:paraId="22912FAF" w14:textId="77777777">
        <w:trPr>
          <w:trHeight w:val="408"/>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75BD59E5"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Commercial Cook</w:t>
            </w:r>
          </w:p>
        </w:tc>
        <w:tc>
          <w:tcPr>
            <w:tcW w:w="882" w:type="dxa"/>
            <w:tcBorders>
              <w:top w:val="outset" w:sz="6" w:space="0" w:color="auto"/>
              <w:left w:val="outset" w:sz="6" w:space="0" w:color="auto"/>
              <w:bottom w:val="outset" w:sz="6" w:space="0" w:color="auto"/>
              <w:right w:val="outset" w:sz="6" w:space="0" w:color="auto"/>
            </w:tcBorders>
            <w:vAlign w:val="center"/>
          </w:tcPr>
          <w:p w14:paraId="7C2EAD0F" w14:textId="7F4D3213"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3</w:t>
            </w:r>
            <w:r w:rsidR="009B4045" w:rsidRPr="0001533E">
              <w:rPr>
                <w:rFonts w:cs="Arial"/>
                <w:color w:val="000000"/>
                <w:sz w:val="18"/>
                <w:szCs w:val="20"/>
                <w:lang w:eastAsia="en-AU"/>
              </w:rPr>
              <w:t>817</w:t>
            </w:r>
          </w:p>
        </w:tc>
        <w:tc>
          <w:tcPr>
            <w:tcW w:w="882" w:type="dxa"/>
            <w:tcBorders>
              <w:top w:val="outset" w:sz="6" w:space="0" w:color="auto"/>
              <w:left w:val="outset" w:sz="6" w:space="0" w:color="auto"/>
              <w:bottom w:val="outset" w:sz="6" w:space="0" w:color="auto"/>
              <w:right w:val="outset" w:sz="6" w:space="0" w:color="auto"/>
            </w:tcBorders>
            <w:vAlign w:val="center"/>
          </w:tcPr>
          <w:p w14:paraId="25B216DB" w14:textId="09E810A0"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3</w:t>
            </w:r>
            <w:r w:rsidR="009B4045" w:rsidRPr="0001533E">
              <w:rPr>
                <w:rFonts w:cs="Arial"/>
                <w:color w:val="000000"/>
                <w:sz w:val="18"/>
                <w:szCs w:val="20"/>
                <w:lang w:eastAsia="en-AU"/>
              </w:rPr>
              <w:t>858</w:t>
            </w:r>
          </w:p>
        </w:tc>
        <w:tc>
          <w:tcPr>
            <w:tcW w:w="882" w:type="dxa"/>
            <w:tcBorders>
              <w:top w:val="outset" w:sz="6" w:space="0" w:color="auto"/>
              <w:left w:val="outset" w:sz="6" w:space="0" w:color="auto"/>
              <w:bottom w:val="outset" w:sz="6" w:space="0" w:color="auto"/>
              <w:right w:val="outset" w:sz="6" w:space="0" w:color="auto"/>
            </w:tcBorders>
            <w:vAlign w:val="center"/>
          </w:tcPr>
          <w:p w14:paraId="3C239385" w14:textId="7448ED31"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3</w:t>
            </w:r>
            <w:r w:rsidR="009B4045" w:rsidRPr="0001533E">
              <w:rPr>
                <w:rFonts w:cs="Arial"/>
                <w:color w:val="000000"/>
                <w:sz w:val="18"/>
                <w:szCs w:val="20"/>
                <w:lang w:eastAsia="en-AU"/>
              </w:rPr>
              <w:t>650</w:t>
            </w:r>
          </w:p>
        </w:tc>
        <w:tc>
          <w:tcPr>
            <w:tcW w:w="882" w:type="dxa"/>
            <w:tcBorders>
              <w:top w:val="outset" w:sz="6" w:space="0" w:color="auto"/>
              <w:left w:val="outset" w:sz="6" w:space="0" w:color="auto"/>
              <w:bottom w:val="outset" w:sz="6" w:space="0" w:color="auto"/>
              <w:right w:val="outset" w:sz="6" w:space="0" w:color="auto"/>
            </w:tcBorders>
            <w:vAlign w:val="center"/>
          </w:tcPr>
          <w:p w14:paraId="3BDF257E" w14:textId="6C9F71D6"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3</w:t>
            </w:r>
            <w:r w:rsidR="009B4045" w:rsidRPr="0001533E">
              <w:rPr>
                <w:rFonts w:cs="Arial"/>
                <w:color w:val="000000"/>
                <w:sz w:val="18"/>
                <w:szCs w:val="20"/>
                <w:lang w:eastAsia="en-AU"/>
              </w:rPr>
              <w:t>199</w:t>
            </w:r>
          </w:p>
        </w:tc>
        <w:tc>
          <w:tcPr>
            <w:tcW w:w="882" w:type="dxa"/>
            <w:tcBorders>
              <w:top w:val="outset" w:sz="6" w:space="0" w:color="auto"/>
              <w:left w:val="outset" w:sz="6" w:space="0" w:color="auto"/>
              <w:bottom w:val="outset" w:sz="6" w:space="0" w:color="auto"/>
              <w:right w:val="outset" w:sz="6" w:space="0" w:color="auto"/>
            </w:tcBorders>
            <w:vAlign w:val="center"/>
          </w:tcPr>
          <w:p w14:paraId="7AAE13E2" w14:textId="778834B1"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655</w:t>
            </w:r>
          </w:p>
        </w:tc>
        <w:tc>
          <w:tcPr>
            <w:tcW w:w="882" w:type="dxa"/>
            <w:tcBorders>
              <w:top w:val="outset" w:sz="6" w:space="0" w:color="auto"/>
              <w:left w:val="outset" w:sz="6" w:space="0" w:color="auto"/>
              <w:bottom w:val="outset" w:sz="6" w:space="0" w:color="auto"/>
              <w:right w:val="outset" w:sz="6" w:space="0" w:color="auto"/>
            </w:tcBorders>
            <w:vAlign w:val="center"/>
          </w:tcPr>
          <w:p w14:paraId="033DBF63" w14:textId="0B304321"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336</w:t>
            </w:r>
          </w:p>
        </w:tc>
        <w:tc>
          <w:tcPr>
            <w:tcW w:w="882" w:type="dxa"/>
            <w:tcBorders>
              <w:top w:val="outset" w:sz="6" w:space="0" w:color="auto"/>
              <w:left w:val="outset" w:sz="6" w:space="0" w:color="auto"/>
              <w:bottom w:val="outset" w:sz="6" w:space="0" w:color="auto"/>
              <w:right w:val="outset" w:sz="6" w:space="0" w:color="auto"/>
            </w:tcBorders>
            <w:vAlign w:val="center"/>
          </w:tcPr>
          <w:p w14:paraId="72E3FD39" w14:textId="1BAB6354"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211</w:t>
            </w:r>
          </w:p>
        </w:tc>
        <w:tc>
          <w:tcPr>
            <w:tcW w:w="882" w:type="dxa"/>
            <w:tcBorders>
              <w:top w:val="outset" w:sz="6" w:space="0" w:color="auto"/>
              <w:left w:val="outset" w:sz="6" w:space="0" w:color="auto"/>
              <w:bottom w:val="outset" w:sz="6" w:space="0" w:color="auto"/>
              <w:right w:val="outset" w:sz="6" w:space="0" w:color="auto"/>
            </w:tcBorders>
            <w:vAlign w:val="center"/>
          </w:tcPr>
          <w:p w14:paraId="2F765FC2" w14:textId="694E4994"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692</w:t>
            </w:r>
          </w:p>
        </w:tc>
        <w:tc>
          <w:tcPr>
            <w:tcW w:w="882" w:type="dxa"/>
            <w:tcBorders>
              <w:top w:val="outset" w:sz="6" w:space="0" w:color="auto"/>
              <w:left w:val="outset" w:sz="6" w:space="0" w:color="auto"/>
              <w:bottom w:val="outset" w:sz="6" w:space="0" w:color="auto"/>
              <w:right w:val="outset" w:sz="6" w:space="0" w:color="auto"/>
            </w:tcBorders>
            <w:vAlign w:val="center"/>
          </w:tcPr>
          <w:p w14:paraId="6B445D2E" w14:textId="370EAC4B"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3</w:t>
            </w:r>
            <w:r w:rsidR="009B4045" w:rsidRPr="0001533E">
              <w:rPr>
                <w:rFonts w:cs="Arial"/>
                <w:color w:val="000000"/>
                <w:sz w:val="18"/>
                <w:szCs w:val="20"/>
                <w:lang w:eastAsia="en-AU"/>
              </w:rPr>
              <w:t>753</w:t>
            </w:r>
          </w:p>
        </w:tc>
        <w:tc>
          <w:tcPr>
            <w:tcW w:w="882" w:type="dxa"/>
            <w:tcBorders>
              <w:top w:val="outset" w:sz="6" w:space="0" w:color="auto"/>
              <w:left w:val="outset" w:sz="6" w:space="0" w:color="auto"/>
              <w:bottom w:val="outset" w:sz="6" w:space="0" w:color="auto"/>
              <w:right w:val="outset" w:sz="6" w:space="0" w:color="auto"/>
            </w:tcBorders>
            <w:vAlign w:val="center"/>
          </w:tcPr>
          <w:p w14:paraId="38B7A765" w14:textId="0CCD249D"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5</w:t>
            </w:r>
            <w:r w:rsidR="009B4045" w:rsidRPr="0001533E">
              <w:rPr>
                <w:rFonts w:cs="Arial"/>
                <w:color w:val="000000"/>
                <w:sz w:val="18"/>
                <w:szCs w:val="20"/>
                <w:lang w:eastAsia="en-AU"/>
              </w:rPr>
              <w:t>692</w:t>
            </w:r>
          </w:p>
        </w:tc>
        <w:tc>
          <w:tcPr>
            <w:tcW w:w="882" w:type="dxa"/>
            <w:tcBorders>
              <w:top w:val="outset" w:sz="6" w:space="0" w:color="auto"/>
              <w:left w:val="outset" w:sz="6" w:space="0" w:color="auto"/>
              <w:bottom w:val="outset" w:sz="6" w:space="0" w:color="auto"/>
              <w:right w:val="outset" w:sz="6" w:space="0" w:color="auto"/>
            </w:tcBorders>
            <w:vAlign w:val="center"/>
          </w:tcPr>
          <w:p w14:paraId="789DA6EE" w14:textId="4FDB75E7"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8</w:t>
            </w:r>
            <w:r w:rsidR="009B4045" w:rsidRPr="0001533E">
              <w:rPr>
                <w:rFonts w:cs="Arial"/>
                <w:color w:val="000000"/>
                <w:sz w:val="18"/>
                <w:szCs w:val="20"/>
                <w:lang w:eastAsia="en-AU"/>
              </w:rPr>
              <w:t>059</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5319DF1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10,423</w:t>
            </w:r>
          </w:p>
        </w:tc>
      </w:tr>
      <w:tr w:rsidR="006715C7" w:rsidRPr="0001533E" w14:paraId="2E0464BA" w14:textId="77777777" w:rsidTr="006715C7">
        <w:trPr>
          <w:trHeight w:val="304"/>
          <w:tblCellSpacing w:w="0" w:type="dxa"/>
        </w:trPr>
        <w:tc>
          <w:tcPr>
            <w:tcW w:w="3236" w:type="dxa"/>
            <w:tcBorders>
              <w:top w:val="outset" w:sz="6" w:space="0" w:color="auto"/>
              <w:left w:val="single" w:sz="8" w:space="0" w:color="000000"/>
              <w:bottom w:val="single" w:sz="8" w:space="0" w:color="000000"/>
              <w:right w:val="outset" w:sz="6" w:space="0" w:color="auto"/>
            </w:tcBorders>
            <w:tcMar>
              <w:top w:w="0" w:type="dxa"/>
              <w:left w:w="20" w:type="dxa"/>
              <w:bottom w:w="20" w:type="dxa"/>
              <w:right w:w="0" w:type="dxa"/>
            </w:tcMar>
            <w:vAlign w:val="center"/>
          </w:tcPr>
          <w:p w14:paraId="36DEFF60"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Hospitality (Commercial Cookery)</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3F7E58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54</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82E771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59</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99A920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38</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9E1021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71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81912C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70</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4F1420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61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67E6D5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B3687C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60425A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825464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9058D4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53</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750A7A5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49</w:t>
            </w:r>
          </w:p>
        </w:tc>
      </w:tr>
      <w:tr w:rsidR="009B4045" w:rsidRPr="0001533E" w14:paraId="0877CE22" w14:textId="77777777">
        <w:trPr>
          <w:trHeight w:val="297"/>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7998F6A1"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Diesel mechanic</w:t>
            </w:r>
          </w:p>
        </w:tc>
        <w:tc>
          <w:tcPr>
            <w:tcW w:w="882" w:type="dxa"/>
            <w:tcBorders>
              <w:top w:val="outset" w:sz="6" w:space="0" w:color="auto"/>
              <w:left w:val="outset" w:sz="6" w:space="0" w:color="auto"/>
              <w:bottom w:val="outset" w:sz="6" w:space="0" w:color="auto"/>
              <w:right w:val="outset" w:sz="6" w:space="0" w:color="auto"/>
            </w:tcBorders>
            <w:vAlign w:val="center"/>
          </w:tcPr>
          <w:p w14:paraId="7C3A6E2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19</w:t>
            </w:r>
          </w:p>
        </w:tc>
        <w:tc>
          <w:tcPr>
            <w:tcW w:w="882" w:type="dxa"/>
            <w:tcBorders>
              <w:top w:val="outset" w:sz="6" w:space="0" w:color="auto"/>
              <w:left w:val="outset" w:sz="6" w:space="0" w:color="auto"/>
              <w:bottom w:val="outset" w:sz="6" w:space="0" w:color="auto"/>
              <w:right w:val="outset" w:sz="6" w:space="0" w:color="auto"/>
            </w:tcBorders>
            <w:vAlign w:val="center"/>
          </w:tcPr>
          <w:p w14:paraId="689FDAB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31</w:t>
            </w:r>
          </w:p>
        </w:tc>
        <w:tc>
          <w:tcPr>
            <w:tcW w:w="882" w:type="dxa"/>
            <w:tcBorders>
              <w:top w:val="outset" w:sz="6" w:space="0" w:color="auto"/>
              <w:left w:val="outset" w:sz="6" w:space="0" w:color="auto"/>
              <w:bottom w:val="outset" w:sz="6" w:space="0" w:color="auto"/>
              <w:right w:val="outset" w:sz="6" w:space="0" w:color="auto"/>
            </w:tcBorders>
            <w:vAlign w:val="center"/>
          </w:tcPr>
          <w:p w14:paraId="579608D3"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46</w:t>
            </w:r>
          </w:p>
        </w:tc>
        <w:tc>
          <w:tcPr>
            <w:tcW w:w="882" w:type="dxa"/>
            <w:tcBorders>
              <w:top w:val="outset" w:sz="6" w:space="0" w:color="auto"/>
              <w:left w:val="outset" w:sz="6" w:space="0" w:color="auto"/>
              <w:bottom w:val="outset" w:sz="6" w:space="0" w:color="auto"/>
              <w:right w:val="outset" w:sz="6" w:space="0" w:color="auto"/>
            </w:tcBorders>
            <w:vAlign w:val="center"/>
          </w:tcPr>
          <w:p w14:paraId="31DD73E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57</w:t>
            </w:r>
          </w:p>
        </w:tc>
        <w:tc>
          <w:tcPr>
            <w:tcW w:w="882" w:type="dxa"/>
            <w:tcBorders>
              <w:top w:val="outset" w:sz="6" w:space="0" w:color="auto"/>
              <w:left w:val="outset" w:sz="6" w:space="0" w:color="auto"/>
              <w:bottom w:val="outset" w:sz="6" w:space="0" w:color="auto"/>
              <w:right w:val="outset" w:sz="6" w:space="0" w:color="auto"/>
            </w:tcBorders>
            <w:vAlign w:val="center"/>
          </w:tcPr>
          <w:p w14:paraId="17B411F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66</w:t>
            </w:r>
          </w:p>
        </w:tc>
        <w:tc>
          <w:tcPr>
            <w:tcW w:w="882" w:type="dxa"/>
            <w:tcBorders>
              <w:top w:val="outset" w:sz="6" w:space="0" w:color="auto"/>
              <w:left w:val="outset" w:sz="6" w:space="0" w:color="auto"/>
              <w:bottom w:val="outset" w:sz="6" w:space="0" w:color="auto"/>
              <w:right w:val="outset" w:sz="6" w:space="0" w:color="auto"/>
            </w:tcBorders>
            <w:vAlign w:val="center"/>
          </w:tcPr>
          <w:p w14:paraId="7221777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128</w:t>
            </w:r>
          </w:p>
        </w:tc>
        <w:tc>
          <w:tcPr>
            <w:tcW w:w="882" w:type="dxa"/>
            <w:tcBorders>
              <w:top w:val="outset" w:sz="6" w:space="0" w:color="auto"/>
              <w:left w:val="outset" w:sz="6" w:space="0" w:color="auto"/>
              <w:bottom w:val="outset" w:sz="6" w:space="0" w:color="auto"/>
              <w:right w:val="outset" w:sz="6" w:space="0" w:color="auto"/>
            </w:tcBorders>
            <w:vAlign w:val="center"/>
          </w:tcPr>
          <w:p w14:paraId="08F1B29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344</w:t>
            </w:r>
          </w:p>
        </w:tc>
        <w:tc>
          <w:tcPr>
            <w:tcW w:w="882" w:type="dxa"/>
            <w:tcBorders>
              <w:top w:val="outset" w:sz="6" w:space="0" w:color="auto"/>
              <w:left w:val="outset" w:sz="6" w:space="0" w:color="auto"/>
              <w:bottom w:val="outset" w:sz="6" w:space="0" w:color="auto"/>
              <w:right w:val="outset" w:sz="6" w:space="0" w:color="auto"/>
            </w:tcBorders>
            <w:vAlign w:val="center"/>
          </w:tcPr>
          <w:p w14:paraId="3B5CAC3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612</w:t>
            </w:r>
          </w:p>
        </w:tc>
        <w:tc>
          <w:tcPr>
            <w:tcW w:w="882" w:type="dxa"/>
            <w:tcBorders>
              <w:top w:val="outset" w:sz="6" w:space="0" w:color="auto"/>
              <w:left w:val="outset" w:sz="6" w:space="0" w:color="auto"/>
              <w:bottom w:val="outset" w:sz="6" w:space="0" w:color="auto"/>
              <w:right w:val="outset" w:sz="6" w:space="0" w:color="auto"/>
            </w:tcBorders>
            <w:vAlign w:val="center"/>
          </w:tcPr>
          <w:p w14:paraId="6D47624A" w14:textId="539819AB"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242</w:t>
            </w:r>
          </w:p>
        </w:tc>
        <w:tc>
          <w:tcPr>
            <w:tcW w:w="882" w:type="dxa"/>
            <w:tcBorders>
              <w:top w:val="outset" w:sz="6" w:space="0" w:color="auto"/>
              <w:left w:val="outset" w:sz="6" w:space="0" w:color="auto"/>
              <w:bottom w:val="outset" w:sz="6" w:space="0" w:color="auto"/>
              <w:right w:val="outset" w:sz="6" w:space="0" w:color="auto"/>
            </w:tcBorders>
            <w:vAlign w:val="center"/>
          </w:tcPr>
          <w:p w14:paraId="6692A671" w14:textId="42A8FD8A"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711</w:t>
            </w:r>
          </w:p>
        </w:tc>
        <w:tc>
          <w:tcPr>
            <w:tcW w:w="882" w:type="dxa"/>
            <w:tcBorders>
              <w:top w:val="outset" w:sz="6" w:space="0" w:color="auto"/>
              <w:left w:val="outset" w:sz="6" w:space="0" w:color="auto"/>
              <w:bottom w:val="outset" w:sz="6" w:space="0" w:color="auto"/>
              <w:right w:val="outset" w:sz="6" w:space="0" w:color="auto"/>
            </w:tcBorders>
            <w:vAlign w:val="center"/>
          </w:tcPr>
          <w:p w14:paraId="23083D1B" w14:textId="4B7D622A"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176</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0E1CF88C" w14:textId="3F151F52"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031</w:t>
            </w:r>
          </w:p>
        </w:tc>
      </w:tr>
      <w:tr w:rsidR="006715C7" w:rsidRPr="0001533E" w14:paraId="3538BF32" w14:textId="77777777" w:rsidTr="006715C7">
        <w:trPr>
          <w:trHeight w:val="417"/>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772B9576"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Engineering – Mechanical Trade (Diesel Fitter)</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E11C90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B59E07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204332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29</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62B52C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122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713A6F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7F9F3B3"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B07184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40</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A3B5E8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25</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2A6D2E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4F61B5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084E67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99</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058AB46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28</w:t>
            </w:r>
          </w:p>
        </w:tc>
      </w:tr>
      <w:tr w:rsidR="009B4045" w:rsidRPr="0001533E" w14:paraId="7DFDCA8C" w14:textId="77777777">
        <w:trPr>
          <w:trHeight w:val="383"/>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5D0BC154"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Metal Fabricator</w:t>
            </w:r>
          </w:p>
        </w:tc>
        <w:tc>
          <w:tcPr>
            <w:tcW w:w="882" w:type="dxa"/>
            <w:tcBorders>
              <w:top w:val="outset" w:sz="6" w:space="0" w:color="auto"/>
              <w:left w:val="outset" w:sz="6" w:space="0" w:color="auto"/>
              <w:bottom w:val="outset" w:sz="6" w:space="0" w:color="auto"/>
              <w:right w:val="outset" w:sz="6" w:space="0" w:color="auto"/>
            </w:tcBorders>
            <w:vAlign w:val="center"/>
          </w:tcPr>
          <w:p w14:paraId="27049E1A" w14:textId="0B235643"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3</w:t>
            </w:r>
            <w:r w:rsidR="009B4045" w:rsidRPr="0001533E">
              <w:rPr>
                <w:rFonts w:cs="Arial"/>
                <w:color w:val="000000"/>
                <w:sz w:val="18"/>
                <w:szCs w:val="20"/>
                <w:lang w:eastAsia="en-AU"/>
              </w:rPr>
              <w:t>175</w:t>
            </w:r>
          </w:p>
        </w:tc>
        <w:tc>
          <w:tcPr>
            <w:tcW w:w="882" w:type="dxa"/>
            <w:tcBorders>
              <w:top w:val="outset" w:sz="6" w:space="0" w:color="auto"/>
              <w:left w:val="outset" w:sz="6" w:space="0" w:color="auto"/>
              <w:bottom w:val="outset" w:sz="6" w:space="0" w:color="auto"/>
              <w:right w:val="outset" w:sz="6" w:space="0" w:color="auto"/>
            </w:tcBorders>
            <w:vAlign w:val="center"/>
          </w:tcPr>
          <w:p w14:paraId="773220DC" w14:textId="0AABE895"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3</w:t>
            </w:r>
            <w:r w:rsidR="009B4045" w:rsidRPr="0001533E">
              <w:rPr>
                <w:rFonts w:cs="Arial"/>
                <w:color w:val="000000"/>
                <w:sz w:val="18"/>
                <w:szCs w:val="20"/>
                <w:lang w:eastAsia="en-AU"/>
              </w:rPr>
              <w:t>135</w:t>
            </w:r>
          </w:p>
        </w:tc>
        <w:tc>
          <w:tcPr>
            <w:tcW w:w="882" w:type="dxa"/>
            <w:tcBorders>
              <w:top w:val="outset" w:sz="6" w:space="0" w:color="auto"/>
              <w:left w:val="outset" w:sz="6" w:space="0" w:color="auto"/>
              <w:bottom w:val="outset" w:sz="6" w:space="0" w:color="auto"/>
              <w:right w:val="outset" w:sz="6" w:space="0" w:color="auto"/>
            </w:tcBorders>
            <w:vAlign w:val="center"/>
          </w:tcPr>
          <w:p w14:paraId="59239AD2" w14:textId="5CE37788"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3</w:t>
            </w:r>
            <w:r w:rsidR="009B4045" w:rsidRPr="0001533E">
              <w:rPr>
                <w:rFonts w:cs="Arial"/>
                <w:color w:val="000000"/>
                <w:sz w:val="18"/>
                <w:szCs w:val="20"/>
                <w:lang w:eastAsia="en-AU"/>
              </w:rPr>
              <w:t>170</w:t>
            </w:r>
          </w:p>
        </w:tc>
        <w:tc>
          <w:tcPr>
            <w:tcW w:w="882" w:type="dxa"/>
            <w:tcBorders>
              <w:top w:val="outset" w:sz="6" w:space="0" w:color="auto"/>
              <w:left w:val="outset" w:sz="6" w:space="0" w:color="auto"/>
              <w:bottom w:val="outset" w:sz="6" w:space="0" w:color="auto"/>
              <w:right w:val="outset" w:sz="6" w:space="0" w:color="auto"/>
            </w:tcBorders>
            <w:vAlign w:val="center"/>
          </w:tcPr>
          <w:p w14:paraId="45F750B7" w14:textId="5F9A2D5B"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303</w:t>
            </w:r>
          </w:p>
        </w:tc>
        <w:tc>
          <w:tcPr>
            <w:tcW w:w="882" w:type="dxa"/>
            <w:tcBorders>
              <w:top w:val="outset" w:sz="6" w:space="0" w:color="auto"/>
              <w:left w:val="outset" w:sz="6" w:space="0" w:color="auto"/>
              <w:bottom w:val="outset" w:sz="6" w:space="0" w:color="auto"/>
              <w:right w:val="outset" w:sz="6" w:space="0" w:color="auto"/>
            </w:tcBorders>
            <w:vAlign w:val="center"/>
          </w:tcPr>
          <w:p w14:paraId="3BE061EF" w14:textId="3C2BF450"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109</w:t>
            </w:r>
          </w:p>
        </w:tc>
        <w:tc>
          <w:tcPr>
            <w:tcW w:w="882" w:type="dxa"/>
            <w:tcBorders>
              <w:top w:val="outset" w:sz="6" w:space="0" w:color="auto"/>
              <w:left w:val="outset" w:sz="6" w:space="0" w:color="auto"/>
              <w:bottom w:val="outset" w:sz="6" w:space="0" w:color="auto"/>
              <w:right w:val="outset" w:sz="6" w:space="0" w:color="auto"/>
            </w:tcBorders>
            <w:vAlign w:val="center"/>
          </w:tcPr>
          <w:p w14:paraId="2A19E56B" w14:textId="1CEE8180"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587</w:t>
            </w:r>
          </w:p>
        </w:tc>
        <w:tc>
          <w:tcPr>
            <w:tcW w:w="882" w:type="dxa"/>
            <w:tcBorders>
              <w:top w:val="outset" w:sz="6" w:space="0" w:color="auto"/>
              <w:left w:val="outset" w:sz="6" w:space="0" w:color="auto"/>
              <w:bottom w:val="outset" w:sz="6" w:space="0" w:color="auto"/>
              <w:right w:val="outset" w:sz="6" w:space="0" w:color="auto"/>
            </w:tcBorders>
            <w:vAlign w:val="center"/>
          </w:tcPr>
          <w:p w14:paraId="3E82FA4F" w14:textId="74B3FBF4"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550</w:t>
            </w:r>
          </w:p>
        </w:tc>
        <w:tc>
          <w:tcPr>
            <w:tcW w:w="882" w:type="dxa"/>
            <w:tcBorders>
              <w:top w:val="outset" w:sz="6" w:space="0" w:color="auto"/>
              <w:left w:val="outset" w:sz="6" w:space="0" w:color="auto"/>
              <w:bottom w:val="outset" w:sz="6" w:space="0" w:color="auto"/>
              <w:right w:val="outset" w:sz="6" w:space="0" w:color="auto"/>
            </w:tcBorders>
            <w:vAlign w:val="center"/>
          </w:tcPr>
          <w:p w14:paraId="41C98AA1" w14:textId="5E412D3F"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225</w:t>
            </w:r>
          </w:p>
        </w:tc>
        <w:tc>
          <w:tcPr>
            <w:tcW w:w="882" w:type="dxa"/>
            <w:tcBorders>
              <w:top w:val="outset" w:sz="6" w:space="0" w:color="auto"/>
              <w:left w:val="outset" w:sz="6" w:space="0" w:color="auto"/>
              <w:bottom w:val="outset" w:sz="6" w:space="0" w:color="auto"/>
              <w:right w:val="outset" w:sz="6" w:space="0" w:color="auto"/>
            </w:tcBorders>
            <w:vAlign w:val="center"/>
          </w:tcPr>
          <w:p w14:paraId="6BD82BD6" w14:textId="130D865F"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700</w:t>
            </w:r>
          </w:p>
        </w:tc>
        <w:tc>
          <w:tcPr>
            <w:tcW w:w="882" w:type="dxa"/>
            <w:tcBorders>
              <w:top w:val="outset" w:sz="6" w:space="0" w:color="auto"/>
              <w:left w:val="outset" w:sz="6" w:space="0" w:color="auto"/>
              <w:bottom w:val="outset" w:sz="6" w:space="0" w:color="auto"/>
              <w:right w:val="outset" w:sz="6" w:space="0" w:color="auto"/>
            </w:tcBorders>
            <w:vAlign w:val="center"/>
          </w:tcPr>
          <w:p w14:paraId="5F16996A" w14:textId="20F2B533"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627</w:t>
            </w:r>
          </w:p>
        </w:tc>
        <w:tc>
          <w:tcPr>
            <w:tcW w:w="882" w:type="dxa"/>
            <w:tcBorders>
              <w:top w:val="outset" w:sz="6" w:space="0" w:color="auto"/>
              <w:left w:val="outset" w:sz="6" w:space="0" w:color="auto"/>
              <w:bottom w:val="outset" w:sz="6" w:space="0" w:color="auto"/>
              <w:right w:val="outset" w:sz="6" w:space="0" w:color="auto"/>
            </w:tcBorders>
            <w:vAlign w:val="center"/>
          </w:tcPr>
          <w:p w14:paraId="01086E46" w14:textId="654D8671"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003</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3B7B2316" w14:textId="6F07FF1F"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620</w:t>
            </w:r>
          </w:p>
        </w:tc>
      </w:tr>
      <w:tr w:rsidR="006715C7" w:rsidRPr="0001533E" w14:paraId="22C562D4" w14:textId="77777777" w:rsidTr="006715C7">
        <w:trPr>
          <w:trHeight w:val="420"/>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0C505413"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Engineering – Fabrication Trade</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0B6101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23</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393AB6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20</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3245E7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59</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549202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16323A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35A987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597602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B4F782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34</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2C04EE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6A091C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9050AD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64</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617D662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21</w:t>
            </w:r>
          </w:p>
        </w:tc>
      </w:tr>
      <w:tr w:rsidR="009B4045" w:rsidRPr="0001533E" w14:paraId="2A74CFC5" w14:textId="77777777">
        <w:trPr>
          <w:trHeight w:val="441"/>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096D2560"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Fitter (General)</w:t>
            </w:r>
          </w:p>
        </w:tc>
        <w:tc>
          <w:tcPr>
            <w:tcW w:w="882" w:type="dxa"/>
            <w:tcBorders>
              <w:top w:val="outset" w:sz="6" w:space="0" w:color="auto"/>
              <w:left w:val="outset" w:sz="6" w:space="0" w:color="auto"/>
              <w:bottom w:val="outset" w:sz="6" w:space="0" w:color="auto"/>
              <w:right w:val="outset" w:sz="6" w:space="0" w:color="auto"/>
            </w:tcBorders>
            <w:vAlign w:val="center"/>
          </w:tcPr>
          <w:p w14:paraId="3B3F9CDB" w14:textId="53968AC9"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287</w:t>
            </w:r>
          </w:p>
        </w:tc>
        <w:tc>
          <w:tcPr>
            <w:tcW w:w="882" w:type="dxa"/>
            <w:tcBorders>
              <w:top w:val="outset" w:sz="6" w:space="0" w:color="auto"/>
              <w:left w:val="outset" w:sz="6" w:space="0" w:color="auto"/>
              <w:bottom w:val="outset" w:sz="6" w:space="0" w:color="auto"/>
              <w:right w:val="outset" w:sz="6" w:space="0" w:color="auto"/>
            </w:tcBorders>
            <w:vAlign w:val="center"/>
          </w:tcPr>
          <w:p w14:paraId="12715441" w14:textId="15BC9AF3"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466</w:t>
            </w:r>
          </w:p>
        </w:tc>
        <w:tc>
          <w:tcPr>
            <w:tcW w:w="882" w:type="dxa"/>
            <w:tcBorders>
              <w:top w:val="outset" w:sz="6" w:space="0" w:color="auto"/>
              <w:left w:val="outset" w:sz="6" w:space="0" w:color="auto"/>
              <w:bottom w:val="outset" w:sz="6" w:space="0" w:color="auto"/>
              <w:right w:val="outset" w:sz="6" w:space="0" w:color="auto"/>
            </w:tcBorders>
            <w:vAlign w:val="center"/>
          </w:tcPr>
          <w:p w14:paraId="20B9FB29" w14:textId="7DAE32E8"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554</w:t>
            </w:r>
          </w:p>
        </w:tc>
        <w:tc>
          <w:tcPr>
            <w:tcW w:w="882" w:type="dxa"/>
            <w:tcBorders>
              <w:top w:val="outset" w:sz="6" w:space="0" w:color="auto"/>
              <w:left w:val="outset" w:sz="6" w:space="0" w:color="auto"/>
              <w:bottom w:val="outset" w:sz="6" w:space="0" w:color="auto"/>
              <w:right w:val="outset" w:sz="6" w:space="0" w:color="auto"/>
            </w:tcBorders>
            <w:vAlign w:val="center"/>
          </w:tcPr>
          <w:p w14:paraId="19E51A8E" w14:textId="2A439128"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975</w:t>
            </w:r>
          </w:p>
        </w:tc>
        <w:tc>
          <w:tcPr>
            <w:tcW w:w="882" w:type="dxa"/>
            <w:tcBorders>
              <w:top w:val="outset" w:sz="6" w:space="0" w:color="auto"/>
              <w:left w:val="outset" w:sz="6" w:space="0" w:color="auto"/>
              <w:bottom w:val="outset" w:sz="6" w:space="0" w:color="auto"/>
              <w:right w:val="outset" w:sz="6" w:space="0" w:color="auto"/>
            </w:tcBorders>
            <w:vAlign w:val="center"/>
          </w:tcPr>
          <w:p w14:paraId="05387814" w14:textId="7A406029"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835</w:t>
            </w:r>
          </w:p>
        </w:tc>
        <w:tc>
          <w:tcPr>
            <w:tcW w:w="882" w:type="dxa"/>
            <w:tcBorders>
              <w:top w:val="outset" w:sz="6" w:space="0" w:color="auto"/>
              <w:left w:val="outset" w:sz="6" w:space="0" w:color="auto"/>
              <w:bottom w:val="outset" w:sz="6" w:space="0" w:color="auto"/>
              <w:right w:val="outset" w:sz="6" w:space="0" w:color="auto"/>
            </w:tcBorders>
            <w:vAlign w:val="center"/>
          </w:tcPr>
          <w:p w14:paraId="62635D79" w14:textId="68620AB2"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559</w:t>
            </w:r>
          </w:p>
        </w:tc>
        <w:tc>
          <w:tcPr>
            <w:tcW w:w="882" w:type="dxa"/>
            <w:tcBorders>
              <w:top w:val="outset" w:sz="6" w:space="0" w:color="auto"/>
              <w:left w:val="outset" w:sz="6" w:space="0" w:color="auto"/>
              <w:bottom w:val="outset" w:sz="6" w:space="0" w:color="auto"/>
              <w:right w:val="outset" w:sz="6" w:space="0" w:color="auto"/>
            </w:tcBorders>
            <w:vAlign w:val="center"/>
          </w:tcPr>
          <w:p w14:paraId="1905CC5E" w14:textId="236546E8"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441</w:t>
            </w:r>
          </w:p>
        </w:tc>
        <w:tc>
          <w:tcPr>
            <w:tcW w:w="882" w:type="dxa"/>
            <w:tcBorders>
              <w:top w:val="outset" w:sz="6" w:space="0" w:color="auto"/>
              <w:left w:val="outset" w:sz="6" w:space="0" w:color="auto"/>
              <w:bottom w:val="outset" w:sz="6" w:space="0" w:color="auto"/>
              <w:right w:val="outset" w:sz="6" w:space="0" w:color="auto"/>
            </w:tcBorders>
            <w:vAlign w:val="center"/>
          </w:tcPr>
          <w:p w14:paraId="0E7DEAB9" w14:textId="54014A15"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244</w:t>
            </w:r>
          </w:p>
        </w:tc>
        <w:tc>
          <w:tcPr>
            <w:tcW w:w="882" w:type="dxa"/>
            <w:tcBorders>
              <w:top w:val="outset" w:sz="6" w:space="0" w:color="auto"/>
              <w:left w:val="outset" w:sz="6" w:space="0" w:color="auto"/>
              <w:bottom w:val="outset" w:sz="6" w:space="0" w:color="auto"/>
              <w:right w:val="outset" w:sz="6" w:space="0" w:color="auto"/>
            </w:tcBorders>
            <w:vAlign w:val="center"/>
          </w:tcPr>
          <w:p w14:paraId="0FA27402" w14:textId="6FAF7BC7"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722</w:t>
            </w:r>
          </w:p>
        </w:tc>
        <w:tc>
          <w:tcPr>
            <w:tcW w:w="882" w:type="dxa"/>
            <w:tcBorders>
              <w:top w:val="outset" w:sz="6" w:space="0" w:color="auto"/>
              <w:left w:val="outset" w:sz="6" w:space="0" w:color="auto"/>
              <w:bottom w:val="outset" w:sz="6" w:space="0" w:color="auto"/>
              <w:right w:val="outset" w:sz="6" w:space="0" w:color="auto"/>
            </w:tcBorders>
            <w:vAlign w:val="center"/>
          </w:tcPr>
          <w:p w14:paraId="66491810" w14:textId="583179BA"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628</w:t>
            </w:r>
          </w:p>
        </w:tc>
        <w:tc>
          <w:tcPr>
            <w:tcW w:w="882" w:type="dxa"/>
            <w:tcBorders>
              <w:top w:val="outset" w:sz="6" w:space="0" w:color="auto"/>
              <w:left w:val="outset" w:sz="6" w:space="0" w:color="auto"/>
              <w:bottom w:val="outset" w:sz="6" w:space="0" w:color="auto"/>
              <w:right w:val="outset" w:sz="6" w:space="0" w:color="auto"/>
            </w:tcBorders>
            <w:vAlign w:val="center"/>
          </w:tcPr>
          <w:p w14:paraId="1D2D0584" w14:textId="139B8083"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844</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63395B6A" w14:textId="78D512E0"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516</w:t>
            </w:r>
          </w:p>
        </w:tc>
      </w:tr>
      <w:tr w:rsidR="006715C7" w:rsidRPr="0001533E" w14:paraId="48E673D9" w14:textId="77777777" w:rsidTr="006715C7">
        <w:trPr>
          <w:trHeight w:val="780"/>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5E537F5F"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Engineering – Mechanical Trade (Fitting &amp; Machining)</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44A524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244384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E30C42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57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FE0FE0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8</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57E3CC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38</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6EF011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A0A159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FEC19D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FA896A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10</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1A8C2E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24A459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83</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565D006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5</w:t>
            </w:r>
          </w:p>
        </w:tc>
      </w:tr>
      <w:tr w:rsidR="009B4045" w:rsidRPr="0001533E" w14:paraId="654461A6" w14:textId="77777777">
        <w:trPr>
          <w:trHeight w:val="408"/>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4BF71749"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Electrician (General)</w:t>
            </w:r>
          </w:p>
        </w:tc>
        <w:tc>
          <w:tcPr>
            <w:tcW w:w="882" w:type="dxa"/>
            <w:tcBorders>
              <w:top w:val="outset" w:sz="6" w:space="0" w:color="auto"/>
              <w:left w:val="outset" w:sz="6" w:space="0" w:color="auto"/>
              <w:bottom w:val="outset" w:sz="6" w:space="0" w:color="auto"/>
              <w:right w:val="outset" w:sz="6" w:space="0" w:color="auto"/>
            </w:tcBorders>
            <w:vAlign w:val="center"/>
          </w:tcPr>
          <w:p w14:paraId="614521F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804</w:t>
            </w:r>
          </w:p>
        </w:tc>
        <w:tc>
          <w:tcPr>
            <w:tcW w:w="882" w:type="dxa"/>
            <w:tcBorders>
              <w:top w:val="outset" w:sz="6" w:space="0" w:color="auto"/>
              <w:left w:val="outset" w:sz="6" w:space="0" w:color="auto"/>
              <w:bottom w:val="outset" w:sz="6" w:space="0" w:color="auto"/>
              <w:right w:val="outset" w:sz="6" w:space="0" w:color="auto"/>
            </w:tcBorders>
            <w:vAlign w:val="center"/>
          </w:tcPr>
          <w:p w14:paraId="3435B1E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825</w:t>
            </w:r>
          </w:p>
        </w:tc>
        <w:tc>
          <w:tcPr>
            <w:tcW w:w="882" w:type="dxa"/>
            <w:tcBorders>
              <w:top w:val="outset" w:sz="6" w:space="0" w:color="auto"/>
              <w:left w:val="outset" w:sz="6" w:space="0" w:color="auto"/>
              <w:bottom w:val="outset" w:sz="6" w:space="0" w:color="auto"/>
              <w:right w:val="outset" w:sz="6" w:space="0" w:color="auto"/>
            </w:tcBorders>
            <w:vAlign w:val="center"/>
          </w:tcPr>
          <w:p w14:paraId="0AF7310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865</w:t>
            </w:r>
          </w:p>
        </w:tc>
        <w:tc>
          <w:tcPr>
            <w:tcW w:w="882" w:type="dxa"/>
            <w:tcBorders>
              <w:top w:val="outset" w:sz="6" w:space="0" w:color="auto"/>
              <w:left w:val="outset" w:sz="6" w:space="0" w:color="auto"/>
              <w:bottom w:val="outset" w:sz="6" w:space="0" w:color="auto"/>
              <w:right w:val="outset" w:sz="6" w:space="0" w:color="auto"/>
            </w:tcBorders>
            <w:vAlign w:val="center"/>
          </w:tcPr>
          <w:p w14:paraId="4820BD4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711</w:t>
            </w:r>
          </w:p>
        </w:tc>
        <w:tc>
          <w:tcPr>
            <w:tcW w:w="882" w:type="dxa"/>
            <w:tcBorders>
              <w:top w:val="outset" w:sz="6" w:space="0" w:color="auto"/>
              <w:left w:val="outset" w:sz="6" w:space="0" w:color="auto"/>
              <w:bottom w:val="outset" w:sz="6" w:space="0" w:color="auto"/>
              <w:right w:val="outset" w:sz="6" w:space="0" w:color="auto"/>
            </w:tcBorders>
            <w:vAlign w:val="center"/>
          </w:tcPr>
          <w:p w14:paraId="2B09F73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690</w:t>
            </w:r>
          </w:p>
        </w:tc>
        <w:tc>
          <w:tcPr>
            <w:tcW w:w="882" w:type="dxa"/>
            <w:tcBorders>
              <w:top w:val="outset" w:sz="6" w:space="0" w:color="auto"/>
              <w:left w:val="outset" w:sz="6" w:space="0" w:color="auto"/>
              <w:bottom w:val="outset" w:sz="6" w:space="0" w:color="auto"/>
              <w:right w:val="outset" w:sz="6" w:space="0" w:color="auto"/>
            </w:tcBorders>
            <w:vAlign w:val="center"/>
          </w:tcPr>
          <w:p w14:paraId="385D5863"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671</w:t>
            </w:r>
          </w:p>
        </w:tc>
        <w:tc>
          <w:tcPr>
            <w:tcW w:w="882" w:type="dxa"/>
            <w:tcBorders>
              <w:top w:val="outset" w:sz="6" w:space="0" w:color="auto"/>
              <w:left w:val="outset" w:sz="6" w:space="0" w:color="auto"/>
              <w:bottom w:val="outset" w:sz="6" w:space="0" w:color="auto"/>
              <w:right w:val="outset" w:sz="6" w:space="0" w:color="auto"/>
            </w:tcBorders>
            <w:vAlign w:val="center"/>
          </w:tcPr>
          <w:p w14:paraId="7014A74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878</w:t>
            </w:r>
          </w:p>
        </w:tc>
        <w:tc>
          <w:tcPr>
            <w:tcW w:w="882" w:type="dxa"/>
            <w:tcBorders>
              <w:top w:val="outset" w:sz="6" w:space="0" w:color="auto"/>
              <w:left w:val="outset" w:sz="6" w:space="0" w:color="auto"/>
              <w:bottom w:val="outset" w:sz="6" w:space="0" w:color="auto"/>
              <w:right w:val="outset" w:sz="6" w:space="0" w:color="auto"/>
            </w:tcBorders>
            <w:vAlign w:val="center"/>
          </w:tcPr>
          <w:p w14:paraId="63623C69" w14:textId="35409759"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014</w:t>
            </w:r>
          </w:p>
        </w:tc>
        <w:tc>
          <w:tcPr>
            <w:tcW w:w="882" w:type="dxa"/>
            <w:tcBorders>
              <w:top w:val="outset" w:sz="6" w:space="0" w:color="auto"/>
              <w:left w:val="outset" w:sz="6" w:space="0" w:color="auto"/>
              <w:bottom w:val="outset" w:sz="6" w:space="0" w:color="auto"/>
              <w:right w:val="outset" w:sz="6" w:space="0" w:color="auto"/>
            </w:tcBorders>
            <w:vAlign w:val="center"/>
          </w:tcPr>
          <w:p w14:paraId="4AB47E75" w14:textId="1D2CC7C6"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530</w:t>
            </w:r>
          </w:p>
        </w:tc>
        <w:tc>
          <w:tcPr>
            <w:tcW w:w="882" w:type="dxa"/>
            <w:tcBorders>
              <w:top w:val="outset" w:sz="6" w:space="0" w:color="auto"/>
              <w:left w:val="outset" w:sz="6" w:space="0" w:color="auto"/>
              <w:bottom w:val="outset" w:sz="6" w:space="0" w:color="auto"/>
              <w:right w:val="outset" w:sz="6" w:space="0" w:color="auto"/>
            </w:tcBorders>
            <w:vAlign w:val="center"/>
          </w:tcPr>
          <w:p w14:paraId="09642114" w14:textId="0F956807"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650</w:t>
            </w:r>
          </w:p>
        </w:tc>
        <w:tc>
          <w:tcPr>
            <w:tcW w:w="882" w:type="dxa"/>
            <w:tcBorders>
              <w:top w:val="outset" w:sz="6" w:space="0" w:color="auto"/>
              <w:left w:val="outset" w:sz="6" w:space="0" w:color="auto"/>
              <w:bottom w:val="outset" w:sz="6" w:space="0" w:color="auto"/>
              <w:right w:val="outset" w:sz="6" w:space="0" w:color="auto"/>
            </w:tcBorders>
            <w:vAlign w:val="center"/>
          </w:tcPr>
          <w:p w14:paraId="6155B62F" w14:textId="3397F7D3"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2</w:t>
            </w:r>
            <w:r w:rsidR="009B4045" w:rsidRPr="0001533E">
              <w:rPr>
                <w:rFonts w:cs="Arial"/>
                <w:color w:val="000000"/>
                <w:sz w:val="18"/>
                <w:szCs w:val="20"/>
                <w:lang w:eastAsia="en-AU"/>
              </w:rPr>
              <w:t>161</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303B1293" w14:textId="7D1531F2"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725</w:t>
            </w:r>
          </w:p>
        </w:tc>
      </w:tr>
      <w:tr w:rsidR="006715C7" w:rsidRPr="0001533E" w14:paraId="3116AA9E" w14:textId="77777777" w:rsidTr="006715C7">
        <w:trPr>
          <w:trHeight w:val="360"/>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0B630BC1"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Electrotechnology</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1C6948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57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A3DA9D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76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AAA1F1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B77516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14</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B79CD8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ACEA55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13</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4A9A04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A77451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24</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CA2A0A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5F9247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1F7E8B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83</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1EA8141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r>
      <w:tr w:rsidR="009B4045" w:rsidRPr="0001533E" w14:paraId="341F0E30" w14:textId="77777777">
        <w:trPr>
          <w:trHeight w:val="408"/>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4D9C4318"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Painting Trades Worker</w:t>
            </w:r>
          </w:p>
        </w:tc>
        <w:tc>
          <w:tcPr>
            <w:tcW w:w="882" w:type="dxa"/>
            <w:tcBorders>
              <w:top w:val="outset" w:sz="6" w:space="0" w:color="auto"/>
              <w:left w:val="outset" w:sz="6" w:space="0" w:color="auto"/>
              <w:bottom w:val="outset" w:sz="6" w:space="0" w:color="auto"/>
              <w:right w:val="outset" w:sz="6" w:space="0" w:color="auto"/>
            </w:tcBorders>
            <w:vAlign w:val="center"/>
          </w:tcPr>
          <w:p w14:paraId="7EC6C56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369</w:t>
            </w:r>
          </w:p>
        </w:tc>
        <w:tc>
          <w:tcPr>
            <w:tcW w:w="882" w:type="dxa"/>
            <w:tcBorders>
              <w:top w:val="outset" w:sz="6" w:space="0" w:color="auto"/>
              <w:left w:val="outset" w:sz="6" w:space="0" w:color="auto"/>
              <w:bottom w:val="outset" w:sz="6" w:space="0" w:color="auto"/>
              <w:right w:val="outset" w:sz="6" w:space="0" w:color="auto"/>
            </w:tcBorders>
            <w:vAlign w:val="center"/>
          </w:tcPr>
          <w:p w14:paraId="2A912BB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450</w:t>
            </w:r>
          </w:p>
        </w:tc>
        <w:tc>
          <w:tcPr>
            <w:tcW w:w="882" w:type="dxa"/>
            <w:tcBorders>
              <w:top w:val="outset" w:sz="6" w:space="0" w:color="auto"/>
              <w:left w:val="outset" w:sz="6" w:space="0" w:color="auto"/>
              <w:bottom w:val="outset" w:sz="6" w:space="0" w:color="auto"/>
              <w:right w:val="outset" w:sz="6" w:space="0" w:color="auto"/>
            </w:tcBorders>
            <w:vAlign w:val="center"/>
          </w:tcPr>
          <w:p w14:paraId="1E47A13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439</w:t>
            </w:r>
          </w:p>
        </w:tc>
        <w:tc>
          <w:tcPr>
            <w:tcW w:w="882" w:type="dxa"/>
            <w:tcBorders>
              <w:top w:val="outset" w:sz="6" w:space="0" w:color="auto"/>
              <w:left w:val="outset" w:sz="6" w:space="0" w:color="auto"/>
              <w:bottom w:val="outset" w:sz="6" w:space="0" w:color="auto"/>
              <w:right w:val="outset" w:sz="6" w:space="0" w:color="auto"/>
            </w:tcBorders>
            <w:vAlign w:val="center"/>
          </w:tcPr>
          <w:p w14:paraId="3D01881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364</w:t>
            </w:r>
          </w:p>
        </w:tc>
        <w:tc>
          <w:tcPr>
            <w:tcW w:w="882" w:type="dxa"/>
            <w:tcBorders>
              <w:top w:val="outset" w:sz="6" w:space="0" w:color="auto"/>
              <w:left w:val="outset" w:sz="6" w:space="0" w:color="auto"/>
              <w:bottom w:val="outset" w:sz="6" w:space="0" w:color="auto"/>
              <w:right w:val="outset" w:sz="6" w:space="0" w:color="auto"/>
            </w:tcBorders>
            <w:vAlign w:val="center"/>
          </w:tcPr>
          <w:p w14:paraId="7ECF8A0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380</w:t>
            </w:r>
          </w:p>
        </w:tc>
        <w:tc>
          <w:tcPr>
            <w:tcW w:w="882" w:type="dxa"/>
            <w:tcBorders>
              <w:top w:val="outset" w:sz="6" w:space="0" w:color="auto"/>
              <w:left w:val="outset" w:sz="6" w:space="0" w:color="auto"/>
              <w:bottom w:val="outset" w:sz="6" w:space="0" w:color="auto"/>
              <w:right w:val="outset" w:sz="6" w:space="0" w:color="auto"/>
            </w:tcBorders>
            <w:vAlign w:val="center"/>
          </w:tcPr>
          <w:p w14:paraId="7AEF82B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317</w:t>
            </w:r>
          </w:p>
        </w:tc>
        <w:tc>
          <w:tcPr>
            <w:tcW w:w="882" w:type="dxa"/>
            <w:tcBorders>
              <w:top w:val="outset" w:sz="6" w:space="0" w:color="auto"/>
              <w:left w:val="outset" w:sz="6" w:space="0" w:color="auto"/>
              <w:bottom w:val="outset" w:sz="6" w:space="0" w:color="auto"/>
              <w:right w:val="outset" w:sz="6" w:space="0" w:color="auto"/>
            </w:tcBorders>
            <w:vAlign w:val="center"/>
          </w:tcPr>
          <w:p w14:paraId="5177761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340</w:t>
            </w:r>
          </w:p>
        </w:tc>
        <w:tc>
          <w:tcPr>
            <w:tcW w:w="882" w:type="dxa"/>
            <w:tcBorders>
              <w:top w:val="outset" w:sz="6" w:space="0" w:color="auto"/>
              <w:left w:val="outset" w:sz="6" w:space="0" w:color="auto"/>
              <w:bottom w:val="outset" w:sz="6" w:space="0" w:color="auto"/>
              <w:right w:val="outset" w:sz="6" w:space="0" w:color="auto"/>
            </w:tcBorders>
            <w:vAlign w:val="center"/>
          </w:tcPr>
          <w:p w14:paraId="6EF9F35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374</w:t>
            </w:r>
          </w:p>
        </w:tc>
        <w:tc>
          <w:tcPr>
            <w:tcW w:w="882" w:type="dxa"/>
            <w:tcBorders>
              <w:top w:val="outset" w:sz="6" w:space="0" w:color="auto"/>
              <w:left w:val="outset" w:sz="6" w:space="0" w:color="auto"/>
              <w:bottom w:val="outset" w:sz="6" w:space="0" w:color="auto"/>
              <w:right w:val="outset" w:sz="6" w:space="0" w:color="auto"/>
            </w:tcBorders>
            <w:vAlign w:val="center"/>
          </w:tcPr>
          <w:p w14:paraId="05F9708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474</w:t>
            </w:r>
          </w:p>
        </w:tc>
        <w:tc>
          <w:tcPr>
            <w:tcW w:w="882" w:type="dxa"/>
            <w:tcBorders>
              <w:top w:val="outset" w:sz="6" w:space="0" w:color="auto"/>
              <w:left w:val="outset" w:sz="6" w:space="0" w:color="auto"/>
              <w:bottom w:val="outset" w:sz="6" w:space="0" w:color="auto"/>
              <w:right w:val="outset" w:sz="6" w:space="0" w:color="auto"/>
            </w:tcBorders>
            <w:vAlign w:val="center"/>
          </w:tcPr>
          <w:p w14:paraId="4D5DD05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565</w:t>
            </w:r>
          </w:p>
        </w:tc>
        <w:tc>
          <w:tcPr>
            <w:tcW w:w="882" w:type="dxa"/>
            <w:tcBorders>
              <w:top w:val="outset" w:sz="6" w:space="0" w:color="auto"/>
              <w:left w:val="outset" w:sz="6" w:space="0" w:color="auto"/>
              <w:bottom w:val="outset" w:sz="6" w:space="0" w:color="auto"/>
              <w:right w:val="outset" w:sz="6" w:space="0" w:color="auto"/>
            </w:tcBorders>
            <w:vAlign w:val="center"/>
          </w:tcPr>
          <w:p w14:paraId="230D89E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781</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596FE13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743</w:t>
            </w:r>
          </w:p>
        </w:tc>
      </w:tr>
      <w:tr w:rsidR="006715C7" w:rsidRPr="0001533E" w14:paraId="10273748" w14:textId="77777777" w:rsidTr="006715C7">
        <w:trPr>
          <w:trHeight w:val="402"/>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267004CE"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Painting &amp; Decorating</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275239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19</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2E3EA2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C9B4CF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CE35A7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911974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2E5BD7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2A3228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7705EC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28</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CF0A193"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67387D3"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92E9A9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60</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0BECA29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r>
      <w:tr w:rsidR="009B4045" w:rsidRPr="0001533E" w14:paraId="7F473EEA" w14:textId="77777777">
        <w:trPr>
          <w:trHeight w:val="280"/>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4B807B41"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Community worker</w:t>
            </w:r>
          </w:p>
        </w:tc>
        <w:tc>
          <w:tcPr>
            <w:tcW w:w="882" w:type="dxa"/>
            <w:tcBorders>
              <w:top w:val="outset" w:sz="6" w:space="0" w:color="auto"/>
              <w:left w:val="outset" w:sz="6" w:space="0" w:color="auto"/>
              <w:bottom w:val="outset" w:sz="6" w:space="0" w:color="auto"/>
              <w:right w:val="outset" w:sz="6" w:space="0" w:color="auto"/>
            </w:tcBorders>
            <w:vAlign w:val="center"/>
          </w:tcPr>
          <w:p w14:paraId="1B054C0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34</w:t>
            </w:r>
          </w:p>
        </w:tc>
        <w:tc>
          <w:tcPr>
            <w:tcW w:w="882" w:type="dxa"/>
            <w:tcBorders>
              <w:top w:val="outset" w:sz="6" w:space="0" w:color="auto"/>
              <w:left w:val="outset" w:sz="6" w:space="0" w:color="auto"/>
              <w:bottom w:val="outset" w:sz="6" w:space="0" w:color="auto"/>
              <w:right w:val="outset" w:sz="6" w:space="0" w:color="auto"/>
            </w:tcBorders>
            <w:vAlign w:val="center"/>
          </w:tcPr>
          <w:p w14:paraId="3541583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46</w:t>
            </w:r>
          </w:p>
        </w:tc>
        <w:tc>
          <w:tcPr>
            <w:tcW w:w="882" w:type="dxa"/>
            <w:tcBorders>
              <w:top w:val="outset" w:sz="6" w:space="0" w:color="auto"/>
              <w:left w:val="outset" w:sz="6" w:space="0" w:color="auto"/>
              <w:bottom w:val="outset" w:sz="6" w:space="0" w:color="auto"/>
              <w:right w:val="outset" w:sz="6" w:space="0" w:color="auto"/>
            </w:tcBorders>
            <w:vAlign w:val="center"/>
          </w:tcPr>
          <w:p w14:paraId="26E31DD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56</w:t>
            </w:r>
          </w:p>
        </w:tc>
        <w:tc>
          <w:tcPr>
            <w:tcW w:w="882" w:type="dxa"/>
            <w:tcBorders>
              <w:top w:val="outset" w:sz="6" w:space="0" w:color="auto"/>
              <w:left w:val="outset" w:sz="6" w:space="0" w:color="auto"/>
              <w:bottom w:val="outset" w:sz="6" w:space="0" w:color="auto"/>
              <w:right w:val="outset" w:sz="6" w:space="0" w:color="auto"/>
            </w:tcBorders>
            <w:vAlign w:val="center"/>
          </w:tcPr>
          <w:p w14:paraId="71FD6AD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53</w:t>
            </w:r>
          </w:p>
        </w:tc>
        <w:tc>
          <w:tcPr>
            <w:tcW w:w="882" w:type="dxa"/>
            <w:tcBorders>
              <w:top w:val="outset" w:sz="6" w:space="0" w:color="auto"/>
              <w:left w:val="outset" w:sz="6" w:space="0" w:color="auto"/>
              <w:bottom w:val="outset" w:sz="6" w:space="0" w:color="auto"/>
              <w:right w:val="outset" w:sz="6" w:space="0" w:color="auto"/>
            </w:tcBorders>
            <w:vAlign w:val="center"/>
          </w:tcPr>
          <w:p w14:paraId="21F9C0B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63</w:t>
            </w:r>
          </w:p>
        </w:tc>
        <w:tc>
          <w:tcPr>
            <w:tcW w:w="882" w:type="dxa"/>
            <w:tcBorders>
              <w:top w:val="outset" w:sz="6" w:space="0" w:color="auto"/>
              <w:left w:val="outset" w:sz="6" w:space="0" w:color="auto"/>
              <w:bottom w:val="outset" w:sz="6" w:space="0" w:color="auto"/>
              <w:right w:val="outset" w:sz="6" w:space="0" w:color="auto"/>
            </w:tcBorders>
            <w:vAlign w:val="center"/>
          </w:tcPr>
          <w:p w14:paraId="0562B58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71</w:t>
            </w:r>
          </w:p>
        </w:tc>
        <w:tc>
          <w:tcPr>
            <w:tcW w:w="882" w:type="dxa"/>
            <w:tcBorders>
              <w:top w:val="outset" w:sz="6" w:space="0" w:color="auto"/>
              <w:left w:val="outset" w:sz="6" w:space="0" w:color="auto"/>
              <w:bottom w:val="outset" w:sz="6" w:space="0" w:color="auto"/>
              <w:right w:val="outset" w:sz="6" w:space="0" w:color="auto"/>
            </w:tcBorders>
            <w:vAlign w:val="center"/>
          </w:tcPr>
          <w:p w14:paraId="36DB94E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82</w:t>
            </w:r>
          </w:p>
        </w:tc>
        <w:tc>
          <w:tcPr>
            <w:tcW w:w="882" w:type="dxa"/>
            <w:tcBorders>
              <w:top w:val="outset" w:sz="6" w:space="0" w:color="auto"/>
              <w:left w:val="outset" w:sz="6" w:space="0" w:color="auto"/>
              <w:bottom w:val="outset" w:sz="6" w:space="0" w:color="auto"/>
              <w:right w:val="outset" w:sz="6" w:space="0" w:color="auto"/>
            </w:tcBorders>
            <w:vAlign w:val="center"/>
          </w:tcPr>
          <w:p w14:paraId="20EB272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96</w:t>
            </w:r>
          </w:p>
        </w:tc>
        <w:tc>
          <w:tcPr>
            <w:tcW w:w="882" w:type="dxa"/>
            <w:tcBorders>
              <w:top w:val="outset" w:sz="6" w:space="0" w:color="auto"/>
              <w:left w:val="outset" w:sz="6" w:space="0" w:color="auto"/>
              <w:bottom w:val="outset" w:sz="6" w:space="0" w:color="auto"/>
              <w:right w:val="outset" w:sz="6" w:space="0" w:color="auto"/>
            </w:tcBorders>
            <w:vAlign w:val="center"/>
          </w:tcPr>
          <w:p w14:paraId="7848B09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129</w:t>
            </w:r>
          </w:p>
        </w:tc>
        <w:tc>
          <w:tcPr>
            <w:tcW w:w="882" w:type="dxa"/>
            <w:tcBorders>
              <w:top w:val="outset" w:sz="6" w:space="0" w:color="auto"/>
              <w:left w:val="outset" w:sz="6" w:space="0" w:color="auto"/>
              <w:bottom w:val="outset" w:sz="6" w:space="0" w:color="auto"/>
              <w:right w:val="outset" w:sz="6" w:space="0" w:color="auto"/>
            </w:tcBorders>
            <w:vAlign w:val="center"/>
          </w:tcPr>
          <w:p w14:paraId="17AC8DD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147</w:t>
            </w:r>
          </w:p>
        </w:tc>
        <w:tc>
          <w:tcPr>
            <w:tcW w:w="882" w:type="dxa"/>
            <w:tcBorders>
              <w:top w:val="outset" w:sz="6" w:space="0" w:color="auto"/>
              <w:left w:val="outset" w:sz="6" w:space="0" w:color="auto"/>
              <w:bottom w:val="outset" w:sz="6" w:space="0" w:color="auto"/>
              <w:right w:val="outset" w:sz="6" w:space="0" w:color="auto"/>
            </w:tcBorders>
            <w:vAlign w:val="center"/>
          </w:tcPr>
          <w:p w14:paraId="51CB49D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186</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7EDCFF9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182</w:t>
            </w:r>
          </w:p>
        </w:tc>
      </w:tr>
      <w:tr w:rsidR="006715C7" w:rsidRPr="0001533E" w14:paraId="33E85811" w14:textId="77777777" w:rsidTr="006715C7">
        <w:trPr>
          <w:trHeight w:val="371"/>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6B459436"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Diploma of Community Services Work</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753C989"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4677898"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08A214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19</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E2C8F1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19</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E7B4D4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B51C09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24</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A573D0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FCDD26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43</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60E43A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C45AC3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20</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7EC985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20</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5A9C294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r>
      <w:tr w:rsidR="009B4045" w:rsidRPr="0001533E" w14:paraId="743AA937" w14:textId="77777777">
        <w:trPr>
          <w:trHeight w:val="264"/>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738764C1"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Wall &amp; Floor Tiler</w:t>
            </w:r>
          </w:p>
        </w:tc>
        <w:tc>
          <w:tcPr>
            <w:tcW w:w="882" w:type="dxa"/>
            <w:tcBorders>
              <w:top w:val="outset" w:sz="6" w:space="0" w:color="auto"/>
              <w:left w:val="outset" w:sz="6" w:space="0" w:color="auto"/>
              <w:bottom w:val="outset" w:sz="6" w:space="0" w:color="auto"/>
              <w:right w:val="outset" w:sz="6" w:space="0" w:color="auto"/>
            </w:tcBorders>
            <w:vAlign w:val="center"/>
          </w:tcPr>
          <w:p w14:paraId="2C31457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275</w:t>
            </w:r>
          </w:p>
        </w:tc>
        <w:tc>
          <w:tcPr>
            <w:tcW w:w="882" w:type="dxa"/>
            <w:tcBorders>
              <w:top w:val="outset" w:sz="6" w:space="0" w:color="auto"/>
              <w:left w:val="outset" w:sz="6" w:space="0" w:color="auto"/>
              <w:bottom w:val="outset" w:sz="6" w:space="0" w:color="auto"/>
              <w:right w:val="outset" w:sz="6" w:space="0" w:color="auto"/>
            </w:tcBorders>
            <w:vAlign w:val="center"/>
          </w:tcPr>
          <w:p w14:paraId="79438C2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300</w:t>
            </w:r>
          </w:p>
        </w:tc>
        <w:tc>
          <w:tcPr>
            <w:tcW w:w="882" w:type="dxa"/>
            <w:tcBorders>
              <w:top w:val="outset" w:sz="6" w:space="0" w:color="auto"/>
              <w:left w:val="outset" w:sz="6" w:space="0" w:color="auto"/>
              <w:bottom w:val="outset" w:sz="6" w:space="0" w:color="auto"/>
              <w:right w:val="outset" w:sz="6" w:space="0" w:color="auto"/>
            </w:tcBorders>
            <w:vAlign w:val="center"/>
          </w:tcPr>
          <w:p w14:paraId="2F6563E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270</w:t>
            </w:r>
          </w:p>
        </w:tc>
        <w:tc>
          <w:tcPr>
            <w:tcW w:w="882" w:type="dxa"/>
            <w:tcBorders>
              <w:top w:val="outset" w:sz="6" w:space="0" w:color="auto"/>
              <w:left w:val="outset" w:sz="6" w:space="0" w:color="auto"/>
              <w:bottom w:val="outset" w:sz="6" w:space="0" w:color="auto"/>
              <w:right w:val="outset" w:sz="6" w:space="0" w:color="auto"/>
            </w:tcBorders>
            <w:vAlign w:val="center"/>
          </w:tcPr>
          <w:p w14:paraId="5FB7635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207</w:t>
            </w:r>
          </w:p>
        </w:tc>
        <w:tc>
          <w:tcPr>
            <w:tcW w:w="882" w:type="dxa"/>
            <w:tcBorders>
              <w:top w:val="outset" w:sz="6" w:space="0" w:color="auto"/>
              <w:left w:val="outset" w:sz="6" w:space="0" w:color="auto"/>
              <w:bottom w:val="outset" w:sz="6" w:space="0" w:color="auto"/>
              <w:right w:val="outset" w:sz="6" w:space="0" w:color="auto"/>
            </w:tcBorders>
            <w:vAlign w:val="center"/>
          </w:tcPr>
          <w:p w14:paraId="196A340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207</w:t>
            </w:r>
          </w:p>
        </w:tc>
        <w:tc>
          <w:tcPr>
            <w:tcW w:w="882" w:type="dxa"/>
            <w:tcBorders>
              <w:top w:val="outset" w:sz="6" w:space="0" w:color="auto"/>
              <w:left w:val="outset" w:sz="6" w:space="0" w:color="auto"/>
              <w:bottom w:val="outset" w:sz="6" w:space="0" w:color="auto"/>
              <w:right w:val="outset" w:sz="6" w:space="0" w:color="auto"/>
            </w:tcBorders>
            <w:vAlign w:val="center"/>
          </w:tcPr>
          <w:p w14:paraId="1A5AD85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207</w:t>
            </w:r>
          </w:p>
        </w:tc>
        <w:tc>
          <w:tcPr>
            <w:tcW w:w="882" w:type="dxa"/>
            <w:tcBorders>
              <w:top w:val="outset" w:sz="6" w:space="0" w:color="auto"/>
              <w:left w:val="outset" w:sz="6" w:space="0" w:color="auto"/>
              <w:bottom w:val="outset" w:sz="6" w:space="0" w:color="auto"/>
              <w:right w:val="outset" w:sz="6" w:space="0" w:color="auto"/>
            </w:tcBorders>
            <w:vAlign w:val="center"/>
          </w:tcPr>
          <w:p w14:paraId="2A298B3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218</w:t>
            </w:r>
          </w:p>
        </w:tc>
        <w:tc>
          <w:tcPr>
            <w:tcW w:w="882" w:type="dxa"/>
            <w:tcBorders>
              <w:top w:val="outset" w:sz="6" w:space="0" w:color="auto"/>
              <w:left w:val="outset" w:sz="6" w:space="0" w:color="auto"/>
              <w:bottom w:val="outset" w:sz="6" w:space="0" w:color="auto"/>
              <w:right w:val="outset" w:sz="6" w:space="0" w:color="auto"/>
            </w:tcBorders>
            <w:vAlign w:val="center"/>
          </w:tcPr>
          <w:p w14:paraId="16CEBD7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219</w:t>
            </w:r>
          </w:p>
        </w:tc>
        <w:tc>
          <w:tcPr>
            <w:tcW w:w="882" w:type="dxa"/>
            <w:tcBorders>
              <w:top w:val="outset" w:sz="6" w:space="0" w:color="auto"/>
              <w:left w:val="outset" w:sz="6" w:space="0" w:color="auto"/>
              <w:bottom w:val="outset" w:sz="6" w:space="0" w:color="auto"/>
              <w:right w:val="outset" w:sz="6" w:space="0" w:color="auto"/>
            </w:tcBorders>
            <w:vAlign w:val="center"/>
          </w:tcPr>
          <w:p w14:paraId="1448053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289</w:t>
            </w:r>
          </w:p>
        </w:tc>
        <w:tc>
          <w:tcPr>
            <w:tcW w:w="882" w:type="dxa"/>
            <w:tcBorders>
              <w:top w:val="outset" w:sz="6" w:space="0" w:color="auto"/>
              <w:left w:val="outset" w:sz="6" w:space="0" w:color="auto"/>
              <w:bottom w:val="outset" w:sz="6" w:space="0" w:color="auto"/>
              <w:right w:val="outset" w:sz="6" w:space="0" w:color="auto"/>
            </w:tcBorders>
            <w:vAlign w:val="center"/>
          </w:tcPr>
          <w:p w14:paraId="29FD715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313</w:t>
            </w:r>
          </w:p>
        </w:tc>
        <w:tc>
          <w:tcPr>
            <w:tcW w:w="882" w:type="dxa"/>
            <w:tcBorders>
              <w:top w:val="outset" w:sz="6" w:space="0" w:color="auto"/>
              <w:left w:val="outset" w:sz="6" w:space="0" w:color="auto"/>
              <w:bottom w:val="outset" w:sz="6" w:space="0" w:color="auto"/>
              <w:right w:val="outset" w:sz="6" w:space="0" w:color="auto"/>
            </w:tcBorders>
            <w:vAlign w:val="center"/>
          </w:tcPr>
          <w:p w14:paraId="7AF1E653"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355</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2D1E088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368</w:t>
            </w:r>
          </w:p>
        </w:tc>
      </w:tr>
      <w:tr w:rsidR="006715C7" w:rsidRPr="0001533E" w14:paraId="1B9AB0C4" w14:textId="77777777" w:rsidTr="006715C7">
        <w:trPr>
          <w:trHeight w:val="385"/>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097A9254"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Wall &amp; Floor Tiling</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E4C50F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15</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0CC0E1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F4679A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DB6C773"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80E6C4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C5DCAE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18</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53D960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9</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6B12E0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640D30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FECD52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BBA7E6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46</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7C8F2C1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15</w:t>
            </w:r>
          </w:p>
        </w:tc>
      </w:tr>
      <w:tr w:rsidR="009B4045" w:rsidRPr="0001533E" w14:paraId="08BF3577" w14:textId="77777777">
        <w:trPr>
          <w:trHeight w:val="275"/>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187C1D5B"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Pastry cook</w:t>
            </w:r>
          </w:p>
        </w:tc>
        <w:tc>
          <w:tcPr>
            <w:tcW w:w="882" w:type="dxa"/>
            <w:tcBorders>
              <w:top w:val="outset" w:sz="6" w:space="0" w:color="auto"/>
              <w:left w:val="outset" w:sz="6" w:space="0" w:color="auto"/>
              <w:bottom w:val="outset" w:sz="6" w:space="0" w:color="auto"/>
              <w:right w:val="outset" w:sz="6" w:space="0" w:color="auto"/>
            </w:tcBorders>
            <w:vAlign w:val="center"/>
          </w:tcPr>
          <w:p w14:paraId="6C7EF0D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289</w:t>
            </w:r>
          </w:p>
        </w:tc>
        <w:tc>
          <w:tcPr>
            <w:tcW w:w="882" w:type="dxa"/>
            <w:tcBorders>
              <w:top w:val="outset" w:sz="6" w:space="0" w:color="auto"/>
              <w:left w:val="outset" w:sz="6" w:space="0" w:color="auto"/>
              <w:bottom w:val="outset" w:sz="6" w:space="0" w:color="auto"/>
              <w:right w:val="outset" w:sz="6" w:space="0" w:color="auto"/>
            </w:tcBorders>
            <w:vAlign w:val="center"/>
          </w:tcPr>
          <w:p w14:paraId="5CEA5E9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319</w:t>
            </w:r>
          </w:p>
        </w:tc>
        <w:tc>
          <w:tcPr>
            <w:tcW w:w="882" w:type="dxa"/>
            <w:tcBorders>
              <w:top w:val="outset" w:sz="6" w:space="0" w:color="auto"/>
              <w:left w:val="outset" w:sz="6" w:space="0" w:color="auto"/>
              <w:bottom w:val="outset" w:sz="6" w:space="0" w:color="auto"/>
              <w:right w:val="outset" w:sz="6" w:space="0" w:color="auto"/>
            </w:tcBorders>
            <w:vAlign w:val="center"/>
          </w:tcPr>
          <w:p w14:paraId="263AC143"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303</w:t>
            </w:r>
          </w:p>
        </w:tc>
        <w:tc>
          <w:tcPr>
            <w:tcW w:w="882" w:type="dxa"/>
            <w:tcBorders>
              <w:top w:val="outset" w:sz="6" w:space="0" w:color="auto"/>
              <w:left w:val="outset" w:sz="6" w:space="0" w:color="auto"/>
              <w:bottom w:val="outset" w:sz="6" w:space="0" w:color="auto"/>
              <w:right w:val="outset" w:sz="6" w:space="0" w:color="auto"/>
            </w:tcBorders>
            <w:vAlign w:val="center"/>
          </w:tcPr>
          <w:p w14:paraId="3714DFF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265</w:t>
            </w:r>
          </w:p>
        </w:tc>
        <w:tc>
          <w:tcPr>
            <w:tcW w:w="882" w:type="dxa"/>
            <w:tcBorders>
              <w:top w:val="outset" w:sz="6" w:space="0" w:color="auto"/>
              <w:left w:val="outset" w:sz="6" w:space="0" w:color="auto"/>
              <w:bottom w:val="outset" w:sz="6" w:space="0" w:color="auto"/>
              <w:right w:val="outset" w:sz="6" w:space="0" w:color="auto"/>
            </w:tcBorders>
            <w:vAlign w:val="center"/>
          </w:tcPr>
          <w:p w14:paraId="36E1ACA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239</w:t>
            </w:r>
          </w:p>
        </w:tc>
        <w:tc>
          <w:tcPr>
            <w:tcW w:w="882" w:type="dxa"/>
            <w:tcBorders>
              <w:top w:val="outset" w:sz="6" w:space="0" w:color="auto"/>
              <w:left w:val="outset" w:sz="6" w:space="0" w:color="auto"/>
              <w:bottom w:val="outset" w:sz="6" w:space="0" w:color="auto"/>
              <w:right w:val="outset" w:sz="6" w:space="0" w:color="auto"/>
            </w:tcBorders>
            <w:vAlign w:val="center"/>
          </w:tcPr>
          <w:p w14:paraId="0AAA326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252</w:t>
            </w:r>
          </w:p>
        </w:tc>
        <w:tc>
          <w:tcPr>
            <w:tcW w:w="882" w:type="dxa"/>
            <w:tcBorders>
              <w:top w:val="outset" w:sz="6" w:space="0" w:color="auto"/>
              <w:left w:val="outset" w:sz="6" w:space="0" w:color="auto"/>
              <w:bottom w:val="outset" w:sz="6" w:space="0" w:color="auto"/>
              <w:right w:val="outset" w:sz="6" w:space="0" w:color="auto"/>
            </w:tcBorders>
            <w:vAlign w:val="center"/>
          </w:tcPr>
          <w:p w14:paraId="3E5D67A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276</w:t>
            </w:r>
          </w:p>
        </w:tc>
        <w:tc>
          <w:tcPr>
            <w:tcW w:w="882" w:type="dxa"/>
            <w:tcBorders>
              <w:top w:val="outset" w:sz="6" w:space="0" w:color="auto"/>
              <w:left w:val="outset" w:sz="6" w:space="0" w:color="auto"/>
              <w:bottom w:val="outset" w:sz="6" w:space="0" w:color="auto"/>
              <w:right w:val="outset" w:sz="6" w:space="0" w:color="auto"/>
            </w:tcBorders>
            <w:vAlign w:val="center"/>
          </w:tcPr>
          <w:p w14:paraId="205F16C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309</w:t>
            </w:r>
          </w:p>
        </w:tc>
        <w:tc>
          <w:tcPr>
            <w:tcW w:w="882" w:type="dxa"/>
            <w:tcBorders>
              <w:top w:val="outset" w:sz="6" w:space="0" w:color="auto"/>
              <w:left w:val="outset" w:sz="6" w:space="0" w:color="auto"/>
              <w:bottom w:val="outset" w:sz="6" w:space="0" w:color="auto"/>
              <w:right w:val="outset" w:sz="6" w:space="0" w:color="auto"/>
            </w:tcBorders>
            <w:vAlign w:val="center"/>
          </w:tcPr>
          <w:p w14:paraId="7AFA0D0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459</w:t>
            </w:r>
          </w:p>
        </w:tc>
        <w:tc>
          <w:tcPr>
            <w:tcW w:w="882" w:type="dxa"/>
            <w:tcBorders>
              <w:top w:val="outset" w:sz="6" w:space="0" w:color="auto"/>
              <w:left w:val="outset" w:sz="6" w:space="0" w:color="auto"/>
              <w:bottom w:val="outset" w:sz="6" w:space="0" w:color="auto"/>
              <w:right w:val="outset" w:sz="6" w:space="0" w:color="auto"/>
            </w:tcBorders>
            <w:vAlign w:val="center"/>
          </w:tcPr>
          <w:p w14:paraId="65D3015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689</w:t>
            </w:r>
          </w:p>
        </w:tc>
        <w:tc>
          <w:tcPr>
            <w:tcW w:w="882" w:type="dxa"/>
            <w:tcBorders>
              <w:top w:val="outset" w:sz="6" w:space="0" w:color="auto"/>
              <w:left w:val="outset" w:sz="6" w:space="0" w:color="auto"/>
              <w:bottom w:val="outset" w:sz="6" w:space="0" w:color="auto"/>
              <w:right w:val="outset" w:sz="6" w:space="0" w:color="auto"/>
            </w:tcBorders>
            <w:vAlign w:val="center"/>
          </w:tcPr>
          <w:p w14:paraId="6AE63B6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950</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1D8169A9" w14:textId="1852AE44"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207</w:t>
            </w:r>
          </w:p>
        </w:tc>
      </w:tr>
      <w:tr w:rsidR="006715C7" w:rsidRPr="0001533E" w14:paraId="6F24D823" w14:textId="77777777" w:rsidTr="006715C7">
        <w:trPr>
          <w:trHeight w:val="288"/>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2A72CB22"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Patisserie</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0E793F9"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F2468E9"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2D987F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E42CA7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35E94C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E7F0DE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B4649A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284CF4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C11C74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23</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117478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14</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521258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13</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63A940B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w:t>
            </w:r>
          </w:p>
        </w:tc>
      </w:tr>
      <w:tr w:rsidR="009B4045" w:rsidRPr="0001533E" w14:paraId="2FB8C8E8" w14:textId="77777777">
        <w:trPr>
          <w:trHeight w:val="300"/>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7384BC3C"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Hairdresser</w:t>
            </w:r>
          </w:p>
        </w:tc>
        <w:tc>
          <w:tcPr>
            <w:tcW w:w="882" w:type="dxa"/>
            <w:tcBorders>
              <w:top w:val="outset" w:sz="6" w:space="0" w:color="auto"/>
              <w:left w:val="outset" w:sz="6" w:space="0" w:color="auto"/>
              <w:bottom w:val="outset" w:sz="6" w:space="0" w:color="auto"/>
              <w:right w:val="outset" w:sz="6" w:space="0" w:color="auto"/>
            </w:tcBorders>
            <w:vAlign w:val="center"/>
          </w:tcPr>
          <w:p w14:paraId="46363E03"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608</w:t>
            </w:r>
          </w:p>
        </w:tc>
        <w:tc>
          <w:tcPr>
            <w:tcW w:w="882" w:type="dxa"/>
            <w:tcBorders>
              <w:top w:val="outset" w:sz="6" w:space="0" w:color="auto"/>
              <w:left w:val="outset" w:sz="6" w:space="0" w:color="auto"/>
              <w:bottom w:val="outset" w:sz="6" w:space="0" w:color="auto"/>
              <w:right w:val="outset" w:sz="6" w:space="0" w:color="auto"/>
            </w:tcBorders>
            <w:vAlign w:val="center"/>
          </w:tcPr>
          <w:p w14:paraId="29F5C87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627</w:t>
            </w:r>
          </w:p>
        </w:tc>
        <w:tc>
          <w:tcPr>
            <w:tcW w:w="882" w:type="dxa"/>
            <w:tcBorders>
              <w:top w:val="outset" w:sz="6" w:space="0" w:color="auto"/>
              <w:left w:val="outset" w:sz="6" w:space="0" w:color="auto"/>
              <w:bottom w:val="outset" w:sz="6" w:space="0" w:color="auto"/>
              <w:right w:val="outset" w:sz="6" w:space="0" w:color="auto"/>
            </w:tcBorders>
            <w:vAlign w:val="center"/>
          </w:tcPr>
          <w:p w14:paraId="5517583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638</w:t>
            </w:r>
          </w:p>
        </w:tc>
        <w:tc>
          <w:tcPr>
            <w:tcW w:w="882" w:type="dxa"/>
            <w:tcBorders>
              <w:top w:val="outset" w:sz="6" w:space="0" w:color="auto"/>
              <w:left w:val="outset" w:sz="6" w:space="0" w:color="auto"/>
              <w:bottom w:val="outset" w:sz="6" w:space="0" w:color="auto"/>
              <w:right w:val="outset" w:sz="6" w:space="0" w:color="auto"/>
            </w:tcBorders>
            <w:vAlign w:val="center"/>
          </w:tcPr>
          <w:p w14:paraId="7BA0F70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572</w:t>
            </w:r>
          </w:p>
        </w:tc>
        <w:tc>
          <w:tcPr>
            <w:tcW w:w="882" w:type="dxa"/>
            <w:tcBorders>
              <w:top w:val="outset" w:sz="6" w:space="0" w:color="auto"/>
              <w:left w:val="outset" w:sz="6" w:space="0" w:color="auto"/>
              <w:bottom w:val="outset" w:sz="6" w:space="0" w:color="auto"/>
              <w:right w:val="outset" w:sz="6" w:space="0" w:color="auto"/>
            </w:tcBorders>
            <w:vAlign w:val="center"/>
          </w:tcPr>
          <w:p w14:paraId="69326DD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500</w:t>
            </w:r>
          </w:p>
        </w:tc>
        <w:tc>
          <w:tcPr>
            <w:tcW w:w="882" w:type="dxa"/>
            <w:tcBorders>
              <w:top w:val="outset" w:sz="6" w:space="0" w:color="auto"/>
              <w:left w:val="outset" w:sz="6" w:space="0" w:color="auto"/>
              <w:bottom w:val="outset" w:sz="6" w:space="0" w:color="auto"/>
              <w:right w:val="outset" w:sz="6" w:space="0" w:color="auto"/>
            </w:tcBorders>
            <w:vAlign w:val="center"/>
          </w:tcPr>
          <w:p w14:paraId="4EAD7D5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461</w:t>
            </w:r>
          </w:p>
        </w:tc>
        <w:tc>
          <w:tcPr>
            <w:tcW w:w="882" w:type="dxa"/>
            <w:tcBorders>
              <w:top w:val="outset" w:sz="6" w:space="0" w:color="auto"/>
              <w:left w:val="outset" w:sz="6" w:space="0" w:color="auto"/>
              <w:bottom w:val="outset" w:sz="6" w:space="0" w:color="auto"/>
              <w:right w:val="outset" w:sz="6" w:space="0" w:color="auto"/>
            </w:tcBorders>
            <w:vAlign w:val="center"/>
          </w:tcPr>
          <w:p w14:paraId="70AE6C7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448</w:t>
            </w:r>
          </w:p>
        </w:tc>
        <w:tc>
          <w:tcPr>
            <w:tcW w:w="882" w:type="dxa"/>
            <w:tcBorders>
              <w:top w:val="outset" w:sz="6" w:space="0" w:color="auto"/>
              <w:left w:val="outset" w:sz="6" w:space="0" w:color="auto"/>
              <w:bottom w:val="outset" w:sz="6" w:space="0" w:color="auto"/>
              <w:right w:val="outset" w:sz="6" w:space="0" w:color="auto"/>
            </w:tcBorders>
            <w:vAlign w:val="center"/>
          </w:tcPr>
          <w:p w14:paraId="6E82EBD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558</w:t>
            </w:r>
          </w:p>
        </w:tc>
        <w:tc>
          <w:tcPr>
            <w:tcW w:w="882" w:type="dxa"/>
            <w:tcBorders>
              <w:top w:val="outset" w:sz="6" w:space="0" w:color="auto"/>
              <w:left w:val="outset" w:sz="6" w:space="0" w:color="auto"/>
              <w:bottom w:val="outset" w:sz="6" w:space="0" w:color="auto"/>
              <w:right w:val="outset" w:sz="6" w:space="0" w:color="auto"/>
            </w:tcBorders>
            <w:vAlign w:val="center"/>
          </w:tcPr>
          <w:p w14:paraId="2F9F5BC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676</w:t>
            </w:r>
          </w:p>
        </w:tc>
        <w:tc>
          <w:tcPr>
            <w:tcW w:w="882" w:type="dxa"/>
            <w:tcBorders>
              <w:top w:val="outset" w:sz="6" w:space="0" w:color="auto"/>
              <w:left w:val="outset" w:sz="6" w:space="0" w:color="auto"/>
              <w:bottom w:val="outset" w:sz="6" w:space="0" w:color="auto"/>
              <w:right w:val="outset" w:sz="6" w:space="0" w:color="auto"/>
            </w:tcBorders>
            <w:vAlign w:val="center"/>
          </w:tcPr>
          <w:p w14:paraId="0F90705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882</w:t>
            </w:r>
          </w:p>
        </w:tc>
        <w:tc>
          <w:tcPr>
            <w:tcW w:w="882" w:type="dxa"/>
            <w:tcBorders>
              <w:top w:val="outset" w:sz="6" w:space="0" w:color="auto"/>
              <w:left w:val="outset" w:sz="6" w:space="0" w:color="auto"/>
              <w:bottom w:val="outset" w:sz="6" w:space="0" w:color="auto"/>
              <w:right w:val="outset" w:sz="6" w:space="0" w:color="auto"/>
            </w:tcBorders>
            <w:vAlign w:val="center"/>
          </w:tcPr>
          <w:p w14:paraId="33331A17" w14:textId="4EC55211"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264</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4A7CC5B0" w14:textId="7E9DAC04" w:rsidR="009B4045" w:rsidRPr="0001533E" w:rsidRDefault="001A0525" w:rsidP="0001533E">
            <w:pPr>
              <w:spacing w:before="40" w:after="40"/>
              <w:jc w:val="center"/>
              <w:rPr>
                <w:rFonts w:ascii="Times New Roman" w:hAnsi="Times New Roman"/>
                <w:color w:val="000000"/>
                <w:sz w:val="18"/>
                <w:szCs w:val="20"/>
                <w:lang w:eastAsia="en-AU"/>
              </w:rPr>
            </w:pPr>
            <w:r>
              <w:rPr>
                <w:rFonts w:cs="Arial"/>
                <w:color w:val="000000"/>
                <w:sz w:val="18"/>
                <w:szCs w:val="20"/>
                <w:lang w:eastAsia="en-AU"/>
              </w:rPr>
              <w:t>1</w:t>
            </w:r>
            <w:r w:rsidR="009B4045" w:rsidRPr="0001533E">
              <w:rPr>
                <w:rFonts w:cs="Arial"/>
                <w:color w:val="000000"/>
                <w:sz w:val="18"/>
                <w:szCs w:val="20"/>
                <w:lang w:eastAsia="en-AU"/>
              </w:rPr>
              <w:t>566</w:t>
            </w:r>
          </w:p>
        </w:tc>
      </w:tr>
      <w:tr w:rsidR="006715C7" w:rsidRPr="0001533E" w14:paraId="6666D041" w14:textId="77777777" w:rsidTr="006715C7">
        <w:trPr>
          <w:trHeight w:val="408"/>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5F002932"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Hairdressing</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43956DB"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6C5D46B"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E72E3F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15</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89F4A9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1FCC1D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14</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8A455A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376C2A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13</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E1587F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15</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B0DAA4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10</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64B462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50D0365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12</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5EC27DF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30</w:t>
            </w:r>
          </w:p>
        </w:tc>
      </w:tr>
      <w:tr w:rsidR="009B4045" w:rsidRPr="0001533E" w14:paraId="29D56441" w14:textId="77777777">
        <w:trPr>
          <w:trHeight w:val="183"/>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11504CEB"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Residential Care Officer</w:t>
            </w:r>
          </w:p>
        </w:tc>
        <w:tc>
          <w:tcPr>
            <w:tcW w:w="882" w:type="dxa"/>
            <w:tcBorders>
              <w:top w:val="outset" w:sz="6" w:space="0" w:color="auto"/>
              <w:left w:val="outset" w:sz="6" w:space="0" w:color="auto"/>
              <w:bottom w:val="outset" w:sz="6" w:space="0" w:color="auto"/>
              <w:right w:val="outset" w:sz="6" w:space="0" w:color="auto"/>
            </w:tcBorders>
            <w:vAlign w:val="center"/>
          </w:tcPr>
          <w:p w14:paraId="50A39E2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329</w:t>
            </w:r>
          </w:p>
        </w:tc>
        <w:tc>
          <w:tcPr>
            <w:tcW w:w="882" w:type="dxa"/>
            <w:tcBorders>
              <w:top w:val="outset" w:sz="6" w:space="0" w:color="auto"/>
              <w:left w:val="outset" w:sz="6" w:space="0" w:color="auto"/>
              <w:bottom w:val="outset" w:sz="6" w:space="0" w:color="auto"/>
              <w:right w:val="outset" w:sz="6" w:space="0" w:color="auto"/>
            </w:tcBorders>
            <w:vAlign w:val="center"/>
          </w:tcPr>
          <w:p w14:paraId="2FF6FC4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302</w:t>
            </w:r>
          </w:p>
        </w:tc>
        <w:tc>
          <w:tcPr>
            <w:tcW w:w="882" w:type="dxa"/>
            <w:tcBorders>
              <w:top w:val="outset" w:sz="6" w:space="0" w:color="auto"/>
              <w:left w:val="outset" w:sz="6" w:space="0" w:color="auto"/>
              <w:bottom w:val="outset" w:sz="6" w:space="0" w:color="auto"/>
              <w:right w:val="outset" w:sz="6" w:space="0" w:color="auto"/>
            </w:tcBorders>
            <w:vAlign w:val="center"/>
          </w:tcPr>
          <w:p w14:paraId="3139464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281</w:t>
            </w:r>
          </w:p>
        </w:tc>
        <w:tc>
          <w:tcPr>
            <w:tcW w:w="882" w:type="dxa"/>
            <w:tcBorders>
              <w:top w:val="outset" w:sz="6" w:space="0" w:color="auto"/>
              <w:left w:val="outset" w:sz="6" w:space="0" w:color="auto"/>
              <w:bottom w:val="outset" w:sz="6" w:space="0" w:color="auto"/>
              <w:right w:val="outset" w:sz="6" w:space="0" w:color="auto"/>
            </w:tcBorders>
            <w:vAlign w:val="center"/>
          </w:tcPr>
          <w:p w14:paraId="7D48D4E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215</w:t>
            </w:r>
          </w:p>
        </w:tc>
        <w:tc>
          <w:tcPr>
            <w:tcW w:w="882" w:type="dxa"/>
            <w:tcBorders>
              <w:top w:val="outset" w:sz="6" w:space="0" w:color="auto"/>
              <w:left w:val="outset" w:sz="6" w:space="0" w:color="auto"/>
              <w:bottom w:val="outset" w:sz="6" w:space="0" w:color="auto"/>
              <w:right w:val="outset" w:sz="6" w:space="0" w:color="auto"/>
            </w:tcBorders>
            <w:vAlign w:val="center"/>
          </w:tcPr>
          <w:p w14:paraId="6E1C589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189</w:t>
            </w:r>
          </w:p>
        </w:tc>
        <w:tc>
          <w:tcPr>
            <w:tcW w:w="882" w:type="dxa"/>
            <w:tcBorders>
              <w:top w:val="outset" w:sz="6" w:space="0" w:color="auto"/>
              <w:left w:val="outset" w:sz="6" w:space="0" w:color="auto"/>
              <w:bottom w:val="outset" w:sz="6" w:space="0" w:color="auto"/>
              <w:right w:val="outset" w:sz="6" w:space="0" w:color="auto"/>
            </w:tcBorders>
            <w:vAlign w:val="center"/>
          </w:tcPr>
          <w:p w14:paraId="50806FF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166</w:t>
            </w:r>
          </w:p>
        </w:tc>
        <w:tc>
          <w:tcPr>
            <w:tcW w:w="882" w:type="dxa"/>
            <w:tcBorders>
              <w:top w:val="outset" w:sz="6" w:space="0" w:color="auto"/>
              <w:left w:val="outset" w:sz="6" w:space="0" w:color="auto"/>
              <w:bottom w:val="outset" w:sz="6" w:space="0" w:color="auto"/>
              <w:right w:val="outset" w:sz="6" w:space="0" w:color="auto"/>
            </w:tcBorders>
            <w:vAlign w:val="center"/>
          </w:tcPr>
          <w:p w14:paraId="6A53B34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150</w:t>
            </w:r>
          </w:p>
        </w:tc>
        <w:tc>
          <w:tcPr>
            <w:tcW w:w="882" w:type="dxa"/>
            <w:tcBorders>
              <w:top w:val="outset" w:sz="6" w:space="0" w:color="auto"/>
              <w:left w:val="outset" w:sz="6" w:space="0" w:color="auto"/>
              <w:bottom w:val="outset" w:sz="6" w:space="0" w:color="auto"/>
              <w:right w:val="outset" w:sz="6" w:space="0" w:color="auto"/>
            </w:tcBorders>
            <w:vAlign w:val="center"/>
          </w:tcPr>
          <w:p w14:paraId="2811FAF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105</w:t>
            </w:r>
          </w:p>
        </w:tc>
        <w:tc>
          <w:tcPr>
            <w:tcW w:w="882" w:type="dxa"/>
            <w:tcBorders>
              <w:top w:val="outset" w:sz="6" w:space="0" w:color="auto"/>
              <w:left w:val="outset" w:sz="6" w:space="0" w:color="auto"/>
              <w:bottom w:val="outset" w:sz="6" w:space="0" w:color="auto"/>
              <w:right w:val="outset" w:sz="6" w:space="0" w:color="auto"/>
            </w:tcBorders>
            <w:vAlign w:val="center"/>
          </w:tcPr>
          <w:p w14:paraId="54D4E05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111</w:t>
            </w:r>
          </w:p>
        </w:tc>
        <w:tc>
          <w:tcPr>
            <w:tcW w:w="882" w:type="dxa"/>
            <w:tcBorders>
              <w:top w:val="outset" w:sz="6" w:space="0" w:color="auto"/>
              <w:left w:val="outset" w:sz="6" w:space="0" w:color="auto"/>
              <w:bottom w:val="outset" w:sz="6" w:space="0" w:color="auto"/>
              <w:right w:val="outset" w:sz="6" w:space="0" w:color="auto"/>
            </w:tcBorders>
            <w:vAlign w:val="center"/>
          </w:tcPr>
          <w:p w14:paraId="05AE6B6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133</w:t>
            </w:r>
          </w:p>
        </w:tc>
        <w:tc>
          <w:tcPr>
            <w:tcW w:w="882" w:type="dxa"/>
            <w:tcBorders>
              <w:top w:val="outset" w:sz="6" w:space="0" w:color="auto"/>
              <w:left w:val="outset" w:sz="6" w:space="0" w:color="auto"/>
              <w:bottom w:val="outset" w:sz="6" w:space="0" w:color="auto"/>
              <w:right w:val="outset" w:sz="6" w:space="0" w:color="auto"/>
            </w:tcBorders>
            <w:vAlign w:val="center"/>
          </w:tcPr>
          <w:p w14:paraId="0F5C12F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175</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5A4F2899"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203</w:t>
            </w:r>
          </w:p>
        </w:tc>
      </w:tr>
      <w:tr w:rsidR="006715C7" w:rsidRPr="0001533E" w14:paraId="0ECF18AA" w14:textId="77777777" w:rsidTr="006715C7">
        <w:trPr>
          <w:trHeight w:val="466"/>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7A73CFF3"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Diploma of Children's Services (Early Childhood Educ &amp; Care)</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7FDA246"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8474127"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09B5A53"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2E4DDD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12084F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25</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798A54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608A60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24</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4D708B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876B6C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15</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D4E45F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EDEB02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4018B47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25</w:t>
            </w:r>
          </w:p>
        </w:tc>
      </w:tr>
      <w:tr w:rsidR="009B4045" w:rsidRPr="0001533E" w14:paraId="37B63EE3" w14:textId="77777777">
        <w:trPr>
          <w:trHeight w:val="352"/>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39F1DB6B"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Plumber (General)</w:t>
            </w:r>
          </w:p>
        </w:tc>
        <w:tc>
          <w:tcPr>
            <w:tcW w:w="882" w:type="dxa"/>
            <w:tcBorders>
              <w:top w:val="outset" w:sz="6" w:space="0" w:color="auto"/>
              <w:left w:val="outset" w:sz="6" w:space="0" w:color="auto"/>
              <w:bottom w:val="outset" w:sz="6" w:space="0" w:color="auto"/>
              <w:right w:val="outset" w:sz="6" w:space="0" w:color="auto"/>
            </w:tcBorders>
            <w:vAlign w:val="center"/>
          </w:tcPr>
          <w:p w14:paraId="0E7B716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140</w:t>
            </w:r>
          </w:p>
        </w:tc>
        <w:tc>
          <w:tcPr>
            <w:tcW w:w="882" w:type="dxa"/>
            <w:tcBorders>
              <w:top w:val="outset" w:sz="6" w:space="0" w:color="auto"/>
              <w:left w:val="outset" w:sz="6" w:space="0" w:color="auto"/>
              <w:bottom w:val="outset" w:sz="6" w:space="0" w:color="auto"/>
              <w:right w:val="outset" w:sz="6" w:space="0" w:color="auto"/>
            </w:tcBorders>
            <w:vAlign w:val="center"/>
          </w:tcPr>
          <w:p w14:paraId="30BAA54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150</w:t>
            </w:r>
          </w:p>
        </w:tc>
        <w:tc>
          <w:tcPr>
            <w:tcW w:w="882" w:type="dxa"/>
            <w:tcBorders>
              <w:top w:val="outset" w:sz="6" w:space="0" w:color="auto"/>
              <w:left w:val="outset" w:sz="6" w:space="0" w:color="auto"/>
              <w:bottom w:val="outset" w:sz="6" w:space="0" w:color="auto"/>
              <w:right w:val="outset" w:sz="6" w:space="0" w:color="auto"/>
            </w:tcBorders>
            <w:vAlign w:val="center"/>
          </w:tcPr>
          <w:p w14:paraId="03648B3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153</w:t>
            </w:r>
          </w:p>
        </w:tc>
        <w:tc>
          <w:tcPr>
            <w:tcW w:w="882" w:type="dxa"/>
            <w:tcBorders>
              <w:top w:val="outset" w:sz="6" w:space="0" w:color="auto"/>
              <w:left w:val="outset" w:sz="6" w:space="0" w:color="auto"/>
              <w:bottom w:val="outset" w:sz="6" w:space="0" w:color="auto"/>
              <w:right w:val="outset" w:sz="6" w:space="0" w:color="auto"/>
            </w:tcBorders>
            <w:vAlign w:val="center"/>
          </w:tcPr>
          <w:p w14:paraId="433D635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127</w:t>
            </w:r>
          </w:p>
        </w:tc>
        <w:tc>
          <w:tcPr>
            <w:tcW w:w="882" w:type="dxa"/>
            <w:tcBorders>
              <w:top w:val="outset" w:sz="6" w:space="0" w:color="auto"/>
              <w:left w:val="outset" w:sz="6" w:space="0" w:color="auto"/>
              <w:bottom w:val="outset" w:sz="6" w:space="0" w:color="auto"/>
              <w:right w:val="outset" w:sz="6" w:space="0" w:color="auto"/>
            </w:tcBorders>
            <w:vAlign w:val="center"/>
          </w:tcPr>
          <w:p w14:paraId="251900C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161</w:t>
            </w:r>
          </w:p>
        </w:tc>
        <w:tc>
          <w:tcPr>
            <w:tcW w:w="882" w:type="dxa"/>
            <w:tcBorders>
              <w:top w:val="outset" w:sz="6" w:space="0" w:color="auto"/>
              <w:left w:val="outset" w:sz="6" w:space="0" w:color="auto"/>
              <w:bottom w:val="outset" w:sz="6" w:space="0" w:color="auto"/>
              <w:right w:val="outset" w:sz="6" w:space="0" w:color="auto"/>
            </w:tcBorders>
            <w:vAlign w:val="center"/>
          </w:tcPr>
          <w:p w14:paraId="4B40D6D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182</w:t>
            </w:r>
          </w:p>
        </w:tc>
        <w:tc>
          <w:tcPr>
            <w:tcW w:w="882" w:type="dxa"/>
            <w:tcBorders>
              <w:top w:val="outset" w:sz="6" w:space="0" w:color="auto"/>
              <w:left w:val="outset" w:sz="6" w:space="0" w:color="auto"/>
              <w:bottom w:val="outset" w:sz="6" w:space="0" w:color="auto"/>
              <w:right w:val="outset" w:sz="6" w:space="0" w:color="auto"/>
            </w:tcBorders>
            <w:vAlign w:val="center"/>
          </w:tcPr>
          <w:p w14:paraId="1180026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269</w:t>
            </w:r>
          </w:p>
        </w:tc>
        <w:tc>
          <w:tcPr>
            <w:tcW w:w="882" w:type="dxa"/>
            <w:tcBorders>
              <w:top w:val="outset" w:sz="6" w:space="0" w:color="auto"/>
              <w:left w:val="outset" w:sz="6" w:space="0" w:color="auto"/>
              <w:bottom w:val="outset" w:sz="6" w:space="0" w:color="auto"/>
              <w:right w:val="outset" w:sz="6" w:space="0" w:color="auto"/>
            </w:tcBorders>
            <w:vAlign w:val="center"/>
          </w:tcPr>
          <w:p w14:paraId="76E8F7A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265</w:t>
            </w:r>
          </w:p>
        </w:tc>
        <w:tc>
          <w:tcPr>
            <w:tcW w:w="882" w:type="dxa"/>
            <w:tcBorders>
              <w:top w:val="outset" w:sz="6" w:space="0" w:color="auto"/>
              <w:left w:val="outset" w:sz="6" w:space="0" w:color="auto"/>
              <w:bottom w:val="outset" w:sz="6" w:space="0" w:color="auto"/>
              <w:right w:val="outset" w:sz="6" w:space="0" w:color="auto"/>
            </w:tcBorders>
            <w:vAlign w:val="center"/>
          </w:tcPr>
          <w:p w14:paraId="627140B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399</w:t>
            </w:r>
          </w:p>
        </w:tc>
        <w:tc>
          <w:tcPr>
            <w:tcW w:w="882" w:type="dxa"/>
            <w:tcBorders>
              <w:top w:val="outset" w:sz="6" w:space="0" w:color="auto"/>
              <w:left w:val="outset" w:sz="6" w:space="0" w:color="auto"/>
              <w:bottom w:val="outset" w:sz="6" w:space="0" w:color="auto"/>
              <w:right w:val="outset" w:sz="6" w:space="0" w:color="auto"/>
            </w:tcBorders>
            <w:vAlign w:val="center"/>
          </w:tcPr>
          <w:p w14:paraId="2DCBB8B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443</w:t>
            </w:r>
          </w:p>
        </w:tc>
        <w:tc>
          <w:tcPr>
            <w:tcW w:w="882" w:type="dxa"/>
            <w:tcBorders>
              <w:top w:val="outset" w:sz="6" w:space="0" w:color="auto"/>
              <w:left w:val="outset" w:sz="6" w:space="0" w:color="auto"/>
              <w:bottom w:val="outset" w:sz="6" w:space="0" w:color="auto"/>
              <w:right w:val="outset" w:sz="6" w:space="0" w:color="auto"/>
            </w:tcBorders>
            <w:vAlign w:val="center"/>
          </w:tcPr>
          <w:p w14:paraId="7B7A2C54"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617</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1903894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497</w:t>
            </w:r>
          </w:p>
        </w:tc>
      </w:tr>
      <w:tr w:rsidR="006715C7" w:rsidRPr="0001533E" w14:paraId="42AB8A3C" w14:textId="77777777" w:rsidTr="006715C7">
        <w:trPr>
          <w:trHeight w:val="312"/>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659758FD"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Plumbing</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A3DC98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3</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F696EA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14</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AC5D2A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18</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22F4B6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B6C764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B023CB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FDEFCF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11</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89A443A"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9</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138320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3E3D89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26F7D1C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13</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0C375B0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48</w:t>
            </w:r>
          </w:p>
        </w:tc>
      </w:tr>
      <w:tr w:rsidR="009B4045" w:rsidRPr="0001533E" w14:paraId="1EC0E001" w14:textId="77777777">
        <w:trPr>
          <w:trHeight w:val="564"/>
          <w:tblCellSpacing w:w="0" w:type="dxa"/>
        </w:trPr>
        <w:tc>
          <w:tcPr>
            <w:tcW w:w="3236" w:type="dxa"/>
            <w:tcBorders>
              <w:top w:val="outset" w:sz="6" w:space="0" w:color="auto"/>
              <w:left w:val="single" w:sz="8" w:space="0" w:color="000000"/>
              <w:bottom w:val="outset" w:sz="6" w:space="0" w:color="auto"/>
              <w:right w:val="outset" w:sz="6" w:space="0" w:color="auto"/>
            </w:tcBorders>
            <w:tcMar>
              <w:top w:w="0" w:type="dxa"/>
              <w:left w:w="20" w:type="dxa"/>
              <w:bottom w:w="20" w:type="dxa"/>
              <w:right w:w="0" w:type="dxa"/>
            </w:tcMar>
            <w:vAlign w:val="center"/>
          </w:tcPr>
          <w:p w14:paraId="49E2FB36"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Air-conditioning &amp; Refrigeration Mechanic</w:t>
            </w:r>
          </w:p>
        </w:tc>
        <w:tc>
          <w:tcPr>
            <w:tcW w:w="882" w:type="dxa"/>
            <w:tcBorders>
              <w:top w:val="outset" w:sz="6" w:space="0" w:color="auto"/>
              <w:left w:val="outset" w:sz="6" w:space="0" w:color="auto"/>
              <w:bottom w:val="outset" w:sz="6" w:space="0" w:color="auto"/>
              <w:right w:val="outset" w:sz="6" w:space="0" w:color="auto"/>
            </w:tcBorders>
            <w:vAlign w:val="center"/>
          </w:tcPr>
          <w:p w14:paraId="23CC112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322</w:t>
            </w:r>
          </w:p>
        </w:tc>
        <w:tc>
          <w:tcPr>
            <w:tcW w:w="882" w:type="dxa"/>
            <w:tcBorders>
              <w:top w:val="outset" w:sz="6" w:space="0" w:color="auto"/>
              <w:left w:val="outset" w:sz="6" w:space="0" w:color="auto"/>
              <w:bottom w:val="outset" w:sz="6" w:space="0" w:color="auto"/>
              <w:right w:val="outset" w:sz="6" w:space="0" w:color="auto"/>
            </w:tcBorders>
            <w:vAlign w:val="center"/>
          </w:tcPr>
          <w:p w14:paraId="66BB948E"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371</w:t>
            </w:r>
          </w:p>
        </w:tc>
        <w:tc>
          <w:tcPr>
            <w:tcW w:w="882" w:type="dxa"/>
            <w:tcBorders>
              <w:top w:val="outset" w:sz="6" w:space="0" w:color="auto"/>
              <w:left w:val="outset" w:sz="6" w:space="0" w:color="auto"/>
              <w:bottom w:val="outset" w:sz="6" w:space="0" w:color="auto"/>
              <w:right w:val="outset" w:sz="6" w:space="0" w:color="auto"/>
            </w:tcBorders>
            <w:vAlign w:val="center"/>
          </w:tcPr>
          <w:p w14:paraId="453F080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375</w:t>
            </w:r>
          </w:p>
        </w:tc>
        <w:tc>
          <w:tcPr>
            <w:tcW w:w="882" w:type="dxa"/>
            <w:tcBorders>
              <w:top w:val="outset" w:sz="6" w:space="0" w:color="auto"/>
              <w:left w:val="outset" w:sz="6" w:space="0" w:color="auto"/>
              <w:bottom w:val="outset" w:sz="6" w:space="0" w:color="auto"/>
              <w:right w:val="outset" w:sz="6" w:space="0" w:color="auto"/>
            </w:tcBorders>
            <w:vAlign w:val="center"/>
          </w:tcPr>
          <w:p w14:paraId="1E245C8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290</w:t>
            </w:r>
          </w:p>
        </w:tc>
        <w:tc>
          <w:tcPr>
            <w:tcW w:w="882" w:type="dxa"/>
            <w:tcBorders>
              <w:top w:val="outset" w:sz="6" w:space="0" w:color="auto"/>
              <w:left w:val="outset" w:sz="6" w:space="0" w:color="auto"/>
              <w:bottom w:val="outset" w:sz="6" w:space="0" w:color="auto"/>
              <w:right w:val="outset" w:sz="6" w:space="0" w:color="auto"/>
            </w:tcBorders>
            <w:vAlign w:val="center"/>
          </w:tcPr>
          <w:p w14:paraId="73FE41F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285</w:t>
            </w:r>
          </w:p>
        </w:tc>
        <w:tc>
          <w:tcPr>
            <w:tcW w:w="882" w:type="dxa"/>
            <w:tcBorders>
              <w:top w:val="outset" w:sz="6" w:space="0" w:color="auto"/>
              <w:left w:val="outset" w:sz="6" w:space="0" w:color="auto"/>
              <w:bottom w:val="outset" w:sz="6" w:space="0" w:color="auto"/>
              <w:right w:val="outset" w:sz="6" w:space="0" w:color="auto"/>
            </w:tcBorders>
            <w:vAlign w:val="center"/>
          </w:tcPr>
          <w:p w14:paraId="7C349C6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257</w:t>
            </w:r>
          </w:p>
        </w:tc>
        <w:tc>
          <w:tcPr>
            <w:tcW w:w="882" w:type="dxa"/>
            <w:tcBorders>
              <w:top w:val="outset" w:sz="6" w:space="0" w:color="auto"/>
              <w:left w:val="outset" w:sz="6" w:space="0" w:color="auto"/>
              <w:bottom w:val="outset" w:sz="6" w:space="0" w:color="auto"/>
              <w:right w:val="outset" w:sz="6" w:space="0" w:color="auto"/>
            </w:tcBorders>
            <w:vAlign w:val="center"/>
          </w:tcPr>
          <w:p w14:paraId="0961245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251</w:t>
            </w:r>
          </w:p>
        </w:tc>
        <w:tc>
          <w:tcPr>
            <w:tcW w:w="882" w:type="dxa"/>
            <w:tcBorders>
              <w:top w:val="outset" w:sz="6" w:space="0" w:color="auto"/>
              <w:left w:val="outset" w:sz="6" w:space="0" w:color="auto"/>
              <w:bottom w:val="outset" w:sz="6" w:space="0" w:color="auto"/>
              <w:right w:val="outset" w:sz="6" w:space="0" w:color="auto"/>
            </w:tcBorders>
            <w:vAlign w:val="center"/>
          </w:tcPr>
          <w:p w14:paraId="6EBAE58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267</w:t>
            </w:r>
          </w:p>
        </w:tc>
        <w:tc>
          <w:tcPr>
            <w:tcW w:w="882" w:type="dxa"/>
            <w:tcBorders>
              <w:top w:val="outset" w:sz="6" w:space="0" w:color="auto"/>
              <w:left w:val="outset" w:sz="6" w:space="0" w:color="auto"/>
              <w:bottom w:val="outset" w:sz="6" w:space="0" w:color="auto"/>
              <w:right w:val="outset" w:sz="6" w:space="0" w:color="auto"/>
            </w:tcBorders>
            <w:vAlign w:val="center"/>
          </w:tcPr>
          <w:p w14:paraId="13037AE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322</w:t>
            </w:r>
          </w:p>
        </w:tc>
        <w:tc>
          <w:tcPr>
            <w:tcW w:w="882" w:type="dxa"/>
            <w:tcBorders>
              <w:top w:val="outset" w:sz="6" w:space="0" w:color="auto"/>
              <w:left w:val="outset" w:sz="6" w:space="0" w:color="auto"/>
              <w:bottom w:val="outset" w:sz="6" w:space="0" w:color="auto"/>
              <w:right w:val="outset" w:sz="6" w:space="0" w:color="auto"/>
            </w:tcBorders>
            <w:vAlign w:val="center"/>
          </w:tcPr>
          <w:p w14:paraId="078EBF4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339</w:t>
            </w:r>
          </w:p>
        </w:tc>
        <w:tc>
          <w:tcPr>
            <w:tcW w:w="882" w:type="dxa"/>
            <w:tcBorders>
              <w:top w:val="outset" w:sz="6" w:space="0" w:color="auto"/>
              <w:left w:val="outset" w:sz="6" w:space="0" w:color="auto"/>
              <w:bottom w:val="outset" w:sz="6" w:space="0" w:color="auto"/>
              <w:right w:val="outset" w:sz="6" w:space="0" w:color="auto"/>
            </w:tcBorders>
            <w:vAlign w:val="center"/>
          </w:tcPr>
          <w:p w14:paraId="0A4C7B4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387</w:t>
            </w:r>
          </w:p>
        </w:tc>
        <w:tc>
          <w:tcPr>
            <w:tcW w:w="891" w:type="dxa"/>
            <w:tcBorders>
              <w:top w:val="outset" w:sz="6" w:space="0" w:color="auto"/>
              <w:left w:val="outset" w:sz="6" w:space="0" w:color="auto"/>
              <w:bottom w:val="outset" w:sz="6" w:space="0" w:color="auto"/>
              <w:right w:val="single" w:sz="8" w:space="0" w:color="000000"/>
            </w:tcBorders>
            <w:tcMar>
              <w:top w:w="0" w:type="dxa"/>
              <w:left w:w="20" w:type="dxa"/>
              <w:bottom w:w="20" w:type="dxa"/>
              <w:right w:w="0" w:type="dxa"/>
            </w:tcMar>
            <w:vAlign w:val="center"/>
          </w:tcPr>
          <w:p w14:paraId="3321478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364</w:t>
            </w:r>
          </w:p>
        </w:tc>
      </w:tr>
      <w:tr w:rsidR="006715C7" w:rsidRPr="0001533E" w14:paraId="3A631E50" w14:textId="77777777" w:rsidTr="006715C7">
        <w:trPr>
          <w:trHeight w:val="385"/>
          <w:tblCellSpacing w:w="0" w:type="dxa"/>
        </w:trPr>
        <w:tc>
          <w:tcPr>
            <w:tcW w:w="3236" w:type="dxa"/>
            <w:tcBorders>
              <w:top w:val="outset" w:sz="6" w:space="0" w:color="auto"/>
              <w:left w:val="single" w:sz="8" w:space="0" w:color="000000"/>
              <w:bottom w:val="single" w:sz="8" w:space="0" w:color="000000"/>
              <w:right w:val="outset" w:sz="6" w:space="0" w:color="auto"/>
            </w:tcBorders>
            <w:shd w:val="clear" w:color="auto" w:fill="FFFFFF"/>
            <w:tcMar>
              <w:top w:w="0" w:type="dxa"/>
              <w:left w:w="20" w:type="dxa"/>
              <w:bottom w:w="20" w:type="dxa"/>
              <w:right w:w="0" w:type="dxa"/>
            </w:tcMar>
            <w:vAlign w:val="center"/>
          </w:tcPr>
          <w:p w14:paraId="685E4C6B"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b/>
                <w:bCs/>
                <w:color w:val="000000"/>
                <w:sz w:val="18"/>
                <w:szCs w:val="20"/>
                <w:lang w:eastAsia="en-AU"/>
              </w:rPr>
              <w:t>Certificate III in Engineering – Mechanical Trade (Refrigeration &amp; Air-conditioning)</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4A69EB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22</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723469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F57071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8B7ABB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94435EC"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16</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08D5647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7D7D13B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13</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426AE498"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7</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19D07835"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6DA04CB0"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8</w:t>
            </w:r>
          </w:p>
        </w:tc>
        <w:tc>
          <w:tcPr>
            <w:tcW w:w="882" w:type="dxa"/>
            <w:tcBorders>
              <w:top w:val="outset" w:sz="6" w:space="0" w:color="auto"/>
              <w:left w:val="outset" w:sz="6" w:space="0" w:color="auto"/>
              <w:bottom w:val="single" w:sz="8" w:space="0" w:color="000000"/>
              <w:right w:val="outset" w:sz="6" w:space="0" w:color="auto"/>
            </w:tcBorders>
            <w:shd w:val="clear" w:color="auto" w:fill="E2EFD9" w:themeFill="accent6" w:themeFillTint="33"/>
            <w:tcMar>
              <w:top w:w="0" w:type="dxa"/>
              <w:left w:w="20" w:type="dxa"/>
              <w:bottom w:w="20" w:type="dxa"/>
              <w:right w:w="0" w:type="dxa"/>
            </w:tcMar>
            <w:vAlign w:val="center"/>
          </w:tcPr>
          <w:p w14:paraId="39AAE80F"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19</w:t>
            </w:r>
          </w:p>
        </w:tc>
        <w:tc>
          <w:tcPr>
            <w:tcW w:w="891" w:type="dxa"/>
            <w:tcBorders>
              <w:top w:val="outset" w:sz="6" w:space="0" w:color="auto"/>
              <w:left w:val="outset" w:sz="6" w:space="0" w:color="auto"/>
              <w:bottom w:val="single" w:sz="8" w:space="0" w:color="000000"/>
              <w:right w:val="single" w:sz="8" w:space="0" w:color="000000"/>
            </w:tcBorders>
            <w:shd w:val="clear" w:color="auto" w:fill="E2EFD9" w:themeFill="accent6" w:themeFillTint="33"/>
            <w:tcMar>
              <w:top w:w="0" w:type="dxa"/>
              <w:left w:w="20" w:type="dxa"/>
              <w:bottom w:w="20" w:type="dxa"/>
              <w:right w:w="0" w:type="dxa"/>
            </w:tcMar>
            <w:vAlign w:val="center"/>
          </w:tcPr>
          <w:p w14:paraId="6C95657B"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b/>
                <w:bCs/>
                <w:color w:val="000000"/>
                <w:sz w:val="18"/>
                <w:szCs w:val="20"/>
                <w:lang w:eastAsia="en-AU"/>
              </w:rPr>
              <w:t>25</w:t>
            </w:r>
          </w:p>
        </w:tc>
      </w:tr>
      <w:tr w:rsidR="009B4045" w:rsidRPr="0001533E" w14:paraId="1DDC0BBD" w14:textId="77777777">
        <w:trPr>
          <w:trHeight w:val="636"/>
          <w:tblCellSpacing w:w="0" w:type="dxa"/>
        </w:trPr>
        <w:tc>
          <w:tcPr>
            <w:tcW w:w="3236" w:type="dxa"/>
            <w:tcBorders>
              <w:top w:val="outset" w:sz="6" w:space="0" w:color="auto"/>
              <w:left w:val="single" w:sz="8" w:space="0" w:color="000000"/>
              <w:bottom w:val="single" w:sz="8" w:space="0" w:color="000000"/>
              <w:right w:val="outset" w:sz="6" w:space="0" w:color="auto"/>
            </w:tcBorders>
            <w:tcMar>
              <w:top w:w="0" w:type="dxa"/>
              <w:left w:w="20" w:type="dxa"/>
              <w:bottom w:w="20" w:type="dxa"/>
              <w:right w:w="0" w:type="dxa"/>
            </w:tcMar>
            <w:vAlign w:val="center"/>
          </w:tcPr>
          <w:p w14:paraId="078EBC02"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Diploma of Management</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09CF3D25"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6E69728E"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5E5CA1AD"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22B35FDD"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567157FB"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554928F3" w14:textId="77777777" w:rsidR="009B4045" w:rsidRPr="0001533E" w:rsidRDefault="009B4045" w:rsidP="0001533E">
            <w:pPr>
              <w:spacing w:before="40" w:after="40"/>
              <w:rPr>
                <w:rFonts w:ascii="Times New Roman" w:hAnsi="Times New Roman"/>
                <w:color w:val="000000"/>
                <w:sz w:val="18"/>
                <w:szCs w:val="20"/>
                <w:lang w:eastAsia="en-AU"/>
              </w:rPr>
            </w:pPr>
            <w:r w:rsidRPr="0001533E">
              <w:rPr>
                <w:rFonts w:cs="Arial"/>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72B4DA46"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18</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1F26B42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2AD923D7"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 </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6740BE61"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6</w:t>
            </w:r>
          </w:p>
        </w:tc>
        <w:tc>
          <w:tcPr>
            <w:tcW w:w="882" w:type="dxa"/>
            <w:tcBorders>
              <w:top w:val="outset" w:sz="6" w:space="0" w:color="auto"/>
              <w:left w:val="outset" w:sz="6" w:space="0" w:color="auto"/>
              <w:bottom w:val="single" w:sz="8" w:space="0" w:color="000000"/>
              <w:right w:val="outset" w:sz="6" w:space="0" w:color="auto"/>
            </w:tcBorders>
            <w:tcMar>
              <w:top w:w="0" w:type="dxa"/>
              <w:left w:w="20" w:type="dxa"/>
              <w:bottom w:w="20" w:type="dxa"/>
              <w:right w:w="0" w:type="dxa"/>
            </w:tcMar>
            <w:vAlign w:val="center"/>
          </w:tcPr>
          <w:p w14:paraId="39D46FD2"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 </w:t>
            </w:r>
          </w:p>
        </w:tc>
        <w:tc>
          <w:tcPr>
            <w:tcW w:w="891" w:type="dxa"/>
            <w:tcBorders>
              <w:top w:val="outset" w:sz="6" w:space="0" w:color="auto"/>
              <w:left w:val="outset" w:sz="6" w:space="0" w:color="auto"/>
              <w:bottom w:val="single" w:sz="8" w:space="0" w:color="000000"/>
              <w:right w:val="single" w:sz="8" w:space="0" w:color="000000"/>
            </w:tcBorders>
            <w:tcMar>
              <w:top w:w="0" w:type="dxa"/>
              <w:left w:w="20" w:type="dxa"/>
              <w:bottom w:w="20" w:type="dxa"/>
              <w:right w:w="0" w:type="dxa"/>
            </w:tcMar>
            <w:vAlign w:val="center"/>
          </w:tcPr>
          <w:p w14:paraId="25D2AA4D" w14:textId="77777777" w:rsidR="009B4045" w:rsidRPr="0001533E" w:rsidRDefault="009B4045" w:rsidP="0001533E">
            <w:pPr>
              <w:spacing w:before="40" w:after="40"/>
              <w:jc w:val="center"/>
              <w:rPr>
                <w:rFonts w:ascii="Times New Roman" w:hAnsi="Times New Roman"/>
                <w:color w:val="000000"/>
                <w:sz w:val="18"/>
                <w:szCs w:val="20"/>
                <w:lang w:eastAsia="en-AU"/>
              </w:rPr>
            </w:pPr>
            <w:r w:rsidRPr="0001533E">
              <w:rPr>
                <w:rFonts w:cs="Arial"/>
                <w:color w:val="000000"/>
                <w:sz w:val="18"/>
                <w:szCs w:val="20"/>
                <w:lang w:eastAsia="en-AU"/>
              </w:rPr>
              <w:t>20</w:t>
            </w:r>
          </w:p>
        </w:tc>
      </w:tr>
      <w:tr w:rsidR="009B4045" w:rsidRPr="0001533E" w14:paraId="2E10DB3D" w14:textId="77777777">
        <w:trPr>
          <w:trHeight w:val="408"/>
          <w:tblCellSpacing w:w="0" w:type="dxa"/>
        </w:trPr>
        <w:tc>
          <w:tcPr>
            <w:tcW w:w="13829" w:type="dxa"/>
            <w:gridSpan w:val="13"/>
            <w:tcBorders>
              <w:top w:val="outset" w:sz="6" w:space="0" w:color="auto"/>
              <w:left w:val="single" w:sz="8" w:space="0" w:color="000000"/>
              <w:bottom w:val="single" w:sz="8" w:space="0" w:color="000000"/>
              <w:right w:val="outset" w:sz="6" w:space="0" w:color="auto"/>
            </w:tcBorders>
            <w:tcMar>
              <w:top w:w="0" w:type="dxa"/>
              <w:left w:w="20" w:type="dxa"/>
              <w:bottom w:w="20" w:type="dxa"/>
              <w:right w:w="0" w:type="dxa"/>
            </w:tcMar>
            <w:vAlign w:val="center"/>
          </w:tcPr>
          <w:p w14:paraId="1DBB1B3E" w14:textId="77777777" w:rsidR="009B4045" w:rsidRPr="0001533E" w:rsidRDefault="009B4045" w:rsidP="0001533E">
            <w:pPr>
              <w:spacing w:before="40" w:after="40"/>
              <w:jc w:val="both"/>
              <w:rPr>
                <w:rFonts w:ascii="Times New Roman" w:hAnsi="Times New Roman"/>
                <w:color w:val="000000"/>
                <w:sz w:val="16"/>
                <w:szCs w:val="20"/>
                <w:lang w:eastAsia="en-AU"/>
              </w:rPr>
            </w:pPr>
            <w:r w:rsidRPr="0001533E">
              <w:rPr>
                <w:rFonts w:cs="Arial"/>
                <w:color w:val="000000"/>
                <w:sz w:val="16"/>
                <w:szCs w:val="20"/>
                <w:lang w:eastAsia="en-AU"/>
              </w:rPr>
              <w:t>Source: 457 visa holders quarterly pivot table 2014-03-31.xlsx, Australian Department of Immigration &amp; Border Protection</w:t>
            </w:r>
          </w:p>
        </w:tc>
      </w:tr>
    </w:tbl>
    <w:p w14:paraId="57B77219" w14:textId="77777777" w:rsidR="009B4045" w:rsidRDefault="009B4045" w:rsidP="009B4045">
      <w:pPr>
        <w:rPr>
          <w:rFonts w:cs="Arial"/>
        </w:rPr>
        <w:sectPr w:rsidR="009B4045" w:rsidSect="00FF3EDE">
          <w:endnotePr>
            <w:numFmt w:val="decimal"/>
          </w:endnotePr>
          <w:pgSz w:w="16834" w:h="11901" w:orient="landscape"/>
          <w:pgMar w:top="1701" w:right="1440" w:bottom="1701" w:left="1440" w:header="720" w:footer="720" w:gutter="0"/>
          <w:cols w:space="720"/>
          <w:docGrid w:linePitch="299"/>
        </w:sectPr>
      </w:pPr>
    </w:p>
    <w:p w14:paraId="33A1191A" w14:textId="4240AB4E" w:rsidR="009B4045" w:rsidRDefault="006715C7" w:rsidP="002028A6">
      <w:pPr>
        <w:pStyle w:val="Heading1"/>
      </w:pPr>
      <w:bookmarkStart w:id="835" w:name="_Toc278447959"/>
      <w:bookmarkStart w:id="836" w:name="_Toc278453432"/>
      <w:r>
        <w:t>ANNEX 8: IMPACT ON GRADUATES AND EMPLOYERS</w:t>
      </w:r>
      <w:bookmarkEnd w:id="835"/>
      <w:bookmarkEnd w:id="836"/>
    </w:p>
    <w:p w14:paraId="52317972" w14:textId="3EC26A96" w:rsidR="00BE595F" w:rsidRPr="00BE595F" w:rsidRDefault="00BE595F" w:rsidP="00BE595F">
      <w:pPr>
        <w:rPr>
          <w:b/>
        </w:rPr>
      </w:pPr>
      <w:r w:rsidRPr="00BE595F">
        <w:rPr>
          <w:b/>
        </w:rPr>
        <w:t>Table of contents</w:t>
      </w:r>
    </w:p>
    <w:p w14:paraId="04F35B4D" w14:textId="77777777" w:rsidR="007406C2" w:rsidRPr="00E843A4" w:rsidRDefault="007406C2" w:rsidP="00441936">
      <w:pPr>
        <w:pStyle w:val="TOC1"/>
        <w:rPr>
          <w:rFonts w:asciiTheme="minorHAnsi" w:eastAsiaTheme="minorEastAsia" w:hAnsiTheme="minorHAnsi" w:cstheme="minorBidi"/>
          <w:sz w:val="24"/>
          <w:lang w:val="en-US" w:eastAsia="ja-JP"/>
        </w:rPr>
      </w:pPr>
      <w:r w:rsidRPr="00E843A4">
        <w:t>1</w:t>
      </w:r>
      <w:r w:rsidRPr="00E843A4">
        <w:rPr>
          <w:rFonts w:asciiTheme="minorHAnsi" w:eastAsiaTheme="minorEastAsia" w:hAnsiTheme="minorHAnsi" w:cstheme="minorBidi"/>
          <w:sz w:val="24"/>
          <w:lang w:val="en-US" w:eastAsia="ja-JP"/>
        </w:rPr>
        <w:tab/>
      </w:r>
      <w:r w:rsidRPr="00E843A4">
        <w:t>Evidence of APTC impact on graduates</w:t>
      </w:r>
      <w:r w:rsidRPr="00E843A4">
        <w:tab/>
      </w:r>
      <w:r w:rsidRPr="00E843A4">
        <w:fldChar w:fldCharType="begin"/>
      </w:r>
      <w:r w:rsidRPr="00E843A4">
        <w:instrText xml:space="preserve"> PAGEREF _Toc278447960 \h </w:instrText>
      </w:r>
      <w:r w:rsidRPr="00E843A4">
        <w:fldChar w:fldCharType="separate"/>
      </w:r>
      <w:r w:rsidR="00EA0B4D">
        <w:t>146</w:t>
      </w:r>
      <w:r w:rsidRPr="00E843A4">
        <w:fldChar w:fldCharType="end"/>
      </w:r>
    </w:p>
    <w:p w14:paraId="07023A78" w14:textId="77777777" w:rsidR="007406C2" w:rsidRPr="00E843A4" w:rsidRDefault="007406C2" w:rsidP="00441936">
      <w:pPr>
        <w:pStyle w:val="TOC1"/>
        <w:rPr>
          <w:rFonts w:asciiTheme="minorHAnsi" w:eastAsiaTheme="minorEastAsia" w:hAnsiTheme="minorHAnsi" w:cstheme="minorBidi"/>
          <w:sz w:val="24"/>
          <w:lang w:val="en-US" w:eastAsia="ja-JP"/>
        </w:rPr>
      </w:pPr>
      <w:r w:rsidRPr="00E843A4">
        <w:t>2</w:t>
      </w:r>
      <w:r w:rsidRPr="00E843A4">
        <w:rPr>
          <w:rFonts w:asciiTheme="minorHAnsi" w:eastAsiaTheme="minorEastAsia" w:hAnsiTheme="minorHAnsi" w:cstheme="minorBidi"/>
          <w:sz w:val="24"/>
          <w:lang w:val="en-US" w:eastAsia="ja-JP"/>
        </w:rPr>
        <w:tab/>
      </w:r>
      <w:r w:rsidRPr="00E843A4">
        <w:t>Employment rates by qualification</w:t>
      </w:r>
      <w:r w:rsidRPr="00E843A4">
        <w:tab/>
      </w:r>
      <w:r w:rsidRPr="00E843A4">
        <w:fldChar w:fldCharType="begin"/>
      </w:r>
      <w:r w:rsidRPr="00E843A4">
        <w:instrText xml:space="preserve"> PAGEREF _Toc278447961 \h </w:instrText>
      </w:r>
      <w:r w:rsidRPr="00E843A4">
        <w:fldChar w:fldCharType="separate"/>
      </w:r>
      <w:r w:rsidR="00EA0B4D">
        <w:t>146</w:t>
      </w:r>
      <w:r w:rsidRPr="00E843A4">
        <w:fldChar w:fldCharType="end"/>
      </w:r>
    </w:p>
    <w:p w14:paraId="0C517E3F" w14:textId="77777777" w:rsidR="00BE595F" w:rsidRPr="00FF51CD" w:rsidRDefault="00BE595F" w:rsidP="00BE595F">
      <w:pPr>
        <w:pStyle w:val="TOC2"/>
        <w:tabs>
          <w:tab w:val="left" w:pos="519"/>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2.1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Current employment status of APTC graduates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_Toc274909945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149</w:t>
      </w:r>
      <w:r w:rsidRPr="00FF51CD">
        <w:rPr>
          <w:rFonts w:ascii="Arial" w:hAnsi="Arial" w:cs="Arial"/>
          <w:noProof/>
          <w:sz w:val="20"/>
          <w:szCs w:val="20"/>
        </w:rPr>
        <w:fldChar w:fldCharType="end"/>
      </w:r>
    </w:p>
    <w:p w14:paraId="573E41DD" w14:textId="77777777" w:rsidR="007406C2" w:rsidRPr="00E843A4" w:rsidRDefault="007406C2" w:rsidP="00441936">
      <w:pPr>
        <w:pStyle w:val="TOC1"/>
        <w:rPr>
          <w:rFonts w:asciiTheme="minorHAnsi" w:eastAsiaTheme="minorEastAsia" w:hAnsiTheme="minorHAnsi" w:cstheme="minorBidi"/>
          <w:sz w:val="24"/>
          <w:lang w:val="en-US" w:eastAsia="ja-JP"/>
        </w:rPr>
      </w:pPr>
      <w:r w:rsidRPr="00E843A4">
        <w:t xml:space="preserve">3 </w:t>
      </w:r>
      <w:r w:rsidRPr="00E843A4">
        <w:rPr>
          <w:rFonts w:asciiTheme="minorHAnsi" w:eastAsiaTheme="minorEastAsia" w:hAnsiTheme="minorHAnsi" w:cstheme="minorBidi"/>
          <w:sz w:val="24"/>
          <w:lang w:val="en-US" w:eastAsia="ja-JP"/>
        </w:rPr>
        <w:tab/>
      </w:r>
      <w:r w:rsidRPr="00E843A4">
        <w:t>Assessing the demand for APTC qualifications</w:t>
      </w:r>
      <w:r w:rsidRPr="00E843A4">
        <w:tab/>
      </w:r>
      <w:r w:rsidRPr="00E843A4">
        <w:fldChar w:fldCharType="begin"/>
      </w:r>
      <w:r w:rsidRPr="00E843A4">
        <w:instrText xml:space="preserve"> PAGEREF _Toc278447963 \h </w:instrText>
      </w:r>
      <w:r w:rsidRPr="00E843A4">
        <w:fldChar w:fldCharType="separate"/>
      </w:r>
      <w:r w:rsidR="00EA0B4D">
        <w:t>150</w:t>
      </w:r>
      <w:r w:rsidRPr="00E843A4">
        <w:fldChar w:fldCharType="end"/>
      </w:r>
    </w:p>
    <w:p w14:paraId="45A5F970" w14:textId="77777777" w:rsidR="007406C2" w:rsidRPr="00E843A4" w:rsidRDefault="007406C2" w:rsidP="00441936">
      <w:pPr>
        <w:pStyle w:val="TOC1"/>
        <w:rPr>
          <w:rFonts w:asciiTheme="minorHAnsi" w:eastAsiaTheme="minorEastAsia" w:hAnsiTheme="minorHAnsi" w:cstheme="minorBidi"/>
          <w:sz w:val="24"/>
          <w:lang w:val="en-US" w:eastAsia="ja-JP"/>
        </w:rPr>
      </w:pPr>
      <w:r w:rsidRPr="00E843A4">
        <w:rPr>
          <w:lang w:eastAsia="en-AU"/>
        </w:rPr>
        <w:t xml:space="preserve">4 </w:t>
      </w:r>
      <w:r w:rsidRPr="00E843A4">
        <w:rPr>
          <w:rFonts w:asciiTheme="minorHAnsi" w:eastAsiaTheme="minorEastAsia" w:hAnsiTheme="minorHAnsi" w:cstheme="minorBidi"/>
          <w:sz w:val="24"/>
          <w:lang w:val="en-US" w:eastAsia="ja-JP"/>
        </w:rPr>
        <w:tab/>
      </w:r>
      <w:r w:rsidRPr="00E843A4">
        <w:rPr>
          <w:lang w:eastAsia="en-AU"/>
        </w:rPr>
        <w:t>Estimating the demand for APTC graduates</w:t>
      </w:r>
      <w:r w:rsidRPr="00E843A4">
        <w:tab/>
      </w:r>
      <w:r w:rsidRPr="00E843A4">
        <w:fldChar w:fldCharType="begin"/>
      </w:r>
      <w:r w:rsidRPr="00E843A4">
        <w:instrText xml:space="preserve"> PAGEREF _Toc278447964 \h </w:instrText>
      </w:r>
      <w:r w:rsidRPr="00E843A4">
        <w:fldChar w:fldCharType="separate"/>
      </w:r>
      <w:r w:rsidR="00EA0B4D">
        <w:t>150</w:t>
      </w:r>
      <w:r w:rsidRPr="00E843A4">
        <w:fldChar w:fldCharType="end"/>
      </w:r>
    </w:p>
    <w:p w14:paraId="5AA0FA0D" w14:textId="77777777" w:rsidR="00BE595F" w:rsidRPr="00FF51CD" w:rsidRDefault="00BE595F" w:rsidP="00BE595F">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4.1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Employer demand for APTC qualifications?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_Toc274909948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152</w:t>
      </w:r>
      <w:r w:rsidRPr="00FF51CD">
        <w:rPr>
          <w:rFonts w:ascii="Arial" w:hAnsi="Arial" w:cs="Arial"/>
          <w:noProof/>
          <w:sz w:val="20"/>
          <w:szCs w:val="20"/>
        </w:rPr>
        <w:fldChar w:fldCharType="end"/>
      </w:r>
    </w:p>
    <w:p w14:paraId="6CA59CB0" w14:textId="77777777" w:rsidR="00BE595F" w:rsidRPr="00FF51CD" w:rsidRDefault="00BE595F" w:rsidP="00BE595F">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4.2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A direct measure of skill shortages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_Toc274909949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152</w:t>
      </w:r>
      <w:r w:rsidRPr="00FF51CD">
        <w:rPr>
          <w:rFonts w:ascii="Arial" w:hAnsi="Arial" w:cs="Arial"/>
          <w:noProof/>
          <w:sz w:val="20"/>
          <w:szCs w:val="20"/>
        </w:rPr>
        <w:fldChar w:fldCharType="end"/>
      </w:r>
    </w:p>
    <w:p w14:paraId="2878EF38" w14:textId="2AE71466" w:rsidR="00BE595F" w:rsidRPr="00FF51CD" w:rsidRDefault="00BE595F" w:rsidP="00BE595F">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4.3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 xml:space="preserve">To what extent have graduates been </w:t>
      </w:r>
      <w:r>
        <w:rPr>
          <w:rFonts w:ascii="Arial" w:hAnsi="Arial" w:cs="Arial"/>
          <w:noProof/>
          <w:sz w:val="20"/>
          <w:szCs w:val="20"/>
        </w:rPr>
        <w:t xml:space="preserve">employed in the same field as </w:t>
      </w:r>
      <w:r w:rsidRPr="00FF51CD">
        <w:rPr>
          <w:rFonts w:ascii="Arial" w:hAnsi="Arial" w:cs="Arial"/>
          <w:noProof/>
          <w:sz w:val="20"/>
          <w:szCs w:val="20"/>
        </w:rPr>
        <w:t>trained?</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_Toc274909950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154</w:t>
      </w:r>
      <w:r w:rsidRPr="00FF51CD">
        <w:rPr>
          <w:rFonts w:ascii="Arial" w:hAnsi="Arial" w:cs="Arial"/>
          <w:noProof/>
          <w:sz w:val="20"/>
          <w:szCs w:val="20"/>
        </w:rPr>
        <w:fldChar w:fldCharType="end"/>
      </w:r>
    </w:p>
    <w:p w14:paraId="427E04BF" w14:textId="77777777" w:rsidR="00BE595F" w:rsidRPr="00FF51CD" w:rsidRDefault="00BE595F" w:rsidP="00BE595F">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4.4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What are the wage levels of graduates, before and after APTC training?</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_Toc274909951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155</w:t>
      </w:r>
      <w:r w:rsidRPr="00FF51CD">
        <w:rPr>
          <w:rFonts w:ascii="Arial" w:hAnsi="Arial" w:cs="Arial"/>
          <w:noProof/>
          <w:sz w:val="20"/>
          <w:szCs w:val="20"/>
        </w:rPr>
        <w:fldChar w:fldCharType="end"/>
      </w:r>
    </w:p>
    <w:p w14:paraId="7788DF36" w14:textId="77777777" w:rsidR="00BE595F" w:rsidRPr="00FF51CD" w:rsidRDefault="00BE595F" w:rsidP="00BE595F">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4.5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Evidence on job satisfaction, stability or promotions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_Toc274909952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155</w:t>
      </w:r>
      <w:r w:rsidRPr="00FF51CD">
        <w:rPr>
          <w:rFonts w:ascii="Arial" w:hAnsi="Arial" w:cs="Arial"/>
          <w:noProof/>
          <w:sz w:val="20"/>
          <w:szCs w:val="20"/>
        </w:rPr>
        <w:fldChar w:fldCharType="end"/>
      </w:r>
    </w:p>
    <w:p w14:paraId="5C3B6F03" w14:textId="77777777" w:rsidR="007406C2" w:rsidRPr="00E843A4" w:rsidRDefault="007406C2" w:rsidP="00441936">
      <w:pPr>
        <w:pStyle w:val="TOC1"/>
        <w:rPr>
          <w:rFonts w:asciiTheme="minorHAnsi" w:eastAsiaTheme="minorEastAsia" w:hAnsiTheme="minorHAnsi" w:cstheme="minorBidi"/>
          <w:sz w:val="24"/>
          <w:lang w:val="en-US" w:eastAsia="ja-JP"/>
        </w:rPr>
      </w:pPr>
      <w:r w:rsidRPr="00E843A4">
        <w:t xml:space="preserve">5 </w:t>
      </w:r>
      <w:r w:rsidRPr="00E843A4">
        <w:rPr>
          <w:rFonts w:asciiTheme="minorHAnsi" w:eastAsiaTheme="minorEastAsia" w:hAnsiTheme="minorHAnsi" w:cstheme="minorBidi"/>
          <w:sz w:val="24"/>
          <w:lang w:val="en-US" w:eastAsia="ja-JP"/>
        </w:rPr>
        <w:tab/>
      </w:r>
      <w:r w:rsidRPr="00E843A4">
        <w:t>Evidence of APTC impact from employers</w:t>
      </w:r>
      <w:r w:rsidRPr="00E843A4">
        <w:tab/>
      </w:r>
      <w:r w:rsidRPr="00E843A4">
        <w:fldChar w:fldCharType="begin"/>
      </w:r>
      <w:r w:rsidRPr="00E843A4">
        <w:instrText xml:space="preserve"> PAGEREF _Toc278447970 \h </w:instrText>
      </w:r>
      <w:r w:rsidRPr="00E843A4">
        <w:fldChar w:fldCharType="separate"/>
      </w:r>
      <w:r w:rsidR="00EA0B4D">
        <w:t>155</w:t>
      </w:r>
      <w:r w:rsidRPr="00E843A4">
        <w:fldChar w:fldCharType="end"/>
      </w:r>
    </w:p>
    <w:p w14:paraId="5A5147EF" w14:textId="645ECE41" w:rsidR="00BE595F" w:rsidRPr="00FF51CD" w:rsidRDefault="00BE595F" w:rsidP="00BE595F">
      <w:pPr>
        <w:pStyle w:val="TOC2"/>
        <w:tabs>
          <w:tab w:val="left" w:pos="568"/>
          <w:tab w:val="right" w:leader="dot" w:pos="8489"/>
        </w:tabs>
        <w:ind w:left="560" w:hanging="560"/>
        <w:rPr>
          <w:rFonts w:ascii="Arial" w:eastAsiaTheme="minorEastAsia" w:hAnsi="Arial" w:cs="Arial"/>
          <w:noProof/>
          <w:sz w:val="20"/>
          <w:szCs w:val="20"/>
          <w:lang w:val="en-US" w:eastAsia="ja-JP"/>
        </w:rPr>
      </w:pPr>
      <w:r w:rsidRPr="00FF51CD">
        <w:rPr>
          <w:rFonts w:ascii="Arial" w:hAnsi="Arial" w:cs="Arial"/>
          <w:noProof/>
          <w:sz w:val="20"/>
          <w:szCs w:val="20"/>
        </w:rPr>
        <w:t xml:space="preserve">5.1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How do the competencies of APT</w:t>
      </w:r>
      <w:r>
        <w:rPr>
          <w:rFonts w:ascii="Arial" w:hAnsi="Arial" w:cs="Arial"/>
          <w:noProof/>
          <w:sz w:val="20"/>
          <w:szCs w:val="20"/>
        </w:rPr>
        <w:t xml:space="preserve">C graduates compare with other </w:t>
      </w:r>
      <w:r w:rsidRPr="00FF51CD">
        <w:rPr>
          <w:rFonts w:ascii="Arial" w:hAnsi="Arial" w:cs="Arial"/>
          <w:noProof/>
          <w:sz w:val="20"/>
          <w:szCs w:val="20"/>
        </w:rPr>
        <w:t xml:space="preserve">TVET graduates </w:t>
      </w:r>
      <w:r>
        <w:rPr>
          <w:rFonts w:ascii="Arial" w:hAnsi="Arial" w:cs="Arial"/>
          <w:noProof/>
          <w:sz w:val="20"/>
          <w:szCs w:val="20"/>
        </w:rPr>
        <w:br/>
      </w:r>
      <w:r w:rsidRPr="00FF51CD">
        <w:rPr>
          <w:rFonts w:ascii="Arial" w:hAnsi="Arial" w:cs="Arial"/>
          <w:noProof/>
          <w:sz w:val="20"/>
          <w:szCs w:val="20"/>
        </w:rPr>
        <w:t>at the same level?</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_Toc274909954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156</w:t>
      </w:r>
      <w:r w:rsidRPr="00FF51CD">
        <w:rPr>
          <w:rFonts w:ascii="Arial" w:hAnsi="Arial" w:cs="Arial"/>
          <w:noProof/>
          <w:sz w:val="20"/>
          <w:szCs w:val="20"/>
        </w:rPr>
        <w:fldChar w:fldCharType="end"/>
      </w:r>
    </w:p>
    <w:p w14:paraId="7B4177AF" w14:textId="77777777" w:rsidR="00BE595F" w:rsidRPr="00BE595F" w:rsidRDefault="00BE595F" w:rsidP="00BE595F">
      <w:pPr>
        <w:pStyle w:val="TOC3"/>
        <w:spacing w:after="0"/>
        <w:rPr>
          <w:rFonts w:eastAsiaTheme="minorEastAsia"/>
          <w:noProof/>
          <w:sz w:val="20"/>
          <w:szCs w:val="20"/>
          <w:lang w:val="en-US" w:eastAsia="ja-JP"/>
        </w:rPr>
      </w:pPr>
      <w:r w:rsidRPr="00BE595F">
        <w:rPr>
          <w:noProof/>
          <w:sz w:val="20"/>
          <w:szCs w:val="20"/>
        </w:rPr>
        <w:t xml:space="preserve">5.1.1 </w:t>
      </w:r>
      <w:r w:rsidRPr="00BE595F">
        <w:rPr>
          <w:rFonts w:eastAsiaTheme="minorEastAsia"/>
          <w:noProof/>
          <w:sz w:val="20"/>
          <w:szCs w:val="20"/>
          <w:lang w:val="en-US" w:eastAsia="ja-JP"/>
        </w:rPr>
        <w:tab/>
      </w:r>
      <w:r w:rsidRPr="00BE595F">
        <w:rPr>
          <w:noProof/>
          <w:sz w:val="20"/>
          <w:szCs w:val="20"/>
        </w:rPr>
        <w:t>In relation to technical competencies</w:t>
      </w:r>
      <w:r w:rsidRPr="00BE595F">
        <w:rPr>
          <w:noProof/>
          <w:sz w:val="20"/>
          <w:szCs w:val="20"/>
        </w:rPr>
        <w:tab/>
      </w:r>
      <w:r w:rsidRPr="00BE595F">
        <w:rPr>
          <w:noProof/>
          <w:sz w:val="20"/>
          <w:szCs w:val="20"/>
        </w:rPr>
        <w:fldChar w:fldCharType="begin"/>
      </w:r>
      <w:r w:rsidRPr="00BE595F">
        <w:rPr>
          <w:noProof/>
          <w:sz w:val="20"/>
          <w:szCs w:val="20"/>
        </w:rPr>
        <w:instrText xml:space="preserve"> PAGEREF _Toc274909955 \h </w:instrText>
      </w:r>
      <w:r w:rsidRPr="00BE595F">
        <w:rPr>
          <w:noProof/>
          <w:sz w:val="20"/>
          <w:szCs w:val="20"/>
        </w:rPr>
      </w:r>
      <w:r w:rsidRPr="00BE595F">
        <w:rPr>
          <w:noProof/>
          <w:sz w:val="20"/>
          <w:szCs w:val="20"/>
        </w:rPr>
        <w:fldChar w:fldCharType="separate"/>
      </w:r>
      <w:r w:rsidR="00EA0B4D">
        <w:rPr>
          <w:noProof/>
          <w:sz w:val="20"/>
          <w:szCs w:val="20"/>
        </w:rPr>
        <w:t>156</w:t>
      </w:r>
      <w:r w:rsidRPr="00BE595F">
        <w:rPr>
          <w:noProof/>
          <w:sz w:val="20"/>
          <w:szCs w:val="20"/>
        </w:rPr>
        <w:fldChar w:fldCharType="end"/>
      </w:r>
    </w:p>
    <w:p w14:paraId="199968F1" w14:textId="77777777" w:rsidR="00BE595F" w:rsidRPr="00BE595F" w:rsidRDefault="00BE595F" w:rsidP="00BE595F">
      <w:pPr>
        <w:pStyle w:val="TOC3"/>
        <w:spacing w:after="0"/>
        <w:rPr>
          <w:rFonts w:eastAsiaTheme="minorEastAsia"/>
          <w:noProof/>
          <w:sz w:val="20"/>
          <w:szCs w:val="20"/>
          <w:lang w:val="en-US" w:eastAsia="ja-JP"/>
        </w:rPr>
      </w:pPr>
      <w:r w:rsidRPr="00BE595F">
        <w:rPr>
          <w:noProof/>
          <w:sz w:val="20"/>
          <w:szCs w:val="20"/>
        </w:rPr>
        <w:t xml:space="preserve">5.1.2 </w:t>
      </w:r>
      <w:r w:rsidRPr="00BE595F">
        <w:rPr>
          <w:rFonts w:eastAsiaTheme="minorEastAsia"/>
          <w:noProof/>
          <w:sz w:val="20"/>
          <w:szCs w:val="20"/>
          <w:lang w:val="en-US" w:eastAsia="ja-JP"/>
        </w:rPr>
        <w:tab/>
      </w:r>
      <w:r w:rsidRPr="00BE595F">
        <w:rPr>
          <w:noProof/>
          <w:sz w:val="20"/>
          <w:szCs w:val="20"/>
        </w:rPr>
        <w:t>In relation to good work habits</w:t>
      </w:r>
      <w:r w:rsidRPr="00BE595F">
        <w:rPr>
          <w:noProof/>
          <w:sz w:val="20"/>
          <w:szCs w:val="20"/>
        </w:rPr>
        <w:tab/>
      </w:r>
      <w:r w:rsidRPr="00BE595F">
        <w:rPr>
          <w:noProof/>
          <w:sz w:val="20"/>
          <w:szCs w:val="20"/>
        </w:rPr>
        <w:fldChar w:fldCharType="begin"/>
      </w:r>
      <w:r w:rsidRPr="00BE595F">
        <w:rPr>
          <w:noProof/>
          <w:sz w:val="20"/>
          <w:szCs w:val="20"/>
        </w:rPr>
        <w:instrText xml:space="preserve"> PAGEREF _Toc274909956 \h </w:instrText>
      </w:r>
      <w:r w:rsidRPr="00BE595F">
        <w:rPr>
          <w:noProof/>
          <w:sz w:val="20"/>
          <w:szCs w:val="20"/>
        </w:rPr>
      </w:r>
      <w:r w:rsidRPr="00BE595F">
        <w:rPr>
          <w:noProof/>
          <w:sz w:val="20"/>
          <w:szCs w:val="20"/>
        </w:rPr>
        <w:fldChar w:fldCharType="separate"/>
      </w:r>
      <w:r w:rsidR="00EA0B4D">
        <w:rPr>
          <w:noProof/>
          <w:sz w:val="20"/>
          <w:szCs w:val="20"/>
        </w:rPr>
        <w:t>156</w:t>
      </w:r>
      <w:r w:rsidRPr="00BE595F">
        <w:rPr>
          <w:noProof/>
          <w:sz w:val="20"/>
          <w:szCs w:val="20"/>
        </w:rPr>
        <w:fldChar w:fldCharType="end"/>
      </w:r>
    </w:p>
    <w:p w14:paraId="2D5B9C7A" w14:textId="5D20D713" w:rsidR="00BE595F" w:rsidRPr="00FF51CD" w:rsidRDefault="00BE595F" w:rsidP="00E22643">
      <w:pPr>
        <w:pStyle w:val="TOC2"/>
        <w:tabs>
          <w:tab w:val="left" w:pos="735"/>
          <w:tab w:val="right" w:leader="dot" w:pos="8489"/>
        </w:tabs>
        <w:ind w:left="720" w:hanging="720"/>
        <w:rPr>
          <w:rFonts w:ascii="Arial" w:eastAsiaTheme="minorEastAsia" w:hAnsi="Arial" w:cs="Arial"/>
          <w:noProof/>
          <w:sz w:val="20"/>
          <w:szCs w:val="20"/>
          <w:lang w:val="en-US" w:eastAsia="ja-JP"/>
        </w:rPr>
      </w:pPr>
      <w:r w:rsidRPr="00FF51CD">
        <w:rPr>
          <w:rFonts w:ascii="Arial" w:hAnsi="Arial" w:cs="Arial"/>
          <w:noProof/>
          <w:sz w:val="20"/>
          <w:szCs w:val="20"/>
        </w:rPr>
        <w:t xml:space="preserve">5.1.3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 xml:space="preserve">To what extent have APTC graduates trained co-workers and introduced   </w:t>
      </w:r>
      <w:r w:rsidR="00E22643">
        <w:rPr>
          <w:rFonts w:ascii="Arial" w:hAnsi="Arial" w:cs="Arial"/>
          <w:noProof/>
          <w:sz w:val="20"/>
          <w:szCs w:val="20"/>
        </w:rPr>
        <w:br/>
      </w:r>
      <w:r w:rsidRPr="00FF51CD">
        <w:rPr>
          <w:rFonts w:ascii="Arial" w:hAnsi="Arial" w:cs="Arial"/>
          <w:noProof/>
          <w:sz w:val="20"/>
          <w:szCs w:val="20"/>
        </w:rPr>
        <w:t>new technologies?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_Toc274909957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156</w:t>
      </w:r>
      <w:r w:rsidRPr="00FF51CD">
        <w:rPr>
          <w:rFonts w:ascii="Arial" w:hAnsi="Arial" w:cs="Arial"/>
          <w:noProof/>
          <w:sz w:val="20"/>
          <w:szCs w:val="20"/>
        </w:rPr>
        <w:fldChar w:fldCharType="end"/>
      </w:r>
    </w:p>
    <w:p w14:paraId="079EFFF8" w14:textId="77777777" w:rsidR="007406C2" w:rsidRPr="00E843A4" w:rsidRDefault="007406C2" w:rsidP="00441936">
      <w:pPr>
        <w:pStyle w:val="TOC1"/>
        <w:rPr>
          <w:rFonts w:asciiTheme="minorHAnsi" w:eastAsiaTheme="minorEastAsia" w:hAnsiTheme="minorHAnsi" w:cstheme="minorBidi"/>
          <w:sz w:val="24"/>
          <w:lang w:val="en-US" w:eastAsia="ja-JP"/>
        </w:rPr>
      </w:pPr>
      <w:r w:rsidRPr="00E843A4">
        <w:t xml:space="preserve">6 </w:t>
      </w:r>
      <w:r w:rsidRPr="00E843A4">
        <w:rPr>
          <w:rFonts w:asciiTheme="minorHAnsi" w:eastAsiaTheme="minorEastAsia" w:hAnsiTheme="minorHAnsi" w:cstheme="minorBidi"/>
          <w:sz w:val="24"/>
          <w:lang w:val="en-US" w:eastAsia="ja-JP"/>
        </w:rPr>
        <w:tab/>
      </w:r>
      <w:r w:rsidRPr="00E843A4">
        <w:t>Were APTC graduates hired on the same or different salaries as others?</w:t>
      </w:r>
      <w:r w:rsidRPr="00E843A4">
        <w:tab/>
      </w:r>
      <w:r w:rsidRPr="00E843A4">
        <w:fldChar w:fldCharType="begin"/>
      </w:r>
      <w:r w:rsidRPr="00E843A4">
        <w:instrText xml:space="preserve"> PAGEREF _Toc278447975 \h </w:instrText>
      </w:r>
      <w:r w:rsidRPr="00E843A4">
        <w:fldChar w:fldCharType="separate"/>
      </w:r>
      <w:r w:rsidR="00EA0B4D">
        <w:t>156</w:t>
      </w:r>
      <w:r w:rsidRPr="00E843A4">
        <w:fldChar w:fldCharType="end"/>
      </w:r>
    </w:p>
    <w:p w14:paraId="02BCABFD" w14:textId="4937E9B5" w:rsidR="007406C2" w:rsidRPr="00E843A4" w:rsidRDefault="007406C2" w:rsidP="000139A1">
      <w:pPr>
        <w:pStyle w:val="TOC1"/>
        <w:ind w:left="351" w:hanging="351"/>
        <w:rPr>
          <w:rFonts w:asciiTheme="minorHAnsi" w:eastAsiaTheme="minorEastAsia" w:hAnsiTheme="minorHAnsi" w:cstheme="minorBidi"/>
          <w:sz w:val="24"/>
          <w:lang w:val="en-US" w:eastAsia="ja-JP"/>
        </w:rPr>
      </w:pPr>
      <w:r w:rsidRPr="00E843A4">
        <w:t xml:space="preserve">7 </w:t>
      </w:r>
      <w:r w:rsidRPr="00E843A4">
        <w:rPr>
          <w:rFonts w:asciiTheme="minorHAnsi" w:eastAsiaTheme="minorEastAsia" w:hAnsiTheme="minorHAnsi" w:cstheme="minorBidi"/>
          <w:sz w:val="24"/>
          <w:lang w:val="en-US" w:eastAsia="ja-JP"/>
        </w:rPr>
        <w:tab/>
      </w:r>
      <w:r w:rsidRPr="00E843A4">
        <w:t xml:space="preserve">How productive are APTC graduates compared with others with same </w:t>
      </w:r>
      <w:r>
        <w:br/>
      </w:r>
      <w:r w:rsidRPr="00E843A4">
        <w:t>qualifications?</w:t>
      </w:r>
      <w:r w:rsidRPr="00E843A4">
        <w:tab/>
      </w:r>
      <w:r w:rsidRPr="00E843A4">
        <w:fldChar w:fldCharType="begin"/>
      </w:r>
      <w:r w:rsidRPr="00E843A4">
        <w:instrText xml:space="preserve"> PAGEREF _Toc278447976 \h </w:instrText>
      </w:r>
      <w:r w:rsidRPr="00E843A4">
        <w:fldChar w:fldCharType="separate"/>
      </w:r>
      <w:r w:rsidR="00EA0B4D">
        <w:t>156</w:t>
      </w:r>
      <w:r w:rsidRPr="00E843A4">
        <w:fldChar w:fldCharType="end"/>
      </w:r>
    </w:p>
    <w:p w14:paraId="681EADDD" w14:textId="77777777" w:rsidR="007406C2" w:rsidRPr="00E843A4" w:rsidRDefault="007406C2" w:rsidP="00441936">
      <w:pPr>
        <w:pStyle w:val="TOC1"/>
        <w:rPr>
          <w:rFonts w:asciiTheme="minorHAnsi" w:eastAsiaTheme="minorEastAsia" w:hAnsiTheme="minorHAnsi" w:cstheme="minorBidi"/>
          <w:sz w:val="24"/>
          <w:lang w:val="en-US" w:eastAsia="ja-JP"/>
        </w:rPr>
      </w:pPr>
      <w:r w:rsidRPr="00E843A4">
        <w:t xml:space="preserve">8 </w:t>
      </w:r>
      <w:r w:rsidRPr="00E843A4">
        <w:rPr>
          <w:rFonts w:asciiTheme="minorHAnsi" w:eastAsiaTheme="minorEastAsia" w:hAnsiTheme="minorHAnsi" w:cstheme="minorBidi"/>
          <w:sz w:val="24"/>
          <w:lang w:val="en-US" w:eastAsia="ja-JP"/>
        </w:rPr>
        <w:tab/>
      </w:r>
      <w:r w:rsidRPr="00E843A4">
        <w:t>The value to employers of APTC graduates</w:t>
      </w:r>
      <w:r w:rsidRPr="00E843A4">
        <w:tab/>
      </w:r>
      <w:r w:rsidRPr="00E843A4">
        <w:fldChar w:fldCharType="begin"/>
      </w:r>
      <w:r w:rsidRPr="00E843A4">
        <w:instrText xml:space="preserve"> PAGEREF _Toc278447977 \h </w:instrText>
      </w:r>
      <w:r w:rsidRPr="00E843A4">
        <w:fldChar w:fldCharType="separate"/>
      </w:r>
      <w:r w:rsidR="00EA0B4D">
        <w:t>158</w:t>
      </w:r>
      <w:r w:rsidRPr="00E843A4">
        <w:fldChar w:fldCharType="end"/>
      </w:r>
    </w:p>
    <w:p w14:paraId="7C00E401" w14:textId="77777777" w:rsidR="007406C2" w:rsidRPr="00E843A4" w:rsidRDefault="007406C2" w:rsidP="00441936">
      <w:pPr>
        <w:pStyle w:val="TOC1"/>
        <w:rPr>
          <w:rFonts w:asciiTheme="minorHAnsi" w:eastAsiaTheme="minorEastAsia" w:hAnsiTheme="minorHAnsi" w:cstheme="minorBidi"/>
          <w:sz w:val="24"/>
          <w:lang w:val="en-US" w:eastAsia="ja-JP"/>
        </w:rPr>
      </w:pPr>
      <w:r w:rsidRPr="00E843A4">
        <w:t xml:space="preserve">9 </w:t>
      </w:r>
      <w:r w:rsidRPr="00E843A4">
        <w:rPr>
          <w:rFonts w:asciiTheme="minorHAnsi" w:eastAsiaTheme="minorEastAsia" w:hAnsiTheme="minorHAnsi" w:cstheme="minorBidi"/>
          <w:sz w:val="24"/>
          <w:lang w:val="en-US" w:eastAsia="ja-JP"/>
        </w:rPr>
        <w:tab/>
      </w:r>
      <w:r w:rsidRPr="00E843A4">
        <w:t>Conclusions</w:t>
      </w:r>
      <w:r w:rsidRPr="00E843A4">
        <w:tab/>
      </w:r>
      <w:r w:rsidRPr="00E843A4">
        <w:fldChar w:fldCharType="begin"/>
      </w:r>
      <w:r w:rsidRPr="00E843A4">
        <w:instrText xml:space="preserve"> PAGEREF _Toc278447978 \h </w:instrText>
      </w:r>
      <w:r w:rsidRPr="00E843A4">
        <w:fldChar w:fldCharType="separate"/>
      </w:r>
      <w:r w:rsidR="00EA0B4D">
        <w:t>159</w:t>
      </w:r>
      <w:r w:rsidRPr="00E843A4">
        <w:fldChar w:fldCharType="end"/>
      </w:r>
    </w:p>
    <w:p w14:paraId="74F2C6B7" w14:textId="2E3BB550" w:rsidR="0007152B" w:rsidRDefault="00CC4148" w:rsidP="00441936">
      <w:pPr>
        <w:pStyle w:val="TOC1"/>
        <w:rPr>
          <w:rFonts w:asciiTheme="minorHAnsi" w:eastAsiaTheme="minorEastAsia" w:hAnsiTheme="minorHAnsi" w:cstheme="minorBidi"/>
          <w:sz w:val="24"/>
          <w:lang w:val="en-US" w:eastAsia="ja-JP"/>
        </w:rPr>
      </w:pPr>
      <w:r>
        <w:br/>
      </w:r>
      <w:r w:rsidR="0007152B">
        <w:t>Attachment 1 to Annex 8: Program evaluation</w:t>
      </w:r>
      <w:r w:rsidR="0007152B">
        <w:tab/>
      </w:r>
      <w:r w:rsidR="0007152B">
        <w:fldChar w:fldCharType="begin"/>
      </w:r>
      <w:r w:rsidR="0007152B">
        <w:instrText xml:space="preserve"> PAGEREF _Toc278447979 \h </w:instrText>
      </w:r>
      <w:r w:rsidR="0007152B">
        <w:fldChar w:fldCharType="separate"/>
      </w:r>
      <w:r w:rsidR="00EA0B4D">
        <w:t>161</w:t>
      </w:r>
      <w:r w:rsidR="0007152B">
        <w:fldChar w:fldCharType="end"/>
      </w:r>
    </w:p>
    <w:p w14:paraId="4F0CF290" w14:textId="77777777" w:rsidR="00BE595F" w:rsidRDefault="00BE595F" w:rsidP="00BE595F"/>
    <w:p w14:paraId="3F0EBB5D" w14:textId="3336B93A" w:rsidR="00F404E5" w:rsidRPr="00F404E5" w:rsidRDefault="00F404E5" w:rsidP="00F404E5">
      <w:pPr>
        <w:pStyle w:val="TableofFigures"/>
        <w:tabs>
          <w:tab w:val="right" w:leader="dot" w:pos="8489"/>
        </w:tabs>
        <w:rPr>
          <w:b/>
          <w:noProof/>
          <w:sz w:val="20"/>
          <w:szCs w:val="20"/>
        </w:rPr>
      </w:pPr>
      <w:r w:rsidRPr="00F404E5">
        <w:rPr>
          <w:b/>
          <w:noProof/>
          <w:sz w:val="20"/>
          <w:szCs w:val="20"/>
        </w:rPr>
        <w:t>List of tables</w:t>
      </w:r>
    </w:p>
    <w:p w14:paraId="18E905F7" w14:textId="568C7861" w:rsidR="00F404E5" w:rsidRPr="00F404E5" w:rsidRDefault="00F404E5" w:rsidP="00F404E5">
      <w:pPr>
        <w:pStyle w:val="TableofFigures"/>
        <w:tabs>
          <w:tab w:val="right" w:leader="dot" w:pos="8489"/>
        </w:tabs>
        <w:spacing w:before="20" w:after="20"/>
        <w:rPr>
          <w:rFonts w:asciiTheme="minorHAnsi" w:eastAsiaTheme="minorEastAsia" w:hAnsiTheme="minorHAnsi" w:cstheme="minorBidi"/>
          <w:noProof/>
          <w:sz w:val="20"/>
          <w:szCs w:val="20"/>
          <w:lang w:val="en-US" w:eastAsia="ja-JP"/>
        </w:rPr>
      </w:pPr>
      <w:r w:rsidRPr="00F404E5">
        <w:rPr>
          <w:noProof/>
          <w:sz w:val="20"/>
          <w:szCs w:val="20"/>
        </w:rPr>
        <w:t xml:space="preserve">Table 8.1: Proportion of Stage I APTC graduates by qualification not in the </w:t>
      </w:r>
      <w:r>
        <w:rPr>
          <w:noProof/>
          <w:sz w:val="20"/>
          <w:szCs w:val="20"/>
        </w:rPr>
        <w:br/>
        <w:t xml:space="preserve">   </w:t>
      </w:r>
      <w:r w:rsidRPr="00F404E5">
        <w:rPr>
          <w:noProof/>
          <w:sz w:val="20"/>
          <w:szCs w:val="20"/>
        </w:rPr>
        <w:t>same job before APTC who are employed, 2007–June 2011 (%)</w:t>
      </w:r>
      <w:r w:rsidRPr="00F404E5">
        <w:rPr>
          <w:noProof/>
          <w:sz w:val="20"/>
          <w:szCs w:val="20"/>
        </w:rPr>
        <w:tab/>
      </w:r>
      <w:r w:rsidRPr="00F404E5">
        <w:rPr>
          <w:noProof/>
          <w:sz w:val="20"/>
          <w:szCs w:val="20"/>
        </w:rPr>
        <w:fldChar w:fldCharType="begin"/>
      </w:r>
      <w:r w:rsidRPr="00F404E5">
        <w:rPr>
          <w:noProof/>
          <w:sz w:val="20"/>
          <w:szCs w:val="20"/>
        </w:rPr>
        <w:instrText xml:space="preserve"> PAGEREF _Toc274915948 \h </w:instrText>
      </w:r>
      <w:r w:rsidRPr="00F404E5">
        <w:rPr>
          <w:noProof/>
          <w:sz w:val="20"/>
          <w:szCs w:val="20"/>
        </w:rPr>
      </w:r>
      <w:r w:rsidRPr="00F404E5">
        <w:rPr>
          <w:noProof/>
          <w:sz w:val="20"/>
          <w:szCs w:val="20"/>
        </w:rPr>
        <w:fldChar w:fldCharType="separate"/>
      </w:r>
      <w:r w:rsidR="00EA0B4D">
        <w:rPr>
          <w:noProof/>
          <w:sz w:val="20"/>
          <w:szCs w:val="20"/>
        </w:rPr>
        <w:t>147</w:t>
      </w:r>
      <w:r w:rsidRPr="00F404E5">
        <w:rPr>
          <w:noProof/>
          <w:sz w:val="20"/>
          <w:szCs w:val="20"/>
        </w:rPr>
        <w:fldChar w:fldCharType="end"/>
      </w:r>
    </w:p>
    <w:p w14:paraId="3E968F8D" w14:textId="21C30F6F" w:rsidR="00F404E5" w:rsidRPr="00F404E5" w:rsidRDefault="00F404E5" w:rsidP="00F404E5">
      <w:pPr>
        <w:pStyle w:val="TableofFigures"/>
        <w:tabs>
          <w:tab w:val="right" w:leader="dot" w:pos="8489"/>
        </w:tabs>
        <w:spacing w:before="20" w:after="20"/>
        <w:rPr>
          <w:rFonts w:asciiTheme="minorHAnsi" w:eastAsiaTheme="minorEastAsia" w:hAnsiTheme="minorHAnsi" w:cstheme="minorBidi"/>
          <w:noProof/>
          <w:sz w:val="20"/>
          <w:szCs w:val="20"/>
          <w:lang w:val="en-US" w:eastAsia="ja-JP"/>
        </w:rPr>
      </w:pPr>
      <w:r w:rsidRPr="00F404E5">
        <w:rPr>
          <w:noProof/>
          <w:sz w:val="20"/>
          <w:szCs w:val="20"/>
        </w:rPr>
        <w:t xml:space="preserve">Table 8.2: Proportion of Stage II APTC past students by qualification now not in </w:t>
      </w:r>
      <w:r>
        <w:rPr>
          <w:noProof/>
          <w:sz w:val="20"/>
          <w:szCs w:val="20"/>
        </w:rPr>
        <w:br/>
        <w:t xml:space="preserve">   </w:t>
      </w:r>
      <w:r w:rsidRPr="00F404E5">
        <w:rPr>
          <w:noProof/>
          <w:sz w:val="20"/>
          <w:szCs w:val="20"/>
        </w:rPr>
        <w:t xml:space="preserve">employment and in other than full-time work one year after graduation, proportion of </w:t>
      </w:r>
      <w:r>
        <w:rPr>
          <w:noProof/>
          <w:sz w:val="20"/>
          <w:szCs w:val="20"/>
        </w:rPr>
        <w:br/>
        <w:t xml:space="preserve">   </w:t>
      </w:r>
      <w:r w:rsidRPr="00F404E5">
        <w:rPr>
          <w:noProof/>
          <w:sz w:val="20"/>
          <w:szCs w:val="20"/>
        </w:rPr>
        <w:t>enrolled students by qualification employed before starting APTC</w:t>
      </w:r>
      <w:r w:rsidRPr="00F404E5">
        <w:rPr>
          <w:noProof/>
          <w:sz w:val="20"/>
          <w:szCs w:val="20"/>
        </w:rPr>
        <w:tab/>
      </w:r>
      <w:r w:rsidRPr="00F404E5">
        <w:rPr>
          <w:noProof/>
          <w:sz w:val="20"/>
          <w:szCs w:val="20"/>
        </w:rPr>
        <w:fldChar w:fldCharType="begin"/>
      </w:r>
      <w:r w:rsidRPr="00F404E5">
        <w:rPr>
          <w:noProof/>
          <w:sz w:val="20"/>
          <w:szCs w:val="20"/>
        </w:rPr>
        <w:instrText xml:space="preserve"> PAGEREF _Toc274915949 \h </w:instrText>
      </w:r>
      <w:r w:rsidRPr="00F404E5">
        <w:rPr>
          <w:noProof/>
          <w:sz w:val="20"/>
          <w:szCs w:val="20"/>
        </w:rPr>
      </w:r>
      <w:r w:rsidRPr="00F404E5">
        <w:rPr>
          <w:noProof/>
          <w:sz w:val="20"/>
          <w:szCs w:val="20"/>
        </w:rPr>
        <w:fldChar w:fldCharType="separate"/>
      </w:r>
      <w:r w:rsidR="00EA0B4D">
        <w:rPr>
          <w:noProof/>
          <w:sz w:val="20"/>
          <w:szCs w:val="20"/>
        </w:rPr>
        <w:t>148</w:t>
      </w:r>
      <w:r w:rsidRPr="00F404E5">
        <w:rPr>
          <w:noProof/>
          <w:sz w:val="20"/>
          <w:szCs w:val="20"/>
        </w:rPr>
        <w:fldChar w:fldCharType="end"/>
      </w:r>
    </w:p>
    <w:p w14:paraId="310DDE41" w14:textId="5333DE9A" w:rsidR="00F404E5" w:rsidRPr="00F404E5" w:rsidRDefault="00F404E5" w:rsidP="00F404E5">
      <w:pPr>
        <w:pStyle w:val="TableofFigures"/>
        <w:tabs>
          <w:tab w:val="right" w:leader="dot" w:pos="8489"/>
        </w:tabs>
        <w:spacing w:before="20" w:after="20"/>
        <w:rPr>
          <w:rFonts w:asciiTheme="minorHAnsi" w:eastAsiaTheme="minorEastAsia" w:hAnsiTheme="minorHAnsi" w:cstheme="minorBidi"/>
          <w:noProof/>
          <w:sz w:val="20"/>
          <w:szCs w:val="20"/>
          <w:lang w:val="en-US" w:eastAsia="ja-JP"/>
        </w:rPr>
      </w:pPr>
      <w:r w:rsidRPr="00F404E5">
        <w:rPr>
          <w:noProof/>
          <w:sz w:val="20"/>
          <w:szCs w:val="20"/>
        </w:rPr>
        <w:t xml:space="preserve">Table 8.3: Proportion of APTC graduates by qualification not with the same employer </w:t>
      </w:r>
      <w:r>
        <w:rPr>
          <w:noProof/>
          <w:sz w:val="20"/>
          <w:szCs w:val="20"/>
        </w:rPr>
        <w:br/>
        <w:t xml:space="preserve">   </w:t>
      </w:r>
      <w:r w:rsidRPr="00F404E5">
        <w:rPr>
          <w:noProof/>
          <w:sz w:val="20"/>
          <w:szCs w:val="20"/>
        </w:rPr>
        <w:t>prior to APTC who are not working now, June–August 2014 (%)</w:t>
      </w:r>
      <w:r w:rsidRPr="00F404E5">
        <w:rPr>
          <w:noProof/>
          <w:sz w:val="20"/>
          <w:szCs w:val="20"/>
        </w:rPr>
        <w:tab/>
      </w:r>
      <w:r w:rsidRPr="00F404E5">
        <w:rPr>
          <w:noProof/>
          <w:sz w:val="20"/>
          <w:szCs w:val="20"/>
        </w:rPr>
        <w:fldChar w:fldCharType="begin"/>
      </w:r>
      <w:r w:rsidRPr="00F404E5">
        <w:rPr>
          <w:noProof/>
          <w:sz w:val="20"/>
          <w:szCs w:val="20"/>
        </w:rPr>
        <w:instrText xml:space="preserve"> PAGEREF _Toc274915950 \h </w:instrText>
      </w:r>
      <w:r w:rsidRPr="00F404E5">
        <w:rPr>
          <w:noProof/>
          <w:sz w:val="20"/>
          <w:szCs w:val="20"/>
        </w:rPr>
      </w:r>
      <w:r w:rsidRPr="00F404E5">
        <w:rPr>
          <w:noProof/>
          <w:sz w:val="20"/>
          <w:szCs w:val="20"/>
        </w:rPr>
        <w:fldChar w:fldCharType="separate"/>
      </w:r>
      <w:r w:rsidR="00EA0B4D">
        <w:rPr>
          <w:noProof/>
          <w:sz w:val="20"/>
          <w:szCs w:val="20"/>
        </w:rPr>
        <w:t>149</w:t>
      </w:r>
      <w:r w:rsidRPr="00F404E5">
        <w:rPr>
          <w:noProof/>
          <w:sz w:val="20"/>
          <w:szCs w:val="20"/>
        </w:rPr>
        <w:fldChar w:fldCharType="end"/>
      </w:r>
    </w:p>
    <w:p w14:paraId="7C1428C5" w14:textId="10B9ED04" w:rsidR="00F404E5" w:rsidRPr="00F404E5" w:rsidRDefault="00F404E5" w:rsidP="00F404E5">
      <w:pPr>
        <w:pStyle w:val="TableofFigures"/>
        <w:tabs>
          <w:tab w:val="right" w:leader="dot" w:pos="8489"/>
        </w:tabs>
        <w:spacing w:before="20" w:after="20"/>
        <w:rPr>
          <w:rFonts w:asciiTheme="minorHAnsi" w:eastAsiaTheme="minorEastAsia" w:hAnsiTheme="minorHAnsi" w:cstheme="minorBidi"/>
          <w:noProof/>
          <w:sz w:val="20"/>
          <w:szCs w:val="20"/>
          <w:lang w:val="en-US" w:eastAsia="ja-JP"/>
        </w:rPr>
      </w:pPr>
      <w:r w:rsidRPr="00F404E5">
        <w:rPr>
          <w:noProof/>
          <w:sz w:val="20"/>
          <w:szCs w:val="20"/>
        </w:rPr>
        <w:t xml:space="preserve">Table 8.4: Comparison of the supply of APTC graduates 2007–2013 and number of </w:t>
      </w:r>
      <w:r>
        <w:rPr>
          <w:noProof/>
          <w:sz w:val="20"/>
          <w:szCs w:val="20"/>
        </w:rPr>
        <w:br/>
        <w:t xml:space="preserve">   </w:t>
      </w:r>
      <w:r w:rsidRPr="00F404E5">
        <w:rPr>
          <w:noProof/>
          <w:sz w:val="20"/>
          <w:szCs w:val="20"/>
        </w:rPr>
        <w:t xml:space="preserve">available jobs in Fiji, Kiribati, Nauru, Samoa, Solomon Islands, Tonga, Tuvalu and </w:t>
      </w:r>
      <w:r>
        <w:rPr>
          <w:noProof/>
          <w:sz w:val="20"/>
          <w:szCs w:val="20"/>
        </w:rPr>
        <w:br/>
        <w:t xml:space="preserve">   </w:t>
      </w:r>
      <w:r w:rsidRPr="00F404E5">
        <w:rPr>
          <w:noProof/>
          <w:sz w:val="20"/>
          <w:szCs w:val="20"/>
        </w:rPr>
        <w:t>Vanuatu, 2009–2012</w:t>
      </w:r>
      <w:r w:rsidRPr="00F404E5">
        <w:rPr>
          <w:noProof/>
          <w:sz w:val="20"/>
          <w:szCs w:val="20"/>
        </w:rPr>
        <w:tab/>
      </w:r>
      <w:r w:rsidRPr="00F404E5">
        <w:rPr>
          <w:noProof/>
          <w:sz w:val="20"/>
          <w:szCs w:val="20"/>
        </w:rPr>
        <w:fldChar w:fldCharType="begin"/>
      </w:r>
      <w:r w:rsidRPr="00F404E5">
        <w:rPr>
          <w:noProof/>
          <w:sz w:val="20"/>
          <w:szCs w:val="20"/>
        </w:rPr>
        <w:instrText xml:space="preserve"> PAGEREF _Toc274915951 \h </w:instrText>
      </w:r>
      <w:r w:rsidRPr="00F404E5">
        <w:rPr>
          <w:noProof/>
          <w:sz w:val="20"/>
          <w:szCs w:val="20"/>
        </w:rPr>
      </w:r>
      <w:r w:rsidRPr="00F404E5">
        <w:rPr>
          <w:noProof/>
          <w:sz w:val="20"/>
          <w:szCs w:val="20"/>
        </w:rPr>
        <w:fldChar w:fldCharType="separate"/>
      </w:r>
      <w:r w:rsidR="00EA0B4D">
        <w:rPr>
          <w:noProof/>
          <w:sz w:val="20"/>
          <w:szCs w:val="20"/>
        </w:rPr>
        <w:t>151</w:t>
      </w:r>
      <w:r w:rsidRPr="00F404E5">
        <w:rPr>
          <w:noProof/>
          <w:sz w:val="20"/>
          <w:szCs w:val="20"/>
        </w:rPr>
        <w:fldChar w:fldCharType="end"/>
      </w:r>
    </w:p>
    <w:p w14:paraId="2C6D0082" w14:textId="47C67A9C" w:rsidR="00F404E5" w:rsidRPr="00F404E5" w:rsidRDefault="00F404E5" w:rsidP="00F404E5">
      <w:pPr>
        <w:pStyle w:val="TableofFigures"/>
        <w:tabs>
          <w:tab w:val="right" w:leader="dot" w:pos="8489"/>
        </w:tabs>
        <w:spacing w:before="20" w:after="20"/>
        <w:rPr>
          <w:rFonts w:asciiTheme="minorHAnsi" w:eastAsiaTheme="minorEastAsia" w:hAnsiTheme="minorHAnsi" w:cstheme="minorBidi"/>
          <w:noProof/>
          <w:sz w:val="20"/>
          <w:szCs w:val="20"/>
          <w:lang w:val="en-US" w:eastAsia="ja-JP"/>
        </w:rPr>
      </w:pPr>
      <w:r w:rsidRPr="00F404E5">
        <w:rPr>
          <w:noProof/>
          <w:sz w:val="20"/>
          <w:szCs w:val="20"/>
        </w:rPr>
        <w:t xml:space="preserve">Table 8.5: Numbers of APTC graduates from Fiji compared with the numbers of job-holders </w:t>
      </w:r>
      <w:r>
        <w:rPr>
          <w:noProof/>
          <w:sz w:val="20"/>
          <w:szCs w:val="20"/>
        </w:rPr>
        <w:br/>
        <w:t xml:space="preserve">   </w:t>
      </w:r>
      <w:r w:rsidRPr="00F404E5">
        <w:rPr>
          <w:noProof/>
          <w:sz w:val="20"/>
          <w:szCs w:val="20"/>
        </w:rPr>
        <w:t>in relevant occupations, Fiji 2011</w:t>
      </w:r>
      <w:r w:rsidRPr="00F404E5">
        <w:rPr>
          <w:noProof/>
          <w:sz w:val="20"/>
          <w:szCs w:val="20"/>
        </w:rPr>
        <w:tab/>
      </w:r>
      <w:r w:rsidRPr="00F404E5">
        <w:rPr>
          <w:noProof/>
          <w:sz w:val="20"/>
          <w:szCs w:val="20"/>
        </w:rPr>
        <w:fldChar w:fldCharType="begin"/>
      </w:r>
      <w:r w:rsidRPr="00F404E5">
        <w:rPr>
          <w:noProof/>
          <w:sz w:val="20"/>
          <w:szCs w:val="20"/>
        </w:rPr>
        <w:instrText xml:space="preserve"> PAGEREF _Toc274915952 \h </w:instrText>
      </w:r>
      <w:r w:rsidRPr="00F404E5">
        <w:rPr>
          <w:noProof/>
          <w:sz w:val="20"/>
          <w:szCs w:val="20"/>
        </w:rPr>
      </w:r>
      <w:r w:rsidRPr="00F404E5">
        <w:rPr>
          <w:noProof/>
          <w:sz w:val="20"/>
          <w:szCs w:val="20"/>
        </w:rPr>
        <w:fldChar w:fldCharType="separate"/>
      </w:r>
      <w:r w:rsidR="00EA0B4D">
        <w:rPr>
          <w:noProof/>
          <w:sz w:val="20"/>
          <w:szCs w:val="20"/>
        </w:rPr>
        <w:t>151</w:t>
      </w:r>
      <w:r w:rsidRPr="00F404E5">
        <w:rPr>
          <w:noProof/>
          <w:sz w:val="20"/>
          <w:szCs w:val="20"/>
        </w:rPr>
        <w:fldChar w:fldCharType="end"/>
      </w:r>
    </w:p>
    <w:p w14:paraId="6CB94747" w14:textId="232640FE" w:rsidR="00F404E5" w:rsidRPr="00F404E5" w:rsidRDefault="00F404E5" w:rsidP="00F404E5">
      <w:pPr>
        <w:pStyle w:val="TableofFigures"/>
        <w:tabs>
          <w:tab w:val="right" w:leader="dot" w:pos="8489"/>
        </w:tabs>
        <w:spacing w:before="20" w:after="20"/>
        <w:rPr>
          <w:rFonts w:asciiTheme="minorHAnsi" w:eastAsiaTheme="minorEastAsia" w:hAnsiTheme="minorHAnsi" w:cstheme="minorBidi"/>
          <w:noProof/>
          <w:sz w:val="20"/>
          <w:szCs w:val="20"/>
          <w:lang w:val="en-US" w:eastAsia="ja-JP"/>
        </w:rPr>
      </w:pPr>
      <w:r w:rsidRPr="00F404E5">
        <w:rPr>
          <w:noProof/>
          <w:sz w:val="20"/>
          <w:szCs w:val="20"/>
        </w:rPr>
        <w:t xml:space="preserve">Table 8.6: Number of foreign workers in selected occupation groups,  Fiji, Kiribati, Nauru, </w:t>
      </w:r>
      <w:r>
        <w:rPr>
          <w:noProof/>
          <w:sz w:val="20"/>
          <w:szCs w:val="20"/>
        </w:rPr>
        <w:br/>
        <w:t xml:space="preserve">   PNG</w:t>
      </w:r>
      <w:r w:rsidRPr="00F404E5">
        <w:rPr>
          <w:noProof/>
          <w:sz w:val="20"/>
          <w:szCs w:val="20"/>
        </w:rPr>
        <w:t>, Samoa, Solom</w:t>
      </w:r>
      <w:r w:rsidR="00D37BB4">
        <w:rPr>
          <w:noProof/>
          <w:sz w:val="20"/>
          <w:szCs w:val="20"/>
        </w:rPr>
        <w:t xml:space="preserve">on Islands, Tonga, </w:t>
      </w:r>
      <w:r w:rsidRPr="00F404E5">
        <w:rPr>
          <w:noProof/>
          <w:sz w:val="20"/>
          <w:szCs w:val="20"/>
        </w:rPr>
        <w:t>Tuvalu and Vanuatu, 2009–2012</w:t>
      </w:r>
      <w:r w:rsidRPr="00F404E5">
        <w:rPr>
          <w:noProof/>
          <w:sz w:val="20"/>
          <w:szCs w:val="20"/>
        </w:rPr>
        <w:tab/>
      </w:r>
      <w:r w:rsidRPr="00F404E5">
        <w:rPr>
          <w:noProof/>
          <w:sz w:val="20"/>
          <w:szCs w:val="20"/>
        </w:rPr>
        <w:fldChar w:fldCharType="begin"/>
      </w:r>
      <w:r w:rsidRPr="00F404E5">
        <w:rPr>
          <w:noProof/>
          <w:sz w:val="20"/>
          <w:szCs w:val="20"/>
        </w:rPr>
        <w:instrText xml:space="preserve"> PAGEREF _Toc274915953 \h </w:instrText>
      </w:r>
      <w:r w:rsidRPr="00F404E5">
        <w:rPr>
          <w:noProof/>
          <w:sz w:val="20"/>
          <w:szCs w:val="20"/>
        </w:rPr>
      </w:r>
      <w:r w:rsidRPr="00F404E5">
        <w:rPr>
          <w:noProof/>
          <w:sz w:val="20"/>
          <w:szCs w:val="20"/>
        </w:rPr>
        <w:fldChar w:fldCharType="separate"/>
      </w:r>
      <w:r w:rsidR="00EA0B4D">
        <w:rPr>
          <w:noProof/>
          <w:sz w:val="20"/>
          <w:szCs w:val="20"/>
        </w:rPr>
        <w:t>153</w:t>
      </w:r>
      <w:r w:rsidRPr="00F404E5">
        <w:rPr>
          <w:noProof/>
          <w:sz w:val="20"/>
          <w:szCs w:val="20"/>
        </w:rPr>
        <w:fldChar w:fldCharType="end"/>
      </w:r>
    </w:p>
    <w:p w14:paraId="1AF056A5" w14:textId="46E73C98" w:rsidR="00F404E5" w:rsidRPr="00F404E5" w:rsidRDefault="00F404E5" w:rsidP="00F404E5">
      <w:pPr>
        <w:pStyle w:val="TableofFigures"/>
        <w:tabs>
          <w:tab w:val="right" w:leader="dot" w:pos="8489"/>
        </w:tabs>
        <w:spacing w:before="20" w:after="20"/>
        <w:rPr>
          <w:rFonts w:asciiTheme="minorHAnsi" w:eastAsiaTheme="minorEastAsia" w:hAnsiTheme="minorHAnsi" w:cstheme="minorBidi"/>
          <w:noProof/>
          <w:sz w:val="20"/>
          <w:szCs w:val="20"/>
          <w:lang w:val="en-US" w:eastAsia="ja-JP"/>
        </w:rPr>
      </w:pPr>
      <w:r w:rsidRPr="00F404E5">
        <w:rPr>
          <w:noProof/>
          <w:sz w:val="20"/>
          <w:szCs w:val="20"/>
        </w:rPr>
        <w:t xml:space="preserve">Table 8.7: Estimates of the need for post-school qualifications in skill-based occupations in </w:t>
      </w:r>
      <w:r>
        <w:rPr>
          <w:noProof/>
          <w:sz w:val="20"/>
          <w:szCs w:val="20"/>
        </w:rPr>
        <w:br/>
        <w:t xml:space="preserve">   </w:t>
      </w:r>
      <w:r w:rsidRPr="00F404E5">
        <w:rPr>
          <w:noProof/>
          <w:sz w:val="20"/>
          <w:szCs w:val="20"/>
        </w:rPr>
        <w:t xml:space="preserve">Fiji, Kiribati, Nauru, Samoa, Solomon Islands, Tonga, Tuvalu and Vanuatu, based on </w:t>
      </w:r>
      <w:r>
        <w:rPr>
          <w:noProof/>
          <w:sz w:val="20"/>
          <w:szCs w:val="20"/>
        </w:rPr>
        <w:br/>
        <w:t xml:space="preserve">   </w:t>
      </w:r>
      <w:r w:rsidRPr="00F404E5">
        <w:rPr>
          <w:noProof/>
          <w:sz w:val="20"/>
          <w:szCs w:val="20"/>
        </w:rPr>
        <w:t>low, middle and high-end estimates, 2009–2012</w:t>
      </w:r>
      <w:r w:rsidRPr="00F404E5">
        <w:rPr>
          <w:noProof/>
          <w:sz w:val="20"/>
          <w:szCs w:val="20"/>
        </w:rPr>
        <w:tab/>
      </w:r>
      <w:r w:rsidRPr="00F404E5">
        <w:rPr>
          <w:noProof/>
          <w:sz w:val="20"/>
          <w:szCs w:val="20"/>
        </w:rPr>
        <w:fldChar w:fldCharType="begin"/>
      </w:r>
      <w:r w:rsidRPr="00F404E5">
        <w:rPr>
          <w:noProof/>
          <w:sz w:val="20"/>
          <w:szCs w:val="20"/>
        </w:rPr>
        <w:instrText xml:space="preserve"> PAGEREF _Toc274915954 \h </w:instrText>
      </w:r>
      <w:r w:rsidRPr="00F404E5">
        <w:rPr>
          <w:noProof/>
          <w:sz w:val="20"/>
          <w:szCs w:val="20"/>
        </w:rPr>
      </w:r>
      <w:r w:rsidRPr="00F404E5">
        <w:rPr>
          <w:noProof/>
          <w:sz w:val="20"/>
          <w:szCs w:val="20"/>
        </w:rPr>
        <w:fldChar w:fldCharType="separate"/>
      </w:r>
      <w:r w:rsidR="00EA0B4D">
        <w:rPr>
          <w:noProof/>
          <w:sz w:val="20"/>
          <w:szCs w:val="20"/>
        </w:rPr>
        <w:t>153</w:t>
      </w:r>
      <w:r w:rsidRPr="00F404E5">
        <w:rPr>
          <w:noProof/>
          <w:sz w:val="20"/>
          <w:szCs w:val="20"/>
        </w:rPr>
        <w:fldChar w:fldCharType="end"/>
      </w:r>
    </w:p>
    <w:p w14:paraId="1138C87E" w14:textId="66D7D498" w:rsidR="00F404E5" w:rsidRPr="00F404E5" w:rsidRDefault="00F404E5" w:rsidP="00F404E5">
      <w:pPr>
        <w:pStyle w:val="TableofFigures"/>
        <w:tabs>
          <w:tab w:val="right" w:leader="dot" w:pos="8489"/>
        </w:tabs>
        <w:spacing w:before="20" w:after="20"/>
        <w:rPr>
          <w:rFonts w:asciiTheme="minorHAnsi" w:eastAsiaTheme="minorEastAsia" w:hAnsiTheme="minorHAnsi" w:cstheme="minorBidi"/>
          <w:noProof/>
          <w:sz w:val="20"/>
          <w:szCs w:val="20"/>
          <w:lang w:val="en-US" w:eastAsia="ja-JP"/>
        </w:rPr>
      </w:pPr>
      <w:r w:rsidRPr="00F404E5">
        <w:rPr>
          <w:noProof/>
          <w:sz w:val="20"/>
          <w:szCs w:val="20"/>
        </w:rPr>
        <w:t xml:space="preserve">Table 8.8: Response of employers of APTC graduates by type of employer to the question: </w:t>
      </w:r>
      <w:r>
        <w:rPr>
          <w:noProof/>
          <w:sz w:val="20"/>
          <w:szCs w:val="20"/>
        </w:rPr>
        <w:br/>
        <w:t xml:space="preserve">   </w:t>
      </w:r>
      <w:r w:rsidRPr="00F404E5">
        <w:rPr>
          <w:noProof/>
          <w:sz w:val="20"/>
          <w:szCs w:val="20"/>
        </w:rPr>
        <w:t xml:space="preserve">‘What impact has APTC training had on the productivity or overall performance of your </w:t>
      </w:r>
      <w:r>
        <w:rPr>
          <w:noProof/>
          <w:sz w:val="20"/>
          <w:szCs w:val="20"/>
        </w:rPr>
        <w:br/>
        <w:t xml:space="preserve">   </w:t>
      </w:r>
      <w:r w:rsidRPr="00F404E5">
        <w:rPr>
          <w:noProof/>
          <w:sz w:val="20"/>
          <w:szCs w:val="20"/>
        </w:rPr>
        <w:t>business?’, 2012 and 2013 (%)</w:t>
      </w:r>
      <w:r w:rsidRPr="00F404E5">
        <w:rPr>
          <w:noProof/>
          <w:sz w:val="20"/>
          <w:szCs w:val="20"/>
        </w:rPr>
        <w:tab/>
      </w:r>
      <w:r w:rsidRPr="00F404E5">
        <w:rPr>
          <w:noProof/>
          <w:sz w:val="20"/>
          <w:szCs w:val="20"/>
        </w:rPr>
        <w:fldChar w:fldCharType="begin"/>
      </w:r>
      <w:r w:rsidRPr="00F404E5">
        <w:rPr>
          <w:noProof/>
          <w:sz w:val="20"/>
          <w:szCs w:val="20"/>
        </w:rPr>
        <w:instrText xml:space="preserve"> PAGEREF _Toc274915955 \h </w:instrText>
      </w:r>
      <w:r w:rsidRPr="00F404E5">
        <w:rPr>
          <w:noProof/>
          <w:sz w:val="20"/>
          <w:szCs w:val="20"/>
        </w:rPr>
      </w:r>
      <w:r w:rsidRPr="00F404E5">
        <w:rPr>
          <w:noProof/>
          <w:sz w:val="20"/>
          <w:szCs w:val="20"/>
        </w:rPr>
        <w:fldChar w:fldCharType="separate"/>
      </w:r>
      <w:r w:rsidR="00EA0B4D">
        <w:rPr>
          <w:noProof/>
          <w:sz w:val="20"/>
          <w:szCs w:val="20"/>
        </w:rPr>
        <w:t>157</w:t>
      </w:r>
      <w:r w:rsidRPr="00F404E5">
        <w:rPr>
          <w:noProof/>
          <w:sz w:val="20"/>
          <w:szCs w:val="20"/>
        </w:rPr>
        <w:fldChar w:fldCharType="end"/>
      </w:r>
    </w:p>
    <w:p w14:paraId="4A70475D" w14:textId="0103BF83" w:rsidR="00F404E5" w:rsidRDefault="00F404E5" w:rsidP="00F404E5">
      <w:pPr>
        <w:pStyle w:val="TableofFigures"/>
        <w:tabs>
          <w:tab w:val="right" w:leader="dot" w:pos="8489"/>
        </w:tabs>
        <w:spacing w:before="20" w:after="20"/>
        <w:rPr>
          <w:noProof/>
          <w:sz w:val="20"/>
          <w:szCs w:val="20"/>
        </w:rPr>
      </w:pPr>
      <w:r w:rsidRPr="00F404E5">
        <w:rPr>
          <w:noProof/>
          <w:sz w:val="20"/>
          <w:szCs w:val="20"/>
        </w:rPr>
        <w:t xml:space="preserve">Table 8.9: Type of impact on business for respondents who say impact of APTC training is </w:t>
      </w:r>
      <w:r>
        <w:rPr>
          <w:noProof/>
          <w:sz w:val="20"/>
          <w:szCs w:val="20"/>
        </w:rPr>
        <w:br/>
        <w:t xml:space="preserve">   </w:t>
      </w:r>
      <w:r w:rsidRPr="00F404E5">
        <w:rPr>
          <w:noProof/>
          <w:sz w:val="20"/>
          <w:szCs w:val="20"/>
        </w:rPr>
        <w:t>positive, by type of employer (%)</w:t>
      </w:r>
      <w:r w:rsidRPr="00F404E5">
        <w:rPr>
          <w:noProof/>
          <w:sz w:val="20"/>
          <w:szCs w:val="20"/>
        </w:rPr>
        <w:tab/>
      </w:r>
      <w:r w:rsidRPr="00F404E5">
        <w:rPr>
          <w:noProof/>
          <w:sz w:val="20"/>
          <w:szCs w:val="20"/>
        </w:rPr>
        <w:fldChar w:fldCharType="begin"/>
      </w:r>
      <w:r w:rsidRPr="00F404E5">
        <w:rPr>
          <w:noProof/>
          <w:sz w:val="20"/>
          <w:szCs w:val="20"/>
        </w:rPr>
        <w:instrText xml:space="preserve"> PAGEREF _Toc274915956 \h </w:instrText>
      </w:r>
      <w:r w:rsidRPr="00F404E5">
        <w:rPr>
          <w:noProof/>
          <w:sz w:val="20"/>
          <w:szCs w:val="20"/>
        </w:rPr>
      </w:r>
      <w:r w:rsidRPr="00F404E5">
        <w:rPr>
          <w:noProof/>
          <w:sz w:val="20"/>
          <w:szCs w:val="20"/>
        </w:rPr>
        <w:fldChar w:fldCharType="separate"/>
      </w:r>
      <w:r w:rsidR="00EA0B4D">
        <w:rPr>
          <w:noProof/>
          <w:sz w:val="20"/>
          <w:szCs w:val="20"/>
        </w:rPr>
        <w:t>157</w:t>
      </w:r>
      <w:r w:rsidRPr="00F404E5">
        <w:rPr>
          <w:noProof/>
          <w:sz w:val="20"/>
          <w:szCs w:val="20"/>
        </w:rPr>
        <w:fldChar w:fldCharType="end"/>
      </w:r>
    </w:p>
    <w:p w14:paraId="6E60F804" w14:textId="1917994E" w:rsidR="00C92299" w:rsidRDefault="00C92299">
      <w:pPr>
        <w:spacing w:after="0"/>
        <w:rPr>
          <w:rFonts w:eastAsiaTheme="minorEastAsia"/>
        </w:rPr>
      </w:pPr>
      <w:r>
        <w:rPr>
          <w:rFonts w:eastAsiaTheme="minorEastAsia"/>
        </w:rPr>
        <w:br w:type="page"/>
      </w:r>
    </w:p>
    <w:p w14:paraId="396115E2" w14:textId="77777777" w:rsidR="00C92299" w:rsidRPr="00C92299" w:rsidRDefault="00C92299" w:rsidP="00C92299">
      <w:pPr>
        <w:rPr>
          <w:rFonts w:eastAsiaTheme="minorEastAsia"/>
          <w:sz w:val="8"/>
        </w:rPr>
      </w:pPr>
    </w:p>
    <w:p w14:paraId="464CC320" w14:textId="77777777" w:rsidR="009B4045" w:rsidRDefault="009B4045" w:rsidP="000668BA">
      <w:pPr>
        <w:pStyle w:val="Heading1"/>
        <w:numPr>
          <w:ilvl w:val="0"/>
          <w:numId w:val="62"/>
        </w:numPr>
      </w:pPr>
      <w:bookmarkStart w:id="837" w:name="_Toc278447960"/>
      <w:bookmarkStart w:id="838" w:name="_Toc278453433"/>
      <w:r>
        <w:t>Evidence of APTC impact on graduates</w:t>
      </w:r>
      <w:bookmarkEnd w:id="837"/>
      <w:bookmarkEnd w:id="838"/>
      <w:r>
        <w:t xml:space="preserve"> </w:t>
      </w:r>
    </w:p>
    <w:p w14:paraId="09E683D0" w14:textId="0DC09E82" w:rsidR="009B4045" w:rsidRDefault="009B4045" w:rsidP="0001533E">
      <w:r>
        <w:t xml:space="preserve">Three main data sources are available on the employment outcomes of APTC graduates. </w:t>
      </w:r>
      <w:r w:rsidR="003D6C54" w:rsidRPr="003D6C54">
        <w:t xml:space="preserve">The tracer surveys are not sample surveys. The populations they surveyed are of all eligible graduates. </w:t>
      </w:r>
      <w:r>
        <w:t xml:space="preserve">The first is the </w:t>
      </w:r>
      <w:r w:rsidR="003D6C54">
        <w:t xml:space="preserve">NCVER </w:t>
      </w:r>
      <w:r>
        <w:t>2013 APTC Graduates Down the Track</w:t>
      </w:r>
      <w:r w:rsidR="00E22610">
        <w:t xml:space="preserve"> </w:t>
      </w:r>
      <w:r>
        <w:t xml:space="preserve">survey of Stage </w:t>
      </w:r>
      <w:r w:rsidR="005E739D">
        <w:t>I</w:t>
      </w:r>
      <w:r w:rsidR="00E22610">
        <w:t xml:space="preserve"> </w:t>
      </w:r>
      <w:r>
        <w:t xml:space="preserve">graduates. The </w:t>
      </w:r>
      <w:r w:rsidR="003D6C54">
        <w:t xml:space="preserve">total </w:t>
      </w:r>
      <w:r>
        <w:t>population surveyed was 4804 graduates and the response rate was 19 per cent, numbering 904 responses. The second main data source is the combined results of the A</w:t>
      </w:r>
      <w:r w:rsidRPr="00401DB9">
        <w:t>PTC Past Student Tracer Survey</w:t>
      </w:r>
      <w:r>
        <w:t>s</w:t>
      </w:r>
      <w:r w:rsidRPr="00401DB9">
        <w:t xml:space="preserve"> </w:t>
      </w:r>
      <w:r w:rsidR="00CC4148">
        <w:br/>
      </w:r>
      <w:r w:rsidRPr="00401DB9">
        <w:t>July 2011</w:t>
      </w:r>
      <w:r w:rsidR="00776D16">
        <w:t>–</w:t>
      </w:r>
      <w:r w:rsidRPr="00401DB9">
        <w:t>May 2014</w:t>
      </w:r>
      <w:r>
        <w:t>. The latter surveys have an overall response rate of 20 per cent</w:t>
      </w:r>
      <w:r w:rsidR="003D6C54" w:rsidRPr="003D6C54">
        <w:t xml:space="preserve"> for the total population of Stage II graduates</w:t>
      </w:r>
      <w:r>
        <w:t>, numbering 1149 responses. The third data source is the survey of 174 APTC graduates conducted by the review team</w:t>
      </w:r>
      <w:r w:rsidR="003D6C54" w:rsidRPr="003D6C54">
        <w:t xml:space="preserve">, based on those who responded to an invitation </w:t>
      </w:r>
      <w:r w:rsidR="00A2304C">
        <w:t>se</w:t>
      </w:r>
      <w:r w:rsidR="00A2304C" w:rsidRPr="00A2304C">
        <w:t>nt out on social media and by email for the graduates to meet with the review team</w:t>
      </w:r>
      <w:r w:rsidR="006230FD">
        <w:t xml:space="preserve">. </w:t>
      </w:r>
      <w:r>
        <w:t>Each of these surveys has limitations</w:t>
      </w:r>
      <w:r w:rsidR="003D6C54" w:rsidRPr="003D6C54">
        <w:t xml:space="preserve">, as explained below. However, the availability of three separate data sources on graduates and two on employers of graduates enables more robust conclusions to be drawn from the findings than reliance on only one </w:t>
      </w:r>
      <w:r w:rsidR="00A2304C">
        <w:t xml:space="preserve">source of </w:t>
      </w:r>
      <w:r w:rsidR="003D6C54" w:rsidRPr="003D6C54">
        <w:t>data</w:t>
      </w:r>
      <w:r w:rsidR="005541C8">
        <w:t xml:space="preserve"> allows</w:t>
      </w:r>
      <w:r w:rsidR="00A2304C">
        <w:t>.</w:t>
      </w:r>
      <w:r>
        <w:t xml:space="preserve"> </w:t>
      </w:r>
    </w:p>
    <w:p w14:paraId="6B5B663A" w14:textId="229C6BE3" w:rsidR="009B4045" w:rsidRPr="0001533E" w:rsidRDefault="009B4045" w:rsidP="0001533E">
      <w:r>
        <w:t xml:space="preserve">The likelihood of bias from low </w:t>
      </w:r>
      <w:r w:rsidRPr="0001533E">
        <w:t xml:space="preserve">response rates is confirmed by a comparison of countries of origin of the respondents with the total population. In the </w:t>
      </w:r>
      <w:r w:rsidR="003D6C54">
        <w:t xml:space="preserve">NCVER </w:t>
      </w:r>
      <w:r w:rsidRPr="0001533E">
        <w:t>APTC Graduates Down the Track</w:t>
      </w:r>
      <w:r w:rsidR="00E41E42" w:rsidRPr="0001533E">
        <w:t xml:space="preserve"> </w:t>
      </w:r>
      <w:r w:rsidRPr="0001533E">
        <w:t xml:space="preserve">survey, only </w:t>
      </w:r>
      <w:r w:rsidR="00E41E42">
        <w:t>four</w:t>
      </w:r>
      <w:r w:rsidR="00E41E42" w:rsidRPr="0001533E">
        <w:t xml:space="preserve"> </w:t>
      </w:r>
      <w:r w:rsidRPr="0001533E">
        <w:t xml:space="preserve">per cent of PNG graduates have been surveyed compared with 25 per cent of enrolled students in Stage </w:t>
      </w:r>
      <w:r w:rsidR="005E739D">
        <w:t>I</w:t>
      </w:r>
      <w:r w:rsidR="003D6C54">
        <w:t xml:space="preserve"> being from PNG</w:t>
      </w:r>
      <w:r w:rsidRPr="0001533E">
        <w:t xml:space="preserve">. In contrast, Samoan graduates are over-represented in the survey (25 per cent compared with 12 per cent in the Stage </w:t>
      </w:r>
      <w:r w:rsidR="005E739D">
        <w:t>I</w:t>
      </w:r>
      <w:r w:rsidR="003A6F09" w:rsidRPr="0001533E">
        <w:t xml:space="preserve"> </w:t>
      </w:r>
      <w:r w:rsidRPr="0001533E">
        <w:t>student population</w:t>
      </w:r>
      <w:r w:rsidR="003A6F09">
        <w:t>)</w:t>
      </w:r>
      <w:r w:rsidRPr="0001533E">
        <w:t>. In the combined APTC Past Student Surveys, Vanuatu and Samoa are over-represented (24 and 17 per cent respectively compared with 16 and 12 per cent</w:t>
      </w:r>
      <w:r w:rsidR="00B47F72">
        <w:t>,</w:t>
      </w:r>
      <w:r w:rsidRPr="0001533E">
        <w:t xml:space="preserve"> respectively</w:t>
      </w:r>
      <w:r w:rsidR="00B47F72">
        <w:t>,</w:t>
      </w:r>
      <w:r w:rsidRPr="0001533E">
        <w:t xml:space="preserve"> in the Stage </w:t>
      </w:r>
      <w:r w:rsidR="005E739D">
        <w:t>II</w:t>
      </w:r>
      <w:r w:rsidR="00E62BD7" w:rsidRPr="0001533E">
        <w:t xml:space="preserve"> </w:t>
      </w:r>
      <w:r w:rsidRPr="0001533E">
        <w:t>population). Solomon Islands is under-represented in the survey results (</w:t>
      </w:r>
      <w:r w:rsidR="00E62BD7">
        <w:t>seven</w:t>
      </w:r>
      <w:r w:rsidR="00E62BD7" w:rsidRPr="0001533E">
        <w:t xml:space="preserve"> </w:t>
      </w:r>
      <w:r w:rsidRPr="0001533E">
        <w:t>per cent compared with 14</w:t>
      </w:r>
      <w:r w:rsidR="00CC4148">
        <w:t> </w:t>
      </w:r>
      <w:r w:rsidRPr="0001533E">
        <w:t xml:space="preserve">per cent in the total Stage </w:t>
      </w:r>
      <w:r w:rsidR="00D52C26">
        <w:t>II</w:t>
      </w:r>
      <w:r w:rsidR="000E6B27" w:rsidRPr="0001533E">
        <w:t xml:space="preserve"> </w:t>
      </w:r>
      <w:r w:rsidRPr="0001533E">
        <w:t xml:space="preserve">population). The review team survey of graduates is also unrepresentative of Stage </w:t>
      </w:r>
      <w:r w:rsidR="00D52C26">
        <w:t>II</w:t>
      </w:r>
      <w:r w:rsidR="000E6B27" w:rsidRPr="0001533E">
        <w:t xml:space="preserve"> </w:t>
      </w:r>
      <w:r w:rsidRPr="0001533E">
        <w:t xml:space="preserve">students in relation to country of origin as PNG students account for 58 per cent of responses and only 19 per cent of the Stage </w:t>
      </w:r>
      <w:r w:rsidR="005E739D">
        <w:t>II</w:t>
      </w:r>
      <w:r w:rsidR="000E6B27" w:rsidRPr="0001533E">
        <w:t xml:space="preserve"> </w:t>
      </w:r>
      <w:r w:rsidRPr="0001533E">
        <w:t xml:space="preserve">student population. </w:t>
      </w:r>
    </w:p>
    <w:p w14:paraId="2C6DAA98" w14:textId="0F710054" w:rsidR="009B4045" w:rsidRDefault="009B4045" w:rsidP="0001533E">
      <w:r w:rsidRPr="0001533E">
        <w:t>The relatively small number of responses for each survey also mean</w:t>
      </w:r>
      <w:r w:rsidR="00EB48F0">
        <w:t>s</w:t>
      </w:r>
      <w:r w:rsidRPr="0001533E">
        <w:t xml:space="preserve"> that the response rates by qualification vary greatly. </w:t>
      </w:r>
      <w:r w:rsidR="00FF1220" w:rsidRPr="00FF1220">
        <w:t>The low number for many qualifications meant that further breakdown by gender of the graduate, where available, was not possible.</w:t>
      </w:r>
      <w:r w:rsidR="00FF1220">
        <w:t xml:space="preserve"> I</w:t>
      </w:r>
      <w:r w:rsidRPr="0001533E">
        <w:t xml:space="preserve">n the </w:t>
      </w:r>
      <w:r w:rsidR="00CF5CF4">
        <w:t xml:space="preserve">NCVER </w:t>
      </w:r>
      <w:r w:rsidRPr="0001533E">
        <w:t>APTC Graduates Down the Track</w:t>
      </w:r>
      <w:r w:rsidR="00EB48F0" w:rsidRPr="0001533E">
        <w:t xml:space="preserve"> </w:t>
      </w:r>
      <w:r w:rsidRPr="0001533E">
        <w:t xml:space="preserve">survey, the response rate </w:t>
      </w:r>
      <w:r w:rsidR="00E75D13" w:rsidRPr="00E75D13">
        <w:t xml:space="preserve">for the total number of graduates in each </w:t>
      </w:r>
      <w:r w:rsidRPr="0001533E">
        <w:t>qualification range</w:t>
      </w:r>
      <w:r w:rsidR="00E75D13">
        <w:t>s</w:t>
      </w:r>
      <w:r w:rsidRPr="0001533E">
        <w:t xml:space="preserve"> from 33 per cent to </w:t>
      </w:r>
      <w:r w:rsidR="00CC4148">
        <w:t>7</w:t>
      </w:r>
      <w:r w:rsidR="00411D8E" w:rsidRPr="0001533E">
        <w:t xml:space="preserve"> </w:t>
      </w:r>
      <w:r w:rsidRPr="0001533E">
        <w:t>per cent. In the APTC Past Student Tracer Surveys, the response rates by qualification rate vary from 100 per</w:t>
      </w:r>
      <w:r>
        <w:t xml:space="preserve"> cent to </w:t>
      </w:r>
      <w:r w:rsidR="00CC4148">
        <w:t>5</w:t>
      </w:r>
      <w:r w:rsidR="00A41C8A">
        <w:t xml:space="preserve"> </w:t>
      </w:r>
      <w:r>
        <w:t xml:space="preserve">per cent. The results on employment outcomes presented below also include the response rates for each qualification. These varying response rates mean in many cases it is not possible from specific surveys to reliably </w:t>
      </w:r>
      <w:r w:rsidR="00CC4148">
        <w:t xml:space="preserve">identify </w:t>
      </w:r>
      <w:r>
        <w:t xml:space="preserve">employment outcomes by qualification. However, it is possible to identify </w:t>
      </w:r>
      <w:r w:rsidR="005541C8">
        <w:t xml:space="preserve">broad patterns of demand for types of qualifications </w:t>
      </w:r>
      <w:r>
        <w:t xml:space="preserve">from the </w:t>
      </w:r>
      <w:r w:rsidR="000225ED" w:rsidRPr="000225ED">
        <w:t xml:space="preserve">two sets of </w:t>
      </w:r>
      <w:r>
        <w:t xml:space="preserve">surveys </w:t>
      </w:r>
      <w:r w:rsidR="005541C8">
        <w:t>and the reviewer’s survey of graduates</w:t>
      </w:r>
      <w:r>
        <w:t xml:space="preserve">. </w:t>
      </w:r>
    </w:p>
    <w:p w14:paraId="063655E0" w14:textId="77777777" w:rsidR="003D355F" w:rsidRDefault="00CB108D" w:rsidP="002028A6">
      <w:pPr>
        <w:pStyle w:val="Heading1"/>
      </w:pPr>
      <w:bookmarkStart w:id="839" w:name="_Toc278447961"/>
      <w:bookmarkStart w:id="840" w:name="_Toc278453434"/>
      <w:r>
        <w:t>2</w:t>
      </w:r>
      <w:r>
        <w:tab/>
      </w:r>
      <w:r w:rsidR="009B4045">
        <w:t>Employment rates</w:t>
      </w:r>
      <w:r w:rsidR="00E75D13">
        <w:t xml:space="preserve"> by qualification</w:t>
      </w:r>
      <w:bookmarkEnd w:id="839"/>
      <w:bookmarkEnd w:id="840"/>
    </w:p>
    <w:p w14:paraId="6D891EE1" w14:textId="4210DA03" w:rsidR="009B4045" w:rsidRPr="0001533E" w:rsidRDefault="009B4045" w:rsidP="0001533E">
      <w:r>
        <w:t>According to the 2013 Graduates Down the Track</w:t>
      </w:r>
      <w:r w:rsidR="007270C4">
        <w:t xml:space="preserve"> </w:t>
      </w:r>
      <w:r>
        <w:t>survey, 96 per cent of Stage</w:t>
      </w:r>
      <w:r w:rsidR="007270C4">
        <w:t> </w:t>
      </w:r>
      <w:r w:rsidR="00CC4148">
        <w:t>I</w:t>
      </w:r>
      <w:r w:rsidR="007270C4">
        <w:t xml:space="preserve"> </w:t>
      </w:r>
      <w:r>
        <w:t>graduates are in employment</w:t>
      </w:r>
      <w:r w:rsidRPr="005E4B04">
        <w:t xml:space="preserve"> </w:t>
      </w:r>
      <w:r>
        <w:t>(</w:t>
      </w:r>
      <w:r w:rsidRPr="005E4B04">
        <w:t>either in a wage job or own business)</w:t>
      </w:r>
      <w:r>
        <w:t xml:space="preserve">. However, nearly half of the graduates surveyed </w:t>
      </w:r>
      <w:r w:rsidR="006429C6">
        <w:t>(</w:t>
      </w:r>
      <w:r w:rsidRPr="005E4B04">
        <w:t>46 per cent</w:t>
      </w:r>
      <w:r w:rsidR="006429C6">
        <w:t>)</w:t>
      </w:r>
      <w:r>
        <w:t xml:space="preserve"> are still </w:t>
      </w:r>
      <w:r w:rsidRPr="005E4B04">
        <w:t xml:space="preserve">in the same job they were in before they started their training at APTC. </w:t>
      </w:r>
      <w:r>
        <w:t>This means that just o</w:t>
      </w:r>
      <w:r w:rsidRPr="005E4B04">
        <w:t xml:space="preserve">ver half of APTC </w:t>
      </w:r>
      <w:r w:rsidRPr="0001533E">
        <w:t xml:space="preserve">graduates (54 per cent) are in a new job. Table </w:t>
      </w:r>
      <w:r w:rsidR="006429C6">
        <w:t>8.</w:t>
      </w:r>
      <w:r w:rsidRPr="0001533E">
        <w:t xml:space="preserve">1 presents data on the employment rates of graduates not in the same job </w:t>
      </w:r>
      <w:r w:rsidR="00873767">
        <w:t xml:space="preserve">before </w:t>
      </w:r>
      <w:r w:rsidRPr="0001533E">
        <w:t xml:space="preserve">APTC. </w:t>
      </w:r>
    </w:p>
    <w:p w14:paraId="407299E5" w14:textId="77777777" w:rsidR="009B4045" w:rsidRPr="005E4B04" w:rsidRDefault="009B4045" w:rsidP="0001533E">
      <w:r w:rsidRPr="0001533E">
        <w:t xml:space="preserve">Several qualifications have notably higher </w:t>
      </w:r>
      <w:r w:rsidR="008955BB" w:rsidRPr="0001533E">
        <w:t>not</w:t>
      </w:r>
      <w:r w:rsidR="008955BB">
        <w:t>-</w:t>
      </w:r>
      <w:r w:rsidRPr="0001533E">
        <w:t xml:space="preserve">employed rates. One third of graduates in </w:t>
      </w:r>
      <w:r w:rsidR="008955BB">
        <w:t>C</w:t>
      </w:r>
      <w:r w:rsidR="008955BB" w:rsidRPr="0001533E">
        <w:t xml:space="preserve">ertificate </w:t>
      </w:r>
      <w:r w:rsidRPr="0001533E">
        <w:t xml:space="preserve">III in </w:t>
      </w:r>
      <w:r w:rsidR="008955BB">
        <w:t>H</w:t>
      </w:r>
      <w:r w:rsidR="008955BB" w:rsidRPr="0001533E">
        <w:t xml:space="preserve">ospitality </w:t>
      </w:r>
      <w:r w:rsidRPr="0001533E">
        <w:t>(</w:t>
      </w:r>
      <w:r w:rsidR="008955BB">
        <w:t>P</w:t>
      </w:r>
      <w:r w:rsidR="008955BB" w:rsidRPr="0001533E">
        <w:t>atisserie</w:t>
      </w:r>
      <w:r w:rsidRPr="0001533E">
        <w:t>) not with the same employer are not employed</w:t>
      </w:r>
      <w:r w:rsidR="00294658">
        <w:t>,</w:t>
      </w:r>
      <w:r w:rsidRPr="0001533E">
        <w:t xml:space="preserve"> although</w:t>
      </w:r>
      <w:r>
        <w:rPr>
          <w:rFonts w:cs="Arial"/>
          <w:color w:val="000000"/>
          <w:szCs w:val="22"/>
          <w:lang w:eastAsia="en-AU"/>
        </w:rPr>
        <w:t xml:space="preserve"> the response rate for this qualification is low. Graduates in the trades-based qualifications are not exempt from being out of work. As many as </w:t>
      </w:r>
      <w:r w:rsidR="00294658">
        <w:rPr>
          <w:rFonts w:cs="Arial"/>
          <w:color w:val="000000"/>
          <w:szCs w:val="22"/>
          <w:lang w:eastAsia="en-AU"/>
        </w:rPr>
        <w:t>17 per </w:t>
      </w:r>
      <w:r>
        <w:rPr>
          <w:rFonts w:cs="Arial"/>
          <w:color w:val="000000"/>
          <w:szCs w:val="22"/>
          <w:lang w:eastAsia="en-AU"/>
        </w:rPr>
        <w:t xml:space="preserve">cent of graduates with a </w:t>
      </w:r>
      <w:r w:rsidR="00294658">
        <w:rPr>
          <w:rFonts w:cs="Arial"/>
          <w:color w:val="000000"/>
          <w:szCs w:val="22"/>
          <w:lang w:eastAsia="en-AU"/>
        </w:rPr>
        <w:t>C</w:t>
      </w:r>
      <w:r w:rsidR="00294658" w:rsidRPr="005D21EE">
        <w:rPr>
          <w:rFonts w:cs="Arial"/>
          <w:color w:val="000000"/>
          <w:szCs w:val="22"/>
          <w:lang w:eastAsia="en-AU"/>
        </w:rPr>
        <w:t>ert</w:t>
      </w:r>
      <w:r w:rsidR="00294658">
        <w:rPr>
          <w:rFonts w:cs="Arial"/>
          <w:color w:val="000000"/>
          <w:szCs w:val="22"/>
          <w:lang w:eastAsia="en-AU"/>
        </w:rPr>
        <w:t>ificate</w:t>
      </w:r>
      <w:r w:rsidR="00294658" w:rsidRPr="005D21EE">
        <w:rPr>
          <w:rFonts w:cs="Arial"/>
          <w:color w:val="000000"/>
          <w:szCs w:val="22"/>
          <w:lang w:eastAsia="en-AU"/>
        </w:rPr>
        <w:t xml:space="preserve"> </w:t>
      </w:r>
      <w:r w:rsidR="00294658">
        <w:rPr>
          <w:rFonts w:cs="Arial"/>
          <w:color w:val="000000"/>
          <w:szCs w:val="22"/>
          <w:lang w:eastAsia="en-AU"/>
        </w:rPr>
        <w:t>III</w:t>
      </w:r>
      <w:r w:rsidR="00294658" w:rsidRPr="005D21EE">
        <w:rPr>
          <w:rFonts w:cs="Arial"/>
          <w:color w:val="000000"/>
          <w:szCs w:val="22"/>
          <w:lang w:eastAsia="en-AU"/>
        </w:rPr>
        <w:t xml:space="preserve"> </w:t>
      </w:r>
      <w:r w:rsidR="00294658">
        <w:rPr>
          <w:rFonts w:cs="Arial"/>
          <w:color w:val="000000"/>
          <w:szCs w:val="22"/>
          <w:lang w:eastAsia="en-AU"/>
        </w:rPr>
        <w:t>E</w:t>
      </w:r>
      <w:r w:rsidR="00294658" w:rsidRPr="005D21EE">
        <w:rPr>
          <w:rFonts w:cs="Arial"/>
          <w:color w:val="000000"/>
          <w:szCs w:val="22"/>
          <w:lang w:eastAsia="en-AU"/>
        </w:rPr>
        <w:t>ngineering</w:t>
      </w:r>
      <w:r w:rsidR="00294658">
        <w:rPr>
          <w:rFonts w:cs="Arial"/>
          <w:color w:val="000000"/>
          <w:szCs w:val="22"/>
          <w:lang w:eastAsia="en-AU"/>
        </w:rPr>
        <w:t xml:space="preserve"> –</w:t>
      </w:r>
      <w:r w:rsidRPr="005D21EE">
        <w:rPr>
          <w:rFonts w:cs="Arial"/>
          <w:color w:val="000000"/>
          <w:szCs w:val="22"/>
          <w:lang w:eastAsia="en-AU"/>
        </w:rPr>
        <w:t xml:space="preserve"> </w:t>
      </w:r>
      <w:r w:rsidR="00294658">
        <w:rPr>
          <w:rFonts w:cs="Arial"/>
          <w:color w:val="000000"/>
          <w:szCs w:val="22"/>
          <w:lang w:eastAsia="en-AU"/>
        </w:rPr>
        <w:t>M</w:t>
      </w:r>
      <w:r w:rsidR="00294658" w:rsidRPr="005D21EE">
        <w:rPr>
          <w:rFonts w:cs="Arial"/>
          <w:color w:val="000000"/>
          <w:szCs w:val="22"/>
          <w:lang w:eastAsia="en-AU"/>
        </w:rPr>
        <w:t xml:space="preserve">echanical </w:t>
      </w:r>
      <w:r w:rsidR="00294658">
        <w:rPr>
          <w:rFonts w:cs="Arial"/>
          <w:color w:val="000000"/>
          <w:szCs w:val="22"/>
          <w:lang w:eastAsia="en-AU"/>
        </w:rPr>
        <w:t>F</w:t>
      </w:r>
      <w:r w:rsidR="00294658" w:rsidRPr="005D21EE">
        <w:rPr>
          <w:rFonts w:cs="Arial"/>
          <w:color w:val="000000"/>
          <w:szCs w:val="22"/>
          <w:lang w:eastAsia="en-AU"/>
        </w:rPr>
        <w:t>itting</w:t>
      </w:r>
      <w:r w:rsidR="00294658">
        <w:rPr>
          <w:rFonts w:cs="Arial"/>
          <w:color w:val="000000"/>
          <w:szCs w:val="22"/>
          <w:lang w:eastAsia="en-AU"/>
        </w:rPr>
        <w:t xml:space="preserve"> </w:t>
      </w:r>
      <w:r>
        <w:rPr>
          <w:rFonts w:cs="Arial"/>
          <w:color w:val="000000"/>
          <w:szCs w:val="22"/>
          <w:lang w:eastAsia="en-AU"/>
        </w:rPr>
        <w:t xml:space="preserve">not now with the same employer are not in employment. One-in-six graduates in </w:t>
      </w:r>
      <w:r w:rsidR="002E6A88">
        <w:rPr>
          <w:rFonts w:cs="Arial"/>
          <w:color w:val="000000"/>
          <w:szCs w:val="22"/>
          <w:lang w:eastAsia="en-AU"/>
        </w:rPr>
        <w:t>C</w:t>
      </w:r>
      <w:r w:rsidR="002E6A88" w:rsidRPr="005D21EE">
        <w:rPr>
          <w:rFonts w:cs="Arial"/>
          <w:color w:val="000000"/>
          <w:szCs w:val="22"/>
          <w:lang w:eastAsia="en-AU"/>
        </w:rPr>
        <w:t xml:space="preserve">ertificate </w:t>
      </w:r>
      <w:r w:rsidRPr="005D21EE">
        <w:rPr>
          <w:rFonts w:cs="Arial"/>
          <w:color w:val="000000"/>
          <w:szCs w:val="22"/>
          <w:lang w:eastAsia="en-AU"/>
        </w:rPr>
        <w:t xml:space="preserve">III </w:t>
      </w:r>
      <w:r w:rsidR="002E6A88">
        <w:rPr>
          <w:rFonts w:cs="Arial"/>
          <w:color w:val="000000"/>
          <w:szCs w:val="22"/>
          <w:lang w:eastAsia="en-AU"/>
        </w:rPr>
        <w:t>in C</w:t>
      </w:r>
      <w:r w:rsidR="002E6A88" w:rsidRPr="005D21EE">
        <w:rPr>
          <w:rFonts w:cs="Arial"/>
          <w:color w:val="000000"/>
          <w:szCs w:val="22"/>
          <w:lang w:eastAsia="en-AU"/>
        </w:rPr>
        <w:t>hildren</w:t>
      </w:r>
      <w:r w:rsidR="002E6A88">
        <w:rPr>
          <w:rFonts w:cs="Arial"/>
          <w:color w:val="000000"/>
          <w:szCs w:val="22"/>
          <w:lang w:eastAsia="en-AU"/>
        </w:rPr>
        <w:t>’</w:t>
      </w:r>
      <w:r w:rsidR="002E6A88" w:rsidRPr="005D21EE">
        <w:rPr>
          <w:rFonts w:cs="Arial"/>
          <w:color w:val="000000"/>
          <w:szCs w:val="22"/>
          <w:lang w:eastAsia="en-AU"/>
        </w:rPr>
        <w:t xml:space="preserve">s </w:t>
      </w:r>
      <w:r w:rsidR="002E6A88">
        <w:rPr>
          <w:rFonts w:cs="Arial"/>
          <w:color w:val="000000"/>
          <w:szCs w:val="22"/>
          <w:lang w:eastAsia="en-AU"/>
        </w:rPr>
        <w:t>S</w:t>
      </w:r>
      <w:r w:rsidR="002E6A88" w:rsidRPr="005D21EE">
        <w:rPr>
          <w:rFonts w:cs="Arial"/>
          <w:color w:val="000000"/>
          <w:szCs w:val="22"/>
          <w:lang w:eastAsia="en-AU"/>
        </w:rPr>
        <w:t>ervices</w:t>
      </w:r>
      <w:r w:rsidR="002E6A88">
        <w:rPr>
          <w:rFonts w:cs="Arial"/>
          <w:color w:val="000000"/>
          <w:szCs w:val="22"/>
          <w:lang w:eastAsia="en-AU"/>
        </w:rPr>
        <w:t xml:space="preserve"> </w:t>
      </w:r>
      <w:r>
        <w:rPr>
          <w:rFonts w:cs="Arial"/>
          <w:color w:val="000000"/>
          <w:szCs w:val="22"/>
          <w:lang w:eastAsia="en-AU"/>
        </w:rPr>
        <w:t xml:space="preserve">not with the same employer are not now employed. Graduates in </w:t>
      </w:r>
      <w:r w:rsidR="002E6A88">
        <w:rPr>
          <w:rFonts w:cs="Arial"/>
          <w:color w:val="000000"/>
          <w:szCs w:val="22"/>
          <w:lang w:eastAsia="en-AU"/>
        </w:rPr>
        <w:t>C</w:t>
      </w:r>
      <w:r w:rsidR="002E6A88" w:rsidRPr="005D21EE">
        <w:rPr>
          <w:rFonts w:cs="Arial"/>
          <w:color w:val="000000"/>
          <w:szCs w:val="22"/>
          <w:lang w:eastAsia="en-AU"/>
        </w:rPr>
        <w:t xml:space="preserve">ertificate </w:t>
      </w:r>
      <w:r w:rsidRPr="005D21EE">
        <w:rPr>
          <w:rFonts w:cs="Arial"/>
          <w:color w:val="000000"/>
          <w:szCs w:val="22"/>
          <w:lang w:eastAsia="en-AU"/>
        </w:rPr>
        <w:t>III</w:t>
      </w:r>
      <w:r>
        <w:rPr>
          <w:rFonts w:cs="Arial"/>
          <w:color w:val="000000"/>
          <w:szCs w:val="22"/>
          <w:lang w:eastAsia="en-AU"/>
        </w:rPr>
        <w:t xml:space="preserve"> i</w:t>
      </w:r>
      <w:r w:rsidRPr="005D21EE">
        <w:rPr>
          <w:rFonts w:cs="Arial"/>
          <w:color w:val="000000"/>
          <w:szCs w:val="22"/>
          <w:lang w:eastAsia="en-AU"/>
        </w:rPr>
        <w:t xml:space="preserve">n </w:t>
      </w:r>
      <w:r w:rsidR="002E6A88">
        <w:rPr>
          <w:rFonts w:cs="Arial"/>
          <w:color w:val="000000"/>
          <w:szCs w:val="22"/>
          <w:lang w:eastAsia="en-AU"/>
        </w:rPr>
        <w:t>W</w:t>
      </w:r>
      <w:r w:rsidR="002E6A88" w:rsidRPr="005D21EE">
        <w:rPr>
          <w:rFonts w:cs="Arial"/>
          <w:color w:val="000000"/>
          <w:szCs w:val="22"/>
          <w:lang w:eastAsia="en-AU"/>
        </w:rPr>
        <w:t xml:space="preserve">all </w:t>
      </w:r>
      <w:r w:rsidR="002E6A88">
        <w:rPr>
          <w:rFonts w:cs="Arial"/>
          <w:color w:val="000000"/>
          <w:szCs w:val="22"/>
          <w:lang w:eastAsia="en-AU"/>
        </w:rPr>
        <w:t>and</w:t>
      </w:r>
      <w:r>
        <w:rPr>
          <w:rFonts w:cs="Arial"/>
          <w:color w:val="000000"/>
          <w:szCs w:val="22"/>
          <w:lang w:eastAsia="en-AU"/>
        </w:rPr>
        <w:t xml:space="preserve"> </w:t>
      </w:r>
      <w:r w:rsidR="002E6A88">
        <w:rPr>
          <w:rFonts w:cs="Arial"/>
          <w:color w:val="000000"/>
          <w:szCs w:val="22"/>
          <w:lang w:eastAsia="en-AU"/>
        </w:rPr>
        <w:t>F</w:t>
      </w:r>
      <w:r w:rsidR="002E6A88" w:rsidRPr="005D21EE">
        <w:rPr>
          <w:rFonts w:cs="Arial"/>
          <w:color w:val="000000"/>
          <w:szCs w:val="22"/>
          <w:lang w:eastAsia="en-AU"/>
        </w:rPr>
        <w:t xml:space="preserve">loor </w:t>
      </w:r>
      <w:r w:rsidR="002E6A88">
        <w:rPr>
          <w:rFonts w:cs="Arial"/>
          <w:color w:val="000000"/>
          <w:szCs w:val="22"/>
          <w:lang w:eastAsia="en-AU"/>
        </w:rPr>
        <w:t>T</w:t>
      </w:r>
      <w:r w:rsidR="002E6A88" w:rsidRPr="005D21EE">
        <w:rPr>
          <w:rFonts w:cs="Arial"/>
          <w:color w:val="000000"/>
          <w:szCs w:val="22"/>
          <w:lang w:eastAsia="en-AU"/>
        </w:rPr>
        <w:t>iling</w:t>
      </w:r>
      <w:r>
        <w:rPr>
          <w:rFonts w:cs="Arial"/>
          <w:color w:val="000000"/>
          <w:szCs w:val="22"/>
          <w:lang w:eastAsia="en-AU"/>
        </w:rPr>
        <w:t xml:space="preserve">, </w:t>
      </w:r>
      <w:r w:rsidR="002E6A88">
        <w:rPr>
          <w:rFonts w:cs="Arial"/>
          <w:color w:val="000000"/>
          <w:szCs w:val="22"/>
          <w:lang w:eastAsia="en-AU"/>
        </w:rPr>
        <w:t>P</w:t>
      </w:r>
      <w:r w:rsidR="002E6A88" w:rsidRPr="005D21EE">
        <w:rPr>
          <w:rFonts w:cs="Arial"/>
          <w:color w:val="000000"/>
          <w:szCs w:val="22"/>
          <w:lang w:eastAsia="en-AU"/>
        </w:rPr>
        <w:t>lumbing</w:t>
      </w:r>
      <w:r w:rsidR="002E6A88">
        <w:rPr>
          <w:rFonts w:cs="Arial"/>
          <w:color w:val="000000"/>
          <w:szCs w:val="22"/>
          <w:lang w:eastAsia="en-AU"/>
        </w:rPr>
        <w:t xml:space="preserve"> </w:t>
      </w:r>
      <w:r>
        <w:rPr>
          <w:rFonts w:cs="Arial"/>
          <w:color w:val="000000"/>
          <w:szCs w:val="22"/>
          <w:lang w:eastAsia="en-AU"/>
        </w:rPr>
        <w:t xml:space="preserve">and </w:t>
      </w:r>
      <w:r w:rsidR="002E6A88">
        <w:rPr>
          <w:rFonts w:cs="Arial"/>
          <w:color w:val="000000"/>
          <w:szCs w:val="22"/>
          <w:lang w:eastAsia="en-AU"/>
        </w:rPr>
        <w:t>C</w:t>
      </w:r>
      <w:r w:rsidR="002E6A88" w:rsidRPr="005D21EE">
        <w:rPr>
          <w:rFonts w:cs="Arial"/>
          <w:color w:val="000000"/>
          <w:szCs w:val="22"/>
          <w:lang w:eastAsia="en-AU"/>
        </w:rPr>
        <w:t>arpentry</w:t>
      </w:r>
      <w:r w:rsidR="002E6A88">
        <w:rPr>
          <w:rFonts w:cs="Arial"/>
          <w:color w:val="000000"/>
          <w:szCs w:val="22"/>
          <w:lang w:eastAsia="en-AU"/>
        </w:rPr>
        <w:t xml:space="preserve"> </w:t>
      </w:r>
      <w:r>
        <w:rPr>
          <w:rFonts w:cs="Arial"/>
          <w:color w:val="000000"/>
          <w:szCs w:val="22"/>
          <w:lang w:eastAsia="en-AU"/>
        </w:rPr>
        <w:t>also have above average not</w:t>
      </w:r>
      <w:r w:rsidR="003C1318">
        <w:rPr>
          <w:rFonts w:cs="Arial"/>
          <w:color w:val="000000"/>
          <w:szCs w:val="22"/>
          <w:lang w:eastAsia="en-AU"/>
        </w:rPr>
        <w:t>-</w:t>
      </w:r>
      <w:r>
        <w:rPr>
          <w:rFonts w:cs="Arial"/>
          <w:color w:val="000000"/>
          <w:szCs w:val="22"/>
          <w:lang w:eastAsia="en-AU"/>
        </w:rPr>
        <w:t>in</w:t>
      </w:r>
      <w:r w:rsidR="003C1318">
        <w:rPr>
          <w:rFonts w:cs="Arial"/>
          <w:color w:val="000000"/>
          <w:szCs w:val="22"/>
          <w:lang w:eastAsia="en-AU"/>
        </w:rPr>
        <w:t>-</w:t>
      </w:r>
      <w:r>
        <w:rPr>
          <w:rFonts w:cs="Arial"/>
          <w:color w:val="000000"/>
          <w:szCs w:val="22"/>
          <w:lang w:eastAsia="en-AU"/>
        </w:rPr>
        <w:t xml:space="preserve">employment rates. </w:t>
      </w:r>
    </w:p>
    <w:p w14:paraId="0786BF49" w14:textId="08394F68" w:rsidR="009B4045" w:rsidRDefault="009B4045" w:rsidP="009B4045">
      <w:pPr>
        <w:pStyle w:val="Tableheading"/>
      </w:pPr>
      <w:bookmarkStart w:id="841" w:name="_Toc274146489"/>
      <w:bookmarkStart w:id="842" w:name="_Toc274915948"/>
      <w:bookmarkStart w:id="843" w:name="_Toc278446927"/>
      <w:r>
        <w:t xml:space="preserve">Table </w:t>
      </w:r>
      <w:r w:rsidR="003C1318">
        <w:t>8.</w:t>
      </w:r>
      <w:r>
        <w:t xml:space="preserve">1: Proportion of </w:t>
      </w:r>
      <w:r w:rsidRPr="003E404C">
        <w:t xml:space="preserve">Stage </w:t>
      </w:r>
      <w:r w:rsidR="00D52C26">
        <w:t>I</w:t>
      </w:r>
      <w:r w:rsidR="003C1318" w:rsidRPr="003E404C">
        <w:t xml:space="preserve"> </w:t>
      </w:r>
      <w:r w:rsidRPr="003E404C">
        <w:t>APTC graduates</w:t>
      </w:r>
      <w:r>
        <w:t xml:space="preserve"> </w:t>
      </w:r>
      <w:r w:rsidR="00B52BED">
        <w:t xml:space="preserve">by qualification </w:t>
      </w:r>
      <w:r>
        <w:t xml:space="preserve">not in the same job </w:t>
      </w:r>
      <w:r w:rsidR="00B52BED">
        <w:t xml:space="preserve">before </w:t>
      </w:r>
      <w:r>
        <w:t>APTC who are employed</w:t>
      </w:r>
      <w:r w:rsidRPr="003E404C">
        <w:t xml:space="preserve">, </w:t>
      </w:r>
      <w:r>
        <w:t>2007</w:t>
      </w:r>
      <w:r w:rsidR="003538AC">
        <w:t>–</w:t>
      </w:r>
      <w:r>
        <w:t>June 2011</w:t>
      </w:r>
      <w:r w:rsidR="002B573A">
        <w:t xml:space="preserve"> (%)</w:t>
      </w:r>
      <w:bookmarkEnd w:id="841"/>
      <w:bookmarkEnd w:id="842"/>
      <w:bookmarkEnd w:id="843"/>
    </w:p>
    <w:tbl>
      <w:tblPr>
        <w:tblW w:w="7371" w:type="dxa"/>
        <w:tblInd w:w="108" w:type="dxa"/>
        <w:tblLayout w:type="fixed"/>
        <w:tblLook w:val="04A0" w:firstRow="1" w:lastRow="0" w:firstColumn="1" w:lastColumn="0" w:noHBand="0" w:noVBand="1"/>
      </w:tblPr>
      <w:tblGrid>
        <w:gridCol w:w="4111"/>
        <w:gridCol w:w="1134"/>
        <w:gridCol w:w="1985"/>
        <w:gridCol w:w="141"/>
      </w:tblGrid>
      <w:tr w:rsidR="007406C2" w:rsidRPr="0001533E" w14:paraId="7F51E389" w14:textId="77777777" w:rsidTr="007406C2">
        <w:trPr>
          <w:gridAfter w:val="1"/>
          <w:wAfter w:w="141" w:type="dxa"/>
          <w:trHeight w:val="840"/>
        </w:trPr>
        <w:tc>
          <w:tcPr>
            <w:tcW w:w="4111" w:type="dxa"/>
            <w:shd w:val="clear" w:color="000000" w:fill="C5E0B3" w:themeFill="accent6" w:themeFillTint="66"/>
            <w:vAlign w:val="center"/>
          </w:tcPr>
          <w:p w14:paraId="576505DF" w14:textId="77777777" w:rsidR="009B4045" w:rsidRPr="0001533E" w:rsidRDefault="009B4045" w:rsidP="0001533E">
            <w:pPr>
              <w:spacing w:before="40" w:after="40"/>
              <w:jc w:val="center"/>
              <w:rPr>
                <w:rFonts w:cs="Arial"/>
                <w:b/>
                <w:color w:val="000000"/>
                <w:sz w:val="18"/>
                <w:szCs w:val="20"/>
                <w:lang w:eastAsia="en-AU"/>
              </w:rPr>
            </w:pPr>
            <w:r w:rsidRPr="0001533E">
              <w:rPr>
                <w:rFonts w:cs="Arial"/>
                <w:b/>
                <w:color w:val="000000"/>
                <w:sz w:val="18"/>
                <w:szCs w:val="20"/>
                <w:lang w:eastAsia="en-AU"/>
              </w:rPr>
              <w:t>APTC qualification</w:t>
            </w:r>
          </w:p>
        </w:tc>
        <w:tc>
          <w:tcPr>
            <w:tcW w:w="1134" w:type="dxa"/>
            <w:shd w:val="clear" w:color="000000" w:fill="C5E0B3" w:themeFill="accent6" w:themeFillTint="66"/>
            <w:vAlign w:val="center"/>
          </w:tcPr>
          <w:p w14:paraId="599F183F" w14:textId="77777777" w:rsidR="009B4045" w:rsidRPr="0001533E" w:rsidRDefault="009B4045" w:rsidP="007406C2">
            <w:pPr>
              <w:spacing w:before="40" w:after="40"/>
              <w:jc w:val="center"/>
              <w:rPr>
                <w:rFonts w:cs="Arial"/>
                <w:b/>
                <w:color w:val="000000"/>
                <w:sz w:val="18"/>
                <w:szCs w:val="16"/>
                <w:lang w:eastAsia="en-AU"/>
              </w:rPr>
            </w:pPr>
            <w:r w:rsidRPr="0001533E">
              <w:rPr>
                <w:rFonts w:cs="Arial"/>
                <w:b/>
                <w:color w:val="000000"/>
                <w:sz w:val="18"/>
                <w:szCs w:val="16"/>
                <w:lang w:eastAsia="en-AU"/>
              </w:rPr>
              <w:t xml:space="preserve">Not </w:t>
            </w:r>
            <w:r w:rsidR="00EF307E">
              <w:rPr>
                <w:rFonts w:cs="Arial"/>
                <w:b/>
                <w:color w:val="000000"/>
                <w:sz w:val="18"/>
                <w:szCs w:val="16"/>
                <w:lang w:eastAsia="en-AU"/>
              </w:rPr>
              <w:t>e</w:t>
            </w:r>
            <w:r w:rsidR="00EF307E" w:rsidRPr="0001533E">
              <w:rPr>
                <w:rFonts w:cs="Arial"/>
                <w:b/>
                <w:color w:val="000000"/>
                <w:sz w:val="18"/>
                <w:szCs w:val="16"/>
                <w:lang w:eastAsia="en-AU"/>
              </w:rPr>
              <w:t xml:space="preserve">mployed </w:t>
            </w:r>
            <w:r w:rsidRPr="0001533E">
              <w:rPr>
                <w:rFonts w:cs="Arial"/>
                <w:b/>
                <w:color w:val="000000"/>
                <w:sz w:val="18"/>
                <w:szCs w:val="16"/>
                <w:lang w:eastAsia="en-AU"/>
              </w:rPr>
              <w:t>%</w:t>
            </w:r>
          </w:p>
        </w:tc>
        <w:tc>
          <w:tcPr>
            <w:tcW w:w="1985" w:type="dxa"/>
            <w:shd w:val="clear" w:color="000000" w:fill="C5E0B3" w:themeFill="accent6" w:themeFillTint="66"/>
            <w:vAlign w:val="center"/>
          </w:tcPr>
          <w:p w14:paraId="477219BB" w14:textId="29383AE5" w:rsidR="009B4045" w:rsidRPr="0001533E" w:rsidRDefault="00B52BED" w:rsidP="007406C2">
            <w:pPr>
              <w:spacing w:before="40" w:after="40"/>
              <w:jc w:val="center"/>
              <w:rPr>
                <w:rFonts w:cs="Arial"/>
                <w:b/>
                <w:color w:val="000000"/>
                <w:sz w:val="18"/>
                <w:szCs w:val="16"/>
                <w:lang w:eastAsia="en-AU"/>
              </w:rPr>
            </w:pPr>
            <w:r w:rsidRPr="00B52BED">
              <w:rPr>
                <w:rFonts w:cs="Arial"/>
                <w:b/>
                <w:color w:val="000000"/>
                <w:sz w:val="18"/>
                <w:szCs w:val="16"/>
                <w:lang w:eastAsia="en-AU"/>
              </w:rPr>
              <w:t xml:space="preserve">Response rate for all graduates in  qualification </w:t>
            </w:r>
            <w:r w:rsidR="00364E8A">
              <w:rPr>
                <w:rFonts w:cs="Arial"/>
                <w:b/>
                <w:color w:val="000000"/>
                <w:sz w:val="18"/>
                <w:szCs w:val="16"/>
                <w:lang w:eastAsia="en-AU"/>
              </w:rPr>
              <w:t>%</w:t>
            </w:r>
          </w:p>
        </w:tc>
      </w:tr>
      <w:tr w:rsidR="007406C2" w:rsidRPr="0001533E" w14:paraId="22F74F7B" w14:textId="77777777" w:rsidTr="007406C2">
        <w:trPr>
          <w:gridAfter w:val="1"/>
          <w:wAfter w:w="141" w:type="dxa"/>
          <w:trHeight w:val="288"/>
        </w:trPr>
        <w:tc>
          <w:tcPr>
            <w:tcW w:w="4111" w:type="dxa"/>
            <w:shd w:val="clear" w:color="auto" w:fill="auto"/>
            <w:vAlign w:val="center"/>
          </w:tcPr>
          <w:p w14:paraId="0392FF5A" w14:textId="77777777" w:rsidR="009B4045" w:rsidRPr="00950268" w:rsidRDefault="009B4045" w:rsidP="00EF307E">
            <w:pPr>
              <w:pStyle w:val="Insidebox"/>
              <w:spacing w:before="40" w:after="40"/>
              <w:rPr>
                <w:sz w:val="20"/>
                <w:szCs w:val="20"/>
              </w:rPr>
            </w:pPr>
            <w:r w:rsidRPr="00950268">
              <w:rPr>
                <w:sz w:val="20"/>
                <w:szCs w:val="20"/>
              </w:rPr>
              <w:t xml:space="preserve">Certificate III in </w:t>
            </w:r>
            <w:r w:rsidR="00EF307E" w:rsidRPr="00950268">
              <w:rPr>
                <w:sz w:val="20"/>
                <w:szCs w:val="20"/>
              </w:rPr>
              <w:t xml:space="preserve">Hospitality </w:t>
            </w:r>
            <w:r w:rsidRPr="00950268">
              <w:rPr>
                <w:sz w:val="20"/>
                <w:szCs w:val="20"/>
              </w:rPr>
              <w:t xml:space="preserve">- </w:t>
            </w:r>
            <w:r w:rsidR="00EF307E" w:rsidRPr="00950268">
              <w:rPr>
                <w:sz w:val="20"/>
                <w:szCs w:val="20"/>
              </w:rPr>
              <w:t>Patisserie</w:t>
            </w:r>
          </w:p>
        </w:tc>
        <w:tc>
          <w:tcPr>
            <w:tcW w:w="1134" w:type="dxa"/>
            <w:shd w:val="clear" w:color="auto" w:fill="auto"/>
            <w:vAlign w:val="bottom"/>
          </w:tcPr>
          <w:p w14:paraId="395AC77C" w14:textId="77777777" w:rsidR="009B4045" w:rsidRPr="00950268" w:rsidRDefault="009B4045" w:rsidP="007406C2">
            <w:pPr>
              <w:pStyle w:val="Insidebox"/>
              <w:spacing w:before="40" w:after="40"/>
              <w:jc w:val="center"/>
              <w:rPr>
                <w:sz w:val="20"/>
                <w:szCs w:val="20"/>
              </w:rPr>
            </w:pPr>
            <w:r w:rsidRPr="00950268">
              <w:rPr>
                <w:sz w:val="20"/>
                <w:szCs w:val="20"/>
              </w:rPr>
              <w:t>33</w:t>
            </w:r>
          </w:p>
        </w:tc>
        <w:tc>
          <w:tcPr>
            <w:tcW w:w="1985" w:type="dxa"/>
            <w:shd w:val="clear" w:color="auto" w:fill="auto"/>
            <w:noWrap/>
            <w:vAlign w:val="bottom"/>
          </w:tcPr>
          <w:p w14:paraId="6AA3A4D4" w14:textId="77777777" w:rsidR="009B4045" w:rsidRPr="00950268" w:rsidRDefault="009B4045" w:rsidP="007406C2">
            <w:pPr>
              <w:pStyle w:val="Insidebox"/>
              <w:spacing w:before="40" w:after="40"/>
              <w:jc w:val="center"/>
              <w:rPr>
                <w:sz w:val="20"/>
                <w:szCs w:val="20"/>
              </w:rPr>
            </w:pPr>
            <w:r w:rsidRPr="00950268">
              <w:rPr>
                <w:sz w:val="20"/>
                <w:szCs w:val="20"/>
              </w:rPr>
              <w:t>9</w:t>
            </w:r>
          </w:p>
        </w:tc>
      </w:tr>
      <w:tr w:rsidR="007406C2" w:rsidRPr="0001533E" w14:paraId="567C4F72" w14:textId="77777777" w:rsidTr="007406C2">
        <w:trPr>
          <w:gridAfter w:val="1"/>
          <w:wAfter w:w="141" w:type="dxa"/>
          <w:trHeight w:val="288"/>
        </w:trPr>
        <w:tc>
          <w:tcPr>
            <w:tcW w:w="4111" w:type="dxa"/>
            <w:shd w:val="clear" w:color="auto" w:fill="auto"/>
            <w:vAlign w:val="center"/>
          </w:tcPr>
          <w:p w14:paraId="04B0DBD5" w14:textId="77777777" w:rsidR="009B4045" w:rsidRPr="00950268" w:rsidRDefault="009B4045" w:rsidP="00EF307E">
            <w:pPr>
              <w:pStyle w:val="Insidebox"/>
              <w:spacing w:before="40" w:after="40"/>
              <w:rPr>
                <w:sz w:val="20"/>
                <w:szCs w:val="20"/>
              </w:rPr>
            </w:pPr>
            <w:r w:rsidRPr="00950268">
              <w:rPr>
                <w:sz w:val="20"/>
                <w:szCs w:val="20"/>
              </w:rPr>
              <w:t xml:space="preserve">Cert III </w:t>
            </w:r>
            <w:r w:rsidR="00EF307E" w:rsidRPr="00950268">
              <w:rPr>
                <w:sz w:val="20"/>
                <w:szCs w:val="20"/>
              </w:rPr>
              <w:t xml:space="preserve">Engineering </w:t>
            </w:r>
            <w:r w:rsidRPr="00950268">
              <w:rPr>
                <w:sz w:val="20"/>
                <w:szCs w:val="20"/>
              </w:rPr>
              <w:t xml:space="preserve">- </w:t>
            </w:r>
            <w:r w:rsidR="00EF307E" w:rsidRPr="00950268">
              <w:rPr>
                <w:sz w:val="20"/>
                <w:szCs w:val="20"/>
              </w:rPr>
              <w:t>Mechanical Fitting</w:t>
            </w:r>
          </w:p>
        </w:tc>
        <w:tc>
          <w:tcPr>
            <w:tcW w:w="1134" w:type="dxa"/>
            <w:shd w:val="clear" w:color="auto" w:fill="auto"/>
            <w:vAlign w:val="bottom"/>
          </w:tcPr>
          <w:p w14:paraId="0FEE2C0F" w14:textId="77777777" w:rsidR="009B4045" w:rsidRPr="00950268" w:rsidRDefault="009B4045" w:rsidP="007406C2">
            <w:pPr>
              <w:pStyle w:val="Insidebox"/>
              <w:spacing w:before="40" w:after="40"/>
              <w:jc w:val="center"/>
              <w:rPr>
                <w:sz w:val="20"/>
                <w:szCs w:val="20"/>
              </w:rPr>
            </w:pPr>
            <w:r w:rsidRPr="00950268">
              <w:rPr>
                <w:sz w:val="20"/>
                <w:szCs w:val="20"/>
              </w:rPr>
              <w:t>17</w:t>
            </w:r>
          </w:p>
        </w:tc>
        <w:tc>
          <w:tcPr>
            <w:tcW w:w="1985" w:type="dxa"/>
            <w:shd w:val="clear" w:color="auto" w:fill="auto"/>
            <w:noWrap/>
            <w:vAlign w:val="bottom"/>
          </w:tcPr>
          <w:p w14:paraId="3F1CFF56" w14:textId="77777777" w:rsidR="009B4045" w:rsidRPr="00950268" w:rsidRDefault="009B4045" w:rsidP="007406C2">
            <w:pPr>
              <w:pStyle w:val="Insidebox"/>
              <w:spacing w:before="40" w:after="40"/>
              <w:jc w:val="center"/>
              <w:rPr>
                <w:sz w:val="20"/>
                <w:szCs w:val="20"/>
              </w:rPr>
            </w:pPr>
            <w:r w:rsidRPr="00950268">
              <w:rPr>
                <w:sz w:val="20"/>
                <w:szCs w:val="20"/>
              </w:rPr>
              <w:t>19</w:t>
            </w:r>
          </w:p>
        </w:tc>
      </w:tr>
      <w:tr w:rsidR="007406C2" w:rsidRPr="0001533E" w14:paraId="0C2F4ECD" w14:textId="77777777" w:rsidTr="007406C2">
        <w:trPr>
          <w:gridAfter w:val="1"/>
          <w:wAfter w:w="141" w:type="dxa"/>
          <w:trHeight w:val="288"/>
        </w:trPr>
        <w:tc>
          <w:tcPr>
            <w:tcW w:w="4111" w:type="dxa"/>
            <w:shd w:val="clear" w:color="auto" w:fill="auto"/>
            <w:vAlign w:val="center"/>
          </w:tcPr>
          <w:p w14:paraId="7A00B402" w14:textId="77777777" w:rsidR="009B4045" w:rsidRPr="00950268" w:rsidRDefault="009B4045" w:rsidP="00EF307E">
            <w:pPr>
              <w:pStyle w:val="Insidebox"/>
              <w:spacing w:before="40" w:after="40"/>
              <w:rPr>
                <w:sz w:val="20"/>
                <w:szCs w:val="20"/>
              </w:rPr>
            </w:pPr>
            <w:r w:rsidRPr="00950268">
              <w:rPr>
                <w:sz w:val="20"/>
                <w:szCs w:val="20"/>
              </w:rPr>
              <w:t xml:space="preserve">Certificate III </w:t>
            </w:r>
            <w:r w:rsidR="00EF307E" w:rsidRPr="00950268">
              <w:rPr>
                <w:sz w:val="20"/>
                <w:szCs w:val="20"/>
              </w:rPr>
              <w:t>in Children's Services</w:t>
            </w:r>
          </w:p>
        </w:tc>
        <w:tc>
          <w:tcPr>
            <w:tcW w:w="1134" w:type="dxa"/>
            <w:shd w:val="clear" w:color="auto" w:fill="auto"/>
            <w:vAlign w:val="bottom"/>
          </w:tcPr>
          <w:p w14:paraId="0806AAA3" w14:textId="77777777" w:rsidR="009B4045" w:rsidRPr="00950268" w:rsidRDefault="009B4045" w:rsidP="007406C2">
            <w:pPr>
              <w:pStyle w:val="Insidebox"/>
              <w:spacing w:before="40" w:after="40"/>
              <w:jc w:val="center"/>
              <w:rPr>
                <w:sz w:val="20"/>
                <w:szCs w:val="20"/>
              </w:rPr>
            </w:pPr>
            <w:r w:rsidRPr="00950268">
              <w:rPr>
                <w:sz w:val="20"/>
                <w:szCs w:val="20"/>
              </w:rPr>
              <w:t>14</w:t>
            </w:r>
          </w:p>
        </w:tc>
        <w:tc>
          <w:tcPr>
            <w:tcW w:w="1985" w:type="dxa"/>
            <w:shd w:val="clear" w:color="auto" w:fill="auto"/>
            <w:noWrap/>
            <w:vAlign w:val="bottom"/>
          </w:tcPr>
          <w:p w14:paraId="02CCF713" w14:textId="77777777" w:rsidR="009B4045" w:rsidRPr="00950268" w:rsidRDefault="009B4045" w:rsidP="007406C2">
            <w:pPr>
              <w:pStyle w:val="Insidebox"/>
              <w:spacing w:before="40" w:after="40"/>
              <w:jc w:val="center"/>
              <w:rPr>
                <w:sz w:val="20"/>
                <w:szCs w:val="20"/>
              </w:rPr>
            </w:pPr>
            <w:r w:rsidRPr="00950268">
              <w:rPr>
                <w:sz w:val="20"/>
                <w:szCs w:val="20"/>
              </w:rPr>
              <w:t>30</w:t>
            </w:r>
          </w:p>
        </w:tc>
      </w:tr>
      <w:tr w:rsidR="007406C2" w:rsidRPr="0001533E" w14:paraId="0E21709B" w14:textId="77777777" w:rsidTr="007406C2">
        <w:trPr>
          <w:gridAfter w:val="1"/>
          <w:wAfter w:w="141" w:type="dxa"/>
          <w:trHeight w:val="288"/>
        </w:trPr>
        <w:tc>
          <w:tcPr>
            <w:tcW w:w="4111" w:type="dxa"/>
            <w:shd w:val="clear" w:color="auto" w:fill="auto"/>
            <w:vAlign w:val="center"/>
          </w:tcPr>
          <w:p w14:paraId="0DEEB91D" w14:textId="77777777" w:rsidR="009B4045" w:rsidRPr="00950268" w:rsidRDefault="009B4045" w:rsidP="00EF307E">
            <w:pPr>
              <w:pStyle w:val="Insidebox"/>
              <w:spacing w:before="40" w:after="40"/>
              <w:rPr>
                <w:sz w:val="20"/>
                <w:szCs w:val="20"/>
              </w:rPr>
            </w:pPr>
            <w:r w:rsidRPr="00950268">
              <w:rPr>
                <w:sz w:val="20"/>
                <w:szCs w:val="20"/>
              </w:rPr>
              <w:t xml:space="preserve">Certificate III in </w:t>
            </w:r>
            <w:r w:rsidR="00EF307E" w:rsidRPr="00950268">
              <w:rPr>
                <w:sz w:val="20"/>
                <w:szCs w:val="20"/>
              </w:rPr>
              <w:t xml:space="preserve">Wall </w:t>
            </w:r>
            <w:r w:rsidRPr="00950268">
              <w:rPr>
                <w:sz w:val="20"/>
                <w:szCs w:val="20"/>
              </w:rPr>
              <w:t xml:space="preserve">and </w:t>
            </w:r>
            <w:r w:rsidR="00EF307E" w:rsidRPr="00950268">
              <w:rPr>
                <w:sz w:val="20"/>
                <w:szCs w:val="20"/>
              </w:rPr>
              <w:t>Floor Tiling</w:t>
            </w:r>
          </w:p>
        </w:tc>
        <w:tc>
          <w:tcPr>
            <w:tcW w:w="1134" w:type="dxa"/>
            <w:shd w:val="clear" w:color="auto" w:fill="auto"/>
            <w:vAlign w:val="bottom"/>
          </w:tcPr>
          <w:p w14:paraId="1A403F35" w14:textId="77777777" w:rsidR="009B4045" w:rsidRPr="00950268" w:rsidRDefault="009B4045" w:rsidP="007406C2">
            <w:pPr>
              <w:pStyle w:val="Insidebox"/>
              <w:spacing w:before="40" w:after="40"/>
              <w:jc w:val="center"/>
              <w:rPr>
                <w:sz w:val="20"/>
                <w:szCs w:val="20"/>
              </w:rPr>
            </w:pPr>
            <w:r w:rsidRPr="00950268">
              <w:rPr>
                <w:sz w:val="20"/>
                <w:szCs w:val="20"/>
              </w:rPr>
              <w:t>14</w:t>
            </w:r>
          </w:p>
        </w:tc>
        <w:tc>
          <w:tcPr>
            <w:tcW w:w="1985" w:type="dxa"/>
            <w:shd w:val="clear" w:color="auto" w:fill="auto"/>
            <w:noWrap/>
            <w:vAlign w:val="bottom"/>
          </w:tcPr>
          <w:p w14:paraId="2DC588E4" w14:textId="77777777" w:rsidR="009B4045" w:rsidRPr="00950268" w:rsidRDefault="009B4045" w:rsidP="007406C2">
            <w:pPr>
              <w:pStyle w:val="Insidebox"/>
              <w:spacing w:before="40" w:after="40"/>
              <w:jc w:val="center"/>
              <w:rPr>
                <w:sz w:val="20"/>
                <w:szCs w:val="20"/>
              </w:rPr>
            </w:pPr>
            <w:r w:rsidRPr="00950268">
              <w:rPr>
                <w:sz w:val="20"/>
                <w:szCs w:val="20"/>
              </w:rPr>
              <w:t>33</w:t>
            </w:r>
          </w:p>
        </w:tc>
      </w:tr>
      <w:tr w:rsidR="007406C2" w:rsidRPr="0001533E" w14:paraId="6B32FE2C" w14:textId="77777777" w:rsidTr="007406C2">
        <w:trPr>
          <w:gridAfter w:val="1"/>
          <w:wAfter w:w="141" w:type="dxa"/>
          <w:trHeight w:val="288"/>
        </w:trPr>
        <w:tc>
          <w:tcPr>
            <w:tcW w:w="4111" w:type="dxa"/>
            <w:shd w:val="clear" w:color="auto" w:fill="auto"/>
            <w:vAlign w:val="center"/>
          </w:tcPr>
          <w:p w14:paraId="33E99701" w14:textId="77777777" w:rsidR="009B4045" w:rsidRPr="00950268" w:rsidRDefault="009B4045" w:rsidP="00EF307E">
            <w:pPr>
              <w:pStyle w:val="Insidebox"/>
              <w:spacing w:before="40" w:after="40"/>
              <w:rPr>
                <w:sz w:val="20"/>
                <w:szCs w:val="20"/>
              </w:rPr>
            </w:pPr>
            <w:r w:rsidRPr="00950268">
              <w:rPr>
                <w:sz w:val="20"/>
                <w:szCs w:val="20"/>
              </w:rPr>
              <w:t xml:space="preserve">Certificate III in </w:t>
            </w:r>
            <w:r w:rsidR="00EF307E" w:rsidRPr="00950268">
              <w:rPr>
                <w:sz w:val="20"/>
                <w:szCs w:val="20"/>
              </w:rPr>
              <w:t>Plumbing</w:t>
            </w:r>
          </w:p>
        </w:tc>
        <w:tc>
          <w:tcPr>
            <w:tcW w:w="1134" w:type="dxa"/>
            <w:shd w:val="clear" w:color="auto" w:fill="auto"/>
            <w:vAlign w:val="bottom"/>
          </w:tcPr>
          <w:p w14:paraId="2352D566" w14:textId="77777777" w:rsidR="009B4045" w:rsidRPr="00950268" w:rsidRDefault="009B4045" w:rsidP="007406C2">
            <w:pPr>
              <w:pStyle w:val="Insidebox"/>
              <w:spacing w:before="40" w:after="40"/>
              <w:jc w:val="center"/>
              <w:rPr>
                <w:sz w:val="20"/>
                <w:szCs w:val="20"/>
              </w:rPr>
            </w:pPr>
            <w:r w:rsidRPr="00950268">
              <w:rPr>
                <w:sz w:val="20"/>
                <w:szCs w:val="20"/>
              </w:rPr>
              <w:t>14</w:t>
            </w:r>
          </w:p>
        </w:tc>
        <w:tc>
          <w:tcPr>
            <w:tcW w:w="1985" w:type="dxa"/>
            <w:shd w:val="clear" w:color="auto" w:fill="auto"/>
            <w:noWrap/>
            <w:vAlign w:val="bottom"/>
          </w:tcPr>
          <w:p w14:paraId="3BD16596" w14:textId="77777777" w:rsidR="009B4045" w:rsidRPr="00950268" w:rsidRDefault="009B4045" w:rsidP="007406C2">
            <w:pPr>
              <w:pStyle w:val="Insidebox"/>
              <w:spacing w:before="40" w:after="40"/>
              <w:jc w:val="center"/>
              <w:rPr>
                <w:sz w:val="20"/>
                <w:szCs w:val="20"/>
              </w:rPr>
            </w:pPr>
            <w:r w:rsidRPr="00950268">
              <w:rPr>
                <w:sz w:val="20"/>
                <w:szCs w:val="20"/>
              </w:rPr>
              <w:t>47</w:t>
            </w:r>
          </w:p>
        </w:tc>
      </w:tr>
      <w:tr w:rsidR="007406C2" w:rsidRPr="0001533E" w14:paraId="3E9A5C41" w14:textId="77777777" w:rsidTr="007406C2">
        <w:trPr>
          <w:gridAfter w:val="1"/>
          <w:wAfter w:w="141" w:type="dxa"/>
          <w:trHeight w:val="372"/>
        </w:trPr>
        <w:tc>
          <w:tcPr>
            <w:tcW w:w="4111" w:type="dxa"/>
            <w:shd w:val="clear" w:color="auto" w:fill="auto"/>
            <w:vAlign w:val="center"/>
          </w:tcPr>
          <w:p w14:paraId="1E4DDBDE" w14:textId="77777777" w:rsidR="009B4045" w:rsidRPr="00950268" w:rsidRDefault="009B4045" w:rsidP="00EF307E">
            <w:pPr>
              <w:pStyle w:val="Insidebox"/>
              <w:spacing w:before="40" w:after="40"/>
              <w:rPr>
                <w:sz w:val="20"/>
                <w:szCs w:val="20"/>
              </w:rPr>
            </w:pPr>
            <w:r w:rsidRPr="00950268">
              <w:rPr>
                <w:sz w:val="20"/>
                <w:szCs w:val="20"/>
              </w:rPr>
              <w:t xml:space="preserve">Certificate IV in </w:t>
            </w:r>
            <w:r w:rsidR="00EF307E" w:rsidRPr="00950268">
              <w:rPr>
                <w:sz w:val="20"/>
                <w:szCs w:val="20"/>
              </w:rPr>
              <w:t xml:space="preserve">Training </w:t>
            </w:r>
            <w:r w:rsidRPr="00950268">
              <w:rPr>
                <w:sz w:val="20"/>
                <w:szCs w:val="20"/>
              </w:rPr>
              <w:t xml:space="preserve">and </w:t>
            </w:r>
            <w:r w:rsidR="00EF307E" w:rsidRPr="00950268">
              <w:rPr>
                <w:sz w:val="20"/>
                <w:szCs w:val="20"/>
              </w:rPr>
              <w:t>Assessment</w:t>
            </w:r>
          </w:p>
        </w:tc>
        <w:tc>
          <w:tcPr>
            <w:tcW w:w="1134" w:type="dxa"/>
            <w:shd w:val="clear" w:color="auto" w:fill="auto"/>
            <w:vAlign w:val="bottom"/>
          </w:tcPr>
          <w:p w14:paraId="2BF88D1F" w14:textId="77777777" w:rsidR="009B4045" w:rsidRPr="00950268" w:rsidRDefault="009B4045" w:rsidP="007406C2">
            <w:pPr>
              <w:pStyle w:val="Insidebox"/>
              <w:spacing w:before="40" w:after="40"/>
              <w:jc w:val="center"/>
              <w:rPr>
                <w:sz w:val="20"/>
                <w:szCs w:val="20"/>
              </w:rPr>
            </w:pPr>
            <w:r w:rsidRPr="00950268">
              <w:rPr>
                <w:sz w:val="20"/>
                <w:szCs w:val="20"/>
              </w:rPr>
              <w:t>14</w:t>
            </w:r>
          </w:p>
        </w:tc>
        <w:tc>
          <w:tcPr>
            <w:tcW w:w="1985" w:type="dxa"/>
            <w:shd w:val="clear" w:color="auto" w:fill="auto"/>
            <w:noWrap/>
            <w:vAlign w:val="bottom"/>
          </w:tcPr>
          <w:p w14:paraId="794A9DF3" w14:textId="77777777" w:rsidR="009B4045" w:rsidRPr="00950268" w:rsidRDefault="009B4045" w:rsidP="007406C2">
            <w:pPr>
              <w:pStyle w:val="Insidebox"/>
              <w:spacing w:before="40" w:after="40"/>
              <w:jc w:val="center"/>
              <w:rPr>
                <w:sz w:val="20"/>
                <w:szCs w:val="20"/>
              </w:rPr>
            </w:pPr>
            <w:r w:rsidRPr="00950268">
              <w:rPr>
                <w:sz w:val="20"/>
                <w:szCs w:val="20"/>
              </w:rPr>
              <w:t>26</w:t>
            </w:r>
          </w:p>
        </w:tc>
      </w:tr>
      <w:tr w:rsidR="007406C2" w:rsidRPr="0001533E" w14:paraId="124A96EF" w14:textId="77777777" w:rsidTr="007406C2">
        <w:trPr>
          <w:gridAfter w:val="1"/>
          <w:wAfter w:w="141" w:type="dxa"/>
          <w:trHeight w:val="288"/>
        </w:trPr>
        <w:tc>
          <w:tcPr>
            <w:tcW w:w="4111" w:type="dxa"/>
            <w:shd w:val="clear" w:color="auto" w:fill="auto"/>
            <w:vAlign w:val="center"/>
          </w:tcPr>
          <w:p w14:paraId="42D1EF86" w14:textId="77777777" w:rsidR="009B4045" w:rsidRPr="00950268" w:rsidRDefault="009B4045" w:rsidP="00EF307E">
            <w:pPr>
              <w:pStyle w:val="Insidebox"/>
              <w:spacing w:before="40" w:after="40"/>
              <w:rPr>
                <w:sz w:val="20"/>
                <w:szCs w:val="20"/>
              </w:rPr>
            </w:pPr>
            <w:r w:rsidRPr="00950268">
              <w:rPr>
                <w:sz w:val="20"/>
                <w:szCs w:val="20"/>
              </w:rPr>
              <w:t xml:space="preserve">Certificate III </w:t>
            </w:r>
            <w:r w:rsidR="00EF307E" w:rsidRPr="00950268">
              <w:rPr>
                <w:sz w:val="20"/>
                <w:szCs w:val="20"/>
              </w:rPr>
              <w:t xml:space="preserve">in Carpentry </w:t>
            </w:r>
          </w:p>
        </w:tc>
        <w:tc>
          <w:tcPr>
            <w:tcW w:w="1134" w:type="dxa"/>
            <w:shd w:val="clear" w:color="auto" w:fill="auto"/>
            <w:vAlign w:val="bottom"/>
          </w:tcPr>
          <w:p w14:paraId="0ADEAD37" w14:textId="77777777" w:rsidR="009B4045" w:rsidRPr="00950268" w:rsidRDefault="009B4045" w:rsidP="007406C2">
            <w:pPr>
              <w:pStyle w:val="Insidebox"/>
              <w:spacing w:before="40" w:after="40"/>
              <w:jc w:val="center"/>
              <w:rPr>
                <w:sz w:val="20"/>
                <w:szCs w:val="20"/>
              </w:rPr>
            </w:pPr>
            <w:r w:rsidRPr="00950268">
              <w:rPr>
                <w:sz w:val="20"/>
                <w:szCs w:val="20"/>
              </w:rPr>
              <w:t>11</w:t>
            </w:r>
          </w:p>
        </w:tc>
        <w:tc>
          <w:tcPr>
            <w:tcW w:w="1985" w:type="dxa"/>
            <w:shd w:val="clear" w:color="auto" w:fill="auto"/>
            <w:noWrap/>
            <w:vAlign w:val="bottom"/>
          </w:tcPr>
          <w:p w14:paraId="1BA7E00A" w14:textId="77777777" w:rsidR="009B4045" w:rsidRPr="00950268" w:rsidRDefault="009B4045" w:rsidP="007406C2">
            <w:pPr>
              <w:pStyle w:val="Insidebox"/>
              <w:spacing w:before="40" w:after="40"/>
              <w:jc w:val="center"/>
              <w:rPr>
                <w:sz w:val="20"/>
                <w:szCs w:val="20"/>
              </w:rPr>
            </w:pPr>
            <w:r w:rsidRPr="00950268">
              <w:rPr>
                <w:sz w:val="20"/>
                <w:szCs w:val="20"/>
              </w:rPr>
              <w:t>19</w:t>
            </w:r>
          </w:p>
        </w:tc>
      </w:tr>
      <w:tr w:rsidR="007406C2" w:rsidRPr="0001533E" w14:paraId="73F19460" w14:textId="77777777" w:rsidTr="007406C2">
        <w:trPr>
          <w:gridAfter w:val="1"/>
          <w:wAfter w:w="141" w:type="dxa"/>
          <w:trHeight w:val="339"/>
        </w:trPr>
        <w:tc>
          <w:tcPr>
            <w:tcW w:w="4111" w:type="dxa"/>
            <w:shd w:val="clear" w:color="auto" w:fill="auto"/>
            <w:vAlign w:val="center"/>
          </w:tcPr>
          <w:p w14:paraId="528D043F" w14:textId="77777777" w:rsidR="009B4045" w:rsidRPr="00950268" w:rsidRDefault="009B4045" w:rsidP="00EF307E">
            <w:pPr>
              <w:pStyle w:val="Insidebox"/>
              <w:spacing w:before="40" w:after="40"/>
              <w:rPr>
                <w:sz w:val="20"/>
                <w:szCs w:val="20"/>
              </w:rPr>
            </w:pPr>
            <w:r w:rsidRPr="00950268">
              <w:rPr>
                <w:sz w:val="20"/>
                <w:szCs w:val="20"/>
              </w:rPr>
              <w:t xml:space="preserve">Certificate IV in </w:t>
            </w:r>
            <w:r w:rsidR="00EF307E" w:rsidRPr="00950268">
              <w:rPr>
                <w:sz w:val="20"/>
                <w:szCs w:val="20"/>
              </w:rPr>
              <w:t xml:space="preserve">Hospitality </w:t>
            </w:r>
            <w:r w:rsidRPr="00950268">
              <w:rPr>
                <w:sz w:val="20"/>
                <w:szCs w:val="20"/>
              </w:rPr>
              <w:t>(</w:t>
            </w:r>
            <w:r w:rsidR="00EF307E" w:rsidRPr="00950268">
              <w:rPr>
                <w:sz w:val="20"/>
                <w:szCs w:val="20"/>
              </w:rPr>
              <w:t>Supervision</w:t>
            </w:r>
            <w:r w:rsidRPr="00950268">
              <w:rPr>
                <w:sz w:val="20"/>
                <w:szCs w:val="20"/>
              </w:rPr>
              <w:t>)</w:t>
            </w:r>
          </w:p>
        </w:tc>
        <w:tc>
          <w:tcPr>
            <w:tcW w:w="1134" w:type="dxa"/>
            <w:shd w:val="clear" w:color="auto" w:fill="auto"/>
            <w:vAlign w:val="bottom"/>
          </w:tcPr>
          <w:p w14:paraId="06E8D249" w14:textId="77777777" w:rsidR="009B4045" w:rsidRPr="00950268" w:rsidRDefault="009B4045" w:rsidP="007406C2">
            <w:pPr>
              <w:pStyle w:val="Insidebox"/>
              <w:spacing w:before="40" w:after="40"/>
              <w:jc w:val="center"/>
              <w:rPr>
                <w:sz w:val="20"/>
                <w:szCs w:val="20"/>
              </w:rPr>
            </w:pPr>
            <w:r w:rsidRPr="00950268">
              <w:rPr>
                <w:sz w:val="20"/>
                <w:szCs w:val="20"/>
              </w:rPr>
              <w:t>8</w:t>
            </w:r>
          </w:p>
        </w:tc>
        <w:tc>
          <w:tcPr>
            <w:tcW w:w="1985" w:type="dxa"/>
            <w:shd w:val="clear" w:color="auto" w:fill="auto"/>
            <w:noWrap/>
            <w:vAlign w:val="bottom"/>
          </w:tcPr>
          <w:p w14:paraId="2CD7F57D" w14:textId="77777777" w:rsidR="009B4045" w:rsidRPr="00950268" w:rsidRDefault="009B4045" w:rsidP="007406C2">
            <w:pPr>
              <w:pStyle w:val="Insidebox"/>
              <w:spacing w:before="40" w:after="40"/>
              <w:jc w:val="center"/>
              <w:rPr>
                <w:sz w:val="20"/>
                <w:szCs w:val="20"/>
              </w:rPr>
            </w:pPr>
            <w:r w:rsidRPr="00950268">
              <w:rPr>
                <w:sz w:val="20"/>
                <w:szCs w:val="20"/>
              </w:rPr>
              <w:t>19</w:t>
            </w:r>
          </w:p>
        </w:tc>
      </w:tr>
      <w:tr w:rsidR="007406C2" w:rsidRPr="0001533E" w14:paraId="2C951A9D" w14:textId="77777777" w:rsidTr="007406C2">
        <w:trPr>
          <w:gridAfter w:val="1"/>
          <w:wAfter w:w="141" w:type="dxa"/>
          <w:trHeight w:val="288"/>
        </w:trPr>
        <w:tc>
          <w:tcPr>
            <w:tcW w:w="4111" w:type="dxa"/>
            <w:tcBorders>
              <w:bottom w:val="single" w:sz="4" w:space="0" w:color="A8D08D" w:themeColor="accent6" w:themeTint="99"/>
            </w:tcBorders>
            <w:shd w:val="clear" w:color="auto" w:fill="auto"/>
            <w:vAlign w:val="bottom"/>
          </w:tcPr>
          <w:p w14:paraId="15D60A28" w14:textId="77777777" w:rsidR="009B4045" w:rsidRPr="00950268" w:rsidRDefault="009B4045" w:rsidP="00A55FAC">
            <w:pPr>
              <w:pStyle w:val="Insidebox"/>
              <w:spacing w:before="40" w:after="40"/>
              <w:rPr>
                <w:sz w:val="20"/>
                <w:szCs w:val="20"/>
              </w:rPr>
            </w:pPr>
            <w:r w:rsidRPr="00950268">
              <w:rPr>
                <w:sz w:val="20"/>
                <w:szCs w:val="20"/>
              </w:rPr>
              <w:t>Cert</w:t>
            </w:r>
            <w:r w:rsidR="00EF307E" w:rsidRPr="00950268">
              <w:rPr>
                <w:sz w:val="20"/>
                <w:szCs w:val="20"/>
              </w:rPr>
              <w:t>ificate</w:t>
            </w:r>
            <w:r w:rsidRPr="00950268">
              <w:rPr>
                <w:sz w:val="20"/>
                <w:szCs w:val="20"/>
              </w:rPr>
              <w:t xml:space="preserve"> III </w:t>
            </w:r>
            <w:r w:rsidR="00A55FAC" w:rsidRPr="00950268">
              <w:rPr>
                <w:sz w:val="20"/>
                <w:szCs w:val="20"/>
              </w:rPr>
              <w:t>in Painting</w:t>
            </w:r>
            <w:r w:rsidRPr="00950268">
              <w:rPr>
                <w:sz w:val="20"/>
                <w:szCs w:val="20"/>
              </w:rPr>
              <w:t>/</w:t>
            </w:r>
            <w:r w:rsidR="00A55FAC" w:rsidRPr="00950268">
              <w:rPr>
                <w:sz w:val="20"/>
                <w:szCs w:val="20"/>
              </w:rPr>
              <w:t>Decorating</w:t>
            </w:r>
          </w:p>
        </w:tc>
        <w:tc>
          <w:tcPr>
            <w:tcW w:w="1134" w:type="dxa"/>
            <w:tcBorders>
              <w:bottom w:val="single" w:sz="4" w:space="0" w:color="A8D08D" w:themeColor="accent6" w:themeTint="99"/>
            </w:tcBorders>
            <w:shd w:val="clear" w:color="auto" w:fill="auto"/>
            <w:noWrap/>
            <w:vAlign w:val="bottom"/>
          </w:tcPr>
          <w:p w14:paraId="4F506DEE" w14:textId="77777777" w:rsidR="009B4045" w:rsidRPr="00950268" w:rsidRDefault="009B4045" w:rsidP="007406C2">
            <w:pPr>
              <w:pStyle w:val="Insidebox"/>
              <w:spacing w:before="40" w:after="40"/>
              <w:jc w:val="center"/>
              <w:rPr>
                <w:sz w:val="20"/>
                <w:szCs w:val="20"/>
              </w:rPr>
            </w:pPr>
            <w:r w:rsidRPr="00950268">
              <w:rPr>
                <w:sz w:val="20"/>
                <w:szCs w:val="20"/>
              </w:rPr>
              <w:t>7</w:t>
            </w:r>
          </w:p>
        </w:tc>
        <w:tc>
          <w:tcPr>
            <w:tcW w:w="1985" w:type="dxa"/>
            <w:tcBorders>
              <w:bottom w:val="single" w:sz="4" w:space="0" w:color="A8D08D" w:themeColor="accent6" w:themeTint="99"/>
            </w:tcBorders>
            <w:shd w:val="clear" w:color="auto" w:fill="auto"/>
            <w:noWrap/>
            <w:vAlign w:val="bottom"/>
          </w:tcPr>
          <w:p w14:paraId="5B9635A6" w14:textId="77777777" w:rsidR="009B4045" w:rsidRPr="00950268" w:rsidRDefault="009B4045" w:rsidP="007406C2">
            <w:pPr>
              <w:pStyle w:val="Insidebox"/>
              <w:spacing w:before="40" w:after="40"/>
              <w:jc w:val="center"/>
              <w:rPr>
                <w:sz w:val="20"/>
                <w:szCs w:val="20"/>
              </w:rPr>
            </w:pPr>
            <w:r w:rsidRPr="00950268">
              <w:rPr>
                <w:sz w:val="20"/>
                <w:szCs w:val="20"/>
              </w:rPr>
              <w:t>16</w:t>
            </w:r>
          </w:p>
        </w:tc>
      </w:tr>
      <w:tr w:rsidR="009B4045" w:rsidRPr="0001533E" w14:paraId="5958C800" w14:textId="77777777" w:rsidTr="007406C2">
        <w:trPr>
          <w:trHeight w:val="288"/>
        </w:trPr>
        <w:tc>
          <w:tcPr>
            <w:tcW w:w="7371" w:type="dxa"/>
            <w:gridSpan w:val="4"/>
            <w:shd w:val="clear" w:color="auto" w:fill="auto"/>
            <w:vAlign w:val="bottom"/>
          </w:tcPr>
          <w:p w14:paraId="6F2AD5CB" w14:textId="010D9B9A" w:rsidR="009B4045" w:rsidRPr="0001533E" w:rsidRDefault="007406C2" w:rsidP="00A55FAC">
            <w:pPr>
              <w:pStyle w:val="Insidebox"/>
              <w:spacing w:before="40" w:after="40"/>
              <w:rPr>
                <w:sz w:val="18"/>
              </w:rPr>
            </w:pPr>
            <w:r>
              <w:rPr>
                <w:sz w:val="16"/>
              </w:rPr>
              <w:br/>
            </w:r>
            <w:r w:rsidR="00546F37" w:rsidRPr="00546F37">
              <w:rPr>
                <w:sz w:val="16"/>
              </w:rPr>
              <w:t xml:space="preserve">Source: </w:t>
            </w:r>
            <w:r w:rsidR="004D0563">
              <w:rPr>
                <w:sz w:val="16"/>
              </w:rPr>
              <w:t xml:space="preserve">NCVER </w:t>
            </w:r>
            <w:r w:rsidR="00546F37" w:rsidRPr="00546F37">
              <w:rPr>
                <w:sz w:val="16"/>
              </w:rPr>
              <w:t>APTC Graduates Down the Track survey, December 2013</w:t>
            </w:r>
            <w:r w:rsidR="00B52BED" w:rsidRPr="00B52BED">
              <w:rPr>
                <w:rFonts w:eastAsia="Times New Roman" w:cs="Times New Roman"/>
                <w:kern w:val="0"/>
                <w:sz w:val="16"/>
                <w:szCs w:val="24"/>
                <w:lang w:val="en-AU" w:eastAsia="en-US"/>
              </w:rPr>
              <w:t xml:space="preserve">, response rate by qualification for the tracer survey based on total number of graduates by qualification in Stage </w:t>
            </w:r>
            <w:r w:rsidR="00B52BED">
              <w:rPr>
                <w:rFonts w:eastAsia="Times New Roman" w:cs="Times New Roman"/>
                <w:kern w:val="0"/>
                <w:sz w:val="16"/>
                <w:szCs w:val="24"/>
                <w:lang w:val="en-AU" w:eastAsia="en-US"/>
              </w:rPr>
              <w:t>I.</w:t>
            </w:r>
          </w:p>
        </w:tc>
      </w:tr>
    </w:tbl>
    <w:p w14:paraId="3DFDA08F" w14:textId="77777777" w:rsidR="009B4045" w:rsidRDefault="009B4045" w:rsidP="009B4045">
      <w:pPr>
        <w:pStyle w:val="BodyTextIndent"/>
      </w:pPr>
    </w:p>
    <w:p w14:paraId="460571C1" w14:textId="197E48BC" w:rsidR="009B4045" w:rsidRDefault="009B4045" w:rsidP="0001533E">
      <w:pPr>
        <w:pStyle w:val="BodyTextIndent"/>
        <w:ind w:left="0"/>
      </w:pPr>
      <w:r>
        <w:t xml:space="preserve">Being in employment does not say anything about whether that job provides an adequate income. </w:t>
      </w:r>
      <w:r w:rsidRPr="005E4B04">
        <w:t xml:space="preserve">Most </w:t>
      </w:r>
      <w:r>
        <w:t xml:space="preserve">Stage </w:t>
      </w:r>
      <w:r w:rsidR="00A60DF4">
        <w:t>I</w:t>
      </w:r>
      <w:r w:rsidR="00833217">
        <w:t xml:space="preserve"> </w:t>
      </w:r>
      <w:r>
        <w:t xml:space="preserve">graduates in employment </w:t>
      </w:r>
      <w:r w:rsidRPr="005E4B04">
        <w:t xml:space="preserve">(84 per cent) agreed with the statement that ‘I am able to support myself and my family well’. </w:t>
      </w:r>
      <w:r>
        <w:t>One-in-</w:t>
      </w:r>
      <w:r w:rsidR="00980BED">
        <w:t>ten</w:t>
      </w:r>
      <w:r w:rsidR="00A144A7">
        <w:t xml:space="preserve"> </w:t>
      </w:r>
      <w:r>
        <w:t xml:space="preserve">Stage </w:t>
      </w:r>
      <w:r w:rsidR="00A60DF4">
        <w:t>I</w:t>
      </w:r>
      <w:r w:rsidR="00833217">
        <w:t xml:space="preserve"> </w:t>
      </w:r>
      <w:r>
        <w:t>APTC graduates (10 per cent) could not identify a benefit or stated a negative outcome since completing APTC training. Some 14 per cent agreed with the statement that ‘</w:t>
      </w:r>
      <w:r w:rsidR="006921A5">
        <w:t>I </w:t>
      </w:r>
      <w:r>
        <w:t xml:space="preserve">find </w:t>
      </w:r>
      <w:r w:rsidR="00146770">
        <w:t xml:space="preserve">it </w:t>
      </w:r>
      <w:r>
        <w:t xml:space="preserve">difficult to earn enough to support myself and my family’ </w:t>
      </w:r>
      <w:r w:rsidR="006921A5">
        <w:t xml:space="preserve">while </w:t>
      </w:r>
      <w:r>
        <w:t xml:space="preserve">only </w:t>
      </w:r>
      <w:r w:rsidR="006921A5">
        <w:t xml:space="preserve">one </w:t>
      </w:r>
      <w:r>
        <w:t>per cent agreed that ‘I cannot earn anywhere near enough to support myself and my family’. However, for those still in the same job, as many as one-in-five APTC graduates (</w:t>
      </w:r>
      <w:r w:rsidR="00F77844">
        <w:t>20 </w:t>
      </w:r>
      <w:r>
        <w:t xml:space="preserve">per cent) found it difficult or very difficult to ‘earn enough </w:t>
      </w:r>
      <w:r w:rsidR="00146770">
        <w:t xml:space="preserve">to </w:t>
      </w:r>
      <w:r>
        <w:t>support myself and my family well’. This result compared with one-in-</w:t>
      </w:r>
      <w:r w:rsidR="00980BED">
        <w:t>ten</w:t>
      </w:r>
      <w:r w:rsidR="00F77844">
        <w:t xml:space="preserve"> </w:t>
      </w:r>
      <w:r>
        <w:t>of APTC graduates (</w:t>
      </w:r>
      <w:r w:rsidR="00CC0997">
        <w:t>12 </w:t>
      </w:r>
      <w:r>
        <w:t xml:space="preserve">per cent) in a new job. </w:t>
      </w:r>
    </w:p>
    <w:p w14:paraId="59E9D0DA" w14:textId="5D59F814" w:rsidR="009B4045" w:rsidRDefault="009B4045" w:rsidP="0001533E">
      <w:pPr>
        <w:pStyle w:val="BodyTextIndent"/>
        <w:ind w:left="0"/>
      </w:pPr>
      <w:r>
        <w:t>The A</w:t>
      </w:r>
      <w:r w:rsidRPr="00401DB9">
        <w:t>PTC Past Student Tracer Survey</w:t>
      </w:r>
      <w:r>
        <w:t>s</w:t>
      </w:r>
      <w:r w:rsidRPr="00401DB9">
        <w:t xml:space="preserve"> July 2011</w:t>
      </w:r>
      <w:r w:rsidR="000A1271">
        <w:t>–</w:t>
      </w:r>
      <w:r w:rsidRPr="00401DB9">
        <w:t>May 2014</w:t>
      </w:r>
      <w:r>
        <w:t xml:space="preserve"> did not ask whether graduates were still in the same job or not. However, it is clear from data on a student’s prior employment status, available separately from the EMIS, that this differed widely between qualifications. Table </w:t>
      </w:r>
      <w:r w:rsidR="001623F8">
        <w:t>8.</w:t>
      </w:r>
      <w:r>
        <w:t>2 below reports the proportions of graduates not in employment and in other than full-time work at the time the surveys were conducted</w:t>
      </w:r>
      <w:r w:rsidR="00AE3DCF">
        <w:t>,</w:t>
      </w:r>
      <w:r>
        <w:t xml:space="preserve"> and the combined proportion not in full-time work or any work at all. The table also reports the proportion of enrolled students by qualification who were employed before starting their APTC course. This evidence of employment outcomes by qualification is indicative. It has not been possible to link an individual’s prior employment status with their post-graduation employment status. The last column reports the response rate </w:t>
      </w:r>
      <w:r w:rsidR="00146770" w:rsidRPr="00146770">
        <w:t>for the tracer survey based on the total number</w:t>
      </w:r>
      <w:r w:rsidR="00146770">
        <w:t xml:space="preserve"> </w:t>
      </w:r>
      <w:r>
        <w:t>of graduates</w:t>
      </w:r>
      <w:r w:rsidR="00BA12C8">
        <w:t xml:space="preserve"> in each listed </w:t>
      </w:r>
      <w:r>
        <w:t xml:space="preserve">qualification. </w:t>
      </w:r>
    </w:p>
    <w:p w14:paraId="5091F5C3" w14:textId="77777777" w:rsidR="00C92299" w:rsidRDefault="00C92299">
      <w:pPr>
        <w:spacing w:after="0"/>
        <w:rPr>
          <w:rFonts w:cs="Arial"/>
          <w:b/>
          <w:color w:val="76923C"/>
          <w:szCs w:val="22"/>
        </w:rPr>
      </w:pPr>
      <w:bookmarkStart w:id="844" w:name="_Toc274146490"/>
      <w:bookmarkStart w:id="845" w:name="_Toc274915949"/>
      <w:r>
        <w:br w:type="page"/>
      </w:r>
    </w:p>
    <w:p w14:paraId="79FE2FEE" w14:textId="5C91630E" w:rsidR="009B4045" w:rsidRPr="0001533E" w:rsidRDefault="009B4045" w:rsidP="0001533E">
      <w:pPr>
        <w:pStyle w:val="Tableheading"/>
        <w:rPr>
          <w:rFonts w:ascii="Arial Bold" w:hAnsi="Arial Bold"/>
        </w:rPr>
      </w:pPr>
      <w:bookmarkStart w:id="846" w:name="_Toc278446928"/>
      <w:r>
        <w:t xml:space="preserve">Table </w:t>
      </w:r>
      <w:r w:rsidR="00AE3DCF">
        <w:t>8.</w:t>
      </w:r>
      <w:r>
        <w:t xml:space="preserve">2: Proportion of Stage </w:t>
      </w:r>
      <w:r w:rsidR="00D52C26">
        <w:t>II</w:t>
      </w:r>
      <w:r w:rsidR="00093304">
        <w:t xml:space="preserve"> </w:t>
      </w:r>
      <w:r>
        <w:t xml:space="preserve">APTC past students </w:t>
      </w:r>
      <w:r w:rsidR="000D217B">
        <w:t xml:space="preserve">by qualification </w:t>
      </w:r>
      <w:r>
        <w:t xml:space="preserve">now not in employment and in other than full-time work one year after graduation, proportion of enrolled students by qualification employed </w:t>
      </w:r>
      <w:r w:rsidR="000D217B">
        <w:t xml:space="preserve">before </w:t>
      </w:r>
      <w:r>
        <w:t xml:space="preserve">starting APTC, </w:t>
      </w:r>
      <w:r w:rsidRPr="00401DB9">
        <w:t>July 2011</w:t>
      </w:r>
      <w:r w:rsidR="00093304">
        <w:t>–</w:t>
      </w:r>
      <w:r w:rsidRPr="00401DB9">
        <w:t>May 2014</w:t>
      </w:r>
      <w:r w:rsidR="00093304">
        <w:t xml:space="preserve"> (%)</w:t>
      </w:r>
      <w:bookmarkEnd w:id="844"/>
      <w:bookmarkEnd w:id="845"/>
      <w:bookmarkEnd w:id="846"/>
    </w:p>
    <w:tbl>
      <w:tblPr>
        <w:tblW w:w="6777" w:type="dxa"/>
        <w:tblInd w:w="108" w:type="dxa"/>
        <w:tblLayout w:type="fixed"/>
        <w:tblLook w:val="04A0" w:firstRow="1" w:lastRow="0" w:firstColumn="1" w:lastColumn="0" w:noHBand="0" w:noVBand="1"/>
      </w:tblPr>
      <w:tblGrid>
        <w:gridCol w:w="1364"/>
        <w:gridCol w:w="1188"/>
        <w:gridCol w:w="850"/>
        <w:gridCol w:w="947"/>
        <w:gridCol w:w="1077"/>
        <w:gridCol w:w="1351"/>
      </w:tblGrid>
      <w:tr w:rsidR="007406C2" w:rsidRPr="0001533E" w14:paraId="45277072" w14:textId="77777777" w:rsidTr="007406C2">
        <w:trPr>
          <w:trHeight w:val="828"/>
        </w:trPr>
        <w:tc>
          <w:tcPr>
            <w:tcW w:w="1364" w:type="dxa"/>
            <w:shd w:val="clear" w:color="000000" w:fill="C5E0B3" w:themeFill="accent6" w:themeFillTint="66"/>
            <w:vAlign w:val="center"/>
          </w:tcPr>
          <w:p w14:paraId="2781BD84" w14:textId="77777777" w:rsidR="009B4045" w:rsidRPr="0001533E" w:rsidRDefault="009B4045" w:rsidP="0001533E">
            <w:pPr>
              <w:spacing w:before="40" w:after="40"/>
              <w:jc w:val="center"/>
              <w:rPr>
                <w:rFonts w:cs="Arial"/>
                <w:b/>
                <w:bCs/>
                <w:color w:val="000000"/>
                <w:sz w:val="18"/>
                <w:szCs w:val="20"/>
                <w:lang w:eastAsia="en-AU"/>
              </w:rPr>
            </w:pPr>
            <w:r w:rsidRPr="0001533E">
              <w:rPr>
                <w:rFonts w:cs="Arial"/>
                <w:b/>
                <w:bCs/>
                <w:color w:val="000000"/>
                <w:sz w:val="18"/>
                <w:szCs w:val="20"/>
                <w:lang w:eastAsia="en-AU"/>
              </w:rPr>
              <w:t>APTC qualification</w:t>
            </w:r>
          </w:p>
        </w:tc>
        <w:tc>
          <w:tcPr>
            <w:tcW w:w="1188" w:type="dxa"/>
            <w:shd w:val="clear" w:color="000000" w:fill="C5E0B3" w:themeFill="accent6" w:themeFillTint="66"/>
            <w:vAlign w:val="center"/>
          </w:tcPr>
          <w:p w14:paraId="375034C4" w14:textId="77777777" w:rsidR="009B4045" w:rsidRPr="0001533E" w:rsidRDefault="009B4045" w:rsidP="007406C2">
            <w:pPr>
              <w:spacing w:before="40" w:after="40"/>
              <w:jc w:val="center"/>
              <w:rPr>
                <w:rFonts w:cs="Arial"/>
                <w:b/>
                <w:bCs/>
                <w:color w:val="000000"/>
                <w:sz w:val="18"/>
                <w:szCs w:val="16"/>
                <w:lang w:eastAsia="en-AU"/>
              </w:rPr>
            </w:pPr>
            <w:r w:rsidRPr="0001533E">
              <w:rPr>
                <w:rFonts w:cs="Arial"/>
                <w:b/>
                <w:bCs/>
                <w:color w:val="000000"/>
                <w:sz w:val="18"/>
                <w:szCs w:val="16"/>
                <w:lang w:eastAsia="en-AU"/>
              </w:rPr>
              <w:t>Not employed %</w:t>
            </w:r>
          </w:p>
        </w:tc>
        <w:tc>
          <w:tcPr>
            <w:tcW w:w="850" w:type="dxa"/>
            <w:shd w:val="clear" w:color="000000" w:fill="C5E0B3" w:themeFill="accent6" w:themeFillTint="66"/>
            <w:vAlign w:val="center"/>
          </w:tcPr>
          <w:p w14:paraId="1B050571" w14:textId="77777777" w:rsidR="009B4045" w:rsidRPr="0001533E" w:rsidRDefault="009B4045" w:rsidP="007406C2">
            <w:pPr>
              <w:spacing w:before="40" w:after="40"/>
              <w:jc w:val="center"/>
              <w:rPr>
                <w:rFonts w:cs="Arial"/>
                <w:b/>
                <w:bCs/>
                <w:color w:val="000000"/>
                <w:sz w:val="18"/>
                <w:szCs w:val="16"/>
                <w:lang w:eastAsia="en-AU"/>
              </w:rPr>
            </w:pPr>
            <w:r w:rsidRPr="0001533E">
              <w:rPr>
                <w:rFonts w:cs="Arial"/>
                <w:b/>
                <w:bCs/>
                <w:color w:val="000000"/>
                <w:sz w:val="18"/>
                <w:szCs w:val="16"/>
                <w:lang w:eastAsia="en-AU"/>
              </w:rPr>
              <w:t>Other than FT work %</w:t>
            </w:r>
          </w:p>
        </w:tc>
        <w:tc>
          <w:tcPr>
            <w:tcW w:w="947" w:type="dxa"/>
            <w:shd w:val="clear" w:color="000000" w:fill="C5E0B3" w:themeFill="accent6" w:themeFillTint="66"/>
            <w:vAlign w:val="center"/>
          </w:tcPr>
          <w:p w14:paraId="2AAE8968" w14:textId="77777777" w:rsidR="009B4045" w:rsidRPr="0001533E" w:rsidRDefault="009B4045" w:rsidP="007406C2">
            <w:pPr>
              <w:spacing w:before="40" w:after="40"/>
              <w:jc w:val="center"/>
              <w:rPr>
                <w:rFonts w:cs="Arial"/>
                <w:b/>
                <w:bCs/>
                <w:color w:val="000000"/>
                <w:sz w:val="18"/>
                <w:szCs w:val="16"/>
                <w:lang w:eastAsia="en-AU"/>
              </w:rPr>
            </w:pPr>
            <w:r w:rsidRPr="0001533E">
              <w:rPr>
                <w:rFonts w:cs="Arial"/>
                <w:b/>
                <w:bCs/>
                <w:color w:val="000000"/>
                <w:sz w:val="18"/>
                <w:szCs w:val="16"/>
                <w:lang w:eastAsia="en-AU"/>
              </w:rPr>
              <w:t>No work or less than FT work</w:t>
            </w:r>
          </w:p>
        </w:tc>
        <w:tc>
          <w:tcPr>
            <w:tcW w:w="1077" w:type="dxa"/>
            <w:shd w:val="clear" w:color="000000" w:fill="C5E0B3" w:themeFill="accent6" w:themeFillTint="66"/>
            <w:vAlign w:val="center"/>
          </w:tcPr>
          <w:p w14:paraId="04DA2DF5" w14:textId="77777777" w:rsidR="009B4045" w:rsidRPr="0001533E" w:rsidRDefault="009B4045" w:rsidP="007406C2">
            <w:pPr>
              <w:spacing w:before="40" w:after="40"/>
              <w:jc w:val="center"/>
              <w:rPr>
                <w:rFonts w:cs="Arial"/>
                <w:b/>
                <w:bCs/>
                <w:color w:val="000000"/>
                <w:sz w:val="18"/>
                <w:szCs w:val="16"/>
                <w:lang w:eastAsia="en-AU"/>
              </w:rPr>
            </w:pPr>
            <w:r w:rsidRPr="0001533E">
              <w:rPr>
                <w:rFonts w:cs="Arial"/>
                <w:b/>
                <w:bCs/>
                <w:color w:val="000000"/>
                <w:sz w:val="18"/>
                <w:szCs w:val="16"/>
                <w:lang w:eastAsia="en-AU"/>
              </w:rPr>
              <w:t>Employed prior to APTC %</w:t>
            </w:r>
          </w:p>
        </w:tc>
        <w:tc>
          <w:tcPr>
            <w:tcW w:w="1351" w:type="dxa"/>
            <w:shd w:val="clear" w:color="000000" w:fill="C5E0B3" w:themeFill="accent6" w:themeFillTint="66"/>
            <w:vAlign w:val="center"/>
          </w:tcPr>
          <w:p w14:paraId="4121B4F2" w14:textId="4803BE98" w:rsidR="009B4045" w:rsidRPr="0001533E" w:rsidRDefault="000D217B" w:rsidP="007406C2">
            <w:pPr>
              <w:spacing w:before="40" w:after="40"/>
              <w:jc w:val="center"/>
              <w:rPr>
                <w:rFonts w:cs="Arial"/>
                <w:b/>
                <w:bCs/>
                <w:color w:val="000000"/>
                <w:sz w:val="18"/>
                <w:szCs w:val="16"/>
                <w:lang w:eastAsia="en-AU"/>
              </w:rPr>
            </w:pPr>
            <w:r w:rsidRPr="000D217B">
              <w:rPr>
                <w:rFonts w:cs="Arial"/>
                <w:b/>
                <w:bCs/>
                <w:color w:val="000000"/>
                <w:sz w:val="18"/>
                <w:szCs w:val="16"/>
                <w:lang w:eastAsia="en-AU"/>
              </w:rPr>
              <w:t>Response rate for all graduates in  qualification</w:t>
            </w:r>
            <w:r w:rsidR="00D11CCE">
              <w:rPr>
                <w:rFonts w:cs="Arial"/>
                <w:b/>
                <w:bCs/>
                <w:color w:val="000000"/>
                <w:sz w:val="18"/>
                <w:szCs w:val="16"/>
                <w:lang w:eastAsia="en-AU"/>
              </w:rPr>
              <w:t xml:space="preserve"> %</w:t>
            </w:r>
          </w:p>
        </w:tc>
      </w:tr>
      <w:tr w:rsidR="007406C2" w:rsidRPr="0023484A" w14:paraId="45935800" w14:textId="77777777" w:rsidTr="007406C2">
        <w:trPr>
          <w:trHeight w:val="288"/>
        </w:trPr>
        <w:tc>
          <w:tcPr>
            <w:tcW w:w="1364" w:type="dxa"/>
            <w:shd w:val="clear" w:color="auto" w:fill="auto"/>
            <w:vAlign w:val="center"/>
          </w:tcPr>
          <w:p w14:paraId="151198AA" w14:textId="77777777" w:rsidR="009B4045" w:rsidRPr="0023484A" w:rsidRDefault="009B4045" w:rsidP="0001533E">
            <w:pPr>
              <w:spacing w:before="40" w:after="40"/>
              <w:rPr>
                <w:rFonts w:cs="Arial"/>
                <w:color w:val="000000"/>
                <w:sz w:val="18"/>
                <w:szCs w:val="20"/>
                <w:lang w:eastAsia="en-AU"/>
              </w:rPr>
            </w:pPr>
            <w:r w:rsidRPr="0023484A">
              <w:rPr>
                <w:rFonts w:cs="Arial"/>
                <w:color w:val="000000"/>
                <w:sz w:val="18"/>
                <w:szCs w:val="20"/>
                <w:lang w:eastAsia="en-AU"/>
              </w:rPr>
              <w:t>Wall &amp; Floor Tiling</w:t>
            </w:r>
          </w:p>
        </w:tc>
        <w:tc>
          <w:tcPr>
            <w:tcW w:w="1188" w:type="dxa"/>
            <w:shd w:val="clear" w:color="auto" w:fill="auto"/>
            <w:vAlign w:val="center"/>
          </w:tcPr>
          <w:p w14:paraId="5F1A5DAA"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38</w:t>
            </w:r>
          </w:p>
        </w:tc>
        <w:tc>
          <w:tcPr>
            <w:tcW w:w="850" w:type="dxa"/>
            <w:shd w:val="clear" w:color="auto" w:fill="auto"/>
            <w:vAlign w:val="center"/>
          </w:tcPr>
          <w:p w14:paraId="11882D89"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25</w:t>
            </w:r>
          </w:p>
        </w:tc>
        <w:tc>
          <w:tcPr>
            <w:tcW w:w="947" w:type="dxa"/>
            <w:shd w:val="clear" w:color="auto" w:fill="auto"/>
            <w:vAlign w:val="center"/>
          </w:tcPr>
          <w:p w14:paraId="30478E07"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63</w:t>
            </w:r>
          </w:p>
        </w:tc>
        <w:tc>
          <w:tcPr>
            <w:tcW w:w="1077" w:type="dxa"/>
            <w:shd w:val="clear" w:color="auto" w:fill="auto"/>
            <w:vAlign w:val="center"/>
          </w:tcPr>
          <w:p w14:paraId="4420714B"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42</w:t>
            </w:r>
          </w:p>
        </w:tc>
        <w:tc>
          <w:tcPr>
            <w:tcW w:w="1351" w:type="dxa"/>
            <w:shd w:val="clear" w:color="auto" w:fill="auto"/>
            <w:vAlign w:val="center"/>
          </w:tcPr>
          <w:p w14:paraId="2BA7206A"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5</w:t>
            </w:r>
          </w:p>
        </w:tc>
      </w:tr>
      <w:tr w:rsidR="007406C2" w:rsidRPr="0023484A" w14:paraId="74790A3D" w14:textId="77777777" w:rsidTr="007406C2">
        <w:trPr>
          <w:trHeight w:val="288"/>
        </w:trPr>
        <w:tc>
          <w:tcPr>
            <w:tcW w:w="1364" w:type="dxa"/>
            <w:shd w:val="clear" w:color="auto" w:fill="auto"/>
            <w:vAlign w:val="center"/>
          </w:tcPr>
          <w:p w14:paraId="40A3DB81" w14:textId="77777777" w:rsidR="009B4045" w:rsidRPr="0023484A" w:rsidRDefault="009B4045" w:rsidP="0001533E">
            <w:pPr>
              <w:spacing w:before="40" w:after="40"/>
              <w:rPr>
                <w:rFonts w:cs="Arial"/>
                <w:color w:val="000000"/>
                <w:sz w:val="18"/>
                <w:szCs w:val="20"/>
                <w:lang w:eastAsia="en-AU"/>
              </w:rPr>
            </w:pPr>
            <w:r w:rsidRPr="0023484A">
              <w:rPr>
                <w:rFonts w:cs="Arial"/>
                <w:color w:val="000000"/>
                <w:sz w:val="18"/>
                <w:szCs w:val="20"/>
                <w:lang w:eastAsia="en-AU"/>
              </w:rPr>
              <w:t>Youth Work</w:t>
            </w:r>
          </w:p>
        </w:tc>
        <w:tc>
          <w:tcPr>
            <w:tcW w:w="1188" w:type="dxa"/>
            <w:shd w:val="clear" w:color="auto" w:fill="auto"/>
            <w:vAlign w:val="center"/>
          </w:tcPr>
          <w:p w14:paraId="6928C618"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27</w:t>
            </w:r>
          </w:p>
        </w:tc>
        <w:tc>
          <w:tcPr>
            <w:tcW w:w="850" w:type="dxa"/>
            <w:shd w:val="clear" w:color="auto" w:fill="auto"/>
            <w:vAlign w:val="center"/>
          </w:tcPr>
          <w:p w14:paraId="5C446594"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13</w:t>
            </w:r>
          </w:p>
        </w:tc>
        <w:tc>
          <w:tcPr>
            <w:tcW w:w="947" w:type="dxa"/>
            <w:shd w:val="clear" w:color="auto" w:fill="auto"/>
            <w:vAlign w:val="center"/>
          </w:tcPr>
          <w:p w14:paraId="46F9B6F5"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40</w:t>
            </w:r>
          </w:p>
        </w:tc>
        <w:tc>
          <w:tcPr>
            <w:tcW w:w="1077" w:type="dxa"/>
            <w:shd w:val="clear" w:color="auto" w:fill="auto"/>
            <w:vAlign w:val="center"/>
          </w:tcPr>
          <w:p w14:paraId="74ECA6D3"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60</w:t>
            </w:r>
          </w:p>
        </w:tc>
        <w:tc>
          <w:tcPr>
            <w:tcW w:w="1351" w:type="dxa"/>
            <w:shd w:val="clear" w:color="auto" w:fill="auto"/>
            <w:vAlign w:val="center"/>
          </w:tcPr>
          <w:p w14:paraId="35C8D3FB"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13</w:t>
            </w:r>
          </w:p>
        </w:tc>
      </w:tr>
      <w:tr w:rsidR="007406C2" w:rsidRPr="0023484A" w14:paraId="705E507D" w14:textId="77777777" w:rsidTr="007406C2">
        <w:tc>
          <w:tcPr>
            <w:tcW w:w="1364" w:type="dxa"/>
            <w:shd w:val="clear" w:color="auto" w:fill="auto"/>
            <w:vAlign w:val="center"/>
          </w:tcPr>
          <w:p w14:paraId="628ABFFE" w14:textId="77777777" w:rsidR="009B4045" w:rsidRPr="0023484A" w:rsidRDefault="009B4045" w:rsidP="0001533E">
            <w:pPr>
              <w:spacing w:before="40" w:after="40"/>
              <w:rPr>
                <w:rFonts w:cs="Arial"/>
                <w:color w:val="000000"/>
                <w:sz w:val="18"/>
                <w:szCs w:val="20"/>
                <w:lang w:eastAsia="en-AU"/>
              </w:rPr>
            </w:pPr>
            <w:r w:rsidRPr="0023484A">
              <w:rPr>
                <w:rFonts w:cs="Arial"/>
                <w:color w:val="000000"/>
                <w:sz w:val="18"/>
                <w:szCs w:val="20"/>
                <w:lang w:eastAsia="en-AU"/>
              </w:rPr>
              <w:t>Age</w:t>
            </w:r>
            <w:r w:rsidR="009C3C97" w:rsidRPr="0023484A">
              <w:rPr>
                <w:rFonts w:cs="Arial"/>
                <w:color w:val="000000"/>
                <w:sz w:val="18"/>
                <w:szCs w:val="20"/>
                <w:lang w:eastAsia="en-AU"/>
              </w:rPr>
              <w:t>d</w:t>
            </w:r>
            <w:r w:rsidRPr="0023484A">
              <w:rPr>
                <w:rFonts w:cs="Arial"/>
                <w:color w:val="000000"/>
                <w:sz w:val="18"/>
                <w:szCs w:val="20"/>
                <w:lang w:eastAsia="en-AU"/>
              </w:rPr>
              <w:t xml:space="preserve"> Care</w:t>
            </w:r>
          </w:p>
        </w:tc>
        <w:tc>
          <w:tcPr>
            <w:tcW w:w="1188" w:type="dxa"/>
            <w:shd w:val="clear" w:color="auto" w:fill="auto"/>
            <w:vAlign w:val="center"/>
          </w:tcPr>
          <w:p w14:paraId="7FF45A99"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25</w:t>
            </w:r>
          </w:p>
        </w:tc>
        <w:tc>
          <w:tcPr>
            <w:tcW w:w="850" w:type="dxa"/>
            <w:shd w:val="clear" w:color="auto" w:fill="auto"/>
            <w:vAlign w:val="center"/>
          </w:tcPr>
          <w:p w14:paraId="5C448BED"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25</w:t>
            </w:r>
          </w:p>
        </w:tc>
        <w:tc>
          <w:tcPr>
            <w:tcW w:w="947" w:type="dxa"/>
            <w:shd w:val="clear" w:color="auto" w:fill="auto"/>
            <w:vAlign w:val="center"/>
          </w:tcPr>
          <w:p w14:paraId="4CB8F61D"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50</w:t>
            </w:r>
          </w:p>
        </w:tc>
        <w:tc>
          <w:tcPr>
            <w:tcW w:w="1077" w:type="dxa"/>
            <w:shd w:val="clear" w:color="auto" w:fill="auto"/>
            <w:vAlign w:val="center"/>
          </w:tcPr>
          <w:p w14:paraId="6EC68967"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61</w:t>
            </w:r>
          </w:p>
        </w:tc>
        <w:tc>
          <w:tcPr>
            <w:tcW w:w="1351" w:type="dxa"/>
            <w:shd w:val="clear" w:color="auto" w:fill="auto"/>
            <w:vAlign w:val="center"/>
          </w:tcPr>
          <w:p w14:paraId="51923093"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11</w:t>
            </w:r>
          </w:p>
        </w:tc>
      </w:tr>
      <w:tr w:rsidR="007406C2" w:rsidRPr="0023484A" w14:paraId="2E4FE36A" w14:textId="77777777" w:rsidTr="007406C2">
        <w:trPr>
          <w:trHeight w:val="288"/>
        </w:trPr>
        <w:tc>
          <w:tcPr>
            <w:tcW w:w="1364" w:type="dxa"/>
            <w:shd w:val="clear" w:color="auto" w:fill="auto"/>
            <w:vAlign w:val="center"/>
          </w:tcPr>
          <w:p w14:paraId="6D42CA7C" w14:textId="77777777" w:rsidR="009B4045" w:rsidRPr="0023484A" w:rsidRDefault="009B4045" w:rsidP="0001533E">
            <w:pPr>
              <w:spacing w:before="40" w:after="40"/>
              <w:rPr>
                <w:rFonts w:cs="Arial"/>
                <w:color w:val="000000"/>
                <w:sz w:val="18"/>
                <w:szCs w:val="20"/>
                <w:lang w:eastAsia="en-AU"/>
              </w:rPr>
            </w:pPr>
            <w:r w:rsidRPr="0023484A">
              <w:rPr>
                <w:rFonts w:cs="Arial"/>
                <w:color w:val="000000"/>
                <w:sz w:val="18"/>
                <w:szCs w:val="20"/>
                <w:lang w:eastAsia="en-AU"/>
              </w:rPr>
              <w:t>Tourism</w:t>
            </w:r>
          </w:p>
        </w:tc>
        <w:tc>
          <w:tcPr>
            <w:tcW w:w="1188" w:type="dxa"/>
            <w:shd w:val="clear" w:color="auto" w:fill="auto"/>
            <w:vAlign w:val="center"/>
          </w:tcPr>
          <w:p w14:paraId="365EF9A6"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15</w:t>
            </w:r>
          </w:p>
        </w:tc>
        <w:tc>
          <w:tcPr>
            <w:tcW w:w="850" w:type="dxa"/>
            <w:shd w:val="clear" w:color="auto" w:fill="auto"/>
            <w:vAlign w:val="center"/>
          </w:tcPr>
          <w:p w14:paraId="749C1FDB"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4</w:t>
            </w:r>
          </w:p>
        </w:tc>
        <w:tc>
          <w:tcPr>
            <w:tcW w:w="947" w:type="dxa"/>
            <w:shd w:val="clear" w:color="auto" w:fill="auto"/>
            <w:vAlign w:val="center"/>
          </w:tcPr>
          <w:p w14:paraId="247F0A7F"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19</w:t>
            </w:r>
          </w:p>
        </w:tc>
        <w:tc>
          <w:tcPr>
            <w:tcW w:w="1077" w:type="dxa"/>
            <w:shd w:val="clear" w:color="auto" w:fill="auto"/>
            <w:vAlign w:val="center"/>
          </w:tcPr>
          <w:p w14:paraId="38C28061"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63</w:t>
            </w:r>
          </w:p>
        </w:tc>
        <w:tc>
          <w:tcPr>
            <w:tcW w:w="1351" w:type="dxa"/>
            <w:shd w:val="clear" w:color="auto" w:fill="auto"/>
            <w:vAlign w:val="center"/>
          </w:tcPr>
          <w:p w14:paraId="18C3E5B4"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37</w:t>
            </w:r>
          </w:p>
        </w:tc>
      </w:tr>
      <w:tr w:rsidR="007406C2" w:rsidRPr="0023484A" w14:paraId="7B7CDEFF" w14:textId="77777777" w:rsidTr="007406C2">
        <w:trPr>
          <w:trHeight w:val="288"/>
        </w:trPr>
        <w:tc>
          <w:tcPr>
            <w:tcW w:w="1364" w:type="dxa"/>
            <w:shd w:val="clear" w:color="auto" w:fill="auto"/>
            <w:vAlign w:val="center"/>
          </w:tcPr>
          <w:p w14:paraId="49D415C0" w14:textId="02170411" w:rsidR="009B4045" w:rsidRPr="0023484A" w:rsidRDefault="009B4045" w:rsidP="009C3C97">
            <w:pPr>
              <w:spacing w:before="40" w:after="40"/>
              <w:rPr>
                <w:rFonts w:cs="Arial"/>
                <w:color w:val="000000"/>
                <w:sz w:val="18"/>
                <w:szCs w:val="20"/>
                <w:lang w:eastAsia="en-AU"/>
              </w:rPr>
            </w:pPr>
            <w:r w:rsidRPr="0023484A">
              <w:rPr>
                <w:rFonts w:cs="Arial"/>
                <w:color w:val="000000"/>
                <w:sz w:val="18"/>
                <w:szCs w:val="20"/>
                <w:lang w:eastAsia="en-AU"/>
              </w:rPr>
              <w:t xml:space="preserve">Fabrication </w:t>
            </w:r>
            <w:r w:rsidR="009C3C97" w:rsidRPr="0023484A">
              <w:rPr>
                <w:rFonts w:cs="Arial"/>
                <w:color w:val="000000"/>
                <w:sz w:val="18"/>
                <w:szCs w:val="20"/>
                <w:lang w:eastAsia="en-AU"/>
              </w:rPr>
              <w:t>Welding</w:t>
            </w:r>
            <w:r w:rsidRPr="0023484A">
              <w:rPr>
                <w:rFonts w:cs="Arial"/>
                <w:color w:val="000000"/>
                <w:sz w:val="18"/>
                <w:szCs w:val="20"/>
                <w:lang w:eastAsia="en-AU"/>
              </w:rPr>
              <w:t>/</w:t>
            </w:r>
            <w:r w:rsidR="007406C2">
              <w:rPr>
                <w:rFonts w:cs="Arial"/>
                <w:color w:val="000000"/>
                <w:sz w:val="18"/>
                <w:szCs w:val="20"/>
                <w:lang w:eastAsia="en-AU"/>
              </w:rPr>
              <w:t xml:space="preserve"> </w:t>
            </w:r>
            <w:r w:rsidR="009C3C97" w:rsidRPr="0023484A">
              <w:rPr>
                <w:rFonts w:cs="Arial"/>
                <w:color w:val="000000"/>
                <w:sz w:val="18"/>
                <w:szCs w:val="20"/>
                <w:lang w:eastAsia="en-AU"/>
              </w:rPr>
              <w:t>Boilermaking</w:t>
            </w:r>
          </w:p>
        </w:tc>
        <w:tc>
          <w:tcPr>
            <w:tcW w:w="1188" w:type="dxa"/>
            <w:shd w:val="clear" w:color="auto" w:fill="auto"/>
            <w:vAlign w:val="center"/>
          </w:tcPr>
          <w:p w14:paraId="68534216"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14</w:t>
            </w:r>
          </w:p>
        </w:tc>
        <w:tc>
          <w:tcPr>
            <w:tcW w:w="850" w:type="dxa"/>
            <w:shd w:val="clear" w:color="auto" w:fill="auto"/>
            <w:vAlign w:val="center"/>
          </w:tcPr>
          <w:p w14:paraId="5D1B2FF0"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18</w:t>
            </w:r>
          </w:p>
        </w:tc>
        <w:tc>
          <w:tcPr>
            <w:tcW w:w="947" w:type="dxa"/>
            <w:shd w:val="clear" w:color="auto" w:fill="auto"/>
            <w:vAlign w:val="center"/>
          </w:tcPr>
          <w:p w14:paraId="770B043E"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32</w:t>
            </w:r>
          </w:p>
        </w:tc>
        <w:tc>
          <w:tcPr>
            <w:tcW w:w="1077" w:type="dxa"/>
            <w:shd w:val="clear" w:color="auto" w:fill="auto"/>
            <w:vAlign w:val="center"/>
          </w:tcPr>
          <w:p w14:paraId="7CAEBA9A"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61</w:t>
            </w:r>
          </w:p>
        </w:tc>
        <w:tc>
          <w:tcPr>
            <w:tcW w:w="1351" w:type="dxa"/>
            <w:shd w:val="clear" w:color="auto" w:fill="auto"/>
            <w:vAlign w:val="center"/>
          </w:tcPr>
          <w:p w14:paraId="56399E5B"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11</w:t>
            </w:r>
          </w:p>
        </w:tc>
      </w:tr>
      <w:tr w:rsidR="007406C2" w:rsidRPr="0023484A" w14:paraId="74F9ECE3" w14:textId="77777777" w:rsidTr="007406C2">
        <w:trPr>
          <w:trHeight w:val="288"/>
        </w:trPr>
        <w:tc>
          <w:tcPr>
            <w:tcW w:w="1364" w:type="dxa"/>
            <w:shd w:val="clear" w:color="auto" w:fill="auto"/>
            <w:vAlign w:val="center"/>
          </w:tcPr>
          <w:p w14:paraId="0083E9F5" w14:textId="77777777" w:rsidR="009B4045" w:rsidRPr="0023484A" w:rsidRDefault="009B4045" w:rsidP="0001533E">
            <w:pPr>
              <w:spacing w:before="40" w:after="40"/>
              <w:rPr>
                <w:rFonts w:cs="Arial"/>
                <w:color w:val="000000"/>
                <w:sz w:val="18"/>
                <w:szCs w:val="20"/>
                <w:lang w:eastAsia="en-AU"/>
              </w:rPr>
            </w:pPr>
            <w:r w:rsidRPr="0023484A">
              <w:rPr>
                <w:rFonts w:cs="Arial"/>
                <w:color w:val="000000"/>
                <w:sz w:val="18"/>
                <w:szCs w:val="20"/>
                <w:lang w:eastAsia="en-AU"/>
              </w:rPr>
              <w:t>Painting &amp; Decorating</w:t>
            </w:r>
          </w:p>
        </w:tc>
        <w:tc>
          <w:tcPr>
            <w:tcW w:w="1188" w:type="dxa"/>
            <w:shd w:val="clear" w:color="auto" w:fill="auto"/>
            <w:vAlign w:val="center"/>
          </w:tcPr>
          <w:p w14:paraId="5FB2FF4B"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12</w:t>
            </w:r>
          </w:p>
        </w:tc>
        <w:tc>
          <w:tcPr>
            <w:tcW w:w="850" w:type="dxa"/>
            <w:shd w:val="clear" w:color="auto" w:fill="auto"/>
            <w:vAlign w:val="center"/>
          </w:tcPr>
          <w:p w14:paraId="70F8CF4A"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44</w:t>
            </w:r>
          </w:p>
        </w:tc>
        <w:tc>
          <w:tcPr>
            <w:tcW w:w="947" w:type="dxa"/>
            <w:shd w:val="clear" w:color="auto" w:fill="auto"/>
            <w:vAlign w:val="center"/>
          </w:tcPr>
          <w:p w14:paraId="14353688"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56</w:t>
            </w:r>
          </w:p>
        </w:tc>
        <w:tc>
          <w:tcPr>
            <w:tcW w:w="1077" w:type="dxa"/>
            <w:shd w:val="clear" w:color="auto" w:fill="auto"/>
            <w:vAlign w:val="center"/>
          </w:tcPr>
          <w:p w14:paraId="5879C191"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55</w:t>
            </w:r>
          </w:p>
        </w:tc>
        <w:tc>
          <w:tcPr>
            <w:tcW w:w="1351" w:type="dxa"/>
            <w:shd w:val="clear" w:color="auto" w:fill="auto"/>
            <w:vAlign w:val="center"/>
          </w:tcPr>
          <w:p w14:paraId="5203C06D"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13</w:t>
            </w:r>
          </w:p>
        </w:tc>
      </w:tr>
      <w:tr w:rsidR="007406C2" w:rsidRPr="0023484A" w14:paraId="433F6A35" w14:textId="77777777" w:rsidTr="007406C2">
        <w:trPr>
          <w:trHeight w:val="288"/>
        </w:trPr>
        <w:tc>
          <w:tcPr>
            <w:tcW w:w="1364" w:type="dxa"/>
            <w:shd w:val="clear" w:color="auto" w:fill="auto"/>
            <w:vAlign w:val="center"/>
          </w:tcPr>
          <w:p w14:paraId="3301B1C2" w14:textId="77777777" w:rsidR="009B4045" w:rsidRPr="0023484A" w:rsidRDefault="009B4045" w:rsidP="0001533E">
            <w:pPr>
              <w:spacing w:before="40" w:after="40"/>
              <w:rPr>
                <w:rFonts w:cs="Arial"/>
                <w:color w:val="000000"/>
                <w:sz w:val="18"/>
                <w:szCs w:val="20"/>
                <w:lang w:eastAsia="en-AU"/>
              </w:rPr>
            </w:pPr>
            <w:r w:rsidRPr="0023484A">
              <w:rPr>
                <w:rFonts w:cs="Arial"/>
                <w:color w:val="000000"/>
                <w:sz w:val="18"/>
                <w:szCs w:val="20"/>
                <w:lang w:eastAsia="en-AU"/>
              </w:rPr>
              <w:t>Diploma Children’s Services</w:t>
            </w:r>
          </w:p>
        </w:tc>
        <w:tc>
          <w:tcPr>
            <w:tcW w:w="1188" w:type="dxa"/>
            <w:shd w:val="clear" w:color="auto" w:fill="auto"/>
            <w:vAlign w:val="center"/>
          </w:tcPr>
          <w:p w14:paraId="630D2B87"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11</w:t>
            </w:r>
          </w:p>
        </w:tc>
        <w:tc>
          <w:tcPr>
            <w:tcW w:w="850" w:type="dxa"/>
            <w:shd w:val="clear" w:color="auto" w:fill="auto"/>
            <w:vAlign w:val="center"/>
          </w:tcPr>
          <w:p w14:paraId="0B4BC1E6"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11</w:t>
            </w:r>
          </w:p>
        </w:tc>
        <w:tc>
          <w:tcPr>
            <w:tcW w:w="947" w:type="dxa"/>
            <w:shd w:val="clear" w:color="auto" w:fill="auto"/>
            <w:vAlign w:val="center"/>
          </w:tcPr>
          <w:p w14:paraId="745A3E96"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22</w:t>
            </w:r>
          </w:p>
        </w:tc>
        <w:tc>
          <w:tcPr>
            <w:tcW w:w="1077" w:type="dxa"/>
            <w:shd w:val="clear" w:color="auto" w:fill="auto"/>
            <w:vAlign w:val="center"/>
          </w:tcPr>
          <w:p w14:paraId="451FFCE0"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84</w:t>
            </w:r>
          </w:p>
        </w:tc>
        <w:tc>
          <w:tcPr>
            <w:tcW w:w="1351" w:type="dxa"/>
            <w:shd w:val="clear" w:color="auto" w:fill="auto"/>
            <w:vAlign w:val="center"/>
          </w:tcPr>
          <w:p w14:paraId="7734E4EE"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14</w:t>
            </w:r>
          </w:p>
        </w:tc>
      </w:tr>
      <w:tr w:rsidR="007406C2" w:rsidRPr="0023484A" w14:paraId="597CA22C" w14:textId="77777777" w:rsidTr="007406C2">
        <w:trPr>
          <w:trHeight w:val="288"/>
        </w:trPr>
        <w:tc>
          <w:tcPr>
            <w:tcW w:w="1364" w:type="dxa"/>
            <w:shd w:val="clear" w:color="auto" w:fill="auto"/>
            <w:vAlign w:val="center"/>
          </w:tcPr>
          <w:p w14:paraId="72DA54E2" w14:textId="77777777" w:rsidR="009B4045" w:rsidRPr="0023484A" w:rsidRDefault="009B4045" w:rsidP="0001533E">
            <w:pPr>
              <w:spacing w:before="40" w:after="40"/>
              <w:rPr>
                <w:rFonts w:cs="Arial"/>
                <w:color w:val="000000"/>
                <w:sz w:val="18"/>
                <w:szCs w:val="20"/>
                <w:lang w:eastAsia="en-AU"/>
              </w:rPr>
            </w:pPr>
            <w:r w:rsidRPr="0023484A">
              <w:rPr>
                <w:rFonts w:cs="Arial"/>
                <w:color w:val="000000"/>
                <w:sz w:val="18"/>
                <w:szCs w:val="20"/>
                <w:lang w:eastAsia="en-AU"/>
              </w:rPr>
              <w:t>Hospitality Supervision</w:t>
            </w:r>
          </w:p>
        </w:tc>
        <w:tc>
          <w:tcPr>
            <w:tcW w:w="1188" w:type="dxa"/>
            <w:shd w:val="clear" w:color="auto" w:fill="auto"/>
            <w:vAlign w:val="center"/>
          </w:tcPr>
          <w:p w14:paraId="3CF755F1"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9</w:t>
            </w:r>
          </w:p>
        </w:tc>
        <w:tc>
          <w:tcPr>
            <w:tcW w:w="850" w:type="dxa"/>
            <w:shd w:val="clear" w:color="auto" w:fill="auto"/>
            <w:vAlign w:val="center"/>
          </w:tcPr>
          <w:p w14:paraId="77A8D17E"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2</w:t>
            </w:r>
          </w:p>
        </w:tc>
        <w:tc>
          <w:tcPr>
            <w:tcW w:w="947" w:type="dxa"/>
            <w:shd w:val="clear" w:color="auto" w:fill="auto"/>
            <w:vAlign w:val="center"/>
          </w:tcPr>
          <w:p w14:paraId="2279D1E6"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11</w:t>
            </w:r>
          </w:p>
        </w:tc>
        <w:tc>
          <w:tcPr>
            <w:tcW w:w="1077" w:type="dxa"/>
            <w:shd w:val="clear" w:color="auto" w:fill="auto"/>
            <w:vAlign w:val="center"/>
          </w:tcPr>
          <w:p w14:paraId="36763999"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66</w:t>
            </w:r>
          </w:p>
        </w:tc>
        <w:tc>
          <w:tcPr>
            <w:tcW w:w="1351" w:type="dxa"/>
            <w:shd w:val="clear" w:color="auto" w:fill="auto"/>
            <w:vAlign w:val="center"/>
          </w:tcPr>
          <w:p w14:paraId="708C82A3"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33</w:t>
            </w:r>
          </w:p>
        </w:tc>
      </w:tr>
      <w:tr w:rsidR="007406C2" w:rsidRPr="0023484A" w14:paraId="7B24F22E" w14:textId="77777777" w:rsidTr="007406C2">
        <w:trPr>
          <w:trHeight w:val="288"/>
        </w:trPr>
        <w:tc>
          <w:tcPr>
            <w:tcW w:w="1364" w:type="dxa"/>
            <w:shd w:val="clear" w:color="auto" w:fill="auto"/>
            <w:vAlign w:val="center"/>
          </w:tcPr>
          <w:p w14:paraId="1D664EAC" w14:textId="77777777" w:rsidR="009B4045" w:rsidRPr="0023484A" w:rsidRDefault="009B4045" w:rsidP="0001533E">
            <w:pPr>
              <w:spacing w:before="40" w:after="40"/>
              <w:rPr>
                <w:rFonts w:cs="Arial"/>
                <w:color w:val="000000"/>
                <w:sz w:val="18"/>
                <w:szCs w:val="20"/>
                <w:lang w:eastAsia="en-AU"/>
              </w:rPr>
            </w:pPr>
            <w:r w:rsidRPr="0023484A">
              <w:rPr>
                <w:rFonts w:cs="Arial"/>
                <w:color w:val="000000"/>
                <w:sz w:val="18"/>
                <w:szCs w:val="20"/>
                <w:lang w:eastAsia="en-AU"/>
              </w:rPr>
              <w:t>Hospitality Operations</w:t>
            </w:r>
          </w:p>
        </w:tc>
        <w:tc>
          <w:tcPr>
            <w:tcW w:w="1188" w:type="dxa"/>
            <w:shd w:val="clear" w:color="auto" w:fill="auto"/>
            <w:vAlign w:val="center"/>
          </w:tcPr>
          <w:p w14:paraId="78E4EA68"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8</w:t>
            </w:r>
          </w:p>
        </w:tc>
        <w:tc>
          <w:tcPr>
            <w:tcW w:w="850" w:type="dxa"/>
            <w:shd w:val="clear" w:color="auto" w:fill="auto"/>
            <w:vAlign w:val="center"/>
          </w:tcPr>
          <w:p w14:paraId="01019464"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3</w:t>
            </w:r>
          </w:p>
        </w:tc>
        <w:tc>
          <w:tcPr>
            <w:tcW w:w="947" w:type="dxa"/>
            <w:shd w:val="clear" w:color="auto" w:fill="auto"/>
            <w:vAlign w:val="center"/>
          </w:tcPr>
          <w:p w14:paraId="34A67681"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11</w:t>
            </w:r>
          </w:p>
        </w:tc>
        <w:tc>
          <w:tcPr>
            <w:tcW w:w="1077" w:type="dxa"/>
            <w:shd w:val="clear" w:color="auto" w:fill="auto"/>
            <w:vAlign w:val="center"/>
          </w:tcPr>
          <w:p w14:paraId="711CF2DA"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63</w:t>
            </w:r>
          </w:p>
        </w:tc>
        <w:tc>
          <w:tcPr>
            <w:tcW w:w="1351" w:type="dxa"/>
            <w:shd w:val="clear" w:color="auto" w:fill="auto"/>
            <w:vAlign w:val="center"/>
          </w:tcPr>
          <w:p w14:paraId="7E9D7F2E"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40</w:t>
            </w:r>
          </w:p>
        </w:tc>
      </w:tr>
      <w:tr w:rsidR="007406C2" w:rsidRPr="0023484A" w14:paraId="0C2428F7" w14:textId="77777777" w:rsidTr="007406C2">
        <w:trPr>
          <w:trHeight w:val="288"/>
        </w:trPr>
        <w:tc>
          <w:tcPr>
            <w:tcW w:w="1364" w:type="dxa"/>
            <w:shd w:val="clear" w:color="auto" w:fill="auto"/>
            <w:vAlign w:val="center"/>
          </w:tcPr>
          <w:p w14:paraId="536BD342" w14:textId="77777777" w:rsidR="009B4045" w:rsidRPr="0023484A" w:rsidRDefault="009B4045" w:rsidP="00A35259">
            <w:pPr>
              <w:spacing w:before="40" w:after="40"/>
              <w:rPr>
                <w:rFonts w:cs="Arial"/>
                <w:color w:val="000000"/>
                <w:sz w:val="18"/>
                <w:szCs w:val="20"/>
                <w:lang w:eastAsia="en-AU"/>
              </w:rPr>
            </w:pPr>
            <w:r w:rsidRPr="0023484A">
              <w:rPr>
                <w:rFonts w:cs="Arial"/>
                <w:color w:val="000000"/>
                <w:sz w:val="18"/>
                <w:szCs w:val="20"/>
                <w:lang w:eastAsia="en-AU"/>
              </w:rPr>
              <w:t xml:space="preserve">Diploma </w:t>
            </w:r>
            <w:r w:rsidR="00A35259" w:rsidRPr="0023484A">
              <w:rPr>
                <w:rFonts w:cs="Arial"/>
                <w:color w:val="000000"/>
                <w:sz w:val="18"/>
                <w:szCs w:val="20"/>
                <w:lang w:eastAsia="en-AU"/>
              </w:rPr>
              <w:t xml:space="preserve">of </w:t>
            </w:r>
            <w:r w:rsidRPr="0023484A">
              <w:rPr>
                <w:rFonts w:cs="Arial"/>
                <w:color w:val="000000"/>
                <w:sz w:val="18"/>
                <w:szCs w:val="20"/>
                <w:lang w:eastAsia="en-AU"/>
              </w:rPr>
              <w:t>Management</w:t>
            </w:r>
          </w:p>
        </w:tc>
        <w:tc>
          <w:tcPr>
            <w:tcW w:w="1188" w:type="dxa"/>
            <w:shd w:val="clear" w:color="auto" w:fill="auto"/>
            <w:vAlign w:val="center"/>
          </w:tcPr>
          <w:p w14:paraId="6A947140"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8</w:t>
            </w:r>
          </w:p>
        </w:tc>
        <w:tc>
          <w:tcPr>
            <w:tcW w:w="850" w:type="dxa"/>
            <w:shd w:val="clear" w:color="auto" w:fill="auto"/>
            <w:vAlign w:val="center"/>
          </w:tcPr>
          <w:p w14:paraId="5BC9A221"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0</w:t>
            </w:r>
          </w:p>
        </w:tc>
        <w:tc>
          <w:tcPr>
            <w:tcW w:w="947" w:type="dxa"/>
            <w:shd w:val="clear" w:color="auto" w:fill="auto"/>
            <w:vAlign w:val="center"/>
          </w:tcPr>
          <w:p w14:paraId="615DABD2"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8</w:t>
            </w:r>
          </w:p>
        </w:tc>
        <w:tc>
          <w:tcPr>
            <w:tcW w:w="1077" w:type="dxa"/>
            <w:shd w:val="clear" w:color="auto" w:fill="auto"/>
            <w:vAlign w:val="center"/>
          </w:tcPr>
          <w:p w14:paraId="61957D57"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91</w:t>
            </w:r>
          </w:p>
        </w:tc>
        <w:tc>
          <w:tcPr>
            <w:tcW w:w="1351" w:type="dxa"/>
            <w:shd w:val="clear" w:color="auto" w:fill="auto"/>
            <w:vAlign w:val="center"/>
          </w:tcPr>
          <w:p w14:paraId="3EF65B95"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24</w:t>
            </w:r>
          </w:p>
        </w:tc>
      </w:tr>
      <w:tr w:rsidR="007406C2" w:rsidRPr="0023484A" w14:paraId="75ACAB7B" w14:textId="77777777" w:rsidTr="007406C2">
        <w:trPr>
          <w:trHeight w:val="288"/>
        </w:trPr>
        <w:tc>
          <w:tcPr>
            <w:tcW w:w="1364" w:type="dxa"/>
            <w:shd w:val="clear" w:color="auto" w:fill="auto"/>
            <w:vAlign w:val="center"/>
          </w:tcPr>
          <w:p w14:paraId="62444A4B" w14:textId="77777777" w:rsidR="009B4045" w:rsidRPr="0023484A" w:rsidRDefault="009B4045" w:rsidP="0001533E">
            <w:pPr>
              <w:spacing w:before="40" w:after="40"/>
              <w:rPr>
                <w:rFonts w:cs="Arial"/>
                <w:color w:val="000000"/>
                <w:sz w:val="18"/>
                <w:szCs w:val="20"/>
                <w:lang w:eastAsia="en-AU"/>
              </w:rPr>
            </w:pPr>
            <w:r w:rsidRPr="0023484A">
              <w:rPr>
                <w:rFonts w:cs="Arial"/>
                <w:color w:val="000000"/>
                <w:sz w:val="18"/>
                <w:szCs w:val="20"/>
                <w:lang w:eastAsia="en-AU"/>
              </w:rPr>
              <w:t>Community Services</w:t>
            </w:r>
          </w:p>
        </w:tc>
        <w:tc>
          <w:tcPr>
            <w:tcW w:w="1188" w:type="dxa"/>
            <w:shd w:val="clear" w:color="auto" w:fill="auto"/>
            <w:vAlign w:val="center"/>
          </w:tcPr>
          <w:p w14:paraId="70E312C8"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0</w:t>
            </w:r>
          </w:p>
        </w:tc>
        <w:tc>
          <w:tcPr>
            <w:tcW w:w="850" w:type="dxa"/>
            <w:shd w:val="clear" w:color="auto" w:fill="auto"/>
            <w:vAlign w:val="center"/>
          </w:tcPr>
          <w:p w14:paraId="5254864E"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25</w:t>
            </w:r>
          </w:p>
        </w:tc>
        <w:tc>
          <w:tcPr>
            <w:tcW w:w="947" w:type="dxa"/>
            <w:shd w:val="clear" w:color="auto" w:fill="auto"/>
            <w:vAlign w:val="center"/>
          </w:tcPr>
          <w:p w14:paraId="0FB13DB9"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25</w:t>
            </w:r>
          </w:p>
        </w:tc>
        <w:tc>
          <w:tcPr>
            <w:tcW w:w="1077" w:type="dxa"/>
            <w:shd w:val="clear" w:color="auto" w:fill="auto"/>
            <w:vAlign w:val="center"/>
          </w:tcPr>
          <w:p w14:paraId="1D999E74"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88</w:t>
            </w:r>
          </w:p>
        </w:tc>
        <w:tc>
          <w:tcPr>
            <w:tcW w:w="1351" w:type="dxa"/>
            <w:shd w:val="clear" w:color="auto" w:fill="auto"/>
            <w:vAlign w:val="center"/>
          </w:tcPr>
          <w:p w14:paraId="29607D1E"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100</w:t>
            </w:r>
          </w:p>
        </w:tc>
      </w:tr>
      <w:tr w:rsidR="007406C2" w:rsidRPr="0023484A" w14:paraId="2E3CE106" w14:textId="77777777" w:rsidTr="007406C2">
        <w:trPr>
          <w:trHeight w:val="288"/>
        </w:trPr>
        <w:tc>
          <w:tcPr>
            <w:tcW w:w="1364" w:type="dxa"/>
            <w:tcBorders>
              <w:bottom w:val="single" w:sz="4" w:space="0" w:color="A8D08D" w:themeColor="accent6" w:themeTint="99"/>
            </w:tcBorders>
            <w:shd w:val="clear" w:color="auto" w:fill="auto"/>
            <w:vAlign w:val="center"/>
          </w:tcPr>
          <w:p w14:paraId="7C3B87BD" w14:textId="77777777" w:rsidR="009B4045" w:rsidRPr="0023484A" w:rsidRDefault="009B4045" w:rsidP="0001533E">
            <w:pPr>
              <w:spacing w:before="40" w:after="40"/>
              <w:rPr>
                <w:rFonts w:cs="Arial"/>
                <w:color w:val="000000"/>
                <w:sz w:val="18"/>
                <w:szCs w:val="20"/>
                <w:lang w:eastAsia="en-AU"/>
              </w:rPr>
            </w:pPr>
            <w:r w:rsidRPr="0023484A">
              <w:rPr>
                <w:rFonts w:cs="Arial"/>
                <w:color w:val="000000"/>
                <w:sz w:val="18"/>
                <w:szCs w:val="20"/>
                <w:lang w:eastAsia="en-AU"/>
              </w:rPr>
              <w:t>Disability</w:t>
            </w:r>
          </w:p>
        </w:tc>
        <w:tc>
          <w:tcPr>
            <w:tcW w:w="1188" w:type="dxa"/>
            <w:tcBorders>
              <w:bottom w:val="single" w:sz="4" w:space="0" w:color="A8D08D" w:themeColor="accent6" w:themeTint="99"/>
            </w:tcBorders>
            <w:shd w:val="clear" w:color="auto" w:fill="auto"/>
            <w:vAlign w:val="center"/>
          </w:tcPr>
          <w:p w14:paraId="12D359D2"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0</w:t>
            </w:r>
          </w:p>
        </w:tc>
        <w:tc>
          <w:tcPr>
            <w:tcW w:w="850" w:type="dxa"/>
            <w:tcBorders>
              <w:bottom w:val="single" w:sz="4" w:space="0" w:color="A8D08D" w:themeColor="accent6" w:themeTint="99"/>
            </w:tcBorders>
            <w:shd w:val="clear" w:color="auto" w:fill="auto"/>
            <w:vAlign w:val="center"/>
          </w:tcPr>
          <w:p w14:paraId="51298004"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9</w:t>
            </w:r>
          </w:p>
        </w:tc>
        <w:tc>
          <w:tcPr>
            <w:tcW w:w="947" w:type="dxa"/>
            <w:tcBorders>
              <w:bottom w:val="single" w:sz="4" w:space="0" w:color="A8D08D" w:themeColor="accent6" w:themeTint="99"/>
            </w:tcBorders>
            <w:shd w:val="clear" w:color="auto" w:fill="auto"/>
            <w:vAlign w:val="center"/>
          </w:tcPr>
          <w:p w14:paraId="4020F22B"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9</w:t>
            </w:r>
          </w:p>
        </w:tc>
        <w:tc>
          <w:tcPr>
            <w:tcW w:w="1077" w:type="dxa"/>
            <w:tcBorders>
              <w:bottom w:val="single" w:sz="4" w:space="0" w:color="A8D08D" w:themeColor="accent6" w:themeTint="99"/>
            </w:tcBorders>
            <w:shd w:val="clear" w:color="auto" w:fill="auto"/>
            <w:vAlign w:val="center"/>
          </w:tcPr>
          <w:p w14:paraId="4AF737DC"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79</w:t>
            </w:r>
          </w:p>
        </w:tc>
        <w:tc>
          <w:tcPr>
            <w:tcW w:w="1351" w:type="dxa"/>
            <w:tcBorders>
              <w:bottom w:val="single" w:sz="4" w:space="0" w:color="A8D08D" w:themeColor="accent6" w:themeTint="99"/>
            </w:tcBorders>
            <w:shd w:val="clear" w:color="auto" w:fill="auto"/>
            <w:vAlign w:val="center"/>
          </w:tcPr>
          <w:p w14:paraId="0926BD67" w14:textId="77777777" w:rsidR="009B4045" w:rsidRPr="0023484A" w:rsidRDefault="009B4045" w:rsidP="007406C2">
            <w:pPr>
              <w:spacing w:before="40" w:after="40"/>
              <w:jc w:val="center"/>
              <w:rPr>
                <w:rFonts w:cs="Arial"/>
                <w:color w:val="000000"/>
                <w:sz w:val="18"/>
                <w:szCs w:val="20"/>
                <w:lang w:eastAsia="en-AU"/>
              </w:rPr>
            </w:pPr>
            <w:r w:rsidRPr="0023484A">
              <w:rPr>
                <w:rFonts w:cs="Arial"/>
                <w:color w:val="000000"/>
                <w:sz w:val="18"/>
                <w:szCs w:val="20"/>
                <w:lang w:eastAsia="en-AU"/>
              </w:rPr>
              <w:t>30</w:t>
            </w:r>
          </w:p>
        </w:tc>
      </w:tr>
      <w:tr w:rsidR="009B4045" w:rsidRPr="0001533E" w14:paraId="188459D8" w14:textId="77777777" w:rsidTr="007406C2">
        <w:tc>
          <w:tcPr>
            <w:tcW w:w="6777" w:type="dxa"/>
            <w:gridSpan w:val="6"/>
            <w:tcBorders>
              <w:top w:val="single" w:sz="4" w:space="0" w:color="A8D08D" w:themeColor="accent6" w:themeTint="99"/>
            </w:tcBorders>
            <w:shd w:val="clear" w:color="auto" w:fill="auto"/>
            <w:vAlign w:val="center"/>
          </w:tcPr>
          <w:p w14:paraId="70917D64" w14:textId="52B397F5" w:rsidR="009B4045" w:rsidRPr="0001533E" w:rsidRDefault="007406C2" w:rsidP="0001533E">
            <w:pPr>
              <w:spacing w:before="40" w:after="40"/>
              <w:rPr>
                <w:rFonts w:cs="Arial"/>
                <w:color w:val="000000"/>
                <w:sz w:val="16"/>
                <w:szCs w:val="20"/>
                <w:lang w:eastAsia="en-AU"/>
              </w:rPr>
            </w:pPr>
            <w:r>
              <w:rPr>
                <w:rFonts w:cs="Arial"/>
                <w:color w:val="000000"/>
                <w:sz w:val="16"/>
                <w:szCs w:val="20"/>
                <w:lang w:eastAsia="en-AU"/>
              </w:rPr>
              <w:br/>
            </w:r>
            <w:r w:rsidR="009B4045" w:rsidRPr="0001533E">
              <w:rPr>
                <w:rFonts w:cs="Arial"/>
                <w:color w:val="000000"/>
                <w:sz w:val="16"/>
                <w:szCs w:val="20"/>
                <w:lang w:eastAsia="en-AU"/>
              </w:rPr>
              <w:t>Source: APTC Past Student Tracer Surveys July 2011</w:t>
            </w:r>
            <w:r w:rsidR="002C7CBD">
              <w:rPr>
                <w:rFonts w:cs="Arial"/>
                <w:color w:val="000000"/>
                <w:sz w:val="16"/>
                <w:szCs w:val="20"/>
                <w:lang w:eastAsia="en-AU"/>
              </w:rPr>
              <w:t>–</w:t>
            </w:r>
            <w:r w:rsidR="009B4045" w:rsidRPr="0001533E">
              <w:rPr>
                <w:rFonts w:cs="Arial"/>
                <w:color w:val="000000"/>
                <w:sz w:val="16"/>
                <w:szCs w:val="20"/>
                <w:lang w:eastAsia="en-AU"/>
              </w:rPr>
              <w:t>May 2014</w:t>
            </w:r>
            <w:r w:rsidR="000D217B">
              <w:rPr>
                <w:rFonts w:cs="Arial"/>
                <w:color w:val="000000"/>
                <w:sz w:val="16"/>
                <w:szCs w:val="20"/>
                <w:lang w:eastAsia="en-AU"/>
              </w:rPr>
              <w:t>,</w:t>
            </w:r>
            <w:r w:rsidR="000D217B" w:rsidRPr="000D217B">
              <w:rPr>
                <w:rFonts w:cs="Arial"/>
                <w:color w:val="000000"/>
                <w:sz w:val="16"/>
                <w:szCs w:val="20"/>
                <w:lang w:eastAsia="en-AU"/>
              </w:rPr>
              <w:t xml:space="preserve"> response rate by qualification for the tracer survey based on total number of graduates by qualification in Stage II</w:t>
            </w:r>
          </w:p>
        </w:tc>
      </w:tr>
    </w:tbl>
    <w:p w14:paraId="28777854" w14:textId="77777777" w:rsidR="0001533E" w:rsidRDefault="0001533E" w:rsidP="009B4045">
      <w:pPr>
        <w:pStyle w:val="BodyTextIndent"/>
      </w:pPr>
    </w:p>
    <w:p w14:paraId="0A500596" w14:textId="77777777" w:rsidR="009B4045" w:rsidRPr="00C443C6" w:rsidRDefault="009B4045" w:rsidP="0001533E">
      <w:pPr>
        <w:pStyle w:val="BodyTextIndent"/>
        <w:ind w:left="0"/>
      </w:pPr>
      <w:r>
        <w:t xml:space="preserve">Table </w:t>
      </w:r>
      <w:r w:rsidR="00075FBC">
        <w:t>8.</w:t>
      </w:r>
      <w:r>
        <w:t xml:space="preserve">2 above shows a range of employment outcomes for each qualification. In particular, high levels of not employed and in less than full-time work </w:t>
      </w:r>
      <w:r w:rsidRPr="008E7292">
        <w:t>(see column 3)</w:t>
      </w:r>
      <w:r>
        <w:t xml:space="preserve"> are evident for graduates with </w:t>
      </w:r>
      <w:r w:rsidR="00B118FB">
        <w:t xml:space="preserve">Certificates </w:t>
      </w:r>
      <w:r>
        <w:t xml:space="preserve">III in </w:t>
      </w:r>
      <w:r w:rsidR="00B118FB">
        <w:t>W</w:t>
      </w:r>
      <w:r w:rsidR="00B118FB" w:rsidRPr="00C443C6">
        <w:t xml:space="preserve">all </w:t>
      </w:r>
      <w:r w:rsidR="00B118FB">
        <w:t>and</w:t>
      </w:r>
      <w:r w:rsidR="00B118FB" w:rsidRPr="00C443C6">
        <w:t xml:space="preserve"> </w:t>
      </w:r>
      <w:r w:rsidR="00B118FB">
        <w:t>F</w:t>
      </w:r>
      <w:r w:rsidR="00B118FB" w:rsidRPr="00C443C6">
        <w:t xml:space="preserve">loor </w:t>
      </w:r>
      <w:r w:rsidR="00B118FB">
        <w:t>T</w:t>
      </w:r>
      <w:r w:rsidR="00B118FB" w:rsidRPr="00C443C6">
        <w:t>iling</w:t>
      </w:r>
      <w:r>
        <w:t>,</w:t>
      </w:r>
      <w:r w:rsidRPr="00C443C6">
        <w:t xml:space="preserve"> </w:t>
      </w:r>
      <w:r w:rsidR="00B118FB">
        <w:t>P</w:t>
      </w:r>
      <w:r w:rsidR="00B118FB" w:rsidRPr="00C443C6">
        <w:t>ainting</w:t>
      </w:r>
      <w:r w:rsidR="00B118FB">
        <w:t>/</w:t>
      </w:r>
      <w:r w:rsidRPr="00C443C6">
        <w:t xml:space="preserve"> </w:t>
      </w:r>
      <w:r w:rsidR="00B118FB">
        <w:t>D</w:t>
      </w:r>
      <w:r w:rsidR="00B118FB" w:rsidRPr="00C443C6">
        <w:t>ecorating</w:t>
      </w:r>
      <w:r>
        <w:t>,</w:t>
      </w:r>
      <w:r w:rsidRPr="00C443C6">
        <w:t xml:space="preserve"> </w:t>
      </w:r>
      <w:r w:rsidR="00B118FB">
        <w:t>A</w:t>
      </w:r>
      <w:r w:rsidR="00B118FB" w:rsidRPr="00C443C6">
        <w:t>ge</w:t>
      </w:r>
      <w:r w:rsidR="00B118FB">
        <w:t>d</w:t>
      </w:r>
      <w:r w:rsidR="00B118FB" w:rsidRPr="00C443C6">
        <w:t xml:space="preserve"> </w:t>
      </w:r>
      <w:r w:rsidR="00B118FB">
        <w:t>C</w:t>
      </w:r>
      <w:r w:rsidR="00B118FB" w:rsidRPr="00C443C6">
        <w:t>are</w:t>
      </w:r>
      <w:r>
        <w:t>,</w:t>
      </w:r>
      <w:r w:rsidRPr="00C443C6">
        <w:t xml:space="preserve"> </w:t>
      </w:r>
      <w:r w:rsidR="00B118FB">
        <w:t>Y</w:t>
      </w:r>
      <w:r w:rsidR="00B118FB" w:rsidRPr="00C443C6">
        <w:t xml:space="preserve">outh </w:t>
      </w:r>
      <w:r w:rsidR="00B118FB">
        <w:t>W</w:t>
      </w:r>
      <w:r w:rsidR="00B118FB" w:rsidRPr="00C443C6">
        <w:t>ork</w:t>
      </w:r>
      <w:r>
        <w:t>,</w:t>
      </w:r>
      <w:r w:rsidRPr="00C443C6">
        <w:t xml:space="preserve"> </w:t>
      </w:r>
      <w:r w:rsidR="00B118FB">
        <w:t>F</w:t>
      </w:r>
      <w:r w:rsidR="00B118FB" w:rsidRPr="00C443C6">
        <w:t xml:space="preserve">abrication </w:t>
      </w:r>
      <w:r w:rsidR="00B118FB">
        <w:t>W</w:t>
      </w:r>
      <w:r w:rsidR="00B118FB" w:rsidRPr="00C443C6">
        <w:t>elding</w:t>
      </w:r>
      <w:r w:rsidRPr="00C443C6">
        <w:t>/</w:t>
      </w:r>
      <w:r w:rsidR="00B118FB">
        <w:t>B</w:t>
      </w:r>
      <w:r w:rsidR="00B118FB" w:rsidRPr="00C443C6">
        <w:t>oilermaking</w:t>
      </w:r>
      <w:r>
        <w:t>,</w:t>
      </w:r>
      <w:r w:rsidRPr="00C443C6">
        <w:t xml:space="preserve"> </w:t>
      </w:r>
      <w:r w:rsidR="00B118FB">
        <w:t>C</w:t>
      </w:r>
      <w:r w:rsidR="00B118FB" w:rsidRPr="00C443C6">
        <w:t xml:space="preserve">ommunity </w:t>
      </w:r>
      <w:r w:rsidR="00B118FB">
        <w:t>S</w:t>
      </w:r>
      <w:r w:rsidR="00B118FB" w:rsidRPr="00C443C6">
        <w:t>ervices</w:t>
      </w:r>
      <w:r>
        <w:t xml:space="preserve">, </w:t>
      </w:r>
      <w:r w:rsidR="00B118FB">
        <w:t>T</w:t>
      </w:r>
      <w:r w:rsidR="00B118FB" w:rsidRPr="00C443C6">
        <w:t>ourism</w:t>
      </w:r>
      <w:r w:rsidR="00B118FB">
        <w:t xml:space="preserve"> </w:t>
      </w:r>
      <w:r>
        <w:t>and the</w:t>
      </w:r>
      <w:r w:rsidRPr="00C443C6">
        <w:t xml:space="preserve"> </w:t>
      </w:r>
      <w:r w:rsidR="00B118FB">
        <w:t>D</w:t>
      </w:r>
      <w:r w:rsidR="00B118FB" w:rsidRPr="00C443C6">
        <w:t xml:space="preserve">iploma </w:t>
      </w:r>
      <w:r w:rsidR="00BD68B2">
        <w:t>of</w:t>
      </w:r>
      <w:r w:rsidR="00B118FB">
        <w:t xml:space="preserve"> C</w:t>
      </w:r>
      <w:r w:rsidR="00B118FB" w:rsidRPr="00C443C6">
        <w:t xml:space="preserve">hildren's </w:t>
      </w:r>
      <w:r w:rsidR="00B118FB">
        <w:t>S</w:t>
      </w:r>
      <w:r w:rsidR="00B118FB" w:rsidRPr="00C443C6">
        <w:t>ervices</w:t>
      </w:r>
      <w:r>
        <w:t xml:space="preserve">. </w:t>
      </w:r>
    </w:p>
    <w:p w14:paraId="3AF30184" w14:textId="77777777" w:rsidR="009B4045" w:rsidRDefault="009B4045" w:rsidP="0001533E">
      <w:pPr>
        <w:pStyle w:val="BodyTextIndent"/>
        <w:ind w:left="0"/>
      </w:pPr>
      <w:r>
        <w:t xml:space="preserve">However, even in these difficult labour market conditions, how have APTC graduates performed? The fourth column shows that many students were not in paid work when they started their training for most of these qualifications. A comparison of the employment rates before (the reverse of column 1) and after graduation (column 4) shows that in all instances there has been an improvement in the employment rates </w:t>
      </w:r>
      <w:r w:rsidR="00D452AE">
        <w:t xml:space="preserve">after </w:t>
      </w:r>
      <w:r>
        <w:t>APTC</w:t>
      </w:r>
      <w:r w:rsidR="00D452AE">
        <w:t xml:space="preserve"> training</w:t>
      </w:r>
      <w:r>
        <w:t xml:space="preserve">. Improvements in employment rates of between 42 and </w:t>
      </w:r>
      <w:r w:rsidR="00C60B0C">
        <w:t>30 </w:t>
      </w:r>
      <w:r>
        <w:t xml:space="preserve">percentage points are evident for past students in </w:t>
      </w:r>
      <w:r w:rsidRPr="00790C5A">
        <w:t>hairdressing</w:t>
      </w:r>
      <w:r>
        <w:t>,</w:t>
      </w:r>
      <w:r w:rsidRPr="00790C5A">
        <w:t xml:space="preserve"> carpentry</w:t>
      </w:r>
      <w:r>
        <w:t>,</w:t>
      </w:r>
      <w:r w:rsidRPr="00790C5A">
        <w:t xml:space="preserve"> automotive mechanical</w:t>
      </w:r>
      <w:r>
        <w:t>,</w:t>
      </w:r>
      <w:r w:rsidRPr="00790C5A">
        <w:t xml:space="preserve"> painting </w:t>
      </w:r>
      <w:r w:rsidR="00C60B0C">
        <w:t>and</w:t>
      </w:r>
      <w:r w:rsidR="00C60B0C" w:rsidRPr="00790C5A">
        <w:t xml:space="preserve"> </w:t>
      </w:r>
      <w:r w:rsidRPr="00790C5A">
        <w:t>decorating</w:t>
      </w:r>
      <w:r>
        <w:t>,</w:t>
      </w:r>
      <w:r w:rsidRPr="00790C5A">
        <w:t xml:space="preserve"> mechanical fitting </w:t>
      </w:r>
      <w:r w:rsidR="00C60B0C">
        <w:t>and</w:t>
      </w:r>
      <w:r w:rsidR="00C60B0C" w:rsidRPr="00790C5A">
        <w:t xml:space="preserve"> </w:t>
      </w:r>
      <w:r w:rsidRPr="00790C5A">
        <w:t>machining</w:t>
      </w:r>
      <w:r>
        <w:t>,</w:t>
      </w:r>
      <w:r w:rsidRPr="00790C5A">
        <w:t xml:space="preserve"> </w:t>
      </w:r>
      <w:r w:rsidR="00C60B0C">
        <w:t xml:space="preserve">and </w:t>
      </w:r>
      <w:r w:rsidRPr="00790C5A">
        <w:t xml:space="preserve">training </w:t>
      </w:r>
      <w:r w:rsidR="00C60B0C">
        <w:t>and</w:t>
      </w:r>
      <w:r w:rsidR="00C60B0C" w:rsidRPr="00790C5A">
        <w:t xml:space="preserve"> </w:t>
      </w:r>
      <w:r w:rsidRPr="00790C5A">
        <w:t>assess</w:t>
      </w:r>
      <w:r>
        <w:t xml:space="preserve">ment. Even with the past students in </w:t>
      </w:r>
      <w:r w:rsidR="00755FC4">
        <w:t xml:space="preserve">Certificate </w:t>
      </w:r>
      <w:r>
        <w:t xml:space="preserve">III in </w:t>
      </w:r>
      <w:r w:rsidR="00755FC4">
        <w:t xml:space="preserve">Wall and Floor Tiling </w:t>
      </w:r>
      <w:r>
        <w:t xml:space="preserve">who were mostly not in paid work before APTC, there is an improvement of </w:t>
      </w:r>
      <w:r w:rsidR="003329A4">
        <w:t>20 </w:t>
      </w:r>
      <w:r>
        <w:t xml:space="preserve">percentage points in their employment rate after graduation. Similarly, with the graduates of the Certificate III in </w:t>
      </w:r>
      <w:r w:rsidR="003329A4">
        <w:t>Tourism</w:t>
      </w:r>
      <w:r>
        <w:t xml:space="preserve">, there is an improvement of 22 percentage points in their post-graduation employment rate. </w:t>
      </w:r>
    </w:p>
    <w:p w14:paraId="178DFD5F" w14:textId="77777777" w:rsidR="003D355F" w:rsidRDefault="00CB108D" w:rsidP="002028A6">
      <w:pPr>
        <w:pStyle w:val="Heading2"/>
      </w:pPr>
      <w:bookmarkStart w:id="847" w:name="_Toc274145174"/>
      <w:bookmarkStart w:id="848" w:name="_Toc274900557"/>
      <w:bookmarkStart w:id="849" w:name="_Toc274909945"/>
      <w:bookmarkStart w:id="850" w:name="_Toc278447962"/>
      <w:bookmarkStart w:id="851" w:name="_Toc278453435"/>
      <w:r>
        <w:t>2.1</w:t>
      </w:r>
      <w:r>
        <w:tab/>
      </w:r>
      <w:r w:rsidR="009B4045" w:rsidRPr="005927E5">
        <w:t>Current employment status of APTC graduates</w:t>
      </w:r>
      <w:bookmarkEnd w:id="847"/>
      <w:bookmarkEnd w:id="848"/>
      <w:bookmarkEnd w:id="849"/>
      <w:bookmarkEnd w:id="850"/>
      <w:bookmarkEnd w:id="851"/>
    </w:p>
    <w:p w14:paraId="3D3DE5E0" w14:textId="77777777" w:rsidR="009B4045" w:rsidRDefault="009B4045" w:rsidP="009B4045">
      <w:r>
        <w:t xml:space="preserve">One-in-six of the graduates (15 per cent) who met with the review team and responded to the questionnaire are not now working. This high proportion of graduates not working reflects in particular labour market conditions in PNG for specific qualifications. </w:t>
      </w:r>
    </w:p>
    <w:p w14:paraId="0AA89D57" w14:textId="77777777" w:rsidR="009B4045" w:rsidRDefault="005219C1" w:rsidP="009B4045">
      <w:r>
        <w:t>The</w:t>
      </w:r>
      <w:r w:rsidR="009B4045">
        <w:t xml:space="preserve"> employment status of graduates </w:t>
      </w:r>
      <w:r>
        <w:t xml:space="preserve">prior to APTC </w:t>
      </w:r>
      <w:r w:rsidR="009B4045">
        <w:t>has a big impact on whether they are now working or not. Of those employed before starting at APTC, 88 per cent are now in work and 12 per cent are not now working. However, for those not working before APTC, only two-in-five (40 per</w:t>
      </w:r>
      <w:r w:rsidR="00C976E4">
        <w:t xml:space="preserve"> </w:t>
      </w:r>
      <w:r w:rsidR="009B4045">
        <w:t>cent) are now working and three-in-five (</w:t>
      </w:r>
      <w:r w:rsidR="00C976E4">
        <w:t>60 per </w:t>
      </w:r>
      <w:r w:rsidR="009B4045">
        <w:t xml:space="preserve">cent) are not now working. </w:t>
      </w:r>
    </w:p>
    <w:p w14:paraId="01A8D9B7" w14:textId="6751C134" w:rsidR="009B4045" w:rsidRDefault="009B4045" w:rsidP="009B4045">
      <w:r>
        <w:t xml:space="preserve">As many as 94 per cent were employed before APTC but only half (48 per cent) are still with the same employer after graduation. Some graduates had to leave their jobs to start their APTC training. Of those employed before APTC, three-in-five (62 per cent) continued in work and two-in-five were not in work while they were students. Overall just over one-in-four graduates not with the same employer are not now working. However, the proportion of graduates not in work varied greatly by qualification </w:t>
      </w:r>
      <w:r w:rsidR="00007ED4">
        <w:br/>
      </w:r>
      <w:r>
        <w:t xml:space="preserve">(see Table </w:t>
      </w:r>
      <w:r w:rsidR="00946806">
        <w:t>8.</w:t>
      </w:r>
      <w:r>
        <w:t xml:space="preserve">3). </w:t>
      </w:r>
    </w:p>
    <w:p w14:paraId="45B5036B" w14:textId="77777777" w:rsidR="009B4045" w:rsidRDefault="009B4045" w:rsidP="009B4045">
      <w:pPr>
        <w:pStyle w:val="Tableheading"/>
      </w:pPr>
      <w:bookmarkStart w:id="852" w:name="_Toc274146491"/>
      <w:bookmarkStart w:id="853" w:name="_Toc274915950"/>
      <w:bookmarkStart w:id="854" w:name="_Toc278446929"/>
      <w:r>
        <w:t xml:space="preserve">Table </w:t>
      </w:r>
      <w:r w:rsidR="00946806">
        <w:t>8.</w:t>
      </w:r>
      <w:r>
        <w:t xml:space="preserve">3: Proportion of APTC graduates </w:t>
      </w:r>
      <w:r w:rsidR="000B2C82">
        <w:t xml:space="preserve">by qualification </w:t>
      </w:r>
      <w:r>
        <w:t>not with the same employer prior to APTC who are not working now, June</w:t>
      </w:r>
      <w:r w:rsidR="00645E32">
        <w:t>–</w:t>
      </w:r>
      <w:r>
        <w:t>August 2014</w:t>
      </w:r>
      <w:r w:rsidR="00645E32">
        <w:t xml:space="preserve"> (%)</w:t>
      </w:r>
      <w:bookmarkEnd w:id="852"/>
      <w:bookmarkEnd w:id="853"/>
      <w:bookmarkEnd w:id="854"/>
    </w:p>
    <w:tbl>
      <w:tblPr>
        <w:tblW w:w="0" w:type="auto"/>
        <w:tblCellSpacing w:w="0" w:type="dxa"/>
        <w:tblInd w:w="74" w:type="dxa"/>
        <w:tblLayout w:type="fixed"/>
        <w:tblCellMar>
          <w:top w:w="15" w:type="dxa"/>
          <w:left w:w="15" w:type="dxa"/>
          <w:bottom w:w="15" w:type="dxa"/>
          <w:right w:w="15" w:type="dxa"/>
        </w:tblCellMar>
        <w:tblLook w:val="04A0" w:firstRow="1" w:lastRow="0" w:firstColumn="1" w:lastColumn="0" w:noHBand="0" w:noVBand="1"/>
      </w:tblPr>
      <w:tblGrid>
        <w:gridCol w:w="4634"/>
        <w:gridCol w:w="992"/>
        <w:gridCol w:w="383"/>
        <w:gridCol w:w="610"/>
      </w:tblGrid>
      <w:tr w:rsidR="00B0541E" w:rsidRPr="00FA241D" w14:paraId="50168534" w14:textId="77777777" w:rsidTr="007E66A0">
        <w:trPr>
          <w:trHeight w:val="696"/>
          <w:tblCellSpacing w:w="0" w:type="dxa"/>
        </w:trPr>
        <w:tc>
          <w:tcPr>
            <w:tcW w:w="4634" w:type="dxa"/>
            <w:shd w:val="clear" w:color="auto" w:fill="C5E0B3" w:themeFill="accent6" w:themeFillTint="66"/>
            <w:tcMar>
              <w:top w:w="0" w:type="dxa"/>
              <w:left w:w="20" w:type="dxa"/>
              <w:bottom w:w="20" w:type="dxa"/>
              <w:right w:w="0" w:type="dxa"/>
            </w:tcMar>
            <w:vAlign w:val="center"/>
          </w:tcPr>
          <w:p w14:paraId="4C50F3B7" w14:textId="77777777" w:rsidR="003D355F" w:rsidRDefault="009B4045">
            <w:pPr>
              <w:pStyle w:val="Insidebox"/>
              <w:spacing w:before="40" w:after="40"/>
              <w:rPr>
                <w:b/>
                <w:sz w:val="18"/>
                <w:szCs w:val="18"/>
              </w:rPr>
            </w:pPr>
            <w:r w:rsidRPr="00FA241D">
              <w:rPr>
                <w:b/>
                <w:sz w:val="18"/>
                <w:szCs w:val="18"/>
              </w:rPr>
              <w:t>Qualification</w:t>
            </w:r>
          </w:p>
        </w:tc>
        <w:tc>
          <w:tcPr>
            <w:tcW w:w="992" w:type="dxa"/>
            <w:shd w:val="clear" w:color="auto" w:fill="C5E0B3" w:themeFill="accent6" w:themeFillTint="66"/>
            <w:tcMar>
              <w:top w:w="0" w:type="dxa"/>
              <w:left w:w="20" w:type="dxa"/>
              <w:bottom w:w="20" w:type="dxa"/>
              <w:right w:w="0" w:type="dxa"/>
            </w:tcMar>
            <w:vAlign w:val="bottom"/>
          </w:tcPr>
          <w:p w14:paraId="58A2A299" w14:textId="77777777" w:rsidR="009B4045" w:rsidRPr="00FA241D" w:rsidRDefault="009B4045" w:rsidP="007E66A0">
            <w:pPr>
              <w:pStyle w:val="Insidebox"/>
              <w:spacing w:before="40" w:after="40"/>
              <w:jc w:val="center"/>
              <w:rPr>
                <w:b/>
                <w:sz w:val="18"/>
                <w:szCs w:val="18"/>
              </w:rPr>
            </w:pPr>
            <w:r w:rsidRPr="00FA241D">
              <w:rPr>
                <w:b/>
                <w:sz w:val="18"/>
                <w:szCs w:val="18"/>
              </w:rPr>
              <w:t>Not employed %</w:t>
            </w:r>
          </w:p>
        </w:tc>
        <w:tc>
          <w:tcPr>
            <w:tcW w:w="993" w:type="dxa"/>
            <w:gridSpan w:val="2"/>
            <w:shd w:val="clear" w:color="auto" w:fill="C5E0B3" w:themeFill="accent6" w:themeFillTint="66"/>
            <w:tcMar>
              <w:top w:w="0" w:type="dxa"/>
              <w:left w:w="20" w:type="dxa"/>
              <w:bottom w:w="20" w:type="dxa"/>
              <w:right w:w="0" w:type="dxa"/>
            </w:tcMar>
            <w:vAlign w:val="center"/>
          </w:tcPr>
          <w:p w14:paraId="7244AFBB" w14:textId="77777777" w:rsidR="009B4045" w:rsidRPr="00FA241D" w:rsidRDefault="009B4045" w:rsidP="007E66A0">
            <w:pPr>
              <w:pStyle w:val="Insidebox"/>
              <w:spacing w:before="40" w:after="40"/>
              <w:jc w:val="center"/>
              <w:rPr>
                <w:b/>
                <w:sz w:val="18"/>
                <w:szCs w:val="18"/>
              </w:rPr>
            </w:pPr>
            <w:r w:rsidRPr="00FA241D">
              <w:rPr>
                <w:b/>
                <w:sz w:val="18"/>
                <w:szCs w:val="18"/>
              </w:rPr>
              <w:t>N</w:t>
            </w:r>
          </w:p>
        </w:tc>
      </w:tr>
      <w:tr w:rsidR="00B0541E" w:rsidRPr="00FA241D" w14:paraId="3870F153" w14:textId="77777777" w:rsidTr="007E66A0">
        <w:trPr>
          <w:trHeight w:val="125"/>
          <w:tblCellSpacing w:w="0" w:type="dxa"/>
        </w:trPr>
        <w:tc>
          <w:tcPr>
            <w:tcW w:w="4634" w:type="dxa"/>
            <w:tcMar>
              <w:top w:w="0" w:type="dxa"/>
              <w:left w:w="20" w:type="dxa"/>
              <w:bottom w:w="20" w:type="dxa"/>
              <w:right w:w="0" w:type="dxa"/>
            </w:tcMar>
          </w:tcPr>
          <w:p w14:paraId="0B0107DE" w14:textId="77777777" w:rsidR="009B4045" w:rsidRPr="00FA241D" w:rsidRDefault="009B4045" w:rsidP="006D6149">
            <w:pPr>
              <w:pStyle w:val="Insidebox"/>
              <w:spacing w:before="40" w:after="40"/>
              <w:rPr>
                <w:sz w:val="18"/>
              </w:rPr>
            </w:pPr>
            <w:r w:rsidRPr="00FA241D">
              <w:rPr>
                <w:sz w:val="18"/>
              </w:rPr>
              <w:t xml:space="preserve">Certificate IV </w:t>
            </w:r>
            <w:r w:rsidR="006D6149">
              <w:rPr>
                <w:sz w:val="18"/>
              </w:rPr>
              <w:t>in Y</w:t>
            </w:r>
            <w:r w:rsidR="006D6149" w:rsidRPr="00FA241D">
              <w:rPr>
                <w:sz w:val="18"/>
              </w:rPr>
              <w:t xml:space="preserve">outh </w:t>
            </w:r>
            <w:r w:rsidR="006D6149">
              <w:rPr>
                <w:sz w:val="18"/>
              </w:rPr>
              <w:t>W</w:t>
            </w:r>
            <w:r w:rsidR="006D6149" w:rsidRPr="00FA241D">
              <w:rPr>
                <w:sz w:val="18"/>
              </w:rPr>
              <w:t>ork</w:t>
            </w:r>
          </w:p>
        </w:tc>
        <w:tc>
          <w:tcPr>
            <w:tcW w:w="992" w:type="dxa"/>
            <w:tcMar>
              <w:top w:w="0" w:type="dxa"/>
              <w:left w:w="20" w:type="dxa"/>
              <w:bottom w:w="20" w:type="dxa"/>
              <w:right w:w="0" w:type="dxa"/>
            </w:tcMar>
            <w:vAlign w:val="bottom"/>
          </w:tcPr>
          <w:p w14:paraId="4197794F" w14:textId="77777777" w:rsidR="009B4045" w:rsidRPr="00FA241D" w:rsidRDefault="009B4045" w:rsidP="007E66A0">
            <w:pPr>
              <w:pStyle w:val="Insidebox"/>
              <w:spacing w:before="40" w:after="40"/>
              <w:jc w:val="center"/>
              <w:rPr>
                <w:sz w:val="18"/>
              </w:rPr>
            </w:pPr>
            <w:r w:rsidRPr="00FA241D">
              <w:rPr>
                <w:sz w:val="18"/>
              </w:rPr>
              <w:t>57</w:t>
            </w:r>
          </w:p>
        </w:tc>
        <w:tc>
          <w:tcPr>
            <w:tcW w:w="993" w:type="dxa"/>
            <w:gridSpan w:val="2"/>
            <w:tcMar>
              <w:top w:w="0" w:type="dxa"/>
              <w:left w:w="20" w:type="dxa"/>
              <w:bottom w:w="20" w:type="dxa"/>
              <w:right w:w="0" w:type="dxa"/>
            </w:tcMar>
            <w:vAlign w:val="center"/>
          </w:tcPr>
          <w:p w14:paraId="6B15A53C" w14:textId="77777777" w:rsidR="009B4045" w:rsidRPr="00FA241D" w:rsidRDefault="009B4045" w:rsidP="007E66A0">
            <w:pPr>
              <w:pStyle w:val="Insidebox"/>
              <w:spacing w:before="40" w:after="40"/>
              <w:jc w:val="center"/>
              <w:rPr>
                <w:sz w:val="18"/>
              </w:rPr>
            </w:pPr>
            <w:r w:rsidRPr="00FA241D">
              <w:rPr>
                <w:sz w:val="18"/>
              </w:rPr>
              <w:t>7</w:t>
            </w:r>
          </w:p>
        </w:tc>
      </w:tr>
      <w:tr w:rsidR="00B0541E" w:rsidRPr="00FA241D" w14:paraId="58C3228B" w14:textId="77777777" w:rsidTr="007E66A0">
        <w:trPr>
          <w:trHeight w:val="243"/>
          <w:tblCellSpacing w:w="0" w:type="dxa"/>
        </w:trPr>
        <w:tc>
          <w:tcPr>
            <w:tcW w:w="4634" w:type="dxa"/>
            <w:tcMar>
              <w:top w:w="0" w:type="dxa"/>
              <w:left w:w="20" w:type="dxa"/>
              <w:bottom w:w="20" w:type="dxa"/>
              <w:right w:w="0" w:type="dxa"/>
            </w:tcMar>
          </w:tcPr>
          <w:p w14:paraId="5FE6C0D0" w14:textId="77777777" w:rsidR="009B4045" w:rsidRPr="00FA241D" w:rsidRDefault="009B4045" w:rsidP="006D6149">
            <w:pPr>
              <w:pStyle w:val="Insidebox"/>
              <w:spacing w:before="40" w:after="40"/>
              <w:rPr>
                <w:sz w:val="18"/>
              </w:rPr>
            </w:pPr>
            <w:r w:rsidRPr="00FA241D">
              <w:rPr>
                <w:sz w:val="18"/>
              </w:rPr>
              <w:t xml:space="preserve">Certificate III </w:t>
            </w:r>
            <w:r w:rsidR="006D6149">
              <w:rPr>
                <w:sz w:val="18"/>
              </w:rPr>
              <w:t>in C</w:t>
            </w:r>
            <w:r w:rsidR="006D6149" w:rsidRPr="00FA241D">
              <w:rPr>
                <w:sz w:val="18"/>
              </w:rPr>
              <w:t xml:space="preserve">hildren's </w:t>
            </w:r>
            <w:r w:rsidR="006D6149">
              <w:rPr>
                <w:sz w:val="18"/>
              </w:rPr>
              <w:t>S</w:t>
            </w:r>
            <w:r w:rsidR="006D6149" w:rsidRPr="00FA241D">
              <w:rPr>
                <w:sz w:val="18"/>
              </w:rPr>
              <w:t>ervices</w:t>
            </w:r>
          </w:p>
        </w:tc>
        <w:tc>
          <w:tcPr>
            <w:tcW w:w="992" w:type="dxa"/>
            <w:tcMar>
              <w:top w:w="0" w:type="dxa"/>
              <w:left w:w="20" w:type="dxa"/>
              <w:bottom w:w="20" w:type="dxa"/>
              <w:right w:w="0" w:type="dxa"/>
            </w:tcMar>
            <w:vAlign w:val="bottom"/>
          </w:tcPr>
          <w:p w14:paraId="327FC63A" w14:textId="77777777" w:rsidR="009B4045" w:rsidRPr="00FA241D" w:rsidRDefault="009B4045" w:rsidP="007E66A0">
            <w:pPr>
              <w:pStyle w:val="Insidebox"/>
              <w:spacing w:before="40" w:after="40"/>
              <w:jc w:val="center"/>
              <w:rPr>
                <w:sz w:val="18"/>
              </w:rPr>
            </w:pPr>
            <w:r w:rsidRPr="00FA241D">
              <w:rPr>
                <w:sz w:val="18"/>
              </w:rPr>
              <w:t>50</w:t>
            </w:r>
          </w:p>
        </w:tc>
        <w:tc>
          <w:tcPr>
            <w:tcW w:w="993" w:type="dxa"/>
            <w:gridSpan w:val="2"/>
            <w:tcMar>
              <w:top w:w="0" w:type="dxa"/>
              <w:left w:w="20" w:type="dxa"/>
              <w:bottom w:w="20" w:type="dxa"/>
              <w:right w:w="0" w:type="dxa"/>
            </w:tcMar>
            <w:vAlign w:val="center"/>
          </w:tcPr>
          <w:p w14:paraId="6AE470AA" w14:textId="77777777" w:rsidR="009B4045" w:rsidRPr="00FA241D" w:rsidRDefault="009B4045" w:rsidP="007E66A0">
            <w:pPr>
              <w:pStyle w:val="Insidebox"/>
              <w:spacing w:before="40" w:after="40"/>
              <w:jc w:val="center"/>
              <w:rPr>
                <w:sz w:val="18"/>
              </w:rPr>
            </w:pPr>
            <w:r w:rsidRPr="00FA241D">
              <w:rPr>
                <w:sz w:val="18"/>
              </w:rPr>
              <w:t>12</w:t>
            </w:r>
          </w:p>
        </w:tc>
      </w:tr>
      <w:tr w:rsidR="00B0541E" w:rsidRPr="00FA241D" w14:paraId="57184101" w14:textId="77777777" w:rsidTr="007E66A0">
        <w:trPr>
          <w:trHeight w:val="276"/>
          <w:tblCellSpacing w:w="0" w:type="dxa"/>
        </w:trPr>
        <w:tc>
          <w:tcPr>
            <w:tcW w:w="4634" w:type="dxa"/>
            <w:tcMar>
              <w:top w:w="0" w:type="dxa"/>
              <w:left w:w="20" w:type="dxa"/>
              <w:bottom w:w="20" w:type="dxa"/>
              <w:right w:w="0" w:type="dxa"/>
            </w:tcMar>
          </w:tcPr>
          <w:p w14:paraId="511100D7" w14:textId="77777777" w:rsidR="009B4045" w:rsidRPr="00FA241D" w:rsidRDefault="009B4045" w:rsidP="006D6149">
            <w:pPr>
              <w:pStyle w:val="Insidebox"/>
              <w:spacing w:before="40" w:after="40"/>
              <w:rPr>
                <w:sz w:val="18"/>
              </w:rPr>
            </w:pPr>
            <w:r w:rsidRPr="00FA241D">
              <w:rPr>
                <w:sz w:val="18"/>
              </w:rPr>
              <w:t xml:space="preserve">Certificate III </w:t>
            </w:r>
            <w:r w:rsidR="006D6149">
              <w:rPr>
                <w:sz w:val="18"/>
              </w:rPr>
              <w:t>in H</w:t>
            </w:r>
            <w:r w:rsidR="006D6149" w:rsidRPr="00FA241D">
              <w:rPr>
                <w:sz w:val="18"/>
              </w:rPr>
              <w:t xml:space="preserve">ospitality </w:t>
            </w:r>
            <w:r w:rsidR="006D6149">
              <w:rPr>
                <w:sz w:val="18"/>
              </w:rPr>
              <w:t>O</w:t>
            </w:r>
            <w:r w:rsidR="006D6149" w:rsidRPr="00FA241D">
              <w:rPr>
                <w:sz w:val="18"/>
              </w:rPr>
              <w:t>perations</w:t>
            </w:r>
          </w:p>
        </w:tc>
        <w:tc>
          <w:tcPr>
            <w:tcW w:w="992" w:type="dxa"/>
            <w:tcMar>
              <w:top w:w="0" w:type="dxa"/>
              <w:left w:w="20" w:type="dxa"/>
              <w:bottom w:w="20" w:type="dxa"/>
              <w:right w:w="0" w:type="dxa"/>
            </w:tcMar>
            <w:vAlign w:val="bottom"/>
          </w:tcPr>
          <w:p w14:paraId="145A29D9" w14:textId="77777777" w:rsidR="009B4045" w:rsidRPr="00FA241D" w:rsidRDefault="009B4045" w:rsidP="007E66A0">
            <w:pPr>
              <w:pStyle w:val="Insidebox"/>
              <w:spacing w:before="40" w:after="40"/>
              <w:jc w:val="center"/>
              <w:rPr>
                <w:sz w:val="18"/>
              </w:rPr>
            </w:pPr>
            <w:r w:rsidRPr="00FA241D">
              <w:rPr>
                <w:sz w:val="18"/>
              </w:rPr>
              <w:t>50</w:t>
            </w:r>
          </w:p>
        </w:tc>
        <w:tc>
          <w:tcPr>
            <w:tcW w:w="993" w:type="dxa"/>
            <w:gridSpan w:val="2"/>
            <w:tcMar>
              <w:top w:w="0" w:type="dxa"/>
              <w:left w:w="20" w:type="dxa"/>
              <w:bottom w:w="20" w:type="dxa"/>
              <w:right w:w="0" w:type="dxa"/>
            </w:tcMar>
            <w:vAlign w:val="center"/>
          </w:tcPr>
          <w:p w14:paraId="62043954" w14:textId="77777777" w:rsidR="009B4045" w:rsidRPr="00FA241D" w:rsidRDefault="009B4045" w:rsidP="007E66A0">
            <w:pPr>
              <w:pStyle w:val="Insidebox"/>
              <w:spacing w:before="40" w:after="40"/>
              <w:jc w:val="center"/>
              <w:rPr>
                <w:sz w:val="18"/>
              </w:rPr>
            </w:pPr>
            <w:r w:rsidRPr="00FA241D">
              <w:rPr>
                <w:sz w:val="18"/>
              </w:rPr>
              <w:t>4</w:t>
            </w:r>
          </w:p>
        </w:tc>
      </w:tr>
      <w:tr w:rsidR="00B0541E" w:rsidRPr="00FA241D" w14:paraId="60C8DA26" w14:textId="77777777" w:rsidTr="007E66A0">
        <w:trPr>
          <w:trHeight w:val="276"/>
          <w:tblCellSpacing w:w="0" w:type="dxa"/>
        </w:trPr>
        <w:tc>
          <w:tcPr>
            <w:tcW w:w="4634" w:type="dxa"/>
            <w:tcMar>
              <w:top w:w="0" w:type="dxa"/>
              <w:left w:w="20" w:type="dxa"/>
              <w:bottom w:w="20" w:type="dxa"/>
              <w:right w:w="0" w:type="dxa"/>
            </w:tcMar>
          </w:tcPr>
          <w:p w14:paraId="58829602" w14:textId="77777777" w:rsidR="009B4045" w:rsidRPr="00FA241D" w:rsidRDefault="009B4045" w:rsidP="006D6149">
            <w:pPr>
              <w:pStyle w:val="Insidebox"/>
              <w:spacing w:before="40" w:after="40"/>
              <w:rPr>
                <w:sz w:val="18"/>
              </w:rPr>
            </w:pPr>
            <w:r w:rsidRPr="00FA241D">
              <w:rPr>
                <w:sz w:val="18"/>
              </w:rPr>
              <w:t xml:space="preserve">Certificate III </w:t>
            </w:r>
            <w:r w:rsidR="006D6149">
              <w:rPr>
                <w:sz w:val="18"/>
              </w:rPr>
              <w:t>in H</w:t>
            </w:r>
            <w:r w:rsidR="006D6149" w:rsidRPr="00FA241D">
              <w:rPr>
                <w:sz w:val="18"/>
              </w:rPr>
              <w:t xml:space="preserve">ome </w:t>
            </w:r>
            <w:r w:rsidRPr="00FA241D">
              <w:rPr>
                <w:sz w:val="18"/>
              </w:rPr>
              <w:t xml:space="preserve">and </w:t>
            </w:r>
            <w:r w:rsidR="006D6149">
              <w:rPr>
                <w:sz w:val="18"/>
              </w:rPr>
              <w:t>C</w:t>
            </w:r>
            <w:r w:rsidR="006D6149" w:rsidRPr="00FA241D">
              <w:rPr>
                <w:sz w:val="18"/>
              </w:rPr>
              <w:t xml:space="preserve">ommunity </w:t>
            </w:r>
            <w:r w:rsidR="006D6149">
              <w:rPr>
                <w:sz w:val="18"/>
              </w:rPr>
              <w:t>C</w:t>
            </w:r>
            <w:r w:rsidR="006D6149" w:rsidRPr="00FA241D">
              <w:rPr>
                <w:sz w:val="18"/>
              </w:rPr>
              <w:t>are</w:t>
            </w:r>
            <w:r w:rsidRPr="00FA241D">
              <w:rPr>
                <w:sz w:val="18"/>
              </w:rPr>
              <w:t>/</w:t>
            </w:r>
            <w:r w:rsidR="006D6149">
              <w:rPr>
                <w:sz w:val="18"/>
              </w:rPr>
              <w:t>A</w:t>
            </w:r>
            <w:r w:rsidR="006D6149" w:rsidRPr="00FA241D">
              <w:rPr>
                <w:sz w:val="18"/>
              </w:rPr>
              <w:t xml:space="preserve">ged </w:t>
            </w:r>
            <w:r w:rsidR="006D6149">
              <w:rPr>
                <w:sz w:val="18"/>
              </w:rPr>
              <w:t>C</w:t>
            </w:r>
            <w:r w:rsidR="006D6149" w:rsidRPr="00FA241D">
              <w:rPr>
                <w:sz w:val="18"/>
              </w:rPr>
              <w:t>are</w:t>
            </w:r>
          </w:p>
        </w:tc>
        <w:tc>
          <w:tcPr>
            <w:tcW w:w="992" w:type="dxa"/>
            <w:tcMar>
              <w:top w:w="0" w:type="dxa"/>
              <w:left w:w="20" w:type="dxa"/>
              <w:bottom w:w="20" w:type="dxa"/>
              <w:right w:w="0" w:type="dxa"/>
            </w:tcMar>
            <w:vAlign w:val="bottom"/>
          </w:tcPr>
          <w:p w14:paraId="24C1B1FB" w14:textId="77777777" w:rsidR="009B4045" w:rsidRPr="00FA241D" w:rsidRDefault="009B4045" w:rsidP="007E66A0">
            <w:pPr>
              <w:pStyle w:val="Insidebox"/>
              <w:spacing w:before="40" w:after="40"/>
              <w:jc w:val="center"/>
              <w:rPr>
                <w:sz w:val="18"/>
              </w:rPr>
            </w:pPr>
            <w:r w:rsidRPr="00FA241D">
              <w:rPr>
                <w:sz w:val="18"/>
              </w:rPr>
              <w:t>50</w:t>
            </w:r>
          </w:p>
        </w:tc>
        <w:tc>
          <w:tcPr>
            <w:tcW w:w="993" w:type="dxa"/>
            <w:gridSpan w:val="2"/>
            <w:tcMar>
              <w:top w:w="0" w:type="dxa"/>
              <w:left w:w="20" w:type="dxa"/>
              <w:bottom w:w="20" w:type="dxa"/>
              <w:right w:w="0" w:type="dxa"/>
            </w:tcMar>
            <w:vAlign w:val="center"/>
          </w:tcPr>
          <w:p w14:paraId="35D5A933" w14:textId="77777777" w:rsidR="009B4045" w:rsidRPr="00FA241D" w:rsidRDefault="009B4045" w:rsidP="007E66A0">
            <w:pPr>
              <w:pStyle w:val="Insidebox"/>
              <w:spacing w:before="40" w:after="40"/>
              <w:jc w:val="center"/>
              <w:rPr>
                <w:sz w:val="18"/>
              </w:rPr>
            </w:pPr>
            <w:r w:rsidRPr="00FA241D">
              <w:rPr>
                <w:sz w:val="18"/>
              </w:rPr>
              <w:t>2</w:t>
            </w:r>
          </w:p>
        </w:tc>
      </w:tr>
      <w:tr w:rsidR="00B0541E" w:rsidRPr="00FA241D" w14:paraId="3349460E" w14:textId="77777777" w:rsidTr="007E66A0">
        <w:trPr>
          <w:trHeight w:val="276"/>
          <w:tblCellSpacing w:w="0" w:type="dxa"/>
        </w:trPr>
        <w:tc>
          <w:tcPr>
            <w:tcW w:w="4634" w:type="dxa"/>
            <w:tcMar>
              <w:top w:w="0" w:type="dxa"/>
              <w:left w:w="20" w:type="dxa"/>
              <w:bottom w:w="20" w:type="dxa"/>
              <w:right w:w="0" w:type="dxa"/>
            </w:tcMar>
          </w:tcPr>
          <w:p w14:paraId="1465CEBB" w14:textId="77777777" w:rsidR="009B4045" w:rsidRPr="00FA241D" w:rsidRDefault="009B4045" w:rsidP="006D6149">
            <w:pPr>
              <w:pStyle w:val="Insidebox"/>
              <w:spacing w:before="40" w:after="40"/>
              <w:rPr>
                <w:sz w:val="18"/>
              </w:rPr>
            </w:pPr>
            <w:r w:rsidRPr="00FA241D">
              <w:rPr>
                <w:sz w:val="18"/>
              </w:rPr>
              <w:t xml:space="preserve">Certificate III </w:t>
            </w:r>
            <w:r w:rsidR="006D6149">
              <w:rPr>
                <w:sz w:val="18"/>
              </w:rPr>
              <w:t>in M</w:t>
            </w:r>
            <w:r w:rsidR="006D6149" w:rsidRPr="00FA241D">
              <w:rPr>
                <w:sz w:val="18"/>
              </w:rPr>
              <w:t xml:space="preserve">echanical </w:t>
            </w:r>
            <w:r w:rsidR="006D6149">
              <w:rPr>
                <w:sz w:val="18"/>
              </w:rPr>
              <w:t>T</w:t>
            </w:r>
            <w:r w:rsidR="006D6149" w:rsidRPr="00FA241D">
              <w:rPr>
                <w:sz w:val="18"/>
              </w:rPr>
              <w:t xml:space="preserve">rade </w:t>
            </w:r>
            <w:r w:rsidRPr="00FA241D">
              <w:rPr>
                <w:sz w:val="18"/>
              </w:rPr>
              <w:t>(</w:t>
            </w:r>
            <w:r w:rsidR="006D6149">
              <w:rPr>
                <w:sz w:val="18"/>
              </w:rPr>
              <w:t>F</w:t>
            </w:r>
            <w:r w:rsidR="006D6149" w:rsidRPr="00FA241D">
              <w:rPr>
                <w:sz w:val="18"/>
              </w:rPr>
              <w:t xml:space="preserve">itting </w:t>
            </w:r>
            <w:r w:rsidRPr="00FA241D">
              <w:rPr>
                <w:sz w:val="18"/>
              </w:rPr>
              <w:t xml:space="preserve">&amp; </w:t>
            </w:r>
            <w:r w:rsidR="006D6149">
              <w:rPr>
                <w:sz w:val="18"/>
              </w:rPr>
              <w:t>M</w:t>
            </w:r>
            <w:r w:rsidR="006D6149" w:rsidRPr="00FA241D">
              <w:rPr>
                <w:sz w:val="18"/>
              </w:rPr>
              <w:t>achining</w:t>
            </w:r>
            <w:r w:rsidRPr="00FA241D">
              <w:rPr>
                <w:sz w:val="18"/>
              </w:rPr>
              <w:t>)</w:t>
            </w:r>
          </w:p>
        </w:tc>
        <w:tc>
          <w:tcPr>
            <w:tcW w:w="992" w:type="dxa"/>
            <w:tcMar>
              <w:top w:w="0" w:type="dxa"/>
              <w:left w:w="20" w:type="dxa"/>
              <w:bottom w:w="20" w:type="dxa"/>
              <w:right w:w="0" w:type="dxa"/>
            </w:tcMar>
            <w:vAlign w:val="bottom"/>
          </w:tcPr>
          <w:p w14:paraId="20B89721" w14:textId="77777777" w:rsidR="009B4045" w:rsidRPr="00FA241D" w:rsidRDefault="009B4045" w:rsidP="007E66A0">
            <w:pPr>
              <w:pStyle w:val="Insidebox"/>
              <w:spacing w:before="40" w:after="40"/>
              <w:jc w:val="center"/>
              <w:rPr>
                <w:sz w:val="18"/>
              </w:rPr>
            </w:pPr>
            <w:r w:rsidRPr="00FA241D">
              <w:rPr>
                <w:sz w:val="18"/>
              </w:rPr>
              <w:t>40</w:t>
            </w:r>
          </w:p>
        </w:tc>
        <w:tc>
          <w:tcPr>
            <w:tcW w:w="993" w:type="dxa"/>
            <w:gridSpan w:val="2"/>
            <w:tcMar>
              <w:top w:w="0" w:type="dxa"/>
              <w:left w:w="20" w:type="dxa"/>
              <w:bottom w:w="20" w:type="dxa"/>
              <w:right w:w="0" w:type="dxa"/>
            </w:tcMar>
            <w:vAlign w:val="center"/>
          </w:tcPr>
          <w:p w14:paraId="648A937E" w14:textId="77777777" w:rsidR="009B4045" w:rsidRPr="00FA241D" w:rsidRDefault="009B4045" w:rsidP="007E66A0">
            <w:pPr>
              <w:pStyle w:val="Insidebox"/>
              <w:spacing w:before="40" w:after="40"/>
              <w:jc w:val="center"/>
              <w:rPr>
                <w:sz w:val="18"/>
              </w:rPr>
            </w:pPr>
            <w:r w:rsidRPr="00FA241D">
              <w:rPr>
                <w:sz w:val="18"/>
              </w:rPr>
              <w:t>10</w:t>
            </w:r>
          </w:p>
        </w:tc>
      </w:tr>
      <w:tr w:rsidR="00B0541E" w:rsidRPr="00FA241D" w14:paraId="0544A96A" w14:textId="77777777" w:rsidTr="007E66A0">
        <w:trPr>
          <w:trHeight w:val="276"/>
          <w:tblCellSpacing w:w="0" w:type="dxa"/>
        </w:trPr>
        <w:tc>
          <w:tcPr>
            <w:tcW w:w="4634" w:type="dxa"/>
            <w:tcMar>
              <w:top w:w="0" w:type="dxa"/>
              <w:left w:w="20" w:type="dxa"/>
              <w:bottom w:w="20" w:type="dxa"/>
              <w:right w:w="0" w:type="dxa"/>
            </w:tcMar>
          </w:tcPr>
          <w:p w14:paraId="1D11558A" w14:textId="77777777" w:rsidR="009B4045" w:rsidRPr="00FA241D" w:rsidRDefault="009B4045" w:rsidP="002614C5">
            <w:pPr>
              <w:pStyle w:val="Insidebox"/>
              <w:spacing w:before="40" w:after="40"/>
              <w:rPr>
                <w:sz w:val="18"/>
              </w:rPr>
            </w:pPr>
            <w:r w:rsidRPr="00FA241D">
              <w:rPr>
                <w:sz w:val="18"/>
              </w:rPr>
              <w:t xml:space="preserve">Certificate III </w:t>
            </w:r>
            <w:r w:rsidR="002614C5">
              <w:rPr>
                <w:sz w:val="18"/>
              </w:rPr>
              <w:t>in F</w:t>
            </w:r>
            <w:r w:rsidR="002614C5" w:rsidRPr="00FA241D">
              <w:rPr>
                <w:sz w:val="18"/>
              </w:rPr>
              <w:t xml:space="preserve">abrication </w:t>
            </w:r>
            <w:r w:rsidR="002614C5">
              <w:rPr>
                <w:sz w:val="18"/>
              </w:rPr>
              <w:t>T</w:t>
            </w:r>
            <w:r w:rsidR="002614C5" w:rsidRPr="00FA241D">
              <w:rPr>
                <w:sz w:val="18"/>
              </w:rPr>
              <w:t>rade</w:t>
            </w:r>
          </w:p>
        </w:tc>
        <w:tc>
          <w:tcPr>
            <w:tcW w:w="992" w:type="dxa"/>
            <w:tcMar>
              <w:top w:w="0" w:type="dxa"/>
              <w:left w:w="20" w:type="dxa"/>
              <w:bottom w:w="20" w:type="dxa"/>
              <w:right w:w="0" w:type="dxa"/>
            </w:tcMar>
            <w:vAlign w:val="bottom"/>
          </w:tcPr>
          <w:p w14:paraId="3D0B496D" w14:textId="77777777" w:rsidR="009B4045" w:rsidRPr="00FA241D" w:rsidRDefault="009B4045" w:rsidP="007E66A0">
            <w:pPr>
              <w:pStyle w:val="Insidebox"/>
              <w:spacing w:before="40" w:after="40"/>
              <w:jc w:val="center"/>
              <w:rPr>
                <w:sz w:val="18"/>
              </w:rPr>
            </w:pPr>
            <w:r w:rsidRPr="00FA241D">
              <w:rPr>
                <w:sz w:val="18"/>
              </w:rPr>
              <w:t>40</w:t>
            </w:r>
          </w:p>
        </w:tc>
        <w:tc>
          <w:tcPr>
            <w:tcW w:w="993" w:type="dxa"/>
            <w:gridSpan w:val="2"/>
            <w:tcMar>
              <w:top w:w="0" w:type="dxa"/>
              <w:left w:w="20" w:type="dxa"/>
              <w:bottom w:w="20" w:type="dxa"/>
              <w:right w:w="0" w:type="dxa"/>
            </w:tcMar>
            <w:vAlign w:val="center"/>
          </w:tcPr>
          <w:p w14:paraId="750CC092" w14:textId="77777777" w:rsidR="009B4045" w:rsidRPr="00FA241D" w:rsidRDefault="009B4045" w:rsidP="007E66A0">
            <w:pPr>
              <w:pStyle w:val="Insidebox"/>
              <w:spacing w:before="40" w:after="40"/>
              <w:jc w:val="center"/>
              <w:rPr>
                <w:sz w:val="18"/>
              </w:rPr>
            </w:pPr>
            <w:r w:rsidRPr="00FA241D">
              <w:rPr>
                <w:sz w:val="18"/>
              </w:rPr>
              <w:t>5</w:t>
            </w:r>
          </w:p>
        </w:tc>
      </w:tr>
      <w:tr w:rsidR="00B0541E" w:rsidRPr="00FA241D" w14:paraId="73779788" w14:textId="77777777" w:rsidTr="007E66A0">
        <w:trPr>
          <w:trHeight w:val="276"/>
          <w:tblCellSpacing w:w="0" w:type="dxa"/>
        </w:trPr>
        <w:tc>
          <w:tcPr>
            <w:tcW w:w="4634" w:type="dxa"/>
            <w:tcMar>
              <w:top w:w="0" w:type="dxa"/>
              <w:left w:w="20" w:type="dxa"/>
              <w:bottom w:w="20" w:type="dxa"/>
              <w:right w:w="0" w:type="dxa"/>
            </w:tcMar>
          </w:tcPr>
          <w:p w14:paraId="3623EB1A" w14:textId="77777777" w:rsidR="009B4045" w:rsidRPr="00FA241D" w:rsidRDefault="009B4045" w:rsidP="002614C5">
            <w:pPr>
              <w:pStyle w:val="Insidebox"/>
              <w:spacing w:before="40" w:after="40"/>
              <w:rPr>
                <w:sz w:val="18"/>
              </w:rPr>
            </w:pPr>
            <w:r w:rsidRPr="00FA241D">
              <w:rPr>
                <w:sz w:val="18"/>
              </w:rPr>
              <w:t xml:space="preserve">Certificate III </w:t>
            </w:r>
            <w:r w:rsidR="002614C5">
              <w:rPr>
                <w:sz w:val="18"/>
              </w:rPr>
              <w:t>in T</w:t>
            </w:r>
            <w:r w:rsidR="002614C5" w:rsidRPr="00FA241D">
              <w:rPr>
                <w:sz w:val="18"/>
              </w:rPr>
              <w:t>ourism</w:t>
            </w:r>
          </w:p>
        </w:tc>
        <w:tc>
          <w:tcPr>
            <w:tcW w:w="992" w:type="dxa"/>
            <w:tcMar>
              <w:top w:w="0" w:type="dxa"/>
              <w:left w:w="20" w:type="dxa"/>
              <w:bottom w:w="20" w:type="dxa"/>
              <w:right w:w="0" w:type="dxa"/>
            </w:tcMar>
            <w:vAlign w:val="bottom"/>
          </w:tcPr>
          <w:p w14:paraId="1AFF02A3" w14:textId="77777777" w:rsidR="009B4045" w:rsidRPr="00FA241D" w:rsidRDefault="009B4045" w:rsidP="007E66A0">
            <w:pPr>
              <w:pStyle w:val="Insidebox"/>
              <w:spacing w:before="40" w:after="40"/>
              <w:jc w:val="center"/>
              <w:rPr>
                <w:sz w:val="18"/>
              </w:rPr>
            </w:pPr>
            <w:r w:rsidRPr="00FA241D">
              <w:rPr>
                <w:sz w:val="18"/>
              </w:rPr>
              <w:t>33</w:t>
            </w:r>
          </w:p>
        </w:tc>
        <w:tc>
          <w:tcPr>
            <w:tcW w:w="993" w:type="dxa"/>
            <w:gridSpan w:val="2"/>
            <w:tcMar>
              <w:top w:w="0" w:type="dxa"/>
              <w:left w:w="20" w:type="dxa"/>
              <w:bottom w:w="20" w:type="dxa"/>
              <w:right w:w="0" w:type="dxa"/>
            </w:tcMar>
            <w:vAlign w:val="center"/>
          </w:tcPr>
          <w:p w14:paraId="4414F7EA" w14:textId="77777777" w:rsidR="009B4045" w:rsidRPr="00FA241D" w:rsidRDefault="009B4045" w:rsidP="007E66A0">
            <w:pPr>
              <w:pStyle w:val="Insidebox"/>
              <w:spacing w:before="40" w:after="40"/>
              <w:jc w:val="center"/>
              <w:rPr>
                <w:sz w:val="18"/>
              </w:rPr>
            </w:pPr>
            <w:r w:rsidRPr="00FA241D">
              <w:rPr>
                <w:sz w:val="18"/>
              </w:rPr>
              <w:t>9</w:t>
            </w:r>
          </w:p>
        </w:tc>
      </w:tr>
      <w:tr w:rsidR="00B0541E" w:rsidRPr="00FA241D" w14:paraId="04A2BE46" w14:textId="77777777" w:rsidTr="007E66A0">
        <w:trPr>
          <w:trHeight w:val="276"/>
          <w:tblCellSpacing w:w="0" w:type="dxa"/>
        </w:trPr>
        <w:tc>
          <w:tcPr>
            <w:tcW w:w="4634" w:type="dxa"/>
            <w:tcMar>
              <w:top w:w="0" w:type="dxa"/>
              <w:left w:w="20" w:type="dxa"/>
              <w:bottom w:w="20" w:type="dxa"/>
              <w:right w:w="0" w:type="dxa"/>
            </w:tcMar>
          </w:tcPr>
          <w:p w14:paraId="4DFD4034" w14:textId="77777777" w:rsidR="009B4045" w:rsidRPr="00FA241D" w:rsidRDefault="009B4045" w:rsidP="002614C5">
            <w:pPr>
              <w:pStyle w:val="Insidebox"/>
              <w:spacing w:before="40" w:after="40"/>
              <w:rPr>
                <w:sz w:val="18"/>
              </w:rPr>
            </w:pPr>
            <w:r w:rsidRPr="00FA241D">
              <w:rPr>
                <w:sz w:val="18"/>
              </w:rPr>
              <w:t xml:space="preserve">Certificate III </w:t>
            </w:r>
            <w:r w:rsidR="002614C5">
              <w:rPr>
                <w:sz w:val="18"/>
              </w:rPr>
              <w:t>in C</w:t>
            </w:r>
            <w:r w:rsidR="002614C5" w:rsidRPr="00FA241D">
              <w:rPr>
                <w:sz w:val="18"/>
              </w:rPr>
              <w:t xml:space="preserve">ommunity </w:t>
            </w:r>
            <w:r w:rsidR="002614C5">
              <w:rPr>
                <w:sz w:val="18"/>
              </w:rPr>
              <w:t>S</w:t>
            </w:r>
            <w:r w:rsidR="002614C5" w:rsidRPr="00FA241D">
              <w:rPr>
                <w:sz w:val="18"/>
              </w:rPr>
              <w:t xml:space="preserve">ervices </w:t>
            </w:r>
            <w:r w:rsidR="002614C5">
              <w:rPr>
                <w:sz w:val="18"/>
              </w:rPr>
              <w:t>W</w:t>
            </w:r>
            <w:r w:rsidR="002614C5" w:rsidRPr="00FA241D">
              <w:rPr>
                <w:sz w:val="18"/>
              </w:rPr>
              <w:t>ork</w:t>
            </w:r>
          </w:p>
        </w:tc>
        <w:tc>
          <w:tcPr>
            <w:tcW w:w="992" w:type="dxa"/>
            <w:tcMar>
              <w:top w:w="0" w:type="dxa"/>
              <w:left w:w="20" w:type="dxa"/>
              <w:bottom w:w="20" w:type="dxa"/>
              <w:right w:w="0" w:type="dxa"/>
            </w:tcMar>
            <w:vAlign w:val="bottom"/>
          </w:tcPr>
          <w:p w14:paraId="0794F837" w14:textId="77777777" w:rsidR="009B4045" w:rsidRPr="00FA241D" w:rsidRDefault="009B4045" w:rsidP="007E66A0">
            <w:pPr>
              <w:pStyle w:val="Insidebox"/>
              <w:spacing w:before="40" w:after="40"/>
              <w:jc w:val="center"/>
              <w:rPr>
                <w:sz w:val="18"/>
              </w:rPr>
            </w:pPr>
            <w:r w:rsidRPr="00FA241D">
              <w:rPr>
                <w:sz w:val="18"/>
              </w:rPr>
              <w:t>33</w:t>
            </w:r>
          </w:p>
        </w:tc>
        <w:tc>
          <w:tcPr>
            <w:tcW w:w="993" w:type="dxa"/>
            <w:gridSpan w:val="2"/>
            <w:tcMar>
              <w:top w:w="0" w:type="dxa"/>
              <w:left w:w="20" w:type="dxa"/>
              <w:bottom w:w="20" w:type="dxa"/>
              <w:right w:w="0" w:type="dxa"/>
            </w:tcMar>
            <w:vAlign w:val="center"/>
          </w:tcPr>
          <w:p w14:paraId="790309FA" w14:textId="77777777" w:rsidR="009B4045" w:rsidRPr="00FA241D" w:rsidRDefault="009B4045" w:rsidP="007E66A0">
            <w:pPr>
              <w:pStyle w:val="Insidebox"/>
              <w:spacing w:before="40" w:after="40"/>
              <w:jc w:val="center"/>
              <w:rPr>
                <w:sz w:val="18"/>
              </w:rPr>
            </w:pPr>
            <w:r w:rsidRPr="00FA241D">
              <w:rPr>
                <w:sz w:val="18"/>
              </w:rPr>
              <w:t>3</w:t>
            </w:r>
          </w:p>
        </w:tc>
      </w:tr>
      <w:tr w:rsidR="00B0541E" w:rsidRPr="00FA241D" w14:paraId="40BBC6F2" w14:textId="77777777" w:rsidTr="007E66A0">
        <w:trPr>
          <w:trHeight w:val="276"/>
          <w:tblCellSpacing w:w="0" w:type="dxa"/>
        </w:trPr>
        <w:tc>
          <w:tcPr>
            <w:tcW w:w="4634" w:type="dxa"/>
            <w:tcMar>
              <w:top w:w="0" w:type="dxa"/>
              <w:left w:w="20" w:type="dxa"/>
              <w:bottom w:w="20" w:type="dxa"/>
              <w:right w:w="0" w:type="dxa"/>
            </w:tcMar>
          </w:tcPr>
          <w:p w14:paraId="726A400B" w14:textId="77777777" w:rsidR="009B4045" w:rsidRPr="00FA241D" w:rsidRDefault="009B4045" w:rsidP="002614C5">
            <w:pPr>
              <w:pStyle w:val="Insidebox"/>
              <w:spacing w:before="40" w:after="40"/>
              <w:rPr>
                <w:sz w:val="18"/>
              </w:rPr>
            </w:pPr>
            <w:r w:rsidRPr="00FA241D">
              <w:rPr>
                <w:sz w:val="18"/>
              </w:rPr>
              <w:t xml:space="preserve">Certificate III </w:t>
            </w:r>
            <w:r w:rsidR="002614C5">
              <w:rPr>
                <w:sz w:val="18"/>
              </w:rPr>
              <w:t>in H</w:t>
            </w:r>
            <w:r w:rsidR="002614C5" w:rsidRPr="00FA241D">
              <w:rPr>
                <w:sz w:val="18"/>
              </w:rPr>
              <w:t xml:space="preserve">ospitality </w:t>
            </w:r>
            <w:r w:rsidR="002614C5">
              <w:rPr>
                <w:sz w:val="18"/>
              </w:rPr>
              <w:t>S</w:t>
            </w:r>
            <w:r w:rsidR="002614C5" w:rsidRPr="00FA241D">
              <w:rPr>
                <w:sz w:val="18"/>
              </w:rPr>
              <w:t>upervision</w:t>
            </w:r>
          </w:p>
        </w:tc>
        <w:tc>
          <w:tcPr>
            <w:tcW w:w="992" w:type="dxa"/>
            <w:tcMar>
              <w:top w:w="0" w:type="dxa"/>
              <w:left w:w="20" w:type="dxa"/>
              <w:bottom w:w="20" w:type="dxa"/>
              <w:right w:w="0" w:type="dxa"/>
            </w:tcMar>
            <w:vAlign w:val="bottom"/>
          </w:tcPr>
          <w:p w14:paraId="7127E42C" w14:textId="77777777" w:rsidR="009B4045" w:rsidRPr="00FA241D" w:rsidRDefault="009B4045" w:rsidP="007E66A0">
            <w:pPr>
              <w:pStyle w:val="Insidebox"/>
              <w:spacing w:before="40" w:after="40"/>
              <w:jc w:val="center"/>
              <w:rPr>
                <w:sz w:val="18"/>
              </w:rPr>
            </w:pPr>
            <w:r w:rsidRPr="00FA241D">
              <w:rPr>
                <w:sz w:val="18"/>
              </w:rPr>
              <w:t>29</w:t>
            </w:r>
          </w:p>
        </w:tc>
        <w:tc>
          <w:tcPr>
            <w:tcW w:w="993" w:type="dxa"/>
            <w:gridSpan w:val="2"/>
            <w:tcMar>
              <w:top w:w="0" w:type="dxa"/>
              <w:left w:w="20" w:type="dxa"/>
              <w:bottom w:w="20" w:type="dxa"/>
              <w:right w:w="0" w:type="dxa"/>
            </w:tcMar>
            <w:vAlign w:val="center"/>
          </w:tcPr>
          <w:p w14:paraId="226967B1" w14:textId="77777777" w:rsidR="009B4045" w:rsidRPr="00FA241D" w:rsidRDefault="009B4045" w:rsidP="007E66A0">
            <w:pPr>
              <w:pStyle w:val="Insidebox"/>
              <w:spacing w:before="40" w:after="40"/>
              <w:jc w:val="center"/>
              <w:rPr>
                <w:sz w:val="18"/>
              </w:rPr>
            </w:pPr>
            <w:r w:rsidRPr="00FA241D">
              <w:rPr>
                <w:sz w:val="18"/>
              </w:rPr>
              <w:t>7</w:t>
            </w:r>
          </w:p>
        </w:tc>
      </w:tr>
      <w:tr w:rsidR="00B0541E" w:rsidRPr="00FA241D" w14:paraId="6BB4665E" w14:textId="77777777" w:rsidTr="007E66A0">
        <w:trPr>
          <w:trHeight w:val="276"/>
          <w:tblCellSpacing w:w="0" w:type="dxa"/>
        </w:trPr>
        <w:tc>
          <w:tcPr>
            <w:tcW w:w="4634" w:type="dxa"/>
            <w:tcMar>
              <w:top w:w="0" w:type="dxa"/>
              <w:left w:w="20" w:type="dxa"/>
              <w:bottom w:w="20" w:type="dxa"/>
              <w:right w:w="0" w:type="dxa"/>
            </w:tcMar>
          </w:tcPr>
          <w:p w14:paraId="7ECBFCFD" w14:textId="77777777" w:rsidR="009B4045" w:rsidRPr="00FA241D" w:rsidRDefault="009B4045" w:rsidP="002614C5">
            <w:pPr>
              <w:pStyle w:val="Insidebox"/>
              <w:spacing w:before="40" w:after="40"/>
              <w:rPr>
                <w:sz w:val="18"/>
              </w:rPr>
            </w:pPr>
            <w:r w:rsidRPr="00FA241D">
              <w:rPr>
                <w:sz w:val="18"/>
              </w:rPr>
              <w:t xml:space="preserve">Certificate III </w:t>
            </w:r>
            <w:r w:rsidR="002614C5">
              <w:rPr>
                <w:sz w:val="18"/>
              </w:rPr>
              <w:t>in C</w:t>
            </w:r>
            <w:r w:rsidR="002614C5" w:rsidRPr="00FA241D">
              <w:rPr>
                <w:sz w:val="18"/>
              </w:rPr>
              <w:t>arpentry</w:t>
            </w:r>
          </w:p>
        </w:tc>
        <w:tc>
          <w:tcPr>
            <w:tcW w:w="992" w:type="dxa"/>
            <w:tcMar>
              <w:top w:w="0" w:type="dxa"/>
              <w:left w:w="20" w:type="dxa"/>
              <w:bottom w:w="20" w:type="dxa"/>
              <w:right w:w="0" w:type="dxa"/>
            </w:tcMar>
            <w:vAlign w:val="bottom"/>
          </w:tcPr>
          <w:p w14:paraId="72B57642" w14:textId="77777777" w:rsidR="009B4045" w:rsidRPr="00FA241D" w:rsidRDefault="009B4045" w:rsidP="007E66A0">
            <w:pPr>
              <w:pStyle w:val="Insidebox"/>
              <w:spacing w:before="40" w:after="40"/>
              <w:jc w:val="center"/>
              <w:rPr>
                <w:sz w:val="18"/>
              </w:rPr>
            </w:pPr>
            <w:r w:rsidRPr="00FA241D">
              <w:rPr>
                <w:sz w:val="18"/>
              </w:rPr>
              <w:t>10</w:t>
            </w:r>
          </w:p>
        </w:tc>
        <w:tc>
          <w:tcPr>
            <w:tcW w:w="993" w:type="dxa"/>
            <w:gridSpan w:val="2"/>
            <w:tcMar>
              <w:top w:w="0" w:type="dxa"/>
              <w:left w:w="20" w:type="dxa"/>
              <w:bottom w:w="20" w:type="dxa"/>
              <w:right w:w="0" w:type="dxa"/>
            </w:tcMar>
            <w:vAlign w:val="center"/>
          </w:tcPr>
          <w:p w14:paraId="3686C806" w14:textId="77777777" w:rsidR="009B4045" w:rsidRPr="00FA241D" w:rsidRDefault="009B4045" w:rsidP="007E66A0">
            <w:pPr>
              <w:pStyle w:val="Insidebox"/>
              <w:spacing w:before="40" w:after="40"/>
              <w:jc w:val="center"/>
              <w:rPr>
                <w:sz w:val="18"/>
              </w:rPr>
            </w:pPr>
            <w:r w:rsidRPr="00FA241D">
              <w:rPr>
                <w:sz w:val="18"/>
              </w:rPr>
              <w:t>10</w:t>
            </w:r>
          </w:p>
        </w:tc>
      </w:tr>
      <w:tr w:rsidR="00B0541E" w:rsidRPr="002614C5" w14:paraId="0DC4D2AB" w14:textId="77777777" w:rsidTr="007E66A0">
        <w:trPr>
          <w:trHeight w:val="241"/>
          <w:tblCellSpacing w:w="0" w:type="dxa"/>
        </w:trPr>
        <w:tc>
          <w:tcPr>
            <w:tcW w:w="4634" w:type="dxa"/>
            <w:shd w:val="clear" w:color="auto" w:fill="E2EFD9" w:themeFill="accent6" w:themeFillTint="33"/>
            <w:tcMar>
              <w:top w:w="0" w:type="dxa"/>
              <w:left w:w="20" w:type="dxa"/>
              <w:bottom w:w="20" w:type="dxa"/>
              <w:right w:w="0" w:type="dxa"/>
            </w:tcMar>
            <w:vAlign w:val="bottom"/>
          </w:tcPr>
          <w:p w14:paraId="02C81C56" w14:textId="77777777" w:rsidR="009B4045" w:rsidRPr="002614C5" w:rsidRDefault="00546F37" w:rsidP="00FA241D">
            <w:pPr>
              <w:pStyle w:val="Insidebox"/>
              <w:spacing w:before="40" w:after="40"/>
              <w:rPr>
                <w:b/>
                <w:sz w:val="18"/>
              </w:rPr>
            </w:pPr>
            <w:r w:rsidRPr="00546F37">
              <w:rPr>
                <w:b/>
                <w:sz w:val="18"/>
              </w:rPr>
              <w:t xml:space="preserve">Total </w:t>
            </w:r>
          </w:p>
        </w:tc>
        <w:tc>
          <w:tcPr>
            <w:tcW w:w="992" w:type="dxa"/>
            <w:shd w:val="clear" w:color="auto" w:fill="E2EFD9" w:themeFill="accent6" w:themeFillTint="33"/>
            <w:tcMar>
              <w:top w:w="0" w:type="dxa"/>
              <w:left w:w="20" w:type="dxa"/>
              <w:bottom w:w="20" w:type="dxa"/>
              <w:right w:w="0" w:type="dxa"/>
            </w:tcMar>
            <w:vAlign w:val="bottom"/>
          </w:tcPr>
          <w:p w14:paraId="51F3D034" w14:textId="77777777" w:rsidR="009B4045" w:rsidRPr="002614C5" w:rsidRDefault="00546F37" w:rsidP="007E66A0">
            <w:pPr>
              <w:pStyle w:val="Insidebox"/>
              <w:spacing w:before="40" w:after="40"/>
              <w:jc w:val="center"/>
              <w:rPr>
                <w:b/>
                <w:sz w:val="18"/>
              </w:rPr>
            </w:pPr>
            <w:r w:rsidRPr="00546F37">
              <w:rPr>
                <w:b/>
                <w:sz w:val="18"/>
              </w:rPr>
              <w:t>27</w:t>
            </w:r>
          </w:p>
        </w:tc>
        <w:tc>
          <w:tcPr>
            <w:tcW w:w="993" w:type="dxa"/>
            <w:gridSpan w:val="2"/>
            <w:shd w:val="clear" w:color="auto" w:fill="E2EFD9" w:themeFill="accent6" w:themeFillTint="33"/>
            <w:tcMar>
              <w:top w:w="0" w:type="dxa"/>
              <w:left w:w="20" w:type="dxa"/>
              <w:bottom w:w="20" w:type="dxa"/>
              <w:right w:w="0" w:type="dxa"/>
            </w:tcMar>
            <w:vAlign w:val="center"/>
          </w:tcPr>
          <w:p w14:paraId="1187473E" w14:textId="77777777" w:rsidR="009B4045" w:rsidRPr="002614C5" w:rsidRDefault="00546F37" w:rsidP="007E66A0">
            <w:pPr>
              <w:pStyle w:val="Insidebox"/>
              <w:spacing w:before="40" w:after="40"/>
              <w:jc w:val="center"/>
              <w:rPr>
                <w:b/>
                <w:sz w:val="18"/>
              </w:rPr>
            </w:pPr>
            <w:r w:rsidRPr="00546F37">
              <w:rPr>
                <w:b/>
                <w:sz w:val="18"/>
              </w:rPr>
              <w:t>96</w:t>
            </w:r>
          </w:p>
        </w:tc>
      </w:tr>
      <w:tr w:rsidR="009B4045" w:rsidRPr="00FA241D" w14:paraId="7636B9C4" w14:textId="77777777" w:rsidTr="007E66A0">
        <w:trPr>
          <w:gridAfter w:val="1"/>
          <w:wAfter w:w="610" w:type="dxa"/>
          <w:trHeight w:val="217"/>
          <w:tblCellSpacing w:w="0" w:type="dxa"/>
        </w:trPr>
        <w:tc>
          <w:tcPr>
            <w:tcW w:w="6009" w:type="dxa"/>
            <w:gridSpan w:val="3"/>
            <w:tcMar>
              <w:top w:w="0" w:type="dxa"/>
              <w:left w:w="20" w:type="dxa"/>
              <w:bottom w:w="20" w:type="dxa"/>
              <w:right w:w="0" w:type="dxa"/>
            </w:tcMar>
            <w:vAlign w:val="bottom"/>
          </w:tcPr>
          <w:p w14:paraId="52D2A5FD" w14:textId="77777777" w:rsidR="009B4045" w:rsidRPr="00FA241D" w:rsidRDefault="009B4045" w:rsidP="00FA241D">
            <w:pPr>
              <w:pStyle w:val="Insidebox"/>
              <w:spacing w:before="40" w:after="40"/>
              <w:rPr>
                <w:sz w:val="18"/>
              </w:rPr>
            </w:pPr>
            <w:r w:rsidRPr="00FA241D">
              <w:rPr>
                <w:sz w:val="16"/>
              </w:rPr>
              <w:t>Source: Review Team Survey of APTC Graduates, June-August 2014</w:t>
            </w:r>
          </w:p>
        </w:tc>
      </w:tr>
    </w:tbl>
    <w:p w14:paraId="2C8192C2" w14:textId="77777777" w:rsidR="00FA241D" w:rsidRDefault="00FA241D" w:rsidP="009B4045">
      <w:pPr>
        <w:pStyle w:val="BodyTextIndent"/>
      </w:pPr>
    </w:p>
    <w:p w14:paraId="01E7EE61" w14:textId="006B00D7" w:rsidR="009B4045" w:rsidRPr="00317191" w:rsidRDefault="009B4045" w:rsidP="00FA241D">
      <w:pPr>
        <w:pStyle w:val="BodyTextIndent"/>
        <w:ind w:left="0"/>
      </w:pPr>
      <w:r w:rsidRPr="00317191">
        <w:t>The qualifications with the highest proportion of graduates not with the same employer and out of work are: youth work, (57 per cent), children's services (50 per cent), hospitality operation</w:t>
      </w:r>
      <w:r>
        <w:t>s</w:t>
      </w:r>
      <w:r w:rsidRPr="00317191">
        <w:t xml:space="preserve"> (50 per cent), home and community care/aged care (</w:t>
      </w:r>
      <w:r w:rsidR="007C07A4" w:rsidRPr="00317191">
        <w:t>50</w:t>
      </w:r>
      <w:r w:rsidR="007C07A4">
        <w:t> </w:t>
      </w:r>
      <w:r w:rsidR="007C07A4" w:rsidRPr="00317191">
        <w:t>per</w:t>
      </w:r>
      <w:r w:rsidR="007C07A4">
        <w:t> </w:t>
      </w:r>
      <w:r w:rsidRPr="00317191">
        <w:t>cent), mechanical trade (fitting &amp; machining) (40 per cent), fabrication trade (</w:t>
      </w:r>
      <w:r w:rsidR="007C07A4" w:rsidRPr="00317191">
        <w:t>40</w:t>
      </w:r>
      <w:r w:rsidR="007C07A4">
        <w:t> </w:t>
      </w:r>
      <w:r w:rsidRPr="00317191">
        <w:t>per cent), tourism (33 per cent), community services work (33 per</w:t>
      </w:r>
      <w:r w:rsidR="00145616">
        <w:t xml:space="preserve"> </w:t>
      </w:r>
      <w:r w:rsidRPr="00317191">
        <w:t xml:space="preserve">cent), hospitality supervision (29 per cent) and carpentry (10 per cent). </w:t>
      </w:r>
    </w:p>
    <w:p w14:paraId="0A618BAF" w14:textId="7CC1E830" w:rsidR="0023484A" w:rsidRPr="00BA7A45" w:rsidRDefault="009B4045" w:rsidP="00FA241D">
      <w:pPr>
        <w:pStyle w:val="BodyTextIndent"/>
        <w:ind w:left="0"/>
      </w:pPr>
      <w:r w:rsidRPr="00317191">
        <w:t xml:space="preserve">PNG and Fiji have the highest proportion of all graduates not working now (19 and </w:t>
      </w:r>
      <w:r w:rsidR="00F56E34" w:rsidRPr="00317191">
        <w:t>18</w:t>
      </w:r>
      <w:r w:rsidR="00F56E34">
        <w:t> </w:t>
      </w:r>
      <w:r w:rsidRPr="00317191">
        <w:t xml:space="preserve">per cent respectively). If those graduates still working with the same employer are excluded, the proportion of graduates not working now increases to 38 per cent in Fiji and 33 per cent in PNG. The proportion not now in work in Solomon Islands is </w:t>
      </w:r>
      <w:r w:rsidR="00F56E34" w:rsidRPr="00317191">
        <w:t>10</w:t>
      </w:r>
      <w:r w:rsidR="00F56E34">
        <w:t> </w:t>
      </w:r>
      <w:r w:rsidR="00F56E34" w:rsidRPr="00317191">
        <w:t>per</w:t>
      </w:r>
      <w:r w:rsidR="00F56E34">
        <w:t> </w:t>
      </w:r>
      <w:r w:rsidRPr="00317191">
        <w:t xml:space="preserve">cent and 8 per cent in Samoa. All graduates who responded in Vanuatu are now working. </w:t>
      </w:r>
      <w:r>
        <w:t>In the absence of labour force data on employment rates by occupation, it is not possible to know whether these not-employed rates are high or low. However, the data do point to the need for APTC to play closer attention to collecting better data on</w:t>
      </w:r>
      <w:r w:rsidR="007C0DE1">
        <w:t>,</w:t>
      </w:r>
      <w:r>
        <w:t xml:space="preserve"> and monitoring</w:t>
      </w:r>
      <w:r w:rsidR="007C0DE1">
        <w:t>,</w:t>
      </w:r>
      <w:r>
        <w:t xml:space="preserve"> employment rates by qualification. </w:t>
      </w:r>
      <w:r w:rsidR="007C0DE1">
        <w:t>The APTC-to-</w:t>
      </w:r>
      <w:r w:rsidR="00007ED4">
        <w:t>W</w:t>
      </w:r>
      <w:r w:rsidR="007C0DE1">
        <w:t xml:space="preserve">ork </w:t>
      </w:r>
      <w:r>
        <w:t xml:space="preserve">program also needs to provide support to improve the employment outcomes of graduates with these qualifications. </w:t>
      </w:r>
    </w:p>
    <w:p w14:paraId="4815E710" w14:textId="745F34F0" w:rsidR="003D355F" w:rsidRDefault="00CB108D" w:rsidP="002028A6">
      <w:pPr>
        <w:pStyle w:val="Heading1"/>
      </w:pPr>
      <w:bookmarkStart w:id="855" w:name="_Toc278447963"/>
      <w:bookmarkStart w:id="856" w:name="_Toc278453436"/>
      <w:r>
        <w:t xml:space="preserve">3 </w:t>
      </w:r>
      <w:r w:rsidR="0023484A">
        <w:tab/>
      </w:r>
      <w:r w:rsidR="009B4045">
        <w:t>Assessing the demand for APTC qualifications</w:t>
      </w:r>
      <w:bookmarkEnd w:id="855"/>
      <w:bookmarkEnd w:id="856"/>
    </w:p>
    <w:p w14:paraId="0B4E34B2" w14:textId="77777777" w:rsidR="009B4045" w:rsidRDefault="009B4045" w:rsidP="009B4045">
      <w:r>
        <w:t xml:space="preserve">Some patterns can be identified. Graduates in a number of qualifications focused on work in the community sector such as youth work, aged care, children’s services and community services face difficult labour market conditions. There may also be a limited demand for diploma graduates in children’s services. </w:t>
      </w:r>
    </w:p>
    <w:p w14:paraId="52484902" w14:textId="2415B4AC" w:rsidR="009B4045" w:rsidRPr="00C0778B" w:rsidRDefault="009B4045" w:rsidP="009B4045">
      <w:r>
        <w:t xml:space="preserve">Some qualifications serving the construction industry such as wall </w:t>
      </w:r>
      <w:r w:rsidR="00FF4A8C">
        <w:t xml:space="preserve">and </w:t>
      </w:r>
      <w:r>
        <w:t xml:space="preserve">floor tiling and painting </w:t>
      </w:r>
      <w:r w:rsidR="00FF4A8C">
        <w:t xml:space="preserve">and </w:t>
      </w:r>
      <w:r>
        <w:t xml:space="preserve">decorating may have a skills set which is too narrow in scope for smaller employers who are likely to </w:t>
      </w:r>
      <w:r w:rsidR="00E37733">
        <w:t xml:space="preserve">need </w:t>
      </w:r>
      <w:r>
        <w:t xml:space="preserve">workers with a broader range of construction skills. </w:t>
      </w:r>
      <w:r w:rsidR="003319A9">
        <w:t>A </w:t>
      </w:r>
      <w:r>
        <w:t xml:space="preserve">similar narrow scope of skills may also be limiting employment chances for graduates in patisserie. The demand for qualifications in hospitality and tourism may also be variable, depending on seasonal and other variable factors, especially in countries without a large tourist industry. </w:t>
      </w:r>
    </w:p>
    <w:p w14:paraId="3A25C258" w14:textId="77777777" w:rsidR="009B4045" w:rsidRDefault="009B4045" w:rsidP="00F91E8B">
      <w:pPr>
        <w:pStyle w:val="BodyTextIndent"/>
        <w:ind w:left="0"/>
      </w:pPr>
      <w:r>
        <w:t>T</w:t>
      </w:r>
      <w:r w:rsidRPr="00EA00B4">
        <w:t xml:space="preserve">he varying proportions of graduates in less than full-time work in Table </w:t>
      </w:r>
      <w:r w:rsidR="002B51D1">
        <w:t>8.3</w:t>
      </w:r>
      <w:r>
        <w:t xml:space="preserve"> </w:t>
      </w:r>
      <w:r w:rsidRPr="00EA00B4">
        <w:t>provides other evidence of the limited opportunities for regular full-time work in industry sectors such as construction.</w:t>
      </w:r>
      <w:r>
        <w:t xml:space="preserve"> The lack of regular work affects graduates in painting </w:t>
      </w:r>
      <w:r w:rsidR="00914521">
        <w:t xml:space="preserve">and </w:t>
      </w:r>
      <w:r>
        <w:t>decorating, and wall and floor tiling in particular</w:t>
      </w:r>
      <w:r w:rsidR="00914521">
        <w:t>,</w:t>
      </w:r>
      <w:r>
        <w:t xml:space="preserve"> as well as metal fabrication and carpentry. </w:t>
      </w:r>
    </w:p>
    <w:p w14:paraId="559D8408" w14:textId="0320F4F3" w:rsidR="009B4045" w:rsidRDefault="009B4045" w:rsidP="00F91E8B">
      <w:pPr>
        <w:pStyle w:val="BodyTextIndent"/>
        <w:ind w:left="0"/>
        <w:rPr>
          <w:lang w:eastAsia="en-AU"/>
        </w:rPr>
      </w:pPr>
      <w:r w:rsidRPr="0025079C">
        <w:rPr>
          <w:lang w:eastAsia="en-AU"/>
        </w:rPr>
        <w:t>The labour market conditions facing graduates also differ by country. In Fiji and Solomon Islands, one-in-</w:t>
      </w:r>
      <w:r w:rsidR="00980BED">
        <w:rPr>
          <w:lang w:eastAsia="en-AU"/>
        </w:rPr>
        <w:t>ten</w:t>
      </w:r>
      <w:r w:rsidR="00914521" w:rsidRPr="0025079C">
        <w:rPr>
          <w:lang w:eastAsia="en-AU"/>
        </w:rPr>
        <w:t xml:space="preserve"> </w:t>
      </w:r>
      <w:r w:rsidRPr="0025079C">
        <w:rPr>
          <w:lang w:eastAsia="en-AU"/>
        </w:rPr>
        <w:t xml:space="preserve">APTC </w:t>
      </w:r>
      <w:r>
        <w:rPr>
          <w:lang w:eastAsia="en-AU"/>
        </w:rPr>
        <w:t xml:space="preserve">past students </w:t>
      </w:r>
      <w:r w:rsidRPr="0025079C">
        <w:rPr>
          <w:lang w:eastAsia="en-AU"/>
        </w:rPr>
        <w:t xml:space="preserve">were </w:t>
      </w:r>
      <w:r>
        <w:rPr>
          <w:lang w:eastAsia="en-AU"/>
        </w:rPr>
        <w:t>not in employment</w:t>
      </w:r>
      <w:r w:rsidRPr="0025079C">
        <w:rPr>
          <w:lang w:eastAsia="en-AU"/>
        </w:rPr>
        <w:t xml:space="preserve">. Labour market conditions for APTC graduates in Kiribati are also difficult as one-in-four did not have paid work or were in casual or part-time work. </w:t>
      </w:r>
    </w:p>
    <w:p w14:paraId="16DF0D7C" w14:textId="142A7965" w:rsidR="003D355F" w:rsidRDefault="00AD1BBE" w:rsidP="002028A6">
      <w:pPr>
        <w:pStyle w:val="Heading1"/>
        <w:rPr>
          <w:lang w:eastAsia="en-AU"/>
        </w:rPr>
      </w:pPr>
      <w:bookmarkStart w:id="857" w:name="_Toc278447964"/>
      <w:bookmarkStart w:id="858" w:name="_Toc278453437"/>
      <w:r>
        <w:rPr>
          <w:lang w:eastAsia="en-AU"/>
        </w:rPr>
        <w:t xml:space="preserve">4 </w:t>
      </w:r>
      <w:r w:rsidR="0038315A">
        <w:rPr>
          <w:lang w:eastAsia="en-AU"/>
        </w:rPr>
        <w:tab/>
      </w:r>
      <w:r w:rsidR="009B4045">
        <w:rPr>
          <w:lang w:eastAsia="en-AU"/>
        </w:rPr>
        <w:t>Estimating the demand for APTC graduates</w:t>
      </w:r>
      <w:bookmarkEnd w:id="857"/>
      <w:bookmarkEnd w:id="858"/>
      <w:r w:rsidR="009B4045">
        <w:rPr>
          <w:lang w:eastAsia="en-AU"/>
        </w:rPr>
        <w:t xml:space="preserve"> </w:t>
      </w:r>
    </w:p>
    <w:p w14:paraId="06151B14" w14:textId="77777777" w:rsidR="009B4045" w:rsidRDefault="009B4045" w:rsidP="009B4045">
      <w:r>
        <w:t xml:space="preserve">Comparing the supply of APTC graduates with the economic demand for these graduates is a relatively simple one. As one of the purposes of the APTC training is to upgrade the skills of existing workers, an upper estimate of the size of the demand is the total number of workers in the relevant occupations. </w:t>
      </w:r>
    </w:p>
    <w:p w14:paraId="72BC7740" w14:textId="67F72408" w:rsidR="009B4045" w:rsidRDefault="009B4045" w:rsidP="009B4045">
      <w:r>
        <w:t xml:space="preserve">Table </w:t>
      </w:r>
      <w:r w:rsidR="00B72E3A">
        <w:t>8.</w:t>
      </w:r>
      <w:r>
        <w:t>4 below presents a comparison of the fields of study of APTC graduates with the total number of jobs (also known as the stock of jobs) in related occupations for eight Pacific countries. Data for PNG at this level of disaggregation are not available. These data on occupations are based on different levels of detail about occupations in each country</w:t>
      </w:r>
      <w:r w:rsidR="00007ED4">
        <w:t>,</w:t>
      </w:r>
      <w:r>
        <w:t xml:space="preserve"> </w:t>
      </w:r>
      <w:r w:rsidR="00007ED4">
        <w:t>s</w:t>
      </w:r>
      <w:r>
        <w:t xml:space="preserve">o the aggregate data offer only broad brush information. However, it is possible to conclude that there is a danger of oversupply of skills in three sectors. </w:t>
      </w:r>
    </w:p>
    <w:p w14:paraId="0E59FA05" w14:textId="5D4DF972" w:rsidR="0038315A" w:rsidRDefault="0038315A">
      <w:pPr>
        <w:spacing w:after="0"/>
        <w:rPr>
          <w:rFonts w:cs="Arial"/>
          <w:b/>
          <w:color w:val="76923C"/>
          <w:szCs w:val="22"/>
        </w:rPr>
      </w:pPr>
      <w:bookmarkStart w:id="859" w:name="_Toc274146492"/>
      <w:r>
        <w:br w:type="page"/>
      </w:r>
    </w:p>
    <w:p w14:paraId="4337B9CD" w14:textId="3C7FCFF7" w:rsidR="009B4045" w:rsidRDefault="009B4045" w:rsidP="009B4045">
      <w:pPr>
        <w:pStyle w:val="Tableheading"/>
      </w:pPr>
      <w:bookmarkStart w:id="860" w:name="_Toc274915951"/>
      <w:bookmarkStart w:id="861" w:name="_Toc278446930"/>
      <w:r>
        <w:t xml:space="preserve">Table </w:t>
      </w:r>
      <w:r w:rsidR="00C4184C">
        <w:t>8.</w:t>
      </w:r>
      <w:r>
        <w:t>4: Comparison of the supply of APTC graduates 2007</w:t>
      </w:r>
      <w:r w:rsidR="00BF54B5">
        <w:t>–</w:t>
      </w:r>
      <w:r>
        <w:t xml:space="preserve">2013 and number of available jobs in Fiji, Kiribati, Nauru, Samoa, Solomon Islands, Tonga, Tuvalu </w:t>
      </w:r>
      <w:r w:rsidR="00BF54B5">
        <w:t xml:space="preserve">and </w:t>
      </w:r>
      <w:r>
        <w:t>Vanuatu, 2009</w:t>
      </w:r>
      <w:r w:rsidR="00BF54B5">
        <w:t>–</w:t>
      </w:r>
      <w:r>
        <w:t>2012</w:t>
      </w:r>
      <w:bookmarkEnd w:id="859"/>
      <w:bookmarkEnd w:id="860"/>
      <w:bookmarkEnd w:id="861"/>
    </w:p>
    <w:tbl>
      <w:tblPr>
        <w:tblW w:w="8092" w:type="dxa"/>
        <w:tblInd w:w="108" w:type="dxa"/>
        <w:tblLook w:val="04A0" w:firstRow="1" w:lastRow="0" w:firstColumn="1" w:lastColumn="0" w:noHBand="0" w:noVBand="1"/>
      </w:tblPr>
      <w:tblGrid>
        <w:gridCol w:w="2694"/>
        <w:gridCol w:w="904"/>
        <w:gridCol w:w="2639"/>
        <w:gridCol w:w="767"/>
        <w:gridCol w:w="1088"/>
      </w:tblGrid>
      <w:tr w:rsidR="009B4045" w:rsidRPr="00F91E8B" w14:paraId="40AA6892" w14:textId="77777777" w:rsidTr="00BA7A45">
        <w:trPr>
          <w:trHeight w:val="852"/>
        </w:trPr>
        <w:tc>
          <w:tcPr>
            <w:tcW w:w="2694" w:type="dxa"/>
            <w:shd w:val="clear" w:color="000000" w:fill="C5E0B3" w:themeFill="accent6" w:themeFillTint="66"/>
          </w:tcPr>
          <w:p w14:paraId="4BDFC883" w14:textId="77777777" w:rsidR="003D355F" w:rsidRDefault="009B4045">
            <w:pPr>
              <w:spacing w:before="40" w:after="40"/>
              <w:rPr>
                <w:rFonts w:cs="Arial"/>
                <w:b/>
                <w:bCs/>
                <w:color w:val="000000"/>
                <w:sz w:val="18"/>
                <w:szCs w:val="18"/>
                <w:lang w:eastAsia="en-AU"/>
              </w:rPr>
            </w:pPr>
            <w:r w:rsidRPr="00F91E8B">
              <w:rPr>
                <w:rFonts w:cs="Arial"/>
                <w:b/>
                <w:bCs/>
                <w:color w:val="000000"/>
                <w:sz w:val="18"/>
                <w:szCs w:val="18"/>
                <w:lang w:eastAsia="en-AU"/>
              </w:rPr>
              <w:t>Supply: APTC graduates by field of study</w:t>
            </w:r>
          </w:p>
        </w:tc>
        <w:tc>
          <w:tcPr>
            <w:tcW w:w="904" w:type="dxa"/>
            <w:tcBorders>
              <w:right w:val="single" w:sz="4" w:space="0" w:color="A8D08D" w:themeColor="accent6" w:themeTint="99"/>
            </w:tcBorders>
            <w:shd w:val="clear" w:color="000000" w:fill="C5E0B3" w:themeFill="accent6" w:themeFillTint="66"/>
          </w:tcPr>
          <w:p w14:paraId="631C17AA" w14:textId="77777777" w:rsidR="009B4045" w:rsidRPr="00F91E8B" w:rsidRDefault="009B4045" w:rsidP="00BA7A45">
            <w:pPr>
              <w:spacing w:before="40" w:after="40"/>
              <w:jc w:val="right"/>
              <w:rPr>
                <w:rFonts w:cs="Arial"/>
                <w:b/>
                <w:bCs/>
                <w:color w:val="000000"/>
                <w:sz w:val="18"/>
                <w:szCs w:val="18"/>
                <w:lang w:eastAsia="en-AU"/>
              </w:rPr>
            </w:pPr>
            <w:r w:rsidRPr="00F91E8B">
              <w:rPr>
                <w:rFonts w:cs="Arial"/>
                <w:b/>
                <w:bCs/>
                <w:color w:val="000000"/>
                <w:sz w:val="18"/>
                <w:szCs w:val="18"/>
                <w:lang w:eastAsia="en-AU"/>
              </w:rPr>
              <w:t>N</w:t>
            </w:r>
          </w:p>
        </w:tc>
        <w:tc>
          <w:tcPr>
            <w:tcW w:w="2639" w:type="dxa"/>
            <w:tcBorders>
              <w:left w:val="single" w:sz="4" w:space="0" w:color="A8D08D" w:themeColor="accent6" w:themeTint="99"/>
            </w:tcBorders>
            <w:shd w:val="clear" w:color="000000" w:fill="C5E0B3" w:themeFill="accent6" w:themeFillTint="66"/>
          </w:tcPr>
          <w:p w14:paraId="47C4B8F0" w14:textId="77777777" w:rsidR="003D355F" w:rsidRDefault="009B4045">
            <w:pPr>
              <w:spacing w:before="40" w:after="40"/>
              <w:rPr>
                <w:rFonts w:cs="Arial"/>
                <w:b/>
                <w:bCs/>
                <w:color w:val="000000"/>
                <w:sz w:val="18"/>
                <w:szCs w:val="18"/>
                <w:lang w:eastAsia="en-AU"/>
              </w:rPr>
            </w:pPr>
            <w:r w:rsidRPr="00F91E8B">
              <w:rPr>
                <w:rFonts w:cs="Arial"/>
                <w:b/>
                <w:bCs/>
                <w:color w:val="000000"/>
                <w:sz w:val="18"/>
                <w:szCs w:val="18"/>
                <w:lang w:eastAsia="en-AU"/>
              </w:rPr>
              <w:t>Stock of jobs in related occupations, in selected Pacific countries</w:t>
            </w:r>
          </w:p>
        </w:tc>
        <w:tc>
          <w:tcPr>
            <w:tcW w:w="767" w:type="dxa"/>
            <w:shd w:val="clear" w:color="000000" w:fill="C5E0B3" w:themeFill="accent6" w:themeFillTint="66"/>
          </w:tcPr>
          <w:p w14:paraId="60F7A368" w14:textId="77777777" w:rsidR="009B4045" w:rsidRPr="00F91E8B" w:rsidRDefault="009B4045" w:rsidP="00BA7A45">
            <w:pPr>
              <w:spacing w:before="40" w:after="40"/>
              <w:jc w:val="right"/>
              <w:rPr>
                <w:rFonts w:cs="Arial"/>
                <w:b/>
                <w:bCs/>
                <w:color w:val="000000"/>
                <w:sz w:val="18"/>
                <w:szCs w:val="18"/>
                <w:lang w:eastAsia="en-AU"/>
              </w:rPr>
            </w:pPr>
            <w:r w:rsidRPr="00F91E8B">
              <w:rPr>
                <w:rFonts w:cs="Arial"/>
                <w:b/>
                <w:bCs/>
                <w:color w:val="000000"/>
                <w:sz w:val="18"/>
                <w:szCs w:val="18"/>
                <w:lang w:eastAsia="en-AU"/>
              </w:rPr>
              <w:t>N</w:t>
            </w:r>
          </w:p>
        </w:tc>
        <w:tc>
          <w:tcPr>
            <w:tcW w:w="1088" w:type="dxa"/>
            <w:shd w:val="clear" w:color="000000" w:fill="C5E0B3" w:themeFill="accent6" w:themeFillTint="66"/>
          </w:tcPr>
          <w:p w14:paraId="1744ACEB" w14:textId="77777777" w:rsidR="009B4045" w:rsidRPr="00F91E8B" w:rsidRDefault="009B4045" w:rsidP="00BA7A45">
            <w:pPr>
              <w:spacing w:before="40" w:after="40"/>
              <w:jc w:val="right"/>
              <w:rPr>
                <w:rFonts w:cs="Arial"/>
                <w:b/>
                <w:bCs/>
                <w:color w:val="000000"/>
                <w:sz w:val="18"/>
                <w:szCs w:val="18"/>
                <w:lang w:eastAsia="en-AU"/>
              </w:rPr>
            </w:pPr>
            <w:r w:rsidRPr="00F91E8B">
              <w:rPr>
                <w:rFonts w:cs="Arial"/>
                <w:b/>
                <w:bCs/>
                <w:color w:val="000000"/>
                <w:sz w:val="18"/>
                <w:szCs w:val="18"/>
                <w:lang w:eastAsia="en-AU"/>
              </w:rPr>
              <w:t>Ratio of supply to stock</w:t>
            </w:r>
          </w:p>
        </w:tc>
      </w:tr>
      <w:tr w:rsidR="009B4045" w:rsidRPr="0038315A" w14:paraId="59A766BB" w14:textId="77777777" w:rsidTr="00BA7A45">
        <w:trPr>
          <w:trHeight w:val="266"/>
        </w:trPr>
        <w:tc>
          <w:tcPr>
            <w:tcW w:w="2694" w:type="dxa"/>
            <w:shd w:val="pct12" w:color="FFFFFF" w:fill="FFFFFF"/>
          </w:tcPr>
          <w:p w14:paraId="647A8187" w14:textId="77777777" w:rsidR="009B4045" w:rsidRPr="0038315A" w:rsidRDefault="009B4045" w:rsidP="00F91E8B">
            <w:pPr>
              <w:pStyle w:val="Insidebox"/>
              <w:spacing w:before="40" w:after="40"/>
              <w:rPr>
                <w:sz w:val="18"/>
                <w:szCs w:val="20"/>
              </w:rPr>
            </w:pPr>
            <w:r w:rsidRPr="0038315A">
              <w:rPr>
                <w:sz w:val="18"/>
                <w:szCs w:val="20"/>
              </w:rPr>
              <w:t>Community services</w:t>
            </w:r>
          </w:p>
        </w:tc>
        <w:tc>
          <w:tcPr>
            <w:tcW w:w="904" w:type="dxa"/>
            <w:tcBorders>
              <w:right w:val="single" w:sz="4" w:space="0" w:color="A8D08D" w:themeColor="accent6" w:themeTint="99"/>
            </w:tcBorders>
            <w:shd w:val="clear" w:color="auto" w:fill="auto"/>
          </w:tcPr>
          <w:p w14:paraId="4AC805BD" w14:textId="77777777" w:rsidR="003D355F" w:rsidRPr="0038315A" w:rsidRDefault="009B4045">
            <w:pPr>
              <w:pStyle w:val="Insidebox"/>
              <w:spacing w:before="40" w:after="40"/>
              <w:jc w:val="right"/>
              <w:rPr>
                <w:sz w:val="18"/>
                <w:szCs w:val="20"/>
              </w:rPr>
            </w:pPr>
            <w:r w:rsidRPr="0038315A">
              <w:rPr>
                <w:sz w:val="18"/>
                <w:szCs w:val="20"/>
              </w:rPr>
              <w:t>1039</w:t>
            </w:r>
          </w:p>
        </w:tc>
        <w:tc>
          <w:tcPr>
            <w:tcW w:w="2639" w:type="dxa"/>
            <w:tcBorders>
              <w:left w:val="single" w:sz="4" w:space="0" w:color="A8D08D" w:themeColor="accent6" w:themeTint="99"/>
            </w:tcBorders>
            <w:shd w:val="pct12" w:color="FFFFFF" w:fill="FFFFFF"/>
          </w:tcPr>
          <w:p w14:paraId="7690FA80" w14:textId="77777777" w:rsidR="009B4045" w:rsidRPr="0038315A" w:rsidRDefault="009B4045" w:rsidP="00F91E8B">
            <w:pPr>
              <w:pStyle w:val="Insidebox"/>
              <w:spacing w:before="40" w:after="40"/>
              <w:rPr>
                <w:sz w:val="18"/>
                <w:szCs w:val="20"/>
              </w:rPr>
            </w:pPr>
            <w:r w:rsidRPr="0038315A">
              <w:rPr>
                <w:sz w:val="18"/>
                <w:szCs w:val="20"/>
              </w:rPr>
              <w:t>Community services</w:t>
            </w:r>
          </w:p>
        </w:tc>
        <w:tc>
          <w:tcPr>
            <w:tcW w:w="767" w:type="dxa"/>
            <w:shd w:val="clear" w:color="auto" w:fill="auto"/>
          </w:tcPr>
          <w:p w14:paraId="32E6EE59" w14:textId="77777777" w:rsidR="003D355F" w:rsidRPr="0038315A" w:rsidRDefault="009B4045">
            <w:pPr>
              <w:pStyle w:val="Insidebox"/>
              <w:spacing w:before="40" w:after="40"/>
              <w:jc w:val="right"/>
              <w:rPr>
                <w:sz w:val="18"/>
                <w:szCs w:val="20"/>
              </w:rPr>
            </w:pPr>
            <w:r w:rsidRPr="0038315A">
              <w:rPr>
                <w:sz w:val="18"/>
                <w:szCs w:val="20"/>
              </w:rPr>
              <w:t>3463</w:t>
            </w:r>
          </w:p>
        </w:tc>
        <w:tc>
          <w:tcPr>
            <w:tcW w:w="1088" w:type="dxa"/>
            <w:shd w:val="clear" w:color="auto" w:fill="auto"/>
          </w:tcPr>
          <w:p w14:paraId="60528AE5" w14:textId="77777777" w:rsidR="003D355F" w:rsidRPr="0038315A" w:rsidRDefault="009B4045">
            <w:pPr>
              <w:pStyle w:val="Insidebox"/>
              <w:spacing w:before="40" w:after="40"/>
              <w:jc w:val="right"/>
              <w:rPr>
                <w:sz w:val="18"/>
                <w:szCs w:val="20"/>
              </w:rPr>
            </w:pPr>
            <w:r w:rsidRPr="0038315A">
              <w:rPr>
                <w:sz w:val="18"/>
                <w:szCs w:val="20"/>
              </w:rPr>
              <w:t>3.3</w:t>
            </w:r>
          </w:p>
        </w:tc>
      </w:tr>
      <w:tr w:rsidR="009B4045" w:rsidRPr="0038315A" w14:paraId="29B58302" w14:textId="77777777" w:rsidTr="00BA7A45">
        <w:trPr>
          <w:trHeight w:val="243"/>
        </w:trPr>
        <w:tc>
          <w:tcPr>
            <w:tcW w:w="2694" w:type="dxa"/>
            <w:shd w:val="pct12" w:color="FFFFFF" w:fill="FFFFFF"/>
          </w:tcPr>
          <w:p w14:paraId="061CF139" w14:textId="77777777" w:rsidR="009B4045" w:rsidRPr="0038315A" w:rsidRDefault="009B4045" w:rsidP="00F91E8B">
            <w:pPr>
              <w:pStyle w:val="Insidebox"/>
              <w:spacing w:before="40" w:after="40"/>
              <w:rPr>
                <w:sz w:val="18"/>
                <w:szCs w:val="20"/>
              </w:rPr>
            </w:pPr>
            <w:r w:rsidRPr="0038315A">
              <w:rPr>
                <w:sz w:val="18"/>
                <w:szCs w:val="20"/>
              </w:rPr>
              <w:t>Hairdressing</w:t>
            </w:r>
          </w:p>
        </w:tc>
        <w:tc>
          <w:tcPr>
            <w:tcW w:w="904" w:type="dxa"/>
            <w:tcBorders>
              <w:right w:val="single" w:sz="4" w:space="0" w:color="A8D08D" w:themeColor="accent6" w:themeTint="99"/>
            </w:tcBorders>
            <w:shd w:val="clear" w:color="auto" w:fill="auto"/>
          </w:tcPr>
          <w:p w14:paraId="1F5ED0A8" w14:textId="77777777" w:rsidR="003D355F" w:rsidRPr="0038315A" w:rsidRDefault="009B4045">
            <w:pPr>
              <w:pStyle w:val="Insidebox"/>
              <w:spacing w:before="40" w:after="40"/>
              <w:jc w:val="right"/>
              <w:rPr>
                <w:sz w:val="18"/>
                <w:szCs w:val="20"/>
              </w:rPr>
            </w:pPr>
            <w:r w:rsidRPr="0038315A">
              <w:rPr>
                <w:sz w:val="18"/>
                <w:szCs w:val="20"/>
              </w:rPr>
              <w:t>119</w:t>
            </w:r>
          </w:p>
        </w:tc>
        <w:tc>
          <w:tcPr>
            <w:tcW w:w="2639" w:type="dxa"/>
            <w:tcBorders>
              <w:left w:val="single" w:sz="4" w:space="0" w:color="A8D08D" w:themeColor="accent6" w:themeTint="99"/>
            </w:tcBorders>
            <w:shd w:val="pct12" w:color="FFFFFF" w:fill="FFFFFF"/>
          </w:tcPr>
          <w:p w14:paraId="1377724F" w14:textId="77777777" w:rsidR="009B4045" w:rsidRPr="0038315A" w:rsidRDefault="009B4045" w:rsidP="00F91E8B">
            <w:pPr>
              <w:pStyle w:val="Insidebox"/>
              <w:spacing w:before="40" w:after="40"/>
              <w:rPr>
                <w:sz w:val="18"/>
                <w:szCs w:val="20"/>
              </w:rPr>
            </w:pPr>
            <w:r w:rsidRPr="0038315A">
              <w:rPr>
                <w:sz w:val="18"/>
                <w:szCs w:val="20"/>
              </w:rPr>
              <w:t>Hairdressing</w:t>
            </w:r>
          </w:p>
        </w:tc>
        <w:tc>
          <w:tcPr>
            <w:tcW w:w="767" w:type="dxa"/>
            <w:shd w:val="clear" w:color="auto" w:fill="auto"/>
          </w:tcPr>
          <w:p w14:paraId="6868F9CB" w14:textId="77777777" w:rsidR="003D355F" w:rsidRPr="0038315A" w:rsidRDefault="009B4045">
            <w:pPr>
              <w:pStyle w:val="Insidebox"/>
              <w:spacing w:before="40" w:after="40"/>
              <w:jc w:val="right"/>
              <w:rPr>
                <w:sz w:val="18"/>
                <w:szCs w:val="20"/>
              </w:rPr>
            </w:pPr>
            <w:r w:rsidRPr="0038315A">
              <w:rPr>
                <w:sz w:val="18"/>
                <w:szCs w:val="20"/>
              </w:rPr>
              <w:t>1741</w:t>
            </w:r>
          </w:p>
        </w:tc>
        <w:tc>
          <w:tcPr>
            <w:tcW w:w="1088" w:type="dxa"/>
            <w:shd w:val="clear" w:color="auto" w:fill="auto"/>
          </w:tcPr>
          <w:p w14:paraId="1E43CA53" w14:textId="77777777" w:rsidR="003D355F" w:rsidRPr="0038315A" w:rsidRDefault="009B4045">
            <w:pPr>
              <w:pStyle w:val="Insidebox"/>
              <w:spacing w:before="40" w:after="40"/>
              <w:jc w:val="right"/>
              <w:rPr>
                <w:sz w:val="18"/>
                <w:szCs w:val="20"/>
              </w:rPr>
            </w:pPr>
            <w:r w:rsidRPr="0038315A">
              <w:rPr>
                <w:sz w:val="18"/>
                <w:szCs w:val="20"/>
              </w:rPr>
              <w:t>14.6</w:t>
            </w:r>
          </w:p>
        </w:tc>
      </w:tr>
      <w:tr w:rsidR="009B4045" w:rsidRPr="0038315A" w14:paraId="1FEE9FA4" w14:textId="77777777" w:rsidTr="00BA7A45">
        <w:trPr>
          <w:trHeight w:val="288"/>
        </w:trPr>
        <w:tc>
          <w:tcPr>
            <w:tcW w:w="2694" w:type="dxa"/>
            <w:shd w:val="clear" w:color="auto" w:fill="auto"/>
          </w:tcPr>
          <w:p w14:paraId="336FA7B0" w14:textId="77777777" w:rsidR="009B4045" w:rsidRPr="0038315A" w:rsidRDefault="009B4045" w:rsidP="00F91E8B">
            <w:pPr>
              <w:pStyle w:val="Insidebox"/>
              <w:spacing w:before="40" w:after="40"/>
              <w:rPr>
                <w:sz w:val="18"/>
                <w:szCs w:val="20"/>
              </w:rPr>
            </w:pPr>
            <w:r w:rsidRPr="0038315A">
              <w:rPr>
                <w:sz w:val="18"/>
                <w:szCs w:val="20"/>
              </w:rPr>
              <w:t>Tourism, travel &amp; hospitality</w:t>
            </w:r>
          </w:p>
        </w:tc>
        <w:tc>
          <w:tcPr>
            <w:tcW w:w="904" w:type="dxa"/>
            <w:tcBorders>
              <w:right w:val="single" w:sz="4" w:space="0" w:color="A8D08D" w:themeColor="accent6" w:themeTint="99"/>
            </w:tcBorders>
            <w:shd w:val="clear" w:color="auto" w:fill="auto"/>
          </w:tcPr>
          <w:p w14:paraId="5D80DB1C" w14:textId="77777777" w:rsidR="003D355F" w:rsidRPr="0038315A" w:rsidRDefault="009B4045">
            <w:pPr>
              <w:pStyle w:val="Insidebox"/>
              <w:spacing w:before="40" w:after="40"/>
              <w:jc w:val="right"/>
              <w:rPr>
                <w:sz w:val="18"/>
                <w:szCs w:val="20"/>
              </w:rPr>
            </w:pPr>
            <w:r w:rsidRPr="0038315A">
              <w:rPr>
                <w:sz w:val="18"/>
                <w:szCs w:val="20"/>
              </w:rPr>
              <w:t>2226</w:t>
            </w:r>
          </w:p>
        </w:tc>
        <w:tc>
          <w:tcPr>
            <w:tcW w:w="2639" w:type="dxa"/>
            <w:tcBorders>
              <w:left w:val="single" w:sz="4" w:space="0" w:color="A8D08D" w:themeColor="accent6" w:themeTint="99"/>
            </w:tcBorders>
            <w:shd w:val="pct12" w:color="FFFFFF" w:fill="FFFFFF"/>
          </w:tcPr>
          <w:p w14:paraId="3362A8A6" w14:textId="77777777" w:rsidR="009B4045" w:rsidRPr="0038315A" w:rsidRDefault="009B4045" w:rsidP="00F91E8B">
            <w:pPr>
              <w:pStyle w:val="Insidebox"/>
              <w:spacing w:before="40" w:after="40"/>
              <w:rPr>
                <w:sz w:val="18"/>
                <w:szCs w:val="20"/>
              </w:rPr>
            </w:pPr>
            <w:r w:rsidRPr="0038315A">
              <w:rPr>
                <w:sz w:val="18"/>
                <w:szCs w:val="20"/>
              </w:rPr>
              <w:t>Tourism, travel &amp; hospitality</w:t>
            </w:r>
          </w:p>
        </w:tc>
        <w:tc>
          <w:tcPr>
            <w:tcW w:w="767" w:type="dxa"/>
            <w:shd w:val="clear" w:color="auto" w:fill="auto"/>
          </w:tcPr>
          <w:p w14:paraId="6AECBC39" w14:textId="77777777" w:rsidR="003D355F" w:rsidRPr="0038315A" w:rsidRDefault="009B4045">
            <w:pPr>
              <w:pStyle w:val="Insidebox"/>
              <w:spacing w:before="40" w:after="40"/>
              <w:jc w:val="right"/>
              <w:rPr>
                <w:sz w:val="18"/>
                <w:szCs w:val="20"/>
              </w:rPr>
            </w:pPr>
            <w:r w:rsidRPr="0038315A">
              <w:rPr>
                <w:sz w:val="18"/>
                <w:szCs w:val="20"/>
              </w:rPr>
              <w:t>13</w:t>
            </w:r>
            <w:r w:rsidR="006711A5" w:rsidRPr="0038315A">
              <w:rPr>
                <w:sz w:val="18"/>
                <w:szCs w:val="20"/>
              </w:rPr>
              <w:t>,</w:t>
            </w:r>
            <w:r w:rsidRPr="0038315A">
              <w:rPr>
                <w:sz w:val="18"/>
                <w:szCs w:val="20"/>
              </w:rPr>
              <w:t>451</w:t>
            </w:r>
          </w:p>
        </w:tc>
        <w:tc>
          <w:tcPr>
            <w:tcW w:w="1088" w:type="dxa"/>
            <w:shd w:val="clear" w:color="auto" w:fill="auto"/>
          </w:tcPr>
          <w:p w14:paraId="16FDC155" w14:textId="77777777" w:rsidR="003D355F" w:rsidRPr="0038315A" w:rsidRDefault="009B4045">
            <w:pPr>
              <w:pStyle w:val="Insidebox"/>
              <w:spacing w:before="40" w:after="40"/>
              <w:jc w:val="right"/>
              <w:rPr>
                <w:sz w:val="18"/>
                <w:szCs w:val="20"/>
              </w:rPr>
            </w:pPr>
            <w:r w:rsidRPr="0038315A">
              <w:rPr>
                <w:sz w:val="18"/>
                <w:szCs w:val="20"/>
              </w:rPr>
              <w:t>6.0</w:t>
            </w:r>
          </w:p>
        </w:tc>
      </w:tr>
      <w:tr w:rsidR="009B4045" w:rsidRPr="0038315A" w14:paraId="6106EBD1" w14:textId="77777777" w:rsidTr="00BA7A45">
        <w:trPr>
          <w:trHeight w:val="288"/>
        </w:trPr>
        <w:tc>
          <w:tcPr>
            <w:tcW w:w="2694" w:type="dxa"/>
            <w:shd w:val="pct12" w:color="FFFFFF" w:fill="FFFFFF"/>
          </w:tcPr>
          <w:p w14:paraId="206F0E2D" w14:textId="7CDE527E" w:rsidR="009B4045" w:rsidRPr="0038315A" w:rsidRDefault="009B4045" w:rsidP="00F91E8B">
            <w:pPr>
              <w:pStyle w:val="Insidebox"/>
              <w:spacing w:before="40" w:after="40"/>
              <w:rPr>
                <w:sz w:val="18"/>
                <w:szCs w:val="20"/>
              </w:rPr>
            </w:pPr>
            <w:r w:rsidRPr="0038315A">
              <w:rPr>
                <w:sz w:val="18"/>
                <w:szCs w:val="20"/>
              </w:rPr>
              <w:t xml:space="preserve">Automotive retail, service </w:t>
            </w:r>
            <w:r w:rsidR="00BA7A45">
              <w:rPr>
                <w:sz w:val="18"/>
                <w:szCs w:val="20"/>
              </w:rPr>
              <w:br/>
            </w:r>
            <w:r w:rsidRPr="0038315A">
              <w:rPr>
                <w:sz w:val="18"/>
                <w:szCs w:val="20"/>
              </w:rPr>
              <w:t>&amp; repair</w:t>
            </w:r>
          </w:p>
        </w:tc>
        <w:tc>
          <w:tcPr>
            <w:tcW w:w="904" w:type="dxa"/>
            <w:tcBorders>
              <w:right w:val="single" w:sz="4" w:space="0" w:color="A8D08D" w:themeColor="accent6" w:themeTint="99"/>
            </w:tcBorders>
            <w:shd w:val="clear" w:color="auto" w:fill="auto"/>
          </w:tcPr>
          <w:p w14:paraId="5F7FA5A5" w14:textId="77777777" w:rsidR="003D355F" w:rsidRPr="0038315A" w:rsidRDefault="009B4045">
            <w:pPr>
              <w:pStyle w:val="Insidebox"/>
              <w:spacing w:before="40" w:after="40"/>
              <w:jc w:val="right"/>
              <w:rPr>
                <w:sz w:val="18"/>
                <w:szCs w:val="20"/>
              </w:rPr>
            </w:pPr>
            <w:r w:rsidRPr="0038315A">
              <w:rPr>
                <w:sz w:val="18"/>
                <w:szCs w:val="20"/>
              </w:rPr>
              <w:t>297</w:t>
            </w:r>
          </w:p>
        </w:tc>
        <w:tc>
          <w:tcPr>
            <w:tcW w:w="2639" w:type="dxa"/>
            <w:tcBorders>
              <w:left w:val="single" w:sz="4" w:space="0" w:color="A8D08D" w:themeColor="accent6" w:themeTint="99"/>
            </w:tcBorders>
            <w:shd w:val="pct12" w:color="FFFFFF" w:fill="FFFFFF"/>
          </w:tcPr>
          <w:p w14:paraId="3F0287DA" w14:textId="77777777" w:rsidR="009B4045" w:rsidRPr="0038315A" w:rsidRDefault="009B4045" w:rsidP="00F91E8B">
            <w:pPr>
              <w:pStyle w:val="Insidebox"/>
              <w:spacing w:before="40" w:after="40"/>
              <w:rPr>
                <w:sz w:val="18"/>
                <w:szCs w:val="20"/>
              </w:rPr>
            </w:pPr>
            <w:r w:rsidRPr="0038315A">
              <w:rPr>
                <w:sz w:val="18"/>
                <w:szCs w:val="20"/>
              </w:rPr>
              <w:t>Auto retail, service &amp; repair</w:t>
            </w:r>
          </w:p>
        </w:tc>
        <w:tc>
          <w:tcPr>
            <w:tcW w:w="767" w:type="dxa"/>
            <w:shd w:val="clear" w:color="auto" w:fill="auto"/>
          </w:tcPr>
          <w:p w14:paraId="5F229906" w14:textId="77777777" w:rsidR="003D355F" w:rsidRPr="0038315A" w:rsidRDefault="009B4045">
            <w:pPr>
              <w:pStyle w:val="Insidebox"/>
              <w:spacing w:before="40" w:after="40"/>
              <w:jc w:val="right"/>
              <w:rPr>
                <w:sz w:val="18"/>
                <w:szCs w:val="20"/>
              </w:rPr>
            </w:pPr>
            <w:r w:rsidRPr="0038315A">
              <w:rPr>
                <w:sz w:val="18"/>
                <w:szCs w:val="20"/>
              </w:rPr>
              <w:t>8794</w:t>
            </w:r>
          </w:p>
        </w:tc>
        <w:tc>
          <w:tcPr>
            <w:tcW w:w="1088" w:type="dxa"/>
            <w:shd w:val="clear" w:color="auto" w:fill="auto"/>
          </w:tcPr>
          <w:p w14:paraId="4D556B6C" w14:textId="77777777" w:rsidR="003D355F" w:rsidRPr="0038315A" w:rsidRDefault="009B4045">
            <w:pPr>
              <w:pStyle w:val="Insidebox"/>
              <w:spacing w:before="40" w:after="40"/>
              <w:jc w:val="right"/>
              <w:rPr>
                <w:sz w:val="18"/>
                <w:szCs w:val="20"/>
              </w:rPr>
            </w:pPr>
            <w:r w:rsidRPr="0038315A">
              <w:rPr>
                <w:sz w:val="18"/>
                <w:szCs w:val="20"/>
              </w:rPr>
              <w:t>29.6</w:t>
            </w:r>
          </w:p>
        </w:tc>
      </w:tr>
      <w:tr w:rsidR="009B4045" w:rsidRPr="0038315A" w14:paraId="01FE89B3" w14:textId="77777777" w:rsidTr="00BA7A45">
        <w:trPr>
          <w:trHeight w:val="288"/>
        </w:trPr>
        <w:tc>
          <w:tcPr>
            <w:tcW w:w="2694" w:type="dxa"/>
            <w:shd w:val="pct12" w:color="FFFFFF" w:fill="FFFFFF"/>
          </w:tcPr>
          <w:p w14:paraId="6191AC1B" w14:textId="77777777" w:rsidR="009B4045" w:rsidRPr="0038315A" w:rsidRDefault="009B4045" w:rsidP="00F91E8B">
            <w:pPr>
              <w:pStyle w:val="Insidebox"/>
              <w:spacing w:before="40" w:after="40"/>
              <w:rPr>
                <w:sz w:val="18"/>
                <w:szCs w:val="20"/>
              </w:rPr>
            </w:pPr>
            <w:r w:rsidRPr="0038315A">
              <w:rPr>
                <w:sz w:val="18"/>
                <w:szCs w:val="20"/>
              </w:rPr>
              <w:t>Construction, plumbing &amp; services</w:t>
            </w:r>
          </w:p>
        </w:tc>
        <w:tc>
          <w:tcPr>
            <w:tcW w:w="904" w:type="dxa"/>
            <w:tcBorders>
              <w:right w:val="single" w:sz="4" w:space="0" w:color="A8D08D" w:themeColor="accent6" w:themeTint="99"/>
            </w:tcBorders>
            <w:shd w:val="clear" w:color="auto" w:fill="auto"/>
          </w:tcPr>
          <w:p w14:paraId="2C847954" w14:textId="77777777" w:rsidR="003D355F" w:rsidRPr="0038315A" w:rsidRDefault="009B4045">
            <w:pPr>
              <w:pStyle w:val="Insidebox"/>
              <w:spacing w:before="40" w:after="40"/>
              <w:jc w:val="right"/>
              <w:rPr>
                <w:sz w:val="18"/>
                <w:szCs w:val="20"/>
              </w:rPr>
            </w:pPr>
            <w:r w:rsidRPr="0038315A">
              <w:rPr>
                <w:sz w:val="18"/>
                <w:szCs w:val="20"/>
              </w:rPr>
              <w:t>833</w:t>
            </w:r>
          </w:p>
        </w:tc>
        <w:tc>
          <w:tcPr>
            <w:tcW w:w="2639" w:type="dxa"/>
            <w:tcBorders>
              <w:left w:val="single" w:sz="4" w:space="0" w:color="A8D08D" w:themeColor="accent6" w:themeTint="99"/>
            </w:tcBorders>
            <w:shd w:val="pct12" w:color="FFFFFF" w:fill="FFFFFF"/>
          </w:tcPr>
          <w:p w14:paraId="712F461B" w14:textId="77777777" w:rsidR="009B4045" w:rsidRPr="0038315A" w:rsidRDefault="009B4045" w:rsidP="00F91E8B">
            <w:pPr>
              <w:pStyle w:val="Insidebox"/>
              <w:spacing w:before="40" w:after="40"/>
              <w:rPr>
                <w:sz w:val="18"/>
                <w:szCs w:val="20"/>
              </w:rPr>
            </w:pPr>
            <w:r w:rsidRPr="0038315A">
              <w:rPr>
                <w:sz w:val="18"/>
                <w:szCs w:val="20"/>
              </w:rPr>
              <w:t>Construction, plumbing &amp; services</w:t>
            </w:r>
          </w:p>
        </w:tc>
        <w:tc>
          <w:tcPr>
            <w:tcW w:w="767" w:type="dxa"/>
            <w:shd w:val="clear" w:color="auto" w:fill="auto"/>
          </w:tcPr>
          <w:p w14:paraId="3DA17BA9" w14:textId="77777777" w:rsidR="003D355F" w:rsidRPr="0038315A" w:rsidRDefault="009B4045">
            <w:pPr>
              <w:pStyle w:val="Insidebox"/>
              <w:spacing w:before="40" w:after="40"/>
              <w:jc w:val="right"/>
              <w:rPr>
                <w:sz w:val="18"/>
                <w:szCs w:val="20"/>
              </w:rPr>
            </w:pPr>
            <w:r w:rsidRPr="0038315A">
              <w:rPr>
                <w:sz w:val="18"/>
                <w:szCs w:val="20"/>
              </w:rPr>
              <w:t>28</w:t>
            </w:r>
            <w:r w:rsidR="006711A5" w:rsidRPr="0038315A">
              <w:rPr>
                <w:sz w:val="18"/>
                <w:szCs w:val="20"/>
              </w:rPr>
              <w:t>,</w:t>
            </w:r>
            <w:r w:rsidRPr="0038315A">
              <w:rPr>
                <w:sz w:val="18"/>
                <w:szCs w:val="20"/>
              </w:rPr>
              <w:t>905</w:t>
            </w:r>
          </w:p>
        </w:tc>
        <w:tc>
          <w:tcPr>
            <w:tcW w:w="1088" w:type="dxa"/>
            <w:shd w:val="clear" w:color="auto" w:fill="auto"/>
          </w:tcPr>
          <w:p w14:paraId="7711D3FD" w14:textId="77777777" w:rsidR="003D355F" w:rsidRPr="0038315A" w:rsidRDefault="009B4045">
            <w:pPr>
              <w:pStyle w:val="Insidebox"/>
              <w:spacing w:before="40" w:after="40"/>
              <w:jc w:val="right"/>
              <w:rPr>
                <w:sz w:val="18"/>
                <w:szCs w:val="20"/>
              </w:rPr>
            </w:pPr>
            <w:r w:rsidRPr="0038315A">
              <w:rPr>
                <w:sz w:val="18"/>
                <w:szCs w:val="20"/>
              </w:rPr>
              <w:t>34.7</w:t>
            </w:r>
          </w:p>
        </w:tc>
      </w:tr>
      <w:tr w:rsidR="009B4045" w:rsidRPr="0038315A" w14:paraId="0F2882E9" w14:textId="77777777" w:rsidTr="00BA7A45">
        <w:trPr>
          <w:trHeight w:val="288"/>
        </w:trPr>
        <w:tc>
          <w:tcPr>
            <w:tcW w:w="2694" w:type="dxa"/>
            <w:shd w:val="pct12" w:color="FFFFFF" w:fill="FFFFFF"/>
          </w:tcPr>
          <w:p w14:paraId="1CF54403" w14:textId="77777777" w:rsidR="009B4045" w:rsidRPr="0038315A" w:rsidRDefault="009B4045" w:rsidP="00F91E8B">
            <w:pPr>
              <w:pStyle w:val="Insidebox"/>
              <w:spacing w:before="40" w:after="40"/>
              <w:rPr>
                <w:sz w:val="18"/>
                <w:szCs w:val="20"/>
              </w:rPr>
            </w:pPr>
            <w:r w:rsidRPr="0038315A">
              <w:rPr>
                <w:sz w:val="18"/>
                <w:szCs w:val="20"/>
              </w:rPr>
              <w:t>Electrotechnology</w:t>
            </w:r>
          </w:p>
        </w:tc>
        <w:tc>
          <w:tcPr>
            <w:tcW w:w="904" w:type="dxa"/>
            <w:tcBorders>
              <w:right w:val="single" w:sz="4" w:space="0" w:color="A8D08D" w:themeColor="accent6" w:themeTint="99"/>
            </w:tcBorders>
            <w:shd w:val="clear" w:color="auto" w:fill="auto"/>
          </w:tcPr>
          <w:p w14:paraId="083EF279" w14:textId="77777777" w:rsidR="003D355F" w:rsidRPr="0038315A" w:rsidRDefault="009B4045">
            <w:pPr>
              <w:pStyle w:val="Insidebox"/>
              <w:spacing w:before="40" w:after="40"/>
              <w:jc w:val="right"/>
              <w:rPr>
                <w:sz w:val="18"/>
                <w:szCs w:val="20"/>
              </w:rPr>
            </w:pPr>
            <w:r w:rsidRPr="0038315A">
              <w:rPr>
                <w:sz w:val="18"/>
                <w:szCs w:val="20"/>
              </w:rPr>
              <w:t>195</w:t>
            </w:r>
          </w:p>
        </w:tc>
        <w:tc>
          <w:tcPr>
            <w:tcW w:w="2639" w:type="dxa"/>
            <w:tcBorders>
              <w:left w:val="single" w:sz="4" w:space="0" w:color="A8D08D" w:themeColor="accent6" w:themeTint="99"/>
            </w:tcBorders>
            <w:shd w:val="pct12" w:color="FFFFFF" w:fill="FFFFFF"/>
          </w:tcPr>
          <w:p w14:paraId="71E8CC18" w14:textId="77777777" w:rsidR="009B4045" w:rsidRPr="0038315A" w:rsidRDefault="009B4045" w:rsidP="00F91E8B">
            <w:pPr>
              <w:pStyle w:val="Insidebox"/>
              <w:spacing w:before="40" w:after="40"/>
              <w:rPr>
                <w:sz w:val="18"/>
                <w:szCs w:val="20"/>
              </w:rPr>
            </w:pPr>
            <w:r w:rsidRPr="0038315A">
              <w:rPr>
                <w:sz w:val="18"/>
                <w:szCs w:val="20"/>
              </w:rPr>
              <w:t>Electrotechnology</w:t>
            </w:r>
          </w:p>
        </w:tc>
        <w:tc>
          <w:tcPr>
            <w:tcW w:w="767" w:type="dxa"/>
            <w:shd w:val="clear" w:color="auto" w:fill="auto"/>
          </w:tcPr>
          <w:p w14:paraId="0AEAA125" w14:textId="77777777" w:rsidR="003D355F" w:rsidRPr="0038315A" w:rsidRDefault="009B4045">
            <w:pPr>
              <w:pStyle w:val="Insidebox"/>
              <w:spacing w:before="40" w:after="40"/>
              <w:jc w:val="right"/>
              <w:rPr>
                <w:sz w:val="18"/>
                <w:szCs w:val="20"/>
              </w:rPr>
            </w:pPr>
            <w:r w:rsidRPr="0038315A">
              <w:rPr>
                <w:sz w:val="18"/>
                <w:szCs w:val="20"/>
              </w:rPr>
              <w:t>3259</w:t>
            </w:r>
          </w:p>
        </w:tc>
        <w:tc>
          <w:tcPr>
            <w:tcW w:w="1088" w:type="dxa"/>
            <w:shd w:val="clear" w:color="auto" w:fill="auto"/>
          </w:tcPr>
          <w:p w14:paraId="6634B59F" w14:textId="77777777" w:rsidR="003D355F" w:rsidRPr="0038315A" w:rsidRDefault="009B4045">
            <w:pPr>
              <w:pStyle w:val="Insidebox"/>
              <w:spacing w:before="40" w:after="40"/>
              <w:jc w:val="right"/>
              <w:rPr>
                <w:sz w:val="18"/>
                <w:szCs w:val="20"/>
              </w:rPr>
            </w:pPr>
            <w:r w:rsidRPr="0038315A">
              <w:rPr>
                <w:sz w:val="18"/>
                <w:szCs w:val="20"/>
              </w:rPr>
              <w:t>16.7</w:t>
            </w:r>
          </w:p>
        </w:tc>
      </w:tr>
      <w:tr w:rsidR="009B4045" w:rsidRPr="0038315A" w14:paraId="799C5F24" w14:textId="77777777" w:rsidTr="00BA7A45">
        <w:trPr>
          <w:trHeight w:val="155"/>
        </w:trPr>
        <w:tc>
          <w:tcPr>
            <w:tcW w:w="2694" w:type="dxa"/>
            <w:shd w:val="pct12" w:color="FFFFFF" w:fill="FFFFFF"/>
          </w:tcPr>
          <w:p w14:paraId="2032D892" w14:textId="77777777" w:rsidR="009B4045" w:rsidRPr="0038315A" w:rsidRDefault="009B4045" w:rsidP="00F91E8B">
            <w:pPr>
              <w:pStyle w:val="Insidebox"/>
              <w:spacing w:before="40" w:after="40"/>
              <w:rPr>
                <w:sz w:val="18"/>
                <w:szCs w:val="20"/>
              </w:rPr>
            </w:pPr>
            <w:r w:rsidRPr="0038315A">
              <w:rPr>
                <w:sz w:val="18"/>
                <w:szCs w:val="20"/>
              </w:rPr>
              <w:t>Metal &amp; engineering</w:t>
            </w:r>
          </w:p>
        </w:tc>
        <w:tc>
          <w:tcPr>
            <w:tcW w:w="904" w:type="dxa"/>
            <w:tcBorders>
              <w:right w:val="single" w:sz="4" w:space="0" w:color="A8D08D" w:themeColor="accent6" w:themeTint="99"/>
            </w:tcBorders>
            <w:shd w:val="clear" w:color="auto" w:fill="auto"/>
          </w:tcPr>
          <w:p w14:paraId="59AB2E28" w14:textId="77777777" w:rsidR="003D355F" w:rsidRPr="0038315A" w:rsidRDefault="009B4045">
            <w:pPr>
              <w:pStyle w:val="Insidebox"/>
              <w:spacing w:before="40" w:after="40"/>
              <w:jc w:val="right"/>
              <w:rPr>
                <w:sz w:val="18"/>
                <w:szCs w:val="20"/>
              </w:rPr>
            </w:pPr>
            <w:r w:rsidRPr="0038315A">
              <w:rPr>
                <w:sz w:val="18"/>
                <w:szCs w:val="20"/>
              </w:rPr>
              <w:t>812</w:t>
            </w:r>
          </w:p>
        </w:tc>
        <w:tc>
          <w:tcPr>
            <w:tcW w:w="2639" w:type="dxa"/>
            <w:tcBorders>
              <w:left w:val="single" w:sz="4" w:space="0" w:color="A8D08D" w:themeColor="accent6" w:themeTint="99"/>
            </w:tcBorders>
            <w:shd w:val="pct12" w:color="FFFFFF" w:fill="FFFFFF"/>
          </w:tcPr>
          <w:p w14:paraId="17169B8F" w14:textId="77777777" w:rsidR="009B4045" w:rsidRPr="0038315A" w:rsidRDefault="009B4045" w:rsidP="00F91E8B">
            <w:pPr>
              <w:pStyle w:val="Insidebox"/>
              <w:spacing w:before="40" w:after="40"/>
              <w:rPr>
                <w:sz w:val="18"/>
                <w:szCs w:val="20"/>
              </w:rPr>
            </w:pPr>
            <w:r w:rsidRPr="0038315A">
              <w:rPr>
                <w:sz w:val="18"/>
                <w:szCs w:val="20"/>
              </w:rPr>
              <w:t>Metal &amp; engineering</w:t>
            </w:r>
          </w:p>
        </w:tc>
        <w:tc>
          <w:tcPr>
            <w:tcW w:w="767" w:type="dxa"/>
            <w:shd w:val="clear" w:color="auto" w:fill="auto"/>
          </w:tcPr>
          <w:p w14:paraId="595A8D6C" w14:textId="77777777" w:rsidR="003D355F" w:rsidRPr="0038315A" w:rsidRDefault="009B4045">
            <w:pPr>
              <w:pStyle w:val="Insidebox"/>
              <w:spacing w:before="40" w:after="40"/>
              <w:jc w:val="right"/>
              <w:rPr>
                <w:sz w:val="18"/>
                <w:szCs w:val="20"/>
              </w:rPr>
            </w:pPr>
            <w:r w:rsidRPr="0038315A">
              <w:rPr>
                <w:sz w:val="18"/>
                <w:szCs w:val="20"/>
              </w:rPr>
              <w:t>4628</w:t>
            </w:r>
          </w:p>
        </w:tc>
        <w:tc>
          <w:tcPr>
            <w:tcW w:w="1088" w:type="dxa"/>
            <w:shd w:val="clear" w:color="auto" w:fill="auto"/>
          </w:tcPr>
          <w:p w14:paraId="01F04539" w14:textId="77777777" w:rsidR="003D355F" w:rsidRPr="0038315A" w:rsidRDefault="009B4045">
            <w:pPr>
              <w:pStyle w:val="Insidebox"/>
              <w:spacing w:before="40" w:after="40"/>
              <w:jc w:val="right"/>
              <w:rPr>
                <w:sz w:val="18"/>
                <w:szCs w:val="20"/>
              </w:rPr>
            </w:pPr>
            <w:r w:rsidRPr="0038315A">
              <w:rPr>
                <w:sz w:val="18"/>
                <w:szCs w:val="20"/>
              </w:rPr>
              <w:t>5.7</w:t>
            </w:r>
          </w:p>
        </w:tc>
      </w:tr>
      <w:tr w:rsidR="009B4045" w:rsidRPr="0038315A" w14:paraId="7090D51B" w14:textId="77777777" w:rsidTr="00BA7A45">
        <w:trPr>
          <w:trHeight w:val="259"/>
        </w:trPr>
        <w:tc>
          <w:tcPr>
            <w:tcW w:w="2694" w:type="dxa"/>
            <w:shd w:val="clear" w:color="auto" w:fill="E2EFD9" w:themeFill="accent6" w:themeFillTint="33"/>
          </w:tcPr>
          <w:p w14:paraId="7EFAD433" w14:textId="77777777" w:rsidR="009B4045" w:rsidRPr="0038315A" w:rsidRDefault="00546F37" w:rsidP="00F91E8B">
            <w:pPr>
              <w:pStyle w:val="Insidebox"/>
              <w:spacing w:before="40" w:after="40"/>
              <w:rPr>
                <w:b/>
                <w:sz w:val="18"/>
                <w:szCs w:val="20"/>
              </w:rPr>
            </w:pPr>
            <w:r w:rsidRPr="0038315A">
              <w:rPr>
                <w:b/>
                <w:sz w:val="18"/>
                <w:szCs w:val="20"/>
              </w:rPr>
              <w:t>Total</w:t>
            </w:r>
          </w:p>
        </w:tc>
        <w:tc>
          <w:tcPr>
            <w:tcW w:w="904" w:type="dxa"/>
            <w:tcBorders>
              <w:right w:val="single" w:sz="4" w:space="0" w:color="A8D08D" w:themeColor="accent6" w:themeTint="99"/>
            </w:tcBorders>
            <w:shd w:val="clear" w:color="auto" w:fill="E2EFD9" w:themeFill="accent6" w:themeFillTint="33"/>
          </w:tcPr>
          <w:p w14:paraId="77AB9D7D" w14:textId="77777777" w:rsidR="003D355F" w:rsidRPr="0038315A" w:rsidRDefault="00546F37">
            <w:pPr>
              <w:pStyle w:val="Insidebox"/>
              <w:spacing w:before="40" w:after="40"/>
              <w:jc w:val="right"/>
              <w:rPr>
                <w:b/>
                <w:sz w:val="18"/>
                <w:szCs w:val="20"/>
              </w:rPr>
            </w:pPr>
            <w:r w:rsidRPr="0038315A">
              <w:rPr>
                <w:b/>
                <w:sz w:val="18"/>
                <w:szCs w:val="20"/>
              </w:rPr>
              <w:t>5521</w:t>
            </w:r>
          </w:p>
        </w:tc>
        <w:tc>
          <w:tcPr>
            <w:tcW w:w="2639" w:type="dxa"/>
            <w:tcBorders>
              <w:left w:val="single" w:sz="4" w:space="0" w:color="A8D08D" w:themeColor="accent6" w:themeTint="99"/>
            </w:tcBorders>
            <w:shd w:val="clear" w:color="auto" w:fill="E2EFD9" w:themeFill="accent6" w:themeFillTint="33"/>
          </w:tcPr>
          <w:p w14:paraId="0DC5B315" w14:textId="77777777" w:rsidR="009B4045" w:rsidRPr="0038315A" w:rsidRDefault="00546F37" w:rsidP="00F91E8B">
            <w:pPr>
              <w:pStyle w:val="Insidebox"/>
              <w:spacing w:before="40" w:after="40"/>
              <w:rPr>
                <w:b/>
                <w:sz w:val="18"/>
                <w:szCs w:val="20"/>
              </w:rPr>
            </w:pPr>
            <w:r w:rsidRPr="0038315A">
              <w:rPr>
                <w:b/>
                <w:sz w:val="18"/>
                <w:szCs w:val="20"/>
              </w:rPr>
              <w:t>Total</w:t>
            </w:r>
          </w:p>
        </w:tc>
        <w:tc>
          <w:tcPr>
            <w:tcW w:w="767" w:type="dxa"/>
            <w:shd w:val="clear" w:color="auto" w:fill="E2EFD9" w:themeFill="accent6" w:themeFillTint="33"/>
          </w:tcPr>
          <w:p w14:paraId="7473EB0B" w14:textId="77777777" w:rsidR="003D355F" w:rsidRPr="0038315A" w:rsidRDefault="00546F37">
            <w:pPr>
              <w:pStyle w:val="Insidebox"/>
              <w:spacing w:before="40" w:after="40"/>
              <w:jc w:val="right"/>
              <w:rPr>
                <w:b/>
                <w:sz w:val="18"/>
                <w:szCs w:val="20"/>
              </w:rPr>
            </w:pPr>
            <w:r w:rsidRPr="0038315A">
              <w:rPr>
                <w:b/>
                <w:sz w:val="18"/>
                <w:szCs w:val="20"/>
              </w:rPr>
              <w:t>63,293</w:t>
            </w:r>
          </w:p>
        </w:tc>
        <w:tc>
          <w:tcPr>
            <w:tcW w:w="1088" w:type="dxa"/>
            <w:shd w:val="clear" w:color="auto" w:fill="E2EFD9" w:themeFill="accent6" w:themeFillTint="33"/>
          </w:tcPr>
          <w:p w14:paraId="1E0CEA9A" w14:textId="77777777" w:rsidR="003D355F" w:rsidRPr="0038315A" w:rsidRDefault="00546F37">
            <w:pPr>
              <w:pStyle w:val="Insidebox"/>
              <w:spacing w:before="40" w:after="40"/>
              <w:jc w:val="right"/>
              <w:rPr>
                <w:b/>
                <w:sz w:val="18"/>
                <w:szCs w:val="20"/>
              </w:rPr>
            </w:pPr>
            <w:r w:rsidRPr="0038315A">
              <w:rPr>
                <w:b/>
                <w:sz w:val="18"/>
                <w:szCs w:val="20"/>
              </w:rPr>
              <w:t>11.5</w:t>
            </w:r>
          </w:p>
        </w:tc>
      </w:tr>
      <w:tr w:rsidR="009B4045" w:rsidRPr="00F91E8B" w14:paraId="32B3F5C4" w14:textId="77777777" w:rsidTr="00BA7A45">
        <w:trPr>
          <w:trHeight w:val="324"/>
        </w:trPr>
        <w:tc>
          <w:tcPr>
            <w:tcW w:w="8092" w:type="dxa"/>
            <w:gridSpan w:val="5"/>
            <w:shd w:val="clear" w:color="auto" w:fill="auto"/>
          </w:tcPr>
          <w:p w14:paraId="7F4C71BA" w14:textId="2BE4A017" w:rsidR="009B4045" w:rsidRPr="00F91E8B" w:rsidRDefault="00BA7A45" w:rsidP="00F91E8B">
            <w:pPr>
              <w:pStyle w:val="Insidebox"/>
              <w:spacing w:before="40" w:after="40"/>
              <w:rPr>
                <w:sz w:val="18"/>
              </w:rPr>
            </w:pPr>
            <w:r>
              <w:rPr>
                <w:sz w:val="16"/>
              </w:rPr>
              <w:br/>
            </w:r>
            <w:r w:rsidR="009B4045" w:rsidRPr="00F91E8B">
              <w:rPr>
                <w:sz w:val="16"/>
              </w:rPr>
              <w:t>Source: Most recent country census or employment survey 2009</w:t>
            </w:r>
            <w:r w:rsidR="00045D3B">
              <w:rPr>
                <w:sz w:val="16"/>
              </w:rPr>
              <w:t>–</w:t>
            </w:r>
            <w:r w:rsidR="009B4045" w:rsidRPr="00F91E8B">
              <w:rPr>
                <w:sz w:val="16"/>
              </w:rPr>
              <w:t>2012</w:t>
            </w:r>
          </w:p>
        </w:tc>
      </w:tr>
    </w:tbl>
    <w:p w14:paraId="3CE82A28" w14:textId="77777777" w:rsidR="000B2C82" w:rsidRDefault="000B2C82" w:rsidP="009B4045"/>
    <w:p w14:paraId="31A62516" w14:textId="77777777" w:rsidR="009B4045" w:rsidRPr="00C6103E" w:rsidRDefault="009B4045" w:rsidP="009B4045">
      <w:r>
        <w:t xml:space="preserve">Table </w:t>
      </w:r>
      <w:r w:rsidR="000F308D">
        <w:t>8.</w:t>
      </w:r>
      <w:r>
        <w:t>4 shows i</w:t>
      </w:r>
      <w:r w:rsidRPr="00C6103E">
        <w:t xml:space="preserve">n the community services sector in particular, the stock of jobs is relatively small and the supply of APTC graduates in comparison has been high. This applies especially on a </w:t>
      </w:r>
      <w:r w:rsidR="003D20A3" w:rsidRPr="00C6103E">
        <w:t>country</w:t>
      </w:r>
      <w:r w:rsidR="003D20A3">
        <w:t>-</w:t>
      </w:r>
      <w:r w:rsidR="003D20A3" w:rsidRPr="00C6103E">
        <w:t>by</w:t>
      </w:r>
      <w:r w:rsidR="003D20A3">
        <w:t>-</w:t>
      </w:r>
      <w:r w:rsidRPr="00C6103E">
        <w:t xml:space="preserve">country basis as two-thirds of jobs </w:t>
      </w:r>
      <w:r w:rsidR="003D20A3">
        <w:t xml:space="preserve">in </w:t>
      </w:r>
      <w:r w:rsidRPr="00C6103E">
        <w:t>community services are concentrated in Fiji.</w:t>
      </w:r>
      <w:r>
        <w:t xml:space="preserve"> </w:t>
      </w:r>
      <w:r w:rsidRPr="00C6103E">
        <w:t xml:space="preserve">Similar situations where the supply of APTC graduates is high compared to the total stock of jobs apply in the metal and engineering and tourism, travel </w:t>
      </w:r>
      <w:r w:rsidR="00193A78">
        <w:t>and</w:t>
      </w:r>
      <w:r w:rsidR="00193A78" w:rsidRPr="00C6103E">
        <w:t xml:space="preserve"> </w:t>
      </w:r>
      <w:r w:rsidRPr="00C6103E">
        <w:t>hospitality sectors. This also is the situation in the smaller countries</w:t>
      </w:r>
      <w:r w:rsidR="00763443">
        <w:t>,</w:t>
      </w:r>
      <w:r w:rsidRPr="00C6103E">
        <w:t xml:space="preserve"> as Fiji accounts for many of the jobs in manufacturing and tourism, travel </w:t>
      </w:r>
      <w:r w:rsidR="00763443">
        <w:t>and</w:t>
      </w:r>
      <w:r w:rsidR="00763443" w:rsidRPr="00C6103E">
        <w:t xml:space="preserve"> </w:t>
      </w:r>
      <w:r w:rsidRPr="00C6103E">
        <w:t xml:space="preserve">hospitality. </w:t>
      </w:r>
    </w:p>
    <w:p w14:paraId="4DE98DB0" w14:textId="77777777" w:rsidR="009B4045" w:rsidRDefault="009B4045" w:rsidP="009B4045">
      <w:r>
        <w:t xml:space="preserve">The 2011 Fiji Survey of Employment </w:t>
      </w:r>
      <w:r w:rsidR="006F45A8">
        <w:t xml:space="preserve">and </w:t>
      </w:r>
      <w:r>
        <w:t xml:space="preserve">Unemployment results provide more detailed occupational data. These data are at a level where it is possible to align qualifications with relevant occupations. Table </w:t>
      </w:r>
      <w:r w:rsidR="005B17A3">
        <w:t>8.</w:t>
      </w:r>
      <w:r>
        <w:t xml:space="preserve">5 below compares the number of APTC graduates from Fiji in each community services-related qualification with the estimated number of </w:t>
      </w:r>
      <w:r w:rsidR="000B444F">
        <w:t>job-</w:t>
      </w:r>
      <w:r>
        <w:t xml:space="preserve">holders in the related occupations in Fiji. This comparison shows that number of APTC graduates in </w:t>
      </w:r>
      <w:r w:rsidR="000B444F">
        <w:t xml:space="preserve">aged care </w:t>
      </w:r>
      <w:r>
        <w:t xml:space="preserve">is high compared with the stock of jobs in aged care. </w:t>
      </w:r>
    </w:p>
    <w:p w14:paraId="13ED8AD5" w14:textId="77777777" w:rsidR="009B4045" w:rsidRDefault="009B4045" w:rsidP="009B4045">
      <w:pPr>
        <w:pStyle w:val="Tableheading"/>
      </w:pPr>
      <w:bookmarkStart w:id="862" w:name="_Toc274146493"/>
      <w:bookmarkStart w:id="863" w:name="_Toc274915952"/>
      <w:bookmarkStart w:id="864" w:name="_Toc278446931"/>
      <w:r>
        <w:t xml:space="preserve">Table </w:t>
      </w:r>
      <w:r w:rsidR="000B444F">
        <w:t>8.</w:t>
      </w:r>
      <w:r>
        <w:t>5: Numbers of APTC graduates from Fiji compared with the numbers of job</w:t>
      </w:r>
      <w:r w:rsidR="00A26EFA">
        <w:t>-</w:t>
      </w:r>
      <w:r>
        <w:t>holders in relevant occupations, Fiji 2011</w:t>
      </w:r>
      <w:bookmarkEnd w:id="862"/>
      <w:bookmarkEnd w:id="863"/>
      <w:bookmarkEnd w:id="864"/>
    </w:p>
    <w:tbl>
      <w:tblPr>
        <w:tblW w:w="7689" w:type="dxa"/>
        <w:tblInd w:w="74" w:type="dxa"/>
        <w:tblLayout w:type="fixed"/>
        <w:tblLook w:val="04A0" w:firstRow="1" w:lastRow="0" w:firstColumn="1" w:lastColumn="0" w:noHBand="0" w:noVBand="1"/>
      </w:tblPr>
      <w:tblGrid>
        <w:gridCol w:w="3416"/>
        <w:gridCol w:w="517"/>
        <w:gridCol w:w="1771"/>
        <w:gridCol w:w="993"/>
        <w:gridCol w:w="992"/>
      </w:tblGrid>
      <w:tr w:rsidR="009B4045" w:rsidRPr="00F91E8B" w14:paraId="15ACDF43" w14:textId="77777777" w:rsidTr="00BA7A45">
        <w:trPr>
          <w:trHeight w:val="528"/>
        </w:trPr>
        <w:tc>
          <w:tcPr>
            <w:tcW w:w="3416" w:type="dxa"/>
            <w:shd w:val="clear" w:color="000000" w:fill="C2D69B"/>
            <w:vAlign w:val="center"/>
          </w:tcPr>
          <w:p w14:paraId="1AF3C474" w14:textId="77777777" w:rsidR="003D355F" w:rsidRDefault="009B4045">
            <w:pPr>
              <w:spacing w:before="40" w:after="40"/>
              <w:rPr>
                <w:rFonts w:cs="Arial"/>
                <w:b/>
                <w:bCs/>
                <w:color w:val="000000"/>
                <w:sz w:val="18"/>
                <w:szCs w:val="18"/>
                <w:lang w:eastAsia="en-AU"/>
              </w:rPr>
            </w:pPr>
            <w:r w:rsidRPr="00F91E8B">
              <w:rPr>
                <w:rFonts w:cs="Arial"/>
                <w:b/>
                <w:bCs/>
                <w:color w:val="000000"/>
                <w:sz w:val="18"/>
                <w:szCs w:val="18"/>
                <w:lang w:eastAsia="en-AU"/>
              </w:rPr>
              <w:t>APTC qualification, Fiji graduates</w:t>
            </w:r>
          </w:p>
        </w:tc>
        <w:tc>
          <w:tcPr>
            <w:tcW w:w="517" w:type="dxa"/>
            <w:tcBorders>
              <w:right w:val="single" w:sz="4" w:space="0" w:color="A8D08D" w:themeColor="accent6" w:themeTint="99"/>
            </w:tcBorders>
            <w:shd w:val="clear" w:color="000000" w:fill="C2D69B"/>
            <w:vAlign w:val="center"/>
          </w:tcPr>
          <w:p w14:paraId="14C45D07" w14:textId="77777777" w:rsidR="009B4045" w:rsidRPr="00F91E8B" w:rsidRDefault="009B4045" w:rsidP="00F91E8B">
            <w:pPr>
              <w:spacing w:before="40" w:after="40"/>
              <w:jc w:val="center"/>
              <w:rPr>
                <w:rFonts w:cs="Arial"/>
                <w:b/>
                <w:bCs/>
                <w:color w:val="000000"/>
                <w:sz w:val="18"/>
                <w:szCs w:val="18"/>
                <w:lang w:eastAsia="en-AU"/>
              </w:rPr>
            </w:pPr>
            <w:r w:rsidRPr="00F91E8B">
              <w:rPr>
                <w:rFonts w:cs="Arial"/>
                <w:b/>
                <w:bCs/>
                <w:color w:val="000000"/>
                <w:sz w:val="18"/>
                <w:szCs w:val="18"/>
                <w:lang w:eastAsia="en-AU"/>
              </w:rPr>
              <w:t>N</w:t>
            </w:r>
          </w:p>
        </w:tc>
        <w:tc>
          <w:tcPr>
            <w:tcW w:w="1771" w:type="dxa"/>
            <w:tcBorders>
              <w:left w:val="single" w:sz="4" w:space="0" w:color="A8D08D" w:themeColor="accent6" w:themeTint="99"/>
            </w:tcBorders>
            <w:shd w:val="clear" w:color="000000" w:fill="C2D69B"/>
            <w:vAlign w:val="center"/>
          </w:tcPr>
          <w:p w14:paraId="4C318293" w14:textId="20E54F0D" w:rsidR="003D355F" w:rsidRDefault="009B4045">
            <w:pPr>
              <w:spacing w:before="40" w:after="40"/>
              <w:rPr>
                <w:rFonts w:cs="Arial"/>
                <w:b/>
                <w:bCs/>
                <w:color w:val="000000"/>
                <w:sz w:val="18"/>
                <w:szCs w:val="18"/>
                <w:lang w:eastAsia="en-AU"/>
              </w:rPr>
            </w:pPr>
            <w:r w:rsidRPr="00F91E8B">
              <w:rPr>
                <w:rFonts w:cs="Arial"/>
                <w:b/>
                <w:bCs/>
                <w:color w:val="000000"/>
                <w:sz w:val="18"/>
                <w:szCs w:val="18"/>
                <w:lang w:eastAsia="en-AU"/>
              </w:rPr>
              <w:t xml:space="preserve">Stock of jobs </w:t>
            </w:r>
            <w:r w:rsidR="00C66C86">
              <w:rPr>
                <w:rFonts w:cs="Arial"/>
                <w:b/>
                <w:bCs/>
                <w:color w:val="000000"/>
                <w:sz w:val="18"/>
                <w:szCs w:val="18"/>
                <w:lang w:eastAsia="en-AU"/>
              </w:rPr>
              <w:br/>
            </w:r>
            <w:r w:rsidRPr="00F91E8B">
              <w:rPr>
                <w:rFonts w:cs="Arial"/>
                <w:b/>
                <w:bCs/>
                <w:color w:val="000000"/>
                <w:sz w:val="18"/>
                <w:szCs w:val="18"/>
                <w:lang w:eastAsia="en-AU"/>
              </w:rPr>
              <w:t>Fiji 2011</w:t>
            </w:r>
          </w:p>
        </w:tc>
        <w:tc>
          <w:tcPr>
            <w:tcW w:w="993" w:type="dxa"/>
            <w:shd w:val="clear" w:color="000000" w:fill="C2D69B"/>
            <w:vAlign w:val="center"/>
          </w:tcPr>
          <w:p w14:paraId="226B219D" w14:textId="77777777" w:rsidR="009B4045" w:rsidRPr="00F91E8B" w:rsidRDefault="009B4045" w:rsidP="00F91E8B">
            <w:pPr>
              <w:spacing w:before="40" w:after="40"/>
              <w:jc w:val="center"/>
              <w:rPr>
                <w:rFonts w:cs="Arial"/>
                <w:b/>
                <w:bCs/>
                <w:color w:val="000000"/>
                <w:sz w:val="18"/>
                <w:szCs w:val="18"/>
                <w:lang w:eastAsia="en-AU"/>
              </w:rPr>
            </w:pPr>
            <w:r w:rsidRPr="00F91E8B">
              <w:rPr>
                <w:rFonts w:cs="Arial"/>
                <w:b/>
                <w:bCs/>
                <w:color w:val="000000"/>
                <w:sz w:val="18"/>
                <w:szCs w:val="18"/>
                <w:lang w:eastAsia="en-AU"/>
              </w:rPr>
              <w:t>N</w:t>
            </w:r>
          </w:p>
        </w:tc>
        <w:tc>
          <w:tcPr>
            <w:tcW w:w="992" w:type="dxa"/>
            <w:shd w:val="clear" w:color="000000" w:fill="C2D69B"/>
            <w:vAlign w:val="center"/>
          </w:tcPr>
          <w:p w14:paraId="02F54035" w14:textId="77777777" w:rsidR="009B4045" w:rsidRPr="00F91E8B" w:rsidRDefault="009B4045" w:rsidP="00F91E8B">
            <w:pPr>
              <w:spacing w:before="40" w:after="40"/>
              <w:jc w:val="center"/>
              <w:rPr>
                <w:rFonts w:cs="Arial"/>
                <w:b/>
                <w:bCs/>
                <w:color w:val="000000"/>
                <w:sz w:val="18"/>
                <w:szCs w:val="18"/>
                <w:lang w:eastAsia="en-AU"/>
              </w:rPr>
            </w:pPr>
            <w:r w:rsidRPr="00F91E8B">
              <w:rPr>
                <w:rFonts w:cs="Arial"/>
                <w:b/>
                <w:bCs/>
                <w:color w:val="000000"/>
                <w:sz w:val="18"/>
                <w:szCs w:val="18"/>
                <w:lang w:eastAsia="en-AU"/>
              </w:rPr>
              <w:t>Ratio of supply to stock</w:t>
            </w:r>
          </w:p>
        </w:tc>
      </w:tr>
      <w:tr w:rsidR="009B4045" w:rsidRPr="00013E31" w14:paraId="76ABC983" w14:textId="77777777" w:rsidTr="00BA7A45">
        <w:trPr>
          <w:trHeight w:val="321"/>
        </w:trPr>
        <w:tc>
          <w:tcPr>
            <w:tcW w:w="3416" w:type="dxa"/>
            <w:shd w:val="clear" w:color="auto" w:fill="auto"/>
            <w:vAlign w:val="center"/>
          </w:tcPr>
          <w:p w14:paraId="23FDD50D" w14:textId="77777777" w:rsidR="009B4045" w:rsidRPr="00013E31" w:rsidRDefault="009B4045" w:rsidP="00F91E8B">
            <w:pPr>
              <w:pStyle w:val="Insidebox"/>
              <w:spacing w:before="40" w:after="40"/>
              <w:rPr>
                <w:sz w:val="18"/>
                <w:szCs w:val="20"/>
              </w:rPr>
            </w:pPr>
            <w:r w:rsidRPr="00013E31">
              <w:rPr>
                <w:sz w:val="18"/>
                <w:szCs w:val="20"/>
              </w:rPr>
              <w:t xml:space="preserve">Certificate III </w:t>
            </w:r>
            <w:r w:rsidR="00CF79C4" w:rsidRPr="00013E31">
              <w:rPr>
                <w:sz w:val="18"/>
                <w:szCs w:val="20"/>
              </w:rPr>
              <w:t xml:space="preserve">in </w:t>
            </w:r>
            <w:r w:rsidRPr="00013E31">
              <w:rPr>
                <w:sz w:val="18"/>
                <w:szCs w:val="20"/>
              </w:rPr>
              <w:t>Children’s Services</w:t>
            </w:r>
          </w:p>
        </w:tc>
        <w:tc>
          <w:tcPr>
            <w:tcW w:w="517" w:type="dxa"/>
            <w:tcBorders>
              <w:right w:val="single" w:sz="4" w:space="0" w:color="A8D08D" w:themeColor="accent6" w:themeTint="99"/>
            </w:tcBorders>
            <w:shd w:val="clear" w:color="auto" w:fill="auto"/>
            <w:vAlign w:val="center"/>
          </w:tcPr>
          <w:p w14:paraId="5BE317AE" w14:textId="77777777" w:rsidR="009B4045" w:rsidRPr="00013E31" w:rsidRDefault="009B4045" w:rsidP="00F91E8B">
            <w:pPr>
              <w:pStyle w:val="Insidebox"/>
              <w:spacing w:before="40" w:after="40"/>
              <w:jc w:val="right"/>
              <w:rPr>
                <w:sz w:val="18"/>
                <w:szCs w:val="20"/>
              </w:rPr>
            </w:pPr>
            <w:r w:rsidRPr="00013E31">
              <w:rPr>
                <w:sz w:val="18"/>
                <w:szCs w:val="20"/>
              </w:rPr>
              <w:t>175</w:t>
            </w:r>
          </w:p>
        </w:tc>
        <w:tc>
          <w:tcPr>
            <w:tcW w:w="1771" w:type="dxa"/>
            <w:vMerge w:val="restart"/>
            <w:tcBorders>
              <w:left w:val="single" w:sz="4" w:space="0" w:color="A8D08D" w:themeColor="accent6" w:themeTint="99"/>
            </w:tcBorders>
            <w:shd w:val="clear" w:color="auto" w:fill="auto"/>
            <w:vAlign w:val="center"/>
          </w:tcPr>
          <w:p w14:paraId="321064C0" w14:textId="77777777" w:rsidR="009B4045" w:rsidRPr="00013E31" w:rsidRDefault="009B4045" w:rsidP="00F91E8B">
            <w:pPr>
              <w:pStyle w:val="Insidebox"/>
              <w:spacing w:before="40" w:after="40"/>
              <w:rPr>
                <w:sz w:val="18"/>
                <w:szCs w:val="20"/>
              </w:rPr>
            </w:pPr>
            <w:r w:rsidRPr="00013E31">
              <w:rPr>
                <w:sz w:val="18"/>
                <w:szCs w:val="20"/>
              </w:rPr>
              <w:t>Worker, child care</w:t>
            </w:r>
          </w:p>
        </w:tc>
        <w:tc>
          <w:tcPr>
            <w:tcW w:w="993" w:type="dxa"/>
            <w:vMerge w:val="restart"/>
            <w:shd w:val="clear" w:color="auto" w:fill="auto"/>
            <w:vAlign w:val="center"/>
          </w:tcPr>
          <w:p w14:paraId="39F5DADD" w14:textId="77777777" w:rsidR="009B4045" w:rsidRPr="00013E31" w:rsidRDefault="009B4045" w:rsidP="00F91E8B">
            <w:pPr>
              <w:pStyle w:val="Insidebox"/>
              <w:spacing w:before="40" w:after="40"/>
              <w:jc w:val="right"/>
              <w:rPr>
                <w:sz w:val="18"/>
                <w:szCs w:val="20"/>
              </w:rPr>
            </w:pPr>
            <w:r w:rsidRPr="00013E31">
              <w:rPr>
                <w:sz w:val="18"/>
                <w:szCs w:val="20"/>
              </w:rPr>
              <w:t>1219</w:t>
            </w:r>
          </w:p>
        </w:tc>
        <w:tc>
          <w:tcPr>
            <w:tcW w:w="992" w:type="dxa"/>
            <w:vMerge w:val="restart"/>
            <w:shd w:val="clear" w:color="auto" w:fill="auto"/>
            <w:noWrap/>
            <w:vAlign w:val="center"/>
          </w:tcPr>
          <w:p w14:paraId="27DA2435" w14:textId="77777777" w:rsidR="009B4045" w:rsidRPr="00013E31" w:rsidRDefault="009B4045" w:rsidP="00F91E8B">
            <w:pPr>
              <w:pStyle w:val="Insidebox"/>
              <w:spacing w:before="40" w:after="40"/>
              <w:jc w:val="right"/>
              <w:rPr>
                <w:sz w:val="18"/>
                <w:szCs w:val="20"/>
              </w:rPr>
            </w:pPr>
            <w:r w:rsidRPr="00013E31">
              <w:rPr>
                <w:sz w:val="18"/>
                <w:szCs w:val="20"/>
              </w:rPr>
              <w:t>5.2</w:t>
            </w:r>
          </w:p>
        </w:tc>
      </w:tr>
      <w:tr w:rsidR="009B4045" w:rsidRPr="00013E31" w14:paraId="0540D3D9" w14:textId="77777777" w:rsidTr="00BA7A45">
        <w:trPr>
          <w:trHeight w:val="241"/>
        </w:trPr>
        <w:tc>
          <w:tcPr>
            <w:tcW w:w="3416" w:type="dxa"/>
            <w:shd w:val="clear" w:color="auto" w:fill="auto"/>
            <w:vAlign w:val="center"/>
          </w:tcPr>
          <w:p w14:paraId="375E92A3" w14:textId="77777777" w:rsidR="009B4045" w:rsidRPr="00013E31" w:rsidRDefault="009B4045" w:rsidP="00F91E8B">
            <w:pPr>
              <w:pStyle w:val="Insidebox"/>
              <w:spacing w:before="40" w:after="40"/>
              <w:rPr>
                <w:sz w:val="18"/>
                <w:szCs w:val="20"/>
              </w:rPr>
            </w:pPr>
            <w:r w:rsidRPr="00013E31">
              <w:rPr>
                <w:sz w:val="18"/>
                <w:szCs w:val="20"/>
              </w:rPr>
              <w:t xml:space="preserve">Diploma of Children’s Services </w:t>
            </w:r>
          </w:p>
        </w:tc>
        <w:tc>
          <w:tcPr>
            <w:tcW w:w="517" w:type="dxa"/>
            <w:tcBorders>
              <w:right w:val="single" w:sz="4" w:space="0" w:color="A8D08D" w:themeColor="accent6" w:themeTint="99"/>
            </w:tcBorders>
            <w:shd w:val="clear" w:color="auto" w:fill="auto"/>
            <w:vAlign w:val="center"/>
          </w:tcPr>
          <w:p w14:paraId="422C4E5B" w14:textId="77777777" w:rsidR="009B4045" w:rsidRPr="00013E31" w:rsidRDefault="009B4045" w:rsidP="00F91E8B">
            <w:pPr>
              <w:pStyle w:val="Insidebox"/>
              <w:spacing w:before="40" w:after="40"/>
              <w:jc w:val="right"/>
              <w:rPr>
                <w:sz w:val="18"/>
                <w:szCs w:val="20"/>
              </w:rPr>
            </w:pPr>
            <w:r w:rsidRPr="00013E31">
              <w:rPr>
                <w:sz w:val="18"/>
                <w:szCs w:val="20"/>
              </w:rPr>
              <w:t>59</w:t>
            </w:r>
          </w:p>
        </w:tc>
        <w:tc>
          <w:tcPr>
            <w:tcW w:w="1771" w:type="dxa"/>
            <w:vMerge/>
            <w:tcBorders>
              <w:left w:val="single" w:sz="4" w:space="0" w:color="A8D08D" w:themeColor="accent6" w:themeTint="99"/>
            </w:tcBorders>
            <w:vAlign w:val="center"/>
          </w:tcPr>
          <w:p w14:paraId="38C6DC6A" w14:textId="77777777" w:rsidR="009B4045" w:rsidRPr="00013E31" w:rsidRDefault="009B4045" w:rsidP="00F91E8B">
            <w:pPr>
              <w:pStyle w:val="Insidebox"/>
              <w:spacing w:before="40" w:after="40"/>
              <w:rPr>
                <w:sz w:val="18"/>
                <w:szCs w:val="20"/>
              </w:rPr>
            </w:pPr>
          </w:p>
        </w:tc>
        <w:tc>
          <w:tcPr>
            <w:tcW w:w="993" w:type="dxa"/>
            <w:vMerge/>
            <w:vAlign w:val="center"/>
          </w:tcPr>
          <w:p w14:paraId="4002A2CD" w14:textId="77777777" w:rsidR="009B4045" w:rsidRPr="00013E31" w:rsidRDefault="009B4045" w:rsidP="00F91E8B">
            <w:pPr>
              <w:pStyle w:val="Insidebox"/>
              <w:spacing w:before="40" w:after="40"/>
              <w:jc w:val="right"/>
              <w:rPr>
                <w:sz w:val="18"/>
                <w:szCs w:val="20"/>
              </w:rPr>
            </w:pPr>
          </w:p>
        </w:tc>
        <w:tc>
          <w:tcPr>
            <w:tcW w:w="992" w:type="dxa"/>
            <w:vMerge/>
            <w:vAlign w:val="center"/>
          </w:tcPr>
          <w:p w14:paraId="402C7993" w14:textId="77777777" w:rsidR="009B4045" w:rsidRPr="00013E31" w:rsidRDefault="009B4045" w:rsidP="00F91E8B">
            <w:pPr>
              <w:pStyle w:val="Insidebox"/>
              <w:spacing w:before="40" w:after="40"/>
              <w:jc w:val="right"/>
              <w:rPr>
                <w:sz w:val="18"/>
                <w:szCs w:val="20"/>
              </w:rPr>
            </w:pPr>
          </w:p>
        </w:tc>
      </w:tr>
      <w:tr w:rsidR="009B4045" w:rsidRPr="00013E31" w14:paraId="30D84F5C" w14:textId="77777777" w:rsidTr="00BA7A45">
        <w:trPr>
          <w:trHeight w:val="276"/>
        </w:trPr>
        <w:tc>
          <w:tcPr>
            <w:tcW w:w="3416" w:type="dxa"/>
            <w:shd w:val="clear" w:color="auto" w:fill="auto"/>
            <w:vAlign w:val="center"/>
          </w:tcPr>
          <w:p w14:paraId="230BDE56" w14:textId="77777777" w:rsidR="009B4045" w:rsidRPr="00013E31" w:rsidRDefault="009B4045" w:rsidP="00F91E8B">
            <w:pPr>
              <w:pStyle w:val="Insidebox"/>
              <w:spacing w:before="40" w:after="40"/>
              <w:rPr>
                <w:sz w:val="18"/>
                <w:szCs w:val="20"/>
              </w:rPr>
            </w:pPr>
            <w:r w:rsidRPr="00013E31">
              <w:rPr>
                <w:sz w:val="18"/>
                <w:szCs w:val="20"/>
              </w:rPr>
              <w:t>Certificate III in Disability</w:t>
            </w:r>
          </w:p>
        </w:tc>
        <w:tc>
          <w:tcPr>
            <w:tcW w:w="517" w:type="dxa"/>
            <w:tcBorders>
              <w:right w:val="single" w:sz="4" w:space="0" w:color="A8D08D" w:themeColor="accent6" w:themeTint="99"/>
            </w:tcBorders>
            <w:shd w:val="clear" w:color="auto" w:fill="auto"/>
            <w:vAlign w:val="center"/>
          </w:tcPr>
          <w:p w14:paraId="195D4D0E" w14:textId="77777777" w:rsidR="009B4045" w:rsidRPr="00013E31" w:rsidRDefault="009B4045" w:rsidP="00F91E8B">
            <w:pPr>
              <w:pStyle w:val="Insidebox"/>
              <w:spacing w:before="40" w:after="40"/>
              <w:jc w:val="right"/>
              <w:rPr>
                <w:sz w:val="18"/>
                <w:szCs w:val="20"/>
              </w:rPr>
            </w:pPr>
            <w:r w:rsidRPr="00013E31">
              <w:rPr>
                <w:sz w:val="18"/>
                <w:szCs w:val="20"/>
              </w:rPr>
              <w:t>14</w:t>
            </w:r>
          </w:p>
        </w:tc>
        <w:tc>
          <w:tcPr>
            <w:tcW w:w="1771" w:type="dxa"/>
            <w:vMerge w:val="restart"/>
            <w:tcBorders>
              <w:left w:val="single" w:sz="4" w:space="0" w:color="A8D08D" w:themeColor="accent6" w:themeTint="99"/>
            </w:tcBorders>
            <w:shd w:val="clear" w:color="auto" w:fill="auto"/>
            <w:vAlign w:val="center"/>
          </w:tcPr>
          <w:p w14:paraId="2B61D453" w14:textId="77777777" w:rsidR="009B4045" w:rsidRPr="00013E31" w:rsidRDefault="009B4045" w:rsidP="00F91E8B">
            <w:pPr>
              <w:pStyle w:val="Insidebox"/>
              <w:spacing w:before="40" w:after="40"/>
              <w:rPr>
                <w:sz w:val="18"/>
                <w:szCs w:val="20"/>
              </w:rPr>
            </w:pPr>
            <w:r w:rsidRPr="00013E31">
              <w:rPr>
                <w:sz w:val="18"/>
                <w:szCs w:val="20"/>
              </w:rPr>
              <w:t>Officer, welfare</w:t>
            </w:r>
          </w:p>
        </w:tc>
        <w:tc>
          <w:tcPr>
            <w:tcW w:w="993" w:type="dxa"/>
            <w:vMerge w:val="restart"/>
            <w:shd w:val="clear" w:color="auto" w:fill="auto"/>
            <w:vAlign w:val="center"/>
          </w:tcPr>
          <w:p w14:paraId="631B3D81" w14:textId="77777777" w:rsidR="009B4045" w:rsidRPr="00013E31" w:rsidRDefault="009B4045" w:rsidP="00F91E8B">
            <w:pPr>
              <w:pStyle w:val="Insidebox"/>
              <w:spacing w:before="40" w:after="40"/>
              <w:jc w:val="right"/>
              <w:rPr>
                <w:sz w:val="18"/>
                <w:szCs w:val="20"/>
              </w:rPr>
            </w:pPr>
            <w:r w:rsidRPr="00013E31">
              <w:rPr>
                <w:sz w:val="18"/>
                <w:szCs w:val="20"/>
              </w:rPr>
              <w:t>948</w:t>
            </w:r>
          </w:p>
        </w:tc>
        <w:tc>
          <w:tcPr>
            <w:tcW w:w="992" w:type="dxa"/>
            <w:vMerge w:val="restart"/>
            <w:shd w:val="clear" w:color="auto" w:fill="auto"/>
            <w:noWrap/>
            <w:vAlign w:val="center"/>
          </w:tcPr>
          <w:p w14:paraId="27137766" w14:textId="77777777" w:rsidR="009B4045" w:rsidRPr="00013E31" w:rsidRDefault="009B4045" w:rsidP="00F91E8B">
            <w:pPr>
              <w:pStyle w:val="Insidebox"/>
              <w:spacing w:before="40" w:after="40"/>
              <w:jc w:val="right"/>
              <w:rPr>
                <w:sz w:val="18"/>
                <w:szCs w:val="20"/>
              </w:rPr>
            </w:pPr>
            <w:r w:rsidRPr="00013E31">
              <w:rPr>
                <w:sz w:val="18"/>
                <w:szCs w:val="20"/>
              </w:rPr>
              <w:t>9.5</w:t>
            </w:r>
          </w:p>
        </w:tc>
      </w:tr>
      <w:tr w:rsidR="009B4045" w:rsidRPr="00013E31" w14:paraId="3ECFB597" w14:textId="77777777" w:rsidTr="00BA7A45">
        <w:trPr>
          <w:trHeight w:val="276"/>
        </w:trPr>
        <w:tc>
          <w:tcPr>
            <w:tcW w:w="3416" w:type="dxa"/>
            <w:shd w:val="clear" w:color="auto" w:fill="auto"/>
            <w:vAlign w:val="center"/>
          </w:tcPr>
          <w:p w14:paraId="756944F3" w14:textId="77777777" w:rsidR="009B4045" w:rsidRPr="00013E31" w:rsidRDefault="009B4045" w:rsidP="00F91E8B">
            <w:pPr>
              <w:pStyle w:val="Insidebox"/>
              <w:spacing w:before="40" w:after="40"/>
              <w:rPr>
                <w:sz w:val="18"/>
                <w:szCs w:val="20"/>
              </w:rPr>
            </w:pPr>
            <w:r w:rsidRPr="00013E31">
              <w:rPr>
                <w:sz w:val="18"/>
                <w:szCs w:val="20"/>
              </w:rPr>
              <w:t>Certificate IV in Disability</w:t>
            </w:r>
          </w:p>
        </w:tc>
        <w:tc>
          <w:tcPr>
            <w:tcW w:w="517" w:type="dxa"/>
            <w:tcBorders>
              <w:right w:val="single" w:sz="4" w:space="0" w:color="A8D08D" w:themeColor="accent6" w:themeTint="99"/>
            </w:tcBorders>
            <w:shd w:val="clear" w:color="auto" w:fill="auto"/>
            <w:vAlign w:val="center"/>
          </w:tcPr>
          <w:p w14:paraId="628717E2" w14:textId="77777777" w:rsidR="009B4045" w:rsidRPr="00013E31" w:rsidRDefault="009B4045" w:rsidP="00F91E8B">
            <w:pPr>
              <w:pStyle w:val="Insidebox"/>
              <w:spacing w:before="40" w:after="40"/>
              <w:jc w:val="right"/>
              <w:rPr>
                <w:sz w:val="18"/>
                <w:szCs w:val="20"/>
              </w:rPr>
            </w:pPr>
            <w:r w:rsidRPr="00013E31">
              <w:rPr>
                <w:sz w:val="18"/>
                <w:szCs w:val="20"/>
              </w:rPr>
              <w:t>43</w:t>
            </w:r>
          </w:p>
        </w:tc>
        <w:tc>
          <w:tcPr>
            <w:tcW w:w="1771" w:type="dxa"/>
            <w:vMerge/>
            <w:tcBorders>
              <w:left w:val="single" w:sz="4" w:space="0" w:color="A8D08D" w:themeColor="accent6" w:themeTint="99"/>
            </w:tcBorders>
            <w:vAlign w:val="center"/>
          </w:tcPr>
          <w:p w14:paraId="73AC31CF" w14:textId="77777777" w:rsidR="009B4045" w:rsidRPr="00013E31" w:rsidRDefault="009B4045" w:rsidP="00F91E8B">
            <w:pPr>
              <w:pStyle w:val="Insidebox"/>
              <w:spacing w:before="40" w:after="40"/>
              <w:rPr>
                <w:sz w:val="18"/>
                <w:szCs w:val="20"/>
              </w:rPr>
            </w:pPr>
          </w:p>
        </w:tc>
        <w:tc>
          <w:tcPr>
            <w:tcW w:w="993" w:type="dxa"/>
            <w:vMerge/>
            <w:vAlign w:val="center"/>
          </w:tcPr>
          <w:p w14:paraId="2FFFC3F1" w14:textId="77777777" w:rsidR="009B4045" w:rsidRPr="00013E31" w:rsidRDefault="009B4045" w:rsidP="00F91E8B">
            <w:pPr>
              <w:pStyle w:val="Insidebox"/>
              <w:spacing w:before="40" w:after="40"/>
              <w:jc w:val="right"/>
              <w:rPr>
                <w:sz w:val="18"/>
                <w:szCs w:val="20"/>
              </w:rPr>
            </w:pPr>
          </w:p>
        </w:tc>
        <w:tc>
          <w:tcPr>
            <w:tcW w:w="992" w:type="dxa"/>
            <w:vMerge/>
            <w:vAlign w:val="center"/>
          </w:tcPr>
          <w:p w14:paraId="020CC434" w14:textId="77777777" w:rsidR="009B4045" w:rsidRPr="00013E31" w:rsidRDefault="009B4045" w:rsidP="00F91E8B">
            <w:pPr>
              <w:pStyle w:val="Insidebox"/>
              <w:spacing w:before="40" w:after="40"/>
              <w:jc w:val="right"/>
              <w:rPr>
                <w:sz w:val="18"/>
                <w:szCs w:val="20"/>
              </w:rPr>
            </w:pPr>
          </w:p>
        </w:tc>
      </w:tr>
      <w:tr w:rsidR="009B4045" w:rsidRPr="00013E31" w14:paraId="1DC93422" w14:textId="77777777" w:rsidTr="00BA7A45">
        <w:trPr>
          <w:trHeight w:val="276"/>
        </w:trPr>
        <w:tc>
          <w:tcPr>
            <w:tcW w:w="3416" w:type="dxa"/>
            <w:shd w:val="clear" w:color="auto" w:fill="auto"/>
            <w:vAlign w:val="center"/>
          </w:tcPr>
          <w:p w14:paraId="41762C43" w14:textId="77777777" w:rsidR="009B4045" w:rsidRPr="00013E31" w:rsidRDefault="009B4045" w:rsidP="00F91E8B">
            <w:pPr>
              <w:pStyle w:val="Insidebox"/>
              <w:spacing w:before="40" w:after="40"/>
              <w:rPr>
                <w:sz w:val="18"/>
                <w:szCs w:val="20"/>
              </w:rPr>
            </w:pPr>
            <w:r w:rsidRPr="00013E31">
              <w:rPr>
                <w:sz w:val="18"/>
                <w:szCs w:val="20"/>
              </w:rPr>
              <w:t>Certificate IV in Youth Work</w:t>
            </w:r>
          </w:p>
        </w:tc>
        <w:tc>
          <w:tcPr>
            <w:tcW w:w="517" w:type="dxa"/>
            <w:tcBorders>
              <w:right w:val="single" w:sz="4" w:space="0" w:color="A8D08D" w:themeColor="accent6" w:themeTint="99"/>
            </w:tcBorders>
            <w:shd w:val="clear" w:color="auto" w:fill="auto"/>
            <w:vAlign w:val="center"/>
          </w:tcPr>
          <w:p w14:paraId="6D8CDEFA" w14:textId="77777777" w:rsidR="009B4045" w:rsidRPr="00013E31" w:rsidRDefault="009B4045" w:rsidP="00F91E8B">
            <w:pPr>
              <w:pStyle w:val="Insidebox"/>
              <w:spacing w:before="40" w:after="40"/>
              <w:jc w:val="right"/>
              <w:rPr>
                <w:sz w:val="18"/>
                <w:szCs w:val="20"/>
              </w:rPr>
            </w:pPr>
            <w:r w:rsidRPr="00013E31">
              <w:rPr>
                <w:sz w:val="18"/>
                <w:szCs w:val="20"/>
              </w:rPr>
              <w:t>21</w:t>
            </w:r>
          </w:p>
        </w:tc>
        <w:tc>
          <w:tcPr>
            <w:tcW w:w="1771" w:type="dxa"/>
            <w:vMerge/>
            <w:tcBorders>
              <w:left w:val="single" w:sz="4" w:space="0" w:color="A8D08D" w:themeColor="accent6" w:themeTint="99"/>
            </w:tcBorders>
            <w:vAlign w:val="center"/>
          </w:tcPr>
          <w:p w14:paraId="50531874" w14:textId="77777777" w:rsidR="009B4045" w:rsidRPr="00013E31" w:rsidRDefault="009B4045" w:rsidP="00F91E8B">
            <w:pPr>
              <w:pStyle w:val="Insidebox"/>
              <w:spacing w:before="40" w:after="40"/>
              <w:rPr>
                <w:sz w:val="18"/>
                <w:szCs w:val="20"/>
              </w:rPr>
            </w:pPr>
          </w:p>
        </w:tc>
        <w:tc>
          <w:tcPr>
            <w:tcW w:w="993" w:type="dxa"/>
            <w:vMerge/>
            <w:vAlign w:val="center"/>
          </w:tcPr>
          <w:p w14:paraId="1EDDE8E5" w14:textId="77777777" w:rsidR="009B4045" w:rsidRPr="00013E31" w:rsidRDefault="009B4045" w:rsidP="00F91E8B">
            <w:pPr>
              <w:pStyle w:val="Insidebox"/>
              <w:spacing w:before="40" w:after="40"/>
              <w:jc w:val="right"/>
              <w:rPr>
                <w:sz w:val="18"/>
                <w:szCs w:val="20"/>
              </w:rPr>
            </w:pPr>
          </w:p>
        </w:tc>
        <w:tc>
          <w:tcPr>
            <w:tcW w:w="992" w:type="dxa"/>
            <w:vMerge/>
            <w:vAlign w:val="center"/>
          </w:tcPr>
          <w:p w14:paraId="423C48FF" w14:textId="77777777" w:rsidR="009B4045" w:rsidRPr="00013E31" w:rsidRDefault="009B4045" w:rsidP="00F91E8B">
            <w:pPr>
              <w:pStyle w:val="Insidebox"/>
              <w:spacing w:before="40" w:after="40"/>
              <w:jc w:val="right"/>
              <w:rPr>
                <w:sz w:val="18"/>
                <w:szCs w:val="20"/>
              </w:rPr>
            </w:pPr>
          </w:p>
        </w:tc>
      </w:tr>
      <w:tr w:rsidR="009B4045" w:rsidRPr="00013E31" w14:paraId="3F0B2334" w14:textId="77777777" w:rsidTr="00BA7A45">
        <w:trPr>
          <w:trHeight w:val="283"/>
        </w:trPr>
        <w:tc>
          <w:tcPr>
            <w:tcW w:w="3416" w:type="dxa"/>
            <w:shd w:val="clear" w:color="auto" w:fill="auto"/>
            <w:vAlign w:val="center"/>
          </w:tcPr>
          <w:p w14:paraId="4AE1B97E" w14:textId="77777777" w:rsidR="009B4045" w:rsidRPr="00013E31" w:rsidRDefault="009B4045" w:rsidP="00F91E8B">
            <w:pPr>
              <w:pStyle w:val="Insidebox"/>
              <w:spacing w:before="40" w:after="40"/>
              <w:rPr>
                <w:sz w:val="18"/>
                <w:szCs w:val="20"/>
              </w:rPr>
            </w:pPr>
            <w:r w:rsidRPr="00013E31">
              <w:rPr>
                <w:sz w:val="18"/>
                <w:szCs w:val="20"/>
              </w:rPr>
              <w:t>Diploma of Community Services Work</w:t>
            </w:r>
          </w:p>
        </w:tc>
        <w:tc>
          <w:tcPr>
            <w:tcW w:w="517" w:type="dxa"/>
            <w:tcBorders>
              <w:right w:val="single" w:sz="4" w:space="0" w:color="A8D08D" w:themeColor="accent6" w:themeTint="99"/>
            </w:tcBorders>
            <w:shd w:val="clear" w:color="auto" w:fill="auto"/>
            <w:vAlign w:val="center"/>
          </w:tcPr>
          <w:p w14:paraId="5095F901" w14:textId="77777777" w:rsidR="009B4045" w:rsidRPr="00013E31" w:rsidRDefault="009B4045" w:rsidP="00F91E8B">
            <w:pPr>
              <w:pStyle w:val="Insidebox"/>
              <w:spacing w:before="40" w:after="40"/>
              <w:jc w:val="right"/>
              <w:rPr>
                <w:sz w:val="18"/>
                <w:szCs w:val="20"/>
              </w:rPr>
            </w:pPr>
            <w:r w:rsidRPr="00013E31">
              <w:rPr>
                <w:sz w:val="18"/>
                <w:szCs w:val="20"/>
              </w:rPr>
              <w:t>22</w:t>
            </w:r>
          </w:p>
        </w:tc>
        <w:tc>
          <w:tcPr>
            <w:tcW w:w="1771" w:type="dxa"/>
            <w:vMerge/>
            <w:tcBorders>
              <w:left w:val="single" w:sz="4" w:space="0" w:color="A8D08D" w:themeColor="accent6" w:themeTint="99"/>
            </w:tcBorders>
            <w:vAlign w:val="center"/>
          </w:tcPr>
          <w:p w14:paraId="247E7A39" w14:textId="77777777" w:rsidR="009B4045" w:rsidRPr="00013E31" w:rsidRDefault="009B4045" w:rsidP="00F91E8B">
            <w:pPr>
              <w:pStyle w:val="Insidebox"/>
              <w:spacing w:before="40" w:after="40"/>
              <w:rPr>
                <w:sz w:val="18"/>
                <w:szCs w:val="20"/>
              </w:rPr>
            </w:pPr>
          </w:p>
        </w:tc>
        <w:tc>
          <w:tcPr>
            <w:tcW w:w="993" w:type="dxa"/>
            <w:vMerge/>
            <w:vAlign w:val="center"/>
          </w:tcPr>
          <w:p w14:paraId="2323B4E6" w14:textId="77777777" w:rsidR="009B4045" w:rsidRPr="00013E31" w:rsidRDefault="009B4045" w:rsidP="00F91E8B">
            <w:pPr>
              <w:pStyle w:val="Insidebox"/>
              <w:spacing w:before="40" w:after="40"/>
              <w:jc w:val="right"/>
              <w:rPr>
                <w:sz w:val="18"/>
                <w:szCs w:val="20"/>
              </w:rPr>
            </w:pPr>
          </w:p>
        </w:tc>
        <w:tc>
          <w:tcPr>
            <w:tcW w:w="992" w:type="dxa"/>
            <w:vMerge/>
            <w:vAlign w:val="center"/>
          </w:tcPr>
          <w:p w14:paraId="2BDFAD61" w14:textId="77777777" w:rsidR="009B4045" w:rsidRPr="00013E31" w:rsidRDefault="009B4045" w:rsidP="00F91E8B">
            <w:pPr>
              <w:pStyle w:val="Insidebox"/>
              <w:spacing w:before="40" w:after="40"/>
              <w:jc w:val="right"/>
              <w:rPr>
                <w:sz w:val="18"/>
                <w:szCs w:val="20"/>
              </w:rPr>
            </w:pPr>
          </w:p>
        </w:tc>
      </w:tr>
      <w:tr w:rsidR="009B4045" w:rsidRPr="00013E31" w14:paraId="7C36F311" w14:textId="77777777" w:rsidTr="00BA7A45">
        <w:trPr>
          <w:trHeight w:val="465"/>
        </w:trPr>
        <w:tc>
          <w:tcPr>
            <w:tcW w:w="3416" w:type="dxa"/>
            <w:shd w:val="clear" w:color="auto" w:fill="auto"/>
            <w:vAlign w:val="center"/>
          </w:tcPr>
          <w:p w14:paraId="295247E0" w14:textId="77777777" w:rsidR="009B4045" w:rsidRPr="00013E31" w:rsidRDefault="009B4045" w:rsidP="00F91E8B">
            <w:pPr>
              <w:pStyle w:val="Insidebox"/>
              <w:spacing w:before="40" w:after="40"/>
              <w:rPr>
                <w:sz w:val="18"/>
                <w:szCs w:val="20"/>
              </w:rPr>
            </w:pPr>
            <w:r w:rsidRPr="00013E31">
              <w:rPr>
                <w:sz w:val="18"/>
                <w:szCs w:val="20"/>
              </w:rPr>
              <w:t xml:space="preserve">Certificate III in Home &amp; Community Care/Certificate III </w:t>
            </w:r>
            <w:r w:rsidR="00CF79C4" w:rsidRPr="00013E31">
              <w:rPr>
                <w:sz w:val="18"/>
                <w:szCs w:val="20"/>
              </w:rPr>
              <w:t xml:space="preserve">in </w:t>
            </w:r>
            <w:r w:rsidRPr="00013E31">
              <w:rPr>
                <w:sz w:val="18"/>
                <w:szCs w:val="20"/>
              </w:rPr>
              <w:t>Aged Care</w:t>
            </w:r>
          </w:p>
        </w:tc>
        <w:tc>
          <w:tcPr>
            <w:tcW w:w="517" w:type="dxa"/>
            <w:tcBorders>
              <w:right w:val="single" w:sz="4" w:space="0" w:color="A8D08D" w:themeColor="accent6" w:themeTint="99"/>
            </w:tcBorders>
            <w:shd w:val="clear" w:color="auto" w:fill="auto"/>
            <w:vAlign w:val="center"/>
          </w:tcPr>
          <w:p w14:paraId="549C28E0" w14:textId="77777777" w:rsidR="009B4045" w:rsidRPr="00013E31" w:rsidRDefault="009B4045" w:rsidP="00F91E8B">
            <w:pPr>
              <w:pStyle w:val="Insidebox"/>
              <w:spacing w:before="40" w:after="40"/>
              <w:jc w:val="right"/>
              <w:rPr>
                <w:sz w:val="18"/>
                <w:szCs w:val="20"/>
              </w:rPr>
            </w:pPr>
            <w:r w:rsidRPr="00013E31">
              <w:rPr>
                <w:sz w:val="18"/>
                <w:szCs w:val="20"/>
              </w:rPr>
              <w:t>43</w:t>
            </w:r>
          </w:p>
        </w:tc>
        <w:tc>
          <w:tcPr>
            <w:tcW w:w="1771" w:type="dxa"/>
            <w:tcBorders>
              <w:left w:val="single" w:sz="4" w:space="0" w:color="A8D08D" w:themeColor="accent6" w:themeTint="99"/>
            </w:tcBorders>
            <w:shd w:val="clear" w:color="auto" w:fill="auto"/>
            <w:vAlign w:val="center"/>
          </w:tcPr>
          <w:p w14:paraId="05D904AD" w14:textId="77777777" w:rsidR="009B4045" w:rsidRPr="00013E31" w:rsidRDefault="009B4045" w:rsidP="00F91E8B">
            <w:pPr>
              <w:pStyle w:val="Insidebox"/>
              <w:spacing w:before="40" w:after="40"/>
              <w:rPr>
                <w:sz w:val="18"/>
                <w:szCs w:val="20"/>
              </w:rPr>
            </w:pPr>
            <w:r w:rsidRPr="00013E31">
              <w:rPr>
                <w:sz w:val="18"/>
                <w:szCs w:val="20"/>
              </w:rPr>
              <w:t>Attendant, nursing/home</w:t>
            </w:r>
          </w:p>
        </w:tc>
        <w:tc>
          <w:tcPr>
            <w:tcW w:w="993" w:type="dxa"/>
            <w:shd w:val="clear" w:color="auto" w:fill="auto"/>
            <w:vAlign w:val="center"/>
          </w:tcPr>
          <w:p w14:paraId="71951884" w14:textId="77777777" w:rsidR="009B4045" w:rsidRPr="00013E31" w:rsidRDefault="009B4045" w:rsidP="00F91E8B">
            <w:pPr>
              <w:pStyle w:val="Insidebox"/>
              <w:spacing w:before="40" w:after="40"/>
              <w:jc w:val="right"/>
              <w:rPr>
                <w:sz w:val="18"/>
                <w:szCs w:val="20"/>
              </w:rPr>
            </w:pPr>
            <w:r w:rsidRPr="00013E31">
              <w:rPr>
                <w:sz w:val="18"/>
                <w:szCs w:val="20"/>
              </w:rPr>
              <w:t>110</w:t>
            </w:r>
          </w:p>
        </w:tc>
        <w:tc>
          <w:tcPr>
            <w:tcW w:w="992" w:type="dxa"/>
            <w:shd w:val="clear" w:color="auto" w:fill="auto"/>
            <w:noWrap/>
            <w:vAlign w:val="center"/>
          </w:tcPr>
          <w:p w14:paraId="7FDA7E94" w14:textId="77777777" w:rsidR="009B4045" w:rsidRPr="00013E31" w:rsidRDefault="009B4045" w:rsidP="00F91E8B">
            <w:pPr>
              <w:pStyle w:val="Insidebox"/>
              <w:spacing w:before="40" w:after="40"/>
              <w:jc w:val="right"/>
              <w:rPr>
                <w:sz w:val="18"/>
                <w:szCs w:val="20"/>
              </w:rPr>
            </w:pPr>
            <w:r w:rsidRPr="00013E31">
              <w:rPr>
                <w:sz w:val="18"/>
                <w:szCs w:val="20"/>
              </w:rPr>
              <w:t>2.6</w:t>
            </w:r>
          </w:p>
        </w:tc>
      </w:tr>
      <w:tr w:rsidR="00BA7A45" w:rsidRPr="00013E31" w14:paraId="5D5073E3" w14:textId="77777777" w:rsidTr="00BA7A45">
        <w:trPr>
          <w:trHeight w:val="217"/>
        </w:trPr>
        <w:tc>
          <w:tcPr>
            <w:tcW w:w="3416" w:type="dxa"/>
            <w:shd w:val="clear" w:color="auto" w:fill="E2EFD9" w:themeFill="accent6" w:themeFillTint="33"/>
            <w:vAlign w:val="center"/>
          </w:tcPr>
          <w:p w14:paraId="6317C464" w14:textId="77777777" w:rsidR="009B4045" w:rsidRPr="00013E31" w:rsidRDefault="00546F37" w:rsidP="00013E31">
            <w:pPr>
              <w:pStyle w:val="Insidebox"/>
              <w:spacing w:before="40" w:after="40"/>
              <w:rPr>
                <w:b/>
                <w:sz w:val="18"/>
                <w:szCs w:val="20"/>
              </w:rPr>
            </w:pPr>
            <w:r w:rsidRPr="00013E31">
              <w:rPr>
                <w:b/>
                <w:sz w:val="18"/>
                <w:szCs w:val="20"/>
              </w:rPr>
              <w:t>Total</w:t>
            </w:r>
          </w:p>
        </w:tc>
        <w:tc>
          <w:tcPr>
            <w:tcW w:w="517" w:type="dxa"/>
            <w:tcBorders>
              <w:right w:val="single" w:sz="4" w:space="0" w:color="A8D08D" w:themeColor="accent6" w:themeTint="99"/>
            </w:tcBorders>
            <w:shd w:val="clear" w:color="auto" w:fill="E2EFD9" w:themeFill="accent6" w:themeFillTint="33"/>
            <w:vAlign w:val="center"/>
          </w:tcPr>
          <w:p w14:paraId="21D61BDA" w14:textId="77777777" w:rsidR="009B4045" w:rsidRPr="00013E31" w:rsidRDefault="00546F37" w:rsidP="00F91E8B">
            <w:pPr>
              <w:pStyle w:val="Insidebox"/>
              <w:spacing w:before="40" w:after="40"/>
              <w:jc w:val="right"/>
              <w:rPr>
                <w:b/>
                <w:sz w:val="18"/>
                <w:szCs w:val="20"/>
              </w:rPr>
            </w:pPr>
            <w:r w:rsidRPr="00013E31">
              <w:rPr>
                <w:b/>
                <w:sz w:val="18"/>
                <w:szCs w:val="20"/>
              </w:rPr>
              <w:t>377</w:t>
            </w:r>
          </w:p>
        </w:tc>
        <w:tc>
          <w:tcPr>
            <w:tcW w:w="1771" w:type="dxa"/>
            <w:tcBorders>
              <w:left w:val="single" w:sz="4" w:space="0" w:color="A8D08D" w:themeColor="accent6" w:themeTint="99"/>
            </w:tcBorders>
            <w:shd w:val="clear" w:color="auto" w:fill="E2EFD9" w:themeFill="accent6" w:themeFillTint="33"/>
            <w:vAlign w:val="center"/>
          </w:tcPr>
          <w:p w14:paraId="2DF746C6" w14:textId="77777777" w:rsidR="009B4045" w:rsidRPr="00013E31" w:rsidRDefault="00546F37" w:rsidP="00F91E8B">
            <w:pPr>
              <w:pStyle w:val="Insidebox"/>
              <w:spacing w:before="40" w:after="40"/>
              <w:rPr>
                <w:b/>
                <w:sz w:val="18"/>
                <w:szCs w:val="20"/>
              </w:rPr>
            </w:pPr>
            <w:r w:rsidRPr="00013E31">
              <w:rPr>
                <w:b/>
                <w:sz w:val="18"/>
                <w:szCs w:val="20"/>
              </w:rPr>
              <w:t> </w:t>
            </w:r>
          </w:p>
        </w:tc>
        <w:tc>
          <w:tcPr>
            <w:tcW w:w="993" w:type="dxa"/>
            <w:shd w:val="clear" w:color="auto" w:fill="E2EFD9" w:themeFill="accent6" w:themeFillTint="33"/>
            <w:vAlign w:val="center"/>
          </w:tcPr>
          <w:p w14:paraId="0262E5D6" w14:textId="77777777" w:rsidR="009B4045" w:rsidRPr="00013E31" w:rsidRDefault="00546F37" w:rsidP="00F91E8B">
            <w:pPr>
              <w:pStyle w:val="Insidebox"/>
              <w:spacing w:before="40" w:after="40"/>
              <w:jc w:val="right"/>
              <w:rPr>
                <w:b/>
                <w:sz w:val="18"/>
                <w:szCs w:val="20"/>
              </w:rPr>
            </w:pPr>
            <w:r w:rsidRPr="00013E31">
              <w:rPr>
                <w:b/>
                <w:sz w:val="18"/>
                <w:szCs w:val="20"/>
              </w:rPr>
              <w:t>2277</w:t>
            </w:r>
          </w:p>
        </w:tc>
        <w:tc>
          <w:tcPr>
            <w:tcW w:w="992" w:type="dxa"/>
            <w:shd w:val="clear" w:color="auto" w:fill="E2EFD9" w:themeFill="accent6" w:themeFillTint="33"/>
            <w:noWrap/>
            <w:vAlign w:val="center"/>
          </w:tcPr>
          <w:p w14:paraId="2717F64B" w14:textId="77777777" w:rsidR="009B4045" w:rsidRPr="00013E31" w:rsidRDefault="00546F37" w:rsidP="00F91E8B">
            <w:pPr>
              <w:pStyle w:val="Insidebox"/>
              <w:spacing w:before="40" w:after="40"/>
              <w:jc w:val="right"/>
              <w:rPr>
                <w:b/>
                <w:sz w:val="18"/>
                <w:szCs w:val="20"/>
              </w:rPr>
            </w:pPr>
            <w:r w:rsidRPr="00013E31">
              <w:rPr>
                <w:b/>
                <w:sz w:val="18"/>
                <w:szCs w:val="20"/>
              </w:rPr>
              <w:t>6.0</w:t>
            </w:r>
          </w:p>
        </w:tc>
      </w:tr>
      <w:tr w:rsidR="009B4045" w:rsidRPr="00F91E8B" w14:paraId="68E79331" w14:textId="77777777" w:rsidTr="00BA7A45">
        <w:trPr>
          <w:trHeight w:val="207"/>
        </w:trPr>
        <w:tc>
          <w:tcPr>
            <w:tcW w:w="7689" w:type="dxa"/>
            <w:gridSpan w:val="5"/>
            <w:shd w:val="clear" w:color="auto" w:fill="auto"/>
            <w:vAlign w:val="center"/>
          </w:tcPr>
          <w:p w14:paraId="727AB7BC" w14:textId="780F9831" w:rsidR="009B4045" w:rsidRPr="00F91E8B" w:rsidRDefault="00BA7A45" w:rsidP="009012D3">
            <w:pPr>
              <w:pStyle w:val="Insidebox"/>
              <w:spacing w:before="40" w:after="40"/>
              <w:rPr>
                <w:b/>
                <w:sz w:val="18"/>
              </w:rPr>
            </w:pPr>
            <w:r>
              <w:rPr>
                <w:sz w:val="16"/>
              </w:rPr>
              <w:br/>
            </w:r>
            <w:r w:rsidR="009B4045" w:rsidRPr="00F91E8B">
              <w:rPr>
                <w:sz w:val="16"/>
              </w:rPr>
              <w:t>Source: Fiji Survey of Employment &amp; Unemployment 2011</w:t>
            </w:r>
          </w:p>
        </w:tc>
      </w:tr>
    </w:tbl>
    <w:p w14:paraId="1706AE39" w14:textId="77777777" w:rsidR="00F91E8B" w:rsidRDefault="00F91E8B" w:rsidP="009B4045"/>
    <w:p w14:paraId="76567800" w14:textId="77777777" w:rsidR="009B4045" w:rsidRPr="004029C3" w:rsidRDefault="009B4045" w:rsidP="009B4045">
      <w:r w:rsidRPr="004029C3">
        <w:t xml:space="preserve">Similarly, the numbers of APTC graduates in children’s services and disability, youth work and community services may also be high compared with the stock of jobs. This comparison assumes that job turnover is low and that there is a limited employer demand for qualifications for existing workers in these sectors. The basis for the latter assumption is discussed below. </w:t>
      </w:r>
    </w:p>
    <w:p w14:paraId="6E469A26" w14:textId="264890BD" w:rsidR="003D355F" w:rsidRDefault="001360BF" w:rsidP="002028A6">
      <w:pPr>
        <w:pStyle w:val="Heading2"/>
      </w:pPr>
      <w:bookmarkStart w:id="865" w:name="_Toc274145177"/>
      <w:bookmarkStart w:id="866" w:name="_Toc274900560"/>
      <w:bookmarkStart w:id="867" w:name="_Toc274909948"/>
      <w:bookmarkStart w:id="868" w:name="_Toc278447965"/>
      <w:bookmarkStart w:id="869" w:name="_Toc278453438"/>
      <w:r>
        <w:t xml:space="preserve">4.1 </w:t>
      </w:r>
      <w:r w:rsidR="00013E31">
        <w:tab/>
      </w:r>
      <w:r w:rsidR="009B4045">
        <w:t>Employer demand for APTC qualifications?</w:t>
      </w:r>
      <w:bookmarkEnd w:id="865"/>
      <w:bookmarkEnd w:id="866"/>
      <w:bookmarkEnd w:id="867"/>
      <w:bookmarkEnd w:id="868"/>
      <w:bookmarkEnd w:id="869"/>
    </w:p>
    <w:p w14:paraId="25949147" w14:textId="6479D61E" w:rsidR="009B4045" w:rsidRDefault="009B4045" w:rsidP="009B4045">
      <w:r>
        <w:t xml:space="preserve">In all Pacific countries, a low proportion of existing workers have a post-school qualification. This applies even in skilled occupations such as mechanics, fitters and electricians where a post-school qualification </w:t>
      </w:r>
      <w:r w:rsidR="000B2C82">
        <w:t>w</w:t>
      </w:r>
      <w:r>
        <w:t>ould be expected</w:t>
      </w:r>
      <w:r w:rsidR="000B2C82">
        <w:t xml:space="preserve"> in Australia and New Zealand</w:t>
      </w:r>
      <w:r>
        <w:t>. In Fiji in 2011, the proportion of carpenters with a post-school qualification is only one-in-</w:t>
      </w:r>
      <w:r w:rsidR="0001530F">
        <w:t>ten</w:t>
      </w:r>
      <w:r>
        <w:t>; for plumbers, it is only two-in-five, and for electricians it is near to two-in-three. For metal fabricators, their post-school qualification rate is one-in-five and for welders it is two-in-five. Only two-in-five automobile mechanics have a post-school qualification, as do three-in-five diesel fitters and air conditioning mechanics. It is not clear</w:t>
      </w:r>
      <w:r w:rsidR="003D4FEB">
        <w:t>,</w:t>
      </w:r>
      <w:r>
        <w:t xml:space="preserve"> without surveying employers</w:t>
      </w:r>
      <w:r w:rsidR="003D4FEB">
        <w:t>,</w:t>
      </w:r>
      <w:r>
        <w:t xml:space="preserve"> what the extent of the demand for post-school qualifications </w:t>
      </w:r>
      <w:r w:rsidR="003D4FEB">
        <w:t xml:space="preserve">is </w:t>
      </w:r>
      <w:r>
        <w:t>in these sector</w:t>
      </w:r>
      <w:r w:rsidR="003D4FEB">
        <w:t>s</w:t>
      </w:r>
      <w:r>
        <w:t xml:space="preserve">. Employers may prefer to make do with specific skill sets to meet their needs, including a shorter time away from the workplace. </w:t>
      </w:r>
    </w:p>
    <w:p w14:paraId="4F9612CE" w14:textId="31183921" w:rsidR="009B4045" w:rsidRDefault="009B4045" w:rsidP="009B4045">
      <w:r>
        <w:t>In the community sector, the demand for post-school qualifications may be at a higher qualification level than that provided by APTC. In Fiji in 2011, seven-in-</w:t>
      </w:r>
      <w:r w:rsidR="0001530F">
        <w:t>ten</w:t>
      </w:r>
      <w:r w:rsidR="00714A30">
        <w:t xml:space="preserve"> </w:t>
      </w:r>
      <w:r>
        <w:t xml:space="preserve">welfare officers working in community services have a post-school qualification and two-in-five have a diploma or degree. The high proportion of APTC graduates in community services not in employment, noted above, indicates that the demand for qualifications at Certificate III and IV may be limited. </w:t>
      </w:r>
    </w:p>
    <w:p w14:paraId="4B5C43A6" w14:textId="48E56FC3" w:rsidR="003D355F" w:rsidRDefault="001360BF" w:rsidP="002028A6">
      <w:pPr>
        <w:pStyle w:val="Heading2"/>
      </w:pPr>
      <w:bookmarkStart w:id="870" w:name="_Toc274145178"/>
      <w:bookmarkStart w:id="871" w:name="_Toc274900561"/>
      <w:bookmarkStart w:id="872" w:name="_Toc274909949"/>
      <w:bookmarkStart w:id="873" w:name="_Toc278447966"/>
      <w:bookmarkStart w:id="874" w:name="_Toc278453439"/>
      <w:r>
        <w:t xml:space="preserve">4.2 </w:t>
      </w:r>
      <w:r w:rsidR="00013E31">
        <w:tab/>
      </w:r>
      <w:r w:rsidR="009B4045">
        <w:t>A direct measure of skill shortages</w:t>
      </w:r>
      <w:bookmarkEnd w:id="870"/>
      <w:bookmarkEnd w:id="871"/>
      <w:bookmarkEnd w:id="872"/>
      <w:bookmarkEnd w:id="873"/>
      <w:bookmarkEnd w:id="874"/>
    </w:p>
    <w:p w14:paraId="2D9C16D7" w14:textId="5B56FBC5" w:rsidR="009B4045" w:rsidRDefault="009B4045" w:rsidP="009B4045">
      <w:r>
        <w:t xml:space="preserve">The most direct evidence of employers’ demand for skills is their decision to employ foreign workers in occupations that require a substantial skills set to perform the work. This involves incurring the additional cost of recruiting the worker from overseas in the case of the Pacific. It also usually involves paying the foreign worker </w:t>
      </w:r>
      <w:r w:rsidR="00C66C86">
        <w:t>a higher</w:t>
      </w:r>
      <w:r>
        <w:t xml:space="preserve"> wage </w:t>
      </w:r>
      <w:r w:rsidR="00C66C86">
        <w:t>than the</w:t>
      </w:r>
      <w:r>
        <w:t xml:space="preserve"> domestic workers doing the same work. </w:t>
      </w:r>
    </w:p>
    <w:p w14:paraId="58250049" w14:textId="77777777" w:rsidR="009B4045" w:rsidRDefault="009B4045" w:rsidP="009B4045">
      <w:r>
        <w:t xml:space="preserve">The extent of economic demand for post-school qualifications in skills-based occupations in the Pacific can be estimated from the number and qualifications of foreign workers in these occupations. The number of foreign workers in a skills-based occupation gives a </w:t>
      </w:r>
      <w:r w:rsidR="006900F1">
        <w:t>low-</w:t>
      </w:r>
      <w:r>
        <w:t xml:space="preserve">end estimate of a skills shortage in that occupation. Comparing the post-school qualifications rate of foreign workers with that for domestic workers gives an </w:t>
      </w:r>
      <w:r w:rsidR="00072E9F">
        <w:t>upper-</w:t>
      </w:r>
      <w:r>
        <w:t xml:space="preserve">end estimate of the potential demand for post-school qualifications for specific occupations. A mid-point between these two estimates can be used to identify the number of skilled occupations needed. This is based on the assumption that many small employers using skilled occupations are not willing or able to pay for workers with post-school qualifications. </w:t>
      </w:r>
    </w:p>
    <w:p w14:paraId="1E88C39E" w14:textId="77777777" w:rsidR="009B4045" w:rsidRDefault="009B4045" w:rsidP="009B4045">
      <w:r>
        <w:t xml:space="preserve">Table </w:t>
      </w:r>
      <w:r w:rsidR="009B2C0E">
        <w:t>8.</w:t>
      </w:r>
      <w:r>
        <w:t xml:space="preserve">6 presents the aggregated count of foreign workers in mostly skill-based occupations for nine Pacific countries based on the results of each country’s most recent census. Most foreign workers (84 per cent) work as managers, professionals and technicians. The smaller number of foreign workers in trades-related and personal service jobs suggests that the demand for workers with internationally recognised skills in these occupations may be low. </w:t>
      </w:r>
    </w:p>
    <w:p w14:paraId="7FC548BB" w14:textId="77777777" w:rsidR="009B4045" w:rsidRPr="00115123" w:rsidRDefault="009B4045" w:rsidP="009B4045">
      <w:r w:rsidRPr="00115123">
        <w:t xml:space="preserve">Census data show that foreign workers have a higher post-school qualifications rate than domestic workers in the same occupations. Using this gap in post-school qualifications between the two groups, it is possible to identify a skills gap for each occupation where post-school qualifications are expected and to calculate the number of domestic workers without a post-school qualification. </w:t>
      </w:r>
    </w:p>
    <w:p w14:paraId="4E8420F3" w14:textId="77777777" w:rsidR="009B4045" w:rsidRDefault="009B4045" w:rsidP="009B4045">
      <w:pPr>
        <w:pStyle w:val="Tableheading"/>
      </w:pPr>
      <w:bookmarkStart w:id="875" w:name="_Toc274146494"/>
      <w:bookmarkStart w:id="876" w:name="_Toc274915953"/>
      <w:bookmarkStart w:id="877" w:name="_Toc278446932"/>
      <w:r>
        <w:t>Table</w:t>
      </w:r>
      <w:r w:rsidR="00B0103B">
        <w:t xml:space="preserve"> 8</w:t>
      </w:r>
      <w:r>
        <w:t xml:space="preserve">.6: Number of foreign workers in selected occupation groups, </w:t>
      </w:r>
      <w:r w:rsidR="00B0103B">
        <w:br/>
      </w:r>
      <w:r>
        <w:t xml:space="preserve">Fiji, Kiribati, Nauru, Papua New Guinea, Samoa, Solomon Islands, Tonga, </w:t>
      </w:r>
      <w:r w:rsidR="00B0103B">
        <w:br/>
      </w:r>
      <w:r>
        <w:t xml:space="preserve">Tuvalu </w:t>
      </w:r>
      <w:r w:rsidR="00B0103B">
        <w:t xml:space="preserve">and </w:t>
      </w:r>
      <w:r>
        <w:t>Vanuatu, 2009</w:t>
      </w:r>
      <w:r w:rsidR="00B0103B">
        <w:t>–</w:t>
      </w:r>
      <w:r>
        <w:t>2012</w:t>
      </w:r>
      <w:bookmarkEnd w:id="875"/>
      <w:bookmarkEnd w:id="876"/>
      <w:bookmarkEnd w:id="877"/>
    </w:p>
    <w:tbl>
      <w:tblPr>
        <w:tblW w:w="0" w:type="auto"/>
        <w:tblInd w:w="74" w:type="dxa"/>
        <w:tblCellMar>
          <w:left w:w="10" w:type="dxa"/>
          <w:right w:w="10" w:type="dxa"/>
        </w:tblCellMar>
        <w:tblLook w:val="04A0" w:firstRow="1" w:lastRow="0" w:firstColumn="1" w:lastColumn="0" w:noHBand="0" w:noVBand="1"/>
      </w:tblPr>
      <w:tblGrid>
        <w:gridCol w:w="3774"/>
        <w:gridCol w:w="992"/>
      </w:tblGrid>
      <w:tr w:rsidR="005545B5" w14:paraId="7775C07C" w14:textId="77777777" w:rsidTr="007A7B44">
        <w:tc>
          <w:tcPr>
            <w:tcW w:w="3774" w:type="dxa"/>
            <w:shd w:val="clear" w:color="auto" w:fill="C5E0B3" w:themeFill="accent6" w:themeFillTint="66"/>
            <w:tcMar>
              <w:top w:w="0" w:type="dxa"/>
              <w:left w:w="20" w:type="dxa"/>
              <w:bottom w:w="0" w:type="dxa"/>
              <w:right w:w="20" w:type="dxa"/>
            </w:tcMar>
            <w:vAlign w:val="bottom"/>
          </w:tcPr>
          <w:p w14:paraId="3DF0DD39" w14:textId="77777777" w:rsidR="003D355F" w:rsidRDefault="009B4045">
            <w:pPr>
              <w:pBdr>
                <w:top w:val="none" w:sz="0" w:space="3" w:color="000000"/>
                <w:left w:val="none" w:sz="0" w:space="3" w:color="000000"/>
                <w:bottom w:val="none" w:sz="0" w:space="3" w:color="000000"/>
                <w:right w:val="none" w:sz="0" w:space="3" w:color="000000"/>
              </w:pBdr>
              <w:suppressAutoHyphens/>
              <w:spacing w:before="40" w:after="40"/>
              <w:rPr>
                <w:rFonts w:eastAsia="Arial" w:cs="Arial"/>
                <w:b/>
                <w:bCs/>
                <w:color w:val="76923C"/>
                <w:sz w:val="18"/>
                <w:szCs w:val="20"/>
                <w:lang w:val="en-US"/>
              </w:rPr>
            </w:pPr>
            <w:r w:rsidRPr="00BF2895">
              <w:rPr>
                <w:rFonts w:eastAsia="Arial" w:cs="Arial"/>
                <w:b/>
                <w:sz w:val="18"/>
                <w:szCs w:val="20"/>
              </w:rPr>
              <w:t xml:space="preserve">Skilled </w:t>
            </w:r>
            <w:r w:rsidR="00BF2895">
              <w:rPr>
                <w:rFonts w:eastAsia="Arial" w:cs="Arial"/>
                <w:b/>
                <w:sz w:val="18"/>
                <w:szCs w:val="20"/>
              </w:rPr>
              <w:t>o</w:t>
            </w:r>
            <w:r w:rsidRPr="00BF2895">
              <w:rPr>
                <w:rFonts w:eastAsia="Arial" w:cs="Arial"/>
                <w:b/>
                <w:sz w:val="18"/>
                <w:szCs w:val="20"/>
              </w:rPr>
              <w:t>ccupation</w:t>
            </w:r>
          </w:p>
        </w:tc>
        <w:tc>
          <w:tcPr>
            <w:tcW w:w="992" w:type="dxa"/>
            <w:shd w:val="clear" w:color="auto" w:fill="C5E0B3" w:themeFill="accent6" w:themeFillTint="66"/>
            <w:tcMar>
              <w:top w:w="0" w:type="dxa"/>
              <w:left w:w="20" w:type="dxa"/>
              <w:bottom w:w="0" w:type="dxa"/>
              <w:right w:w="20" w:type="dxa"/>
            </w:tcMar>
            <w:vAlign w:val="bottom"/>
          </w:tcPr>
          <w:p w14:paraId="5C63B078" w14:textId="77777777" w:rsidR="009B4045" w:rsidRPr="00BF2895" w:rsidRDefault="009B4045" w:rsidP="007A7B44">
            <w:pPr>
              <w:pBdr>
                <w:top w:val="none" w:sz="0" w:space="3" w:color="000000"/>
                <w:left w:val="none" w:sz="0" w:space="3" w:color="000000"/>
                <w:bottom w:val="none" w:sz="0" w:space="3" w:color="000000"/>
                <w:right w:val="none" w:sz="0" w:space="3" w:color="000000"/>
              </w:pBdr>
              <w:suppressAutoHyphens/>
              <w:spacing w:before="40" w:after="40"/>
              <w:jc w:val="right"/>
              <w:rPr>
                <w:rFonts w:eastAsia="Arial" w:cs="Arial"/>
                <w:b/>
                <w:sz w:val="18"/>
                <w:szCs w:val="20"/>
              </w:rPr>
            </w:pPr>
            <w:r w:rsidRPr="00BF2895">
              <w:rPr>
                <w:rFonts w:eastAsia="Arial" w:cs="Arial"/>
                <w:b/>
                <w:sz w:val="18"/>
                <w:szCs w:val="20"/>
              </w:rPr>
              <w:t>N</w:t>
            </w:r>
          </w:p>
        </w:tc>
      </w:tr>
      <w:tr w:rsidR="005545B5" w:rsidRPr="00EF35C2" w14:paraId="42892176" w14:textId="77777777" w:rsidTr="007A7B44">
        <w:tc>
          <w:tcPr>
            <w:tcW w:w="3774" w:type="dxa"/>
            <w:tcMar>
              <w:top w:w="0" w:type="dxa"/>
              <w:left w:w="20" w:type="dxa"/>
              <w:bottom w:w="0" w:type="dxa"/>
              <w:right w:w="20" w:type="dxa"/>
            </w:tcMar>
            <w:vAlign w:val="center"/>
          </w:tcPr>
          <w:p w14:paraId="7B664D87" w14:textId="77777777" w:rsidR="009B4045" w:rsidRPr="00EF35C2" w:rsidRDefault="009B4045" w:rsidP="00BF2895">
            <w:pPr>
              <w:pStyle w:val="Insidebox"/>
              <w:spacing w:before="40" w:after="40"/>
              <w:rPr>
                <w:sz w:val="18"/>
                <w:szCs w:val="20"/>
              </w:rPr>
            </w:pPr>
            <w:r w:rsidRPr="00EF35C2">
              <w:rPr>
                <w:sz w:val="18"/>
                <w:szCs w:val="20"/>
              </w:rPr>
              <w:t>Managers</w:t>
            </w:r>
          </w:p>
        </w:tc>
        <w:tc>
          <w:tcPr>
            <w:tcW w:w="992" w:type="dxa"/>
            <w:tcMar>
              <w:top w:w="0" w:type="dxa"/>
              <w:left w:w="20" w:type="dxa"/>
              <w:bottom w:w="0" w:type="dxa"/>
              <w:right w:w="20" w:type="dxa"/>
            </w:tcMar>
            <w:vAlign w:val="center"/>
          </w:tcPr>
          <w:p w14:paraId="1EB9373F" w14:textId="77777777" w:rsidR="009B4045" w:rsidRPr="00EF35C2" w:rsidRDefault="009B4045" w:rsidP="00BF2895">
            <w:pPr>
              <w:pStyle w:val="Insidebox"/>
              <w:spacing w:before="40" w:after="40"/>
              <w:jc w:val="right"/>
              <w:rPr>
                <w:sz w:val="18"/>
                <w:szCs w:val="20"/>
              </w:rPr>
            </w:pPr>
            <w:r w:rsidRPr="00EF35C2">
              <w:rPr>
                <w:sz w:val="18"/>
                <w:szCs w:val="20"/>
              </w:rPr>
              <w:t>2129</w:t>
            </w:r>
          </w:p>
        </w:tc>
      </w:tr>
      <w:tr w:rsidR="005545B5" w:rsidRPr="00EF35C2" w14:paraId="555B4618" w14:textId="77777777" w:rsidTr="007A7B44">
        <w:tc>
          <w:tcPr>
            <w:tcW w:w="3774" w:type="dxa"/>
            <w:tcMar>
              <w:top w:w="0" w:type="dxa"/>
              <w:left w:w="20" w:type="dxa"/>
              <w:bottom w:w="0" w:type="dxa"/>
              <w:right w:w="20" w:type="dxa"/>
            </w:tcMar>
            <w:vAlign w:val="center"/>
          </w:tcPr>
          <w:p w14:paraId="21D580D7" w14:textId="77777777" w:rsidR="009B4045" w:rsidRPr="00EF35C2" w:rsidRDefault="009B4045" w:rsidP="00BF2895">
            <w:pPr>
              <w:pStyle w:val="Insidebox"/>
              <w:spacing w:before="40" w:after="40"/>
              <w:rPr>
                <w:sz w:val="18"/>
                <w:szCs w:val="20"/>
              </w:rPr>
            </w:pPr>
            <w:r w:rsidRPr="00EF35C2">
              <w:rPr>
                <w:sz w:val="18"/>
                <w:szCs w:val="20"/>
              </w:rPr>
              <w:t>Professionals</w:t>
            </w:r>
          </w:p>
        </w:tc>
        <w:tc>
          <w:tcPr>
            <w:tcW w:w="992" w:type="dxa"/>
            <w:tcMar>
              <w:top w:w="0" w:type="dxa"/>
              <w:left w:w="20" w:type="dxa"/>
              <w:bottom w:w="0" w:type="dxa"/>
              <w:right w:w="20" w:type="dxa"/>
            </w:tcMar>
            <w:vAlign w:val="center"/>
          </w:tcPr>
          <w:p w14:paraId="16BC6AD6" w14:textId="77777777" w:rsidR="009B4045" w:rsidRPr="00EF35C2" w:rsidRDefault="009B4045" w:rsidP="00BF2895">
            <w:pPr>
              <w:pStyle w:val="Insidebox"/>
              <w:spacing w:before="40" w:after="40"/>
              <w:jc w:val="right"/>
              <w:rPr>
                <w:sz w:val="18"/>
                <w:szCs w:val="20"/>
              </w:rPr>
            </w:pPr>
            <w:r w:rsidRPr="00EF35C2">
              <w:rPr>
                <w:sz w:val="18"/>
                <w:szCs w:val="20"/>
              </w:rPr>
              <w:t>2028</w:t>
            </w:r>
          </w:p>
        </w:tc>
      </w:tr>
      <w:tr w:rsidR="005545B5" w:rsidRPr="00EF35C2" w14:paraId="7248ACA6" w14:textId="77777777" w:rsidTr="007A7B44">
        <w:tc>
          <w:tcPr>
            <w:tcW w:w="3774" w:type="dxa"/>
            <w:tcMar>
              <w:top w:w="0" w:type="dxa"/>
              <w:left w:w="20" w:type="dxa"/>
              <w:bottom w:w="0" w:type="dxa"/>
              <w:right w:w="20" w:type="dxa"/>
            </w:tcMar>
            <w:vAlign w:val="center"/>
          </w:tcPr>
          <w:p w14:paraId="299CE2F5" w14:textId="77777777" w:rsidR="009B4045" w:rsidRPr="00EF35C2" w:rsidRDefault="009B4045" w:rsidP="00E64229">
            <w:pPr>
              <w:pStyle w:val="Insidebox"/>
              <w:spacing w:before="40" w:after="40"/>
              <w:rPr>
                <w:sz w:val="18"/>
                <w:szCs w:val="20"/>
              </w:rPr>
            </w:pPr>
            <w:r w:rsidRPr="00EF35C2">
              <w:rPr>
                <w:sz w:val="18"/>
                <w:szCs w:val="20"/>
              </w:rPr>
              <w:t xml:space="preserve">Technicians </w:t>
            </w:r>
            <w:r w:rsidR="00E64229" w:rsidRPr="00EF35C2">
              <w:rPr>
                <w:sz w:val="18"/>
                <w:szCs w:val="20"/>
              </w:rPr>
              <w:t xml:space="preserve">and </w:t>
            </w:r>
            <w:r w:rsidRPr="00EF35C2">
              <w:rPr>
                <w:sz w:val="18"/>
                <w:szCs w:val="20"/>
              </w:rPr>
              <w:t>associate professionals</w:t>
            </w:r>
          </w:p>
        </w:tc>
        <w:tc>
          <w:tcPr>
            <w:tcW w:w="992" w:type="dxa"/>
            <w:tcMar>
              <w:top w:w="0" w:type="dxa"/>
              <w:left w:w="20" w:type="dxa"/>
              <w:bottom w:w="0" w:type="dxa"/>
              <w:right w:w="20" w:type="dxa"/>
            </w:tcMar>
            <w:vAlign w:val="center"/>
          </w:tcPr>
          <w:p w14:paraId="02BB9B7D" w14:textId="77777777" w:rsidR="009B4045" w:rsidRPr="00EF35C2" w:rsidRDefault="009B4045" w:rsidP="00BF2895">
            <w:pPr>
              <w:pStyle w:val="Insidebox"/>
              <w:spacing w:before="40" w:after="40"/>
              <w:jc w:val="right"/>
              <w:rPr>
                <w:sz w:val="18"/>
                <w:szCs w:val="20"/>
              </w:rPr>
            </w:pPr>
            <w:r w:rsidRPr="00EF35C2">
              <w:rPr>
                <w:sz w:val="18"/>
                <w:szCs w:val="20"/>
              </w:rPr>
              <w:t>544</w:t>
            </w:r>
          </w:p>
        </w:tc>
      </w:tr>
      <w:tr w:rsidR="005545B5" w:rsidRPr="00EF35C2" w14:paraId="18F09291" w14:textId="77777777" w:rsidTr="007A7B44">
        <w:tc>
          <w:tcPr>
            <w:tcW w:w="3774" w:type="dxa"/>
            <w:tcMar>
              <w:top w:w="0" w:type="dxa"/>
              <w:left w:w="20" w:type="dxa"/>
              <w:bottom w:w="0" w:type="dxa"/>
              <w:right w:w="20" w:type="dxa"/>
            </w:tcMar>
            <w:vAlign w:val="center"/>
          </w:tcPr>
          <w:p w14:paraId="69145CE2" w14:textId="77777777" w:rsidR="009B4045" w:rsidRPr="00EF35C2" w:rsidRDefault="009B4045" w:rsidP="00E64229">
            <w:pPr>
              <w:pStyle w:val="Insidebox"/>
              <w:spacing w:before="40" w:after="40"/>
              <w:rPr>
                <w:sz w:val="18"/>
                <w:szCs w:val="20"/>
              </w:rPr>
            </w:pPr>
            <w:r w:rsidRPr="00EF35C2">
              <w:rPr>
                <w:sz w:val="18"/>
                <w:szCs w:val="20"/>
              </w:rPr>
              <w:t xml:space="preserve">Craft </w:t>
            </w:r>
            <w:r w:rsidR="00E64229" w:rsidRPr="00EF35C2">
              <w:rPr>
                <w:sz w:val="18"/>
                <w:szCs w:val="20"/>
              </w:rPr>
              <w:t xml:space="preserve">and </w:t>
            </w:r>
            <w:r w:rsidRPr="00EF35C2">
              <w:rPr>
                <w:sz w:val="18"/>
                <w:szCs w:val="20"/>
              </w:rPr>
              <w:t>trades workers</w:t>
            </w:r>
          </w:p>
        </w:tc>
        <w:tc>
          <w:tcPr>
            <w:tcW w:w="992" w:type="dxa"/>
            <w:tcMar>
              <w:top w:w="0" w:type="dxa"/>
              <w:left w:w="20" w:type="dxa"/>
              <w:bottom w:w="0" w:type="dxa"/>
              <w:right w:w="20" w:type="dxa"/>
            </w:tcMar>
            <w:vAlign w:val="center"/>
          </w:tcPr>
          <w:p w14:paraId="4D3C2F54" w14:textId="77777777" w:rsidR="009B4045" w:rsidRPr="00EF35C2" w:rsidRDefault="009B4045" w:rsidP="00BF2895">
            <w:pPr>
              <w:pStyle w:val="Insidebox"/>
              <w:spacing w:before="40" w:after="40"/>
              <w:jc w:val="right"/>
              <w:rPr>
                <w:sz w:val="18"/>
                <w:szCs w:val="20"/>
              </w:rPr>
            </w:pPr>
            <w:r w:rsidRPr="00EF35C2">
              <w:rPr>
                <w:sz w:val="18"/>
                <w:szCs w:val="20"/>
              </w:rPr>
              <w:t>545</w:t>
            </w:r>
          </w:p>
        </w:tc>
      </w:tr>
      <w:tr w:rsidR="005545B5" w:rsidRPr="00EF35C2" w14:paraId="5F037D8A" w14:textId="77777777" w:rsidTr="007A7B44">
        <w:tc>
          <w:tcPr>
            <w:tcW w:w="3774" w:type="dxa"/>
            <w:tcBorders>
              <w:bottom w:val="single" w:sz="4" w:space="0" w:color="A8D08D" w:themeColor="accent6" w:themeTint="99"/>
            </w:tcBorders>
            <w:tcMar>
              <w:top w:w="0" w:type="dxa"/>
              <w:left w:w="20" w:type="dxa"/>
              <w:bottom w:w="0" w:type="dxa"/>
              <w:right w:w="20" w:type="dxa"/>
            </w:tcMar>
            <w:vAlign w:val="center"/>
          </w:tcPr>
          <w:p w14:paraId="6033917A" w14:textId="77777777" w:rsidR="009B4045" w:rsidRPr="00EF35C2" w:rsidRDefault="009B4045" w:rsidP="00BF2895">
            <w:pPr>
              <w:pStyle w:val="Insidebox"/>
              <w:spacing w:before="40" w:after="40"/>
              <w:rPr>
                <w:sz w:val="18"/>
                <w:szCs w:val="20"/>
              </w:rPr>
            </w:pPr>
            <w:r w:rsidRPr="00EF35C2">
              <w:rPr>
                <w:sz w:val="18"/>
                <w:szCs w:val="20"/>
              </w:rPr>
              <w:t>Personal service workers</w:t>
            </w:r>
          </w:p>
        </w:tc>
        <w:tc>
          <w:tcPr>
            <w:tcW w:w="992" w:type="dxa"/>
            <w:tcBorders>
              <w:bottom w:val="single" w:sz="4" w:space="0" w:color="A8D08D" w:themeColor="accent6" w:themeTint="99"/>
            </w:tcBorders>
            <w:tcMar>
              <w:top w:w="0" w:type="dxa"/>
              <w:left w:w="20" w:type="dxa"/>
              <w:bottom w:w="0" w:type="dxa"/>
              <w:right w:w="20" w:type="dxa"/>
            </w:tcMar>
            <w:vAlign w:val="center"/>
          </w:tcPr>
          <w:p w14:paraId="3560D621" w14:textId="77777777" w:rsidR="009B4045" w:rsidRPr="00EF35C2" w:rsidRDefault="009B4045" w:rsidP="00BF2895">
            <w:pPr>
              <w:pStyle w:val="Insidebox"/>
              <w:spacing w:before="40" w:after="40"/>
              <w:jc w:val="right"/>
              <w:rPr>
                <w:sz w:val="18"/>
                <w:szCs w:val="20"/>
              </w:rPr>
            </w:pPr>
            <w:r w:rsidRPr="00EF35C2">
              <w:rPr>
                <w:sz w:val="18"/>
                <w:szCs w:val="20"/>
              </w:rPr>
              <w:t>404</w:t>
            </w:r>
          </w:p>
        </w:tc>
      </w:tr>
      <w:tr w:rsidR="005545B5" w14:paraId="606D7242" w14:textId="77777777" w:rsidTr="007A7B44">
        <w:trPr>
          <w:gridAfter w:val="1"/>
          <w:wAfter w:w="992" w:type="dxa"/>
        </w:trPr>
        <w:tc>
          <w:tcPr>
            <w:tcW w:w="0" w:type="auto"/>
            <w:tcMar>
              <w:top w:w="0" w:type="dxa"/>
              <w:left w:w="20" w:type="dxa"/>
              <w:bottom w:w="0" w:type="dxa"/>
              <w:right w:w="20" w:type="dxa"/>
            </w:tcMar>
            <w:vAlign w:val="center"/>
          </w:tcPr>
          <w:p w14:paraId="23F3F0E6" w14:textId="448DEBCC" w:rsidR="009B4045" w:rsidRPr="00BF2895" w:rsidRDefault="007A7B44" w:rsidP="00BF2895">
            <w:pPr>
              <w:pStyle w:val="Insidebox"/>
              <w:spacing w:before="40" w:after="40"/>
              <w:rPr>
                <w:sz w:val="16"/>
              </w:rPr>
            </w:pPr>
            <w:r>
              <w:rPr>
                <w:sz w:val="16"/>
              </w:rPr>
              <w:br/>
            </w:r>
            <w:r w:rsidR="009B4045" w:rsidRPr="00BF2895">
              <w:rPr>
                <w:sz w:val="16"/>
              </w:rPr>
              <w:t>Source: Most recent country census, 2009</w:t>
            </w:r>
            <w:r w:rsidR="00E64229">
              <w:rPr>
                <w:sz w:val="16"/>
              </w:rPr>
              <w:t>–</w:t>
            </w:r>
            <w:r w:rsidR="009B4045" w:rsidRPr="00BF2895">
              <w:rPr>
                <w:sz w:val="16"/>
              </w:rPr>
              <w:t>2012</w:t>
            </w:r>
          </w:p>
        </w:tc>
      </w:tr>
    </w:tbl>
    <w:p w14:paraId="64222842" w14:textId="079180C3" w:rsidR="009B4045" w:rsidRDefault="00414057" w:rsidP="009B4045">
      <w:r>
        <w:br/>
      </w:r>
      <w:r w:rsidR="009B4045">
        <w:t xml:space="preserve">The result of this calculation in aggregate is evidence, on face value, that there are large numbers of domestic workers who need to obtain post-school qualifications to reach the same skill level as foreign workers in these same occupations. Table </w:t>
      </w:r>
      <w:r w:rsidR="00C951F4">
        <w:t>8.</w:t>
      </w:r>
      <w:r w:rsidR="009B4045">
        <w:t xml:space="preserve">7 below shows, in the column titled high-end estimate, the large number of building workers and metal trades workers who do not have a post-school qualification. </w:t>
      </w:r>
    </w:p>
    <w:p w14:paraId="0D6F619E" w14:textId="77777777" w:rsidR="009B4045" w:rsidRPr="00FE4EE8" w:rsidRDefault="009B4045" w:rsidP="009B4045">
      <w:r w:rsidRPr="00FE4EE8">
        <w:t xml:space="preserve">However, this estimate assumes that all employers want to close this qualifications gap. </w:t>
      </w:r>
      <w:r>
        <w:t>As discussed above, m</w:t>
      </w:r>
      <w:r w:rsidRPr="00FE4EE8">
        <w:t>any small employers may not see post-school qualifications as necessary</w:t>
      </w:r>
      <w:r>
        <w:t xml:space="preserve"> for their workforce</w:t>
      </w:r>
      <w:r w:rsidRPr="00FE4EE8">
        <w:t xml:space="preserve">. They may not be able to afford to give their workers time off to gain the qualification or to pay them more once they have </w:t>
      </w:r>
      <w:r w:rsidR="00A527A2" w:rsidRPr="00FE4EE8">
        <w:t>acquir</w:t>
      </w:r>
      <w:r w:rsidR="00A527A2">
        <w:t>ed</w:t>
      </w:r>
      <w:r w:rsidR="00A527A2" w:rsidRPr="00FE4EE8">
        <w:t xml:space="preserve"> </w:t>
      </w:r>
      <w:r w:rsidRPr="00FE4EE8">
        <w:t xml:space="preserve">the qualification. One way to adjust for the impact of a low-wage, low-skills trap that </w:t>
      </w:r>
      <w:r>
        <w:t xml:space="preserve">affects </w:t>
      </w:r>
      <w:r w:rsidRPr="00FE4EE8">
        <w:t xml:space="preserve">small employers </w:t>
      </w:r>
      <w:r>
        <w:t xml:space="preserve">in particular </w:t>
      </w:r>
      <w:r w:rsidRPr="00FE4EE8">
        <w:t xml:space="preserve">is to halve the number of domestic workers in skill-based occupations who represent the demand for post-school qualifications. Table </w:t>
      </w:r>
      <w:r w:rsidR="003C0FD1">
        <w:t>8.</w:t>
      </w:r>
      <w:r w:rsidRPr="00FE4EE8">
        <w:t xml:space="preserve">7, therefore, offers three estimates of the economic demand for post-school qualifications. </w:t>
      </w:r>
    </w:p>
    <w:p w14:paraId="0500A49F" w14:textId="6A947B51" w:rsidR="009B4045" w:rsidRDefault="009B4045" w:rsidP="009B4045">
      <w:pPr>
        <w:pStyle w:val="Tableheading"/>
      </w:pPr>
      <w:bookmarkStart w:id="878" w:name="_Toc274146495"/>
      <w:bookmarkStart w:id="879" w:name="_Toc274915954"/>
      <w:bookmarkStart w:id="880" w:name="_Toc278446933"/>
      <w:r>
        <w:t xml:space="preserve">Table </w:t>
      </w:r>
      <w:r w:rsidR="003C0FD1">
        <w:t>8.</w:t>
      </w:r>
      <w:r>
        <w:t xml:space="preserve">7: Estimates of the need for post-school qualifications in skill-based occupations in Fiji, Kiribati, Nauru, Samoa, Solomon Islands, Tonga, Tuvalu </w:t>
      </w:r>
      <w:r w:rsidR="00D57A87">
        <w:br/>
      </w:r>
      <w:r w:rsidR="00513969">
        <w:t xml:space="preserve">and </w:t>
      </w:r>
      <w:r>
        <w:t>Vanuatu, based on low, middle and high-end estimates, 2009</w:t>
      </w:r>
      <w:r w:rsidR="00513969">
        <w:t>–</w:t>
      </w:r>
      <w:r>
        <w:t>2012</w:t>
      </w:r>
      <w:bookmarkEnd w:id="878"/>
      <w:bookmarkEnd w:id="879"/>
      <w:bookmarkEnd w:id="880"/>
    </w:p>
    <w:tbl>
      <w:tblPr>
        <w:tblW w:w="7405" w:type="dxa"/>
        <w:tblInd w:w="74" w:type="dxa"/>
        <w:tblCellMar>
          <w:left w:w="10" w:type="dxa"/>
          <w:right w:w="10" w:type="dxa"/>
        </w:tblCellMar>
        <w:tblLook w:val="04A0" w:firstRow="1" w:lastRow="0" w:firstColumn="1" w:lastColumn="0" w:noHBand="0" w:noVBand="1"/>
      </w:tblPr>
      <w:tblGrid>
        <w:gridCol w:w="4287"/>
        <w:gridCol w:w="992"/>
        <w:gridCol w:w="992"/>
        <w:gridCol w:w="1134"/>
      </w:tblGrid>
      <w:tr w:rsidR="009B4045" w:rsidRPr="00BF2895" w14:paraId="151222F6" w14:textId="77777777" w:rsidTr="007A7B44">
        <w:tc>
          <w:tcPr>
            <w:tcW w:w="4287" w:type="dxa"/>
            <w:shd w:val="clear" w:color="auto" w:fill="C5E0B3" w:themeFill="accent6" w:themeFillTint="66"/>
            <w:tcMar>
              <w:top w:w="0" w:type="dxa"/>
              <w:left w:w="108" w:type="dxa"/>
              <w:bottom w:w="0" w:type="dxa"/>
              <w:right w:w="108" w:type="dxa"/>
            </w:tcMar>
            <w:vAlign w:val="center"/>
          </w:tcPr>
          <w:p w14:paraId="04B82069" w14:textId="77777777" w:rsidR="003D355F" w:rsidRDefault="00D04676">
            <w:pPr>
              <w:spacing w:before="40" w:after="40"/>
              <w:rPr>
                <w:rFonts w:cs="Arial"/>
                <w:b/>
                <w:bCs/>
                <w:sz w:val="18"/>
                <w:szCs w:val="20"/>
              </w:rPr>
            </w:pPr>
            <w:r w:rsidRPr="00BF2895">
              <w:rPr>
                <w:rFonts w:cs="Arial"/>
                <w:b/>
                <w:bCs/>
                <w:sz w:val="18"/>
                <w:szCs w:val="20"/>
              </w:rPr>
              <w:t>Trades</w:t>
            </w:r>
            <w:r>
              <w:rPr>
                <w:rFonts w:cs="Arial"/>
                <w:b/>
                <w:bCs/>
                <w:sz w:val="18"/>
                <w:szCs w:val="20"/>
              </w:rPr>
              <w:t>-</w:t>
            </w:r>
            <w:r w:rsidR="009B4045" w:rsidRPr="00BF2895">
              <w:rPr>
                <w:rFonts w:cs="Arial"/>
                <w:b/>
                <w:bCs/>
                <w:sz w:val="18"/>
                <w:szCs w:val="20"/>
              </w:rPr>
              <w:t>related occupations</w:t>
            </w:r>
          </w:p>
        </w:tc>
        <w:tc>
          <w:tcPr>
            <w:tcW w:w="992" w:type="dxa"/>
            <w:shd w:val="clear" w:color="auto" w:fill="C5E0B3" w:themeFill="accent6" w:themeFillTint="66"/>
            <w:tcMar>
              <w:top w:w="0" w:type="dxa"/>
              <w:left w:w="108" w:type="dxa"/>
              <w:bottom w:w="0" w:type="dxa"/>
              <w:right w:w="108" w:type="dxa"/>
            </w:tcMar>
            <w:vAlign w:val="center"/>
          </w:tcPr>
          <w:p w14:paraId="26C01BE9" w14:textId="77777777" w:rsidR="009B4045" w:rsidRPr="00BF2895" w:rsidRDefault="009B4045" w:rsidP="007A7B44">
            <w:pPr>
              <w:spacing w:before="40" w:after="40"/>
              <w:jc w:val="center"/>
              <w:rPr>
                <w:rFonts w:cs="Arial"/>
                <w:b/>
                <w:bCs/>
                <w:sz w:val="18"/>
                <w:szCs w:val="20"/>
              </w:rPr>
            </w:pPr>
            <w:r w:rsidRPr="00BF2895">
              <w:rPr>
                <w:rFonts w:cs="Arial"/>
                <w:b/>
                <w:bCs/>
                <w:sz w:val="18"/>
                <w:szCs w:val="20"/>
              </w:rPr>
              <w:t>Low-end estimate</w:t>
            </w:r>
          </w:p>
        </w:tc>
        <w:tc>
          <w:tcPr>
            <w:tcW w:w="992" w:type="dxa"/>
            <w:shd w:val="clear" w:color="auto" w:fill="C5E0B3" w:themeFill="accent6" w:themeFillTint="66"/>
            <w:tcMar>
              <w:top w:w="0" w:type="dxa"/>
              <w:left w:w="108" w:type="dxa"/>
              <w:bottom w:w="0" w:type="dxa"/>
              <w:right w:w="108" w:type="dxa"/>
            </w:tcMar>
            <w:vAlign w:val="center"/>
          </w:tcPr>
          <w:p w14:paraId="32FB833A" w14:textId="77777777" w:rsidR="009B4045" w:rsidRPr="00BF2895" w:rsidRDefault="009B4045" w:rsidP="007A7B44">
            <w:pPr>
              <w:spacing w:before="40" w:after="40"/>
              <w:jc w:val="center"/>
              <w:rPr>
                <w:rFonts w:cs="Arial"/>
                <w:b/>
                <w:bCs/>
                <w:sz w:val="18"/>
                <w:szCs w:val="20"/>
              </w:rPr>
            </w:pPr>
            <w:r w:rsidRPr="00BF2895">
              <w:rPr>
                <w:rFonts w:cs="Arial"/>
                <w:b/>
                <w:bCs/>
                <w:sz w:val="18"/>
                <w:szCs w:val="20"/>
              </w:rPr>
              <w:t>Mid-range</w:t>
            </w:r>
          </w:p>
        </w:tc>
        <w:tc>
          <w:tcPr>
            <w:tcW w:w="1134" w:type="dxa"/>
            <w:shd w:val="clear" w:color="auto" w:fill="C5E0B3" w:themeFill="accent6" w:themeFillTint="66"/>
            <w:tcMar>
              <w:top w:w="0" w:type="dxa"/>
              <w:left w:w="108" w:type="dxa"/>
              <w:bottom w:w="0" w:type="dxa"/>
              <w:right w:w="108" w:type="dxa"/>
            </w:tcMar>
            <w:vAlign w:val="center"/>
          </w:tcPr>
          <w:p w14:paraId="75E609C8" w14:textId="77777777" w:rsidR="009B4045" w:rsidRPr="00BF2895" w:rsidRDefault="009B4045" w:rsidP="007A7B44">
            <w:pPr>
              <w:spacing w:before="40" w:after="40"/>
              <w:jc w:val="center"/>
              <w:rPr>
                <w:rFonts w:cs="Arial"/>
                <w:b/>
                <w:bCs/>
                <w:sz w:val="18"/>
                <w:szCs w:val="20"/>
              </w:rPr>
            </w:pPr>
            <w:r w:rsidRPr="00BF2895">
              <w:rPr>
                <w:rFonts w:cs="Arial"/>
                <w:b/>
                <w:bCs/>
                <w:sz w:val="18"/>
                <w:szCs w:val="20"/>
              </w:rPr>
              <w:t>High-end estimate</w:t>
            </w:r>
          </w:p>
        </w:tc>
      </w:tr>
      <w:tr w:rsidR="009B4045" w:rsidRPr="00013E31" w14:paraId="0159CA0D" w14:textId="77777777" w:rsidTr="007A7B44">
        <w:tc>
          <w:tcPr>
            <w:tcW w:w="4287" w:type="dxa"/>
            <w:tcMar>
              <w:top w:w="0" w:type="dxa"/>
              <w:left w:w="108" w:type="dxa"/>
              <w:bottom w:w="0" w:type="dxa"/>
              <w:right w:w="108" w:type="dxa"/>
            </w:tcMar>
            <w:vAlign w:val="bottom"/>
          </w:tcPr>
          <w:p w14:paraId="73D40105" w14:textId="77777777" w:rsidR="009B4045" w:rsidRPr="00013E31" w:rsidRDefault="009B4045" w:rsidP="00D04676">
            <w:pPr>
              <w:pStyle w:val="Insidebox"/>
              <w:spacing w:before="40" w:after="40"/>
              <w:rPr>
                <w:sz w:val="18"/>
                <w:szCs w:val="20"/>
              </w:rPr>
            </w:pPr>
            <w:r w:rsidRPr="00013E31">
              <w:rPr>
                <w:sz w:val="18"/>
                <w:szCs w:val="20"/>
              </w:rPr>
              <w:t xml:space="preserve">Extraction </w:t>
            </w:r>
            <w:r w:rsidR="00D04676" w:rsidRPr="00013E31">
              <w:rPr>
                <w:sz w:val="18"/>
                <w:szCs w:val="20"/>
              </w:rPr>
              <w:t xml:space="preserve">and </w:t>
            </w:r>
            <w:r w:rsidRPr="00013E31">
              <w:rPr>
                <w:sz w:val="18"/>
                <w:szCs w:val="20"/>
              </w:rPr>
              <w:t>building trade workers</w:t>
            </w:r>
          </w:p>
        </w:tc>
        <w:tc>
          <w:tcPr>
            <w:tcW w:w="992" w:type="dxa"/>
            <w:tcMar>
              <w:top w:w="0" w:type="dxa"/>
              <w:left w:w="108" w:type="dxa"/>
              <w:bottom w:w="0" w:type="dxa"/>
              <w:right w:w="108" w:type="dxa"/>
            </w:tcMar>
            <w:vAlign w:val="bottom"/>
          </w:tcPr>
          <w:p w14:paraId="27380BDD" w14:textId="77777777" w:rsidR="009B4045" w:rsidRPr="00013E31" w:rsidRDefault="009B4045" w:rsidP="007A7B44">
            <w:pPr>
              <w:pStyle w:val="Insidebox"/>
              <w:spacing w:before="40" w:after="40"/>
              <w:jc w:val="center"/>
              <w:rPr>
                <w:sz w:val="18"/>
                <w:szCs w:val="20"/>
              </w:rPr>
            </w:pPr>
            <w:r w:rsidRPr="00013E31">
              <w:rPr>
                <w:sz w:val="18"/>
                <w:szCs w:val="20"/>
              </w:rPr>
              <w:t>165</w:t>
            </w:r>
          </w:p>
        </w:tc>
        <w:tc>
          <w:tcPr>
            <w:tcW w:w="992" w:type="dxa"/>
            <w:tcMar>
              <w:top w:w="0" w:type="dxa"/>
              <w:left w:w="108" w:type="dxa"/>
              <w:bottom w:w="0" w:type="dxa"/>
              <w:right w:w="108" w:type="dxa"/>
            </w:tcMar>
            <w:vAlign w:val="bottom"/>
          </w:tcPr>
          <w:p w14:paraId="2C2BD841" w14:textId="77777777" w:rsidR="009B4045" w:rsidRPr="00013E31" w:rsidRDefault="009B4045" w:rsidP="007A7B44">
            <w:pPr>
              <w:pStyle w:val="Insidebox"/>
              <w:spacing w:before="40" w:after="40"/>
              <w:jc w:val="center"/>
              <w:rPr>
                <w:sz w:val="18"/>
                <w:szCs w:val="20"/>
              </w:rPr>
            </w:pPr>
            <w:r w:rsidRPr="00013E31">
              <w:rPr>
                <w:sz w:val="18"/>
                <w:szCs w:val="20"/>
              </w:rPr>
              <w:t>1150</w:t>
            </w:r>
          </w:p>
        </w:tc>
        <w:tc>
          <w:tcPr>
            <w:tcW w:w="1134" w:type="dxa"/>
            <w:tcMar>
              <w:top w:w="0" w:type="dxa"/>
              <w:left w:w="108" w:type="dxa"/>
              <w:bottom w:w="0" w:type="dxa"/>
              <w:right w:w="108" w:type="dxa"/>
            </w:tcMar>
            <w:vAlign w:val="bottom"/>
          </w:tcPr>
          <w:p w14:paraId="29140D95" w14:textId="77777777" w:rsidR="009B4045" w:rsidRPr="00013E31" w:rsidRDefault="009B4045" w:rsidP="007A7B44">
            <w:pPr>
              <w:pStyle w:val="Insidebox"/>
              <w:spacing w:before="40" w:after="40"/>
              <w:jc w:val="center"/>
              <w:rPr>
                <w:sz w:val="18"/>
                <w:szCs w:val="20"/>
              </w:rPr>
            </w:pPr>
            <w:r w:rsidRPr="00013E31">
              <w:rPr>
                <w:sz w:val="18"/>
                <w:szCs w:val="20"/>
              </w:rPr>
              <w:t>1969</w:t>
            </w:r>
          </w:p>
        </w:tc>
      </w:tr>
      <w:tr w:rsidR="009B4045" w:rsidRPr="00013E31" w14:paraId="323623C4" w14:textId="77777777" w:rsidTr="007A7B44">
        <w:tc>
          <w:tcPr>
            <w:tcW w:w="4287" w:type="dxa"/>
            <w:tcMar>
              <w:top w:w="0" w:type="dxa"/>
              <w:left w:w="108" w:type="dxa"/>
              <w:bottom w:w="0" w:type="dxa"/>
              <w:right w:w="108" w:type="dxa"/>
            </w:tcMar>
            <w:vAlign w:val="bottom"/>
          </w:tcPr>
          <w:p w14:paraId="6CA8FBAF" w14:textId="77777777" w:rsidR="009B4045" w:rsidRPr="00013E31" w:rsidRDefault="009B4045" w:rsidP="00D04676">
            <w:pPr>
              <w:pStyle w:val="Insidebox"/>
              <w:spacing w:before="40" w:after="40"/>
              <w:rPr>
                <w:sz w:val="18"/>
                <w:szCs w:val="20"/>
              </w:rPr>
            </w:pPr>
            <w:r w:rsidRPr="00013E31">
              <w:rPr>
                <w:sz w:val="18"/>
                <w:szCs w:val="20"/>
              </w:rPr>
              <w:t xml:space="preserve">Building finishers </w:t>
            </w:r>
            <w:r w:rsidR="00D04676" w:rsidRPr="00013E31">
              <w:rPr>
                <w:sz w:val="18"/>
                <w:szCs w:val="20"/>
              </w:rPr>
              <w:t xml:space="preserve">and </w:t>
            </w:r>
            <w:r w:rsidRPr="00013E31">
              <w:rPr>
                <w:sz w:val="18"/>
                <w:szCs w:val="20"/>
              </w:rPr>
              <w:t>related trades workers</w:t>
            </w:r>
          </w:p>
        </w:tc>
        <w:tc>
          <w:tcPr>
            <w:tcW w:w="992" w:type="dxa"/>
            <w:tcMar>
              <w:top w:w="0" w:type="dxa"/>
              <w:left w:w="108" w:type="dxa"/>
              <w:bottom w:w="0" w:type="dxa"/>
              <w:right w:w="108" w:type="dxa"/>
            </w:tcMar>
            <w:vAlign w:val="bottom"/>
          </w:tcPr>
          <w:p w14:paraId="29CC53CD" w14:textId="77777777" w:rsidR="009B4045" w:rsidRPr="00013E31" w:rsidRDefault="009B4045" w:rsidP="007A7B44">
            <w:pPr>
              <w:pStyle w:val="Insidebox"/>
              <w:spacing w:before="40" w:after="40"/>
              <w:jc w:val="center"/>
              <w:rPr>
                <w:sz w:val="18"/>
                <w:szCs w:val="20"/>
              </w:rPr>
            </w:pPr>
            <w:r w:rsidRPr="00013E31">
              <w:rPr>
                <w:sz w:val="18"/>
                <w:szCs w:val="20"/>
              </w:rPr>
              <w:t>2</w:t>
            </w:r>
          </w:p>
        </w:tc>
        <w:tc>
          <w:tcPr>
            <w:tcW w:w="992" w:type="dxa"/>
            <w:tcMar>
              <w:top w:w="0" w:type="dxa"/>
              <w:left w:w="108" w:type="dxa"/>
              <w:bottom w:w="0" w:type="dxa"/>
              <w:right w:w="108" w:type="dxa"/>
            </w:tcMar>
            <w:vAlign w:val="bottom"/>
          </w:tcPr>
          <w:p w14:paraId="1EB79BCB" w14:textId="77777777" w:rsidR="009B4045" w:rsidRPr="00013E31" w:rsidRDefault="009B4045" w:rsidP="007A7B44">
            <w:pPr>
              <w:pStyle w:val="Insidebox"/>
              <w:spacing w:before="40" w:after="40"/>
              <w:jc w:val="center"/>
              <w:rPr>
                <w:sz w:val="18"/>
                <w:szCs w:val="20"/>
              </w:rPr>
            </w:pPr>
            <w:r w:rsidRPr="00013E31">
              <w:rPr>
                <w:sz w:val="18"/>
                <w:szCs w:val="20"/>
              </w:rPr>
              <w:t>104</w:t>
            </w:r>
          </w:p>
        </w:tc>
        <w:tc>
          <w:tcPr>
            <w:tcW w:w="1134" w:type="dxa"/>
            <w:tcMar>
              <w:top w:w="0" w:type="dxa"/>
              <w:left w:w="108" w:type="dxa"/>
              <w:bottom w:w="0" w:type="dxa"/>
              <w:right w:w="108" w:type="dxa"/>
            </w:tcMar>
            <w:vAlign w:val="bottom"/>
          </w:tcPr>
          <w:p w14:paraId="04E076B1" w14:textId="77777777" w:rsidR="009B4045" w:rsidRPr="00013E31" w:rsidRDefault="009B4045" w:rsidP="007A7B44">
            <w:pPr>
              <w:pStyle w:val="Insidebox"/>
              <w:spacing w:before="40" w:after="40"/>
              <w:jc w:val="center"/>
              <w:rPr>
                <w:sz w:val="18"/>
                <w:szCs w:val="20"/>
              </w:rPr>
            </w:pPr>
            <w:r w:rsidRPr="00013E31">
              <w:rPr>
                <w:sz w:val="18"/>
                <w:szCs w:val="20"/>
              </w:rPr>
              <w:t>204</w:t>
            </w:r>
          </w:p>
        </w:tc>
      </w:tr>
      <w:tr w:rsidR="009B4045" w:rsidRPr="00013E31" w14:paraId="0311ED45" w14:textId="77777777" w:rsidTr="007A7B44">
        <w:tc>
          <w:tcPr>
            <w:tcW w:w="4287" w:type="dxa"/>
            <w:tcMar>
              <w:top w:w="0" w:type="dxa"/>
              <w:left w:w="108" w:type="dxa"/>
              <w:bottom w:w="0" w:type="dxa"/>
              <w:right w:w="108" w:type="dxa"/>
            </w:tcMar>
            <w:vAlign w:val="bottom"/>
          </w:tcPr>
          <w:p w14:paraId="6206EA45" w14:textId="77777777" w:rsidR="009B4045" w:rsidRPr="00013E31" w:rsidRDefault="009B4045" w:rsidP="00BF2895">
            <w:pPr>
              <w:pStyle w:val="Insidebox"/>
              <w:spacing w:before="40" w:after="40"/>
              <w:rPr>
                <w:sz w:val="18"/>
                <w:szCs w:val="20"/>
              </w:rPr>
            </w:pPr>
            <w:r w:rsidRPr="00013E31">
              <w:rPr>
                <w:sz w:val="18"/>
                <w:szCs w:val="20"/>
              </w:rPr>
              <w:t>Painters building structure cleaners and related trades workers</w:t>
            </w:r>
          </w:p>
        </w:tc>
        <w:tc>
          <w:tcPr>
            <w:tcW w:w="992" w:type="dxa"/>
            <w:tcMar>
              <w:top w:w="0" w:type="dxa"/>
              <w:left w:w="108" w:type="dxa"/>
              <w:bottom w:w="0" w:type="dxa"/>
              <w:right w:w="108" w:type="dxa"/>
            </w:tcMar>
            <w:vAlign w:val="bottom"/>
          </w:tcPr>
          <w:p w14:paraId="3E5651A0" w14:textId="139BC51B" w:rsidR="009B4045" w:rsidRPr="00013E31" w:rsidRDefault="009B4045" w:rsidP="007A7B44">
            <w:pPr>
              <w:pStyle w:val="Insidebox"/>
              <w:spacing w:before="40" w:after="40"/>
              <w:jc w:val="center"/>
              <w:rPr>
                <w:sz w:val="18"/>
                <w:szCs w:val="20"/>
              </w:rPr>
            </w:pPr>
          </w:p>
        </w:tc>
        <w:tc>
          <w:tcPr>
            <w:tcW w:w="992" w:type="dxa"/>
            <w:tcMar>
              <w:top w:w="0" w:type="dxa"/>
              <w:left w:w="108" w:type="dxa"/>
              <w:bottom w:w="0" w:type="dxa"/>
              <w:right w:w="108" w:type="dxa"/>
            </w:tcMar>
            <w:vAlign w:val="bottom"/>
          </w:tcPr>
          <w:p w14:paraId="10864AEF" w14:textId="77777777" w:rsidR="009B4045" w:rsidRPr="00013E31" w:rsidRDefault="009B4045" w:rsidP="007A7B44">
            <w:pPr>
              <w:pStyle w:val="Insidebox"/>
              <w:spacing w:before="40" w:after="40"/>
              <w:jc w:val="center"/>
              <w:rPr>
                <w:sz w:val="18"/>
                <w:szCs w:val="20"/>
              </w:rPr>
            </w:pPr>
            <w:r w:rsidRPr="00013E31">
              <w:rPr>
                <w:sz w:val="18"/>
                <w:szCs w:val="20"/>
              </w:rPr>
              <w:t>12</w:t>
            </w:r>
          </w:p>
        </w:tc>
        <w:tc>
          <w:tcPr>
            <w:tcW w:w="1134" w:type="dxa"/>
            <w:tcMar>
              <w:top w:w="0" w:type="dxa"/>
              <w:left w:w="108" w:type="dxa"/>
              <w:bottom w:w="0" w:type="dxa"/>
              <w:right w:w="108" w:type="dxa"/>
            </w:tcMar>
            <w:vAlign w:val="bottom"/>
          </w:tcPr>
          <w:p w14:paraId="0AF56435" w14:textId="77777777" w:rsidR="009B4045" w:rsidRPr="00013E31" w:rsidRDefault="009B4045" w:rsidP="007A7B44">
            <w:pPr>
              <w:pStyle w:val="Insidebox"/>
              <w:spacing w:before="40" w:after="40"/>
              <w:jc w:val="center"/>
              <w:rPr>
                <w:sz w:val="18"/>
                <w:szCs w:val="20"/>
              </w:rPr>
            </w:pPr>
            <w:r w:rsidRPr="00013E31">
              <w:rPr>
                <w:sz w:val="18"/>
                <w:szCs w:val="20"/>
              </w:rPr>
              <w:t>23</w:t>
            </w:r>
          </w:p>
        </w:tc>
      </w:tr>
      <w:tr w:rsidR="009B4045" w:rsidRPr="00013E31" w14:paraId="6B158DDF" w14:textId="77777777" w:rsidTr="007A7B44">
        <w:tc>
          <w:tcPr>
            <w:tcW w:w="4287" w:type="dxa"/>
            <w:tcMar>
              <w:top w:w="0" w:type="dxa"/>
              <w:left w:w="108" w:type="dxa"/>
              <w:bottom w:w="0" w:type="dxa"/>
              <w:right w:w="108" w:type="dxa"/>
            </w:tcMar>
            <w:vAlign w:val="bottom"/>
          </w:tcPr>
          <w:p w14:paraId="61C82364" w14:textId="77777777" w:rsidR="009B4045" w:rsidRPr="00013E31" w:rsidRDefault="009B4045" w:rsidP="00D04676">
            <w:pPr>
              <w:pStyle w:val="Insidebox"/>
              <w:spacing w:before="40" w:after="40"/>
              <w:rPr>
                <w:sz w:val="18"/>
                <w:szCs w:val="20"/>
              </w:rPr>
            </w:pPr>
            <w:r w:rsidRPr="00013E31">
              <w:rPr>
                <w:sz w:val="18"/>
                <w:szCs w:val="20"/>
              </w:rPr>
              <w:t xml:space="preserve">Metal machinery </w:t>
            </w:r>
            <w:r w:rsidR="00D04676" w:rsidRPr="00013E31">
              <w:rPr>
                <w:sz w:val="18"/>
                <w:szCs w:val="20"/>
              </w:rPr>
              <w:t xml:space="preserve">and </w:t>
            </w:r>
            <w:r w:rsidRPr="00013E31">
              <w:rPr>
                <w:sz w:val="18"/>
                <w:szCs w:val="20"/>
              </w:rPr>
              <w:t>related workers</w:t>
            </w:r>
          </w:p>
        </w:tc>
        <w:tc>
          <w:tcPr>
            <w:tcW w:w="992" w:type="dxa"/>
            <w:tcMar>
              <w:top w:w="0" w:type="dxa"/>
              <w:left w:w="108" w:type="dxa"/>
              <w:bottom w:w="0" w:type="dxa"/>
              <w:right w:w="108" w:type="dxa"/>
            </w:tcMar>
            <w:vAlign w:val="bottom"/>
          </w:tcPr>
          <w:p w14:paraId="56029D6E" w14:textId="77777777" w:rsidR="009B4045" w:rsidRPr="00013E31" w:rsidRDefault="009B4045" w:rsidP="007A7B44">
            <w:pPr>
              <w:pStyle w:val="Insidebox"/>
              <w:spacing w:before="40" w:after="40"/>
              <w:jc w:val="center"/>
              <w:rPr>
                <w:sz w:val="18"/>
                <w:szCs w:val="20"/>
              </w:rPr>
            </w:pPr>
            <w:r w:rsidRPr="00013E31">
              <w:rPr>
                <w:sz w:val="18"/>
                <w:szCs w:val="20"/>
              </w:rPr>
              <w:t>288</w:t>
            </w:r>
          </w:p>
        </w:tc>
        <w:tc>
          <w:tcPr>
            <w:tcW w:w="992" w:type="dxa"/>
            <w:tcMar>
              <w:top w:w="0" w:type="dxa"/>
              <w:left w:w="108" w:type="dxa"/>
              <w:bottom w:w="0" w:type="dxa"/>
              <w:right w:w="108" w:type="dxa"/>
            </w:tcMar>
            <w:vAlign w:val="bottom"/>
          </w:tcPr>
          <w:p w14:paraId="3D5E573C" w14:textId="77777777" w:rsidR="009B4045" w:rsidRPr="00013E31" w:rsidRDefault="009B4045" w:rsidP="007A7B44">
            <w:pPr>
              <w:pStyle w:val="Insidebox"/>
              <w:spacing w:before="40" w:after="40"/>
              <w:jc w:val="center"/>
              <w:rPr>
                <w:sz w:val="18"/>
                <w:szCs w:val="20"/>
              </w:rPr>
            </w:pPr>
            <w:r w:rsidRPr="00013E31">
              <w:rPr>
                <w:sz w:val="18"/>
                <w:szCs w:val="20"/>
              </w:rPr>
              <w:t>1148</w:t>
            </w:r>
          </w:p>
        </w:tc>
        <w:tc>
          <w:tcPr>
            <w:tcW w:w="1134" w:type="dxa"/>
            <w:tcMar>
              <w:top w:w="0" w:type="dxa"/>
              <w:left w:w="108" w:type="dxa"/>
              <w:bottom w:w="0" w:type="dxa"/>
              <w:right w:w="108" w:type="dxa"/>
            </w:tcMar>
            <w:vAlign w:val="bottom"/>
          </w:tcPr>
          <w:p w14:paraId="67455D34" w14:textId="77777777" w:rsidR="009B4045" w:rsidRPr="00013E31" w:rsidRDefault="009B4045" w:rsidP="007A7B44">
            <w:pPr>
              <w:pStyle w:val="Insidebox"/>
              <w:spacing w:before="40" w:after="40"/>
              <w:jc w:val="center"/>
              <w:rPr>
                <w:sz w:val="18"/>
                <w:szCs w:val="20"/>
              </w:rPr>
            </w:pPr>
            <w:r w:rsidRPr="00013E31">
              <w:rPr>
                <w:sz w:val="18"/>
                <w:szCs w:val="20"/>
              </w:rPr>
              <w:t>2057</w:t>
            </w:r>
          </w:p>
        </w:tc>
      </w:tr>
      <w:tr w:rsidR="009B4045" w:rsidRPr="00013E31" w14:paraId="238C4E32" w14:textId="77777777" w:rsidTr="007A7B44">
        <w:tc>
          <w:tcPr>
            <w:tcW w:w="4287" w:type="dxa"/>
            <w:tcMar>
              <w:top w:w="0" w:type="dxa"/>
              <w:left w:w="108" w:type="dxa"/>
              <w:bottom w:w="0" w:type="dxa"/>
              <w:right w:w="108" w:type="dxa"/>
            </w:tcMar>
            <w:vAlign w:val="bottom"/>
          </w:tcPr>
          <w:p w14:paraId="34F09920" w14:textId="77777777" w:rsidR="009B4045" w:rsidRPr="00013E31" w:rsidRDefault="009B4045" w:rsidP="00D04676">
            <w:pPr>
              <w:pStyle w:val="Insidebox"/>
              <w:spacing w:before="40" w:after="40"/>
              <w:rPr>
                <w:sz w:val="18"/>
                <w:szCs w:val="20"/>
              </w:rPr>
            </w:pPr>
            <w:r w:rsidRPr="00013E31">
              <w:rPr>
                <w:sz w:val="18"/>
                <w:szCs w:val="20"/>
              </w:rPr>
              <w:t xml:space="preserve">Mechanics </w:t>
            </w:r>
            <w:r w:rsidR="00D04676" w:rsidRPr="00013E31">
              <w:rPr>
                <w:sz w:val="18"/>
                <w:szCs w:val="20"/>
              </w:rPr>
              <w:t xml:space="preserve">and </w:t>
            </w:r>
            <w:r w:rsidRPr="00013E31">
              <w:rPr>
                <w:sz w:val="18"/>
                <w:szCs w:val="20"/>
              </w:rPr>
              <w:t>fitters</w:t>
            </w:r>
          </w:p>
        </w:tc>
        <w:tc>
          <w:tcPr>
            <w:tcW w:w="992" w:type="dxa"/>
            <w:tcMar>
              <w:top w:w="0" w:type="dxa"/>
              <w:left w:w="108" w:type="dxa"/>
              <w:bottom w:w="0" w:type="dxa"/>
              <w:right w:w="108" w:type="dxa"/>
            </w:tcMar>
            <w:vAlign w:val="bottom"/>
          </w:tcPr>
          <w:p w14:paraId="0D2F36DF" w14:textId="59E56809" w:rsidR="009B4045" w:rsidRPr="00013E31" w:rsidRDefault="009B4045" w:rsidP="007A7B44">
            <w:pPr>
              <w:pStyle w:val="Insidebox"/>
              <w:spacing w:before="40" w:after="40"/>
              <w:jc w:val="center"/>
              <w:rPr>
                <w:sz w:val="18"/>
                <w:szCs w:val="20"/>
              </w:rPr>
            </w:pPr>
          </w:p>
        </w:tc>
        <w:tc>
          <w:tcPr>
            <w:tcW w:w="992" w:type="dxa"/>
            <w:tcMar>
              <w:top w:w="0" w:type="dxa"/>
              <w:left w:w="108" w:type="dxa"/>
              <w:bottom w:w="0" w:type="dxa"/>
              <w:right w:w="108" w:type="dxa"/>
            </w:tcMar>
            <w:vAlign w:val="bottom"/>
          </w:tcPr>
          <w:p w14:paraId="6758BF1C" w14:textId="77777777" w:rsidR="009B4045" w:rsidRPr="00013E31" w:rsidRDefault="009B4045" w:rsidP="007A7B44">
            <w:pPr>
              <w:pStyle w:val="Insidebox"/>
              <w:spacing w:before="40" w:after="40"/>
              <w:jc w:val="center"/>
              <w:rPr>
                <w:sz w:val="18"/>
                <w:szCs w:val="20"/>
              </w:rPr>
            </w:pPr>
            <w:r w:rsidRPr="00013E31">
              <w:rPr>
                <w:sz w:val="18"/>
                <w:szCs w:val="20"/>
              </w:rPr>
              <w:t>802</w:t>
            </w:r>
          </w:p>
        </w:tc>
        <w:tc>
          <w:tcPr>
            <w:tcW w:w="1134" w:type="dxa"/>
            <w:tcMar>
              <w:top w:w="0" w:type="dxa"/>
              <w:left w:w="108" w:type="dxa"/>
              <w:bottom w:w="0" w:type="dxa"/>
              <w:right w:w="108" w:type="dxa"/>
            </w:tcMar>
            <w:vAlign w:val="bottom"/>
          </w:tcPr>
          <w:p w14:paraId="52A8748E" w14:textId="77777777" w:rsidR="009B4045" w:rsidRPr="00013E31" w:rsidRDefault="009B4045" w:rsidP="007A7B44">
            <w:pPr>
              <w:pStyle w:val="Insidebox"/>
              <w:spacing w:before="40" w:after="40"/>
              <w:jc w:val="center"/>
              <w:rPr>
                <w:sz w:val="18"/>
                <w:szCs w:val="20"/>
              </w:rPr>
            </w:pPr>
            <w:r w:rsidRPr="00013E31">
              <w:rPr>
                <w:sz w:val="18"/>
                <w:szCs w:val="20"/>
              </w:rPr>
              <w:t>1604</w:t>
            </w:r>
          </w:p>
        </w:tc>
      </w:tr>
      <w:tr w:rsidR="009B4045" w:rsidRPr="00013E31" w14:paraId="3D06DAF8" w14:textId="77777777" w:rsidTr="007A7B44">
        <w:tc>
          <w:tcPr>
            <w:tcW w:w="4287" w:type="dxa"/>
            <w:tcMar>
              <w:top w:w="0" w:type="dxa"/>
              <w:left w:w="108" w:type="dxa"/>
              <w:bottom w:w="0" w:type="dxa"/>
              <w:right w:w="108" w:type="dxa"/>
            </w:tcMar>
            <w:vAlign w:val="bottom"/>
          </w:tcPr>
          <w:p w14:paraId="58A08923" w14:textId="77777777" w:rsidR="009B4045" w:rsidRPr="00013E31" w:rsidRDefault="009B4045" w:rsidP="00D04676">
            <w:pPr>
              <w:pStyle w:val="Insidebox"/>
              <w:spacing w:before="40" w:after="40"/>
              <w:rPr>
                <w:sz w:val="18"/>
                <w:szCs w:val="20"/>
              </w:rPr>
            </w:pPr>
            <w:r w:rsidRPr="00013E31">
              <w:rPr>
                <w:sz w:val="18"/>
                <w:szCs w:val="20"/>
              </w:rPr>
              <w:t xml:space="preserve">Electricians </w:t>
            </w:r>
            <w:r w:rsidR="00D04676" w:rsidRPr="00013E31">
              <w:rPr>
                <w:sz w:val="18"/>
                <w:szCs w:val="20"/>
              </w:rPr>
              <w:t xml:space="preserve">and </w:t>
            </w:r>
            <w:r w:rsidRPr="00013E31">
              <w:rPr>
                <w:sz w:val="18"/>
                <w:szCs w:val="20"/>
              </w:rPr>
              <w:t>electrical fitters</w:t>
            </w:r>
          </w:p>
        </w:tc>
        <w:tc>
          <w:tcPr>
            <w:tcW w:w="992" w:type="dxa"/>
            <w:tcMar>
              <w:top w:w="0" w:type="dxa"/>
              <w:left w:w="108" w:type="dxa"/>
              <w:bottom w:w="0" w:type="dxa"/>
              <w:right w:w="108" w:type="dxa"/>
            </w:tcMar>
            <w:vAlign w:val="bottom"/>
          </w:tcPr>
          <w:p w14:paraId="21B9EDAA" w14:textId="50D50932" w:rsidR="009B4045" w:rsidRPr="00013E31" w:rsidRDefault="009B4045" w:rsidP="007A7B44">
            <w:pPr>
              <w:pStyle w:val="Insidebox"/>
              <w:spacing w:before="40" w:after="40"/>
              <w:jc w:val="center"/>
              <w:rPr>
                <w:sz w:val="18"/>
                <w:szCs w:val="20"/>
              </w:rPr>
            </w:pPr>
          </w:p>
        </w:tc>
        <w:tc>
          <w:tcPr>
            <w:tcW w:w="992" w:type="dxa"/>
            <w:tcMar>
              <w:top w:w="0" w:type="dxa"/>
              <w:left w:w="108" w:type="dxa"/>
              <w:bottom w:w="0" w:type="dxa"/>
              <w:right w:w="108" w:type="dxa"/>
            </w:tcMar>
            <w:vAlign w:val="bottom"/>
          </w:tcPr>
          <w:p w14:paraId="74DF6673" w14:textId="77777777" w:rsidR="009B4045" w:rsidRPr="00013E31" w:rsidRDefault="009B4045" w:rsidP="007A7B44">
            <w:pPr>
              <w:pStyle w:val="Insidebox"/>
              <w:spacing w:before="40" w:after="40"/>
              <w:jc w:val="center"/>
              <w:rPr>
                <w:sz w:val="18"/>
                <w:szCs w:val="20"/>
              </w:rPr>
            </w:pPr>
            <w:r w:rsidRPr="00013E31">
              <w:rPr>
                <w:sz w:val="18"/>
                <w:szCs w:val="20"/>
              </w:rPr>
              <w:t>202</w:t>
            </w:r>
          </w:p>
        </w:tc>
        <w:tc>
          <w:tcPr>
            <w:tcW w:w="1134" w:type="dxa"/>
            <w:tcMar>
              <w:top w:w="0" w:type="dxa"/>
              <w:left w:w="108" w:type="dxa"/>
              <w:bottom w:w="0" w:type="dxa"/>
              <w:right w:w="108" w:type="dxa"/>
            </w:tcMar>
            <w:vAlign w:val="bottom"/>
          </w:tcPr>
          <w:p w14:paraId="396A45DC" w14:textId="77777777" w:rsidR="009B4045" w:rsidRPr="00013E31" w:rsidRDefault="009B4045" w:rsidP="007A7B44">
            <w:pPr>
              <w:pStyle w:val="Insidebox"/>
              <w:spacing w:before="40" w:after="40"/>
              <w:jc w:val="center"/>
              <w:rPr>
                <w:sz w:val="18"/>
                <w:szCs w:val="20"/>
              </w:rPr>
            </w:pPr>
            <w:r w:rsidRPr="00013E31">
              <w:rPr>
                <w:sz w:val="18"/>
                <w:szCs w:val="20"/>
              </w:rPr>
              <w:t>404</w:t>
            </w:r>
          </w:p>
        </w:tc>
      </w:tr>
      <w:tr w:rsidR="007A7B44" w:rsidRPr="00013E31" w14:paraId="2541E944" w14:textId="77777777" w:rsidTr="007A7B44">
        <w:tc>
          <w:tcPr>
            <w:tcW w:w="4287" w:type="dxa"/>
            <w:shd w:val="clear" w:color="auto" w:fill="E2EFD9" w:themeFill="accent6" w:themeFillTint="33"/>
            <w:tcMar>
              <w:top w:w="0" w:type="dxa"/>
              <w:left w:w="108" w:type="dxa"/>
              <w:bottom w:w="0" w:type="dxa"/>
              <w:right w:w="108" w:type="dxa"/>
            </w:tcMar>
            <w:vAlign w:val="bottom"/>
          </w:tcPr>
          <w:p w14:paraId="4B0B31F6" w14:textId="77777777" w:rsidR="009B4045" w:rsidRPr="00013E31" w:rsidRDefault="00546F37" w:rsidP="00BF2895">
            <w:pPr>
              <w:pStyle w:val="Insidebox"/>
              <w:spacing w:before="40" w:after="40"/>
              <w:rPr>
                <w:b/>
                <w:sz w:val="18"/>
                <w:szCs w:val="20"/>
              </w:rPr>
            </w:pPr>
            <w:r w:rsidRPr="00013E31">
              <w:rPr>
                <w:b/>
                <w:sz w:val="18"/>
                <w:szCs w:val="20"/>
              </w:rPr>
              <w:t>Total</w:t>
            </w:r>
          </w:p>
        </w:tc>
        <w:tc>
          <w:tcPr>
            <w:tcW w:w="992" w:type="dxa"/>
            <w:shd w:val="clear" w:color="auto" w:fill="E2EFD9" w:themeFill="accent6" w:themeFillTint="33"/>
            <w:tcMar>
              <w:top w:w="0" w:type="dxa"/>
              <w:left w:w="108" w:type="dxa"/>
              <w:bottom w:w="0" w:type="dxa"/>
              <w:right w:w="108" w:type="dxa"/>
            </w:tcMar>
            <w:vAlign w:val="bottom"/>
          </w:tcPr>
          <w:p w14:paraId="07888A5B" w14:textId="77777777" w:rsidR="009B4045" w:rsidRPr="00013E31" w:rsidRDefault="00546F37" w:rsidP="007A7B44">
            <w:pPr>
              <w:pStyle w:val="Insidebox"/>
              <w:spacing w:before="40" w:after="40"/>
              <w:jc w:val="center"/>
              <w:rPr>
                <w:b/>
                <w:sz w:val="18"/>
                <w:szCs w:val="20"/>
              </w:rPr>
            </w:pPr>
            <w:r w:rsidRPr="00013E31">
              <w:rPr>
                <w:b/>
                <w:sz w:val="18"/>
                <w:szCs w:val="20"/>
              </w:rPr>
              <w:t>828</w:t>
            </w:r>
          </w:p>
        </w:tc>
        <w:tc>
          <w:tcPr>
            <w:tcW w:w="992" w:type="dxa"/>
            <w:shd w:val="clear" w:color="auto" w:fill="E2EFD9" w:themeFill="accent6" w:themeFillTint="33"/>
            <w:tcMar>
              <w:top w:w="0" w:type="dxa"/>
              <w:left w:w="108" w:type="dxa"/>
              <w:bottom w:w="0" w:type="dxa"/>
              <w:right w:w="108" w:type="dxa"/>
            </w:tcMar>
            <w:vAlign w:val="bottom"/>
          </w:tcPr>
          <w:p w14:paraId="1C306C53" w14:textId="77777777" w:rsidR="009B4045" w:rsidRPr="00013E31" w:rsidRDefault="00546F37" w:rsidP="007A7B44">
            <w:pPr>
              <w:pStyle w:val="Insidebox"/>
              <w:spacing w:before="40" w:after="40"/>
              <w:jc w:val="center"/>
              <w:rPr>
                <w:b/>
                <w:sz w:val="18"/>
                <w:szCs w:val="20"/>
              </w:rPr>
            </w:pPr>
            <w:r w:rsidRPr="00013E31">
              <w:rPr>
                <w:b/>
                <w:sz w:val="18"/>
                <w:szCs w:val="20"/>
              </w:rPr>
              <w:t>5007</w:t>
            </w:r>
          </w:p>
        </w:tc>
        <w:tc>
          <w:tcPr>
            <w:tcW w:w="1134" w:type="dxa"/>
            <w:shd w:val="clear" w:color="auto" w:fill="E2EFD9" w:themeFill="accent6" w:themeFillTint="33"/>
            <w:tcMar>
              <w:top w:w="0" w:type="dxa"/>
              <w:left w:w="108" w:type="dxa"/>
              <w:bottom w:w="0" w:type="dxa"/>
              <w:right w:w="108" w:type="dxa"/>
            </w:tcMar>
            <w:vAlign w:val="bottom"/>
          </w:tcPr>
          <w:p w14:paraId="08B86686" w14:textId="77777777" w:rsidR="009B4045" w:rsidRPr="00013E31" w:rsidRDefault="00546F37" w:rsidP="007A7B44">
            <w:pPr>
              <w:pStyle w:val="Insidebox"/>
              <w:spacing w:before="40" w:after="40"/>
              <w:jc w:val="center"/>
              <w:rPr>
                <w:b/>
                <w:sz w:val="18"/>
                <w:szCs w:val="20"/>
              </w:rPr>
            </w:pPr>
            <w:r w:rsidRPr="00013E31">
              <w:rPr>
                <w:b/>
                <w:sz w:val="18"/>
                <w:szCs w:val="20"/>
              </w:rPr>
              <w:t>8715</w:t>
            </w:r>
          </w:p>
        </w:tc>
      </w:tr>
      <w:tr w:rsidR="009B4045" w:rsidRPr="00BF2895" w14:paraId="199CB467" w14:textId="77777777" w:rsidTr="007A7B44">
        <w:tc>
          <w:tcPr>
            <w:tcW w:w="7405" w:type="dxa"/>
            <w:gridSpan w:val="4"/>
            <w:tcMar>
              <w:top w:w="0" w:type="dxa"/>
              <w:left w:w="108" w:type="dxa"/>
              <w:bottom w:w="0" w:type="dxa"/>
              <w:right w:w="108" w:type="dxa"/>
            </w:tcMar>
            <w:vAlign w:val="bottom"/>
          </w:tcPr>
          <w:p w14:paraId="6C9E8D39" w14:textId="17CE9A89" w:rsidR="009B4045" w:rsidRPr="00BF2895" w:rsidRDefault="007A7B44" w:rsidP="00D04676">
            <w:pPr>
              <w:pStyle w:val="Insidebox"/>
              <w:spacing w:before="40" w:after="40"/>
              <w:rPr>
                <w:sz w:val="18"/>
              </w:rPr>
            </w:pPr>
            <w:r>
              <w:rPr>
                <w:sz w:val="16"/>
              </w:rPr>
              <w:br/>
            </w:r>
            <w:r w:rsidR="009B4045" w:rsidRPr="00BF2895">
              <w:rPr>
                <w:sz w:val="16"/>
              </w:rPr>
              <w:t>Source: Most recent country census, 2009</w:t>
            </w:r>
            <w:r w:rsidR="00D04676">
              <w:rPr>
                <w:sz w:val="16"/>
              </w:rPr>
              <w:t>–</w:t>
            </w:r>
            <w:r w:rsidR="009B4045" w:rsidRPr="00BF2895">
              <w:rPr>
                <w:sz w:val="16"/>
              </w:rPr>
              <w:t>2012</w:t>
            </w:r>
          </w:p>
        </w:tc>
      </w:tr>
    </w:tbl>
    <w:p w14:paraId="3B74C473" w14:textId="5D4BB75A" w:rsidR="009B4045" w:rsidRPr="00FE4EE8" w:rsidRDefault="00414057" w:rsidP="009B4045">
      <w:r>
        <w:br/>
      </w:r>
      <w:r w:rsidR="009B4045">
        <w:t xml:space="preserve">Table </w:t>
      </w:r>
      <w:r w:rsidR="0068506C">
        <w:t>8.</w:t>
      </w:r>
      <w:r w:rsidR="009B4045">
        <w:t>7</w:t>
      </w:r>
      <w:r w:rsidR="009B4045" w:rsidRPr="00FE4EE8">
        <w:t xml:space="preserve"> shows the size of the skills gap for </w:t>
      </w:r>
      <w:r w:rsidR="002B59A3" w:rsidRPr="00FE4EE8">
        <w:t>APTC</w:t>
      </w:r>
      <w:r w:rsidR="002B59A3">
        <w:t>-</w:t>
      </w:r>
      <w:r w:rsidR="009B4045" w:rsidRPr="00FE4EE8">
        <w:t xml:space="preserve">related occupation groups in construction and engineering. The number </w:t>
      </w:r>
      <w:r w:rsidR="00D57A87">
        <w:t xml:space="preserve">of </w:t>
      </w:r>
      <w:r w:rsidR="009B4045" w:rsidRPr="00FE4EE8">
        <w:t>foreign workers in specific trades-based occupations provide a minimum or low-end estimate of the economic demand for skills in eight Pacific countries.</w:t>
      </w:r>
      <w:r w:rsidR="009B4045" w:rsidRPr="00FE4EE8">
        <w:rPr>
          <w:vertAlign w:val="superscript"/>
          <w:lang w:val="sv-SE"/>
        </w:rPr>
        <w:footnoteReference w:id="57"/>
      </w:r>
      <w:r w:rsidR="009B4045" w:rsidRPr="00FE4EE8">
        <w:t xml:space="preserve"> A high-end estimate is based on the post-school qualifications gap between foreign and domestic workers applied to the number of domestic workers in that occupation. The high-end estimate refers to the number of domestic workers who would need to acquire a post-school qualification to reach the same rate as foreign workers in the same occupation. </w:t>
      </w:r>
    </w:p>
    <w:p w14:paraId="09A13D2F" w14:textId="77777777" w:rsidR="009B4045" w:rsidRPr="00FE4EE8" w:rsidRDefault="009B4045" w:rsidP="009B4045">
      <w:r w:rsidRPr="00FE4EE8">
        <w:t xml:space="preserve">The construction and engineering sectors in most Pacific countries may have limited potential to grow because of their small, low growth economies. Many businesses are small in scale and face a high level of variability in the demand for their services from year to year. These fluctuations are due to small domestic markets with large injections of donor funds for certain activities such as large construction projects. The mid-range estimate of the demand for post-school qualifications in trade-based qualifications reflects the likely lack of demand for post-school qualification from small employers employing these workers. </w:t>
      </w:r>
    </w:p>
    <w:p w14:paraId="09B4D98B" w14:textId="77777777" w:rsidR="009B4045" w:rsidRDefault="009B4045" w:rsidP="009B4045">
      <w:r>
        <w:t xml:space="preserve">The data presented in column 2 in Table </w:t>
      </w:r>
      <w:r w:rsidR="002D024D">
        <w:t>8.</w:t>
      </w:r>
      <w:r>
        <w:t xml:space="preserve">7 suggest that APTC supply of qualifications in construction and metal trades may exceed the demand by employers for these qualifications, given the likelihood that many employers may have a limited requirement for workers with post-school qualifications. </w:t>
      </w:r>
    </w:p>
    <w:p w14:paraId="7A0A5613" w14:textId="77777777" w:rsidR="009B4045" w:rsidRDefault="009B4045" w:rsidP="009B4045">
      <w:r>
        <w:t xml:space="preserve">One participant in the most recent Advisory Group meeting in Port Vila </w:t>
      </w:r>
      <w:r w:rsidR="00C57E50">
        <w:t xml:space="preserve">in </w:t>
      </w:r>
      <w:r>
        <w:t>May 2014 suggested that APTC needed to analyse labour market data on a quarterly analysis. This analysis he said was needed to show when courses should be put on hold, and what courses continue to be relevant. He asked: ‘Will we ever get to a saturation point? Not while populations are growing! But some countries will get close to a saturation point at some time and some countries are nowhere near. There needs to be a constant analysis of labour data and needs analysis’.</w:t>
      </w:r>
    </w:p>
    <w:p w14:paraId="79951A06" w14:textId="77777777" w:rsidR="009B4045" w:rsidRDefault="009B4045" w:rsidP="009B4045">
      <w:r>
        <w:t xml:space="preserve">The APTC surveys of employers </w:t>
      </w:r>
      <w:r w:rsidR="0043742E">
        <w:t xml:space="preserve">six </w:t>
      </w:r>
      <w:r>
        <w:t xml:space="preserve">to 12 months after graduation provide another data source on whether APTC qualifications are addressing employers’ skill shortages. </w:t>
      </w:r>
      <w:r w:rsidRPr="001E6E9C">
        <w:t xml:space="preserve">Employers were asked about whether they are experiencing skill shortages and to list the names of the jobs that are hard to fill. Some 77 per cent of employers identified positions they found hard to fill or skills they needed. </w:t>
      </w:r>
      <w:r>
        <w:t>These open-ended responses were coded. O</w:t>
      </w:r>
      <w:r w:rsidRPr="000235F2">
        <w:t xml:space="preserve">nly one-in-four of the </w:t>
      </w:r>
      <w:r>
        <w:t xml:space="preserve">identified </w:t>
      </w:r>
      <w:r w:rsidRPr="000235F2">
        <w:t>skill needs of employers relate to a current APTC qualification. Another 13 per cent of the skills identified refer to training offered by APTC but usually at a higher level</w:t>
      </w:r>
      <w:r w:rsidR="00C42650">
        <w:t>,</w:t>
      </w:r>
      <w:r w:rsidRPr="000235F2">
        <w:t xml:space="preserve"> e</w:t>
      </w:r>
      <w:r w:rsidR="00C42650">
        <w:t>.</w:t>
      </w:r>
      <w:r w:rsidRPr="000235F2">
        <w:t>g</w:t>
      </w:r>
      <w:r w:rsidR="00C42650">
        <w:t>.</w:t>
      </w:r>
      <w:r w:rsidRPr="000235F2">
        <w:t xml:space="preserve"> Certificate IV in Carpentry. Some </w:t>
      </w:r>
      <w:r w:rsidR="00C42650" w:rsidRPr="000235F2">
        <w:t>17</w:t>
      </w:r>
      <w:r w:rsidR="00C42650">
        <w:t> </w:t>
      </w:r>
      <w:r w:rsidRPr="000235F2">
        <w:t>per cent of the skills or jobs refer to skill level</w:t>
      </w:r>
      <w:r>
        <w:t>s</w:t>
      </w:r>
      <w:r w:rsidRPr="000235F2">
        <w:t xml:space="preserve"> beyond the scope of APTC</w:t>
      </w:r>
      <w:r>
        <w:t xml:space="preserve">’s </w:t>
      </w:r>
      <w:r w:rsidRPr="000235F2">
        <w:t>mandate</w:t>
      </w:r>
      <w:r>
        <w:t xml:space="preserve"> such as </w:t>
      </w:r>
      <w:r w:rsidRPr="000235F2">
        <w:t xml:space="preserve">diploma or degree level </w:t>
      </w:r>
      <w:r>
        <w:t xml:space="preserve">or refer to higher skilled occupations </w:t>
      </w:r>
      <w:r w:rsidRPr="000235F2">
        <w:t>such as technicians.</w:t>
      </w:r>
      <w:r>
        <w:t xml:space="preserve"> </w:t>
      </w:r>
      <w:r w:rsidRPr="000235F2">
        <w:t xml:space="preserve">Some 19 per cent of </w:t>
      </w:r>
      <w:r>
        <w:t xml:space="preserve">the </w:t>
      </w:r>
      <w:r w:rsidRPr="000235F2">
        <w:t xml:space="preserve">skills identified </w:t>
      </w:r>
      <w:r w:rsidR="006C1DC2">
        <w:t xml:space="preserve">by employers </w:t>
      </w:r>
      <w:r w:rsidRPr="000235F2">
        <w:t>refer to basic skills needed in the workplace such as IT skills, teamwo</w:t>
      </w:r>
      <w:r>
        <w:t>rk and basic financial literacy</w:t>
      </w:r>
      <w:r w:rsidR="006C1DC2">
        <w:t>,</w:t>
      </w:r>
      <w:r>
        <w:t xml:space="preserve"> which are usually provided by short courses. </w:t>
      </w:r>
    </w:p>
    <w:p w14:paraId="68145396" w14:textId="27AB7BF7" w:rsidR="003D355F" w:rsidRDefault="006D3324" w:rsidP="002028A6">
      <w:pPr>
        <w:pStyle w:val="Heading2"/>
      </w:pPr>
      <w:bookmarkStart w:id="881" w:name="_Toc274145179"/>
      <w:bookmarkStart w:id="882" w:name="_Toc274900562"/>
      <w:bookmarkStart w:id="883" w:name="_Toc274909950"/>
      <w:bookmarkStart w:id="884" w:name="_Toc278447967"/>
      <w:bookmarkStart w:id="885" w:name="_Toc278453440"/>
      <w:r>
        <w:t xml:space="preserve">4.3 </w:t>
      </w:r>
      <w:r w:rsidR="00013E31">
        <w:tab/>
      </w:r>
      <w:r w:rsidR="009B4045">
        <w:t xml:space="preserve">To what extent have graduates been employed in the same field as </w:t>
      </w:r>
      <w:r w:rsidR="00013E31">
        <w:br/>
      </w:r>
      <w:r w:rsidR="00013E31">
        <w:tab/>
      </w:r>
      <w:r w:rsidR="009B4045">
        <w:t>trained?</w:t>
      </w:r>
      <w:bookmarkEnd w:id="881"/>
      <w:bookmarkEnd w:id="882"/>
      <w:bookmarkEnd w:id="883"/>
      <w:bookmarkEnd w:id="884"/>
      <w:bookmarkEnd w:id="885"/>
      <w:r w:rsidR="009B4045">
        <w:t xml:space="preserve"> </w:t>
      </w:r>
    </w:p>
    <w:p w14:paraId="6ED7819F" w14:textId="2AA43E55" w:rsidR="009B4045" w:rsidRDefault="009B4045" w:rsidP="009B4045">
      <w:r>
        <w:t xml:space="preserve">Most APTC graduates are now in jobs closely related to their training at APTC. The </w:t>
      </w:r>
      <w:r w:rsidR="004D0563">
        <w:t xml:space="preserve">NCVER </w:t>
      </w:r>
      <w:r>
        <w:t xml:space="preserve">APTC </w:t>
      </w:r>
      <w:r w:rsidR="004D0563">
        <w:t>Graduate Down the Track</w:t>
      </w:r>
      <w:r>
        <w:t xml:space="preserve"> survey showed that near to nine-in-</w:t>
      </w:r>
      <w:r w:rsidR="00C3651A">
        <w:t>ten</w:t>
      </w:r>
      <w:r w:rsidR="001F7B58">
        <w:t xml:space="preserve"> </w:t>
      </w:r>
      <w:r>
        <w:t>Stage</w:t>
      </w:r>
      <w:r w:rsidR="004D0563">
        <w:t> </w:t>
      </w:r>
      <w:r w:rsidR="00E67E4C">
        <w:t>I</w:t>
      </w:r>
      <w:r w:rsidR="001F7B58">
        <w:t xml:space="preserve"> </w:t>
      </w:r>
      <w:r>
        <w:t>graduates (87 per cent) said their current job was closely related to their APTC training, and one-in-</w:t>
      </w:r>
      <w:r w:rsidR="0001530F">
        <w:t>ten</w:t>
      </w:r>
      <w:r w:rsidR="00181DB4">
        <w:t xml:space="preserve"> </w:t>
      </w:r>
      <w:r>
        <w:t>said it was partly related</w:t>
      </w:r>
      <w:r w:rsidR="00181DB4">
        <w:t>.</w:t>
      </w:r>
      <w:r>
        <w:t xml:space="preserve"> </w:t>
      </w:r>
      <w:r w:rsidR="00181DB4">
        <w:t xml:space="preserve">Only three </w:t>
      </w:r>
      <w:r>
        <w:t xml:space="preserve">per cent said it was not related at all. </w:t>
      </w:r>
      <w:r w:rsidRPr="009F4F4D">
        <w:t xml:space="preserve">Among those graduates in a new job, 84 per cent said their current job was closely related to their APTC training and 11 per cent said their current job was partly related to the training they had received. Only </w:t>
      </w:r>
      <w:r w:rsidR="002015B3">
        <w:t>four</w:t>
      </w:r>
      <w:r w:rsidR="002015B3" w:rsidRPr="009F4F4D">
        <w:t xml:space="preserve"> </w:t>
      </w:r>
      <w:r w:rsidRPr="009F4F4D">
        <w:t xml:space="preserve">per cent said their current job was not related at all to the training they had received. </w:t>
      </w:r>
    </w:p>
    <w:p w14:paraId="5C94B2B0" w14:textId="77777777" w:rsidR="009B4045" w:rsidRDefault="009B4045" w:rsidP="009B4045">
      <w:r>
        <w:t xml:space="preserve">A half to one fifth of graduates in five fields of study said their current job was not closely related to what they trained in. These fields of study were: </w:t>
      </w:r>
      <w:r w:rsidRPr="003F6996">
        <w:t>community ser</w:t>
      </w:r>
      <w:r>
        <w:t>vices work (current job for 50 per cent was closely related), children's</w:t>
      </w:r>
      <w:r w:rsidRPr="003F6996">
        <w:t xml:space="preserve"> services</w:t>
      </w:r>
      <w:r>
        <w:t xml:space="preserve"> (63 per cent),</w:t>
      </w:r>
      <w:r w:rsidRPr="003F6996">
        <w:t xml:space="preserve"> </w:t>
      </w:r>
      <w:r>
        <w:t xml:space="preserve">tourism (75 per cent), mechanical fitting (75 per cent) and </w:t>
      </w:r>
      <w:r w:rsidRPr="003F6996">
        <w:t>hospitality supervision</w:t>
      </w:r>
      <w:r>
        <w:t xml:space="preserve"> (</w:t>
      </w:r>
      <w:r w:rsidR="00F21F65">
        <w:t>79 </w:t>
      </w:r>
      <w:r>
        <w:t xml:space="preserve">per cent). The lack of match between qualification and job may indicate a lack of jobs in the sector that the qualification is targeted at. </w:t>
      </w:r>
    </w:p>
    <w:p w14:paraId="4F97E294" w14:textId="78BF67A0" w:rsidR="003D355F" w:rsidRDefault="005E069F" w:rsidP="002028A6">
      <w:pPr>
        <w:pStyle w:val="Heading2"/>
      </w:pPr>
      <w:bookmarkStart w:id="886" w:name="_Toc274145180"/>
      <w:bookmarkStart w:id="887" w:name="_Toc274900563"/>
      <w:bookmarkStart w:id="888" w:name="_Toc274909951"/>
      <w:bookmarkStart w:id="889" w:name="_Toc278447968"/>
      <w:bookmarkStart w:id="890" w:name="_Toc278453441"/>
      <w:r>
        <w:t xml:space="preserve">4.4 </w:t>
      </w:r>
      <w:r w:rsidR="00013E31">
        <w:tab/>
      </w:r>
      <w:r w:rsidR="009B4045">
        <w:t>What are the wage levels of graduates, before and after APTC training?</w:t>
      </w:r>
      <w:bookmarkEnd w:id="886"/>
      <w:bookmarkEnd w:id="887"/>
      <w:bookmarkEnd w:id="888"/>
      <w:bookmarkEnd w:id="889"/>
      <w:bookmarkEnd w:id="890"/>
      <w:r w:rsidR="009B4045">
        <w:t xml:space="preserve"> </w:t>
      </w:r>
    </w:p>
    <w:p w14:paraId="10DC1D0A" w14:textId="77777777" w:rsidR="009B4045" w:rsidRPr="00F50E72" w:rsidRDefault="009B4045" w:rsidP="009B4045">
      <w:r>
        <w:t>T</w:t>
      </w:r>
      <w:r w:rsidRPr="009F4F4D">
        <w:t xml:space="preserve">hree-in-five </w:t>
      </w:r>
      <w:r>
        <w:t xml:space="preserve">of the Stage </w:t>
      </w:r>
      <w:r w:rsidR="00E67E4C">
        <w:t>I</w:t>
      </w:r>
      <w:r w:rsidR="00F21F65">
        <w:t xml:space="preserve"> </w:t>
      </w:r>
      <w:r w:rsidRPr="009F4F4D">
        <w:t xml:space="preserve">APTC graduates (61 per cent) surveyed </w:t>
      </w:r>
      <w:r>
        <w:t xml:space="preserve">in 2013 </w:t>
      </w:r>
      <w:r w:rsidRPr="009F4F4D">
        <w:t xml:space="preserve">said they had </w:t>
      </w:r>
      <w:r w:rsidR="001D634D">
        <w:t>gained</w:t>
      </w:r>
      <w:r w:rsidR="001D634D" w:rsidRPr="009F4F4D">
        <w:t xml:space="preserve"> </w:t>
      </w:r>
      <w:r w:rsidRPr="009F4F4D">
        <w:t>an increase in earnings since completing their APTC training. This proportion differed little between whether the graduate was still in the same job or a new job. The qualifications le</w:t>
      </w:r>
      <w:r>
        <w:t>a</w:t>
      </w:r>
      <w:r w:rsidRPr="009F4F4D">
        <w:t xml:space="preserve">st likely to be linked to an increase in earnings after graduation were: </w:t>
      </w:r>
      <w:r w:rsidR="004340CD">
        <w:t>C</w:t>
      </w:r>
      <w:r w:rsidR="004340CD" w:rsidRPr="009F4F4D">
        <w:t xml:space="preserve">ertificate </w:t>
      </w:r>
      <w:r w:rsidRPr="009F4F4D">
        <w:t xml:space="preserve">IV in </w:t>
      </w:r>
      <w:r w:rsidR="004340CD">
        <w:t>T</w:t>
      </w:r>
      <w:r w:rsidR="004340CD" w:rsidRPr="009F4F4D">
        <w:t xml:space="preserve">raining </w:t>
      </w:r>
      <w:r w:rsidR="004340CD">
        <w:t>and</w:t>
      </w:r>
      <w:r w:rsidR="004340CD" w:rsidRPr="009F4F4D">
        <w:t xml:space="preserve"> </w:t>
      </w:r>
      <w:r w:rsidR="004340CD">
        <w:t>A</w:t>
      </w:r>
      <w:r w:rsidR="004340CD" w:rsidRPr="009F4F4D">
        <w:t>ssessment</w:t>
      </w:r>
      <w:r w:rsidRPr="009F4F4D">
        <w:t xml:space="preserve">, </w:t>
      </w:r>
      <w:r w:rsidR="004340CD">
        <w:t>D</w:t>
      </w:r>
      <w:r w:rsidR="004340CD" w:rsidRPr="009F4F4D">
        <w:t xml:space="preserve">iplomas </w:t>
      </w:r>
      <w:r w:rsidR="004340CD">
        <w:t>of</w:t>
      </w:r>
      <w:r w:rsidR="004340CD" w:rsidRPr="009F4F4D">
        <w:t xml:space="preserve"> </w:t>
      </w:r>
      <w:r w:rsidR="004340CD">
        <w:t>C</w:t>
      </w:r>
      <w:r w:rsidR="004340CD" w:rsidRPr="009F4F4D">
        <w:t xml:space="preserve">ommunity </w:t>
      </w:r>
      <w:r w:rsidR="004340CD">
        <w:t>S</w:t>
      </w:r>
      <w:r w:rsidR="004340CD" w:rsidRPr="009F4F4D">
        <w:t xml:space="preserve">ervices </w:t>
      </w:r>
      <w:r w:rsidR="004340CD">
        <w:t>W</w:t>
      </w:r>
      <w:r w:rsidR="004340CD" w:rsidRPr="009F4F4D">
        <w:t xml:space="preserve">ork </w:t>
      </w:r>
      <w:r w:rsidRPr="009F4F4D">
        <w:t xml:space="preserve">and </w:t>
      </w:r>
      <w:r w:rsidR="004340CD">
        <w:t>C</w:t>
      </w:r>
      <w:r w:rsidR="004340CD" w:rsidRPr="009F4F4D">
        <w:t xml:space="preserve">hildren's </w:t>
      </w:r>
      <w:r w:rsidR="004340CD">
        <w:t>S</w:t>
      </w:r>
      <w:r w:rsidR="004340CD" w:rsidRPr="009F4F4D">
        <w:t xml:space="preserve">ervices </w:t>
      </w:r>
      <w:r w:rsidRPr="009F4F4D">
        <w:t>and a number of trades</w:t>
      </w:r>
      <w:r w:rsidR="00660FD5">
        <w:t>-</w:t>
      </w:r>
      <w:r w:rsidRPr="009F4F4D">
        <w:t xml:space="preserve">related qualifications such as wall </w:t>
      </w:r>
      <w:r w:rsidR="00660FD5">
        <w:t>and</w:t>
      </w:r>
      <w:r w:rsidR="00660FD5" w:rsidRPr="009F4F4D">
        <w:t xml:space="preserve"> </w:t>
      </w:r>
      <w:r w:rsidRPr="009F4F4D">
        <w:t xml:space="preserve">floor tiling, plumbing, painting and decorating, mechanical fitting, and automotive mechanical technology. The </w:t>
      </w:r>
      <w:r w:rsidR="00660FD5">
        <w:t>C</w:t>
      </w:r>
      <w:r w:rsidR="00660FD5" w:rsidRPr="009F4F4D">
        <w:t xml:space="preserve">ertificate </w:t>
      </w:r>
      <w:r w:rsidRPr="009F4F4D">
        <w:t xml:space="preserve">IV in </w:t>
      </w:r>
      <w:r w:rsidR="00660FD5">
        <w:t>T</w:t>
      </w:r>
      <w:r w:rsidR="00660FD5" w:rsidRPr="009F4F4D">
        <w:t xml:space="preserve">raining </w:t>
      </w:r>
      <w:r w:rsidR="00660FD5">
        <w:t>and</w:t>
      </w:r>
      <w:r w:rsidR="00660FD5" w:rsidRPr="009F4F4D">
        <w:t xml:space="preserve"> </w:t>
      </w:r>
      <w:r w:rsidR="00660FD5">
        <w:t>A</w:t>
      </w:r>
      <w:r w:rsidR="00660FD5" w:rsidRPr="009F4F4D">
        <w:t xml:space="preserve">ssessment </w:t>
      </w:r>
      <w:r w:rsidRPr="009F4F4D">
        <w:t>is aimed at TVET instructors who are likely to be on wages fixed by government. Some of the trades may also be working for public works departments and state</w:t>
      </w:r>
      <w:r>
        <w:t>-</w:t>
      </w:r>
      <w:r w:rsidRPr="009F4F4D">
        <w:t>own</w:t>
      </w:r>
      <w:r>
        <w:t>ed</w:t>
      </w:r>
      <w:r w:rsidRPr="009F4F4D">
        <w:t xml:space="preserve"> enterprises where there is little scope to increase wage rates.</w:t>
      </w:r>
    </w:p>
    <w:p w14:paraId="6752B0DE" w14:textId="61F76E78" w:rsidR="003D355F" w:rsidRDefault="00B430EF" w:rsidP="002028A6">
      <w:pPr>
        <w:pStyle w:val="Heading2"/>
      </w:pPr>
      <w:bookmarkStart w:id="891" w:name="_Toc274145181"/>
      <w:bookmarkStart w:id="892" w:name="_Toc274900564"/>
      <w:bookmarkStart w:id="893" w:name="_Toc274909952"/>
      <w:bookmarkStart w:id="894" w:name="_Toc278447969"/>
      <w:bookmarkStart w:id="895" w:name="_Toc278453442"/>
      <w:r>
        <w:t xml:space="preserve">4.5 </w:t>
      </w:r>
      <w:r w:rsidR="00013E31">
        <w:tab/>
      </w:r>
      <w:r w:rsidR="009B4045">
        <w:t>Evidence on job satisfaction, stability or promotions</w:t>
      </w:r>
      <w:bookmarkEnd w:id="891"/>
      <w:bookmarkEnd w:id="892"/>
      <w:bookmarkEnd w:id="893"/>
      <w:bookmarkEnd w:id="894"/>
      <w:bookmarkEnd w:id="895"/>
    </w:p>
    <w:p w14:paraId="6A58233E" w14:textId="245CAB1E" w:rsidR="009B4045" w:rsidRDefault="009B4045" w:rsidP="009B4045">
      <w:r>
        <w:t>M</w:t>
      </w:r>
      <w:r w:rsidRPr="009F4F4D">
        <w:t xml:space="preserve">ost (84 per cent) </w:t>
      </w:r>
      <w:r>
        <w:t xml:space="preserve">of </w:t>
      </w:r>
      <w:r w:rsidRPr="00077952">
        <w:t xml:space="preserve">the Stage </w:t>
      </w:r>
      <w:r w:rsidR="00E62F49">
        <w:t>I</w:t>
      </w:r>
      <w:r w:rsidR="008B6CA2" w:rsidRPr="00077952">
        <w:t xml:space="preserve"> </w:t>
      </w:r>
      <w:r w:rsidRPr="00077952">
        <w:t xml:space="preserve">APTC </w:t>
      </w:r>
      <w:r w:rsidRPr="009F4F4D">
        <w:t xml:space="preserve">graduates in employment (either in a wage job or own business) agreed with the statement that 'I am able to support myself and my family well'. Only 14 per cent agreed with the statement that 'I find difficult to earn enough to support myself and my family' and only </w:t>
      </w:r>
      <w:r w:rsidR="005D4A3D">
        <w:t>one</w:t>
      </w:r>
      <w:r w:rsidR="005D4A3D" w:rsidRPr="009F4F4D">
        <w:t xml:space="preserve"> </w:t>
      </w:r>
      <w:r w:rsidRPr="009F4F4D">
        <w:t xml:space="preserve">per cent agreed that 'I cannot earn anywhere near enough to support myself and my family'. However, for those still in the same job, as many as one-in-five (20 per cent) found it </w:t>
      </w:r>
      <w:r w:rsidR="005D4A3D">
        <w:t>‘</w:t>
      </w:r>
      <w:r w:rsidRPr="009F4F4D">
        <w:t xml:space="preserve">difficult or very difficult to earn enough </w:t>
      </w:r>
      <w:r w:rsidR="00D57A87">
        <w:t xml:space="preserve">to </w:t>
      </w:r>
      <w:r w:rsidRPr="009F4F4D">
        <w:t>support myself and my family well</w:t>
      </w:r>
      <w:r w:rsidR="005D4A3D">
        <w:t>’</w:t>
      </w:r>
      <w:r w:rsidRPr="009F4F4D">
        <w:t xml:space="preserve"> compared </w:t>
      </w:r>
      <w:r w:rsidR="00D57A87">
        <w:t xml:space="preserve">with </w:t>
      </w:r>
      <w:r w:rsidRPr="009F4F4D">
        <w:t>one-in-</w:t>
      </w:r>
      <w:r w:rsidR="0001530F">
        <w:t>ten</w:t>
      </w:r>
      <w:r w:rsidR="005D4A3D" w:rsidRPr="009F4F4D">
        <w:t xml:space="preserve"> </w:t>
      </w:r>
      <w:r w:rsidRPr="009F4F4D">
        <w:t xml:space="preserve">(12 per cent) in a new job. Of those already in a job, two-in-three (62 per cent) had </w:t>
      </w:r>
      <w:r w:rsidR="005D4A3D">
        <w:t>received</w:t>
      </w:r>
      <w:r w:rsidR="005D4A3D" w:rsidRPr="009F4F4D">
        <w:t xml:space="preserve"> </w:t>
      </w:r>
      <w:r w:rsidRPr="009F4F4D">
        <w:t xml:space="preserve">a promotion and a similar proportion (63 per cent) </w:t>
      </w:r>
      <w:r w:rsidR="005D4A3D">
        <w:t>gained</w:t>
      </w:r>
      <w:r w:rsidR="005D4A3D" w:rsidRPr="009F4F4D">
        <w:t xml:space="preserve"> </w:t>
      </w:r>
      <w:r w:rsidRPr="009F4F4D">
        <w:t>an increase in earnings. However, one-in-</w:t>
      </w:r>
      <w:r w:rsidR="0001530F">
        <w:t>ten</w:t>
      </w:r>
      <w:r w:rsidR="008D391B" w:rsidRPr="009F4F4D">
        <w:t xml:space="preserve"> </w:t>
      </w:r>
      <w:r w:rsidRPr="009F4F4D">
        <w:t>(10 per cent) could not identify a benefit or stated a negative outcome since completing APTC training.</w:t>
      </w:r>
    </w:p>
    <w:p w14:paraId="524CDF42" w14:textId="0DF21192" w:rsidR="009B4045" w:rsidRDefault="009B4045" w:rsidP="009B4045">
      <w:r>
        <w:t xml:space="preserve">The combined results of the APTC Past Students Tracer Survey showed that </w:t>
      </w:r>
      <w:r w:rsidR="004B6CFA">
        <w:t>86 </w:t>
      </w:r>
      <w:r>
        <w:t>per</w:t>
      </w:r>
      <w:r w:rsidR="004B6CFA">
        <w:t> </w:t>
      </w:r>
      <w:r>
        <w:t>cent of respondents agreed that their job s</w:t>
      </w:r>
      <w:r w:rsidRPr="00F50E72">
        <w:t xml:space="preserve">atisfaction </w:t>
      </w:r>
      <w:r>
        <w:t xml:space="preserve">had significantly improved, with one-in-four </w:t>
      </w:r>
      <w:r w:rsidRPr="004641E2">
        <w:t>agreeing strongly with this statement</w:t>
      </w:r>
      <w:r>
        <w:t>. The levels of job satisfaction varied by qualification and reflected different working conditions. The qualifications with high levels of job satisfaction were youth work and aged care, community services, disability, metal fabrication, pl</w:t>
      </w:r>
      <w:r w:rsidR="00D57A87">
        <w:t>umbing, hospitality supervision</w:t>
      </w:r>
      <w:r>
        <w:t xml:space="preserve"> and patisserie. </w:t>
      </w:r>
    </w:p>
    <w:p w14:paraId="6A1DC9BB" w14:textId="36A7105E" w:rsidR="009B4045" w:rsidRDefault="009B4045" w:rsidP="009B4045">
      <w:r>
        <w:t>Half of the respondents said they had been promoted since completing their studies at APTC. The promotion rate varied widely by qualification</w:t>
      </w:r>
      <w:r w:rsidR="002E1413">
        <w:t>,</w:t>
      </w:r>
      <w:r>
        <w:t xml:space="preserve"> from one-in-four to seven-in-</w:t>
      </w:r>
      <w:r w:rsidR="0001530F">
        <w:t>ten</w:t>
      </w:r>
      <w:r>
        <w:t>. Differences in promotion rates may be due in part to fewer opportunities for promotion for jobs in the public sector.</w:t>
      </w:r>
    </w:p>
    <w:p w14:paraId="13D0F436" w14:textId="422BC409" w:rsidR="009B4045" w:rsidRDefault="009B4045" w:rsidP="009B4045">
      <w:r>
        <w:t>Close to nine-</w:t>
      </w:r>
      <w:r w:rsidR="001C7EEE">
        <w:t>in</w:t>
      </w:r>
      <w:r>
        <w:t>-</w:t>
      </w:r>
      <w:r w:rsidR="0001530F">
        <w:t>ten</w:t>
      </w:r>
      <w:r w:rsidR="002E1413">
        <w:t xml:space="preserve"> </w:t>
      </w:r>
      <w:r>
        <w:t xml:space="preserve">graduates agreed </w:t>
      </w:r>
      <w:r w:rsidRPr="004F7E40">
        <w:t xml:space="preserve">that </w:t>
      </w:r>
      <w:r>
        <w:t xml:space="preserve">their </w:t>
      </w:r>
      <w:r w:rsidRPr="004F7E40">
        <w:t>employment prospects</w:t>
      </w:r>
      <w:r>
        <w:t xml:space="preserve"> or </w:t>
      </w:r>
      <w:r w:rsidRPr="004F7E40">
        <w:t xml:space="preserve">ability to apply for a job </w:t>
      </w:r>
      <w:r>
        <w:t xml:space="preserve">have significantly improved, with 28 per cent strongly agreeing. Again, agreement with the statement varied by qualification, depending on labour market conditions. So the higher proportions of graduates less likely to agree that their job prospects have improved are evident for those with qualifications in community services, aged care, automotive mechanical, painting </w:t>
      </w:r>
      <w:r w:rsidR="001D1CC2">
        <w:t xml:space="preserve">and </w:t>
      </w:r>
      <w:r>
        <w:t xml:space="preserve">decorating and metal fabrication. </w:t>
      </w:r>
    </w:p>
    <w:p w14:paraId="523576F6" w14:textId="6C55C97B" w:rsidR="003D355F" w:rsidRDefault="008B1AE8" w:rsidP="002028A6">
      <w:pPr>
        <w:pStyle w:val="Heading1"/>
      </w:pPr>
      <w:bookmarkStart w:id="896" w:name="_Toc278447970"/>
      <w:bookmarkStart w:id="897" w:name="_Toc278453443"/>
      <w:r>
        <w:t xml:space="preserve">5 </w:t>
      </w:r>
      <w:r w:rsidR="00013E31">
        <w:tab/>
      </w:r>
      <w:r w:rsidR="009B4045">
        <w:t>Evidence of APTC impact from employers</w:t>
      </w:r>
      <w:bookmarkEnd w:id="896"/>
      <w:bookmarkEnd w:id="897"/>
      <w:r w:rsidR="009B4045">
        <w:t xml:space="preserve"> </w:t>
      </w:r>
    </w:p>
    <w:p w14:paraId="68218FCF" w14:textId="77777777" w:rsidR="009B4045" w:rsidRDefault="009B4045" w:rsidP="009B4045">
      <w:r>
        <w:t xml:space="preserve">The APTC conducted surveys of employers in 2012 and in 2013. The total number of responses was 190, from 607 questionnaires sent out. This represents a response rate of 31 per cent. However, nine enterprises were surveyed in both years so the final usable number of enterprises is 181. Another source of employer feedback is the responses of 38 employers who took part in meetings with the review team or were asked separately to complete a questionnaire. </w:t>
      </w:r>
    </w:p>
    <w:p w14:paraId="6A96ED3C" w14:textId="7C0C78DE" w:rsidR="003D355F" w:rsidRDefault="008B1AE8" w:rsidP="00013E31">
      <w:pPr>
        <w:pStyle w:val="Heading2"/>
        <w:ind w:left="720" w:hanging="720"/>
      </w:pPr>
      <w:bookmarkStart w:id="898" w:name="_Toc274145183"/>
      <w:bookmarkStart w:id="899" w:name="_Toc274909954"/>
      <w:bookmarkStart w:id="900" w:name="_Toc278447971"/>
      <w:bookmarkStart w:id="901" w:name="_Toc278453444"/>
      <w:r>
        <w:t xml:space="preserve">5.1 </w:t>
      </w:r>
      <w:r w:rsidR="00013E31">
        <w:tab/>
      </w:r>
      <w:r w:rsidR="009B4045">
        <w:t xml:space="preserve">How do the competencies of APTC graduates compare with other </w:t>
      </w:r>
      <w:r w:rsidR="00013E31">
        <w:br/>
      </w:r>
      <w:r w:rsidR="009B4045">
        <w:t>TVET graduates at the same level?</w:t>
      </w:r>
      <w:bookmarkEnd w:id="898"/>
      <w:bookmarkEnd w:id="899"/>
      <w:bookmarkEnd w:id="900"/>
      <w:bookmarkEnd w:id="901"/>
      <w:r w:rsidR="009B4045">
        <w:t xml:space="preserve"> </w:t>
      </w:r>
    </w:p>
    <w:p w14:paraId="3B180C5C" w14:textId="240C579A" w:rsidR="009B4045" w:rsidRDefault="009B4045" w:rsidP="009B4045">
      <w:r>
        <w:t>Employers were asked to offer an overall assessment of their level of satisfaction with the APTC training program. Nine-</w:t>
      </w:r>
      <w:r w:rsidR="00F54CEC">
        <w:t>in</w:t>
      </w:r>
      <w:r>
        <w:t>-</w:t>
      </w:r>
      <w:r w:rsidR="0001530F">
        <w:t>ten</w:t>
      </w:r>
      <w:r w:rsidR="00F54CEC">
        <w:t xml:space="preserve"> </w:t>
      </w:r>
      <w:r>
        <w:t xml:space="preserve">employers (89 per cent) were satisfied or very satisfied with the APTC training program. </w:t>
      </w:r>
      <w:r w:rsidR="00721AA5">
        <w:t>Non-government organisations</w:t>
      </w:r>
      <w:r w:rsidR="00B32332">
        <w:t xml:space="preserve"> (NGOs)</w:t>
      </w:r>
      <w:r w:rsidR="00721AA5">
        <w:t xml:space="preserve"> </w:t>
      </w:r>
      <w:r>
        <w:t xml:space="preserve">were more likely to be very satisfied (55 per cent), followed by the private sector (43 per cent) and the public sector (39 per cent). </w:t>
      </w:r>
    </w:p>
    <w:p w14:paraId="249EFF0A" w14:textId="0585C780" w:rsidR="003D355F" w:rsidRDefault="003A112C" w:rsidP="002028A6">
      <w:pPr>
        <w:pStyle w:val="Heading3"/>
      </w:pPr>
      <w:bookmarkStart w:id="902" w:name="_Toc274145184"/>
      <w:bookmarkStart w:id="903" w:name="_Toc274909955"/>
      <w:bookmarkStart w:id="904" w:name="_Toc278447972"/>
      <w:bookmarkStart w:id="905" w:name="_Toc278453445"/>
      <w:r>
        <w:t>5.1.1</w:t>
      </w:r>
      <w:r w:rsidR="00A718DC">
        <w:t xml:space="preserve"> </w:t>
      </w:r>
      <w:r w:rsidR="00013E31">
        <w:tab/>
      </w:r>
      <w:r w:rsidR="009B4045">
        <w:t>In relation to technical competencies</w:t>
      </w:r>
      <w:bookmarkEnd w:id="902"/>
      <w:bookmarkEnd w:id="903"/>
      <w:bookmarkEnd w:id="904"/>
      <w:bookmarkEnd w:id="905"/>
    </w:p>
    <w:p w14:paraId="02AADF67" w14:textId="0889699E" w:rsidR="009B4045" w:rsidRDefault="009B4045" w:rsidP="009B4045">
      <w:r>
        <w:t>Nine-</w:t>
      </w:r>
      <w:r w:rsidR="00614F4A">
        <w:t>in</w:t>
      </w:r>
      <w:r>
        <w:t>-</w:t>
      </w:r>
      <w:r w:rsidR="000973FE">
        <w:t>ten</w:t>
      </w:r>
      <w:r w:rsidR="00614F4A">
        <w:t xml:space="preserve"> </w:t>
      </w:r>
      <w:r>
        <w:t xml:space="preserve">or more employers surveyed in 2012 and 2013 agree that their APTC graduates perform well in the workplace. In particular, they agree that they are able to use relevant skills </w:t>
      </w:r>
      <w:r w:rsidR="00614F4A">
        <w:t xml:space="preserve">and </w:t>
      </w:r>
      <w:r>
        <w:t>technology, have a working knowledge of their industry, understand relevant technical words, work effectively with minimal supervision, are able to take on increase</w:t>
      </w:r>
      <w:r w:rsidR="00523043">
        <w:t>d</w:t>
      </w:r>
      <w:r>
        <w:t xml:space="preserve"> responsibility, solve common work-related problems and can communicate effectively with their supervisor, co-workers and clients/customers. In relation to nearly all of the above aspects of work performance, over a third of employers strongly agreed with each statement. </w:t>
      </w:r>
    </w:p>
    <w:p w14:paraId="704931CE" w14:textId="77777777" w:rsidR="009B4045" w:rsidRDefault="009B4045" w:rsidP="009B4045">
      <w:r>
        <w:t xml:space="preserve">Four-out-of-five employers who completed the review team’s questions in 2014 agree that the APTC graduates they employ perform well on the job in terms of technical competencies compared other workers at the same level, with two-in-five agreeing strongly that this is the case. </w:t>
      </w:r>
    </w:p>
    <w:p w14:paraId="43089F4E" w14:textId="78432DDF" w:rsidR="003D355F" w:rsidRDefault="003A112C" w:rsidP="002028A6">
      <w:pPr>
        <w:pStyle w:val="Heading3"/>
      </w:pPr>
      <w:bookmarkStart w:id="906" w:name="_Toc274145185"/>
      <w:bookmarkStart w:id="907" w:name="_Toc274909956"/>
      <w:bookmarkStart w:id="908" w:name="_Toc278447973"/>
      <w:bookmarkStart w:id="909" w:name="_Toc278453446"/>
      <w:r>
        <w:t>5.1.2</w:t>
      </w:r>
      <w:r w:rsidR="00A718DC">
        <w:t xml:space="preserve"> </w:t>
      </w:r>
      <w:r w:rsidR="00013E31">
        <w:tab/>
      </w:r>
      <w:r w:rsidR="009B4045">
        <w:t>In relation to good work habits</w:t>
      </w:r>
      <w:bookmarkEnd w:id="906"/>
      <w:bookmarkEnd w:id="907"/>
      <w:bookmarkEnd w:id="908"/>
      <w:bookmarkEnd w:id="909"/>
    </w:p>
    <w:p w14:paraId="3CD43A4B" w14:textId="5C58452C" w:rsidR="009B4045" w:rsidRDefault="009B4045" w:rsidP="009B4045">
      <w:r>
        <w:t>Employers were also asked to assess t</w:t>
      </w:r>
      <w:r w:rsidRPr="00E03B94">
        <w:t>he degree of change in the</w:t>
      </w:r>
      <w:r>
        <w:t>ir</w:t>
      </w:r>
      <w:r w:rsidRPr="00E03B94">
        <w:t xml:space="preserve"> </w:t>
      </w:r>
      <w:r w:rsidR="00523043" w:rsidRPr="00E03B94">
        <w:t>employee</w:t>
      </w:r>
      <w:r w:rsidR="00523043">
        <w:t>’</w:t>
      </w:r>
      <w:r w:rsidR="00523043" w:rsidRPr="00E03B94">
        <w:t xml:space="preserve">s </w:t>
      </w:r>
      <w:r w:rsidRPr="00E03B94">
        <w:t xml:space="preserve">attitude and work ethic since completing APTC training </w:t>
      </w:r>
      <w:r>
        <w:t>compared with before the course. They were asked to do so in relation to two statements: ‘</w:t>
      </w:r>
      <w:r w:rsidRPr="00114972">
        <w:t>Graduates are motivated and show initiative</w:t>
      </w:r>
      <w:r>
        <w:t>’ and ‘</w:t>
      </w:r>
      <w:r w:rsidRPr="00114972">
        <w:t xml:space="preserve">Graduates display an appropriate attitude </w:t>
      </w:r>
      <w:r w:rsidR="0012570A">
        <w:t>and</w:t>
      </w:r>
      <w:r w:rsidR="0012570A" w:rsidRPr="00114972">
        <w:t xml:space="preserve"> </w:t>
      </w:r>
      <w:r w:rsidRPr="00114972">
        <w:t>ability to work, are reliable and professional</w:t>
      </w:r>
      <w:r>
        <w:t>’. In relation to both statements, over nine-</w:t>
      </w:r>
      <w:r w:rsidR="00605EB4">
        <w:t>in-</w:t>
      </w:r>
      <w:r w:rsidR="000973FE">
        <w:t>ten</w:t>
      </w:r>
      <w:r w:rsidR="00605EB4">
        <w:t xml:space="preserve"> </w:t>
      </w:r>
      <w:r>
        <w:t>employers said their employees had improved after their APTC training, with three-</w:t>
      </w:r>
      <w:r w:rsidR="00C26C6E">
        <w:t>in</w:t>
      </w:r>
      <w:r>
        <w:t>-</w:t>
      </w:r>
      <w:r w:rsidR="000973FE">
        <w:t>ten</w:t>
      </w:r>
      <w:r w:rsidR="00C26C6E">
        <w:t xml:space="preserve"> saying </w:t>
      </w:r>
      <w:r>
        <w:t xml:space="preserve">their employees had significantly improved. </w:t>
      </w:r>
    </w:p>
    <w:p w14:paraId="34CD299C" w14:textId="769A65FF" w:rsidR="003D355F" w:rsidRDefault="00A76ED7" w:rsidP="002028A6">
      <w:pPr>
        <w:pStyle w:val="Heading2"/>
      </w:pPr>
      <w:bookmarkStart w:id="910" w:name="_Toc274145186"/>
      <w:bookmarkStart w:id="911" w:name="_Toc274909957"/>
      <w:bookmarkStart w:id="912" w:name="_Toc278447974"/>
      <w:bookmarkStart w:id="913" w:name="_Toc278453447"/>
      <w:r>
        <w:t>5.1.</w:t>
      </w:r>
      <w:r w:rsidR="003A112C">
        <w:t>3</w:t>
      </w:r>
      <w:r>
        <w:t xml:space="preserve"> </w:t>
      </w:r>
      <w:r w:rsidR="00013E31">
        <w:tab/>
      </w:r>
      <w:r w:rsidR="009B4045">
        <w:t xml:space="preserve">To what extent have APTC graduates trained co-workers and introduced </w:t>
      </w:r>
      <w:r w:rsidR="00013E31">
        <w:br/>
      </w:r>
      <w:r w:rsidR="00013E31">
        <w:tab/>
      </w:r>
      <w:r w:rsidR="009B4045">
        <w:t>new technologies?</w:t>
      </w:r>
      <w:bookmarkEnd w:id="910"/>
      <w:bookmarkEnd w:id="911"/>
      <w:bookmarkEnd w:id="912"/>
      <w:bookmarkEnd w:id="913"/>
    </w:p>
    <w:p w14:paraId="3DC221C2" w14:textId="5AAB13AA" w:rsidR="009B4045" w:rsidRDefault="009B4045" w:rsidP="009B4045">
      <w:r>
        <w:t>Nine-</w:t>
      </w:r>
      <w:r w:rsidR="00424F06">
        <w:t>in</w:t>
      </w:r>
      <w:r>
        <w:t>-</w:t>
      </w:r>
      <w:r w:rsidR="000973FE">
        <w:t>ten</w:t>
      </w:r>
      <w:r w:rsidR="00424F06">
        <w:t xml:space="preserve"> </w:t>
      </w:r>
      <w:r>
        <w:t xml:space="preserve">employers (89 per cent) surveyed in 2012 </w:t>
      </w:r>
      <w:r w:rsidR="00754C2C">
        <w:t xml:space="preserve">and </w:t>
      </w:r>
      <w:r>
        <w:t xml:space="preserve">2013 said that their </w:t>
      </w:r>
      <w:r w:rsidRPr="00C92480">
        <w:t xml:space="preserve">APTC graduates </w:t>
      </w:r>
      <w:r>
        <w:t>s</w:t>
      </w:r>
      <w:r w:rsidRPr="00C92480">
        <w:t>ince completing their training ha</w:t>
      </w:r>
      <w:r>
        <w:t>d</w:t>
      </w:r>
      <w:r w:rsidRPr="00C92480">
        <w:t xml:space="preserve"> </w:t>
      </w:r>
      <w:r w:rsidR="001945B5">
        <w:t>‘</w:t>
      </w:r>
      <w:r w:rsidRPr="00C92480">
        <w:t>im</w:t>
      </w:r>
      <w:r>
        <w:t>proved the work standards/</w:t>
      </w:r>
      <w:r w:rsidRPr="00C92480">
        <w:t>productivity o</w:t>
      </w:r>
      <w:r>
        <w:t xml:space="preserve">f other workers in your company. Only </w:t>
      </w:r>
      <w:r w:rsidR="00754C2C">
        <w:t xml:space="preserve">eight </w:t>
      </w:r>
      <w:r>
        <w:t xml:space="preserve">per cent said they had not and </w:t>
      </w:r>
      <w:r w:rsidR="00754C2C">
        <w:t>three per </w:t>
      </w:r>
      <w:r>
        <w:t xml:space="preserve">cent did not answer the question. This finding is confirmed by the employers who responded to the review’s questions which showed </w:t>
      </w:r>
      <w:r w:rsidRPr="00C15503">
        <w:t>high employer agreement with the statement that APTC graduates have helped to train their co-workers to work better, although this was only asked of some employers.</w:t>
      </w:r>
    </w:p>
    <w:p w14:paraId="5B95F261" w14:textId="0E333B72" w:rsidR="003D355F" w:rsidRDefault="00FC6B6D" w:rsidP="002028A6">
      <w:pPr>
        <w:pStyle w:val="Heading1"/>
      </w:pPr>
      <w:bookmarkStart w:id="914" w:name="_Toc278447975"/>
      <w:bookmarkStart w:id="915" w:name="_Toc278453448"/>
      <w:r>
        <w:t xml:space="preserve">6 </w:t>
      </w:r>
      <w:r w:rsidR="00013E31">
        <w:tab/>
      </w:r>
      <w:r w:rsidR="009B4045">
        <w:t xml:space="preserve">Were APTC graduates hired on the same or different salaries </w:t>
      </w:r>
      <w:r w:rsidR="00414057">
        <w:br/>
      </w:r>
      <w:r w:rsidR="009B4045">
        <w:t>as others?</w:t>
      </w:r>
      <w:bookmarkEnd w:id="914"/>
      <w:bookmarkEnd w:id="915"/>
    </w:p>
    <w:p w14:paraId="22806A74" w14:textId="77777777" w:rsidR="009B4045" w:rsidRPr="0076536B" w:rsidRDefault="009B4045" w:rsidP="009B4045">
      <w:r>
        <w:t xml:space="preserve">No information is available on whether APTC graduates have been hired on the same or different salaries. </w:t>
      </w:r>
    </w:p>
    <w:p w14:paraId="3380973E" w14:textId="0E9B8929" w:rsidR="003D355F" w:rsidRDefault="00FC6B6D" w:rsidP="002028A6">
      <w:pPr>
        <w:pStyle w:val="Heading1"/>
      </w:pPr>
      <w:bookmarkStart w:id="916" w:name="_Toc278447976"/>
      <w:bookmarkStart w:id="917" w:name="_Toc278453449"/>
      <w:r>
        <w:t xml:space="preserve">7 </w:t>
      </w:r>
      <w:r w:rsidR="00013E31">
        <w:tab/>
      </w:r>
      <w:r w:rsidR="009B4045">
        <w:t>How productive are APTC graduates compared with others with same qualifications?</w:t>
      </w:r>
      <w:bookmarkEnd w:id="916"/>
      <w:bookmarkEnd w:id="917"/>
    </w:p>
    <w:p w14:paraId="6736FAB7" w14:textId="701E4E4D" w:rsidR="009B4045" w:rsidRDefault="009B4045" w:rsidP="009B4045">
      <w:r>
        <w:t xml:space="preserve">Most employers have recognised in some way the greater productivity of their APTC graduates. Over three-in-four employers (77 per cent) said that they had promoted their APTC graduates or given them greater responsibilities since returning from study, </w:t>
      </w:r>
      <w:r w:rsidR="001945B5">
        <w:br/>
      </w:r>
      <w:r>
        <w:t xml:space="preserve">one-in-five (19 per cent) said they did not and </w:t>
      </w:r>
      <w:r w:rsidR="000F6F22">
        <w:t xml:space="preserve">four </w:t>
      </w:r>
      <w:r>
        <w:t>per cent did not answer the question.</w:t>
      </w:r>
    </w:p>
    <w:p w14:paraId="433D2C7A" w14:textId="56D3D21F" w:rsidR="009B4045" w:rsidRDefault="009B4045" w:rsidP="009B4045">
      <w:r>
        <w:t>A key question for the evaluation is to assess the nature and extent of the impact that APTC training has had on enterprise productivity. Employers were asked: ‘What impact has APTC training had on the productivity or overall performance of your business?’ Nine-</w:t>
      </w:r>
      <w:r w:rsidR="00F538E5">
        <w:t>in</w:t>
      </w:r>
      <w:r>
        <w:t>-</w:t>
      </w:r>
      <w:r w:rsidR="000973FE">
        <w:t>ten</w:t>
      </w:r>
      <w:r w:rsidR="00F538E5">
        <w:t xml:space="preserve"> </w:t>
      </w:r>
      <w:r>
        <w:t xml:space="preserve">responding </w:t>
      </w:r>
      <w:r w:rsidR="00F538E5">
        <w:t xml:space="preserve">employers </w:t>
      </w:r>
      <w:r>
        <w:t xml:space="preserve">said the impact was positive, with </w:t>
      </w:r>
      <w:r w:rsidR="00F538E5">
        <w:t xml:space="preserve">six </w:t>
      </w:r>
      <w:r>
        <w:t xml:space="preserve">per cent saying there had been no impact and </w:t>
      </w:r>
      <w:r w:rsidR="00E409BB">
        <w:t xml:space="preserve">one </w:t>
      </w:r>
      <w:r>
        <w:t xml:space="preserve">per cent </w:t>
      </w:r>
      <w:r w:rsidR="00E409BB">
        <w:t xml:space="preserve">saying </w:t>
      </w:r>
      <w:r>
        <w:t xml:space="preserve">the impact was negative (see </w:t>
      </w:r>
      <w:r w:rsidR="00F15A7F">
        <w:t>Table 8.</w:t>
      </w:r>
      <w:r>
        <w:t xml:space="preserve">8). The positive impact was highest for NGOs and public sector employers (100 and 97 per cent respectively). Employment size accounted for little difference in the proportion of employers who said the impact was positive. The two industry sectors less likely to say that the impact of APTC training was positive were Other Business Services (60 per cent) and Electricity, Gas </w:t>
      </w:r>
      <w:r w:rsidR="001B079C">
        <w:t xml:space="preserve">and </w:t>
      </w:r>
      <w:r>
        <w:t>Water Supply (80</w:t>
      </w:r>
      <w:r w:rsidR="00651DA0">
        <w:t> </w:t>
      </w:r>
      <w:r>
        <w:t>per</w:t>
      </w:r>
      <w:r w:rsidR="00651DA0">
        <w:t> </w:t>
      </w:r>
      <w:r>
        <w:t>cent).</w:t>
      </w:r>
    </w:p>
    <w:p w14:paraId="1CE010AD" w14:textId="41E773AF" w:rsidR="009B4045" w:rsidRPr="005A2C0D" w:rsidRDefault="009B4045" w:rsidP="00651DA0">
      <w:pPr>
        <w:pStyle w:val="Tableheading"/>
        <w:spacing w:before="240"/>
      </w:pPr>
      <w:bookmarkStart w:id="918" w:name="_Toc274146496"/>
      <w:bookmarkStart w:id="919" w:name="_Toc274915955"/>
      <w:bookmarkStart w:id="920" w:name="_Toc278446934"/>
      <w:r>
        <w:t xml:space="preserve">Table </w:t>
      </w:r>
      <w:r w:rsidR="001B079C">
        <w:t>8.8</w:t>
      </w:r>
      <w:r>
        <w:t>: Response of employers of APTC graduates by type of employer to the question: ‘</w:t>
      </w:r>
      <w:r w:rsidR="007C761E">
        <w:t xml:space="preserve">What </w:t>
      </w:r>
      <w:r>
        <w:t xml:space="preserve">impact has APTC training had on the productivity or overall performance of your business?’, 2012 </w:t>
      </w:r>
      <w:r w:rsidR="007C761E">
        <w:t xml:space="preserve">and </w:t>
      </w:r>
      <w:r>
        <w:t>2013</w:t>
      </w:r>
      <w:r w:rsidR="00E50CF4">
        <w:t xml:space="preserve"> (%)</w:t>
      </w:r>
      <w:bookmarkEnd w:id="918"/>
      <w:bookmarkEnd w:id="919"/>
      <w:bookmarkEnd w:id="920"/>
      <w:r>
        <w:t xml:space="preserve"> </w:t>
      </w:r>
    </w:p>
    <w:tbl>
      <w:tblPr>
        <w:tblW w:w="0" w:type="auto"/>
        <w:tblInd w:w="74" w:type="dxa"/>
        <w:tblCellMar>
          <w:left w:w="10" w:type="dxa"/>
          <w:right w:w="10" w:type="dxa"/>
        </w:tblCellMar>
        <w:tblLook w:val="04A0" w:firstRow="1" w:lastRow="0" w:firstColumn="1" w:lastColumn="0" w:noHBand="0" w:noVBand="1"/>
      </w:tblPr>
      <w:tblGrid>
        <w:gridCol w:w="2398"/>
        <w:gridCol w:w="1092"/>
        <w:gridCol w:w="992"/>
        <w:gridCol w:w="1134"/>
        <w:gridCol w:w="851"/>
      </w:tblGrid>
      <w:tr w:rsidR="00414057" w:rsidRPr="00E50CF4" w14:paraId="62F00E51" w14:textId="77777777" w:rsidTr="00414057">
        <w:tc>
          <w:tcPr>
            <w:tcW w:w="0" w:type="auto"/>
            <w:shd w:val="clear" w:color="auto" w:fill="C5E0B3" w:themeFill="accent6" w:themeFillTint="66"/>
            <w:tcMar>
              <w:top w:w="0" w:type="dxa"/>
              <w:left w:w="20" w:type="dxa"/>
              <w:bottom w:w="0" w:type="dxa"/>
              <w:right w:w="20" w:type="dxa"/>
            </w:tcMar>
            <w:vAlign w:val="center"/>
          </w:tcPr>
          <w:p w14:paraId="5AEC73D8" w14:textId="77777777" w:rsidR="009B4045" w:rsidRPr="00E50CF4" w:rsidRDefault="009B4045" w:rsidP="00414057">
            <w:pPr>
              <w:pStyle w:val="Insidebox"/>
              <w:spacing w:before="40" w:after="40"/>
              <w:rPr>
                <w:b/>
                <w:sz w:val="18"/>
              </w:rPr>
            </w:pPr>
            <w:r w:rsidRPr="00E50CF4">
              <w:rPr>
                <w:b/>
                <w:sz w:val="18"/>
              </w:rPr>
              <w:t>Type of impact on business</w:t>
            </w:r>
          </w:p>
        </w:tc>
        <w:tc>
          <w:tcPr>
            <w:tcW w:w="1092" w:type="dxa"/>
            <w:shd w:val="clear" w:color="auto" w:fill="C5E0B3" w:themeFill="accent6" w:themeFillTint="66"/>
            <w:tcMar>
              <w:top w:w="0" w:type="dxa"/>
              <w:left w:w="20" w:type="dxa"/>
              <w:bottom w:w="0" w:type="dxa"/>
              <w:right w:w="20" w:type="dxa"/>
            </w:tcMar>
            <w:vAlign w:val="center"/>
          </w:tcPr>
          <w:p w14:paraId="3C250BBF" w14:textId="5E7C4E5E" w:rsidR="003D355F" w:rsidRDefault="009B4045" w:rsidP="00414057">
            <w:pPr>
              <w:pStyle w:val="Insidebox"/>
              <w:spacing w:before="40" w:after="40"/>
              <w:jc w:val="center"/>
              <w:rPr>
                <w:b/>
                <w:sz w:val="18"/>
              </w:rPr>
            </w:pPr>
            <w:r w:rsidRPr="00E50CF4">
              <w:rPr>
                <w:b/>
                <w:sz w:val="18"/>
              </w:rPr>
              <w:t xml:space="preserve">Private </w:t>
            </w:r>
            <w:r w:rsidR="0077763E">
              <w:rPr>
                <w:b/>
                <w:sz w:val="18"/>
              </w:rPr>
              <w:t>s</w:t>
            </w:r>
            <w:r w:rsidR="0077763E" w:rsidRPr="00E50CF4">
              <w:rPr>
                <w:b/>
                <w:sz w:val="18"/>
              </w:rPr>
              <w:t>ector</w:t>
            </w:r>
          </w:p>
        </w:tc>
        <w:tc>
          <w:tcPr>
            <w:tcW w:w="992" w:type="dxa"/>
            <w:shd w:val="clear" w:color="auto" w:fill="C5E0B3" w:themeFill="accent6" w:themeFillTint="66"/>
            <w:tcMar>
              <w:top w:w="0" w:type="dxa"/>
              <w:left w:w="20" w:type="dxa"/>
              <w:bottom w:w="0" w:type="dxa"/>
              <w:right w:w="20" w:type="dxa"/>
            </w:tcMar>
            <w:vAlign w:val="center"/>
          </w:tcPr>
          <w:p w14:paraId="744075E6" w14:textId="77777777" w:rsidR="003D355F" w:rsidRDefault="009B4045" w:rsidP="00414057">
            <w:pPr>
              <w:pStyle w:val="Insidebox"/>
              <w:spacing w:before="40" w:after="40"/>
              <w:jc w:val="center"/>
              <w:rPr>
                <w:b/>
                <w:sz w:val="18"/>
              </w:rPr>
            </w:pPr>
            <w:r w:rsidRPr="00E50CF4">
              <w:rPr>
                <w:b/>
                <w:sz w:val="18"/>
              </w:rPr>
              <w:t xml:space="preserve">Public </w:t>
            </w:r>
            <w:r w:rsidR="0077763E">
              <w:rPr>
                <w:b/>
                <w:sz w:val="18"/>
              </w:rPr>
              <w:t>s</w:t>
            </w:r>
            <w:r w:rsidR="0077763E" w:rsidRPr="00E50CF4">
              <w:rPr>
                <w:b/>
                <w:sz w:val="18"/>
              </w:rPr>
              <w:t>ector</w:t>
            </w:r>
          </w:p>
        </w:tc>
        <w:tc>
          <w:tcPr>
            <w:tcW w:w="1134" w:type="dxa"/>
            <w:shd w:val="clear" w:color="auto" w:fill="C5E0B3" w:themeFill="accent6" w:themeFillTint="66"/>
            <w:tcMar>
              <w:top w:w="0" w:type="dxa"/>
              <w:left w:w="20" w:type="dxa"/>
              <w:bottom w:w="0" w:type="dxa"/>
              <w:right w:w="20" w:type="dxa"/>
            </w:tcMar>
            <w:vAlign w:val="center"/>
          </w:tcPr>
          <w:p w14:paraId="67F7FEC0" w14:textId="77777777" w:rsidR="003D355F" w:rsidRDefault="009B4045" w:rsidP="00414057">
            <w:pPr>
              <w:pStyle w:val="Insidebox"/>
              <w:spacing w:before="40" w:after="40"/>
              <w:jc w:val="center"/>
              <w:rPr>
                <w:b/>
                <w:sz w:val="18"/>
              </w:rPr>
            </w:pPr>
            <w:r w:rsidRPr="00E50CF4">
              <w:rPr>
                <w:b/>
                <w:sz w:val="18"/>
              </w:rPr>
              <w:t>NGO/</w:t>
            </w:r>
            <w:r w:rsidR="00560A71">
              <w:rPr>
                <w:b/>
                <w:sz w:val="18"/>
              </w:rPr>
              <w:br/>
            </w:r>
            <w:r w:rsidR="0077763E">
              <w:rPr>
                <w:b/>
                <w:sz w:val="18"/>
              </w:rPr>
              <w:t>n</w:t>
            </w:r>
            <w:r w:rsidR="0077763E" w:rsidRPr="00E50CF4">
              <w:rPr>
                <w:b/>
                <w:sz w:val="18"/>
              </w:rPr>
              <w:t xml:space="preserve">ot </w:t>
            </w:r>
            <w:r w:rsidRPr="00E50CF4">
              <w:rPr>
                <w:b/>
                <w:sz w:val="18"/>
              </w:rPr>
              <w:t xml:space="preserve">for </w:t>
            </w:r>
            <w:r w:rsidR="0077763E">
              <w:rPr>
                <w:b/>
                <w:sz w:val="18"/>
              </w:rPr>
              <w:t>p</w:t>
            </w:r>
            <w:r w:rsidR="0077763E" w:rsidRPr="00E50CF4">
              <w:rPr>
                <w:b/>
                <w:sz w:val="18"/>
              </w:rPr>
              <w:t>rofit</w:t>
            </w:r>
          </w:p>
        </w:tc>
        <w:tc>
          <w:tcPr>
            <w:tcW w:w="851" w:type="dxa"/>
            <w:shd w:val="clear" w:color="auto" w:fill="C5E0B3" w:themeFill="accent6" w:themeFillTint="66"/>
            <w:tcMar>
              <w:top w:w="0" w:type="dxa"/>
              <w:left w:w="20" w:type="dxa"/>
              <w:bottom w:w="0" w:type="dxa"/>
              <w:right w:w="20" w:type="dxa"/>
            </w:tcMar>
            <w:vAlign w:val="center"/>
          </w:tcPr>
          <w:p w14:paraId="2FF4F1E1" w14:textId="77777777" w:rsidR="003D355F" w:rsidRDefault="009B4045" w:rsidP="00414057">
            <w:pPr>
              <w:pStyle w:val="Insidebox"/>
              <w:spacing w:before="40" w:after="40"/>
              <w:jc w:val="center"/>
              <w:rPr>
                <w:b/>
                <w:sz w:val="18"/>
              </w:rPr>
            </w:pPr>
            <w:r w:rsidRPr="00E50CF4">
              <w:rPr>
                <w:b/>
                <w:sz w:val="18"/>
              </w:rPr>
              <w:t>Total</w:t>
            </w:r>
          </w:p>
        </w:tc>
      </w:tr>
      <w:tr w:rsidR="00414057" w:rsidRPr="00651DA0" w14:paraId="6C6B632E" w14:textId="77777777" w:rsidTr="00414057">
        <w:tc>
          <w:tcPr>
            <w:tcW w:w="0" w:type="auto"/>
            <w:tcMar>
              <w:top w:w="0" w:type="dxa"/>
              <w:left w:w="20" w:type="dxa"/>
              <w:bottom w:w="0" w:type="dxa"/>
              <w:right w:w="20" w:type="dxa"/>
            </w:tcMar>
            <w:vAlign w:val="center"/>
          </w:tcPr>
          <w:p w14:paraId="2E622181" w14:textId="77777777" w:rsidR="009B4045" w:rsidRPr="00651DA0" w:rsidRDefault="009B4045" w:rsidP="00651DA0">
            <w:pPr>
              <w:pStyle w:val="Insidebox"/>
              <w:rPr>
                <w:sz w:val="18"/>
                <w:szCs w:val="20"/>
              </w:rPr>
            </w:pPr>
            <w:r w:rsidRPr="00651DA0">
              <w:rPr>
                <w:sz w:val="18"/>
                <w:szCs w:val="20"/>
              </w:rPr>
              <w:t>Positive impact</w:t>
            </w:r>
          </w:p>
        </w:tc>
        <w:tc>
          <w:tcPr>
            <w:tcW w:w="1092" w:type="dxa"/>
            <w:tcMar>
              <w:top w:w="0" w:type="dxa"/>
              <w:left w:w="20" w:type="dxa"/>
              <w:bottom w:w="0" w:type="dxa"/>
              <w:right w:w="20" w:type="dxa"/>
            </w:tcMar>
            <w:vAlign w:val="center"/>
          </w:tcPr>
          <w:p w14:paraId="05AC10CF" w14:textId="77777777" w:rsidR="009B4045" w:rsidRPr="00651DA0" w:rsidRDefault="009B4045" w:rsidP="00414057">
            <w:pPr>
              <w:pStyle w:val="Insidebox"/>
              <w:jc w:val="center"/>
              <w:rPr>
                <w:sz w:val="18"/>
                <w:szCs w:val="20"/>
              </w:rPr>
            </w:pPr>
            <w:r w:rsidRPr="00651DA0">
              <w:rPr>
                <w:sz w:val="18"/>
                <w:szCs w:val="20"/>
              </w:rPr>
              <w:t>85.8</w:t>
            </w:r>
          </w:p>
        </w:tc>
        <w:tc>
          <w:tcPr>
            <w:tcW w:w="992" w:type="dxa"/>
            <w:tcMar>
              <w:top w:w="0" w:type="dxa"/>
              <w:left w:w="20" w:type="dxa"/>
              <w:bottom w:w="0" w:type="dxa"/>
              <w:right w:w="20" w:type="dxa"/>
            </w:tcMar>
            <w:vAlign w:val="center"/>
          </w:tcPr>
          <w:p w14:paraId="350D787E" w14:textId="77777777" w:rsidR="009B4045" w:rsidRPr="00651DA0" w:rsidRDefault="009B4045" w:rsidP="00414057">
            <w:pPr>
              <w:pStyle w:val="Insidebox"/>
              <w:jc w:val="center"/>
              <w:rPr>
                <w:sz w:val="18"/>
                <w:szCs w:val="20"/>
              </w:rPr>
            </w:pPr>
            <w:r w:rsidRPr="00651DA0">
              <w:rPr>
                <w:sz w:val="18"/>
                <w:szCs w:val="20"/>
              </w:rPr>
              <w:t>97.2</w:t>
            </w:r>
          </w:p>
        </w:tc>
        <w:tc>
          <w:tcPr>
            <w:tcW w:w="1134" w:type="dxa"/>
            <w:tcMar>
              <w:top w:w="0" w:type="dxa"/>
              <w:left w:w="20" w:type="dxa"/>
              <w:bottom w:w="0" w:type="dxa"/>
              <w:right w:w="20" w:type="dxa"/>
            </w:tcMar>
            <w:vAlign w:val="center"/>
          </w:tcPr>
          <w:p w14:paraId="60D44274" w14:textId="77777777" w:rsidR="009B4045" w:rsidRPr="00651DA0" w:rsidRDefault="009B4045" w:rsidP="00414057">
            <w:pPr>
              <w:pStyle w:val="Insidebox"/>
              <w:jc w:val="center"/>
              <w:rPr>
                <w:sz w:val="18"/>
                <w:szCs w:val="20"/>
              </w:rPr>
            </w:pPr>
            <w:r w:rsidRPr="00651DA0">
              <w:rPr>
                <w:sz w:val="18"/>
                <w:szCs w:val="20"/>
              </w:rPr>
              <w:t>100.0</w:t>
            </w:r>
          </w:p>
        </w:tc>
        <w:tc>
          <w:tcPr>
            <w:tcW w:w="851" w:type="dxa"/>
            <w:tcMar>
              <w:top w:w="0" w:type="dxa"/>
              <w:left w:w="20" w:type="dxa"/>
              <w:bottom w:w="0" w:type="dxa"/>
              <w:right w:w="20" w:type="dxa"/>
            </w:tcMar>
            <w:vAlign w:val="center"/>
          </w:tcPr>
          <w:p w14:paraId="4A063D53" w14:textId="77777777" w:rsidR="009B4045" w:rsidRPr="00651DA0" w:rsidRDefault="009B4045" w:rsidP="00414057">
            <w:pPr>
              <w:pStyle w:val="Insidebox"/>
              <w:jc w:val="center"/>
              <w:rPr>
                <w:sz w:val="18"/>
                <w:szCs w:val="20"/>
              </w:rPr>
            </w:pPr>
            <w:r w:rsidRPr="00651DA0">
              <w:rPr>
                <w:sz w:val="18"/>
                <w:szCs w:val="20"/>
              </w:rPr>
              <w:t>89.0</w:t>
            </w:r>
          </w:p>
        </w:tc>
      </w:tr>
      <w:tr w:rsidR="00414057" w:rsidRPr="00651DA0" w14:paraId="4D886A08" w14:textId="77777777" w:rsidTr="00414057">
        <w:tc>
          <w:tcPr>
            <w:tcW w:w="0" w:type="auto"/>
            <w:tcMar>
              <w:top w:w="0" w:type="dxa"/>
              <w:left w:w="20" w:type="dxa"/>
              <w:bottom w:w="0" w:type="dxa"/>
              <w:right w:w="20" w:type="dxa"/>
            </w:tcMar>
            <w:vAlign w:val="center"/>
          </w:tcPr>
          <w:p w14:paraId="6EC8C73B" w14:textId="77777777" w:rsidR="009B4045" w:rsidRPr="00651DA0" w:rsidRDefault="009B4045" w:rsidP="00651DA0">
            <w:pPr>
              <w:pStyle w:val="Insidebox"/>
              <w:rPr>
                <w:sz w:val="18"/>
                <w:szCs w:val="20"/>
              </w:rPr>
            </w:pPr>
            <w:r w:rsidRPr="00651DA0">
              <w:rPr>
                <w:sz w:val="18"/>
                <w:szCs w:val="20"/>
              </w:rPr>
              <w:t>Negative impact</w:t>
            </w:r>
          </w:p>
        </w:tc>
        <w:tc>
          <w:tcPr>
            <w:tcW w:w="1092" w:type="dxa"/>
            <w:tcMar>
              <w:top w:w="0" w:type="dxa"/>
              <w:left w:w="20" w:type="dxa"/>
              <w:bottom w:w="0" w:type="dxa"/>
              <w:right w:w="20" w:type="dxa"/>
            </w:tcMar>
            <w:vAlign w:val="center"/>
          </w:tcPr>
          <w:p w14:paraId="27901573" w14:textId="77777777" w:rsidR="009B4045" w:rsidRPr="00651DA0" w:rsidRDefault="009B4045" w:rsidP="00414057">
            <w:pPr>
              <w:pStyle w:val="Insidebox"/>
              <w:jc w:val="center"/>
              <w:rPr>
                <w:sz w:val="18"/>
                <w:szCs w:val="20"/>
              </w:rPr>
            </w:pPr>
            <w:r w:rsidRPr="00651DA0">
              <w:rPr>
                <w:sz w:val="18"/>
                <w:szCs w:val="20"/>
              </w:rPr>
              <w:t>1.5</w:t>
            </w:r>
          </w:p>
        </w:tc>
        <w:tc>
          <w:tcPr>
            <w:tcW w:w="992" w:type="dxa"/>
            <w:tcMar>
              <w:top w:w="0" w:type="dxa"/>
              <w:left w:w="20" w:type="dxa"/>
              <w:bottom w:w="0" w:type="dxa"/>
              <w:right w:w="20" w:type="dxa"/>
            </w:tcMar>
            <w:vAlign w:val="center"/>
          </w:tcPr>
          <w:p w14:paraId="5D93AFB9" w14:textId="77777777" w:rsidR="009B4045" w:rsidRPr="00651DA0" w:rsidRDefault="009B4045" w:rsidP="00414057">
            <w:pPr>
              <w:pStyle w:val="Insidebox"/>
              <w:jc w:val="center"/>
              <w:rPr>
                <w:sz w:val="18"/>
                <w:szCs w:val="20"/>
              </w:rPr>
            </w:pPr>
            <w:r w:rsidRPr="00651DA0">
              <w:rPr>
                <w:sz w:val="18"/>
                <w:szCs w:val="20"/>
              </w:rPr>
              <w:t>0.0</w:t>
            </w:r>
          </w:p>
        </w:tc>
        <w:tc>
          <w:tcPr>
            <w:tcW w:w="1134" w:type="dxa"/>
            <w:tcMar>
              <w:top w:w="0" w:type="dxa"/>
              <w:left w:w="20" w:type="dxa"/>
              <w:bottom w:w="0" w:type="dxa"/>
              <w:right w:w="20" w:type="dxa"/>
            </w:tcMar>
            <w:vAlign w:val="center"/>
          </w:tcPr>
          <w:p w14:paraId="05C928F9" w14:textId="77777777" w:rsidR="009B4045" w:rsidRPr="00651DA0" w:rsidRDefault="009B4045" w:rsidP="00414057">
            <w:pPr>
              <w:pStyle w:val="Insidebox"/>
              <w:jc w:val="center"/>
              <w:rPr>
                <w:sz w:val="18"/>
                <w:szCs w:val="20"/>
              </w:rPr>
            </w:pPr>
            <w:r w:rsidRPr="00651DA0">
              <w:rPr>
                <w:sz w:val="18"/>
                <w:szCs w:val="20"/>
              </w:rPr>
              <w:t>0.0</w:t>
            </w:r>
          </w:p>
        </w:tc>
        <w:tc>
          <w:tcPr>
            <w:tcW w:w="851" w:type="dxa"/>
            <w:tcMar>
              <w:top w:w="0" w:type="dxa"/>
              <w:left w:w="20" w:type="dxa"/>
              <w:bottom w:w="0" w:type="dxa"/>
              <w:right w:w="20" w:type="dxa"/>
            </w:tcMar>
            <w:vAlign w:val="center"/>
          </w:tcPr>
          <w:p w14:paraId="113586FE" w14:textId="77777777" w:rsidR="009B4045" w:rsidRPr="00651DA0" w:rsidRDefault="009B4045" w:rsidP="00414057">
            <w:pPr>
              <w:pStyle w:val="Insidebox"/>
              <w:jc w:val="center"/>
              <w:rPr>
                <w:sz w:val="18"/>
                <w:szCs w:val="20"/>
              </w:rPr>
            </w:pPr>
            <w:r w:rsidRPr="00651DA0">
              <w:rPr>
                <w:sz w:val="18"/>
                <w:szCs w:val="20"/>
              </w:rPr>
              <w:t>1.1</w:t>
            </w:r>
          </w:p>
        </w:tc>
      </w:tr>
      <w:tr w:rsidR="00414057" w:rsidRPr="00651DA0" w14:paraId="2DF8D417" w14:textId="77777777" w:rsidTr="00414057">
        <w:tc>
          <w:tcPr>
            <w:tcW w:w="0" w:type="auto"/>
            <w:tcMar>
              <w:top w:w="0" w:type="dxa"/>
              <w:left w:w="20" w:type="dxa"/>
              <w:bottom w:w="0" w:type="dxa"/>
              <w:right w:w="20" w:type="dxa"/>
            </w:tcMar>
            <w:vAlign w:val="center"/>
          </w:tcPr>
          <w:p w14:paraId="055891BF" w14:textId="77777777" w:rsidR="009B4045" w:rsidRPr="00651DA0" w:rsidRDefault="009B4045" w:rsidP="00651DA0">
            <w:pPr>
              <w:pStyle w:val="Insidebox"/>
              <w:rPr>
                <w:sz w:val="18"/>
                <w:szCs w:val="20"/>
              </w:rPr>
            </w:pPr>
            <w:r w:rsidRPr="00651DA0">
              <w:rPr>
                <w:sz w:val="18"/>
                <w:szCs w:val="20"/>
              </w:rPr>
              <w:t xml:space="preserve">No impact </w:t>
            </w:r>
          </w:p>
        </w:tc>
        <w:tc>
          <w:tcPr>
            <w:tcW w:w="1092" w:type="dxa"/>
            <w:tcMar>
              <w:top w:w="0" w:type="dxa"/>
              <w:left w:w="20" w:type="dxa"/>
              <w:bottom w:w="0" w:type="dxa"/>
              <w:right w:w="20" w:type="dxa"/>
            </w:tcMar>
            <w:vAlign w:val="center"/>
          </w:tcPr>
          <w:p w14:paraId="31DC01E3" w14:textId="77777777" w:rsidR="009B4045" w:rsidRPr="00651DA0" w:rsidRDefault="009B4045" w:rsidP="00414057">
            <w:pPr>
              <w:pStyle w:val="Insidebox"/>
              <w:jc w:val="center"/>
              <w:rPr>
                <w:sz w:val="18"/>
                <w:szCs w:val="20"/>
              </w:rPr>
            </w:pPr>
            <w:r w:rsidRPr="00651DA0">
              <w:rPr>
                <w:sz w:val="18"/>
                <w:szCs w:val="20"/>
              </w:rPr>
              <w:t>8.2</w:t>
            </w:r>
          </w:p>
        </w:tc>
        <w:tc>
          <w:tcPr>
            <w:tcW w:w="992" w:type="dxa"/>
            <w:tcMar>
              <w:top w:w="0" w:type="dxa"/>
              <w:left w:w="20" w:type="dxa"/>
              <w:bottom w:w="0" w:type="dxa"/>
              <w:right w:w="20" w:type="dxa"/>
            </w:tcMar>
            <w:vAlign w:val="center"/>
          </w:tcPr>
          <w:p w14:paraId="60412F77" w14:textId="77777777" w:rsidR="009B4045" w:rsidRPr="00651DA0" w:rsidRDefault="009B4045" w:rsidP="00414057">
            <w:pPr>
              <w:pStyle w:val="Insidebox"/>
              <w:jc w:val="center"/>
              <w:rPr>
                <w:sz w:val="18"/>
                <w:szCs w:val="20"/>
              </w:rPr>
            </w:pPr>
            <w:r w:rsidRPr="00651DA0">
              <w:rPr>
                <w:sz w:val="18"/>
                <w:szCs w:val="20"/>
              </w:rPr>
              <w:t>0.0</w:t>
            </w:r>
          </w:p>
        </w:tc>
        <w:tc>
          <w:tcPr>
            <w:tcW w:w="1134" w:type="dxa"/>
            <w:tcMar>
              <w:top w:w="0" w:type="dxa"/>
              <w:left w:w="20" w:type="dxa"/>
              <w:bottom w:w="0" w:type="dxa"/>
              <w:right w:w="20" w:type="dxa"/>
            </w:tcMar>
            <w:vAlign w:val="center"/>
          </w:tcPr>
          <w:p w14:paraId="3FC6C571" w14:textId="77777777" w:rsidR="009B4045" w:rsidRPr="00651DA0" w:rsidRDefault="009B4045" w:rsidP="00414057">
            <w:pPr>
              <w:pStyle w:val="Insidebox"/>
              <w:jc w:val="center"/>
              <w:rPr>
                <w:sz w:val="18"/>
                <w:szCs w:val="20"/>
              </w:rPr>
            </w:pPr>
            <w:r w:rsidRPr="00651DA0">
              <w:rPr>
                <w:sz w:val="18"/>
                <w:szCs w:val="20"/>
              </w:rPr>
              <w:t>0.0</w:t>
            </w:r>
          </w:p>
        </w:tc>
        <w:tc>
          <w:tcPr>
            <w:tcW w:w="851" w:type="dxa"/>
            <w:tcMar>
              <w:top w:w="0" w:type="dxa"/>
              <w:left w:w="20" w:type="dxa"/>
              <w:bottom w:w="0" w:type="dxa"/>
              <w:right w:w="20" w:type="dxa"/>
            </w:tcMar>
            <w:vAlign w:val="center"/>
          </w:tcPr>
          <w:p w14:paraId="47915864" w14:textId="77777777" w:rsidR="009B4045" w:rsidRPr="00651DA0" w:rsidRDefault="009B4045" w:rsidP="00414057">
            <w:pPr>
              <w:pStyle w:val="Insidebox"/>
              <w:jc w:val="center"/>
              <w:rPr>
                <w:sz w:val="18"/>
                <w:szCs w:val="20"/>
              </w:rPr>
            </w:pPr>
            <w:r w:rsidRPr="00651DA0">
              <w:rPr>
                <w:sz w:val="18"/>
                <w:szCs w:val="20"/>
              </w:rPr>
              <w:t>6.1</w:t>
            </w:r>
          </w:p>
        </w:tc>
      </w:tr>
      <w:tr w:rsidR="00414057" w:rsidRPr="00651DA0" w14:paraId="2C6066A6" w14:textId="77777777" w:rsidTr="00414057">
        <w:tc>
          <w:tcPr>
            <w:tcW w:w="0" w:type="auto"/>
            <w:tcMar>
              <w:top w:w="0" w:type="dxa"/>
              <w:left w:w="20" w:type="dxa"/>
              <w:bottom w:w="0" w:type="dxa"/>
              <w:right w:w="20" w:type="dxa"/>
            </w:tcMar>
            <w:vAlign w:val="center"/>
          </w:tcPr>
          <w:p w14:paraId="3DED2F14" w14:textId="77777777" w:rsidR="009B4045" w:rsidRPr="00651DA0" w:rsidRDefault="009B4045" w:rsidP="00651DA0">
            <w:pPr>
              <w:pStyle w:val="Insidebox"/>
              <w:rPr>
                <w:sz w:val="18"/>
                <w:szCs w:val="20"/>
              </w:rPr>
            </w:pPr>
            <w:r w:rsidRPr="00651DA0">
              <w:rPr>
                <w:sz w:val="18"/>
                <w:szCs w:val="20"/>
              </w:rPr>
              <w:t>No response</w:t>
            </w:r>
          </w:p>
        </w:tc>
        <w:tc>
          <w:tcPr>
            <w:tcW w:w="1092" w:type="dxa"/>
            <w:tcMar>
              <w:top w:w="0" w:type="dxa"/>
              <w:left w:w="20" w:type="dxa"/>
              <w:bottom w:w="0" w:type="dxa"/>
              <w:right w:w="20" w:type="dxa"/>
            </w:tcMar>
            <w:vAlign w:val="center"/>
          </w:tcPr>
          <w:p w14:paraId="4F33D8FF" w14:textId="77777777" w:rsidR="009B4045" w:rsidRPr="00651DA0" w:rsidRDefault="009B4045" w:rsidP="00414057">
            <w:pPr>
              <w:pStyle w:val="Insidebox"/>
              <w:jc w:val="center"/>
              <w:rPr>
                <w:sz w:val="18"/>
                <w:szCs w:val="20"/>
              </w:rPr>
            </w:pPr>
            <w:r w:rsidRPr="00651DA0">
              <w:rPr>
                <w:sz w:val="18"/>
                <w:szCs w:val="20"/>
              </w:rPr>
              <w:t>4.5</w:t>
            </w:r>
          </w:p>
        </w:tc>
        <w:tc>
          <w:tcPr>
            <w:tcW w:w="992" w:type="dxa"/>
            <w:tcMar>
              <w:top w:w="0" w:type="dxa"/>
              <w:left w:w="20" w:type="dxa"/>
              <w:bottom w:w="0" w:type="dxa"/>
              <w:right w:w="20" w:type="dxa"/>
            </w:tcMar>
            <w:vAlign w:val="center"/>
          </w:tcPr>
          <w:p w14:paraId="13189A76" w14:textId="77777777" w:rsidR="009B4045" w:rsidRPr="00651DA0" w:rsidRDefault="009B4045" w:rsidP="00414057">
            <w:pPr>
              <w:pStyle w:val="Insidebox"/>
              <w:jc w:val="center"/>
              <w:rPr>
                <w:sz w:val="18"/>
                <w:szCs w:val="20"/>
              </w:rPr>
            </w:pPr>
            <w:r w:rsidRPr="00651DA0">
              <w:rPr>
                <w:sz w:val="18"/>
                <w:szCs w:val="20"/>
              </w:rPr>
              <w:t>2.8</w:t>
            </w:r>
          </w:p>
        </w:tc>
        <w:tc>
          <w:tcPr>
            <w:tcW w:w="1134" w:type="dxa"/>
            <w:tcMar>
              <w:top w:w="0" w:type="dxa"/>
              <w:left w:w="20" w:type="dxa"/>
              <w:bottom w:w="0" w:type="dxa"/>
              <w:right w:w="20" w:type="dxa"/>
            </w:tcMar>
            <w:vAlign w:val="center"/>
          </w:tcPr>
          <w:p w14:paraId="31EA62F5" w14:textId="77777777" w:rsidR="009B4045" w:rsidRPr="00651DA0" w:rsidRDefault="009B4045" w:rsidP="00414057">
            <w:pPr>
              <w:pStyle w:val="Insidebox"/>
              <w:jc w:val="center"/>
              <w:rPr>
                <w:sz w:val="18"/>
                <w:szCs w:val="20"/>
              </w:rPr>
            </w:pPr>
            <w:r w:rsidRPr="00651DA0">
              <w:rPr>
                <w:sz w:val="18"/>
                <w:szCs w:val="20"/>
              </w:rPr>
              <w:t>0.0</w:t>
            </w:r>
          </w:p>
        </w:tc>
        <w:tc>
          <w:tcPr>
            <w:tcW w:w="851" w:type="dxa"/>
            <w:tcMar>
              <w:top w:w="0" w:type="dxa"/>
              <w:left w:w="20" w:type="dxa"/>
              <w:bottom w:w="0" w:type="dxa"/>
              <w:right w:w="20" w:type="dxa"/>
            </w:tcMar>
            <w:vAlign w:val="center"/>
          </w:tcPr>
          <w:p w14:paraId="07E30C6D" w14:textId="77777777" w:rsidR="009B4045" w:rsidRPr="00651DA0" w:rsidRDefault="009B4045" w:rsidP="00414057">
            <w:pPr>
              <w:pStyle w:val="Insidebox"/>
              <w:jc w:val="center"/>
              <w:rPr>
                <w:sz w:val="18"/>
                <w:szCs w:val="20"/>
              </w:rPr>
            </w:pPr>
            <w:r w:rsidRPr="00651DA0">
              <w:rPr>
                <w:sz w:val="18"/>
                <w:szCs w:val="20"/>
              </w:rPr>
              <w:t>3.9</w:t>
            </w:r>
          </w:p>
        </w:tc>
      </w:tr>
      <w:tr w:rsidR="00414057" w:rsidRPr="00651DA0" w14:paraId="12EF1A59" w14:textId="77777777" w:rsidTr="00414057">
        <w:tc>
          <w:tcPr>
            <w:tcW w:w="0" w:type="auto"/>
            <w:tcMar>
              <w:top w:w="0" w:type="dxa"/>
              <w:left w:w="20" w:type="dxa"/>
              <w:bottom w:w="0" w:type="dxa"/>
              <w:right w:w="20" w:type="dxa"/>
            </w:tcMar>
            <w:vAlign w:val="center"/>
          </w:tcPr>
          <w:p w14:paraId="094EB8DD" w14:textId="77777777" w:rsidR="009B4045" w:rsidRPr="00651DA0" w:rsidRDefault="009B4045" w:rsidP="00651DA0">
            <w:pPr>
              <w:pStyle w:val="Insidebox"/>
              <w:rPr>
                <w:sz w:val="18"/>
                <w:szCs w:val="20"/>
              </w:rPr>
            </w:pPr>
            <w:r w:rsidRPr="00651DA0">
              <w:rPr>
                <w:sz w:val="18"/>
                <w:szCs w:val="20"/>
              </w:rPr>
              <w:t xml:space="preserve">Total </w:t>
            </w:r>
          </w:p>
        </w:tc>
        <w:tc>
          <w:tcPr>
            <w:tcW w:w="1092" w:type="dxa"/>
            <w:tcMar>
              <w:top w:w="0" w:type="dxa"/>
              <w:left w:w="20" w:type="dxa"/>
              <w:bottom w:w="0" w:type="dxa"/>
              <w:right w:w="20" w:type="dxa"/>
            </w:tcMar>
            <w:vAlign w:val="center"/>
          </w:tcPr>
          <w:p w14:paraId="2C169F7F" w14:textId="6FC0F808" w:rsidR="009B4045" w:rsidRPr="00651DA0" w:rsidRDefault="009B4045" w:rsidP="00414057">
            <w:pPr>
              <w:pStyle w:val="Insidebox"/>
              <w:jc w:val="center"/>
              <w:rPr>
                <w:sz w:val="18"/>
                <w:szCs w:val="20"/>
              </w:rPr>
            </w:pPr>
            <w:r w:rsidRPr="00651DA0">
              <w:rPr>
                <w:sz w:val="18"/>
                <w:szCs w:val="20"/>
              </w:rPr>
              <w:t>100</w:t>
            </w:r>
          </w:p>
        </w:tc>
        <w:tc>
          <w:tcPr>
            <w:tcW w:w="992" w:type="dxa"/>
            <w:tcMar>
              <w:top w:w="0" w:type="dxa"/>
              <w:left w:w="20" w:type="dxa"/>
              <w:bottom w:w="0" w:type="dxa"/>
              <w:right w:w="20" w:type="dxa"/>
            </w:tcMar>
            <w:vAlign w:val="center"/>
          </w:tcPr>
          <w:p w14:paraId="7AF1A13A" w14:textId="58F84B08" w:rsidR="009B4045" w:rsidRPr="00651DA0" w:rsidRDefault="009B4045" w:rsidP="00414057">
            <w:pPr>
              <w:pStyle w:val="Insidebox"/>
              <w:jc w:val="center"/>
              <w:rPr>
                <w:sz w:val="18"/>
                <w:szCs w:val="20"/>
              </w:rPr>
            </w:pPr>
            <w:r w:rsidRPr="00651DA0">
              <w:rPr>
                <w:sz w:val="18"/>
                <w:szCs w:val="20"/>
              </w:rPr>
              <w:t>100</w:t>
            </w:r>
          </w:p>
        </w:tc>
        <w:tc>
          <w:tcPr>
            <w:tcW w:w="1134" w:type="dxa"/>
            <w:tcMar>
              <w:top w:w="0" w:type="dxa"/>
              <w:left w:w="20" w:type="dxa"/>
              <w:bottom w:w="0" w:type="dxa"/>
              <w:right w:w="20" w:type="dxa"/>
            </w:tcMar>
            <w:vAlign w:val="center"/>
          </w:tcPr>
          <w:p w14:paraId="22C322F6" w14:textId="4863631F" w:rsidR="009B4045" w:rsidRPr="00651DA0" w:rsidRDefault="009B4045" w:rsidP="00414057">
            <w:pPr>
              <w:pStyle w:val="Insidebox"/>
              <w:jc w:val="center"/>
              <w:rPr>
                <w:sz w:val="18"/>
                <w:szCs w:val="20"/>
              </w:rPr>
            </w:pPr>
            <w:r w:rsidRPr="00651DA0">
              <w:rPr>
                <w:sz w:val="18"/>
                <w:szCs w:val="20"/>
              </w:rPr>
              <w:t>100</w:t>
            </w:r>
          </w:p>
        </w:tc>
        <w:tc>
          <w:tcPr>
            <w:tcW w:w="851" w:type="dxa"/>
            <w:tcMar>
              <w:top w:w="0" w:type="dxa"/>
              <w:left w:w="20" w:type="dxa"/>
              <w:bottom w:w="0" w:type="dxa"/>
              <w:right w:w="20" w:type="dxa"/>
            </w:tcMar>
            <w:vAlign w:val="center"/>
          </w:tcPr>
          <w:p w14:paraId="3320F8A1" w14:textId="27DE87B6" w:rsidR="009B4045" w:rsidRPr="00651DA0" w:rsidRDefault="009B4045" w:rsidP="00414057">
            <w:pPr>
              <w:pStyle w:val="Insidebox"/>
              <w:jc w:val="center"/>
              <w:rPr>
                <w:sz w:val="18"/>
                <w:szCs w:val="20"/>
              </w:rPr>
            </w:pPr>
            <w:r w:rsidRPr="00651DA0">
              <w:rPr>
                <w:sz w:val="18"/>
                <w:szCs w:val="20"/>
              </w:rPr>
              <w:t>100</w:t>
            </w:r>
          </w:p>
        </w:tc>
      </w:tr>
      <w:tr w:rsidR="00414057" w:rsidRPr="00414057" w14:paraId="2B6062FA" w14:textId="77777777" w:rsidTr="00414057">
        <w:tc>
          <w:tcPr>
            <w:tcW w:w="0" w:type="auto"/>
            <w:shd w:val="clear" w:color="auto" w:fill="E2EFD9" w:themeFill="accent6" w:themeFillTint="33"/>
            <w:tcMar>
              <w:top w:w="0" w:type="dxa"/>
              <w:left w:w="20" w:type="dxa"/>
              <w:bottom w:w="0" w:type="dxa"/>
              <w:right w:w="20" w:type="dxa"/>
            </w:tcMar>
            <w:vAlign w:val="center"/>
          </w:tcPr>
          <w:p w14:paraId="79D28459" w14:textId="77777777" w:rsidR="009B4045" w:rsidRPr="00414057" w:rsidRDefault="009B4045" w:rsidP="00651DA0">
            <w:pPr>
              <w:pStyle w:val="Insidebox"/>
              <w:rPr>
                <w:b/>
                <w:sz w:val="18"/>
                <w:szCs w:val="20"/>
              </w:rPr>
            </w:pPr>
            <w:r w:rsidRPr="00414057">
              <w:rPr>
                <w:b/>
                <w:sz w:val="18"/>
                <w:szCs w:val="20"/>
              </w:rPr>
              <w:t>N</w:t>
            </w:r>
          </w:p>
        </w:tc>
        <w:tc>
          <w:tcPr>
            <w:tcW w:w="1092" w:type="dxa"/>
            <w:shd w:val="clear" w:color="auto" w:fill="E2EFD9" w:themeFill="accent6" w:themeFillTint="33"/>
            <w:tcMar>
              <w:top w:w="0" w:type="dxa"/>
              <w:left w:w="20" w:type="dxa"/>
              <w:bottom w:w="0" w:type="dxa"/>
              <w:right w:w="20" w:type="dxa"/>
            </w:tcMar>
            <w:vAlign w:val="bottom"/>
          </w:tcPr>
          <w:p w14:paraId="1C2C3721" w14:textId="77777777" w:rsidR="009B4045" w:rsidRPr="00414057" w:rsidRDefault="009B4045" w:rsidP="00414057">
            <w:pPr>
              <w:pStyle w:val="Insidebox"/>
              <w:jc w:val="center"/>
              <w:rPr>
                <w:b/>
                <w:sz w:val="18"/>
                <w:szCs w:val="20"/>
              </w:rPr>
            </w:pPr>
            <w:r w:rsidRPr="00414057">
              <w:rPr>
                <w:b/>
                <w:sz w:val="18"/>
                <w:szCs w:val="20"/>
              </w:rPr>
              <w:t>134</w:t>
            </w:r>
          </w:p>
        </w:tc>
        <w:tc>
          <w:tcPr>
            <w:tcW w:w="992" w:type="dxa"/>
            <w:shd w:val="clear" w:color="auto" w:fill="E2EFD9" w:themeFill="accent6" w:themeFillTint="33"/>
            <w:tcMar>
              <w:top w:w="0" w:type="dxa"/>
              <w:left w:w="20" w:type="dxa"/>
              <w:bottom w:w="0" w:type="dxa"/>
              <w:right w:w="20" w:type="dxa"/>
            </w:tcMar>
            <w:vAlign w:val="bottom"/>
          </w:tcPr>
          <w:p w14:paraId="674BBCEF" w14:textId="77777777" w:rsidR="009B4045" w:rsidRPr="00414057" w:rsidRDefault="009B4045" w:rsidP="00414057">
            <w:pPr>
              <w:pStyle w:val="Insidebox"/>
              <w:jc w:val="center"/>
              <w:rPr>
                <w:b/>
                <w:sz w:val="18"/>
                <w:szCs w:val="20"/>
              </w:rPr>
            </w:pPr>
            <w:r w:rsidRPr="00414057">
              <w:rPr>
                <w:b/>
                <w:sz w:val="18"/>
                <w:szCs w:val="20"/>
              </w:rPr>
              <w:t>36</w:t>
            </w:r>
          </w:p>
        </w:tc>
        <w:tc>
          <w:tcPr>
            <w:tcW w:w="1134" w:type="dxa"/>
            <w:shd w:val="clear" w:color="auto" w:fill="E2EFD9" w:themeFill="accent6" w:themeFillTint="33"/>
            <w:tcMar>
              <w:top w:w="0" w:type="dxa"/>
              <w:left w:w="20" w:type="dxa"/>
              <w:bottom w:w="0" w:type="dxa"/>
              <w:right w:w="20" w:type="dxa"/>
            </w:tcMar>
            <w:vAlign w:val="bottom"/>
          </w:tcPr>
          <w:p w14:paraId="5F9C15C2" w14:textId="77777777" w:rsidR="009B4045" w:rsidRPr="00414057" w:rsidRDefault="009B4045" w:rsidP="00414057">
            <w:pPr>
              <w:pStyle w:val="Insidebox"/>
              <w:jc w:val="center"/>
              <w:rPr>
                <w:b/>
                <w:sz w:val="18"/>
                <w:szCs w:val="20"/>
              </w:rPr>
            </w:pPr>
            <w:r w:rsidRPr="00414057">
              <w:rPr>
                <w:b/>
                <w:sz w:val="18"/>
                <w:szCs w:val="20"/>
              </w:rPr>
              <w:t>11</w:t>
            </w:r>
          </w:p>
        </w:tc>
        <w:tc>
          <w:tcPr>
            <w:tcW w:w="851" w:type="dxa"/>
            <w:shd w:val="clear" w:color="auto" w:fill="E2EFD9" w:themeFill="accent6" w:themeFillTint="33"/>
            <w:tcMar>
              <w:top w:w="0" w:type="dxa"/>
              <w:left w:w="20" w:type="dxa"/>
              <w:bottom w:w="0" w:type="dxa"/>
              <w:right w:w="20" w:type="dxa"/>
            </w:tcMar>
            <w:vAlign w:val="bottom"/>
          </w:tcPr>
          <w:p w14:paraId="01FB93C3" w14:textId="77777777" w:rsidR="009B4045" w:rsidRPr="00414057" w:rsidRDefault="009B4045" w:rsidP="00414057">
            <w:pPr>
              <w:pStyle w:val="Insidebox"/>
              <w:jc w:val="center"/>
              <w:rPr>
                <w:b/>
                <w:sz w:val="18"/>
                <w:szCs w:val="20"/>
              </w:rPr>
            </w:pPr>
            <w:r w:rsidRPr="00414057">
              <w:rPr>
                <w:b/>
                <w:sz w:val="18"/>
                <w:szCs w:val="20"/>
              </w:rPr>
              <w:t>181</w:t>
            </w:r>
          </w:p>
        </w:tc>
      </w:tr>
      <w:tr w:rsidR="009B4045" w:rsidRPr="00E50CF4" w14:paraId="47E44E9F" w14:textId="77777777" w:rsidTr="00414057">
        <w:tc>
          <w:tcPr>
            <w:tcW w:w="6467" w:type="dxa"/>
            <w:gridSpan w:val="5"/>
            <w:tcMar>
              <w:top w:w="0" w:type="dxa"/>
              <w:left w:w="20" w:type="dxa"/>
              <w:bottom w:w="0" w:type="dxa"/>
              <w:right w:w="20" w:type="dxa"/>
            </w:tcMar>
            <w:vAlign w:val="center"/>
          </w:tcPr>
          <w:p w14:paraId="2BC1E113" w14:textId="61D750B3" w:rsidR="009B4045" w:rsidRPr="00E50CF4" w:rsidRDefault="00414057" w:rsidP="008972FE">
            <w:pPr>
              <w:pStyle w:val="Insidebox"/>
              <w:spacing w:before="40" w:after="40"/>
              <w:rPr>
                <w:sz w:val="18"/>
              </w:rPr>
            </w:pPr>
            <w:r>
              <w:rPr>
                <w:sz w:val="16"/>
              </w:rPr>
              <w:br/>
            </w:r>
            <w:r w:rsidR="009B4045" w:rsidRPr="00E50CF4">
              <w:rPr>
                <w:sz w:val="16"/>
              </w:rPr>
              <w:t xml:space="preserve">Source: APTC Employer Survey 2012 </w:t>
            </w:r>
            <w:r w:rsidR="008972FE">
              <w:rPr>
                <w:sz w:val="16"/>
              </w:rPr>
              <w:t>and</w:t>
            </w:r>
            <w:r w:rsidR="008972FE" w:rsidRPr="00E50CF4">
              <w:rPr>
                <w:sz w:val="16"/>
              </w:rPr>
              <w:t xml:space="preserve"> </w:t>
            </w:r>
            <w:r w:rsidR="009B4045" w:rsidRPr="00E50CF4">
              <w:rPr>
                <w:sz w:val="16"/>
              </w:rPr>
              <w:t>2013</w:t>
            </w:r>
          </w:p>
        </w:tc>
      </w:tr>
    </w:tbl>
    <w:p w14:paraId="1CA916DC" w14:textId="77777777" w:rsidR="00E50CF4" w:rsidRDefault="00E50CF4" w:rsidP="009B4045"/>
    <w:p w14:paraId="1DDEBB62" w14:textId="77777777" w:rsidR="009B4045" w:rsidRDefault="009B4045" w:rsidP="009B4045">
      <w:r>
        <w:t xml:space="preserve">It is possible to estimate how many enterprises have experienced a major positive impact from APTC training. One way to do this is to compare the enterprises stating a positive impact with those that gave strongly agreed responses to a series of statements about the work performance of their APTC graduates. Between 30 and </w:t>
      </w:r>
      <w:r w:rsidR="008525AC">
        <w:t>38 </w:t>
      </w:r>
      <w:r>
        <w:t xml:space="preserve">per cent of all employers surveyed both state a positive impact from APTC training and strongly agree with eight statements about the benefits of improved work performance of their APTC graduates. </w:t>
      </w:r>
    </w:p>
    <w:p w14:paraId="04C760B1" w14:textId="77777777" w:rsidR="009B4045" w:rsidRDefault="009B4045" w:rsidP="009B4045">
      <w:pPr>
        <w:rPr>
          <w:rFonts w:eastAsia="Arial" w:cs="Arial"/>
        </w:rPr>
      </w:pPr>
      <w:r>
        <w:t xml:space="preserve">Employers also had the opportunity to explain in their own words the nature of that impact. Four-out-of-five employers gave more information about the nature of the positive impact. These open-ended responses were coded into five broad types of impact: Table </w:t>
      </w:r>
      <w:r w:rsidR="008525AC">
        <w:t>8.</w:t>
      </w:r>
      <w:r>
        <w:t xml:space="preserve">9 reports the results of this coding. </w:t>
      </w:r>
    </w:p>
    <w:p w14:paraId="6FD521B7" w14:textId="1D4F7C78" w:rsidR="009B4045" w:rsidRDefault="009B4045" w:rsidP="009B4045">
      <w:pPr>
        <w:pStyle w:val="Tableheading"/>
      </w:pPr>
      <w:bookmarkStart w:id="921" w:name="_Toc274146497"/>
      <w:bookmarkStart w:id="922" w:name="_Toc274915956"/>
      <w:bookmarkStart w:id="923" w:name="_Toc278446935"/>
      <w:r>
        <w:t xml:space="preserve">Table </w:t>
      </w:r>
      <w:r w:rsidR="008525AC">
        <w:t>8.</w:t>
      </w:r>
      <w:r>
        <w:t xml:space="preserve">9: Type of impact on business for respondents who say impact of </w:t>
      </w:r>
      <w:r w:rsidR="004F74D7">
        <w:br/>
      </w:r>
      <w:r>
        <w:t>APTC training is positive, by type of employer</w:t>
      </w:r>
      <w:r w:rsidR="00282B41">
        <w:t xml:space="preserve"> (%)</w:t>
      </w:r>
      <w:bookmarkEnd w:id="921"/>
      <w:bookmarkEnd w:id="922"/>
      <w:bookmarkEnd w:id="923"/>
    </w:p>
    <w:tbl>
      <w:tblPr>
        <w:tblW w:w="0" w:type="auto"/>
        <w:tblInd w:w="74" w:type="dxa"/>
        <w:tblCellMar>
          <w:left w:w="10" w:type="dxa"/>
          <w:right w:w="10" w:type="dxa"/>
        </w:tblCellMar>
        <w:tblLook w:val="04A0" w:firstRow="1" w:lastRow="0" w:firstColumn="1" w:lastColumn="0" w:noHBand="0" w:noVBand="1"/>
      </w:tblPr>
      <w:tblGrid>
        <w:gridCol w:w="3632"/>
        <w:gridCol w:w="1134"/>
        <w:gridCol w:w="992"/>
        <w:gridCol w:w="1134"/>
        <w:gridCol w:w="716"/>
      </w:tblGrid>
      <w:tr w:rsidR="00414057" w14:paraId="2B91ACED" w14:textId="77777777" w:rsidTr="00414057">
        <w:tc>
          <w:tcPr>
            <w:tcW w:w="3632" w:type="dxa"/>
            <w:shd w:val="clear" w:color="auto" w:fill="C5E0B3" w:themeFill="accent6" w:themeFillTint="66"/>
            <w:tcMar>
              <w:top w:w="0" w:type="dxa"/>
              <w:left w:w="20" w:type="dxa"/>
              <w:bottom w:w="0" w:type="dxa"/>
              <w:right w:w="20" w:type="dxa"/>
            </w:tcMar>
          </w:tcPr>
          <w:p w14:paraId="5E7B6B41" w14:textId="77777777" w:rsidR="009B4045" w:rsidRPr="00C063AA" w:rsidRDefault="009B4045" w:rsidP="00414057">
            <w:pPr>
              <w:pStyle w:val="Insidebox"/>
              <w:spacing w:before="40" w:after="40"/>
              <w:rPr>
                <w:b/>
                <w:sz w:val="18"/>
              </w:rPr>
            </w:pPr>
            <w:r w:rsidRPr="00C063AA">
              <w:rPr>
                <w:b/>
                <w:sz w:val="18"/>
              </w:rPr>
              <w:t>Type of impact on business</w:t>
            </w:r>
          </w:p>
        </w:tc>
        <w:tc>
          <w:tcPr>
            <w:tcW w:w="1134" w:type="dxa"/>
            <w:shd w:val="clear" w:color="auto" w:fill="C5E0B3" w:themeFill="accent6" w:themeFillTint="66"/>
            <w:tcMar>
              <w:top w:w="0" w:type="dxa"/>
              <w:left w:w="20" w:type="dxa"/>
              <w:bottom w:w="0" w:type="dxa"/>
              <w:right w:w="20" w:type="dxa"/>
            </w:tcMar>
          </w:tcPr>
          <w:p w14:paraId="3FCE8D88" w14:textId="77777777" w:rsidR="003D355F" w:rsidRDefault="009B4045" w:rsidP="00414057">
            <w:pPr>
              <w:pStyle w:val="Insidebox"/>
              <w:spacing w:before="40" w:after="40"/>
              <w:jc w:val="center"/>
              <w:rPr>
                <w:b/>
                <w:sz w:val="18"/>
              </w:rPr>
            </w:pPr>
            <w:r w:rsidRPr="00C063AA">
              <w:rPr>
                <w:b/>
                <w:sz w:val="18"/>
              </w:rPr>
              <w:t xml:space="preserve">Private </w:t>
            </w:r>
            <w:r w:rsidR="00560A71">
              <w:rPr>
                <w:b/>
                <w:sz w:val="18"/>
              </w:rPr>
              <w:t>s</w:t>
            </w:r>
            <w:r w:rsidR="00560A71" w:rsidRPr="00C063AA">
              <w:rPr>
                <w:b/>
                <w:sz w:val="18"/>
              </w:rPr>
              <w:t>ector</w:t>
            </w:r>
          </w:p>
        </w:tc>
        <w:tc>
          <w:tcPr>
            <w:tcW w:w="992" w:type="dxa"/>
            <w:shd w:val="clear" w:color="auto" w:fill="C5E0B3" w:themeFill="accent6" w:themeFillTint="66"/>
            <w:tcMar>
              <w:top w:w="0" w:type="dxa"/>
              <w:left w:w="20" w:type="dxa"/>
              <w:bottom w:w="0" w:type="dxa"/>
              <w:right w:w="20" w:type="dxa"/>
            </w:tcMar>
          </w:tcPr>
          <w:p w14:paraId="721869FA" w14:textId="77777777" w:rsidR="003D355F" w:rsidRDefault="009B4045" w:rsidP="00414057">
            <w:pPr>
              <w:pStyle w:val="Insidebox"/>
              <w:spacing w:before="40" w:after="40"/>
              <w:jc w:val="center"/>
              <w:rPr>
                <w:b/>
                <w:sz w:val="18"/>
              </w:rPr>
            </w:pPr>
            <w:r w:rsidRPr="00C063AA">
              <w:rPr>
                <w:b/>
                <w:sz w:val="18"/>
              </w:rPr>
              <w:t xml:space="preserve">Public </w:t>
            </w:r>
            <w:r w:rsidR="00560A71">
              <w:rPr>
                <w:b/>
                <w:sz w:val="18"/>
              </w:rPr>
              <w:t>s</w:t>
            </w:r>
            <w:r w:rsidR="00560A71" w:rsidRPr="00C063AA">
              <w:rPr>
                <w:b/>
                <w:sz w:val="18"/>
              </w:rPr>
              <w:t>ector</w:t>
            </w:r>
          </w:p>
        </w:tc>
        <w:tc>
          <w:tcPr>
            <w:tcW w:w="1134" w:type="dxa"/>
            <w:shd w:val="clear" w:color="auto" w:fill="C5E0B3" w:themeFill="accent6" w:themeFillTint="66"/>
            <w:tcMar>
              <w:top w:w="0" w:type="dxa"/>
              <w:left w:w="20" w:type="dxa"/>
              <w:bottom w:w="0" w:type="dxa"/>
              <w:right w:w="20" w:type="dxa"/>
            </w:tcMar>
          </w:tcPr>
          <w:p w14:paraId="2DA69847" w14:textId="77777777" w:rsidR="003D355F" w:rsidRDefault="009B4045" w:rsidP="00414057">
            <w:pPr>
              <w:pStyle w:val="Insidebox"/>
              <w:spacing w:before="40" w:after="40"/>
              <w:jc w:val="center"/>
              <w:rPr>
                <w:b/>
                <w:sz w:val="18"/>
              </w:rPr>
            </w:pPr>
            <w:r w:rsidRPr="00C063AA">
              <w:rPr>
                <w:b/>
                <w:sz w:val="18"/>
              </w:rPr>
              <w:t>NGO/</w:t>
            </w:r>
            <w:r w:rsidR="00560A71">
              <w:rPr>
                <w:b/>
                <w:sz w:val="18"/>
              </w:rPr>
              <w:t xml:space="preserve"> </w:t>
            </w:r>
            <w:r w:rsidR="00560A71">
              <w:rPr>
                <w:b/>
                <w:sz w:val="18"/>
              </w:rPr>
              <w:br/>
              <w:t>n</w:t>
            </w:r>
            <w:r w:rsidR="00560A71" w:rsidRPr="00C063AA">
              <w:rPr>
                <w:b/>
                <w:sz w:val="18"/>
              </w:rPr>
              <w:t xml:space="preserve">ot </w:t>
            </w:r>
            <w:r w:rsidRPr="00C063AA">
              <w:rPr>
                <w:b/>
                <w:sz w:val="18"/>
              </w:rPr>
              <w:t xml:space="preserve">for </w:t>
            </w:r>
            <w:r w:rsidR="00560A71">
              <w:rPr>
                <w:b/>
                <w:sz w:val="18"/>
              </w:rPr>
              <w:t>p</w:t>
            </w:r>
            <w:r w:rsidR="00560A71" w:rsidRPr="00C063AA">
              <w:rPr>
                <w:b/>
                <w:sz w:val="18"/>
              </w:rPr>
              <w:t>rofit</w:t>
            </w:r>
          </w:p>
        </w:tc>
        <w:tc>
          <w:tcPr>
            <w:tcW w:w="716" w:type="dxa"/>
            <w:shd w:val="clear" w:color="auto" w:fill="C5E0B3" w:themeFill="accent6" w:themeFillTint="66"/>
            <w:tcMar>
              <w:top w:w="0" w:type="dxa"/>
              <w:left w:w="20" w:type="dxa"/>
              <w:bottom w:w="0" w:type="dxa"/>
              <w:right w:w="20" w:type="dxa"/>
            </w:tcMar>
          </w:tcPr>
          <w:p w14:paraId="6B2CAA64" w14:textId="77777777" w:rsidR="003D355F" w:rsidRDefault="009B4045" w:rsidP="00414057">
            <w:pPr>
              <w:pStyle w:val="Insidebox"/>
              <w:spacing w:before="40" w:after="40"/>
              <w:jc w:val="center"/>
              <w:rPr>
                <w:b/>
                <w:sz w:val="18"/>
              </w:rPr>
            </w:pPr>
            <w:r w:rsidRPr="00C063AA">
              <w:rPr>
                <w:b/>
                <w:sz w:val="18"/>
              </w:rPr>
              <w:t>Total</w:t>
            </w:r>
          </w:p>
        </w:tc>
      </w:tr>
      <w:tr w:rsidR="00414057" w:rsidRPr="00651DA0" w14:paraId="3878BF3B" w14:textId="77777777" w:rsidTr="00414057">
        <w:tc>
          <w:tcPr>
            <w:tcW w:w="3632" w:type="dxa"/>
            <w:tcMar>
              <w:top w:w="0" w:type="dxa"/>
              <w:left w:w="20" w:type="dxa"/>
              <w:bottom w:w="0" w:type="dxa"/>
              <w:right w:w="20" w:type="dxa"/>
            </w:tcMar>
            <w:vAlign w:val="center"/>
          </w:tcPr>
          <w:p w14:paraId="0EA3B779" w14:textId="77777777" w:rsidR="009B4045" w:rsidRPr="00651DA0" w:rsidRDefault="009B4045" w:rsidP="00651DA0">
            <w:pPr>
              <w:pStyle w:val="Insidebox"/>
              <w:rPr>
                <w:sz w:val="18"/>
                <w:szCs w:val="20"/>
              </w:rPr>
            </w:pPr>
            <w:r w:rsidRPr="00651DA0">
              <w:rPr>
                <w:sz w:val="18"/>
                <w:szCs w:val="20"/>
              </w:rPr>
              <w:t>1. Staff perform better</w:t>
            </w:r>
          </w:p>
        </w:tc>
        <w:tc>
          <w:tcPr>
            <w:tcW w:w="1134" w:type="dxa"/>
            <w:tcMar>
              <w:top w:w="0" w:type="dxa"/>
              <w:left w:w="20" w:type="dxa"/>
              <w:bottom w:w="0" w:type="dxa"/>
              <w:right w:w="20" w:type="dxa"/>
            </w:tcMar>
            <w:vAlign w:val="center"/>
          </w:tcPr>
          <w:p w14:paraId="39C2595A" w14:textId="77777777" w:rsidR="009B4045" w:rsidRPr="00651DA0" w:rsidRDefault="009B4045" w:rsidP="00414057">
            <w:pPr>
              <w:pStyle w:val="Insidebox"/>
              <w:jc w:val="center"/>
              <w:rPr>
                <w:sz w:val="18"/>
                <w:szCs w:val="20"/>
              </w:rPr>
            </w:pPr>
            <w:r w:rsidRPr="00651DA0">
              <w:rPr>
                <w:sz w:val="18"/>
                <w:szCs w:val="20"/>
              </w:rPr>
              <w:t>41.7</w:t>
            </w:r>
          </w:p>
        </w:tc>
        <w:tc>
          <w:tcPr>
            <w:tcW w:w="992" w:type="dxa"/>
            <w:tcMar>
              <w:top w:w="0" w:type="dxa"/>
              <w:left w:w="20" w:type="dxa"/>
              <w:bottom w:w="0" w:type="dxa"/>
              <w:right w:w="20" w:type="dxa"/>
            </w:tcMar>
            <w:vAlign w:val="center"/>
          </w:tcPr>
          <w:p w14:paraId="6FEA949B" w14:textId="77777777" w:rsidR="009B4045" w:rsidRPr="00651DA0" w:rsidRDefault="009B4045" w:rsidP="00414057">
            <w:pPr>
              <w:pStyle w:val="Insidebox"/>
              <w:jc w:val="center"/>
              <w:rPr>
                <w:sz w:val="18"/>
                <w:szCs w:val="20"/>
              </w:rPr>
            </w:pPr>
            <w:r w:rsidRPr="00651DA0">
              <w:rPr>
                <w:sz w:val="18"/>
                <w:szCs w:val="20"/>
              </w:rPr>
              <w:t>34.3</w:t>
            </w:r>
          </w:p>
        </w:tc>
        <w:tc>
          <w:tcPr>
            <w:tcW w:w="1134" w:type="dxa"/>
            <w:tcMar>
              <w:top w:w="0" w:type="dxa"/>
              <w:left w:w="20" w:type="dxa"/>
              <w:bottom w:w="0" w:type="dxa"/>
              <w:right w:w="20" w:type="dxa"/>
            </w:tcMar>
            <w:vAlign w:val="center"/>
          </w:tcPr>
          <w:p w14:paraId="1553E005" w14:textId="77777777" w:rsidR="009B4045" w:rsidRPr="00651DA0" w:rsidRDefault="009B4045" w:rsidP="00414057">
            <w:pPr>
              <w:pStyle w:val="Insidebox"/>
              <w:jc w:val="center"/>
              <w:rPr>
                <w:sz w:val="18"/>
                <w:szCs w:val="20"/>
              </w:rPr>
            </w:pPr>
            <w:r w:rsidRPr="00651DA0">
              <w:rPr>
                <w:sz w:val="18"/>
                <w:szCs w:val="20"/>
              </w:rPr>
              <w:t>36.4</w:t>
            </w:r>
          </w:p>
        </w:tc>
        <w:tc>
          <w:tcPr>
            <w:tcW w:w="716" w:type="dxa"/>
            <w:tcMar>
              <w:top w:w="0" w:type="dxa"/>
              <w:left w:w="20" w:type="dxa"/>
              <w:bottom w:w="0" w:type="dxa"/>
              <w:right w:w="20" w:type="dxa"/>
            </w:tcMar>
            <w:vAlign w:val="center"/>
          </w:tcPr>
          <w:p w14:paraId="4DC5CDE6" w14:textId="77777777" w:rsidR="009B4045" w:rsidRPr="00651DA0" w:rsidRDefault="009B4045" w:rsidP="00414057">
            <w:pPr>
              <w:pStyle w:val="Insidebox"/>
              <w:jc w:val="center"/>
              <w:rPr>
                <w:sz w:val="18"/>
                <w:szCs w:val="20"/>
              </w:rPr>
            </w:pPr>
            <w:r w:rsidRPr="00651DA0">
              <w:rPr>
                <w:sz w:val="18"/>
                <w:szCs w:val="20"/>
              </w:rPr>
              <w:t>39.8</w:t>
            </w:r>
          </w:p>
        </w:tc>
      </w:tr>
      <w:tr w:rsidR="00414057" w:rsidRPr="00651DA0" w14:paraId="537BC4E9" w14:textId="77777777" w:rsidTr="00414057">
        <w:tc>
          <w:tcPr>
            <w:tcW w:w="3632" w:type="dxa"/>
            <w:tcMar>
              <w:top w:w="0" w:type="dxa"/>
              <w:left w:w="20" w:type="dxa"/>
              <w:bottom w:w="0" w:type="dxa"/>
              <w:right w:w="20" w:type="dxa"/>
            </w:tcMar>
            <w:vAlign w:val="center"/>
          </w:tcPr>
          <w:p w14:paraId="0B4D09A3" w14:textId="589E6FE2" w:rsidR="009B4045" w:rsidRPr="00651DA0" w:rsidRDefault="009B4045" w:rsidP="00651DA0">
            <w:pPr>
              <w:pStyle w:val="Insidebox"/>
              <w:rPr>
                <w:sz w:val="18"/>
                <w:szCs w:val="20"/>
              </w:rPr>
            </w:pPr>
            <w:r w:rsidRPr="00651DA0">
              <w:rPr>
                <w:sz w:val="18"/>
                <w:szCs w:val="20"/>
              </w:rPr>
              <w:t xml:space="preserve">2. Expanded business/work now </w:t>
            </w:r>
            <w:r w:rsidR="00414057">
              <w:rPr>
                <w:sz w:val="18"/>
                <w:szCs w:val="20"/>
              </w:rPr>
              <w:br/>
              <w:t xml:space="preserve">    </w:t>
            </w:r>
            <w:r w:rsidRPr="00651DA0">
              <w:rPr>
                <w:sz w:val="18"/>
                <w:szCs w:val="20"/>
              </w:rPr>
              <w:t>performed in-house</w:t>
            </w:r>
          </w:p>
        </w:tc>
        <w:tc>
          <w:tcPr>
            <w:tcW w:w="1134" w:type="dxa"/>
            <w:tcMar>
              <w:top w:w="0" w:type="dxa"/>
              <w:left w:w="20" w:type="dxa"/>
              <w:bottom w:w="0" w:type="dxa"/>
              <w:right w:w="20" w:type="dxa"/>
            </w:tcMar>
            <w:vAlign w:val="center"/>
          </w:tcPr>
          <w:p w14:paraId="25776578" w14:textId="77777777" w:rsidR="009B4045" w:rsidRPr="00651DA0" w:rsidRDefault="009B4045" w:rsidP="00414057">
            <w:pPr>
              <w:pStyle w:val="Insidebox"/>
              <w:jc w:val="center"/>
              <w:rPr>
                <w:sz w:val="18"/>
                <w:szCs w:val="20"/>
              </w:rPr>
            </w:pPr>
            <w:r w:rsidRPr="00651DA0">
              <w:rPr>
                <w:sz w:val="18"/>
                <w:szCs w:val="20"/>
              </w:rPr>
              <w:t>6.1</w:t>
            </w:r>
          </w:p>
        </w:tc>
        <w:tc>
          <w:tcPr>
            <w:tcW w:w="992" w:type="dxa"/>
            <w:tcMar>
              <w:top w:w="0" w:type="dxa"/>
              <w:left w:w="20" w:type="dxa"/>
              <w:bottom w:w="0" w:type="dxa"/>
              <w:right w:w="20" w:type="dxa"/>
            </w:tcMar>
            <w:vAlign w:val="center"/>
          </w:tcPr>
          <w:p w14:paraId="707C695C" w14:textId="77777777" w:rsidR="009B4045" w:rsidRPr="00651DA0" w:rsidRDefault="009B4045" w:rsidP="00414057">
            <w:pPr>
              <w:pStyle w:val="Insidebox"/>
              <w:jc w:val="center"/>
              <w:rPr>
                <w:sz w:val="18"/>
                <w:szCs w:val="20"/>
              </w:rPr>
            </w:pPr>
            <w:r w:rsidRPr="00651DA0">
              <w:rPr>
                <w:sz w:val="18"/>
                <w:szCs w:val="20"/>
              </w:rPr>
              <w:t>0.0</w:t>
            </w:r>
          </w:p>
        </w:tc>
        <w:tc>
          <w:tcPr>
            <w:tcW w:w="1134" w:type="dxa"/>
            <w:tcMar>
              <w:top w:w="0" w:type="dxa"/>
              <w:left w:w="20" w:type="dxa"/>
              <w:bottom w:w="0" w:type="dxa"/>
              <w:right w:w="20" w:type="dxa"/>
            </w:tcMar>
            <w:vAlign w:val="center"/>
          </w:tcPr>
          <w:p w14:paraId="6FE2D42C" w14:textId="77777777" w:rsidR="009B4045" w:rsidRPr="00651DA0" w:rsidRDefault="009B4045" w:rsidP="00414057">
            <w:pPr>
              <w:pStyle w:val="Insidebox"/>
              <w:jc w:val="center"/>
              <w:rPr>
                <w:sz w:val="18"/>
                <w:szCs w:val="20"/>
              </w:rPr>
            </w:pPr>
            <w:r w:rsidRPr="00651DA0">
              <w:rPr>
                <w:sz w:val="18"/>
                <w:szCs w:val="20"/>
              </w:rPr>
              <w:t>0.0</w:t>
            </w:r>
          </w:p>
        </w:tc>
        <w:tc>
          <w:tcPr>
            <w:tcW w:w="716" w:type="dxa"/>
            <w:tcMar>
              <w:top w:w="0" w:type="dxa"/>
              <w:left w:w="20" w:type="dxa"/>
              <w:bottom w:w="0" w:type="dxa"/>
              <w:right w:w="20" w:type="dxa"/>
            </w:tcMar>
            <w:vAlign w:val="center"/>
          </w:tcPr>
          <w:p w14:paraId="6BF28F99" w14:textId="77777777" w:rsidR="009B4045" w:rsidRPr="00651DA0" w:rsidRDefault="009B4045" w:rsidP="00414057">
            <w:pPr>
              <w:pStyle w:val="Insidebox"/>
              <w:jc w:val="center"/>
              <w:rPr>
                <w:sz w:val="18"/>
                <w:szCs w:val="20"/>
              </w:rPr>
            </w:pPr>
            <w:r w:rsidRPr="00651DA0">
              <w:rPr>
                <w:sz w:val="18"/>
                <w:szCs w:val="20"/>
              </w:rPr>
              <w:t>4.3</w:t>
            </w:r>
          </w:p>
        </w:tc>
      </w:tr>
      <w:tr w:rsidR="00414057" w:rsidRPr="00651DA0" w14:paraId="5C3B5552" w14:textId="77777777" w:rsidTr="00414057">
        <w:tc>
          <w:tcPr>
            <w:tcW w:w="3632" w:type="dxa"/>
            <w:tcMar>
              <w:top w:w="0" w:type="dxa"/>
              <w:left w:w="20" w:type="dxa"/>
              <w:bottom w:w="0" w:type="dxa"/>
              <w:right w:w="20" w:type="dxa"/>
            </w:tcMar>
            <w:vAlign w:val="center"/>
          </w:tcPr>
          <w:p w14:paraId="4E3E00E0" w14:textId="77777777" w:rsidR="009B4045" w:rsidRPr="00651DA0" w:rsidRDefault="009B4045" w:rsidP="00651DA0">
            <w:pPr>
              <w:pStyle w:val="Insidebox"/>
              <w:rPr>
                <w:sz w:val="18"/>
                <w:szCs w:val="20"/>
              </w:rPr>
            </w:pPr>
            <w:r w:rsidRPr="00651DA0">
              <w:rPr>
                <w:sz w:val="18"/>
                <w:szCs w:val="20"/>
              </w:rPr>
              <w:t>3. Customers satisfied</w:t>
            </w:r>
          </w:p>
        </w:tc>
        <w:tc>
          <w:tcPr>
            <w:tcW w:w="1134" w:type="dxa"/>
            <w:tcMar>
              <w:top w:w="0" w:type="dxa"/>
              <w:left w:w="20" w:type="dxa"/>
              <w:bottom w:w="0" w:type="dxa"/>
              <w:right w:w="20" w:type="dxa"/>
            </w:tcMar>
            <w:vAlign w:val="center"/>
          </w:tcPr>
          <w:p w14:paraId="3BB4703C" w14:textId="77777777" w:rsidR="009B4045" w:rsidRPr="00651DA0" w:rsidRDefault="009B4045" w:rsidP="00414057">
            <w:pPr>
              <w:pStyle w:val="Insidebox"/>
              <w:jc w:val="center"/>
              <w:rPr>
                <w:sz w:val="18"/>
                <w:szCs w:val="20"/>
              </w:rPr>
            </w:pPr>
            <w:r w:rsidRPr="00651DA0">
              <w:rPr>
                <w:sz w:val="18"/>
                <w:szCs w:val="20"/>
              </w:rPr>
              <w:t>4.3</w:t>
            </w:r>
          </w:p>
        </w:tc>
        <w:tc>
          <w:tcPr>
            <w:tcW w:w="992" w:type="dxa"/>
            <w:tcMar>
              <w:top w:w="0" w:type="dxa"/>
              <w:left w:w="20" w:type="dxa"/>
              <w:bottom w:w="0" w:type="dxa"/>
              <w:right w:w="20" w:type="dxa"/>
            </w:tcMar>
            <w:vAlign w:val="center"/>
          </w:tcPr>
          <w:p w14:paraId="144285FE" w14:textId="77777777" w:rsidR="009B4045" w:rsidRPr="00651DA0" w:rsidRDefault="009B4045" w:rsidP="00414057">
            <w:pPr>
              <w:pStyle w:val="Insidebox"/>
              <w:jc w:val="center"/>
              <w:rPr>
                <w:sz w:val="18"/>
                <w:szCs w:val="20"/>
              </w:rPr>
            </w:pPr>
            <w:r w:rsidRPr="00651DA0">
              <w:rPr>
                <w:sz w:val="18"/>
                <w:szCs w:val="20"/>
              </w:rPr>
              <w:t>5.7</w:t>
            </w:r>
          </w:p>
        </w:tc>
        <w:tc>
          <w:tcPr>
            <w:tcW w:w="1134" w:type="dxa"/>
            <w:tcMar>
              <w:top w:w="0" w:type="dxa"/>
              <w:left w:w="20" w:type="dxa"/>
              <w:bottom w:w="0" w:type="dxa"/>
              <w:right w:w="20" w:type="dxa"/>
            </w:tcMar>
            <w:vAlign w:val="center"/>
          </w:tcPr>
          <w:p w14:paraId="571B0CBB" w14:textId="77777777" w:rsidR="009B4045" w:rsidRPr="00651DA0" w:rsidRDefault="009B4045" w:rsidP="00414057">
            <w:pPr>
              <w:pStyle w:val="Insidebox"/>
              <w:jc w:val="center"/>
              <w:rPr>
                <w:sz w:val="18"/>
                <w:szCs w:val="20"/>
              </w:rPr>
            </w:pPr>
            <w:r w:rsidRPr="00651DA0">
              <w:rPr>
                <w:sz w:val="18"/>
                <w:szCs w:val="20"/>
              </w:rPr>
              <w:t>0.0</w:t>
            </w:r>
          </w:p>
        </w:tc>
        <w:tc>
          <w:tcPr>
            <w:tcW w:w="716" w:type="dxa"/>
            <w:tcMar>
              <w:top w:w="0" w:type="dxa"/>
              <w:left w:w="20" w:type="dxa"/>
              <w:bottom w:w="0" w:type="dxa"/>
              <w:right w:w="20" w:type="dxa"/>
            </w:tcMar>
            <w:vAlign w:val="center"/>
          </w:tcPr>
          <w:p w14:paraId="43C44943" w14:textId="77777777" w:rsidR="009B4045" w:rsidRPr="00651DA0" w:rsidRDefault="009B4045" w:rsidP="00414057">
            <w:pPr>
              <w:pStyle w:val="Insidebox"/>
              <w:jc w:val="center"/>
              <w:rPr>
                <w:sz w:val="18"/>
                <w:szCs w:val="20"/>
              </w:rPr>
            </w:pPr>
            <w:r w:rsidRPr="00651DA0">
              <w:rPr>
                <w:sz w:val="18"/>
                <w:szCs w:val="20"/>
              </w:rPr>
              <w:t>4.3</w:t>
            </w:r>
          </w:p>
        </w:tc>
      </w:tr>
      <w:tr w:rsidR="00414057" w:rsidRPr="00651DA0" w14:paraId="5786848C" w14:textId="77777777" w:rsidTr="00414057">
        <w:tc>
          <w:tcPr>
            <w:tcW w:w="3632" w:type="dxa"/>
            <w:tcMar>
              <w:top w:w="0" w:type="dxa"/>
              <w:left w:w="20" w:type="dxa"/>
              <w:bottom w:w="0" w:type="dxa"/>
              <w:right w:w="20" w:type="dxa"/>
            </w:tcMar>
            <w:vAlign w:val="center"/>
          </w:tcPr>
          <w:p w14:paraId="6B451DA7" w14:textId="1C3FDA17" w:rsidR="009B4045" w:rsidRPr="00651DA0" w:rsidRDefault="009B4045" w:rsidP="00651DA0">
            <w:pPr>
              <w:pStyle w:val="Insidebox"/>
              <w:rPr>
                <w:sz w:val="18"/>
                <w:szCs w:val="20"/>
              </w:rPr>
            </w:pPr>
            <w:r w:rsidRPr="00651DA0">
              <w:rPr>
                <w:sz w:val="18"/>
                <w:szCs w:val="20"/>
              </w:rPr>
              <w:t xml:space="preserve">4. More efficient, effective service delivery, </w:t>
            </w:r>
            <w:r w:rsidR="00414057">
              <w:rPr>
                <w:sz w:val="18"/>
                <w:szCs w:val="20"/>
              </w:rPr>
              <w:br/>
              <w:t xml:space="preserve">    </w:t>
            </w:r>
            <w:r w:rsidRPr="00651DA0">
              <w:rPr>
                <w:sz w:val="18"/>
                <w:szCs w:val="20"/>
              </w:rPr>
              <w:t>improved productivity</w:t>
            </w:r>
          </w:p>
        </w:tc>
        <w:tc>
          <w:tcPr>
            <w:tcW w:w="1134" w:type="dxa"/>
            <w:tcMar>
              <w:top w:w="0" w:type="dxa"/>
              <w:left w:w="20" w:type="dxa"/>
              <w:bottom w:w="0" w:type="dxa"/>
              <w:right w:w="20" w:type="dxa"/>
            </w:tcMar>
            <w:vAlign w:val="center"/>
          </w:tcPr>
          <w:p w14:paraId="558F7AF7" w14:textId="77777777" w:rsidR="009B4045" w:rsidRPr="00651DA0" w:rsidRDefault="009B4045" w:rsidP="00414057">
            <w:pPr>
              <w:pStyle w:val="Insidebox"/>
              <w:jc w:val="center"/>
              <w:rPr>
                <w:sz w:val="18"/>
                <w:szCs w:val="20"/>
              </w:rPr>
            </w:pPr>
            <w:r w:rsidRPr="00651DA0">
              <w:rPr>
                <w:sz w:val="18"/>
                <w:szCs w:val="20"/>
              </w:rPr>
              <w:t>26.1</w:t>
            </w:r>
          </w:p>
        </w:tc>
        <w:tc>
          <w:tcPr>
            <w:tcW w:w="992" w:type="dxa"/>
            <w:tcMar>
              <w:top w:w="0" w:type="dxa"/>
              <w:left w:w="20" w:type="dxa"/>
              <w:bottom w:w="0" w:type="dxa"/>
              <w:right w:w="20" w:type="dxa"/>
            </w:tcMar>
            <w:vAlign w:val="center"/>
          </w:tcPr>
          <w:p w14:paraId="7C6D33C3" w14:textId="77777777" w:rsidR="009B4045" w:rsidRPr="00651DA0" w:rsidRDefault="009B4045" w:rsidP="00414057">
            <w:pPr>
              <w:pStyle w:val="Insidebox"/>
              <w:jc w:val="center"/>
              <w:rPr>
                <w:sz w:val="18"/>
                <w:szCs w:val="20"/>
              </w:rPr>
            </w:pPr>
            <w:r w:rsidRPr="00651DA0">
              <w:rPr>
                <w:sz w:val="18"/>
                <w:szCs w:val="20"/>
              </w:rPr>
              <w:t>37.1</w:t>
            </w:r>
          </w:p>
        </w:tc>
        <w:tc>
          <w:tcPr>
            <w:tcW w:w="1134" w:type="dxa"/>
            <w:tcMar>
              <w:top w:w="0" w:type="dxa"/>
              <w:left w:w="20" w:type="dxa"/>
              <w:bottom w:w="0" w:type="dxa"/>
              <w:right w:w="20" w:type="dxa"/>
            </w:tcMar>
            <w:vAlign w:val="center"/>
          </w:tcPr>
          <w:p w14:paraId="0467BE79" w14:textId="77777777" w:rsidR="009B4045" w:rsidRPr="00651DA0" w:rsidRDefault="009B4045" w:rsidP="00414057">
            <w:pPr>
              <w:pStyle w:val="Insidebox"/>
              <w:jc w:val="center"/>
              <w:rPr>
                <w:sz w:val="18"/>
                <w:szCs w:val="20"/>
              </w:rPr>
            </w:pPr>
            <w:r w:rsidRPr="00651DA0">
              <w:rPr>
                <w:sz w:val="18"/>
                <w:szCs w:val="20"/>
              </w:rPr>
              <w:t>54.5</w:t>
            </w:r>
          </w:p>
        </w:tc>
        <w:tc>
          <w:tcPr>
            <w:tcW w:w="716" w:type="dxa"/>
            <w:tcMar>
              <w:top w:w="0" w:type="dxa"/>
              <w:left w:w="20" w:type="dxa"/>
              <w:bottom w:w="0" w:type="dxa"/>
              <w:right w:w="20" w:type="dxa"/>
            </w:tcMar>
            <w:vAlign w:val="center"/>
          </w:tcPr>
          <w:p w14:paraId="1B02DA89" w14:textId="77777777" w:rsidR="009B4045" w:rsidRPr="00651DA0" w:rsidRDefault="009B4045" w:rsidP="00414057">
            <w:pPr>
              <w:pStyle w:val="Insidebox"/>
              <w:jc w:val="center"/>
              <w:rPr>
                <w:sz w:val="18"/>
                <w:szCs w:val="20"/>
              </w:rPr>
            </w:pPr>
            <w:r w:rsidRPr="00651DA0">
              <w:rPr>
                <w:sz w:val="18"/>
                <w:szCs w:val="20"/>
              </w:rPr>
              <w:t>30.4</w:t>
            </w:r>
          </w:p>
        </w:tc>
      </w:tr>
      <w:tr w:rsidR="00414057" w:rsidRPr="00651DA0" w14:paraId="6E608F9E" w14:textId="77777777" w:rsidTr="00414057">
        <w:tc>
          <w:tcPr>
            <w:tcW w:w="3632" w:type="dxa"/>
            <w:tcMar>
              <w:top w:w="0" w:type="dxa"/>
              <w:left w:w="20" w:type="dxa"/>
              <w:bottom w:w="0" w:type="dxa"/>
              <w:right w:w="20" w:type="dxa"/>
            </w:tcMar>
            <w:vAlign w:val="center"/>
          </w:tcPr>
          <w:p w14:paraId="5E97D356" w14:textId="77777777" w:rsidR="009B4045" w:rsidRPr="00651DA0" w:rsidRDefault="009B4045" w:rsidP="00651DA0">
            <w:pPr>
              <w:pStyle w:val="Insidebox"/>
              <w:rPr>
                <w:sz w:val="18"/>
                <w:szCs w:val="20"/>
              </w:rPr>
            </w:pPr>
            <w:r w:rsidRPr="00651DA0">
              <w:rPr>
                <w:sz w:val="18"/>
                <w:szCs w:val="20"/>
              </w:rPr>
              <w:t>5. Depends</w:t>
            </w:r>
          </w:p>
        </w:tc>
        <w:tc>
          <w:tcPr>
            <w:tcW w:w="1134" w:type="dxa"/>
            <w:tcMar>
              <w:top w:w="0" w:type="dxa"/>
              <w:left w:w="20" w:type="dxa"/>
              <w:bottom w:w="0" w:type="dxa"/>
              <w:right w:w="20" w:type="dxa"/>
            </w:tcMar>
            <w:vAlign w:val="center"/>
          </w:tcPr>
          <w:p w14:paraId="01937A57" w14:textId="77777777" w:rsidR="009B4045" w:rsidRPr="00651DA0" w:rsidRDefault="009B4045" w:rsidP="00414057">
            <w:pPr>
              <w:pStyle w:val="Insidebox"/>
              <w:jc w:val="center"/>
              <w:rPr>
                <w:sz w:val="18"/>
                <w:szCs w:val="20"/>
              </w:rPr>
            </w:pPr>
            <w:r w:rsidRPr="00651DA0">
              <w:rPr>
                <w:sz w:val="18"/>
                <w:szCs w:val="20"/>
              </w:rPr>
              <w:t>1.7</w:t>
            </w:r>
          </w:p>
        </w:tc>
        <w:tc>
          <w:tcPr>
            <w:tcW w:w="992" w:type="dxa"/>
            <w:tcMar>
              <w:top w:w="0" w:type="dxa"/>
              <w:left w:w="20" w:type="dxa"/>
              <w:bottom w:w="0" w:type="dxa"/>
              <w:right w:w="20" w:type="dxa"/>
            </w:tcMar>
            <w:vAlign w:val="center"/>
          </w:tcPr>
          <w:p w14:paraId="11C904E5" w14:textId="77777777" w:rsidR="009B4045" w:rsidRPr="00651DA0" w:rsidRDefault="009B4045" w:rsidP="00414057">
            <w:pPr>
              <w:pStyle w:val="Insidebox"/>
              <w:jc w:val="center"/>
              <w:rPr>
                <w:sz w:val="18"/>
                <w:szCs w:val="20"/>
              </w:rPr>
            </w:pPr>
            <w:r w:rsidRPr="00651DA0">
              <w:rPr>
                <w:sz w:val="18"/>
                <w:szCs w:val="20"/>
              </w:rPr>
              <w:t>0.0</w:t>
            </w:r>
          </w:p>
        </w:tc>
        <w:tc>
          <w:tcPr>
            <w:tcW w:w="1134" w:type="dxa"/>
            <w:tcMar>
              <w:top w:w="0" w:type="dxa"/>
              <w:left w:w="20" w:type="dxa"/>
              <w:bottom w:w="0" w:type="dxa"/>
              <w:right w:w="20" w:type="dxa"/>
            </w:tcMar>
            <w:vAlign w:val="center"/>
          </w:tcPr>
          <w:p w14:paraId="67CD7BE3" w14:textId="77777777" w:rsidR="009B4045" w:rsidRPr="00651DA0" w:rsidRDefault="009B4045" w:rsidP="00414057">
            <w:pPr>
              <w:pStyle w:val="Insidebox"/>
              <w:jc w:val="center"/>
              <w:rPr>
                <w:sz w:val="18"/>
                <w:szCs w:val="20"/>
              </w:rPr>
            </w:pPr>
            <w:r w:rsidRPr="00651DA0">
              <w:rPr>
                <w:sz w:val="18"/>
                <w:szCs w:val="20"/>
              </w:rPr>
              <w:t>0.0</w:t>
            </w:r>
          </w:p>
        </w:tc>
        <w:tc>
          <w:tcPr>
            <w:tcW w:w="716" w:type="dxa"/>
            <w:tcMar>
              <w:top w:w="0" w:type="dxa"/>
              <w:left w:w="20" w:type="dxa"/>
              <w:bottom w:w="0" w:type="dxa"/>
              <w:right w:w="20" w:type="dxa"/>
            </w:tcMar>
            <w:vAlign w:val="center"/>
          </w:tcPr>
          <w:p w14:paraId="5116AFBC" w14:textId="77777777" w:rsidR="009B4045" w:rsidRPr="00651DA0" w:rsidRDefault="009B4045" w:rsidP="00414057">
            <w:pPr>
              <w:pStyle w:val="Insidebox"/>
              <w:jc w:val="center"/>
              <w:rPr>
                <w:sz w:val="18"/>
                <w:szCs w:val="20"/>
              </w:rPr>
            </w:pPr>
            <w:r w:rsidRPr="00651DA0">
              <w:rPr>
                <w:sz w:val="18"/>
                <w:szCs w:val="20"/>
              </w:rPr>
              <w:t>1.2</w:t>
            </w:r>
          </w:p>
        </w:tc>
      </w:tr>
      <w:tr w:rsidR="00414057" w:rsidRPr="00651DA0" w14:paraId="5A32F06A" w14:textId="77777777" w:rsidTr="00414057">
        <w:tc>
          <w:tcPr>
            <w:tcW w:w="3632" w:type="dxa"/>
            <w:tcMar>
              <w:top w:w="0" w:type="dxa"/>
              <w:left w:w="20" w:type="dxa"/>
              <w:bottom w:w="0" w:type="dxa"/>
              <w:right w:w="20" w:type="dxa"/>
            </w:tcMar>
            <w:vAlign w:val="center"/>
          </w:tcPr>
          <w:p w14:paraId="097295D1" w14:textId="77777777" w:rsidR="009B4045" w:rsidRPr="00651DA0" w:rsidRDefault="009B4045" w:rsidP="00651DA0">
            <w:pPr>
              <w:pStyle w:val="Insidebox"/>
              <w:rPr>
                <w:sz w:val="18"/>
                <w:szCs w:val="20"/>
              </w:rPr>
            </w:pPr>
            <w:r w:rsidRPr="00651DA0">
              <w:rPr>
                <w:sz w:val="18"/>
                <w:szCs w:val="20"/>
              </w:rPr>
              <w:t>6. No reply on why positive</w:t>
            </w:r>
          </w:p>
        </w:tc>
        <w:tc>
          <w:tcPr>
            <w:tcW w:w="1134" w:type="dxa"/>
            <w:tcMar>
              <w:top w:w="0" w:type="dxa"/>
              <w:left w:w="20" w:type="dxa"/>
              <w:bottom w:w="0" w:type="dxa"/>
              <w:right w:w="20" w:type="dxa"/>
            </w:tcMar>
            <w:vAlign w:val="center"/>
          </w:tcPr>
          <w:p w14:paraId="0BEA1852" w14:textId="77777777" w:rsidR="009B4045" w:rsidRPr="00651DA0" w:rsidRDefault="009B4045" w:rsidP="00414057">
            <w:pPr>
              <w:pStyle w:val="Insidebox"/>
              <w:jc w:val="center"/>
              <w:rPr>
                <w:sz w:val="18"/>
                <w:szCs w:val="20"/>
              </w:rPr>
            </w:pPr>
            <w:r w:rsidRPr="00651DA0">
              <w:rPr>
                <w:sz w:val="18"/>
                <w:szCs w:val="20"/>
              </w:rPr>
              <w:t>20.0</w:t>
            </w:r>
          </w:p>
        </w:tc>
        <w:tc>
          <w:tcPr>
            <w:tcW w:w="992" w:type="dxa"/>
            <w:tcMar>
              <w:top w:w="0" w:type="dxa"/>
              <w:left w:w="20" w:type="dxa"/>
              <w:bottom w:w="0" w:type="dxa"/>
              <w:right w:w="20" w:type="dxa"/>
            </w:tcMar>
            <w:vAlign w:val="center"/>
          </w:tcPr>
          <w:p w14:paraId="2EB3A768" w14:textId="77777777" w:rsidR="009B4045" w:rsidRPr="00651DA0" w:rsidRDefault="009B4045" w:rsidP="00414057">
            <w:pPr>
              <w:pStyle w:val="Insidebox"/>
              <w:jc w:val="center"/>
              <w:rPr>
                <w:sz w:val="18"/>
                <w:szCs w:val="20"/>
              </w:rPr>
            </w:pPr>
            <w:r w:rsidRPr="00651DA0">
              <w:rPr>
                <w:sz w:val="18"/>
                <w:szCs w:val="20"/>
              </w:rPr>
              <w:t>22.9</w:t>
            </w:r>
          </w:p>
        </w:tc>
        <w:tc>
          <w:tcPr>
            <w:tcW w:w="1134" w:type="dxa"/>
            <w:tcMar>
              <w:top w:w="0" w:type="dxa"/>
              <w:left w:w="20" w:type="dxa"/>
              <w:bottom w:w="0" w:type="dxa"/>
              <w:right w:w="20" w:type="dxa"/>
            </w:tcMar>
            <w:vAlign w:val="center"/>
          </w:tcPr>
          <w:p w14:paraId="3D29FB4D" w14:textId="77777777" w:rsidR="009B4045" w:rsidRPr="00651DA0" w:rsidRDefault="009B4045" w:rsidP="00414057">
            <w:pPr>
              <w:pStyle w:val="Insidebox"/>
              <w:jc w:val="center"/>
              <w:rPr>
                <w:sz w:val="18"/>
                <w:szCs w:val="20"/>
              </w:rPr>
            </w:pPr>
            <w:r w:rsidRPr="00651DA0">
              <w:rPr>
                <w:sz w:val="18"/>
                <w:szCs w:val="20"/>
              </w:rPr>
              <w:t>9.1</w:t>
            </w:r>
          </w:p>
        </w:tc>
        <w:tc>
          <w:tcPr>
            <w:tcW w:w="716" w:type="dxa"/>
            <w:tcMar>
              <w:top w:w="0" w:type="dxa"/>
              <w:left w:w="20" w:type="dxa"/>
              <w:bottom w:w="0" w:type="dxa"/>
              <w:right w:w="20" w:type="dxa"/>
            </w:tcMar>
            <w:vAlign w:val="center"/>
          </w:tcPr>
          <w:p w14:paraId="0E9A8D7F" w14:textId="77777777" w:rsidR="009B4045" w:rsidRPr="00651DA0" w:rsidRDefault="009B4045" w:rsidP="00414057">
            <w:pPr>
              <w:pStyle w:val="Insidebox"/>
              <w:jc w:val="center"/>
              <w:rPr>
                <w:sz w:val="18"/>
                <w:szCs w:val="20"/>
              </w:rPr>
            </w:pPr>
            <w:r w:rsidRPr="00651DA0">
              <w:rPr>
                <w:sz w:val="18"/>
                <w:szCs w:val="20"/>
              </w:rPr>
              <w:t>19.9</w:t>
            </w:r>
          </w:p>
        </w:tc>
      </w:tr>
      <w:tr w:rsidR="00414057" w:rsidRPr="00651DA0" w14:paraId="29DFC335" w14:textId="77777777" w:rsidTr="00414057">
        <w:tc>
          <w:tcPr>
            <w:tcW w:w="3632" w:type="dxa"/>
            <w:tcMar>
              <w:top w:w="0" w:type="dxa"/>
              <w:left w:w="20" w:type="dxa"/>
              <w:bottom w:w="0" w:type="dxa"/>
              <w:right w:w="20" w:type="dxa"/>
            </w:tcMar>
            <w:vAlign w:val="center"/>
          </w:tcPr>
          <w:p w14:paraId="6F3E03F2" w14:textId="77777777" w:rsidR="009B4045" w:rsidRPr="00651DA0" w:rsidRDefault="009B4045" w:rsidP="00651DA0">
            <w:pPr>
              <w:pStyle w:val="Insidebox"/>
              <w:rPr>
                <w:sz w:val="18"/>
                <w:szCs w:val="20"/>
              </w:rPr>
            </w:pPr>
            <w:r w:rsidRPr="00651DA0">
              <w:rPr>
                <w:sz w:val="18"/>
                <w:szCs w:val="20"/>
              </w:rPr>
              <w:t>Total</w:t>
            </w:r>
          </w:p>
        </w:tc>
        <w:tc>
          <w:tcPr>
            <w:tcW w:w="1134" w:type="dxa"/>
            <w:tcMar>
              <w:top w:w="0" w:type="dxa"/>
              <w:left w:w="20" w:type="dxa"/>
              <w:bottom w:w="0" w:type="dxa"/>
              <w:right w:w="20" w:type="dxa"/>
            </w:tcMar>
            <w:vAlign w:val="center"/>
          </w:tcPr>
          <w:p w14:paraId="392A5B44" w14:textId="77777777" w:rsidR="009B4045" w:rsidRPr="00651DA0" w:rsidRDefault="009B4045" w:rsidP="00414057">
            <w:pPr>
              <w:pStyle w:val="Insidebox"/>
              <w:jc w:val="center"/>
              <w:rPr>
                <w:sz w:val="18"/>
                <w:szCs w:val="20"/>
              </w:rPr>
            </w:pPr>
            <w:r w:rsidRPr="00651DA0">
              <w:rPr>
                <w:sz w:val="18"/>
                <w:szCs w:val="20"/>
              </w:rPr>
              <w:t>100</w:t>
            </w:r>
          </w:p>
        </w:tc>
        <w:tc>
          <w:tcPr>
            <w:tcW w:w="992" w:type="dxa"/>
            <w:tcMar>
              <w:top w:w="0" w:type="dxa"/>
              <w:left w:w="20" w:type="dxa"/>
              <w:bottom w:w="0" w:type="dxa"/>
              <w:right w:w="20" w:type="dxa"/>
            </w:tcMar>
            <w:vAlign w:val="center"/>
          </w:tcPr>
          <w:p w14:paraId="28FC1F63" w14:textId="77777777" w:rsidR="009B4045" w:rsidRPr="00651DA0" w:rsidRDefault="009B4045" w:rsidP="00414057">
            <w:pPr>
              <w:pStyle w:val="Insidebox"/>
              <w:jc w:val="center"/>
              <w:rPr>
                <w:sz w:val="18"/>
                <w:szCs w:val="20"/>
              </w:rPr>
            </w:pPr>
            <w:r w:rsidRPr="00651DA0">
              <w:rPr>
                <w:sz w:val="18"/>
                <w:szCs w:val="20"/>
              </w:rPr>
              <w:t>100</w:t>
            </w:r>
          </w:p>
        </w:tc>
        <w:tc>
          <w:tcPr>
            <w:tcW w:w="1134" w:type="dxa"/>
            <w:tcMar>
              <w:top w:w="0" w:type="dxa"/>
              <w:left w:w="20" w:type="dxa"/>
              <w:bottom w:w="0" w:type="dxa"/>
              <w:right w:w="20" w:type="dxa"/>
            </w:tcMar>
            <w:vAlign w:val="center"/>
          </w:tcPr>
          <w:p w14:paraId="6B4CF114" w14:textId="77777777" w:rsidR="009B4045" w:rsidRPr="00651DA0" w:rsidRDefault="009B4045" w:rsidP="00414057">
            <w:pPr>
              <w:pStyle w:val="Insidebox"/>
              <w:jc w:val="center"/>
              <w:rPr>
                <w:sz w:val="18"/>
                <w:szCs w:val="20"/>
              </w:rPr>
            </w:pPr>
            <w:r w:rsidRPr="00651DA0">
              <w:rPr>
                <w:sz w:val="18"/>
                <w:szCs w:val="20"/>
              </w:rPr>
              <w:t>100</w:t>
            </w:r>
          </w:p>
        </w:tc>
        <w:tc>
          <w:tcPr>
            <w:tcW w:w="716" w:type="dxa"/>
            <w:tcMar>
              <w:top w:w="0" w:type="dxa"/>
              <w:left w:w="20" w:type="dxa"/>
              <w:bottom w:w="0" w:type="dxa"/>
              <w:right w:w="20" w:type="dxa"/>
            </w:tcMar>
            <w:vAlign w:val="center"/>
          </w:tcPr>
          <w:p w14:paraId="01C97D7D" w14:textId="77777777" w:rsidR="009B4045" w:rsidRPr="00651DA0" w:rsidRDefault="009B4045" w:rsidP="00414057">
            <w:pPr>
              <w:pStyle w:val="Insidebox"/>
              <w:jc w:val="center"/>
              <w:rPr>
                <w:sz w:val="18"/>
                <w:szCs w:val="20"/>
              </w:rPr>
            </w:pPr>
            <w:r w:rsidRPr="00651DA0">
              <w:rPr>
                <w:sz w:val="18"/>
                <w:szCs w:val="20"/>
              </w:rPr>
              <w:t>100</w:t>
            </w:r>
          </w:p>
        </w:tc>
      </w:tr>
      <w:tr w:rsidR="00414057" w:rsidRPr="00651DA0" w14:paraId="6F89A910" w14:textId="77777777" w:rsidTr="00414057">
        <w:tc>
          <w:tcPr>
            <w:tcW w:w="3632" w:type="dxa"/>
            <w:shd w:val="clear" w:color="auto" w:fill="E2EFD9" w:themeFill="accent6" w:themeFillTint="33"/>
            <w:tcMar>
              <w:top w:w="0" w:type="dxa"/>
              <w:left w:w="20" w:type="dxa"/>
              <w:bottom w:w="0" w:type="dxa"/>
              <w:right w:w="20" w:type="dxa"/>
            </w:tcMar>
            <w:vAlign w:val="center"/>
          </w:tcPr>
          <w:p w14:paraId="085094D6" w14:textId="77777777" w:rsidR="009B4045" w:rsidRPr="00651DA0" w:rsidRDefault="009B4045" w:rsidP="00651DA0">
            <w:pPr>
              <w:pStyle w:val="Insidebox"/>
              <w:rPr>
                <w:sz w:val="18"/>
                <w:szCs w:val="20"/>
              </w:rPr>
            </w:pPr>
            <w:r w:rsidRPr="00651DA0">
              <w:rPr>
                <w:sz w:val="18"/>
                <w:szCs w:val="20"/>
              </w:rPr>
              <w:t>N</w:t>
            </w:r>
          </w:p>
        </w:tc>
        <w:tc>
          <w:tcPr>
            <w:tcW w:w="1134" w:type="dxa"/>
            <w:shd w:val="clear" w:color="auto" w:fill="E2EFD9" w:themeFill="accent6" w:themeFillTint="33"/>
            <w:tcMar>
              <w:top w:w="0" w:type="dxa"/>
              <w:left w:w="20" w:type="dxa"/>
              <w:bottom w:w="0" w:type="dxa"/>
              <w:right w:w="20" w:type="dxa"/>
            </w:tcMar>
            <w:vAlign w:val="center"/>
          </w:tcPr>
          <w:p w14:paraId="166A924A" w14:textId="77777777" w:rsidR="009B4045" w:rsidRPr="00651DA0" w:rsidRDefault="009B4045" w:rsidP="00414057">
            <w:pPr>
              <w:pStyle w:val="Insidebox"/>
              <w:jc w:val="center"/>
              <w:rPr>
                <w:sz w:val="18"/>
                <w:szCs w:val="20"/>
              </w:rPr>
            </w:pPr>
            <w:r w:rsidRPr="00651DA0">
              <w:rPr>
                <w:sz w:val="18"/>
                <w:szCs w:val="20"/>
              </w:rPr>
              <w:t>115</w:t>
            </w:r>
          </w:p>
        </w:tc>
        <w:tc>
          <w:tcPr>
            <w:tcW w:w="992" w:type="dxa"/>
            <w:shd w:val="clear" w:color="auto" w:fill="E2EFD9" w:themeFill="accent6" w:themeFillTint="33"/>
            <w:tcMar>
              <w:top w:w="0" w:type="dxa"/>
              <w:left w:w="20" w:type="dxa"/>
              <w:bottom w:w="0" w:type="dxa"/>
              <w:right w:w="20" w:type="dxa"/>
            </w:tcMar>
            <w:vAlign w:val="center"/>
          </w:tcPr>
          <w:p w14:paraId="117ACB5F" w14:textId="77777777" w:rsidR="009B4045" w:rsidRPr="00651DA0" w:rsidRDefault="009B4045" w:rsidP="00414057">
            <w:pPr>
              <w:pStyle w:val="Insidebox"/>
              <w:jc w:val="center"/>
              <w:rPr>
                <w:sz w:val="18"/>
                <w:szCs w:val="20"/>
              </w:rPr>
            </w:pPr>
            <w:r w:rsidRPr="00651DA0">
              <w:rPr>
                <w:sz w:val="18"/>
                <w:szCs w:val="20"/>
              </w:rPr>
              <w:t>35</w:t>
            </w:r>
          </w:p>
        </w:tc>
        <w:tc>
          <w:tcPr>
            <w:tcW w:w="1134" w:type="dxa"/>
            <w:shd w:val="clear" w:color="auto" w:fill="E2EFD9" w:themeFill="accent6" w:themeFillTint="33"/>
            <w:tcMar>
              <w:top w:w="0" w:type="dxa"/>
              <w:left w:w="20" w:type="dxa"/>
              <w:bottom w:w="0" w:type="dxa"/>
              <w:right w:w="20" w:type="dxa"/>
            </w:tcMar>
            <w:vAlign w:val="center"/>
          </w:tcPr>
          <w:p w14:paraId="2ED8AE9D" w14:textId="77777777" w:rsidR="009B4045" w:rsidRPr="00651DA0" w:rsidRDefault="009B4045" w:rsidP="00414057">
            <w:pPr>
              <w:pStyle w:val="Insidebox"/>
              <w:jc w:val="center"/>
              <w:rPr>
                <w:sz w:val="18"/>
                <w:szCs w:val="20"/>
              </w:rPr>
            </w:pPr>
            <w:r w:rsidRPr="00651DA0">
              <w:rPr>
                <w:sz w:val="18"/>
                <w:szCs w:val="20"/>
              </w:rPr>
              <w:t>11</w:t>
            </w:r>
          </w:p>
        </w:tc>
        <w:tc>
          <w:tcPr>
            <w:tcW w:w="716" w:type="dxa"/>
            <w:shd w:val="clear" w:color="auto" w:fill="E2EFD9" w:themeFill="accent6" w:themeFillTint="33"/>
            <w:tcMar>
              <w:top w:w="0" w:type="dxa"/>
              <w:left w:w="20" w:type="dxa"/>
              <w:bottom w:w="0" w:type="dxa"/>
              <w:right w:w="20" w:type="dxa"/>
            </w:tcMar>
            <w:vAlign w:val="center"/>
          </w:tcPr>
          <w:p w14:paraId="49AF923A" w14:textId="77777777" w:rsidR="009B4045" w:rsidRPr="00651DA0" w:rsidRDefault="009B4045" w:rsidP="00414057">
            <w:pPr>
              <w:pStyle w:val="Insidebox"/>
              <w:jc w:val="center"/>
              <w:rPr>
                <w:sz w:val="18"/>
                <w:szCs w:val="20"/>
              </w:rPr>
            </w:pPr>
            <w:r w:rsidRPr="00651DA0">
              <w:rPr>
                <w:sz w:val="18"/>
                <w:szCs w:val="20"/>
              </w:rPr>
              <w:t>161</w:t>
            </w:r>
          </w:p>
        </w:tc>
      </w:tr>
      <w:tr w:rsidR="005545B5" w14:paraId="029EC17C" w14:textId="77777777" w:rsidTr="00414057">
        <w:tc>
          <w:tcPr>
            <w:tcW w:w="7608" w:type="dxa"/>
            <w:gridSpan w:val="5"/>
            <w:tcMar>
              <w:top w:w="0" w:type="dxa"/>
              <w:left w:w="20" w:type="dxa"/>
              <w:bottom w:w="0" w:type="dxa"/>
              <w:right w:w="20" w:type="dxa"/>
            </w:tcMar>
            <w:vAlign w:val="center"/>
          </w:tcPr>
          <w:p w14:paraId="0F27BD88" w14:textId="51370E89" w:rsidR="009B4045" w:rsidRPr="00C063AA" w:rsidRDefault="00414057" w:rsidP="007356AB">
            <w:pPr>
              <w:pStyle w:val="Insidebox"/>
              <w:spacing w:before="40" w:after="40"/>
              <w:rPr>
                <w:sz w:val="18"/>
              </w:rPr>
            </w:pPr>
            <w:r>
              <w:rPr>
                <w:sz w:val="16"/>
              </w:rPr>
              <w:br/>
            </w:r>
            <w:r w:rsidR="009B4045" w:rsidRPr="00C063AA">
              <w:rPr>
                <w:sz w:val="16"/>
              </w:rPr>
              <w:t xml:space="preserve">Source: APTC Employer Survey 2012 </w:t>
            </w:r>
            <w:r w:rsidR="007356AB">
              <w:rPr>
                <w:sz w:val="16"/>
              </w:rPr>
              <w:t>and</w:t>
            </w:r>
            <w:r w:rsidR="007356AB" w:rsidRPr="00C063AA">
              <w:rPr>
                <w:sz w:val="16"/>
              </w:rPr>
              <w:t xml:space="preserve"> </w:t>
            </w:r>
            <w:r w:rsidR="009B4045" w:rsidRPr="00C063AA">
              <w:rPr>
                <w:sz w:val="16"/>
              </w:rPr>
              <w:t>2013</w:t>
            </w:r>
          </w:p>
        </w:tc>
      </w:tr>
    </w:tbl>
    <w:p w14:paraId="1F715291" w14:textId="77777777" w:rsidR="009B4045" w:rsidRDefault="009B4045" w:rsidP="009B4045"/>
    <w:p w14:paraId="59795812" w14:textId="77777777" w:rsidR="009B4045" w:rsidRDefault="009B4045" w:rsidP="009B4045">
      <w:r>
        <w:t xml:space="preserve">The most common response of employers about the impact on their business was that staff perform their job better. The next most common response was that the impact was more efficient, effective service delivery or improved productivity. </w:t>
      </w:r>
    </w:p>
    <w:p w14:paraId="1F34A1C1" w14:textId="6E3D34D7" w:rsidR="009B4045" w:rsidRDefault="009B4045" w:rsidP="009B4045">
      <w:r>
        <w:t xml:space="preserve">However, few enterprises said </w:t>
      </w:r>
      <w:r w:rsidR="001445C7">
        <w:t xml:space="preserve">that </w:t>
      </w:r>
      <w:r>
        <w:t>having staff trained at APTC had helped them to expand their business. Only one-in-</w:t>
      </w:r>
      <w:r w:rsidR="00C3651A">
        <w:t>twenty</w:t>
      </w:r>
      <w:r w:rsidR="00922EA1">
        <w:t xml:space="preserve"> </w:t>
      </w:r>
      <w:r>
        <w:t>(</w:t>
      </w:r>
      <w:r w:rsidR="00922EA1">
        <w:t xml:space="preserve">five </w:t>
      </w:r>
      <w:r>
        <w:t xml:space="preserve">per cent) of private sector businesses surveyed said the impact of APTC training had enabled them to expand their business or to reduce costs by performing work in-house. For all employers regardless of sector, only </w:t>
      </w:r>
      <w:r w:rsidR="00C622E0">
        <w:t xml:space="preserve">four </w:t>
      </w:r>
      <w:r>
        <w:t xml:space="preserve">per cent of </w:t>
      </w:r>
      <w:r w:rsidR="00C622E0">
        <w:t>those</w:t>
      </w:r>
      <w:r>
        <w:t xml:space="preserve"> surveyed gave a reason related to expanding their activities or performing work </w:t>
      </w:r>
      <w:r w:rsidR="00333CF9">
        <w:t>in-</w:t>
      </w:r>
      <w:r>
        <w:t xml:space="preserve">house. </w:t>
      </w:r>
    </w:p>
    <w:p w14:paraId="1CBCD7C4" w14:textId="5954249C" w:rsidR="00D152FD" w:rsidRPr="00D152FD" w:rsidRDefault="00D152FD" w:rsidP="00D152FD">
      <w:r w:rsidRPr="000859B4">
        <w:t xml:space="preserve">No open-ended response from an employer </w:t>
      </w:r>
      <w:r w:rsidR="005541C8" w:rsidRPr="005541C8">
        <w:t xml:space="preserve">about any benefits from having APTC graduates </w:t>
      </w:r>
      <w:r w:rsidRPr="000859B4">
        <w:t>referred to replacing foreign workers</w:t>
      </w:r>
      <w:r w:rsidR="005541C8">
        <w:t>.</w:t>
      </w:r>
      <w:r w:rsidRPr="000859B4">
        <w:t xml:space="preserve"> However, other evidence, gathered from the consultations and confirmed by published statements, confirms that some enterprises achieved considerable cost savings from replacing foreign workers.</w:t>
      </w:r>
      <w:r w:rsidRPr="000859B4">
        <w:rPr>
          <w:szCs w:val="16"/>
          <w:vertAlign w:val="superscript"/>
          <w:lang w:val="sv-SE" w:eastAsia="sv-SE"/>
        </w:rPr>
        <w:footnoteReference w:id="58"/>
      </w:r>
    </w:p>
    <w:p w14:paraId="412E1C37" w14:textId="77777777" w:rsidR="009B4045" w:rsidRDefault="009B4045" w:rsidP="009B4045">
      <w:r>
        <w:t xml:space="preserve">Employers were also asked whether they would employ another APTC graduate or work placement student. Nearly all respondents (93 per cent) said they would. However, only one-in-five enterprises (19 per cent) gave as their reason the need for more skilled people, to increase profits or to meet customer demand. This response suggests that only a minority of employers surveyed are in a situation where they can use their APTC graduates to expand their business. </w:t>
      </w:r>
    </w:p>
    <w:p w14:paraId="20FD3F2D" w14:textId="4CC86059" w:rsidR="003D355F" w:rsidRDefault="00643CBD" w:rsidP="002028A6">
      <w:pPr>
        <w:pStyle w:val="Heading1"/>
      </w:pPr>
      <w:bookmarkStart w:id="924" w:name="_Toc278447977"/>
      <w:bookmarkStart w:id="925" w:name="_Toc278453450"/>
      <w:r>
        <w:t xml:space="preserve">8 </w:t>
      </w:r>
      <w:r w:rsidR="00DF5C8D">
        <w:tab/>
      </w:r>
      <w:r w:rsidR="009B4045">
        <w:t>The value to employers of APTC graduates</w:t>
      </w:r>
      <w:bookmarkEnd w:id="924"/>
      <w:bookmarkEnd w:id="925"/>
    </w:p>
    <w:p w14:paraId="2E6D68FB" w14:textId="6DB99D3F" w:rsidR="009B4045" w:rsidRDefault="009B4045" w:rsidP="009B4045">
      <w:r>
        <w:t xml:space="preserve">The economies of Pacific countries served by APTC vary from the small or very small size, </w:t>
      </w:r>
      <w:r w:rsidRPr="00BE47A2">
        <w:t>insignificant</w:t>
      </w:r>
      <w:r>
        <w:t xml:space="preserve"> private sectors and low growth prospects, </w:t>
      </w:r>
      <w:r w:rsidR="001007B9">
        <w:t xml:space="preserve">to </w:t>
      </w:r>
      <w:r>
        <w:t xml:space="preserve">economies with significant sectors in tourism and other services </w:t>
      </w:r>
      <w:r w:rsidR="00846636">
        <w:t xml:space="preserve">to </w:t>
      </w:r>
      <w:r>
        <w:t xml:space="preserve">larger, more diversified economies, driven by an expanding resources sector. One of </w:t>
      </w:r>
      <w:r w:rsidR="00846636">
        <w:t xml:space="preserve">the </w:t>
      </w:r>
      <w:r>
        <w:t xml:space="preserve">APTC objectives is to increase the productivity of individuals and organisations in targeted industries and sectors. </w:t>
      </w:r>
    </w:p>
    <w:p w14:paraId="36613189" w14:textId="77777777" w:rsidR="009B4045" w:rsidRDefault="009B4045" w:rsidP="009B4045">
      <w:r>
        <w:t>The above responses of the employers surveyed by the APTC and the review team indicate that APTC’</w:t>
      </w:r>
      <w:r w:rsidR="00E44DC4">
        <w:t>s</w:t>
      </w:r>
      <w:r>
        <w:t xml:space="preserve"> standardised output does not fit the needs of all employers. Indeed, the evidence suggests that employers’ needs have taken second place in the supply-driven mode of operation </w:t>
      </w:r>
      <w:r w:rsidR="00987337">
        <w:t xml:space="preserve">that </w:t>
      </w:r>
      <w:r>
        <w:t>APTC was designed to provide. The widespread use of s</w:t>
      </w:r>
      <w:r w:rsidRPr="00CE4720">
        <w:t>cholarship</w:t>
      </w:r>
      <w:r>
        <w:t xml:space="preserve">s to recruit </w:t>
      </w:r>
      <w:r w:rsidRPr="00CE4720">
        <w:t xml:space="preserve">existing employees </w:t>
      </w:r>
      <w:r>
        <w:t xml:space="preserve">gave employers little say in who should be trained and in what skills. </w:t>
      </w:r>
      <w:r w:rsidRPr="00CE4720">
        <w:t xml:space="preserve">A more </w:t>
      </w:r>
      <w:r>
        <w:t>employer</w:t>
      </w:r>
      <w:r w:rsidR="00831DCA">
        <w:t>-</w:t>
      </w:r>
      <w:r w:rsidRPr="00CE4720">
        <w:t xml:space="preserve">responsive focus would have put more effort into finding out about the </w:t>
      </w:r>
      <w:r>
        <w:t xml:space="preserve">skill </w:t>
      </w:r>
      <w:r w:rsidRPr="00CE4720">
        <w:t>needs of employers</w:t>
      </w:r>
      <w:r w:rsidR="00831DCA">
        <w:t>,</w:t>
      </w:r>
      <w:r>
        <w:t xml:space="preserve"> in terms of</w:t>
      </w:r>
      <w:r w:rsidRPr="00CE4720">
        <w:t xml:space="preserve"> skill sets</w:t>
      </w:r>
      <w:r>
        <w:t xml:space="preserve"> and qualifications and off-the-job training arrangements that more closely suited their requirements. </w:t>
      </w:r>
    </w:p>
    <w:p w14:paraId="49B63221" w14:textId="1C5D3247" w:rsidR="009B4045" w:rsidRDefault="009B4045" w:rsidP="009B4045">
      <w:r>
        <w:t>Also APTC’s predominant focus on qualifications initially aimed at meeting Australian skill shortages simply assumed that these skills overlapped with the needs of Pacific countries. The evidence presented above suggests that only a minority of employers, ranging from a low of one-in-</w:t>
      </w:r>
      <w:r w:rsidR="00B148A3">
        <w:t>twenty</w:t>
      </w:r>
      <w:r w:rsidR="003F6C87">
        <w:t xml:space="preserve"> </w:t>
      </w:r>
      <w:r>
        <w:t xml:space="preserve">to a third or more, have gained a significant economic benefit from having employees with Australian qualifications. This issue needs to be investigated more through a carefully designed evaluation strategy, an issue addressed in the proposed evaluation plan in Annex </w:t>
      </w:r>
      <w:r w:rsidR="00052666">
        <w:t>3</w:t>
      </w:r>
      <w:r>
        <w:t xml:space="preserve">. </w:t>
      </w:r>
    </w:p>
    <w:p w14:paraId="6DAE0243" w14:textId="3E250FA6" w:rsidR="003D355F" w:rsidRDefault="00643CBD" w:rsidP="002028A6">
      <w:pPr>
        <w:pStyle w:val="Heading1"/>
      </w:pPr>
      <w:bookmarkStart w:id="926" w:name="_Toc278447978"/>
      <w:bookmarkStart w:id="927" w:name="_Toc278453451"/>
      <w:r>
        <w:t xml:space="preserve">9 </w:t>
      </w:r>
      <w:r w:rsidR="00DF5C8D">
        <w:tab/>
      </w:r>
      <w:r w:rsidR="009B4045">
        <w:t>Conclusions</w:t>
      </w:r>
      <w:bookmarkEnd w:id="926"/>
      <w:bookmarkEnd w:id="927"/>
      <w:r w:rsidR="009B4045">
        <w:t xml:space="preserve"> </w:t>
      </w:r>
    </w:p>
    <w:p w14:paraId="4799C238" w14:textId="77777777" w:rsidR="009B4045" w:rsidRDefault="009B4045" w:rsidP="009B4045">
      <w:r w:rsidRPr="00E544DF">
        <w:t>Most APTC graduates have benefited from their training in terms of better employment outcomes, wage increases, promotions at work and higher levels of job satisfaction. However, some graduates have not benefited to the same extent. The evidence presented in this chapter shows</w:t>
      </w:r>
      <w:r w:rsidR="005356F6">
        <w:t xml:space="preserve"> that</w:t>
      </w:r>
      <w:r w:rsidRPr="00E544DF">
        <w:t xml:space="preserve"> it is possible to identify</w:t>
      </w:r>
      <w:r w:rsidR="00710D93">
        <w:t>,</w:t>
      </w:r>
      <w:r w:rsidRPr="00E544DF">
        <w:t xml:space="preserve"> by qualification and country</w:t>
      </w:r>
      <w:r w:rsidR="00710D93">
        <w:t>,</w:t>
      </w:r>
      <w:r w:rsidRPr="00E544DF">
        <w:t xml:space="preserve"> which graduates are in employment </w:t>
      </w:r>
      <w:r w:rsidR="00710D93">
        <w:t xml:space="preserve">which </w:t>
      </w:r>
      <w:r w:rsidRPr="00E544DF">
        <w:t xml:space="preserve">matches their skills, or in other work, or unemployed. </w:t>
      </w:r>
    </w:p>
    <w:p w14:paraId="70BCBE2D" w14:textId="01B1D870" w:rsidR="009B4045" w:rsidRPr="00E544DF" w:rsidRDefault="009B4045" w:rsidP="009B4045">
      <w:r w:rsidRPr="00E544DF">
        <w:t xml:space="preserve">The range of different graduate employment rates by qualification and country </w:t>
      </w:r>
      <w:r w:rsidR="00417C0D">
        <w:t>point to the need for APTC to p</w:t>
      </w:r>
      <w:r w:rsidRPr="00E544DF">
        <w:t>ay closer attention to collecting better data on</w:t>
      </w:r>
      <w:r w:rsidR="005F25DD">
        <w:t>,</w:t>
      </w:r>
      <w:r w:rsidRPr="00E544DF">
        <w:t xml:space="preserve"> and monitoring</w:t>
      </w:r>
      <w:r w:rsidR="005F25DD">
        <w:t>,</w:t>
      </w:r>
      <w:r w:rsidRPr="00E544DF">
        <w:t xml:space="preserve"> graduate employment rates at these levels. There is also a need for APTC to provide support to improve the employment outcomes of graduates with specific qualifications and</w:t>
      </w:r>
      <w:r w:rsidR="00356DD2">
        <w:t>,</w:t>
      </w:r>
      <w:r w:rsidRPr="00E544DF">
        <w:t xml:space="preserve"> in particular</w:t>
      </w:r>
      <w:r w:rsidR="00356DD2">
        <w:t>,</w:t>
      </w:r>
      <w:r w:rsidRPr="00E544DF">
        <w:t xml:space="preserve"> country labour markets. </w:t>
      </w:r>
    </w:p>
    <w:p w14:paraId="13D8AA67" w14:textId="77777777" w:rsidR="009B4045" w:rsidRPr="00E544DF" w:rsidRDefault="009B4045" w:rsidP="009B4045">
      <w:r w:rsidRPr="00E544DF">
        <w:t xml:space="preserve">Most employers are satisfied with the performance of APTC </w:t>
      </w:r>
      <w:r>
        <w:t xml:space="preserve">and of their APTC graduates. However, </w:t>
      </w:r>
      <w:r w:rsidRPr="00E544DF">
        <w:t xml:space="preserve">it is difficult from the available evidence to gauge the nature of this benefit and its extent. Some indicative evidence suggests that a majority of employers operate under conditions where they have limited scope to reap significant benefits.  </w:t>
      </w:r>
    </w:p>
    <w:p w14:paraId="7A0DF42D" w14:textId="77777777" w:rsidR="009B4045" w:rsidRDefault="009B4045" w:rsidP="009B4045">
      <w:r w:rsidRPr="00200639">
        <w:t xml:space="preserve">Australian aid funding of TVET in the Pacific places a strong emphasis on responding to the demonstrated demand for skills. </w:t>
      </w:r>
      <w:r>
        <w:t>One way to enlist the support of Pacific governments and employers for demand-led TVET is to identify a specific goal and targets that can be monitored and reported on regularly. One such goal is to train up domestic workers to replace foreign workers. Targets for specific skills-based occupations below professional level could be set</w:t>
      </w:r>
      <w:r w:rsidR="00A9162A">
        <w:t>,</w:t>
      </w:r>
      <w:r>
        <w:t xml:space="preserve"> based on recent census data on the number of foreign workers by occupation. </w:t>
      </w:r>
    </w:p>
    <w:p w14:paraId="045D5C7C" w14:textId="77777777" w:rsidR="009B4045" w:rsidRDefault="009B4045" w:rsidP="009B4045">
      <w:r>
        <w:t xml:space="preserve">A demand-led regional TVET strategy, in which APTC should be playing a key role, needs to have as its foundation resources allocated to a simple, low-cost and reliable methodology for identifying the economic demand for skills in each applicable country. </w:t>
      </w:r>
    </w:p>
    <w:p w14:paraId="0CB1B786" w14:textId="05612DCF" w:rsidR="009B4045" w:rsidRDefault="00F01899" w:rsidP="009B4045">
      <w:pPr>
        <w:rPr>
          <w:rFonts w:cs="Arial"/>
        </w:rPr>
      </w:pPr>
      <w:r>
        <w:t xml:space="preserve">There are five </w:t>
      </w:r>
      <w:r w:rsidR="009B4045">
        <w:t>important data sources identify</w:t>
      </w:r>
      <w:r>
        <w:t>ing</w:t>
      </w:r>
      <w:r w:rsidR="009B4045">
        <w:t xml:space="preserve"> the demand for skills </w:t>
      </w:r>
      <w:r>
        <w:t>that</w:t>
      </w:r>
      <w:r w:rsidR="009B4045">
        <w:t xml:space="preserve"> provide the level of information TVET providers need to be held accountable</w:t>
      </w:r>
      <w:r w:rsidR="009F7229">
        <w:t xml:space="preserve"> </w:t>
      </w:r>
      <w:r w:rsidR="009F7229" w:rsidRPr="009F7229">
        <w:t>to its funding sources. Reliable information is also needed to enable informed choices by key stakeholders</w:t>
      </w:r>
      <w:r w:rsidR="000D75F8">
        <w:t>,</w:t>
      </w:r>
      <w:r w:rsidR="009F7229" w:rsidRPr="009F7229">
        <w:t xml:space="preserve"> such as prospective students, parents, employers and governments</w:t>
      </w:r>
      <w:r w:rsidR="009B4045">
        <w:t xml:space="preserve">. </w:t>
      </w:r>
      <w:r w:rsidR="0059723E">
        <w:t xml:space="preserve">These </w:t>
      </w:r>
      <w:r w:rsidR="009F7229" w:rsidRPr="009F7229">
        <w:t xml:space="preserve">data sources </w:t>
      </w:r>
      <w:r w:rsidR="0059723E">
        <w:t xml:space="preserve">are presented below. </w:t>
      </w:r>
      <w:r w:rsidR="009B4045">
        <w:t xml:space="preserve">However, APTC and other TVET providers can only </w:t>
      </w:r>
      <w:r w:rsidR="00B03C73">
        <w:t xml:space="preserve">initiate </w:t>
      </w:r>
      <w:r w:rsidR="009B4045">
        <w:t xml:space="preserve">one of these data sources – qualification level tracer surveys. </w:t>
      </w:r>
      <w:r w:rsidR="009B4045">
        <w:rPr>
          <w:rFonts w:cs="Arial"/>
        </w:rPr>
        <w:t>It is the role of g</w:t>
      </w:r>
      <w:r w:rsidR="009B4045" w:rsidRPr="008245BD">
        <w:rPr>
          <w:rFonts w:cs="Arial"/>
        </w:rPr>
        <w:t xml:space="preserve">overnment </w:t>
      </w:r>
      <w:r w:rsidR="009B4045">
        <w:rPr>
          <w:rFonts w:cs="Arial"/>
        </w:rPr>
        <w:t xml:space="preserve">(and donors through governments) to </w:t>
      </w:r>
      <w:r w:rsidR="009B4045" w:rsidRPr="008245BD">
        <w:rPr>
          <w:rFonts w:cs="Arial"/>
        </w:rPr>
        <w:t xml:space="preserve">fund the collection and analysis of labour market information. </w:t>
      </w:r>
    </w:p>
    <w:p w14:paraId="13806299" w14:textId="16F20949" w:rsidR="009F7229" w:rsidRPr="009F7229" w:rsidRDefault="009F7229" w:rsidP="009F7229">
      <w:pPr>
        <w:rPr>
          <w:rFonts w:cs="Arial"/>
        </w:rPr>
      </w:pPr>
      <w:r w:rsidRPr="009F7229">
        <w:rPr>
          <w:rFonts w:cs="Arial"/>
        </w:rPr>
        <w:t xml:space="preserve">Apart from planning purposes to inform budget allocations, information is needed to enable the end users of TVET to decide which type of TVET in which </w:t>
      </w:r>
      <w:r w:rsidR="00A3777E">
        <w:rPr>
          <w:rFonts w:cs="Arial"/>
        </w:rPr>
        <w:t xml:space="preserve">to </w:t>
      </w:r>
      <w:r w:rsidRPr="009F7229">
        <w:rPr>
          <w:rFonts w:cs="Arial"/>
        </w:rPr>
        <w:t xml:space="preserve">invest. </w:t>
      </w:r>
      <w:r w:rsidR="009B4045">
        <w:rPr>
          <w:rFonts w:cs="Arial"/>
        </w:rPr>
        <w:t>L</w:t>
      </w:r>
      <w:r w:rsidR="009B4045" w:rsidRPr="008245BD">
        <w:rPr>
          <w:rFonts w:cs="Arial"/>
        </w:rPr>
        <w:t>abour market information</w:t>
      </w:r>
      <w:r>
        <w:rPr>
          <w:rFonts w:cs="Arial"/>
        </w:rPr>
        <w:t>, therefore,</w:t>
      </w:r>
      <w:r w:rsidR="009B4045" w:rsidRPr="008245BD">
        <w:rPr>
          <w:rFonts w:cs="Arial"/>
        </w:rPr>
        <w:t xml:space="preserve"> has the characteristics of what economists call a 'public good'. This means that the information is shared without limiting its access to others</w:t>
      </w:r>
      <w:r w:rsidR="00FD4C7C">
        <w:rPr>
          <w:rFonts w:cs="Arial"/>
        </w:rPr>
        <w:t>,</w:t>
      </w:r>
      <w:r w:rsidR="009B4045" w:rsidRPr="008245BD">
        <w:rPr>
          <w:rFonts w:cs="Arial"/>
        </w:rPr>
        <w:t xml:space="preserve"> and so there are few incentives for the market to provide this information</w:t>
      </w:r>
      <w:r w:rsidR="009B4045">
        <w:rPr>
          <w:rFonts w:cs="Arial"/>
        </w:rPr>
        <w:t xml:space="preserve"> (Wood </w:t>
      </w:r>
      <w:r w:rsidR="00FD4C7C">
        <w:rPr>
          <w:rFonts w:cs="Arial"/>
        </w:rPr>
        <w:t xml:space="preserve">and </w:t>
      </w:r>
      <w:r w:rsidR="009B4045">
        <w:rPr>
          <w:rFonts w:cs="Arial"/>
        </w:rPr>
        <w:t xml:space="preserve">O’Leary 2006). </w:t>
      </w:r>
      <w:r w:rsidR="009B4045" w:rsidRPr="008245BD">
        <w:rPr>
          <w:rFonts w:cs="Arial"/>
        </w:rPr>
        <w:t>As a 'public good', government</w:t>
      </w:r>
      <w:r w:rsidR="003D69CA">
        <w:rPr>
          <w:rFonts w:cs="Arial"/>
        </w:rPr>
        <w:t>s</w:t>
      </w:r>
      <w:r w:rsidR="009B4045" w:rsidRPr="008245BD">
        <w:rPr>
          <w:rFonts w:cs="Arial"/>
        </w:rPr>
        <w:t xml:space="preserve"> need to provide labour market information in the same way that </w:t>
      </w:r>
      <w:r w:rsidR="003D69CA">
        <w:rPr>
          <w:rFonts w:cs="Arial"/>
        </w:rPr>
        <w:t xml:space="preserve">they </w:t>
      </w:r>
      <w:r w:rsidR="009B4045">
        <w:rPr>
          <w:rFonts w:cs="Arial"/>
        </w:rPr>
        <w:t xml:space="preserve">fund </w:t>
      </w:r>
      <w:r w:rsidR="009B4045" w:rsidRPr="008245BD">
        <w:rPr>
          <w:rFonts w:cs="Arial"/>
        </w:rPr>
        <w:t>budget</w:t>
      </w:r>
      <w:r w:rsidR="009B4045">
        <w:rPr>
          <w:rFonts w:cs="Arial"/>
        </w:rPr>
        <w:t xml:space="preserve"> police and </w:t>
      </w:r>
      <w:r w:rsidR="009B4045" w:rsidRPr="008245BD">
        <w:rPr>
          <w:rFonts w:cs="Arial"/>
        </w:rPr>
        <w:t xml:space="preserve">basic services in education and health. </w:t>
      </w:r>
      <w:r w:rsidRPr="009F7229">
        <w:rPr>
          <w:rFonts w:cs="Arial"/>
        </w:rPr>
        <w:t xml:space="preserve">The private sector firms and TVET providers do not have sufficient incentives or resources to provide this service. </w:t>
      </w:r>
    </w:p>
    <w:p w14:paraId="3F533956" w14:textId="7C27047C" w:rsidR="009F7229" w:rsidRPr="009F7229" w:rsidRDefault="009F7229" w:rsidP="009F7229">
      <w:pPr>
        <w:rPr>
          <w:rFonts w:cs="Arial"/>
        </w:rPr>
      </w:pPr>
      <w:r w:rsidRPr="009F7229">
        <w:rPr>
          <w:rFonts w:cs="Arial"/>
        </w:rPr>
        <w:t>The information is needed to enable citizens to decide which jobs and careers to pursue and invest in</w:t>
      </w:r>
      <w:r w:rsidR="000D75F8">
        <w:rPr>
          <w:rFonts w:cs="Arial"/>
        </w:rPr>
        <w:t>,</w:t>
      </w:r>
      <w:r w:rsidRPr="009F7229">
        <w:rPr>
          <w:rFonts w:cs="Arial"/>
        </w:rPr>
        <w:t xml:space="preserve"> and for employers to work out the economic value to their enterprise of specific forms of skills training. </w:t>
      </w:r>
    </w:p>
    <w:p w14:paraId="089CC3B7" w14:textId="1CEA30D7" w:rsidR="009B4045" w:rsidRDefault="009B4045" w:rsidP="009B4045">
      <w:r>
        <w:t xml:space="preserve">The first data source is recent census or </w:t>
      </w:r>
      <w:r w:rsidR="0059723E">
        <w:t xml:space="preserve">national survey </w:t>
      </w:r>
      <w:r>
        <w:t>data</w:t>
      </w:r>
      <w:r w:rsidR="00417C0D">
        <w:t>,</w:t>
      </w:r>
      <w:r>
        <w:t xml:space="preserve"> </w:t>
      </w:r>
      <w:r w:rsidR="0059723E" w:rsidRPr="0059723E">
        <w:t>such as labour force or household income and expenditure surveys</w:t>
      </w:r>
      <w:r w:rsidR="00417C0D">
        <w:t>,</w:t>
      </w:r>
      <w:r w:rsidR="0059723E">
        <w:t xml:space="preserve"> </w:t>
      </w:r>
      <w:r>
        <w:t>to identify in each skills-based occupation the stock of jobs, the number of foreign workers and post-school qualification rates of domestic and foreign job</w:t>
      </w:r>
      <w:r w:rsidR="007223C4">
        <w:t>-</w:t>
      </w:r>
      <w:r>
        <w:t xml:space="preserve">holders. This data source now exists for every Pacific country. </w:t>
      </w:r>
    </w:p>
    <w:p w14:paraId="010CFA55" w14:textId="3CCA3386" w:rsidR="009B4045" w:rsidRPr="00200639" w:rsidRDefault="009B4045" w:rsidP="009B4045">
      <w:r>
        <w:t xml:space="preserve">The second data source is a survey of employers. </w:t>
      </w:r>
      <w:r w:rsidRPr="00200639">
        <w:t xml:space="preserve">Employers in the private and public sectors should be asked about their </w:t>
      </w:r>
      <w:r>
        <w:t>short and medium</w:t>
      </w:r>
      <w:r w:rsidR="00A94BC9">
        <w:t>-</w:t>
      </w:r>
      <w:r>
        <w:t xml:space="preserve">term </w:t>
      </w:r>
      <w:r w:rsidRPr="00200639">
        <w:t xml:space="preserve">need for </w:t>
      </w:r>
      <w:r>
        <w:t>skills</w:t>
      </w:r>
      <w:r w:rsidR="009F7229" w:rsidRPr="009F7229">
        <w:t xml:space="preserve"> and in what form</w:t>
      </w:r>
      <w:r>
        <w:t xml:space="preserve">. This may </w:t>
      </w:r>
      <w:r w:rsidR="009F7229">
        <w:t xml:space="preserve">vary from specific </w:t>
      </w:r>
      <w:r>
        <w:t xml:space="preserve">skill sets, </w:t>
      </w:r>
      <w:r w:rsidRPr="00200639">
        <w:t>post-school qualifications</w:t>
      </w:r>
      <w:r>
        <w:t xml:space="preserve"> or short training courses. They should also be asked about </w:t>
      </w:r>
      <w:r w:rsidRPr="00200639">
        <w:t xml:space="preserve">the number of </w:t>
      </w:r>
      <w:r>
        <w:t xml:space="preserve">domestic and </w:t>
      </w:r>
      <w:r w:rsidRPr="00200639">
        <w:t>foreign workers they employ in skilled occupations</w:t>
      </w:r>
      <w:r>
        <w:t xml:space="preserve"> </w:t>
      </w:r>
      <w:r w:rsidRPr="00200639">
        <w:t xml:space="preserve">and </w:t>
      </w:r>
      <w:r>
        <w:t xml:space="preserve">their </w:t>
      </w:r>
      <w:r w:rsidRPr="00200639">
        <w:t xml:space="preserve">qualifications. </w:t>
      </w:r>
    </w:p>
    <w:p w14:paraId="69EC40DB" w14:textId="1590F3A2" w:rsidR="009B4045" w:rsidRPr="00D77598" w:rsidRDefault="009B4045" w:rsidP="009B4045">
      <w:r>
        <w:t xml:space="preserve">The third data source is a list of job vacancies to produce a </w:t>
      </w:r>
      <w:r w:rsidRPr="00D77598">
        <w:t>simple measure of occupations in-demand</w:t>
      </w:r>
      <w:r>
        <w:t xml:space="preserve">. This can be compiled by </w:t>
      </w:r>
      <w:r w:rsidRPr="00D77598">
        <w:t>collect</w:t>
      </w:r>
      <w:r>
        <w:t>ing</w:t>
      </w:r>
      <w:r w:rsidRPr="00D77598">
        <w:t xml:space="preserve"> data over time from job advertisements in newspapers, on the radio and in a government gazette</w:t>
      </w:r>
      <w:r>
        <w:t xml:space="preserve">. The data should include: name of employer, job description, industry sector, </w:t>
      </w:r>
      <w:r w:rsidRPr="00D77598">
        <w:t xml:space="preserve">required qualification, work experience and salary range. </w:t>
      </w:r>
      <w:r>
        <w:t xml:space="preserve">The data can be used </w:t>
      </w:r>
      <w:r w:rsidRPr="00D77598">
        <w:t>to p</w:t>
      </w:r>
      <w:r>
        <w:t>roduce a job opportunity index based on the International Standard Classification of Occupations (ISCO) (Powell 2012, p</w:t>
      </w:r>
      <w:r w:rsidR="00093AA2">
        <w:t>.</w:t>
      </w:r>
      <w:r>
        <w:t xml:space="preserve"> 13). </w:t>
      </w:r>
      <w:r w:rsidRPr="00D77598">
        <w:t xml:space="preserve">Information from work permits about the occupations of foreign workers is another useful </w:t>
      </w:r>
      <w:r>
        <w:t xml:space="preserve">data </w:t>
      </w:r>
      <w:r w:rsidRPr="00D77598">
        <w:t>source</w:t>
      </w:r>
      <w:r>
        <w:t xml:space="preserve"> if the occupations are recorded in a systematic way</w:t>
      </w:r>
      <w:r w:rsidRPr="00D77598">
        <w:t xml:space="preserve">. </w:t>
      </w:r>
    </w:p>
    <w:p w14:paraId="2780F152" w14:textId="3649C920" w:rsidR="009B4045" w:rsidRPr="00E95040" w:rsidRDefault="009B4045" w:rsidP="009B4045">
      <w:r>
        <w:t>T</w:t>
      </w:r>
      <w:r w:rsidR="0059723E">
        <w:t>racer surveys are t</w:t>
      </w:r>
      <w:r>
        <w:t>he fourth data source</w:t>
      </w:r>
      <w:r w:rsidR="0059723E">
        <w:t xml:space="preserve">. </w:t>
      </w:r>
      <w:r>
        <w:t xml:space="preserve">APTC </w:t>
      </w:r>
      <w:r w:rsidRPr="00D77598">
        <w:t xml:space="preserve">tracer surveys </w:t>
      </w:r>
      <w:r>
        <w:t xml:space="preserve">have been carried out </w:t>
      </w:r>
      <w:r w:rsidRPr="00D77598">
        <w:t xml:space="preserve">to meet contract reporting requirements </w:t>
      </w:r>
      <w:r w:rsidR="00E26B48">
        <w:t>but they</w:t>
      </w:r>
      <w:r w:rsidR="00E26B48" w:rsidRPr="00D77598">
        <w:t xml:space="preserve"> </w:t>
      </w:r>
      <w:r w:rsidR="00E26B48">
        <w:t xml:space="preserve">are </w:t>
      </w:r>
      <w:r w:rsidRPr="00D77598">
        <w:t xml:space="preserve">not geared to provide information </w:t>
      </w:r>
      <w:r>
        <w:t>on employment outcomes at qualification level</w:t>
      </w:r>
      <w:r w:rsidR="0059723E">
        <w:t xml:space="preserve"> and by country</w:t>
      </w:r>
      <w:r>
        <w:t>. Also l</w:t>
      </w:r>
      <w:r w:rsidRPr="00D77598">
        <w:t>acking is information on wages of APTC graduates</w:t>
      </w:r>
      <w:r>
        <w:t xml:space="preserve">, </w:t>
      </w:r>
      <w:r w:rsidRPr="00D77598">
        <w:t xml:space="preserve">skills match of job with qualification, </w:t>
      </w:r>
      <w:r>
        <w:t xml:space="preserve">and whether </w:t>
      </w:r>
      <w:r w:rsidRPr="00D77598">
        <w:t xml:space="preserve">graduates </w:t>
      </w:r>
      <w:r>
        <w:t xml:space="preserve">are with the same employer. </w:t>
      </w:r>
      <w:r w:rsidRPr="00E95040">
        <w:t>APTC should focus on identifying the demand for specific qualifications in each country. This can be done in large part by putting more resources into collecting information at qualification level on the employment outcomes achieved by graduates. This involves devolving responsibility and some funding for collecting basic employment</w:t>
      </w:r>
      <w:r w:rsidR="00093AA2">
        <w:t>-</w:t>
      </w:r>
      <w:r w:rsidRPr="00E95040">
        <w:t>related data as close as possible to trainers in charge or involved with specific courses in each campus country. One way to do this is to fund an alumni group to hold a social gathering between six and 12 months from graduation and to ask those who attend to seek out information on other graduates they know.</w:t>
      </w:r>
      <w:r>
        <w:t xml:space="preserve"> </w:t>
      </w:r>
    </w:p>
    <w:p w14:paraId="18B69AFA" w14:textId="77777777" w:rsidR="009B4045" w:rsidRPr="00E95040" w:rsidRDefault="009B4045" w:rsidP="009B4045">
      <w:r w:rsidRPr="00E95040">
        <w:t xml:space="preserve">Help from APTC </w:t>
      </w:r>
      <w:r>
        <w:t xml:space="preserve">headquarters </w:t>
      </w:r>
      <w:r w:rsidRPr="00E95040">
        <w:t>staff can be provided to ensure that the information collected is consistent and is presented in a meaningful way to graduates. This same decentralised mode of data collection could also be used to administer a lengthier questionnaire. Again, funding alumni groups to administer a questionnaire is a valuable way to tap their knowledge of how to find their fellow graduates.</w:t>
      </w:r>
      <w:r>
        <w:t xml:space="preserve"> </w:t>
      </w:r>
    </w:p>
    <w:p w14:paraId="30642789" w14:textId="697E4344" w:rsidR="009B4045" w:rsidRDefault="009B4045" w:rsidP="009B4045">
      <w:r>
        <w:t xml:space="preserve">The fifth data source to estimate future skill needs is a listing of </w:t>
      </w:r>
      <w:r w:rsidRPr="00200639">
        <w:t xml:space="preserve">government priorities for future infrastructure projects and other planned investments by donors and the private sector. Assessment of the domestic demand for skills from these planned projects will </w:t>
      </w:r>
      <w:r>
        <w:t xml:space="preserve">also </w:t>
      </w:r>
      <w:r w:rsidRPr="00200639">
        <w:t>depend on the willingness of governments to require that contractors employ domestic skilled workers and/or provide training placements for apprentices.</w:t>
      </w:r>
      <w:r w:rsidR="002C667E" w:rsidRPr="002C667E">
        <w:t xml:space="preserve"> In other words, governments in many cases will have to specify the sources for the skilled labour required. If governments want to use domestic sources of skills, they will need to allocate resources as part of the planned investment to ensure the domestic skills pool is available when needed. </w:t>
      </w:r>
      <w:r>
        <w:t xml:space="preserve"> </w:t>
      </w:r>
    </w:p>
    <w:p w14:paraId="05CDC2B2" w14:textId="6F6E7C8A" w:rsidR="002050EB" w:rsidRDefault="00466A6D" w:rsidP="009B4045">
      <w:r>
        <w:t>The a</w:t>
      </w:r>
      <w:r w:rsidR="002C667E">
        <w:t>ttachment</w:t>
      </w:r>
      <w:r w:rsidR="002050EB">
        <w:t xml:space="preserve"> to Annex 8 sets out the kinds of information required in a </w:t>
      </w:r>
      <w:r>
        <w:t xml:space="preserve">strong </w:t>
      </w:r>
      <w:r w:rsidR="002050EB">
        <w:t>system of monitoring and evaluation for APTC.</w:t>
      </w:r>
    </w:p>
    <w:p w14:paraId="04C66FFF" w14:textId="77777777" w:rsidR="002050EB" w:rsidRDefault="002050EB" w:rsidP="009B4045"/>
    <w:p w14:paraId="4B5BBADC" w14:textId="77777777" w:rsidR="004F74D7" w:rsidRDefault="004F74D7" w:rsidP="009B4045"/>
    <w:p w14:paraId="57EB2CC8" w14:textId="77777777" w:rsidR="002050EB" w:rsidRDefault="002050EB">
      <w:pPr>
        <w:spacing w:after="0"/>
        <w:rPr>
          <w:rFonts w:cs="Arial"/>
          <w:b/>
          <w:bCs/>
          <w:color w:val="76923C"/>
          <w:sz w:val="24"/>
          <w:szCs w:val="28"/>
        </w:rPr>
      </w:pPr>
      <w:r>
        <w:br w:type="page"/>
      </w:r>
    </w:p>
    <w:p w14:paraId="2F3F7C7B" w14:textId="2DC4FEEA" w:rsidR="002050EB" w:rsidRDefault="00BE4073" w:rsidP="002050EB">
      <w:pPr>
        <w:pStyle w:val="Heading1"/>
      </w:pPr>
      <w:bookmarkStart w:id="928" w:name="_Toc278447979"/>
      <w:bookmarkStart w:id="929" w:name="_Toc278453452"/>
      <w:r>
        <w:t>ATTACHMENT 1 TO ANNEX 8: PROGRAM EVALUATION</w:t>
      </w:r>
      <w:bookmarkEnd w:id="928"/>
      <w:bookmarkEnd w:id="929"/>
    </w:p>
    <w:p w14:paraId="5C194C84" w14:textId="1F1984AB" w:rsidR="00FE2117" w:rsidRPr="00FE2117" w:rsidRDefault="00FE2117" w:rsidP="00FE2117">
      <w:r>
        <w:t xml:space="preserve">This attachment relates to </w:t>
      </w:r>
      <w:r w:rsidRPr="000859B4">
        <w:t>Recommendation 15</w:t>
      </w:r>
      <w:r>
        <w:t xml:space="preserve"> of the review. A</w:t>
      </w:r>
      <w:r w:rsidRPr="000859B4">
        <w:t xml:space="preserve"> DFAT official asked the evaluation team to </w:t>
      </w:r>
      <w:r>
        <w:t xml:space="preserve">list out the kinds of information </w:t>
      </w:r>
      <w:r w:rsidRPr="000859B4">
        <w:t xml:space="preserve">needed in a future robust system of </w:t>
      </w:r>
      <w:r w:rsidR="002514D3">
        <w:t>monitoring and evaluation for A</w:t>
      </w:r>
      <w:r w:rsidRPr="000859B4">
        <w:t>P</w:t>
      </w:r>
      <w:r w:rsidR="002514D3">
        <w:t>T</w:t>
      </w:r>
      <w:r w:rsidRPr="000859B4">
        <w:t>C.</w:t>
      </w:r>
    </w:p>
    <w:p w14:paraId="31975666" w14:textId="77777777" w:rsidR="002050EB" w:rsidRDefault="002050EB" w:rsidP="000668BA">
      <w:pPr>
        <w:pStyle w:val="Heading1"/>
        <w:numPr>
          <w:ilvl w:val="0"/>
          <w:numId w:val="64"/>
        </w:numPr>
        <w:ind w:left="851" w:hanging="851"/>
      </w:pPr>
      <w:bookmarkStart w:id="930" w:name="_Toc278447980"/>
      <w:bookmarkStart w:id="931" w:name="_Toc278453453"/>
      <w:r>
        <w:t>Program evaluation</w:t>
      </w:r>
      <w:bookmarkEnd w:id="930"/>
      <w:bookmarkEnd w:id="931"/>
    </w:p>
    <w:p w14:paraId="15DA471F" w14:textId="77777777" w:rsidR="002050EB" w:rsidRDefault="002050EB" w:rsidP="002050EB">
      <w:pPr>
        <w:pStyle w:val="NormalArial"/>
      </w:pPr>
      <w:r>
        <w:t>The purposes of the evaluation are to:</w:t>
      </w:r>
    </w:p>
    <w:p w14:paraId="71E72F59" w14:textId="77777777" w:rsidR="002050EB" w:rsidRDefault="002050EB" w:rsidP="000668BA">
      <w:pPr>
        <w:pStyle w:val="NormalArial"/>
        <w:numPr>
          <w:ilvl w:val="0"/>
          <w:numId w:val="55"/>
        </w:numPr>
        <w:ind w:left="720" w:hanging="360"/>
      </w:pPr>
      <w:r>
        <w:t>assess for DFAT value for money of the investment in APTC</w:t>
      </w:r>
    </w:p>
    <w:p w14:paraId="4D106749" w14:textId="77777777" w:rsidR="002050EB" w:rsidRDefault="002050EB" w:rsidP="000668BA">
      <w:pPr>
        <w:pStyle w:val="NormalArial"/>
        <w:numPr>
          <w:ilvl w:val="0"/>
          <w:numId w:val="55"/>
        </w:numPr>
        <w:ind w:left="720" w:hanging="360"/>
      </w:pPr>
      <w:r>
        <w:t>show Pacific governments the contribution of high quality TVET skills to enterprises and their economies</w:t>
      </w:r>
    </w:p>
    <w:p w14:paraId="09574266" w14:textId="77777777" w:rsidR="002050EB" w:rsidRDefault="002050EB" w:rsidP="000668BA">
      <w:pPr>
        <w:pStyle w:val="NormalArial"/>
        <w:numPr>
          <w:ilvl w:val="0"/>
          <w:numId w:val="55"/>
        </w:numPr>
        <w:ind w:left="720" w:hanging="360"/>
      </w:pPr>
      <w:r>
        <w:t xml:space="preserve">provide evidence of the value of a demand-led TVET strategy for the Pacific. </w:t>
      </w:r>
    </w:p>
    <w:p w14:paraId="739B0597" w14:textId="77777777" w:rsidR="002050EB" w:rsidRDefault="002050EB" w:rsidP="002050EB">
      <w:pPr>
        <w:pStyle w:val="Heading2"/>
      </w:pPr>
      <w:bookmarkStart w:id="932" w:name="_Toc278447981"/>
      <w:bookmarkStart w:id="933" w:name="_Toc278453454"/>
      <w:r>
        <w:t xml:space="preserve">1.1 </w:t>
      </w:r>
      <w:r>
        <w:tab/>
        <w:t>Design principles</w:t>
      </w:r>
      <w:bookmarkEnd w:id="932"/>
      <w:bookmarkEnd w:id="933"/>
      <w:r>
        <w:t xml:space="preserve"> </w:t>
      </w:r>
    </w:p>
    <w:p w14:paraId="1D325716" w14:textId="77777777" w:rsidR="002050EB" w:rsidRDefault="002050EB" w:rsidP="000668BA">
      <w:pPr>
        <w:pStyle w:val="Dotpoint"/>
        <w:widowControl w:val="0"/>
        <w:numPr>
          <w:ilvl w:val="0"/>
          <w:numId w:val="56"/>
        </w:numPr>
        <w:pBdr>
          <w:top w:val="none" w:sz="0" w:space="0" w:color="000000"/>
          <w:left w:val="none" w:sz="0" w:space="0" w:color="000000"/>
          <w:bottom w:val="none" w:sz="0" w:space="0" w:color="000000"/>
          <w:right w:val="none" w:sz="0" w:space="0" w:color="000000"/>
          <w:between w:val="none" w:sz="0" w:space="0" w:color="000000"/>
        </w:pBdr>
        <w:ind w:left="720" w:hanging="360"/>
      </w:pPr>
      <w:r>
        <w:t xml:space="preserve">Use comparisons related to employment of graduates (e.g. wage rates, type of job matched to field of study, job-related benefits) based on information collected before, during and after APTC training. </w:t>
      </w:r>
    </w:p>
    <w:p w14:paraId="2F43A9C1" w14:textId="77777777" w:rsidR="002050EB" w:rsidRDefault="002050EB" w:rsidP="000668BA">
      <w:pPr>
        <w:pStyle w:val="Dotpoint"/>
        <w:widowControl w:val="0"/>
        <w:numPr>
          <w:ilvl w:val="0"/>
          <w:numId w:val="56"/>
        </w:numPr>
        <w:pBdr>
          <w:top w:val="none" w:sz="0" w:space="0" w:color="000000"/>
          <w:left w:val="none" w:sz="0" w:space="0" w:color="000000"/>
          <w:bottom w:val="none" w:sz="0" w:space="0" w:color="000000"/>
          <w:right w:val="none" w:sz="0" w:space="0" w:color="000000"/>
          <w:between w:val="none" w:sz="0" w:space="0" w:color="000000"/>
        </w:pBdr>
        <w:ind w:left="720" w:hanging="360"/>
      </w:pPr>
      <w:r>
        <w:t>Use comparisons related to employment (e.g. wage rates, job-related benefits, type of job matched to field of study) between APTC graduates and other TVET graduates in country labour markets. This requires use of a common questionnaire for all TVET tracer studies.</w:t>
      </w:r>
    </w:p>
    <w:p w14:paraId="51D424E2" w14:textId="77777777" w:rsidR="002050EB" w:rsidRDefault="002050EB" w:rsidP="000668BA">
      <w:pPr>
        <w:pStyle w:val="Dotpoint"/>
        <w:widowControl w:val="0"/>
        <w:numPr>
          <w:ilvl w:val="0"/>
          <w:numId w:val="56"/>
        </w:numPr>
        <w:pBdr>
          <w:top w:val="none" w:sz="0" w:space="0" w:color="000000"/>
          <w:left w:val="none" w:sz="0" w:space="0" w:color="000000"/>
          <w:bottom w:val="none" w:sz="0" w:space="0" w:color="000000"/>
          <w:right w:val="none" w:sz="0" w:space="0" w:color="000000"/>
          <w:between w:val="none" w:sz="0" w:space="0" w:color="000000"/>
        </w:pBdr>
        <w:ind w:left="720" w:hanging="360"/>
      </w:pPr>
      <w:r>
        <w:t xml:space="preserve">Fund and conduct the evaluation independently of APTC, with the necessary labour market and economic expertise.  </w:t>
      </w:r>
    </w:p>
    <w:p w14:paraId="5297CEC9" w14:textId="7FE40247" w:rsidR="002050EB" w:rsidRDefault="002050EB" w:rsidP="000668BA">
      <w:pPr>
        <w:pStyle w:val="Dotpoint"/>
        <w:widowControl w:val="0"/>
        <w:numPr>
          <w:ilvl w:val="0"/>
          <w:numId w:val="56"/>
        </w:numPr>
        <w:pBdr>
          <w:top w:val="none" w:sz="0" w:space="0" w:color="000000"/>
          <w:left w:val="none" w:sz="0" w:space="0" w:color="000000"/>
          <w:bottom w:val="none" w:sz="0" w:space="0" w:color="000000"/>
          <w:right w:val="none" w:sz="0" w:space="0" w:color="000000"/>
          <w:between w:val="none" w:sz="0" w:space="0" w:color="000000"/>
        </w:pBdr>
        <w:ind w:left="720" w:hanging="360"/>
      </w:pPr>
      <w:r>
        <w:t>Conduct the evaluation with the close cooperation and support of APTC, and in a way that APTC can see immediate benefits for its needs</w:t>
      </w:r>
      <w:r w:rsidR="000D75F8">
        <w:t>.</w:t>
      </w:r>
    </w:p>
    <w:p w14:paraId="24E4E94F" w14:textId="77777777" w:rsidR="002050EB" w:rsidRDefault="002050EB" w:rsidP="000668BA">
      <w:pPr>
        <w:pStyle w:val="Dotpoint"/>
        <w:widowControl w:val="0"/>
        <w:numPr>
          <w:ilvl w:val="0"/>
          <w:numId w:val="56"/>
        </w:numPr>
        <w:pBdr>
          <w:top w:val="none" w:sz="0" w:space="0" w:color="000000"/>
          <w:left w:val="none" w:sz="0" w:space="0" w:color="000000"/>
          <w:bottom w:val="none" w:sz="0" w:space="0" w:color="000000"/>
          <w:right w:val="none" w:sz="0" w:space="0" w:color="000000"/>
          <w:between w:val="none" w:sz="0" w:space="0" w:color="000000"/>
        </w:pBdr>
        <w:ind w:left="720" w:hanging="360"/>
      </w:pPr>
      <w:r>
        <w:t xml:space="preserve">Pilot test survey instruments for students, graduates and enterprises to ensure that respondents easily understand the questions and provide reliable data on key variables such as wage rates and income for the self-employed. </w:t>
      </w:r>
    </w:p>
    <w:p w14:paraId="7CD751F0" w14:textId="77777777" w:rsidR="002050EB" w:rsidRDefault="002050EB" w:rsidP="000668BA">
      <w:pPr>
        <w:pStyle w:val="Dotpoint"/>
        <w:widowControl w:val="0"/>
        <w:numPr>
          <w:ilvl w:val="0"/>
          <w:numId w:val="56"/>
        </w:numPr>
        <w:pBdr>
          <w:top w:val="none" w:sz="0" w:space="0" w:color="000000"/>
          <w:left w:val="none" w:sz="0" w:space="0" w:color="000000"/>
          <w:bottom w:val="none" w:sz="0" w:space="0" w:color="000000"/>
          <w:right w:val="none" w:sz="0" w:space="0" w:color="000000"/>
          <w:between w:val="none" w:sz="0" w:space="0" w:color="000000"/>
        </w:pBdr>
        <w:ind w:left="720" w:hanging="360"/>
      </w:pPr>
      <w:r>
        <w:t>Improve response rates for tracer surveys by collecting better contact information in the initial student application form, such as an alternative point of contact. Confirm this information at graduation, through alumni activities and tracking via social media.</w:t>
      </w:r>
    </w:p>
    <w:p w14:paraId="6B6F6703" w14:textId="77777777" w:rsidR="002050EB" w:rsidRDefault="002050EB" w:rsidP="000668BA">
      <w:pPr>
        <w:pStyle w:val="Dotpoint"/>
        <w:widowControl w:val="0"/>
        <w:numPr>
          <w:ilvl w:val="0"/>
          <w:numId w:val="56"/>
        </w:numPr>
        <w:pBdr>
          <w:top w:val="none" w:sz="0" w:space="0" w:color="000000"/>
          <w:left w:val="none" w:sz="0" w:space="0" w:color="000000"/>
          <w:bottom w:val="none" w:sz="0" w:space="0" w:color="000000"/>
          <w:right w:val="none" w:sz="0" w:space="0" w:color="000000"/>
          <w:between w:val="none" w:sz="0" w:space="0" w:color="000000"/>
        </w:pBdr>
        <w:ind w:left="720" w:hanging="360"/>
      </w:pPr>
      <w:r>
        <w:t xml:space="preserve">Work out ways to involve and fund alumni groups in collecting information on the employment of graduates by qualification </w:t>
      </w:r>
    </w:p>
    <w:p w14:paraId="2BCFBD7A" w14:textId="77777777" w:rsidR="002050EB" w:rsidRDefault="002050EB" w:rsidP="000668BA">
      <w:pPr>
        <w:pStyle w:val="Dotpoint"/>
        <w:widowControl w:val="0"/>
        <w:numPr>
          <w:ilvl w:val="0"/>
          <w:numId w:val="56"/>
        </w:numPr>
        <w:pBdr>
          <w:top w:val="none" w:sz="0" w:space="0" w:color="000000"/>
          <w:left w:val="none" w:sz="0" w:space="0" w:color="000000"/>
          <w:bottom w:val="none" w:sz="0" w:space="0" w:color="000000"/>
          <w:right w:val="none" w:sz="0" w:space="0" w:color="000000"/>
          <w:between w:val="none" w:sz="0" w:space="0" w:color="000000"/>
        </w:pBdr>
        <w:ind w:left="720" w:hanging="360"/>
      </w:pPr>
      <w:r>
        <w:t xml:space="preserve">Conduct employer surveys face-to-face using experienced interviewers who can explain well the purpose of the data collection and the benefits to employers. </w:t>
      </w:r>
    </w:p>
    <w:p w14:paraId="5BA4ADA3" w14:textId="77777777" w:rsidR="002050EB" w:rsidRDefault="002050EB" w:rsidP="002050EB">
      <w:pPr>
        <w:pStyle w:val="Heading2"/>
      </w:pPr>
      <w:bookmarkStart w:id="934" w:name="_Toc278447982"/>
      <w:bookmarkStart w:id="935" w:name="_Toc278453455"/>
      <w:r>
        <w:t xml:space="preserve">1.2 </w:t>
      </w:r>
      <w:r>
        <w:tab/>
        <w:t>Key features needed for the evaluation strategy</w:t>
      </w:r>
      <w:bookmarkEnd w:id="934"/>
      <w:bookmarkEnd w:id="935"/>
      <w:r>
        <w:t xml:space="preserve"> </w:t>
      </w:r>
    </w:p>
    <w:p w14:paraId="57A62885" w14:textId="77777777" w:rsidR="002050EB" w:rsidRDefault="002050EB" w:rsidP="002050EB">
      <w:pPr>
        <w:pStyle w:val="NormalArial"/>
      </w:pPr>
      <w:r>
        <w:t>The following outlines key features needed for the evaluation of the three goals of the APTC: skills training; employment of graduates; and improved productivity of individuals and organisations.</w:t>
      </w:r>
    </w:p>
    <w:p w14:paraId="1C6D5C25" w14:textId="77777777" w:rsidR="002050EB" w:rsidRPr="00DF36B1" w:rsidRDefault="002050EB" w:rsidP="002050EB">
      <w:pPr>
        <w:pStyle w:val="NormalArial"/>
        <w:rPr>
          <w:b/>
        </w:rPr>
      </w:pPr>
      <w:r w:rsidRPr="00546F37">
        <w:rPr>
          <w:b/>
        </w:rPr>
        <w:t xml:space="preserve">Goal (a) Training: Increased supply of skilled workers in targeted sectors in the Pacific region </w:t>
      </w:r>
    </w:p>
    <w:p w14:paraId="07C5CA35" w14:textId="77777777" w:rsidR="002514D3" w:rsidRDefault="002050EB" w:rsidP="002050EB">
      <w:pPr>
        <w:pStyle w:val="NormalArial"/>
      </w:pPr>
      <w:r>
        <w:t xml:space="preserve">Evaluation data needed: Make use of information from APTC’s EMIS plus information on the supply of post-school qualification and skills sets from other TVET providers directed at the targeted sectors in overseas (Australia and New Zealand), regional (PNG, Fiji) and domestic labour markets. </w:t>
      </w:r>
    </w:p>
    <w:p w14:paraId="56D5D7F8" w14:textId="77777777" w:rsidR="002514D3" w:rsidRDefault="002050EB" w:rsidP="002050EB">
      <w:pPr>
        <w:pStyle w:val="NormalArial"/>
      </w:pPr>
      <w:r>
        <w:t xml:space="preserve">Analyse available census and national survey information to assess the economic demand for skills by targeted sector. </w:t>
      </w:r>
    </w:p>
    <w:p w14:paraId="60D2F875" w14:textId="77777777" w:rsidR="002514D3" w:rsidRDefault="002050EB" w:rsidP="002050EB">
      <w:pPr>
        <w:pStyle w:val="NormalArial"/>
      </w:pPr>
      <w:r>
        <w:t xml:space="preserve">Identify skill shortages by noting the number of foreign workers by occupation. </w:t>
      </w:r>
    </w:p>
    <w:p w14:paraId="2A74CB83" w14:textId="189293F9" w:rsidR="002050EB" w:rsidRDefault="002050EB" w:rsidP="002050EB">
      <w:pPr>
        <w:pStyle w:val="NormalArial"/>
      </w:pPr>
      <w:r>
        <w:t>Identify skills gaps by occupation by comparing the post-school qualification rate of foreign workers with domestic workers.</w:t>
      </w:r>
    </w:p>
    <w:p w14:paraId="5DB032C9" w14:textId="77777777" w:rsidR="002050EB" w:rsidRDefault="002050EB" w:rsidP="002050EB">
      <w:pPr>
        <w:spacing w:after="0"/>
      </w:pPr>
      <w:r>
        <w:t xml:space="preserve">Measure the learning outcomes measures by gains in skills and knowledge achieved by graduates usually measured by pre- and post-tests. Make use of the pre-tests in LLN and VSK already carried out. Post-tests are also needed, e.g. IELTS results, a test of skill. </w:t>
      </w:r>
    </w:p>
    <w:p w14:paraId="4B992CD3" w14:textId="77777777" w:rsidR="002050EB" w:rsidRPr="000663BF" w:rsidRDefault="002050EB" w:rsidP="002050EB">
      <w:pPr>
        <w:pStyle w:val="NormalArial"/>
        <w:rPr>
          <w:b/>
        </w:rPr>
      </w:pPr>
      <w:r w:rsidRPr="00546F37">
        <w:rPr>
          <w:b/>
        </w:rPr>
        <w:t>Goal (b) Employment: Pacific Islander women and men with Australian qualifications realise improved employment opportunities nationally, regionally and internationally in targeted sectors</w:t>
      </w:r>
    </w:p>
    <w:p w14:paraId="4E597265" w14:textId="65B1E907" w:rsidR="002050EB" w:rsidRDefault="002050EB" w:rsidP="002050EB">
      <w:pPr>
        <w:pStyle w:val="NormalArial"/>
      </w:pPr>
      <w:r>
        <w:t>Evaluation data: Measure improved employment opportunities by collecting data on the employment outcomes of APTC graduates compared with TVET graduates with an equivalent qualification in the same labour market. This requires the collection of information on the employment outcomes of both APTC and other TVET graduates. It</w:t>
      </w:r>
      <w:r w:rsidR="003731E4">
        <w:t> </w:t>
      </w:r>
      <w:r>
        <w:t xml:space="preserve">also requires collecting employment information </w:t>
      </w:r>
      <w:r w:rsidR="00F81CA6">
        <w:t xml:space="preserve">from students </w:t>
      </w:r>
      <w:r>
        <w:t xml:space="preserve">such as wage rates and type of job held and wage rate </w:t>
      </w:r>
      <w:r w:rsidR="00F81CA6">
        <w:t>prior to enrolling in APTC</w:t>
      </w:r>
      <w:r>
        <w:t xml:space="preserve">. </w:t>
      </w:r>
    </w:p>
    <w:p w14:paraId="58865B11" w14:textId="69D35E4D" w:rsidR="002050EB" w:rsidRDefault="002050EB" w:rsidP="002050EB">
      <w:pPr>
        <w:pStyle w:val="NormalArial"/>
      </w:pPr>
      <w:r>
        <w:t xml:space="preserve">Collect information from APTC students and graduates on whether their post-graduation job is with the same employer at the start of training, during training or after graduation. Also collect information on type of job matched to field of study, income and time period for income, benefits gained if in same job after graduation. Collect information on time taken to find a job based on date of first employment after completing APTC training, and duration of job search, if not currently employed. </w:t>
      </w:r>
    </w:p>
    <w:p w14:paraId="0D0AA211" w14:textId="77777777" w:rsidR="004C2444" w:rsidRDefault="002050EB" w:rsidP="004C2444">
      <w:pPr>
        <w:pStyle w:val="NormalArial"/>
        <w:spacing w:before="0" w:after="60"/>
      </w:pPr>
      <w:r>
        <w:t>The data requirements include information on the graduate’s</w:t>
      </w:r>
      <w:r w:rsidR="003731E4">
        <w:t>:</w:t>
      </w:r>
      <w:r>
        <w:t xml:space="preserve"> </w:t>
      </w:r>
    </w:p>
    <w:p w14:paraId="7E2E5A5C" w14:textId="77777777" w:rsidR="004C2444" w:rsidRDefault="002050EB" w:rsidP="004C2444">
      <w:pPr>
        <w:pStyle w:val="NormalArial"/>
        <w:numPr>
          <w:ilvl w:val="0"/>
          <w:numId w:val="84"/>
        </w:numPr>
        <w:spacing w:before="0" w:after="60"/>
      </w:pPr>
      <w:r>
        <w:t xml:space="preserve">specific APTC qualification or qualifications (level of </w:t>
      </w:r>
      <w:r w:rsidR="004C2444">
        <w:t>qualification, field of study)</w:t>
      </w:r>
    </w:p>
    <w:p w14:paraId="3B2BB7C1" w14:textId="77777777" w:rsidR="004C2444" w:rsidRDefault="002050EB" w:rsidP="004C2444">
      <w:pPr>
        <w:pStyle w:val="NormalArial"/>
        <w:numPr>
          <w:ilvl w:val="0"/>
          <w:numId w:val="84"/>
        </w:numPr>
        <w:spacing w:before="0" w:after="60"/>
      </w:pPr>
      <w:r>
        <w:t>type of job or employment coded in ISCO and ANZSCO</w:t>
      </w:r>
    </w:p>
    <w:p w14:paraId="1BC9CEBB" w14:textId="77777777" w:rsidR="004C2444" w:rsidRDefault="002050EB" w:rsidP="004C2444">
      <w:pPr>
        <w:pStyle w:val="NormalArial"/>
        <w:numPr>
          <w:ilvl w:val="0"/>
          <w:numId w:val="84"/>
        </w:numPr>
        <w:spacing w:before="0" w:after="60"/>
      </w:pPr>
      <w:r>
        <w:t>gross wage or income per week</w:t>
      </w:r>
    </w:p>
    <w:p w14:paraId="356074DE" w14:textId="280CAD62" w:rsidR="002050EB" w:rsidRDefault="002050EB" w:rsidP="004C2444">
      <w:pPr>
        <w:pStyle w:val="NormalArial"/>
        <w:numPr>
          <w:ilvl w:val="0"/>
          <w:numId w:val="84"/>
        </w:numPr>
        <w:spacing w:before="0"/>
        <w:ind w:left="714" w:hanging="357"/>
      </w:pPr>
      <w:r>
        <w:t xml:space="preserve">an indicator of the reliability of that wage or income.   </w:t>
      </w:r>
    </w:p>
    <w:p w14:paraId="50702C62" w14:textId="77777777" w:rsidR="002050EB" w:rsidRDefault="002050EB" w:rsidP="002050EB">
      <w:pPr>
        <w:pStyle w:val="NormalArial"/>
      </w:pPr>
      <w:r>
        <w:t xml:space="preserve">A common core tracer survey questionnaire needs to be developed and an agreement reached in each campus country to use this questionnaire for the conduct of any TVET tracer surveys. Additional questions could be asked in each country as required.  </w:t>
      </w:r>
    </w:p>
    <w:p w14:paraId="7A638D3B" w14:textId="77777777" w:rsidR="002050EB" w:rsidRDefault="002050EB" w:rsidP="002050EB">
      <w:pPr>
        <w:pStyle w:val="NormalArial"/>
      </w:pPr>
      <w:r>
        <w:t xml:space="preserve">Administer APTC-wide graduate tracer surveys at qualification level one year after graduation and APTC-wide three years after graduation. Ensure that the response rates are high enough to gather robust information on the employment outcomes of graduates by qualification. </w:t>
      </w:r>
    </w:p>
    <w:p w14:paraId="582E0446" w14:textId="77777777" w:rsidR="002050EB" w:rsidRPr="00902A97" w:rsidRDefault="002050EB" w:rsidP="002050EB">
      <w:pPr>
        <w:pStyle w:val="NormalArial"/>
        <w:rPr>
          <w:b/>
        </w:rPr>
      </w:pPr>
      <w:r w:rsidRPr="00546F37">
        <w:rPr>
          <w:b/>
        </w:rPr>
        <w:t>Goal (c) Productivity: Increased productivity of individuals and organisations in targeted industries and sectors</w:t>
      </w:r>
    </w:p>
    <w:p w14:paraId="06CCE970" w14:textId="77777777" w:rsidR="00F57259" w:rsidRDefault="002050EB" w:rsidP="00F57259">
      <w:pPr>
        <w:pStyle w:val="NormalArial"/>
        <w:spacing w:before="0" w:after="60"/>
      </w:pPr>
      <w:r>
        <w:t>Evaluation data: Enterprise and graduate data needs to be collected on</w:t>
      </w:r>
      <w:r w:rsidR="00D2194F">
        <w:t>:</w:t>
      </w:r>
      <w:r>
        <w:t xml:space="preserve"> </w:t>
      </w:r>
    </w:p>
    <w:p w14:paraId="4DE1F9DB" w14:textId="1FCE8735" w:rsidR="00F57259" w:rsidRDefault="002050EB" w:rsidP="00F57259">
      <w:pPr>
        <w:pStyle w:val="NormalArial"/>
        <w:spacing w:before="0" w:after="60"/>
        <w:ind w:left="720"/>
      </w:pPr>
      <w:r>
        <w:t xml:space="preserve">(1) behaviour change </w:t>
      </w:r>
      <w:r w:rsidR="005541C8">
        <w:t>in the workplace</w:t>
      </w:r>
    </w:p>
    <w:p w14:paraId="065C2374" w14:textId="5125CF33" w:rsidR="00F57259" w:rsidRDefault="002050EB" w:rsidP="00F57259">
      <w:pPr>
        <w:pStyle w:val="NormalArial"/>
        <w:spacing w:before="0" w:after="60"/>
        <w:ind w:left="720"/>
      </w:pPr>
      <w:r>
        <w:t>(2) improved productivity due to the input of APTC graduates</w:t>
      </w:r>
      <w:r w:rsidR="005541C8" w:rsidRPr="005541C8">
        <w:t xml:space="preserve"> </w:t>
      </w:r>
    </w:p>
    <w:p w14:paraId="0D910D8C" w14:textId="77777777" w:rsidR="00F57259" w:rsidRDefault="005541C8" w:rsidP="00F57259">
      <w:pPr>
        <w:pStyle w:val="NormalArial"/>
        <w:spacing w:before="0"/>
        <w:ind w:left="720"/>
      </w:pPr>
      <w:r w:rsidRPr="005541C8">
        <w:t>(3) cost benefits to the enterprise through the replacement of foreign workers</w:t>
      </w:r>
      <w:r w:rsidR="002050EB">
        <w:t xml:space="preserve">. </w:t>
      </w:r>
    </w:p>
    <w:p w14:paraId="7866C439" w14:textId="10C16AA3" w:rsidR="002050EB" w:rsidRDefault="002050EB" w:rsidP="002050EB">
      <w:pPr>
        <w:pStyle w:val="NormalArial"/>
      </w:pPr>
      <w:r>
        <w:t xml:space="preserve">The first can be measured by identifying the behavioural change produced by APTC graduates applying in the workplace the skills and knowledge they gained in their APTC training. The behaviour change can be measured by a survey of graduates and separately of enterprises. </w:t>
      </w:r>
    </w:p>
    <w:p w14:paraId="1982B3E6" w14:textId="0C144E10" w:rsidR="002050EB" w:rsidRDefault="002050EB" w:rsidP="002050EB">
      <w:pPr>
        <w:pStyle w:val="NormalArial"/>
      </w:pPr>
      <w:r>
        <w:t>Graduates in employment need to be asked whether they are responsible for, or contributed to</w:t>
      </w:r>
      <w:r w:rsidR="00622527">
        <w:t>,</w:t>
      </w:r>
      <w:r>
        <w:t xml:space="preserve"> formal or informal training for fellow employees in their current organisation. They should also be asked about their role in the introduction of new and more efficient workplace practices to replace traditional ways used by their organisation.   </w:t>
      </w:r>
    </w:p>
    <w:p w14:paraId="463C3554" w14:textId="77777777" w:rsidR="002050EB" w:rsidRDefault="002050EB" w:rsidP="002050EB">
      <w:pPr>
        <w:pStyle w:val="NormalArial"/>
      </w:pPr>
      <w:r>
        <w:t xml:space="preserve">Employers should also be asked about the role of APTC graduates in formal or informal training for fellow employees and to estimate the number of co-workers benefiting from these specific activities. They should also be asked to assess impact on organisational performance of APTC graduates’ effect on co-workers.  </w:t>
      </w:r>
    </w:p>
    <w:p w14:paraId="0ED6A8E4" w14:textId="77777777" w:rsidR="002050EB" w:rsidRDefault="002050EB" w:rsidP="002050EB">
      <w:pPr>
        <w:spacing w:after="0"/>
      </w:pPr>
      <w:r>
        <w:t>Employers should also be asked:</w:t>
      </w:r>
    </w:p>
    <w:p w14:paraId="5C19F058" w14:textId="77777777" w:rsidR="002050EB" w:rsidRDefault="002050EB" w:rsidP="000668BA">
      <w:pPr>
        <w:pStyle w:val="NormalArial"/>
        <w:numPr>
          <w:ilvl w:val="0"/>
          <w:numId w:val="57"/>
        </w:numPr>
        <w:ind w:left="783" w:hanging="360"/>
      </w:pPr>
      <w:r>
        <w:t>on a five- or seven-point scale about the nature and extent of changes to work practices and their impact on the productivity of their organisation</w:t>
      </w:r>
    </w:p>
    <w:p w14:paraId="6A263EAD" w14:textId="77777777" w:rsidR="002050EB" w:rsidRDefault="002050EB" w:rsidP="000668BA">
      <w:pPr>
        <w:pStyle w:val="NormalArial"/>
        <w:numPr>
          <w:ilvl w:val="0"/>
          <w:numId w:val="57"/>
        </w:numPr>
        <w:ind w:left="783" w:hanging="360"/>
      </w:pPr>
      <w:r>
        <w:t xml:space="preserve">for information on their organisation’s current wage structure for employees in the type of work performed by APTC graduates and for each APTC graduate in particular   </w:t>
      </w:r>
    </w:p>
    <w:p w14:paraId="583F6377" w14:textId="77777777" w:rsidR="002050EB" w:rsidRDefault="002050EB" w:rsidP="000668BA">
      <w:pPr>
        <w:pStyle w:val="NormalArial"/>
        <w:numPr>
          <w:ilvl w:val="0"/>
          <w:numId w:val="57"/>
        </w:numPr>
        <w:ind w:left="783" w:hanging="360"/>
      </w:pPr>
      <w:r>
        <w:t xml:space="preserve">for information on productivity changes, including asking them to estimate the productivity difference (in percentage terms) between individual APTC graduates and similar workers who did not take part in APTC training. </w:t>
      </w:r>
    </w:p>
    <w:p w14:paraId="12D7A64C" w14:textId="77777777" w:rsidR="002050EB" w:rsidRDefault="002050EB" w:rsidP="002050EB">
      <w:pPr>
        <w:pStyle w:val="NormalArial"/>
      </w:pPr>
      <w:r>
        <w:t xml:space="preserve">The change to productivity can be measured by quantifying the results produced by APTC graduates in achieving the organisation’s goals. This requires that enterprises identify critical processes or customer requirements; work out specific, quantifiable outputs of work; and set targets against which results can be scored. </w:t>
      </w:r>
    </w:p>
    <w:p w14:paraId="761371D2" w14:textId="77777777" w:rsidR="002050EB" w:rsidRDefault="002050EB" w:rsidP="002050EB">
      <w:pPr>
        <w:pStyle w:val="NormalArial"/>
      </w:pPr>
      <w:r>
        <w:t xml:space="preserve">The measurement of productivity change may need to be done on a case study basis because enterprises need to make a substantial commitment to put in place the framework for measuring productivity and to collect the required data. </w:t>
      </w:r>
    </w:p>
    <w:p w14:paraId="630278AD" w14:textId="04488EF8" w:rsidR="002050EB" w:rsidRDefault="005541C8" w:rsidP="002050EB">
      <w:pPr>
        <w:pStyle w:val="NormalArial"/>
      </w:pPr>
      <w:r w:rsidRPr="005541C8">
        <w:t>Information on the total cost of employment of foreign workers needs to be collected, including salary, benefits, housing and recruitment costs. Information is also needed on the costs involved in employing the APTC graduate who is replacing the foreign worker, covering the same items.</w:t>
      </w:r>
    </w:p>
    <w:p w14:paraId="70DC7A8F" w14:textId="77777777" w:rsidR="002050EB" w:rsidRDefault="002050EB" w:rsidP="002050EB">
      <w:pPr>
        <w:spacing w:after="0"/>
        <w:sectPr w:rsidR="002050EB" w:rsidSect="00FF3EDE">
          <w:headerReference w:type="default" r:id="rId70"/>
          <w:type w:val="continuous"/>
          <w:pgSz w:w="11904" w:h="16834"/>
          <w:pgMar w:top="1440" w:right="1701" w:bottom="1440" w:left="1701" w:header="709" w:footer="709" w:gutter="0"/>
          <w:cols w:space="708"/>
          <w:docGrid w:linePitch="326"/>
        </w:sectPr>
      </w:pPr>
    </w:p>
    <w:p w14:paraId="698C948C" w14:textId="77777777" w:rsidR="002050EB" w:rsidRDefault="002050EB" w:rsidP="009B4045">
      <w:pPr>
        <w:sectPr w:rsidR="002050EB" w:rsidSect="00FF3EDE">
          <w:headerReference w:type="default" r:id="rId71"/>
          <w:type w:val="continuous"/>
          <w:pgSz w:w="11904" w:h="16834"/>
          <w:pgMar w:top="1440" w:right="1701" w:bottom="1440" w:left="1701" w:header="709" w:footer="709" w:gutter="0"/>
          <w:cols w:space="720"/>
          <w:docGrid w:linePitch="360"/>
        </w:sectPr>
      </w:pPr>
    </w:p>
    <w:p w14:paraId="508A72DC" w14:textId="6A654D84" w:rsidR="004F74D7" w:rsidRDefault="004F74D7" w:rsidP="009B4045"/>
    <w:p w14:paraId="237B52A7" w14:textId="77777777" w:rsidR="004F74D7" w:rsidRDefault="004F74D7" w:rsidP="002028A6">
      <w:pPr>
        <w:pStyle w:val="Heading1"/>
        <w:sectPr w:rsidR="004F74D7" w:rsidSect="004F74D7">
          <w:headerReference w:type="default" r:id="rId72"/>
          <w:pgSz w:w="11904" w:h="16834"/>
          <w:pgMar w:top="1440" w:right="1701" w:bottom="1440" w:left="1701" w:header="709" w:footer="709" w:gutter="0"/>
          <w:cols w:space="720"/>
          <w:docGrid w:linePitch="360"/>
        </w:sectPr>
      </w:pPr>
    </w:p>
    <w:p w14:paraId="79BA2642" w14:textId="1B16D753" w:rsidR="000913FE" w:rsidRDefault="00BE4073" w:rsidP="002028A6">
      <w:pPr>
        <w:pStyle w:val="Heading1"/>
      </w:pPr>
      <w:bookmarkStart w:id="936" w:name="_Toc272855321"/>
      <w:bookmarkStart w:id="937" w:name="_Toc274039142"/>
      <w:bookmarkStart w:id="938" w:name="_Toc274295070"/>
      <w:bookmarkStart w:id="939" w:name="_Toc278447983"/>
      <w:bookmarkStart w:id="940" w:name="_Toc278453456"/>
      <w:r w:rsidRPr="006E43CD">
        <w:t>ANNEX 9</w:t>
      </w:r>
      <w:r>
        <w:t>:</w:t>
      </w:r>
      <w:r w:rsidRPr="006E43CD">
        <w:t xml:space="preserve"> VALUE FOR </w:t>
      </w:r>
      <w:r>
        <w:t>M</w:t>
      </w:r>
      <w:r w:rsidRPr="006E43CD">
        <w:t>ONEY</w:t>
      </w:r>
      <w:bookmarkEnd w:id="936"/>
      <w:bookmarkEnd w:id="937"/>
      <w:bookmarkEnd w:id="938"/>
      <w:bookmarkEnd w:id="939"/>
      <w:bookmarkEnd w:id="940"/>
    </w:p>
    <w:p w14:paraId="755AA6D3" w14:textId="77777777" w:rsidR="000913FE" w:rsidRPr="006E43CD" w:rsidRDefault="000913FE" w:rsidP="000913FE">
      <w:pPr>
        <w:rPr>
          <w:b/>
        </w:rPr>
      </w:pPr>
      <w:r w:rsidRPr="006E43CD">
        <w:rPr>
          <w:b/>
        </w:rPr>
        <w:t>Question posed in the evaluation plan for this review: To what extent have APTC activities been cost-efficient and implemented in the most efficient way compared to possible alternatives?</w:t>
      </w:r>
    </w:p>
    <w:p w14:paraId="31BEE404" w14:textId="77777777" w:rsidR="000913FE" w:rsidRDefault="000913FE" w:rsidP="000913FE"/>
    <w:p w14:paraId="033E2E92" w14:textId="77777777" w:rsidR="000913FE" w:rsidRDefault="000913FE" w:rsidP="000913FE">
      <w:pPr>
        <w:rPr>
          <w:b/>
        </w:rPr>
      </w:pPr>
      <w:r>
        <w:rPr>
          <w:b/>
        </w:rPr>
        <w:t>Contents</w:t>
      </w:r>
    </w:p>
    <w:sdt>
      <w:sdtPr>
        <w:rPr>
          <w:sz w:val="22"/>
          <w:szCs w:val="22"/>
        </w:rPr>
        <w:id w:val="6620177"/>
        <w:docPartObj>
          <w:docPartGallery w:val="Table of Contents"/>
          <w:docPartUnique/>
        </w:docPartObj>
      </w:sdtPr>
      <w:sdtEndPr>
        <w:rPr>
          <w:sz w:val="20"/>
          <w:szCs w:val="24"/>
        </w:rPr>
      </w:sdtEndPr>
      <w:sdtContent>
        <w:p w14:paraId="327A7C37" w14:textId="7BF2DBF0" w:rsidR="00037059" w:rsidRPr="00E843A4" w:rsidRDefault="00037059" w:rsidP="00441936">
          <w:pPr>
            <w:pStyle w:val="TOC1"/>
            <w:rPr>
              <w:rFonts w:asciiTheme="minorHAnsi" w:eastAsiaTheme="minorEastAsia" w:hAnsiTheme="minorHAnsi" w:cstheme="minorBidi"/>
              <w:sz w:val="24"/>
              <w:lang w:val="en-US" w:eastAsia="ja-JP"/>
            </w:rPr>
          </w:pPr>
          <w:r w:rsidRPr="00E843A4">
            <w:t>1</w:t>
          </w:r>
          <w:r w:rsidRPr="00E843A4">
            <w:rPr>
              <w:rFonts w:asciiTheme="minorHAnsi" w:eastAsiaTheme="minorEastAsia" w:hAnsiTheme="minorHAnsi" w:cstheme="minorBidi"/>
              <w:sz w:val="24"/>
              <w:lang w:val="en-US" w:eastAsia="ja-JP"/>
            </w:rPr>
            <w:tab/>
          </w:r>
          <w:r w:rsidRPr="00E843A4">
            <w:t>Introduction: value for money</w:t>
          </w:r>
          <w:r w:rsidRPr="00E843A4">
            <w:tab/>
          </w:r>
          <w:r w:rsidRPr="00E843A4">
            <w:fldChar w:fldCharType="begin"/>
          </w:r>
          <w:r w:rsidRPr="00E843A4">
            <w:instrText xml:space="preserve"> PAGEREF _Toc278447984 \h </w:instrText>
          </w:r>
          <w:r w:rsidRPr="00E843A4">
            <w:fldChar w:fldCharType="separate"/>
          </w:r>
          <w:r w:rsidR="00EA0B4D">
            <w:t>167</w:t>
          </w:r>
          <w:r w:rsidRPr="00E843A4">
            <w:fldChar w:fldCharType="end"/>
          </w:r>
        </w:p>
        <w:p w14:paraId="1FFC1FA0" w14:textId="77777777" w:rsidR="00037059" w:rsidRPr="00E843A4" w:rsidRDefault="00037059" w:rsidP="00441936">
          <w:pPr>
            <w:pStyle w:val="TOC1"/>
            <w:rPr>
              <w:rFonts w:asciiTheme="minorHAnsi" w:eastAsiaTheme="minorEastAsia" w:hAnsiTheme="minorHAnsi" w:cstheme="minorBidi"/>
              <w:sz w:val="24"/>
              <w:lang w:val="en-US" w:eastAsia="ja-JP"/>
            </w:rPr>
          </w:pPr>
          <w:r w:rsidRPr="00E843A4">
            <w:t>2</w:t>
          </w:r>
          <w:r w:rsidRPr="00E843A4">
            <w:rPr>
              <w:rFonts w:asciiTheme="minorHAnsi" w:eastAsiaTheme="minorEastAsia" w:hAnsiTheme="minorHAnsi" w:cstheme="minorBidi"/>
              <w:sz w:val="24"/>
              <w:lang w:val="en-US" w:eastAsia="ja-JP"/>
            </w:rPr>
            <w:tab/>
          </w:r>
          <w:r w:rsidRPr="00E843A4">
            <w:t>Financial and education management information systems</w:t>
          </w:r>
          <w:r w:rsidRPr="00E843A4">
            <w:tab/>
          </w:r>
          <w:r w:rsidRPr="00E843A4">
            <w:fldChar w:fldCharType="begin"/>
          </w:r>
          <w:r w:rsidRPr="00E843A4">
            <w:instrText xml:space="preserve"> PAGEREF _Toc278447985 \h </w:instrText>
          </w:r>
          <w:r w:rsidRPr="00E843A4">
            <w:fldChar w:fldCharType="separate"/>
          </w:r>
          <w:r w:rsidR="00EA0B4D">
            <w:t>168</w:t>
          </w:r>
          <w:r w:rsidRPr="00E843A4">
            <w:fldChar w:fldCharType="end"/>
          </w:r>
        </w:p>
        <w:p w14:paraId="5D84844E" w14:textId="77777777" w:rsidR="00554D84" w:rsidRPr="00E843A4" w:rsidRDefault="00554D84" w:rsidP="00441936">
          <w:pPr>
            <w:pStyle w:val="TOC1"/>
            <w:rPr>
              <w:rFonts w:asciiTheme="minorHAnsi" w:eastAsiaTheme="minorEastAsia" w:hAnsiTheme="minorHAnsi" w:cstheme="minorBidi"/>
              <w:sz w:val="24"/>
              <w:lang w:val="en-US" w:eastAsia="ja-JP"/>
            </w:rPr>
          </w:pPr>
          <w:r w:rsidRPr="00E843A4">
            <w:t>3</w:t>
          </w:r>
          <w:r w:rsidRPr="00E843A4">
            <w:rPr>
              <w:rFonts w:asciiTheme="minorHAnsi" w:eastAsiaTheme="minorEastAsia" w:hAnsiTheme="minorHAnsi" w:cstheme="minorBidi"/>
              <w:sz w:val="24"/>
              <w:lang w:val="en-US" w:eastAsia="ja-JP"/>
            </w:rPr>
            <w:tab/>
          </w:r>
          <w:r w:rsidRPr="00E843A4">
            <w:t>Economy of inputs</w:t>
          </w:r>
          <w:r w:rsidRPr="00E843A4">
            <w:tab/>
          </w:r>
          <w:r w:rsidRPr="00E843A4">
            <w:fldChar w:fldCharType="begin"/>
          </w:r>
          <w:r w:rsidRPr="00E843A4">
            <w:instrText xml:space="preserve"> PAGEREF _Toc278447986 \h </w:instrText>
          </w:r>
          <w:r w:rsidRPr="00E843A4">
            <w:fldChar w:fldCharType="separate"/>
          </w:r>
          <w:r w:rsidR="00EA0B4D">
            <w:t>169</w:t>
          </w:r>
          <w:r w:rsidRPr="00E843A4">
            <w:fldChar w:fldCharType="end"/>
          </w:r>
        </w:p>
        <w:p w14:paraId="3FD47974" w14:textId="77777777" w:rsidR="00554D84" w:rsidRPr="00E843A4" w:rsidRDefault="00554D84" w:rsidP="00441936">
          <w:pPr>
            <w:pStyle w:val="TOC1"/>
            <w:rPr>
              <w:rFonts w:asciiTheme="minorHAnsi" w:eastAsiaTheme="minorEastAsia" w:hAnsiTheme="minorHAnsi" w:cstheme="minorBidi"/>
              <w:sz w:val="24"/>
              <w:lang w:val="en-US" w:eastAsia="ja-JP"/>
            </w:rPr>
          </w:pPr>
          <w:r w:rsidRPr="00E843A4">
            <w:t>4</w:t>
          </w:r>
          <w:r w:rsidRPr="00E843A4">
            <w:rPr>
              <w:rFonts w:asciiTheme="minorHAnsi" w:eastAsiaTheme="minorEastAsia" w:hAnsiTheme="minorHAnsi" w:cstheme="minorBidi"/>
              <w:sz w:val="24"/>
              <w:lang w:val="en-US" w:eastAsia="ja-JP"/>
            </w:rPr>
            <w:tab/>
          </w:r>
          <w:r w:rsidRPr="00E843A4">
            <w:t>Cost structure analysis</w:t>
          </w:r>
          <w:r w:rsidRPr="00E843A4">
            <w:tab/>
          </w:r>
          <w:r w:rsidRPr="00E843A4">
            <w:fldChar w:fldCharType="begin"/>
          </w:r>
          <w:r w:rsidRPr="00E843A4">
            <w:instrText xml:space="preserve"> PAGEREF _Toc278447987 \h </w:instrText>
          </w:r>
          <w:r w:rsidRPr="00E843A4">
            <w:fldChar w:fldCharType="separate"/>
          </w:r>
          <w:r w:rsidR="00EA0B4D">
            <w:t>170</w:t>
          </w:r>
          <w:r w:rsidRPr="00E843A4">
            <w:fldChar w:fldCharType="end"/>
          </w:r>
        </w:p>
        <w:p w14:paraId="45FFC4BF" w14:textId="77777777" w:rsidR="004D4688" w:rsidRPr="00FF51CD" w:rsidRDefault="004D4688" w:rsidP="00554D84">
          <w:pPr>
            <w:pStyle w:val="TOC2"/>
            <w:tabs>
              <w:tab w:val="left" w:pos="519"/>
              <w:tab w:val="right" w:leader="dot" w:pos="8505"/>
            </w:tabs>
            <w:rPr>
              <w:rFonts w:ascii="Arial" w:eastAsiaTheme="minorEastAsia" w:hAnsi="Arial" w:cs="Arial"/>
              <w:noProof/>
              <w:sz w:val="20"/>
              <w:szCs w:val="20"/>
              <w:lang w:val="en-US" w:eastAsia="ja-JP"/>
            </w:rPr>
          </w:pPr>
          <w:r w:rsidRPr="00FF51CD">
            <w:rPr>
              <w:rFonts w:ascii="Arial" w:hAnsi="Arial" w:cs="Arial"/>
              <w:noProof/>
              <w:sz w:val="20"/>
              <w:szCs w:val="20"/>
            </w:rPr>
            <w:t>4.1</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Total costs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_Toc274909967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170</w:t>
          </w:r>
          <w:r w:rsidRPr="00FF51CD">
            <w:rPr>
              <w:rFonts w:ascii="Arial" w:hAnsi="Arial" w:cs="Arial"/>
              <w:noProof/>
              <w:sz w:val="20"/>
              <w:szCs w:val="20"/>
            </w:rPr>
            <w:fldChar w:fldCharType="end"/>
          </w:r>
        </w:p>
        <w:p w14:paraId="002BA5F6" w14:textId="77777777" w:rsidR="004D4688" w:rsidRPr="00FF51CD" w:rsidRDefault="004D4688" w:rsidP="00554D84">
          <w:pPr>
            <w:pStyle w:val="TOC2"/>
            <w:tabs>
              <w:tab w:val="left" w:pos="519"/>
              <w:tab w:val="right" w:leader="dot" w:pos="8505"/>
            </w:tabs>
            <w:rPr>
              <w:rFonts w:ascii="Arial" w:eastAsiaTheme="minorEastAsia" w:hAnsi="Arial" w:cs="Arial"/>
              <w:noProof/>
              <w:sz w:val="20"/>
              <w:szCs w:val="20"/>
              <w:lang w:val="en-US" w:eastAsia="ja-JP"/>
            </w:rPr>
          </w:pPr>
          <w:r w:rsidRPr="00FF51CD">
            <w:rPr>
              <w:rFonts w:ascii="Arial" w:hAnsi="Arial" w:cs="Arial"/>
              <w:noProof/>
              <w:sz w:val="20"/>
              <w:szCs w:val="20"/>
            </w:rPr>
            <w:t>4.2</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Analysis of unit costs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_Toc274909968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173</w:t>
          </w:r>
          <w:r w:rsidRPr="00FF51CD">
            <w:rPr>
              <w:rFonts w:ascii="Arial" w:hAnsi="Arial" w:cs="Arial"/>
              <w:noProof/>
              <w:sz w:val="20"/>
              <w:szCs w:val="20"/>
            </w:rPr>
            <w:fldChar w:fldCharType="end"/>
          </w:r>
        </w:p>
        <w:p w14:paraId="258A884A" w14:textId="77777777" w:rsidR="004D4688" w:rsidRPr="00FF51CD" w:rsidRDefault="004D4688" w:rsidP="00554D84">
          <w:pPr>
            <w:pStyle w:val="TOC2"/>
            <w:tabs>
              <w:tab w:val="left" w:pos="519"/>
              <w:tab w:val="right" w:leader="dot" w:pos="8505"/>
            </w:tabs>
            <w:rPr>
              <w:rFonts w:ascii="Arial" w:eastAsiaTheme="minorEastAsia" w:hAnsi="Arial" w:cs="Arial"/>
              <w:noProof/>
              <w:sz w:val="20"/>
              <w:szCs w:val="20"/>
              <w:lang w:val="en-US" w:eastAsia="ja-JP"/>
            </w:rPr>
          </w:pPr>
          <w:r w:rsidRPr="00FF51CD">
            <w:rPr>
              <w:rFonts w:ascii="Arial" w:hAnsi="Arial" w:cs="Arial"/>
              <w:noProof/>
              <w:sz w:val="20"/>
              <w:szCs w:val="20"/>
            </w:rPr>
            <w:t>4.3</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Unit costs by training location</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_Toc274909969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178</w:t>
          </w:r>
          <w:r w:rsidRPr="00FF51CD">
            <w:rPr>
              <w:rFonts w:ascii="Arial" w:hAnsi="Arial" w:cs="Arial"/>
              <w:noProof/>
              <w:sz w:val="20"/>
              <w:szCs w:val="20"/>
            </w:rPr>
            <w:fldChar w:fldCharType="end"/>
          </w:r>
        </w:p>
        <w:p w14:paraId="4E9B4205" w14:textId="77777777" w:rsidR="004D4688" w:rsidRPr="00FF51CD" w:rsidRDefault="004D4688" w:rsidP="00554D84">
          <w:pPr>
            <w:pStyle w:val="TOC2"/>
            <w:tabs>
              <w:tab w:val="left" w:pos="519"/>
              <w:tab w:val="right" w:leader="dot" w:pos="8505"/>
            </w:tabs>
            <w:rPr>
              <w:rFonts w:ascii="Arial" w:eastAsiaTheme="minorEastAsia" w:hAnsi="Arial" w:cs="Arial"/>
              <w:noProof/>
              <w:sz w:val="20"/>
              <w:szCs w:val="20"/>
              <w:lang w:val="en-US" w:eastAsia="ja-JP"/>
            </w:rPr>
          </w:pPr>
          <w:r w:rsidRPr="00FF51CD">
            <w:rPr>
              <w:rFonts w:ascii="Arial" w:hAnsi="Arial" w:cs="Arial"/>
              <w:noProof/>
              <w:sz w:val="20"/>
              <w:szCs w:val="20"/>
            </w:rPr>
            <w:t>4.4</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Student–teacher ratios, double-blocking and economies of scale</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_Toc274909970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182</w:t>
          </w:r>
          <w:r w:rsidRPr="00FF51CD">
            <w:rPr>
              <w:rFonts w:ascii="Arial" w:hAnsi="Arial" w:cs="Arial"/>
              <w:noProof/>
              <w:sz w:val="20"/>
              <w:szCs w:val="20"/>
            </w:rPr>
            <w:fldChar w:fldCharType="end"/>
          </w:r>
        </w:p>
        <w:p w14:paraId="35409874" w14:textId="77777777" w:rsidR="004D4688" w:rsidRPr="00FF51CD" w:rsidRDefault="004D4688" w:rsidP="00554D84">
          <w:pPr>
            <w:pStyle w:val="TOC2"/>
            <w:tabs>
              <w:tab w:val="left" w:pos="519"/>
              <w:tab w:val="right" w:leader="dot" w:pos="8505"/>
            </w:tabs>
            <w:rPr>
              <w:rFonts w:ascii="Arial" w:eastAsiaTheme="minorEastAsia" w:hAnsi="Arial" w:cs="Arial"/>
              <w:noProof/>
              <w:sz w:val="20"/>
              <w:szCs w:val="20"/>
              <w:lang w:val="en-US" w:eastAsia="ja-JP"/>
            </w:rPr>
          </w:pPr>
          <w:r w:rsidRPr="00FF51CD">
            <w:rPr>
              <w:rFonts w:ascii="Arial" w:hAnsi="Arial" w:cs="Arial"/>
              <w:noProof/>
              <w:sz w:val="20"/>
              <w:szCs w:val="20"/>
            </w:rPr>
            <w:t>4.5</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Nationalisation of APTC staff</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_Toc274909971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185</w:t>
          </w:r>
          <w:r w:rsidRPr="00FF51CD">
            <w:rPr>
              <w:rFonts w:ascii="Arial" w:hAnsi="Arial" w:cs="Arial"/>
              <w:noProof/>
              <w:sz w:val="20"/>
              <w:szCs w:val="20"/>
            </w:rPr>
            <w:fldChar w:fldCharType="end"/>
          </w:r>
        </w:p>
        <w:p w14:paraId="056ED3DF" w14:textId="77777777" w:rsidR="00554D84" w:rsidRPr="00E843A4" w:rsidRDefault="00554D84" w:rsidP="00441936">
          <w:pPr>
            <w:pStyle w:val="TOC1"/>
            <w:rPr>
              <w:rFonts w:asciiTheme="minorHAnsi" w:eastAsiaTheme="minorEastAsia" w:hAnsiTheme="minorHAnsi" w:cstheme="minorBidi"/>
              <w:sz w:val="24"/>
              <w:lang w:val="en-US" w:eastAsia="ja-JP"/>
            </w:rPr>
          </w:pPr>
          <w:r w:rsidRPr="00E843A4">
            <w:t>5.</w:t>
          </w:r>
          <w:r w:rsidRPr="00E843A4">
            <w:rPr>
              <w:rFonts w:asciiTheme="minorHAnsi" w:eastAsiaTheme="minorEastAsia" w:hAnsiTheme="minorHAnsi" w:cstheme="minorBidi"/>
              <w:sz w:val="24"/>
              <w:lang w:val="en-US" w:eastAsia="ja-JP"/>
            </w:rPr>
            <w:tab/>
          </w:r>
          <w:r w:rsidRPr="00E843A4">
            <w:t>Cost-benefit analysis</w:t>
          </w:r>
          <w:r w:rsidRPr="00E843A4">
            <w:tab/>
          </w:r>
          <w:r w:rsidRPr="00E843A4">
            <w:fldChar w:fldCharType="begin"/>
          </w:r>
          <w:r w:rsidRPr="00E843A4">
            <w:instrText xml:space="preserve"> PAGEREF _Toc278447993 \h </w:instrText>
          </w:r>
          <w:r w:rsidRPr="00E843A4">
            <w:fldChar w:fldCharType="separate"/>
          </w:r>
          <w:r w:rsidR="00EA0B4D">
            <w:t>190</w:t>
          </w:r>
          <w:r w:rsidRPr="00E843A4">
            <w:fldChar w:fldCharType="end"/>
          </w:r>
        </w:p>
        <w:p w14:paraId="07C2C079" w14:textId="77777777" w:rsidR="00554D84" w:rsidRPr="00E843A4" w:rsidRDefault="00554D84" w:rsidP="00441936">
          <w:pPr>
            <w:pStyle w:val="TOC1"/>
            <w:rPr>
              <w:rFonts w:asciiTheme="minorHAnsi" w:eastAsiaTheme="minorEastAsia" w:hAnsiTheme="minorHAnsi" w:cstheme="minorBidi"/>
              <w:sz w:val="24"/>
              <w:lang w:val="en-US" w:eastAsia="ja-JP"/>
            </w:rPr>
          </w:pPr>
          <w:r w:rsidRPr="00E843A4">
            <w:t>6.</w:t>
          </w:r>
          <w:r w:rsidRPr="00E843A4">
            <w:rPr>
              <w:rFonts w:asciiTheme="minorHAnsi" w:eastAsiaTheme="minorEastAsia" w:hAnsiTheme="minorHAnsi" w:cstheme="minorBidi"/>
              <w:sz w:val="24"/>
              <w:lang w:val="en-US" w:eastAsia="ja-JP"/>
            </w:rPr>
            <w:tab/>
          </w:r>
          <w:r w:rsidRPr="00E843A4">
            <w:t>Sustainability</w:t>
          </w:r>
          <w:r w:rsidRPr="00E843A4">
            <w:tab/>
          </w:r>
          <w:r w:rsidRPr="00E843A4">
            <w:fldChar w:fldCharType="begin"/>
          </w:r>
          <w:r w:rsidRPr="00E843A4">
            <w:instrText xml:space="preserve"> PAGEREF _Toc278447994 \h </w:instrText>
          </w:r>
          <w:r w:rsidRPr="00E843A4">
            <w:fldChar w:fldCharType="separate"/>
          </w:r>
          <w:r w:rsidR="00EA0B4D">
            <w:t>198</w:t>
          </w:r>
          <w:r w:rsidRPr="00E843A4">
            <w:fldChar w:fldCharType="end"/>
          </w:r>
        </w:p>
        <w:p w14:paraId="555E86BF" w14:textId="77777777" w:rsidR="00554D84" w:rsidRPr="00E843A4" w:rsidRDefault="00554D84" w:rsidP="00441936">
          <w:pPr>
            <w:pStyle w:val="TOC1"/>
            <w:rPr>
              <w:rFonts w:asciiTheme="minorHAnsi" w:eastAsiaTheme="minorEastAsia" w:hAnsiTheme="minorHAnsi" w:cstheme="minorBidi"/>
              <w:sz w:val="24"/>
              <w:lang w:val="en-US" w:eastAsia="ja-JP"/>
            </w:rPr>
          </w:pPr>
          <w:r w:rsidRPr="00E843A4">
            <w:t>7.</w:t>
          </w:r>
          <w:r w:rsidRPr="00E843A4">
            <w:rPr>
              <w:rFonts w:asciiTheme="minorHAnsi" w:eastAsiaTheme="minorEastAsia" w:hAnsiTheme="minorHAnsi" w:cstheme="minorBidi"/>
              <w:sz w:val="24"/>
              <w:lang w:val="en-US" w:eastAsia="ja-JP"/>
            </w:rPr>
            <w:tab/>
          </w:r>
          <w:r w:rsidRPr="00E843A4">
            <w:t>Concluding remarks</w:t>
          </w:r>
          <w:r w:rsidRPr="00E843A4">
            <w:tab/>
          </w:r>
          <w:r w:rsidRPr="00E843A4">
            <w:fldChar w:fldCharType="begin"/>
          </w:r>
          <w:r w:rsidRPr="00E843A4">
            <w:instrText xml:space="preserve"> PAGEREF _Toc278447995 \h </w:instrText>
          </w:r>
          <w:r w:rsidRPr="00E843A4">
            <w:fldChar w:fldCharType="separate"/>
          </w:r>
          <w:r w:rsidR="00EA0B4D">
            <w:t>201</w:t>
          </w:r>
          <w:r w:rsidRPr="00E843A4">
            <w:fldChar w:fldCharType="end"/>
          </w:r>
        </w:p>
        <w:p w14:paraId="26642E59" w14:textId="77777777" w:rsidR="00554D84" w:rsidRPr="00E843A4" w:rsidRDefault="00554D84" w:rsidP="00441936">
          <w:pPr>
            <w:pStyle w:val="TOC1"/>
            <w:rPr>
              <w:rFonts w:asciiTheme="minorHAnsi" w:eastAsiaTheme="minorEastAsia" w:hAnsiTheme="minorHAnsi" w:cstheme="minorBidi"/>
              <w:sz w:val="24"/>
              <w:lang w:val="en-US" w:eastAsia="ja-JP"/>
            </w:rPr>
          </w:pPr>
          <w:r w:rsidRPr="00E843A4">
            <w:t>8.</w:t>
          </w:r>
          <w:r w:rsidRPr="00E843A4">
            <w:rPr>
              <w:rFonts w:asciiTheme="minorHAnsi" w:eastAsiaTheme="minorEastAsia" w:hAnsiTheme="minorHAnsi" w:cstheme="minorBidi"/>
              <w:sz w:val="24"/>
              <w:lang w:val="en-US" w:eastAsia="ja-JP"/>
            </w:rPr>
            <w:tab/>
          </w:r>
          <w:r w:rsidRPr="00E843A4">
            <w:t>Appendix tables</w:t>
          </w:r>
          <w:r w:rsidRPr="00E843A4">
            <w:tab/>
          </w:r>
          <w:r w:rsidRPr="00E843A4">
            <w:fldChar w:fldCharType="begin"/>
          </w:r>
          <w:r w:rsidRPr="00E843A4">
            <w:instrText xml:space="preserve"> PAGEREF _Toc278447996 \h </w:instrText>
          </w:r>
          <w:r w:rsidRPr="00E843A4">
            <w:fldChar w:fldCharType="separate"/>
          </w:r>
          <w:r w:rsidR="00EA0B4D">
            <w:t>204</w:t>
          </w:r>
          <w:r w:rsidRPr="00E843A4">
            <w:fldChar w:fldCharType="end"/>
          </w:r>
        </w:p>
        <w:p w14:paraId="015DF848" w14:textId="1D891F21" w:rsidR="000913FE" w:rsidRPr="00097658" w:rsidRDefault="0068333A" w:rsidP="00441936">
          <w:pPr>
            <w:pStyle w:val="TOC1"/>
          </w:pPr>
        </w:p>
      </w:sdtContent>
    </w:sdt>
    <w:p w14:paraId="0D0A8AC5" w14:textId="77777777" w:rsidR="000913FE" w:rsidRDefault="000913FE" w:rsidP="000913FE">
      <w:pPr>
        <w:rPr>
          <w:b/>
        </w:rPr>
      </w:pPr>
      <w:r>
        <w:rPr>
          <w:b/>
        </w:rPr>
        <w:t>List of tables</w:t>
      </w:r>
    </w:p>
    <w:p w14:paraId="687A6C46" w14:textId="7912FFC8" w:rsidR="000913FE" w:rsidRPr="004E3825" w:rsidRDefault="000913FE" w:rsidP="00926CD3">
      <w:pPr>
        <w:pStyle w:val="TableofFigures"/>
        <w:tabs>
          <w:tab w:val="right" w:leader="dot" w:pos="8222"/>
          <w:tab w:val="right" w:leader="dot" w:pos="9014"/>
        </w:tabs>
        <w:spacing w:after="40"/>
        <w:rPr>
          <w:noProof/>
          <w:sz w:val="20"/>
        </w:rPr>
      </w:pPr>
      <w:r w:rsidRPr="004E3825">
        <w:rPr>
          <w:b/>
          <w:sz w:val="20"/>
        </w:rPr>
        <w:fldChar w:fldCharType="begin"/>
      </w:r>
      <w:r w:rsidRPr="004E3825">
        <w:rPr>
          <w:b/>
          <w:sz w:val="20"/>
        </w:rPr>
        <w:instrText xml:space="preserve"> TOC \t "Table heading" \c </w:instrText>
      </w:r>
      <w:r w:rsidRPr="004E3825">
        <w:rPr>
          <w:b/>
          <w:sz w:val="20"/>
        </w:rPr>
        <w:fldChar w:fldCharType="separate"/>
      </w:r>
      <w:r w:rsidRPr="004E3825">
        <w:rPr>
          <w:noProof/>
          <w:sz w:val="20"/>
        </w:rPr>
        <w:t>Table 1: APTC approval limits for purchases</w:t>
      </w:r>
      <w:r w:rsidRPr="004E3825">
        <w:rPr>
          <w:noProof/>
          <w:sz w:val="20"/>
        </w:rPr>
        <w:tab/>
      </w:r>
      <w:r w:rsidRPr="004E3825">
        <w:rPr>
          <w:noProof/>
          <w:sz w:val="20"/>
        </w:rPr>
        <w:fldChar w:fldCharType="begin"/>
      </w:r>
      <w:r w:rsidRPr="004E3825">
        <w:rPr>
          <w:noProof/>
          <w:sz w:val="20"/>
        </w:rPr>
        <w:instrText xml:space="preserve"> PAGEREF _Toc272855454 \h </w:instrText>
      </w:r>
      <w:r w:rsidRPr="004E3825">
        <w:rPr>
          <w:noProof/>
          <w:sz w:val="20"/>
        </w:rPr>
      </w:r>
      <w:r w:rsidRPr="004E3825">
        <w:rPr>
          <w:noProof/>
          <w:sz w:val="20"/>
        </w:rPr>
        <w:fldChar w:fldCharType="separate"/>
      </w:r>
      <w:r w:rsidR="00EA0B4D">
        <w:rPr>
          <w:noProof/>
          <w:sz w:val="20"/>
        </w:rPr>
        <w:t>169</w:t>
      </w:r>
      <w:r w:rsidRPr="004E3825">
        <w:rPr>
          <w:noProof/>
          <w:sz w:val="20"/>
        </w:rPr>
        <w:fldChar w:fldCharType="end"/>
      </w:r>
    </w:p>
    <w:p w14:paraId="3B98B46D" w14:textId="0705B785"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2: Approximate annual compensation (base salaries and benefits), APTC staff as </w:t>
      </w:r>
      <w:r w:rsidRPr="004E3825">
        <w:rPr>
          <w:noProof/>
          <w:sz w:val="20"/>
        </w:rPr>
        <w:br/>
        <w:t xml:space="preserve">   </w:t>
      </w:r>
      <w:r w:rsidR="00A20989">
        <w:rPr>
          <w:noProof/>
          <w:sz w:val="20"/>
        </w:rPr>
        <w:t xml:space="preserve">of </w:t>
      </w:r>
      <w:r w:rsidRPr="004E3825">
        <w:rPr>
          <w:noProof/>
          <w:sz w:val="20"/>
        </w:rPr>
        <w:t>31 July, 2014 (AUD)</w:t>
      </w:r>
      <w:r w:rsidRPr="004E3825">
        <w:rPr>
          <w:noProof/>
          <w:sz w:val="20"/>
        </w:rPr>
        <w:tab/>
      </w:r>
      <w:r w:rsidRPr="004E3825">
        <w:rPr>
          <w:noProof/>
          <w:sz w:val="20"/>
        </w:rPr>
        <w:fldChar w:fldCharType="begin"/>
      </w:r>
      <w:r w:rsidRPr="004E3825">
        <w:rPr>
          <w:noProof/>
          <w:sz w:val="20"/>
        </w:rPr>
        <w:instrText xml:space="preserve"> PAGEREF _Toc272855478 \h </w:instrText>
      </w:r>
      <w:r w:rsidRPr="004E3825">
        <w:rPr>
          <w:noProof/>
          <w:sz w:val="20"/>
        </w:rPr>
      </w:r>
      <w:r w:rsidRPr="004E3825">
        <w:rPr>
          <w:noProof/>
          <w:sz w:val="20"/>
        </w:rPr>
        <w:fldChar w:fldCharType="separate"/>
      </w:r>
      <w:r w:rsidR="00EA0B4D">
        <w:rPr>
          <w:noProof/>
          <w:sz w:val="20"/>
        </w:rPr>
        <w:t>186</w:t>
      </w:r>
      <w:r w:rsidRPr="004E3825">
        <w:rPr>
          <w:noProof/>
          <w:sz w:val="20"/>
        </w:rPr>
        <w:fldChar w:fldCharType="end"/>
      </w:r>
    </w:p>
    <w:p w14:paraId="6C4E8679" w14:textId="32D26C91"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3: Coefficients used by review team to estimate approximate benefits</w:t>
      </w:r>
      <w:r w:rsidRPr="004E3825">
        <w:rPr>
          <w:noProof/>
          <w:sz w:val="20"/>
        </w:rPr>
        <w:tab/>
      </w:r>
      <w:r w:rsidRPr="004E3825">
        <w:rPr>
          <w:noProof/>
          <w:sz w:val="20"/>
        </w:rPr>
        <w:fldChar w:fldCharType="begin"/>
      </w:r>
      <w:r w:rsidRPr="004E3825">
        <w:rPr>
          <w:noProof/>
          <w:sz w:val="20"/>
        </w:rPr>
        <w:instrText xml:space="preserve"> PAGEREF _Toc272855479 \h </w:instrText>
      </w:r>
      <w:r w:rsidRPr="004E3825">
        <w:rPr>
          <w:noProof/>
          <w:sz w:val="20"/>
        </w:rPr>
      </w:r>
      <w:r w:rsidRPr="004E3825">
        <w:rPr>
          <w:noProof/>
          <w:sz w:val="20"/>
        </w:rPr>
        <w:fldChar w:fldCharType="separate"/>
      </w:r>
      <w:r w:rsidR="00EA0B4D">
        <w:rPr>
          <w:noProof/>
          <w:sz w:val="20"/>
        </w:rPr>
        <w:t>187</w:t>
      </w:r>
      <w:r w:rsidRPr="004E3825">
        <w:rPr>
          <w:noProof/>
          <w:sz w:val="20"/>
        </w:rPr>
        <w:fldChar w:fldCharType="end"/>
      </w:r>
    </w:p>
    <w:p w14:paraId="1B89B7BC" w14:textId="4D9BD070"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4: Australian income tax rates for FY 2013/2014</w:t>
      </w:r>
      <w:r w:rsidRPr="004E3825">
        <w:rPr>
          <w:noProof/>
          <w:sz w:val="20"/>
        </w:rPr>
        <w:tab/>
      </w:r>
      <w:r w:rsidRPr="004E3825">
        <w:rPr>
          <w:noProof/>
          <w:sz w:val="20"/>
        </w:rPr>
        <w:fldChar w:fldCharType="begin"/>
      </w:r>
      <w:r w:rsidRPr="004E3825">
        <w:rPr>
          <w:noProof/>
          <w:sz w:val="20"/>
        </w:rPr>
        <w:instrText xml:space="preserve"> PAGEREF _Toc272855480 \h </w:instrText>
      </w:r>
      <w:r w:rsidRPr="004E3825">
        <w:rPr>
          <w:noProof/>
          <w:sz w:val="20"/>
        </w:rPr>
      </w:r>
      <w:r w:rsidRPr="004E3825">
        <w:rPr>
          <w:noProof/>
          <w:sz w:val="20"/>
        </w:rPr>
        <w:fldChar w:fldCharType="separate"/>
      </w:r>
      <w:r w:rsidR="00EA0B4D">
        <w:rPr>
          <w:noProof/>
          <w:sz w:val="20"/>
        </w:rPr>
        <w:t>187</w:t>
      </w:r>
      <w:r w:rsidRPr="004E3825">
        <w:rPr>
          <w:noProof/>
          <w:sz w:val="20"/>
        </w:rPr>
        <w:fldChar w:fldCharType="end"/>
      </w:r>
    </w:p>
    <w:p w14:paraId="0D5A70CE" w14:textId="11DCB0EC"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5: Range of values for key parameters of the models used to estimate the ERRs </w:t>
      </w:r>
      <w:r w:rsidRPr="004E3825">
        <w:rPr>
          <w:noProof/>
          <w:sz w:val="20"/>
        </w:rPr>
        <w:br/>
        <w:t xml:space="preserve">   </w:t>
      </w:r>
      <w:r w:rsidR="00A20989">
        <w:rPr>
          <w:noProof/>
          <w:sz w:val="20"/>
        </w:rPr>
        <w:t xml:space="preserve">and </w:t>
      </w:r>
      <w:r w:rsidRPr="004E3825">
        <w:rPr>
          <w:noProof/>
          <w:sz w:val="20"/>
        </w:rPr>
        <w:t>to conduct sensitivity analyses</w:t>
      </w:r>
      <w:r w:rsidRPr="004E3825">
        <w:rPr>
          <w:noProof/>
          <w:sz w:val="20"/>
        </w:rPr>
        <w:tab/>
      </w:r>
      <w:r w:rsidRPr="004E3825">
        <w:rPr>
          <w:noProof/>
          <w:sz w:val="20"/>
        </w:rPr>
        <w:fldChar w:fldCharType="begin"/>
      </w:r>
      <w:r w:rsidRPr="004E3825">
        <w:rPr>
          <w:noProof/>
          <w:sz w:val="20"/>
        </w:rPr>
        <w:instrText xml:space="preserve"> PAGEREF _Toc272855485 \h </w:instrText>
      </w:r>
      <w:r w:rsidRPr="004E3825">
        <w:rPr>
          <w:noProof/>
          <w:sz w:val="20"/>
        </w:rPr>
      </w:r>
      <w:r w:rsidRPr="004E3825">
        <w:rPr>
          <w:noProof/>
          <w:sz w:val="20"/>
        </w:rPr>
        <w:fldChar w:fldCharType="separate"/>
      </w:r>
      <w:r w:rsidR="00EA0B4D">
        <w:rPr>
          <w:noProof/>
          <w:sz w:val="20"/>
        </w:rPr>
        <w:t>192</w:t>
      </w:r>
      <w:r w:rsidRPr="004E3825">
        <w:rPr>
          <w:noProof/>
          <w:sz w:val="20"/>
        </w:rPr>
        <w:fldChar w:fldCharType="end"/>
      </w:r>
    </w:p>
    <w:p w14:paraId="61A64994" w14:textId="33422DE5"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6: Average weekly earnings of migrants from Pacific with Certificate III and IV </w:t>
      </w:r>
      <w:r w:rsidRPr="004E3825">
        <w:rPr>
          <w:noProof/>
          <w:sz w:val="20"/>
        </w:rPr>
        <w:br/>
        <w:t xml:space="preserve">   </w:t>
      </w:r>
      <w:r w:rsidR="000D4B15" w:rsidRPr="004E3825">
        <w:rPr>
          <w:noProof/>
          <w:sz w:val="20"/>
        </w:rPr>
        <w:t xml:space="preserve">training </w:t>
      </w:r>
      <w:r w:rsidRPr="004E3825">
        <w:rPr>
          <w:noProof/>
          <w:sz w:val="20"/>
        </w:rPr>
        <w:t>to Australia (AUD)</w:t>
      </w:r>
      <w:r w:rsidRPr="004E3825">
        <w:rPr>
          <w:noProof/>
          <w:sz w:val="20"/>
        </w:rPr>
        <w:tab/>
      </w:r>
      <w:r w:rsidRPr="004E3825">
        <w:rPr>
          <w:noProof/>
          <w:sz w:val="20"/>
        </w:rPr>
        <w:fldChar w:fldCharType="begin"/>
      </w:r>
      <w:r w:rsidRPr="004E3825">
        <w:rPr>
          <w:noProof/>
          <w:sz w:val="20"/>
        </w:rPr>
        <w:instrText xml:space="preserve"> PAGEREF _Toc272855486 \h </w:instrText>
      </w:r>
      <w:r w:rsidRPr="004E3825">
        <w:rPr>
          <w:noProof/>
          <w:sz w:val="20"/>
        </w:rPr>
      </w:r>
      <w:r w:rsidRPr="004E3825">
        <w:rPr>
          <w:noProof/>
          <w:sz w:val="20"/>
        </w:rPr>
        <w:fldChar w:fldCharType="separate"/>
      </w:r>
      <w:r w:rsidR="00EA0B4D">
        <w:rPr>
          <w:noProof/>
          <w:sz w:val="20"/>
        </w:rPr>
        <w:t>194</w:t>
      </w:r>
      <w:r w:rsidRPr="004E3825">
        <w:rPr>
          <w:noProof/>
          <w:sz w:val="20"/>
        </w:rPr>
        <w:fldChar w:fldCharType="end"/>
      </w:r>
    </w:p>
    <w:p w14:paraId="43619C31" w14:textId="7282959C"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7: Impact on baseline ERRs of quantifying external (indirect) benefits and adding </w:t>
      </w:r>
      <w:r w:rsidR="00061019">
        <w:rPr>
          <w:noProof/>
          <w:sz w:val="20"/>
        </w:rPr>
        <w:br/>
        <w:t xml:space="preserve">   </w:t>
      </w:r>
      <w:r w:rsidRPr="004E3825">
        <w:rPr>
          <w:noProof/>
          <w:sz w:val="20"/>
        </w:rPr>
        <w:t>these to the ERR models (AUD)</w:t>
      </w:r>
      <w:r w:rsidRPr="004E3825">
        <w:rPr>
          <w:noProof/>
          <w:sz w:val="20"/>
        </w:rPr>
        <w:tab/>
      </w:r>
      <w:r w:rsidRPr="004E3825">
        <w:rPr>
          <w:noProof/>
          <w:sz w:val="20"/>
        </w:rPr>
        <w:fldChar w:fldCharType="begin"/>
      </w:r>
      <w:r w:rsidRPr="004E3825">
        <w:rPr>
          <w:noProof/>
          <w:sz w:val="20"/>
        </w:rPr>
        <w:instrText xml:space="preserve"> PAGEREF _Toc272855491 \h </w:instrText>
      </w:r>
      <w:r w:rsidRPr="004E3825">
        <w:rPr>
          <w:noProof/>
          <w:sz w:val="20"/>
        </w:rPr>
      </w:r>
      <w:r w:rsidRPr="004E3825">
        <w:rPr>
          <w:noProof/>
          <w:sz w:val="20"/>
        </w:rPr>
        <w:fldChar w:fldCharType="separate"/>
      </w:r>
      <w:r w:rsidR="00EA0B4D">
        <w:rPr>
          <w:noProof/>
          <w:sz w:val="20"/>
        </w:rPr>
        <w:t>198</w:t>
      </w:r>
      <w:r w:rsidRPr="004E3825">
        <w:rPr>
          <w:noProof/>
          <w:sz w:val="20"/>
        </w:rPr>
        <w:fldChar w:fldCharType="end"/>
      </w:r>
    </w:p>
    <w:p w14:paraId="12B1CD15" w14:textId="77777777" w:rsidR="000913FE" w:rsidRPr="004E3825" w:rsidRDefault="000913FE" w:rsidP="00926CD3">
      <w:pPr>
        <w:tabs>
          <w:tab w:val="right" w:leader="dot" w:pos="8222"/>
        </w:tabs>
        <w:spacing w:after="40"/>
        <w:rPr>
          <w:noProof/>
          <w:sz w:val="20"/>
        </w:rPr>
      </w:pPr>
    </w:p>
    <w:p w14:paraId="4A156AD5" w14:textId="77777777" w:rsidR="000913FE" w:rsidRPr="004E3825" w:rsidRDefault="000913FE" w:rsidP="00926CD3">
      <w:pPr>
        <w:tabs>
          <w:tab w:val="right" w:leader="dot" w:pos="8222"/>
        </w:tabs>
        <w:spacing w:after="40"/>
        <w:rPr>
          <w:b/>
          <w:noProof/>
          <w:sz w:val="20"/>
        </w:rPr>
      </w:pPr>
      <w:r w:rsidRPr="004E3825">
        <w:rPr>
          <w:b/>
          <w:noProof/>
          <w:sz w:val="20"/>
        </w:rPr>
        <w:t>List of figures</w:t>
      </w:r>
    </w:p>
    <w:p w14:paraId="32B03CCE" w14:textId="594DCF18"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1: Expenditure in Stages I and II by capital, scholarships, management, </w:t>
      </w:r>
      <w:r w:rsidRPr="004E3825">
        <w:rPr>
          <w:noProof/>
          <w:sz w:val="20"/>
        </w:rPr>
        <w:br/>
        <w:t xml:space="preserve">   and other recurrent costs (AUD millions)</w:t>
      </w:r>
      <w:r w:rsidRPr="004E3825">
        <w:rPr>
          <w:noProof/>
          <w:sz w:val="20"/>
        </w:rPr>
        <w:tab/>
      </w:r>
      <w:r w:rsidRPr="004E3825">
        <w:rPr>
          <w:noProof/>
          <w:sz w:val="20"/>
        </w:rPr>
        <w:fldChar w:fldCharType="begin"/>
      </w:r>
      <w:r w:rsidRPr="004E3825">
        <w:rPr>
          <w:noProof/>
          <w:sz w:val="20"/>
        </w:rPr>
        <w:instrText xml:space="preserve"> PAGEREF _Toc272855455 \h </w:instrText>
      </w:r>
      <w:r w:rsidRPr="004E3825">
        <w:rPr>
          <w:noProof/>
          <w:sz w:val="20"/>
        </w:rPr>
      </w:r>
      <w:r w:rsidRPr="004E3825">
        <w:rPr>
          <w:noProof/>
          <w:sz w:val="20"/>
        </w:rPr>
        <w:fldChar w:fldCharType="separate"/>
      </w:r>
      <w:r w:rsidR="00EA0B4D">
        <w:rPr>
          <w:noProof/>
          <w:sz w:val="20"/>
        </w:rPr>
        <w:t>171</w:t>
      </w:r>
      <w:r w:rsidRPr="004E3825">
        <w:rPr>
          <w:noProof/>
          <w:sz w:val="20"/>
        </w:rPr>
        <w:fldChar w:fldCharType="end"/>
      </w:r>
    </w:p>
    <w:p w14:paraId="2E1972FE" w14:textId="6D2A8044"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2</w:t>
      </w:r>
      <w:r w:rsidR="004E52A6">
        <w:rPr>
          <w:noProof/>
          <w:sz w:val="20"/>
        </w:rPr>
        <w:t xml:space="preserve">: Stage II capital expenditure </w:t>
      </w:r>
      <w:r w:rsidRPr="004E3825">
        <w:rPr>
          <w:noProof/>
          <w:sz w:val="20"/>
        </w:rPr>
        <w:t>(AUD millions, total $10.7 million)</w:t>
      </w:r>
      <w:r w:rsidRPr="004E3825">
        <w:rPr>
          <w:noProof/>
          <w:sz w:val="20"/>
        </w:rPr>
        <w:tab/>
      </w:r>
      <w:r w:rsidRPr="004E3825">
        <w:rPr>
          <w:noProof/>
          <w:sz w:val="20"/>
        </w:rPr>
        <w:fldChar w:fldCharType="begin"/>
      </w:r>
      <w:r w:rsidRPr="004E3825">
        <w:rPr>
          <w:noProof/>
          <w:sz w:val="20"/>
        </w:rPr>
        <w:instrText xml:space="preserve"> PAGEREF _Toc272855456 \h </w:instrText>
      </w:r>
      <w:r w:rsidRPr="004E3825">
        <w:rPr>
          <w:noProof/>
          <w:sz w:val="20"/>
        </w:rPr>
      </w:r>
      <w:r w:rsidRPr="004E3825">
        <w:rPr>
          <w:noProof/>
          <w:sz w:val="20"/>
        </w:rPr>
        <w:fldChar w:fldCharType="separate"/>
      </w:r>
      <w:r w:rsidR="00EA0B4D">
        <w:rPr>
          <w:noProof/>
          <w:sz w:val="20"/>
        </w:rPr>
        <w:t>171</w:t>
      </w:r>
      <w:r w:rsidRPr="004E3825">
        <w:rPr>
          <w:noProof/>
          <w:sz w:val="20"/>
        </w:rPr>
        <w:fldChar w:fldCharType="end"/>
      </w:r>
    </w:p>
    <w:p w14:paraId="215D510B" w14:textId="48C30485"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3: Manageme</w:t>
      </w:r>
      <w:r w:rsidR="004E52A6">
        <w:rPr>
          <w:noProof/>
          <w:sz w:val="20"/>
        </w:rPr>
        <w:t>nt fees paid to TAFEQ, Stage II</w:t>
      </w:r>
      <w:r w:rsidRPr="004E3825">
        <w:rPr>
          <w:noProof/>
          <w:sz w:val="20"/>
        </w:rPr>
        <w:t xml:space="preserve"> (AUD millions, total $20.7 million)</w:t>
      </w:r>
      <w:r w:rsidRPr="004E3825">
        <w:rPr>
          <w:noProof/>
          <w:sz w:val="20"/>
        </w:rPr>
        <w:tab/>
      </w:r>
      <w:r w:rsidRPr="004E3825">
        <w:rPr>
          <w:noProof/>
          <w:sz w:val="20"/>
        </w:rPr>
        <w:fldChar w:fldCharType="begin"/>
      </w:r>
      <w:r w:rsidRPr="004E3825">
        <w:rPr>
          <w:noProof/>
          <w:sz w:val="20"/>
        </w:rPr>
        <w:instrText xml:space="preserve"> PAGEREF _Toc272855457 \h </w:instrText>
      </w:r>
      <w:r w:rsidRPr="004E3825">
        <w:rPr>
          <w:noProof/>
          <w:sz w:val="20"/>
        </w:rPr>
      </w:r>
      <w:r w:rsidRPr="004E3825">
        <w:rPr>
          <w:noProof/>
          <w:sz w:val="20"/>
        </w:rPr>
        <w:fldChar w:fldCharType="separate"/>
      </w:r>
      <w:r w:rsidR="00EA0B4D">
        <w:rPr>
          <w:noProof/>
          <w:sz w:val="20"/>
        </w:rPr>
        <w:t>172</w:t>
      </w:r>
      <w:r w:rsidRPr="004E3825">
        <w:rPr>
          <w:noProof/>
          <w:sz w:val="20"/>
        </w:rPr>
        <w:fldChar w:fldCharType="end"/>
      </w:r>
    </w:p>
    <w:p w14:paraId="13FAD383" w14:textId="6801574F"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4: Recurrent expenditure other than management fees, Stage II  </w:t>
      </w:r>
      <w:r w:rsidRPr="004E3825">
        <w:rPr>
          <w:noProof/>
          <w:sz w:val="20"/>
        </w:rPr>
        <w:br/>
        <w:t xml:space="preserve">   (AUD millions, total $112.6 million)</w:t>
      </w:r>
      <w:r w:rsidRPr="004E3825">
        <w:rPr>
          <w:noProof/>
          <w:sz w:val="20"/>
        </w:rPr>
        <w:tab/>
      </w:r>
      <w:r w:rsidRPr="004E3825">
        <w:rPr>
          <w:noProof/>
          <w:sz w:val="20"/>
        </w:rPr>
        <w:fldChar w:fldCharType="begin"/>
      </w:r>
      <w:r w:rsidRPr="004E3825">
        <w:rPr>
          <w:noProof/>
          <w:sz w:val="20"/>
        </w:rPr>
        <w:instrText xml:space="preserve"> PAGEREF _Toc272855458 \h </w:instrText>
      </w:r>
      <w:r w:rsidRPr="004E3825">
        <w:rPr>
          <w:noProof/>
          <w:sz w:val="20"/>
        </w:rPr>
      </w:r>
      <w:r w:rsidRPr="004E3825">
        <w:rPr>
          <w:noProof/>
          <w:sz w:val="20"/>
        </w:rPr>
        <w:fldChar w:fldCharType="separate"/>
      </w:r>
      <w:r w:rsidR="00EA0B4D">
        <w:rPr>
          <w:noProof/>
          <w:sz w:val="20"/>
        </w:rPr>
        <w:t>172</w:t>
      </w:r>
      <w:r w:rsidRPr="004E3825">
        <w:rPr>
          <w:noProof/>
          <w:sz w:val="20"/>
        </w:rPr>
        <w:fldChar w:fldCharType="end"/>
      </w:r>
    </w:p>
    <w:p w14:paraId="18910B21" w14:textId="167F61A5"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5: Recurrent expenditure by economic purpose, Stage II</w:t>
      </w:r>
      <w:r w:rsidRPr="004E3825">
        <w:rPr>
          <w:noProof/>
          <w:sz w:val="20"/>
        </w:rPr>
        <w:tab/>
      </w:r>
      <w:r w:rsidRPr="004E3825">
        <w:rPr>
          <w:noProof/>
          <w:sz w:val="20"/>
        </w:rPr>
        <w:fldChar w:fldCharType="begin"/>
      </w:r>
      <w:r w:rsidRPr="004E3825">
        <w:rPr>
          <w:noProof/>
          <w:sz w:val="20"/>
        </w:rPr>
        <w:instrText xml:space="preserve"> PAGEREF _Toc272855459 \h </w:instrText>
      </w:r>
      <w:r w:rsidRPr="004E3825">
        <w:rPr>
          <w:noProof/>
          <w:sz w:val="20"/>
        </w:rPr>
      </w:r>
      <w:r w:rsidRPr="004E3825">
        <w:rPr>
          <w:noProof/>
          <w:sz w:val="20"/>
        </w:rPr>
        <w:fldChar w:fldCharType="separate"/>
      </w:r>
      <w:r w:rsidR="00EA0B4D">
        <w:rPr>
          <w:noProof/>
          <w:sz w:val="20"/>
        </w:rPr>
        <w:t>173</w:t>
      </w:r>
      <w:r w:rsidRPr="004E3825">
        <w:rPr>
          <w:noProof/>
          <w:sz w:val="20"/>
        </w:rPr>
        <w:fldChar w:fldCharType="end"/>
      </w:r>
    </w:p>
    <w:p w14:paraId="0F64AFDB" w14:textId="2FD1B8A8"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6: Unit costs, Stages I and II (AUD thousands)</w:t>
      </w:r>
      <w:r w:rsidRPr="004E3825">
        <w:rPr>
          <w:noProof/>
          <w:sz w:val="20"/>
        </w:rPr>
        <w:tab/>
      </w:r>
      <w:r w:rsidRPr="004E3825">
        <w:rPr>
          <w:noProof/>
          <w:sz w:val="20"/>
        </w:rPr>
        <w:fldChar w:fldCharType="begin"/>
      </w:r>
      <w:r w:rsidRPr="004E3825">
        <w:rPr>
          <w:noProof/>
          <w:sz w:val="20"/>
        </w:rPr>
        <w:instrText xml:space="preserve"> PAGEREF _Toc272855460 \h </w:instrText>
      </w:r>
      <w:r w:rsidRPr="004E3825">
        <w:rPr>
          <w:noProof/>
          <w:sz w:val="20"/>
        </w:rPr>
      </w:r>
      <w:r w:rsidRPr="004E3825">
        <w:rPr>
          <w:noProof/>
          <w:sz w:val="20"/>
        </w:rPr>
        <w:fldChar w:fldCharType="separate"/>
      </w:r>
      <w:r w:rsidR="00EA0B4D">
        <w:rPr>
          <w:noProof/>
          <w:sz w:val="20"/>
        </w:rPr>
        <w:t>174</w:t>
      </w:r>
      <w:r w:rsidRPr="004E3825">
        <w:rPr>
          <w:noProof/>
          <w:sz w:val="20"/>
        </w:rPr>
        <w:fldChar w:fldCharType="end"/>
      </w:r>
    </w:p>
    <w:p w14:paraId="24BB273F" w14:textId="1BA5C3F9"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7: Costs per student of national training institutions (NTIs) in the Pacific </w:t>
      </w:r>
      <w:r w:rsidRPr="004E3825">
        <w:rPr>
          <w:noProof/>
          <w:sz w:val="20"/>
        </w:rPr>
        <w:br/>
        <w:t xml:space="preserve">   as compared with APTC (AUD thousands)</w:t>
      </w:r>
      <w:r w:rsidRPr="004E3825">
        <w:rPr>
          <w:noProof/>
          <w:sz w:val="20"/>
        </w:rPr>
        <w:tab/>
      </w:r>
      <w:r w:rsidRPr="004E3825">
        <w:rPr>
          <w:noProof/>
          <w:sz w:val="20"/>
        </w:rPr>
        <w:fldChar w:fldCharType="begin"/>
      </w:r>
      <w:r w:rsidRPr="004E3825">
        <w:rPr>
          <w:noProof/>
          <w:sz w:val="20"/>
        </w:rPr>
        <w:instrText xml:space="preserve"> PAGEREF _Toc272855461 \h </w:instrText>
      </w:r>
      <w:r w:rsidRPr="004E3825">
        <w:rPr>
          <w:noProof/>
          <w:sz w:val="20"/>
        </w:rPr>
      </w:r>
      <w:r w:rsidRPr="004E3825">
        <w:rPr>
          <w:noProof/>
          <w:sz w:val="20"/>
        </w:rPr>
        <w:fldChar w:fldCharType="separate"/>
      </w:r>
      <w:r w:rsidR="00EA0B4D">
        <w:rPr>
          <w:noProof/>
          <w:sz w:val="20"/>
        </w:rPr>
        <w:t>174</w:t>
      </w:r>
      <w:r w:rsidRPr="004E3825">
        <w:rPr>
          <w:noProof/>
          <w:sz w:val="20"/>
        </w:rPr>
        <w:fldChar w:fldCharType="end"/>
      </w:r>
    </w:p>
    <w:p w14:paraId="3ADD68B0" w14:textId="415BF11D"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8: Costs per FTE – a comparison of APTC with RTOs in Australia</w:t>
      </w:r>
      <w:r w:rsidR="000C2A04">
        <w:rPr>
          <w:noProof/>
          <w:sz w:val="20"/>
        </w:rPr>
        <w:tab/>
      </w:r>
      <w:r w:rsidRPr="004E3825">
        <w:rPr>
          <w:noProof/>
          <w:sz w:val="20"/>
        </w:rPr>
        <w:fldChar w:fldCharType="begin"/>
      </w:r>
      <w:r w:rsidRPr="004E3825">
        <w:rPr>
          <w:noProof/>
          <w:sz w:val="20"/>
        </w:rPr>
        <w:instrText xml:space="preserve"> PAGEREF _Toc272855462 \h </w:instrText>
      </w:r>
      <w:r w:rsidRPr="004E3825">
        <w:rPr>
          <w:noProof/>
          <w:sz w:val="20"/>
        </w:rPr>
      </w:r>
      <w:r w:rsidRPr="004E3825">
        <w:rPr>
          <w:noProof/>
          <w:sz w:val="20"/>
        </w:rPr>
        <w:fldChar w:fldCharType="separate"/>
      </w:r>
      <w:r w:rsidR="00EA0B4D">
        <w:rPr>
          <w:noProof/>
          <w:sz w:val="20"/>
        </w:rPr>
        <w:t>176</w:t>
      </w:r>
      <w:r w:rsidRPr="004E3825">
        <w:rPr>
          <w:noProof/>
          <w:sz w:val="20"/>
        </w:rPr>
        <w:fldChar w:fldCharType="end"/>
      </w:r>
    </w:p>
    <w:p w14:paraId="5B0608BE" w14:textId="7F3DAE36"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9: Students by semester, 2007–2015</w:t>
      </w:r>
      <w:r w:rsidRPr="004E3825">
        <w:rPr>
          <w:noProof/>
          <w:sz w:val="20"/>
        </w:rPr>
        <w:tab/>
      </w:r>
      <w:r w:rsidRPr="004E3825">
        <w:rPr>
          <w:noProof/>
          <w:sz w:val="20"/>
        </w:rPr>
        <w:fldChar w:fldCharType="begin"/>
      </w:r>
      <w:r w:rsidRPr="004E3825">
        <w:rPr>
          <w:noProof/>
          <w:sz w:val="20"/>
        </w:rPr>
        <w:instrText xml:space="preserve"> PAGEREF _Toc272855463 \h </w:instrText>
      </w:r>
      <w:r w:rsidRPr="004E3825">
        <w:rPr>
          <w:noProof/>
          <w:sz w:val="20"/>
        </w:rPr>
      </w:r>
      <w:r w:rsidRPr="004E3825">
        <w:rPr>
          <w:noProof/>
          <w:sz w:val="20"/>
        </w:rPr>
        <w:fldChar w:fldCharType="separate"/>
      </w:r>
      <w:r w:rsidR="00EA0B4D">
        <w:rPr>
          <w:noProof/>
          <w:sz w:val="20"/>
        </w:rPr>
        <w:t>177</w:t>
      </w:r>
      <w:r w:rsidRPr="004E3825">
        <w:rPr>
          <w:noProof/>
          <w:sz w:val="20"/>
        </w:rPr>
        <w:fldChar w:fldCharType="end"/>
      </w:r>
    </w:p>
    <w:p w14:paraId="118A54F1" w14:textId="7C515529"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10: Students and graduates by semester, 2007–2015</w:t>
      </w:r>
      <w:r w:rsidRPr="004E3825">
        <w:rPr>
          <w:noProof/>
          <w:sz w:val="20"/>
        </w:rPr>
        <w:tab/>
      </w:r>
      <w:r w:rsidRPr="004E3825">
        <w:rPr>
          <w:noProof/>
          <w:sz w:val="20"/>
        </w:rPr>
        <w:fldChar w:fldCharType="begin"/>
      </w:r>
      <w:r w:rsidRPr="004E3825">
        <w:rPr>
          <w:noProof/>
          <w:sz w:val="20"/>
        </w:rPr>
        <w:instrText xml:space="preserve"> PAGEREF _Toc272855464 \h </w:instrText>
      </w:r>
      <w:r w:rsidRPr="004E3825">
        <w:rPr>
          <w:noProof/>
          <w:sz w:val="20"/>
        </w:rPr>
      </w:r>
      <w:r w:rsidRPr="004E3825">
        <w:rPr>
          <w:noProof/>
          <w:sz w:val="20"/>
        </w:rPr>
        <w:fldChar w:fldCharType="separate"/>
      </w:r>
      <w:r w:rsidR="00EA0B4D">
        <w:rPr>
          <w:noProof/>
          <w:sz w:val="20"/>
        </w:rPr>
        <w:t>177</w:t>
      </w:r>
      <w:r w:rsidRPr="004E3825">
        <w:rPr>
          <w:noProof/>
          <w:sz w:val="20"/>
        </w:rPr>
        <w:fldChar w:fldCharType="end"/>
      </w:r>
    </w:p>
    <w:p w14:paraId="02E954F5" w14:textId="573CF65C"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11: Expenditure at training locations and on overhead categories, Stage II</w:t>
      </w:r>
      <w:r w:rsidRPr="004E3825">
        <w:rPr>
          <w:noProof/>
          <w:sz w:val="20"/>
        </w:rPr>
        <w:tab/>
      </w:r>
      <w:r w:rsidRPr="004E3825">
        <w:rPr>
          <w:noProof/>
          <w:sz w:val="20"/>
        </w:rPr>
        <w:fldChar w:fldCharType="begin"/>
      </w:r>
      <w:r w:rsidRPr="004E3825">
        <w:rPr>
          <w:noProof/>
          <w:sz w:val="20"/>
        </w:rPr>
        <w:instrText xml:space="preserve"> PAGEREF _Toc272855465 \h </w:instrText>
      </w:r>
      <w:r w:rsidRPr="004E3825">
        <w:rPr>
          <w:noProof/>
          <w:sz w:val="20"/>
        </w:rPr>
      </w:r>
      <w:r w:rsidRPr="004E3825">
        <w:rPr>
          <w:noProof/>
          <w:sz w:val="20"/>
        </w:rPr>
        <w:fldChar w:fldCharType="separate"/>
      </w:r>
      <w:r w:rsidR="00EA0B4D">
        <w:rPr>
          <w:noProof/>
          <w:sz w:val="20"/>
        </w:rPr>
        <w:t>178</w:t>
      </w:r>
      <w:r w:rsidRPr="004E3825">
        <w:rPr>
          <w:noProof/>
          <w:sz w:val="20"/>
        </w:rPr>
        <w:fldChar w:fldCharType="end"/>
      </w:r>
    </w:p>
    <w:p w14:paraId="4C6CDF58" w14:textId="58C419FC"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12: Percentage distribution of direct training costs by location, Stage II</w:t>
      </w:r>
      <w:r w:rsidRPr="004E3825">
        <w:rPr>
          <w:noProof/>
          <w:sz w:val="20"/>
        </w:rPr>
        <w:tab/>
      </w:r>
      <w:r w:rsidRPr="004E3825">
        <w:rPr>
          <w:noProof/>
          <w:sz w:val="20"/>
        </w:rPr>
        <w:fldChar w:fldCharType="begin"/>
      </w:r>
      <w:r w:rsidRPr="004E3825">
        <w:rPr>
          <w:noProof/>
          <w:sz w:val="20"/>
        </w:rPr>
        <w:instrText xml:space="preserve"> PAGEREF _Toc272855466 \h </w:instrText>
      </w:r>
      <w:r w:rsidRPr="004E3825">
        <w:rPr>
          <w:noProof/>
          <w:sz w:val="20"/>
        </w:rPr>
      </w:r>
      <w:r w:rsidRPr="004E3825">
        <w:rPr>
          <w:noProof/>
          <w:sz w:val="20"/>
        </w:rPr>
        <w:fldChar w:fldCharType="separate"/>
      </w:r>
      <w:r w:rsidR="00EA0B4D">
        <w:rPr>
          <w:noProof/>
          <w:sz w:val="20"/>
        </w:rPr>
        <w:t>179</w:t>
      </w:r>
      <w:r w:rsidRPr="004E3825">
        <w:rPr>
          <w:noProof/>
          <w:sz w:val="20"/>
        </w:rPr>
        <w:fldChar w:fldCharType="end"/>
      </w:r>
    </w:p>
    <w:p w14:paraId="07C1107C" w14:textId="7625CE55"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13: Expenditure by location with overhead costs allocated to locations, Stage II</w:t>
      </w:r>
      <w:r w:rsidRPr="004E3825">
        <w:rPr>
          <w:noProof/>
          <w:sz w:val="20"/>
        </w:rPr>
        <w:tab/>
      </w:r>
      <w:r w:rsidRPr="004E3825">
        <w:rPr>
          <w:noProof/>
          <w:sz w:val="20"/>
        </w:rPr>
        <w:fldChar w:fldCharType="begin"/>
      </w:r>
      <w:r w:rsidRPr="004E3825">
        <w:rPr>
          <w:noProof/>
          <w:sz w:val="20"/>
        </w:rPr>
        <w:instrText xml:space="preserve"> PAGEREF _Toc272855467 \h </w:instrText>
      </w:r>
      <w:r w:rsidRPr="004E3825">
        <w:rPr>
          <w:noProof/>
          <w:sz w:val="20"/>
        </w:rPr>
      </w:r>
      <w:r w:rsidRPr="004E3825">
        <w:rPr>
          <w:noProof/>
          <w:sz w:val="20"/>
        </w:rPr>
        <w:fldChar w:fldCharType="separate"/>
      </w:r>
      <w:r w:rsidR="00EA0B4D">
        <w:rPr>
          <w:noProof/>
          <w:sz w:val="20"/>
        </w:rPr>
        <w:t>179</w:t>
      </w:r>
      <w:r w:rsidRPr="004E3825">
        <w:rPr>
          <w:noProof/>
          <w:sz w:val="20"/>
        </w:rPr>
        <w:fldChar w:fldCharType="end"/>
      </w:r>
    </w:p>
    <w:p w14:paraId="14A2238A" w14:textId="23698166"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14: Students and graduates by training location, Stage II</w:t>
      </w:r>
      <w:r w:rsidRPr="004E3825">
        <w:rPr>
          <w:noProof/>
          <w:sz w:val="20"/>
        </w:rPr>
        <w:tab/>
      </w:r>
      <w:r w:rsidRPr="004E3825">
        <w:rPr>
          <w:noProof/>
          <w:sz w:val="20"/>
        </w:rPr>
        <w:fldChar w:fldCharType="begin"/>
      </w:r>
      <w:r w:rsidRPr="004E3825">
        <w:rPr>
          <w:noProof/>
          <w:sz w:val="20"/>
        </w:rPr>
        <w:instrText xml:space="preserve"> PAGEREF _Toc272855468 \h </w:instrText>
      </w:r>
      <w:r w:rsidRPr="004E3825">
        <w:rPr>
          <w:noProof/>
          <w:sz w:val="20"/>
        </w:rPr>
      </w:r>
      <w:r w:rsidRPr="004E3825">
        <w:rPr>
          <w:noProof/>
          <w:sz w:val="20"/>
        </w:rPr>
        <w:fldChar w:fldCharType="separate"/>
      </w:r>
      <w:r w:rsidR="00EA0B4D">
        <w:rPr>
          <w:noProof/>
          <w:sz w:val="20"/>
        </w:rPr>
        <w:t>180</w:t>
      </w:r>
      <w:r w:rsidRPr="004E3825">
        <w:rPr>
          <w:noProof/>
          <w:sz w:val="20"/>
        </w:rPr>
        <w:fldChar w:fldCharType="end"/>
      </w:r>
    </w:p>
    <w:p w14:paraId="2B3A2B58" w14:textId="2195FCE6"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15: Cost per student and cost per graduate by training location, Stage II</w:t>
      </w:r>
      <w:r w:rsidRPr="004E3825">
        <w:rPr>
          <w:noProof/>
          <w:sz w:val="20"/>
        </w:rPr>
        <w:tab/>
      </w:r>
      <w:r w:rsidRPr="004E3825">
        <w:rPr>
          <w:noProof/>
          <w:sz w:val="20"/>
        </w:rPr>
        <w:fldChar w:fldCharType="begin"/>
      </w:r>
      <w:r w:rsidRPr="004E3825">
        <w:rPr>
          <w:noProof/>
          <w:sz w:val="20"/>
        </w:rPr>
        <w:instrText xml:space="preserve"> PAGEREF _Toc272855469 \h </w:instrText>
      </w:r>
      <w:r w:rsidRPr="004E3825">
        <w:rPr>
          <w:noProof/>
          <w:sz w:val="20"/>
        </w:rPr>
      </w:r>
      <w:r w:rsidRPr="004E3825">
        <w:rPr>
          <w:noProof/>
          <w:sz w:val="20"/>
        </w:rPr>
        <w:fldChar w:fldCharType="separate"/>
      </w:r>
      <w:r w:rsidR="00EA0B4D">
        <w:rPr>
          <w:noProof/>
          <w:sz w:val="20"/>
        </w:rPr>
        <w:t>180</w:t>
      </w:r>
      <w:r w:rsidRPr="004E3825">
        <w:rPr>
          <w:noProof/>
          <w:sz w:val="20"/>
        </w:rPr>
        <w:fldChar w:fldCharType="end"/>
      </w:r>
    </w:p>
    <w:p w14:paraId="719D8A02" w14:textId="1213CB0A"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16: GDP per capita, Pacific Island Countries, 2013 (AUD)</w:t>
      </w:r>
      <w:r w:rsidRPr="004E3825">
        <w:rPr>
          <w:noProof/>
          <w:sz w:val="20"/>
        </w:rPr>
        <w:tab/>
      </w:r>
      <w:r w:rsidRPr="004E3825">
        <w:rPr>
          <w:noProof/>
          <w:sz w:val="20"/>
        </w:rPr>
        <w:fldChar w:fldCharType="begin"/>
      </w:r>
      <w:r w:rsidRPr="004E3825">
        <w:rPr>
          <w:noProof/>
          <w:sz w:val="20"/>
        </w:rPr>
        <w:instrText xml:space="preserve"> PAGEREF _Toc272855470 \h </w:instrText>
      </w:r>
      <w:r w:rsidRPr="004E3825">
        <w:rPr>
          <w:noProof/>
          <w:sz w:val="20"/>
        </w:rPr>
      </w:r>
      <w:r w:rsidRPr="004E3825">
        <w:rPr>
          <w:noProof/>
          <w:sz w:val="20"/>
        </w:rPr>
        <w:fldChar w:fldCharType="separate"/>
      </w:r>
      <w:r w:rsidR="00EA0B4D">
        <w:rPr>
          <w:noProof/>
          <w:sz w:val="20"/>
        </w:rPr>
        <w:t>180</w:t>
      </w:r>
      <w:r w:rsidRPr="004E3825">
        <w:rPr>
          <w:noProof/>
          <w:sz w:val="20"/>
        </w:rPr>
        <w:fldChar w:fldCharType="end"/>
      </w:r>
    </w:p>
    <w:p w14:paraId="43C47406" w14:textId="1C60FD0D"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17: Index of APTC national staff base salaries</w:t>
      </w:r>
      <w:r w:rsidRPr="004E3825">
        <w:rPr>
          <w:noProof/>
          <w:sz w:val="20"/>
        </w:rPr>
        <w:tab/>
      </w:r>
      <w:r w:rsidRPr="004E3825">
        <w:rPr>
          <w:noProof/>
          <w:sz w:val="20"/>
        </w:rPr>
        <w:fldChar w:fldCharType="begin"/>
      </w:r>
      <w:r w:rsidRPr="004E3825">
        <w:rPr>
          <w:noProof/>
          <w:sz w:val="20"/>
        </w:rPr>
        <w:instrText xml:space="preserve"> PAGEREF _Toc272855471 \h </w:instrText>
      </w:r>
      <w:r w:rsidRPr="004E3825">
        <w:rPr>
          <w:noProof/>
          <w:sz w:val="20"/>
        </w:rPr>
      </w:r>
      <w:r w:rsidRPr="004E3825">
        <w:rPr>
          <w:noProof/>
          <w:sz w:val="20"/>
        </w:rPr>
        <w:fldChar w:fldCharType="separate"/>
      </w:r>
      <w:r w:rsidR="00EA0B4D">
        <w:rPr>
          <w:noProof/>
          <w:sz w:val="20"/>
        </w:rPr>
        <w:t>181</w:t>
      </w:r>
      <w:r w:rsidRPr="004E3825">
        <w:rPr>
          <w:noProof/>
          <w:sz w:val="20"/>
        </w:rPr>
        <w:fldChar w:fldCharType="end"/>
      </w:r>
    </w:p>
    <w:p w14:paraId="62A3E969" w14:textId="4FD89AF6"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18: Population (in thousands) of 14 Pacific Island countries </w:t>
      </w:r>
      <w:r w:rsidRPr="004E3825">
        <w:rPr>
          <w:noProof/>
          <w:sz w:val="20"/>
        </w:rPr>
        <w:tab/>
      </w:r>
      <w:r w:rsidRPr="004E3825">
        <w:rPr>
          <w:noProof/>
          <w:sz w:val="20"/>
        </w:rPr>
        <w:fldChar w:fldCharType="begin"/>
      </w:r>
      <w:r w:rsidRPr="004E3825">
        <w:rPr>
          <w:noProof/>
          <w:sz w:val="20"/>
        </w:rPr>
        <w:instrText xml:space="preserve"> PAGEREF _Toc272855472 \h </w:instrText>
      </w:r>
      <w:r w:rsidRPr="004E3825">
        <w:rPr>
          <w:noProof/>
          <w:sz w:val="20"/>
        </w:rPr>
      </w:r>
      <w:r w:rsidRPr="004E3825">
        <w:rPr>
          <w:noProof/>
          <w:sz w:val="20"/>
        </w:rPr>
        <w:fldChar w:fldCharType="separate"/>
      </w:r>
      <w:r w:rsidR="00EA0B4D">
        <w:rPr>
          <w:noProof/>
          <w:sz w:val="20"/>
        </w:rPr>
        <w:t>182</w:t>
      </w:r>
      <w:r w:rsidRPr="004E3825">
        <w:rPr>
          <w:noProof/>
          <w:sz w:val="20"/>
        </w:rPr>
        <w:fldChar w:fldCharType="end"/>
      </w:r>
    </w:p>
    <w:p w14:paraId="453E5C2D" w14:textId="43BDB4E5"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19: Student–teacher and student–trainer ratios, Stages I and II</w:t>
      </w:r>
      <w:r w:rsidRPr="004E3825">
        <w:rPr>
          <w:noProof/>
          <w:sz w:val="20"/>
        </w:rPr>
        <w:tab/>
      </w:r>
      <w:r w:rsidRPr="004E3825">
        <w:rPr>
          <w:noProof/>
          <w:sz w:val="20"/>
        </w:rPr>
        <w:fldChar w:fldCharType="begin"/>
      </w:r>
      <w:r w:rsidRPr="004E3825">
        <w:rPr>
          <w:noProof/>
          <w:sz w:val="20"/>
        </w:rPr>
        <w:instrText xml:space="preserve"> PAGEREF _Toc272855473 \h </w:instrText>
      </w:r>
      <w:r w:rsidRPr="004E3825">
        <w:rPr>
          <w:noProof/>
          <w:sz w:val="20"/>
        </w:rPr>
      </w:r>
      <w:r w:rsidRPr="004E3825">
        <w:rPr>
          <w:noProof/>
          <w:sz w:val="20"/>
        </w:rPr>
        <w:fldChar w:fldCharType="separate"/>
      </w:r>
      <w:r w:rsidR="00EA0B4D">
        <w:rPr>
          <w:noProof/>
          <w:sz w:val="20"/>
        </w:rPr>
        <w:t>183</w:t>
      </w:r>
      <w:r w:rsidRPr="004E3825">
        <w:rPr>
          <w:noProof/>
          <w:sz w:val="20"/>
        </w:rPr>
        <w:fldChar w:fldCharType="end"/>
      </w:r>
    </w:p>
    <w:p w14:paraId="04630DEE" w14:textId="5FD193C0"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20: Average numbers of students, trainers, and tutors per semester</w:t>
      </w:r>
      <w:r w:rsidRPr="004E3825">
        <w:rPr>
          <w:noProof/>
          <w:sz w:val="20"/>
        </w:rPr>
        <w:tab/>
      </w:r>
      <w:r w:rsidRPr="004E3825">
        <w:rPr>
          <w:noProof/>
          <w:sz w:val="20"/>
        </w:rPr>
        <w:fldChar w:fldCharType="begin"/>
      </w:r>
      <w:r w:rsidRPr="004E3825">
        <w:rPr>
          <w:noProof/>
          <w:sz w:val="20"/>
        </w:rPr>
        <w:instrText xml:space="preserve"> PAGEREF _Toc272855474 \h </w:instrText>
      </w:r>
      <w:r w:rsidRPr="004E3825">
        <w:rPr>
          <w:noProof/>
          <w:sz w:val="20"/>
        </w:rPr>
      </w:r>
      <w:r w:rsidRPr="004E3825">
        <w:rPr>
          <w:noProof/>
          <w:sz w:val="20"/>
        </w:rPr>
        <w:fldChar w:fldCharType="separate"/>
      </w:r>
      <w:r w:rsidR="00EA0B4D">
        <w:rPr>
          <w:noProof/>
          <w:sz w:val="20"/>
        </w:rPr>
        <w:t>183</w:t>
      </w:r>
      <w:r w:rsidRPr="004E3825">
        <w:rPr>
          <w:noProof/>
          <w:sz w:val="20"/>
        </w:rPr>
        <w:fldChar w:fldCharType="end"/>
      </w:r>
    </w:p>
    <w:p w14:paraId="671A264B" w14:textId="061E0F6F"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21: Number of training packages offered by the five training locations</w:t>
      </w:r>
      <w:r w:rsidRPr="004E3825">
        <w:rPr>
          <w:noProof/>
          <w:sz w:val="20"/>
        </w:rPr>
        <w:tab/>
      </w:r>
      <w:r w:rsidRPr="004E3825">
        <w:rPr>
          <w:noProof/>
          <w:sz w:val="20"/>
        </w:rPr>
        <w:fldChar w:fldCharType="begin"/>
      </w:r>
      <w:r w:rsidRPr="004E3825">
        <w:rPr>
          <w:noProof/>
          <w:sz w:val="20"/>
        </w:rPr>
        <w:instrText xml:space="preserve"> PAGEREF _Toc272855475 \h </w:instrText>
      </w:r>
      <w:r w:rsidRPr="004E3825">
        <w:rPr>
          <w:noProof/>
          <w:sz w:val="20"/>
        </w:rPr>
      </w:r>
      <w:r w:rsidRPr="004E3825">
        <w:rPr>
          <w:noProof/>
          <w:sz w:val="20"/>
        </w:rPr>
        <w:fldChar w:fldCharType="separate"/>
      </w:r>
      <w:r w:rsidR="00EA0B4D">
        <w:rPr>
          <w:noProof/>
          <w:sz w:val="20"/>
        </w:rPr>
        <w:t>184</w:t>
      </w:r>
      <w:r w:rsidRPr="004E3825">
        <w:rPr>
          <w:noProof/>
          <w:sz w:val="20"/>
        </w:rPr>
        <w:fldChar w:fldCharType="end"/>
      </w:r>
    </w:p>
    <w:p w14:paraId="713C0C58" w14:textId="4A42D144"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22: Number of training locations offering courses in different training packages</w:t>
      </w:r>
      <w:r w:rsidRPr="004E3825">
        <w:rPr>
          <w:noProof/>
          <w:sz w:val="20"/>
        </w:rPr>
        <w:tab/>
      </w:r>
      <w:r w:rsidRPr="004E3825">
        <w:rPr>
          <w:noProof/>
          <w:sz w:val="20"/>
        </w:rPr>
        <w:fldChar w:fldCharType="begin"/>
      </w:r>
      <w:r w:rsidRPr="004E3825">
        <w:rPr>
          <w:noProof/>
          <w:sz w:val="20"/>
        </w:rPr>
        <w:instrText xml:space="preserve"> PAGEREF _Toc272855476 \h </w:instrText>
      </w:r>
      <w:r w:rsidRPr="004E3825">
        <w:rPr>
          <w:noProof/>
          <w:sz w:val="20"/>
        </w:rPr>
      </w:r>
      <w:r w:rsidRPr="004E3825">
        <w:rPr>
          <w:noProof/>
          <w:sz w:val="20"/>
        </w:rPr>
        <w:fldChar w:fldCharType="separate"/>
      </w:r>
      <w:r w:rsidR="00EA0B4D">
        <w:rPr>
          <w:noProof/>
          <w:sz w:val="20"/>
        </w:rPr>
        <w:t>185</w:t>
      </w:r>
      <w:r w:rsidRPr="004E3825">
        <w:rPr>
          <w:noProof/>
          <w:sz w:val="20"/>
        </w:rPr>
        <w:fldChar w:fldCharType="end"/>
      </w:r>
    </w:p>
    <w:p w14:paraId="27B28AE6" w14:textId="00630389"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23: APTC staff by nationality (Pacific Island nationals and expatriates) </w:t>
      </w:r>
      <w:r w:rsidRPr="004E3825">
        <w:rPr>
          <w:noProof/>
          <w:sz w:val="20"/>
        </w:rPr>
        <w:br/>
        <w:t xml:space="preserve">   and by position category as of 31 July 2014 (total staff 186)</w:t>
      </w:r>
      <w:r w:rsidRPr="004E3825">
        <w:rPr>
          <w:noProof/>
          <w:sz w:val="20"/>
        </w:rPr>
        <w:tab/>
      </w:r>
      <w:r w:rsidRPr="004E3825">
        <w:rPr>
          <w:noProof/>
          <w:sz w:val="20"/>
        </w:rPr>
        <w:fldChar w:fldCharType="begin"/>
      </w:r>
      <w:r w:rsidRPr="004E3825">
        <w:rPr>
          <w:noProof/>
          <w:sz w:val="20"/>
        </w:rPr>
        <w:instrText xml:space="preserve"> PAGEREF _Toc272855477 \h </w:instrText>
      </w:r>
      <w:r w:rsidRPr="004E3825">
        <w:rPr>
          <w:noProof/>
          <w:sz w:val="20"/>
        </w:rPr>
      </w:r>
      <w:r w:rsidRPr="004E3825">
        <w:rPr>
          <w:noProof/>
          <w:sz w:val="20"/>
        </w:rPr>
        <w:fldChar w:fldCharType="separate"/>
      </w:r>
      <w:r w:rsidR="00EA0B4D">
        <w:rPr>
          <w:noProof/>
          <w:sz w:val="20"/>
        </w:rPr>
        <w:t>186</w:t>
      </w:r>
      <w:r w:rsidRPr="004E3825">
        <w:rPr>
          <w:noProof/>
          <w:sz w:val="20"/>
        </w:rPr>
        <w:fldChar w:fldCharType="end"/>
      </w:r>
    </w:p>
    <w:p w14:paraId="07876802" w14:textId="718B4C79"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24: Approximate salaries and benefits, expatriate and national staff,  FY 2013/14 </w:t>
      </w:r>
      <w:r w:rsidRPr="004E3825">
        <w:rPr>
          <w:noProof/>
          <w:sz w:val="20"/>
        </w:rPr>
        <w:tab/>
      </w:r>
      <w:r w:rsidRPr="004E3825">
        <w:rPr>
          <w:noProof/>
          <w:sz w:val="20"/>
        </w:rPr>
        <w:fldChar w:fldCharType="begin"/>
      </w:r>
      <w:r w:rsidRPr="004E3825">
        <w:rPr>
          <w:noProof/>
          <w:sz w:val="20"/>
        </w:rPr>
        <w:instrText xml:space="preserve"> PAGEREF _Toc272855481 \h </w:instrText>
      </w:r>
      <w:r w:rsidRPr="004E3825">
        <w:rPr>
          <w:noProof/>
          <w:sz w:val="20"/>
        </w:rPr>
      </w:r>
      <w:r w:rsidRPr="004E3825">
        <w:rPr>
          <w:noProof/>
          <w:sz w:val="20"/>
        </w:rPr>
        <w:fldChar w:fldCharType="separate"/>
      </w:r>
      <w:r w:rsidR="00EA0B4D">
        <w:rPr>
          <w:noProof/>
          <w:sz w:val="20"/>
        </w:rPr>
        <w:t>188</w:t>
      </w:r>
      <w:r w:rsidRPr="004E3825">
        <w:rPr>
          <w:noProof/>
          <w:sz w:val="20"/>
        </w:rPr>
        <w:fldChar w:fldCharType="end"/>
      </w:r>
    </w:p>
    <w:p w14:paraId="70ADCF05" w14:textId="0801B686"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25: Breakdown of benefits, expatriate and national staff, FY 2013/14  </w:t>
      </w:r>
      <w:r w:rsidRPr="004E3825">
        <w:rPr>
          <w:noProof/>
          <w:sz w:val="20"/>
        </w:rPr>
        <w:tab/>
      </w:r>
      <w:r w:rsidRPr="004E3825">
        <w:rPr>
          <w:noProof/>
          <w:sz w:val="20"/>
        </w:rPr>
        <w:fldChar w:fldCharType="begin"/>
      </w:r>
      <w:r w:rsidRPr="004E3825">
        <w:rPr>
          <w:noProof/>
          <w:sz w:val="20"/>
        </w:rPr>
        <w:instrText xml:space="preserve"> PAGEREF _Toc272855482 \h </w:instrText>
      </w:r>
      <w:r w:rsidRPr="004E3825">
        <w:rPr>
          <w:noProof/>
          <w:sz w:val="20"/>
        </w:rPr>
      </w:r>
      <w:r w:rsidRPr="004E3825">
        <w:rPr>
          <w:noProof/>
          <w:sz w:val="20"/>
        </w:rPr>
        <w:fldChar w:fldCharType="separate"/>
      </w:r>
      <w:r w:rsidR="00EA0B4D">
        <w:rPr>
          <w:noProof/>
          <w:sz w:val="20"/>
        </w:rPr>
        <w:t>188</w:t>
      </w:r>
      <w:r w:rsidRPr="004E3825">
        <w:rPr>
          <w:noProof/>
          <w:sz w:val="20"/>
        </w:rPr>
        <w:fldChar w:fldCharType="end"/>
      </w:r>
    </w:p>
    <w:p w14:paraId="56EBD8CB" w14:textId="44C3D838"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26: Nationalisation of staff by broad categories, comparison of 2014 and 2019</w:t>
      </w:r>
      <w:r w:rsidRPr="004E3825">
        <w:rPr>
          <w:noProof/>
          <w:sz w:val="20"/>
        </w:rPr>
        <w:tab/>
      </w:r>
      <w:r w:rsidRPr="004E3825">
        <w:rPr>
          <w:noProof/>
          <w:sz w:val="20"/>
        </w:rPr>
        <w:fldChar w:fldCharType="begin"/>
      </w:r>
      <w:r w:rsidRPr="004E3825">
        <w:rPr>
          <w:noProof/>
          <w:sz w:val="20"/>
        </w:rPr>
        <w:instrText xml:space="preserve"> PAGEREF _Toc272855483 \h </w:instrText>
      </w:r>
      <w:r w:rsidRPr="004E3825">
        <w:rPr>
          <w:noProof/>
          <w:sz w:val="20"/>
        </w:rPr>
      </w:r>
      <w:r w:rsidRPr="004E3825">
        <w:rPr>
          <w:noProof/>
          <w:sz w:val="20"/>
        </w:rPr>
        <w:fldChar w:fldCharType="separate"/>
      </w:r>
      <w:r w:rsidR="00EA0B4D">
        <w:rPr>
          <w:noProof/>
          <w:sz w:val="20"/>
        </w:rPr>
        <w:t>189</w:t>
      </w:r>
      <w:r w:rsidRPr="004E3825">
        <w:rPr>
          <w:noProof/>
          <w:sz w:val="20"/>
        </w:rPr>
        <w:fldChar w:fldCharType="end"/>
      </w:r>
    </w:p>
    <w:p w14:paraId="30E8C5D4" w14:textId="50B55CF3"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27: Estimated personnel costs broken down by compensation categories and </w:t>
      </w:r>
      <w:r w:rsidRPr="004E3825">
        <w:rPr>
          <w:noProof/>
          <w:sz w:val="20"/>
        </w:rPr>
        <w:br/>
        <w:t xml:space="preserve">   </w:t>
      </w:r>
      <w:r w:rsidR="0022031F" w:rsidRPr="004E3825">
        <w:rPr>
          <w:noProof/>
          <w:sz w:val="20"/>
        </w:rPr>
        <w:t xml:space="preserve">nationality </w:t>
      </w:r>
      <w:r w:rsidRPr="004E3825">
        <w:rPr>
          <w:noProof/>
          <w:sz w:val="20"/>
        </w:rPr>
        <w:t>(2014 prices, AUD millions), comparison of 2014 and 2019</w:t>
      </w:r>
      <w:r w:rsidRPr="004E3825">
        <w:rPr>
          <w:noProof/>
          <w:sz w:val="20"/>
        </w:rPr>
        <w:tab/>
      </w:r>
      <w:r w:rsidRPr="004E3825">
        <w:rPr>
          <w:noProof/>
          <w:sz w:val="20"/>
        </w:rPr>
        <w:fldChar w:fldCharType="begin"/>
      </w:r>
      <w:r w:rsidRPr="004E3825">
        <w:rPr>
          <w:noProof/>
          <w:sz w:val="20"/>
        </w:rPr>
        <w:instrText xml:space="preserve"> PAGEREF _Toc272855484 \h </w:instrText>
      </w:r>
      <w:r w:rsidRPr="004E3825">
        <w:rPr>
          <w:noProof/>
          <w:sz w:val="20"/>
        </w:rPr>
      </w:r>
      <w:r w:rsidRPr="004E3825">
        <w:rPr>
          <w:noProof/>
          <w:sz w:val="20"/>
        </w:rPr>
        <w:fldChar w:fldCharType="separate"/>
      </w:r>
      <w:r w:rsidR="00EA0B4D">
        <w:rPr>
          <w:noProof/>
          <w:sz w:val="20"/>
        </w:rPr>
        <w:t>190</w:t>
      </w:r>
      <w:r w:rsidRPr="004E3825">
        <w:rPr>
          <w:noProof/>
          <w:sz w:val="20"/>
        </w:rPr>
        <w:fldChar w:fldCharType="end"/>
      </w:r>
    </w:p>
    <w:p w14:paraId="6CFA26F0" w14:textId="553EDA9E"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28: Costs and benefits of APTC Stages I and II – the model 1 investment</w:t>
      </w:r>
      <w:r w:rsidRPr="004E3825">
        <w:rPr>
          <w:noProof/>
          <w:sz w:val="20"/>
        </w:rPr>
        <w:tab/>
      </w:r>
      <w:r w:rsidRPr="004E3825">
        <w:rPr>
          <w:noProof/>
          <w:sz w:val="20"/>
        </w:rPr>
        <w:fldChar w:fldCharType="begin"/>
      </w:r>
      <w:r w:rsidRPr="004E3825">
        <w:rPr>
          <w:noProof/>
          <w:sz w:val="20"/>
        </w:rPr>
        <w:instrText xml:space="preserve"> PAGEREF _Toc272855487 \h </w:instrText>
      </w:r>
      <w:r w:rsidRPr="004E3825">
        <w:rPr>
          <w:noProof/>
          <w:sz w:val="20"/>
        </w:rPr>
      </w:r>
      <w:r w:rsidRPr="004E3825">
        <w:rPr>
          <w:noProof/>
          <w:sz w:val="20"/>
        </w:rPr>
        <w:fldChar w:fldCharType="separate"/>
      </w:r>
      <w:r w:rsidR="00EA0B4D">
        <w:rPr>
          <w:noProof/>
          <w:sz w:val="20"/>
        </w:rPr>
        <w:t>194</w:t>
      </w:r>
      <w:r w:rsidRPr="004E3825">
        <w:rPr>
          <w:noProof/>
          <w:sz w:val="20"/>
        </w:rPr>
        <w:fldChar w:fldCharType="end"/>
      </w:r>
    </w:p>
    <w:p w14:paraId="53B4A59F" w14:textId="6755B4AA"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29: Direct and indirect costs of APTC Stages I and II – the model 1 investment </w:t>
      </w:r>
      <w:r w:rsidRPr="004E3825">
        <w:rPr>
          <w:noProof/>
          <w:sz w:val="20"/>
        </w:rPr>
        <w:tab/>
      </w:r>
      <w:r w:rsidRPr="004E3825">
        <w:rPr>
          <w:noProof/>
          <w:sz w:val="20"/>
        </w:rPr>
        <w:fldChar w:fldCharType="begin"/>
      </w:r>
      <w:r w:rsidRPr="004E3825">
        <w:rPr>
          <w:noProof/>
          <w:sz w:val="20"/>
        </w:rPr>
        <w:instrText xml:space="preserve"> PAGEREF _Toc272855488 \h </w:instrText>
      </w:r>
      <w:r w:rsidRPr="004E3825">
        <w:rPr>
          <w:noProof/>
          <w:sz w:val="20"/>
        </w:rPr>
      </w:r>
      <w:r w:rsidRPr="004E3825">
        <w:rPr>
          <w:noProof/>
          <w:sz w:val="20"/>
        </w:rPr>
        <w:fldChar w:fldCharType="separate"/>
      </w:r>
      <w:r w:rsidR="00EA0B4D">
        <w:rPr>
          <w:noProof/>
          <w:sz w:val="20"/>
        </w:rPr>
        <w:t>195</w:t>
      </w:r>
      <w:r w:rsidRPr="004E3825">
        <w:rPr>
          <w:noProof/>
          <w:sz w:val="20"/>
        </w:rPr>
        <w:fldChar w:fldCharType="end"/>
      </w:r>
    </w:p>
    <w:p w14:paraId="544295E8" w14:textId="5E00D2B8"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30: Benefits (increased graduate earnings) of APTC Stages I and II –  the model 1 </w:t>
      </w:r>
      <w:r w:rsidRPr="004E3825">
        <w:rPr>
          <w:noProof/>
          <w:sz w:val="20"/>
        </w:rPr>
        <w:br/>
        <w:t xml:space="preserve">   investment (AUD millions)</w:t>
      </w:r>
      <w:r w:rsidRPr="004E3825">
        <w:rPr>
          <w:noProof/>
          <w:sz w:val="20"/>
        </w:rPr>
        <w:tab/>
      </w:r>
      <w:r w:rsidRPr="004E3825">
        <w:rPr>
          <w:noProof/>
          <w:sz w:val="20"/>
        </w:rPr>
        <w:fldChar w:fldCharType="begin"/>
      </w:r>
      <w:r w:rsidRPr="004E3825">
        <w:rPr>
          <w:noProof/>
          <w:sz w:val="20"/>
        </w:rPr>
        <w:instrText xml:space="preserve"> PAGEREF _Toc272855489 \h </w:instrText>
      </w:r>
      <w:r w:rsidRPr="004E3825">
        <w:rPr>
          <w:noProof/>
          <w:sz w:val="20"/>
        </w:rPr>
      </w:r>
      <w:r w:rsidRPr="004E3825">
        <w:rPr>
          <w:noProof/>
          <w:sz w:val="20"/>
        </w:rPr>
        <w:fldChar w:fldCharType="separate"/>
      </w:r>
      <w:r w:rsidR="00EA0B4D">
        <w:rPr>
          <w:noProof/>
          <w:sz w:val="20"/>
        </w:rPr>
        <w:t>196</w:t>
      </w:r>
      <w:r w:rsidRPr="004E3825">
        <w:rPr>
          <w:noProof/>
          <w:sz w:val="20"/>
        </w:rPr>
        <w:fldChar w:fldCharType="end"/>
      </w:r>
    </w:p>
    <w:p w14:paraId="197DDA9F" w14:textId="60A0CB70" w:rsidR="000913FE" w:rsidRPr="004E3825" w:rsidRDefault="000913FE" w:rsidP="00926CD3">
      <w:pPr>
        <w:pStyle w:val="TableofFigures"/>
        <w:tabs>
          <w:tab w:val="right" w:leader="dot" w:pos="8222"/>
          <w:tab w:val="right" w:leader="dot" w:pos="9014"/>
        </w:tabs>
        <w:spacing w:after="40"/>
        <w:rPr>
          <w:noProof/>
          <w:sz w:val="20"/>
        </w:rPr>
      </w:pPr>
      <w:r w:rsidRPr="004E3825">
        <w:rPr>
          <w:noProof/>
          <w:sz w:val="20"/>
        </w:rPr>
        <w:t xml:space="preserve">Figure 31: ERRs of base case scenarios, models 1, 2, 3.1, and 3.2 as compared  with </w:t>
      </w:r>
      <w:r w:rsidRPr="004E3825">
        <w:rPr>
          <w:noProof/>
          <w:sz w:val="20"/>
        </w:rPr>
        <w:br/>
        <w:t xml:space="preserve">   11% (opportunity cost of capital)</w:t>
      </w:r>
      <w:r w:rsidRPr="004E3825">
        <w:rPr>
          <w:noProof/>
          <w:sz w:val="20"/>
        </w:rPr>
        <w:tab/>
      </w:r>
      <w:r w:rsidRPr="004E3825">
        <w:rPr>
          <w:noProof/>
          <w:sz w:val="20"/>
        </w:rPr>
        <w:fldChar w:fldCharType="begin"/>
      </w:r>
      <w:r w:rsidRPr="004E3825">
        <w:rPr>
          <w:noProof/>
          <w:sz w:val="20"/>
        </w:rPr>
        <w:instrText xml:space="preserve"> PAGEREF _Toc272855490 \h </w:instrText>
      </w:r>
      <w:r w:rsidRPr="004E3825">
        <w:rPr>
          <w:noProof/>
          <w:sz w:val="20"/>
        </w:rPr>
      </w:r>
      <w:r w:rsidRPr="004E3825">
        <w:rPr>
          <w:noProof/>
          <w:sz w:val="20"/>
        </w:rPr>
        <w:fldChar w:fldCharType="separate"/>
      </w:r>
      <w:r w:rsidR="00EA0B4D">
        <w:rPr>
          <w:noProof/>
          <w:sz w:val="20"/>
        </w:rPr>
        <w:t>196</w:t>
      </w:r>
      <w:r w:rsidRPr="004E3825">
        <w:rPr>
          <w:noProof/>
          <w:sz w:val="20"/>
        </w:rPr>
        <w:fldChar w:fldCharType="end"/>
      </w:r>
    </w:p>
    <w:p w14:paraId="0C38CA79" w14:textId="13A9656D"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Figure 32: ERRs of base case scenarios with indirect benefits per graduate varying from </w:t>
      </w:r>
      <w:r w:rsidRPr="004E3825">
        <w:rPr>
          <w:noProof/>
          <w:sz w:val="20"/>
        </w:rPr>
        <w:br/>
        <w:t xml:space="preserve">   $0 to $33 per week (AUD)</w:t>
      </w:r>
      <w:r w:rsidRPr="004E3825">
        <w:rPr>
          <w:noProof/>
          <w:sz w:val="20"/>
        </w:rPr>
        <w:tab/>
      </w:r>
      <w:r w:rsidRPr="004E3825">
        <w:rPr>
          <w:noProof/>
          <w:sz w:val="20"/>
        </w:rPr>
        <w:fldChar w:fldCharType="begin"/>
      </w:r>
      <w:r w:rsidRPr="004E3825">
        <w:rPr>
          <w:noProof/>
          <w:sz w:val="20"/>
        </w:rPr>
        <w:instrText xml:space="preserve"> PAGEREF _Toc272855492 \h </w:instrText>
      </w:r>
      <w:r w:rsidRPr="004E3825">
        <w:rPr>
          <w:noProof/>
          <w:sz w:val="20"/>
        </w:rPr>
      </w:r>
      <w:r w:rsidRPr="004E3825">
        <w:rPr>
          <w:noProof/>
          <w:sz w:val="20"/>
        </w:rPr>
        <w:fldChar w:fldCharType="separate"/>
      </w:r>
      <w:r w:rsidR="00EA0B4D">
        <w:rPr>
          <w:noProof/>
          <w:sz w:val="20"/>
        </w:rPr>
        <w:t>198</w:t>
      </w:r>
      <w:r w:rsidRPr="004E3825">
        <w:rPr>
          <w:noProof/>
          <w:sz w:val="20"/>
        </w:rPr>
        <w:fldChar w:fldCharType="end"/>
      </w:r>
    </w:p>
    <w:p w14:paraId="79BC4D15" w14:textId="64A4C2FD"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Figure 33: Cost recovery, APTC Stage II</w:t>
      </w:r>
      <w:r w:rsidRPr="004E3825">
        <w:rPr>
          <w:noProof/>
          <w:sz w:val="20"/>
        </w:rPr>
        <w:tab/>
      </w:r>
      <w:r w:rsidRPr="004E3825">
        <w:rPr>
          <w:noProof/>
          <w:sz w:val="20"/>
        </w:rPr>
        <w:fldChar w:fldCharType="begin"/>
      </w:r>
      <w:r w:rsidRPr="004E3825">
        <w:rPr>
          <w:noProof/>
          <w:sz w:val="20"/>
        </w:rPr>
        <w:instrText xml:space="preserve"> PAGEREF _Toc272855493 \h </w:instrText>
      </w:r>
      <w:r w:rsidRPr="004E3825">
        <w:rPr>
          <w:noProof/>
          <w:sz w:val="20"/>
        </w:rPr>
      </w:r>
      <w:r w:rsidRPr="004E3825">
        <w:rPr>
          <w:noProof/>
          <w:sz w:val="20"/>
        </w:rPr>
        <w:fldChar w:fldCharType="separate"/>
      </w:r>
      <w:r w:rsidR="00EA0B4D">
        <w:rPr>
          <w:noProof/>
          <w:sz w:val="20"/>
        </w:rPr>
        <w:t>200</w:t>
      </w:r>
      <w:r w:rsidRPr="004E3825">
        <w:rPr>
          <w:noProof/>
          <w:sz w:val="20"/>
        </w:rPr>
        <w:fldChar w:fldCharType="end"/>
      </w:r>
    </w:p>
    <w:p w14:paraId="47E6299F" w14:textId="77777777" w:rsidR="000913FE" w:rsidRPr="004E3825" w:rsidRDefault="000913FE" w:rsidP="00926CD3">
      <w:pPr>
        <w:pStyle w:val="TableofFigures"/>
        <w:tabs>
          <w:tab w:val="right" w:leader="dot" w:pos="8222"/>
          <w:tab w:val="right" w:leader="dot" w:pos="9014"/>
        </w:tabs>
        <w:spacing w:after="40"/>
        <w:rPr>
          <w:noProof/>
          <w:sz w:val="20"/>
        </w:rPr>
      </w:pPr>
    </w:p>
    <w:p w14:paraId="63D79080" w14:textId="77777777" w:rsidR="000913FE" w:rsidRPr="004E3825" w:rsidRDefault="000913FE" w:rsidP="00926CD3">
      <w:pPr>
        <w:tabs>
          <w:tab w:val="right" w:leader="dot" w:pos="8222"/>
        </w:tabs>
        <w:spacing w:after="40"/>
        <w:rPr>
          <w:b/>
          <w:noProof/>
          <w:sz w:val="20"/>
        </w:rPr>
      </w:pPr>
      <w:r w:rsidRPr="004E3825">
        <w:rPr>
          <w:b/>
          <w:noProof/>
          <w:sz w:val="20"/>
        </w:rPr>
        <w:t>List of appendix tables</w:t>
      </w:r>
    </w:p>
    <w:p w14:paraId="5FCF733D" w14:textId="1FD94D30"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A.1: Total expenditure by APTC operational categories, APTC Stage I (AUD)</w:t>
      </w:r>
      <w:r w:rsidRPr="004E3825">
        <w:rPr>
          <w:noProof/>
          <w:sz w:val="20"/>
        </w:rPr>
        <w:tab/>
      </w:r>
      <w:r w:rsidRPr="004E3825">
        <w:rPr>
          <w:noProof/>
          <w:sz w:val="20"/>
        </w:rPr>
        <w:fldChar w:fldCharType="begin"/>
      </w:r>
      <w:r w:rsidRPr="004E3825">
        <w:rPr>
          <w:noProof/>
          <w:sz w:val="20"/>
        </w:rPr>
        <w:instrText xml:space="preserve"> PAGEREF _Toc272855494 \h </w:instrText>
      </w:r>
      <w:r w:rsidRPr="004E3825">
        <w:rPr>
          <w:noProof/>
          <w:sz w:val="20"/>
        </w:rPr>
      </w:r>
      <w:r w:rsidRPr="004E3825">
        <w:rPr>
          <w:noProof/>
          <w:sz w:val="20"/>
        </w:rPr>
        <w:fldChar w:fldCharType="separate"/>
      </w:r>
      <w:r w:rsidR="00EA0B4D">
        <w:rPr>
          <w:noProof/>
          <w:sz w:val="20"/>
        </w:rPr>
        <w:t>204</w:t>
      </w:r>
      <w:r w:rsidRPr="004E3825">
        <w:rPr>
          <w:noProof/>
          <w:sz w:val="20"/>
        </w:rPr>
        <w:fldChar w:fldCharType="end"/>
      </w:r>
    </w:p>
    <w:p w14:paraId="3484C4DA" w14:textId="6E72E5C7"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A.2: Total expenditure by economic purpose, APTC Stage I (AUD)</w:t>
      </w:r>
      <w:r w:rsidRPr="004E3825">
        <w:rPr>
          <w:noProof/>
          <w:sz w:val="20"/>
        </w:rPr>
        <w:tab/>
      </w:r>
      <w:r w:rsidRPr="004E3825">
        <w:rPr>
          <w:noProof/>
          <w:sz w:val="20"/>
        </w:rPr>
        <w:fldChar w:fldCharType="begin"/>
      </w:r>
      <w:r w:rsidRPr="004E3825">
        <w:rPr>
          <w:noProof/>
          <w:sz w:val="20"/>
        </w:rPr>
        <w:instrText xml:space="preserve"> PAGEREF _Toc272855495 \h </w:instrText>
      </w:r>
      <w:r w:rsidRPr="004E3825">
        <w:rPr>
          <w:noProof/>
          <w:sz w:val="20"/>
        </w:rPr>
      </w:r>
      <w:r w:rsidRPr="004E3825">
        <w:rPr>
          <w:noProof/>
          <w:sz w:val="20"/>
        </w:rPr>
        <w:fldChar w:fldCharType="separate"/>
      </w:r>
      <w:r w:rsidR="00EA0B4D">
        <w:rPr>
          <w:noProof/>
          <w:sz w:val="20"/>
        </w:rPr>
        <w:t>204</w:t>
      </w:r>
      <w:r w:rsidRPr="004E3825">
        <w:rPr>
          <w:noProof/>
          <w:sz w:val="20"/>
        </w:rPr>
        <w:fldChar w:fldCharType="end"/>
      </w:r>
    </w:p>
    <w:p w14:paraId="6480A2EE" w14:textId="48E5FE1A"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A.3: Total expenditure by Basis of Payment (BOP) categories, as claimed by </w:t>
      </w:r>
      <w:r>
        <w:rPr>
          <w:noProof/>
          <w:sz w:val="20"/>
        </w:rPr>
        <w:br/>
        <w:t xml:space="preserve">   </w:t>
      </w:r>
      <w:r w:rsidR="007F4082" w:rsidRPr="004E3825">
        <w:rPr>
          <w:noProof/>
          <w:sz w:val="20"/>
        </w:rPr>
        <w:t xml:space="preserve">APTC and </w:t>
      </w:r>
      <w:r w:rsidRPr="004E3825">
        <w:rPr>
          <w:noProof/>
          <w:sz w:val="20"/>
        </w:rPr>
        <w:t>TAFEQ for reimbursement from DFAT, APTC Stage II (AUD)</w:t>
      </w:r>
      <w:r w:rsidRPr="004E3825">
        <w:rPr>
          <w:noProof/>
          <w:sz w:val="20"/>
        </w:rPr>
        <w:tab/>
      </w:r>
      <w:r w:rsidRPr="004E3825">
        <w:rPr>
          <w:noProof/>
          <w:sz w:val="20"/>
        </w:rPr>
        <w:fldChar w:fldCharType="begin"/>
      </w:r>
      <w:r w:rsidRPr="004E3825">
        <w:rPr>
          <w:noProof/>
          <w:sz w:val="20"/>
        </w:rPr>
        <w:instrText xml:space="preserve"> PAGEREF _Toc272855496 \h </w:instrText>
      </w:r>
      <w:r w:rsidRPr="004E3825">
        <w:rPr>
          <w:noProof/>
          <w:sz w:val="20"/>
        </w:rPr>
      </w:r>
      <w:r w:rsidRPr="004E3825">
        <w:rPr>
          <w:noProof/>
          <w:sz w:val="20"/>
        </w:rPr>
        <w:fldChar w:fldCharType="separate"/>
      </w:r>
      <w:r w:rsidR="00EA0B4D">
        <w:rPr>
          <w:noProof/>
          <w:sz w:val="20"/>
        </w:rPr>
        <w:t>205</w:t>
      </w:r>
      <w:r w:rsidRPr="004E3825">
        <w:rPr>
          <w:noProof/>
          <w:sz w:val="20"/>
        </w:rPr>
        <w:fldChar w:fldCharType="end"/>
      </w:r>
    </w:p>
    <w:p w14:paraId="35F76618" w14:textId="3A51FA32"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A.4: Total expenditure by economic purpose (capital, personnel, scholarships, </w:t>
      </w:r>
      <w:r>
        <w:rPr>
          <w:noProof/>
          <w:sz w:val="20"/>
        </w:rPr>
        <w:br/>
        <w:t xml:space="preserve">   </w:t>
      </w:r>
      <w:r w:rsidRPr="004E3825">
        <w:rPr>
          <w:noProof/>
          <w:sz w:val="20"/>
        </w:rPr>
        <w:t>other recurrent, management), APTC Stage II (AUD)</w:t>
      </w:r>
      <w:r w:rsidRPr="004E3825">
        <w:rPr>
          <w:noProof/>
          <w:sz w:val="20"/>
        </w:rPr>
        <w:tab/>
      </w:r>
      <w:r w:rsidRPr="004E3825">
        <w:rPr>
          <w:noProof/>
          <w:sz w:val="20"/>
        </w:rPr>
        <w:fldChar w:fldCharType="begin"/>
      </w:r>
      <w:r w:rsidRPr="004E3825">
        <w:rPr>
          <w:noProof/>
          <w:sz w:val="20"/>
        </w:rPr>
        <w:instrText xml:space="preserve"> PAGEREF _Toc272855497 \h </w:instrText>
      </w:r>
      <w:r w:rsidRPr="004E3825">
        <w:rPr>
          <w:noProof/>
          <w:sz w:val="20"/>
        </w:rPr>
      </w:r>
      <w:r w:rsidRPr="004E3825">
        <w:rPr>
          <w:noProof/>
          <w:sz w:val="20"/>
        </w:rPr>
        <w:fldChar w:fldCharType="separate"/>
      </w:r>
      <w:r w:rsidR="00EA0B4D">
        <w:rPr>
          <w:noProof/>
          <w:sz w:val="20"/>
        </w:rPr>
        <w:t>205</w:t>
      </w:r>
      <w:r w:rsidRPr="004E3825">
        <w:rPr>
          <w:noProof/>
          <w:sz w:val="20"/>
        </w:rPr>
        <w:fldChar w:fldCharType="end"/>
      </w:r>
    </w:p>
    <w:p w14:paraId="6F147431" w14:textId="3F2CE644"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A.5: Capital expenditure by economic purpose (civil works, equipment, </w:t>
      </w:r>
      <w:r w:rsidR="0079786F">
        <w:rPr>
          <w:noProof/>
          <w:sz w:val="20"/>
        </w:rPr>
        <w:br/>
        <w:t xml:space="preserve">   </w:t>
      </w:r>
      <w:r w:rsidRPr="004E3825">
        <w:rPr>
          <w:noProof/>
          <w:sz w:val="20"/>
        </w:rPr>
        <w:t>maintenance, handover reserve), APTC Stage II (AUD)</w:t>
      </w:r>
      <w:r w:rsidRPr="004E3825">
        <w:rPr>
          <w:noProof/>
          <w:sz w:val="20"/>
        </w:rPr>
        <w:tab/>
      </w:r>
      <w:r w:rsidRPr="004E3825">
        <w:rPr>
          <w:noProof/>
          <w:sz w:val="20"/>
        </w:rPr>
        <w:fldChar w:fldCharType="begin"/>
      </w:r>
      <w:r w:rsidRPr="004E3825">
        <w:rPr>
          <w:noProof/>
          <w:sz w:val="20"/>
        </w:rPr>
        <w:instrText xml:space="preserve"> PAGEREF _Toc272855498 \h </w:instrText>
      </w:r>
      <w:r w:rsidRPr="004E3825">
        <w:rPr>
          <w:noProof/>
          <w:sz w:val="20"/>
        </w:rPr>
      </w:r>
      <w:r w:rsidRPr="004E3825">
        <w:rPr>
          <w:noProof/>
          <w:sz w:val="20"/>
        </w:rPr>
        <w:fldChar w:fldCharType="separate"/>
      </w:r>
      <w:r w:rsidR="00EA0B4D">
        <w:rPr>
          <w:noProof/>
          <w:sz w:val="20"/>
        </w:rPr>
        <w:t>205</w:t>
      </w:r>
      <w:r w:rsidRPr="004E3825">
        <w:rPr>
          <w:noProof/>
          <w:sz w:val="20"/>
        </w:rPr>
        <w:fldChar w:fldCharType="end"/>
      </w:r>
    </w:p>
    <w:p w14:paraId="7EBA74F5" w14:textId="4BE3605F"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A.6: Management fees paid to contractor (TAFEQ) for APTC Stage II </w:t>
      </w:r>
      <w:r w:rsidRPr="004E3825">
        <w:rPr>
          <w:noProof/>
          <w:sz w:val="20"/>
        </w:rPr>
        <w:tab/>
      </w:r>
      <w:r w:rsidRPr="004E3825">
        <w:rPr>
          <w:noProof/>
          <w:sz w:val="20"/>
        </w:rPr>
        <w:fldChar w:fldCharType="begin"/>
      </w:r>
      <w:r w:rsidRPr="004E3825">
        <w:rPr>
          <w:noProof/>
          <w:sz w:val="20"/>
        </w:rPr>
        <w:instrText xml:space="preserve"> PAGEREF _Toc272855499 \h </w:instrText>
      </w:r>
      <w:r w:rsidRPr="004E3825">
        <w:rPr>
          <w:noProof/>
          <w:sz w:val="20"/>
        </w:rPr>
      </w:r>
      <w:r w:rsidRPr="004E3825">
        <w:rPr>
          <w:noProof/>
          <w:sz w:val="20"/>
        </w:rPr>
        <w:fldChar w:fldCharType="separate"/>
      </w:r>
      <w:r w:rsidR="00EA0B4D">
        <w:rPr>
          <w:noProof/>
          <w:sz w:val="20"/>
        </w:rPr>
        <w:t>205</w:t>
      </w:r>
      <w:r w:rsidRPr="004E3825">
        <w:rPr>
          <w:noProof/>
          <w:sz w:val="20"/>
        </w:rPr>
        <w:fldChar w:fldCharType="end"/>
      </w:r>
    </w:p>
    <w:p w14:paraId="5225D044" w14:textId="6CF50017"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A.7: Recurrent expenditure by economic purpose, APTC Stage II (AUD)</w:t>
      </w:r>
      <w:r w:rsidRPr="004E3825">
        <w:rPr>
          <w:noProof/>
          <w:sz w:val="20"/>
        </w:rPr>
        <w:tab/>
      </w:r>
      <w:r w:rsidRPr="004E3825">
        <w:rPr>
          <w:noProof/>
          <w:sz w:val="20"/>
        </w:rPr>
        <w:fldChar w:fldCharType="begin"/>
      </w:r>
      <w:r w:rsidRPr="004E3825">
        <w:rPr>
          <w:noProof/>
          <w:sz w:val="20"/>
        </w:rPr>
        <w:instrText xml:space="preserve"> PAGEREF _Toc272855500 \h </w:instrText>
      </w:r>
      <w:r w:rsidRPr="004E3825">
        <w:rPr>
          <w:noProof/>
          <w:sz w:val="20"/>
        </w:rPr>
      </w:r>
      <w:r w:rsidRPr="004E3825">
        <w:rPr>
          <w:noProof/>
          <w:sz w:val="20"/>
        </w:rPr>
        <w:fldChar w:fldCharType="separate"/>
      </w:r>
      <w:r w:rsidR="00EA0B4D">
        <w:rPr>
          <w:noProof/>
          <w:sz w:val="20"/>
        </w:rPr>
        <w:t>206</w:t>
      </w:r>
      <w:r w:rsidRPr="004E3825">
        <w:rPr>
          <w:noProof/>
          <w:sz w:val="20"/>
        </w:rPr>
        <w:fldChar w:fldCharType="end"/>
      </w:r>
    </w:p>
    <w:p w14:paraId="5CD1DF38" w14:textId="309AF07E" w:rsidR="00D1030E" w:rsidRDefault="000913FE" w:rsidP="00926CD3">
      <w:pPr>
        <w:pStyle w:val="TableofFigures"/>
        <w:tabs>
          <w:tab w:val="right" w:leader="dot" w:pos="8222"/>
          <w:tab w:val="right" w:leader="dot" w:pos="9014"/>
        </w:tabs>
        <w:spacing w:after="40"/>
        <w:rPr>
          <w:noProof/>
          <w:sz w:val="20"/>
        </w:rPr>
      </w:pPr>
      <w:r w:rsidRPr="004E3825">
        <w:rPr>
          <w:noProof/>
          <w:sz w:val="20"/>
        </w:rPr>
        <w:t xml:space="preserve">Table A.8: APTC recurrent expenditure, first semester of FY 2013/2014, </w:t>
      </w:r>
      <w:r w:rsidR="00682F91">
        <w:rPr>
          <w:noProof/>
          <w:sz w:val="20"/>
        </w:rPr>
        <w:tab/>
        <w:t>19</w:t>
      </w:r>
      <w:r w:rsidR="00D37BB4">
        <w:rPr>
          <w:noProof/>
          <w:sz w:val="20"/>
        </w:rPr>
        <w:t>5</w:t>
      </w:r>
    </w:p>
    <w:p w14:paraId="0FB3A4E3" w14:textId="0E115B8F"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A.9: APTC recurrent expenditure, second semester of FY 2013/2014,</w:t>
      </w:r>
      <w:r w:rsidRPr="004E3825">
        <w:rPr>
          <w:noProof/>
          <w:sz w:val="20"/>
        </w:rPr>
        <w:tab/>
      </w:r>
      <w:r w:rsidRPr="004E3825">
        <w:rPr>
          <w:noProof/>
          <w:sz w:val="20"/>
        </w:rPr>
        <w:fldChar w:fldCharType="begin"/>
      </w:r>
      <w:r w:rsidRPr="004E3825">
        <w:rPr>
          <w:noProof/>
          <w:sz w:val="20"/>
        </w:rPr>
        <w:instrText xml:space="preserve"> PAGEREF _Toc272855503 \h </w:instrText>
      </w:r>
      <w:r w:rsidRPr="004E3825">
        <w:rPr>
          <w:noProof/>
          <w:sz w:val="20"/>
        </w:rPr>
      </w:r>
      <w:r w:rsidRPr="004E3825">
        <w:rPr>
          <w:noProof/>
          <w:sz w:val="20"/>
        </w:rPr>
        <w:fldChar w:fldCharType="separate"/>
      </w:r>
      <w:r w:rsidR="00EA0B4D">
        <w:rPr>
          <w:noProof/>
          <w:sz w:val="20"/>
        </w:rPr>
        <w:t>209</w:t>
      </w:r>
      <w:r w:rsidRPr="004E3825">
        <w:rPr>
          <w:noProof/>
          <w:sz w:val="20"/>
        </w:rPr>
        <w:fldChar w:fldCharType="end"/>
      </w:r>
    </w:p>
    <w:p w14:paraId="79C94651" w14:textId="6C00CDA4"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A.10: Unit costs (cost per graduate, cost per student, cost per student contact </w:t>
      </w:r>
      <w:r>
        <w:rPr>
          <w:noProof/>
          <w:sz w:val="20"/>
        </w:rPr>
        <w:br/>
        <w:t xml:space="preserve">   </w:t>
      </w:r>
      <w:r w:rsidR="0022031F" w:rsidRPr="004E3825">
        <w:rPr>
          <w:noProof/>
          <w:sz w:val="20"/>
        </w:rPr>
        <w:t xml:space="preserve">hour, and </w:t>
      </w:r>
      <w:r w:rsidRPr="004E3825">
        <w:rPr>
          <w:noProof/>
          <w:sz w:val="20"/>
        </w:rPr>
        <w:t>cost per full-time equivalent student), APTC Stages I and II</w:t>
      </w:r>
      <w:r w:rsidRPr="004E3825">
        <w:rPr>
          <w:noProof/>
          <w:sz w:val="20"/>
        </w:rPr>
        <w:tab/>
      </w:r>
      <w:r w:rsidRPr="004E3825">
        <w:rPr>
          <w:noProof/>
          <w:sz w:val="20"/>
        </w:rPr>
        <w:fldChar w:fldCharType="begin"/>
      </w:r>
      <w:r w:rsidRPr="004E3825">
        <w:rPr>
          <w:noProof/>
          <w:sz w:val="20"/>
        </w:rPr>
        <w:instrText xml:space="preserve"> PAGEREF _Toc272855505 \h </w:instrText>
      </w:r>
      <w:r w:rsidRPr="004E3825">
        <w:rPr>
          <w:noProof/>
          <w:sz w:val="20"/>
        </w:rPr>
      </w:r>
      <w:r w:rsidRPr="004E3825">
        <w:rPr>
          <w:noProof/>
          <w:sz w:val="20"/>
        </w:rPr>
        <w:fldChar w:fldCharType="separate"/>
      </w:r>
      <w:r w:rsidR="00EA0B4D">
        <w:rPr>
          <w:noProof/>
          <w:sz w:val="20"/>
        </w:rPr>
        <w:t>211</w:t>
      </w:r>
      <w:r w:rsidRPr="004E3825">
        <w:rPr>
          <w:noProof/>
          <w:sz w:val="20"/>
        </w:rPr>
        <w:fldChar w:fldCharType="end"/>
      </w:r>
    </w:p>
    <w:p w14:paraId="399B97EC" w14:textId="485B15B8"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A.11: Unit costs as estimated by </w:t>
      </w:r>
      <w:r w:rsidRPr="004E3825">
        <w:rPr>
          <w:i/>
          <w:noProof/>
          <w:sz w:val="20"/>
        </w:rPr>
        <w:t xml:space="preserve">Research into the financing of TVET </w:t>
      </w:r>
      <w:r w:rsidRPr="004E3825">
        <w:rPr>
          <w:rFonts w:cs="Arial"/>
          <w:i/>
          <w:noProof/>
          <w:sz w:val="20"/>
        </w:rPr>
        <w:t>in the Pacific</w:t>
      </w:r>
      <w:r w:rsidRPr="004E3825">
        <w:rPr>
          <w:rFonts w:cs="Arial"/>
          <w:noProof/>
          <w:sz w:val="20"/>
        </w:rPr>
        <w:t xml:space="preserve"> </w:t>
      </w:r>
      <w:r>
        <w:rPr>
          <w:rFonts w:cs="Arial"/>
          <w:noProof/>
          <w:sz w:val="20"/>
        </w:rPr>
        <w:br/>
        <w:t xml:space="preserve">   </w:t>
      </w:r>
      <w:r w:rsidRPr="004E3825">
        <w:rPr>
          <w:rFonts w:cs="Arial"/>
          <w:noProof/>
          <w:sz w:val="20"/>
        </w:rPr>
        <w:t>(country case studies managed by ACER and Austraining on behalf of AusAID/DFAT)</w:t>
      </w:r>
      <w:r w:rsidRPr="004E3825">
        <w:rPr>
          <w:noProof/>
          <w:sz w:val="20"/>
        </w:rPr>
        <w:tab/>
      </w:r>
      <w:r w:rsidRPr="004E3825">
        <w:rPr>
          <w:noProof/>
          <w:sz w:val="20"/>
        </w:rPr>
        <w:fldChar w:fldCharType="begin"/>
      </w:r>
      <w:r w:rsidRPr="004E3825">
        <w:rPr>
          <w:noProof/>
          <w:sz w:val="20"/>
        </w:rPr>
        <w:instrText xml:space="preserve"> PAGEREF _Toc272855506 \h </w:instrText>
      </w:r>
      <w:r w:rsidRPr="004E3825">
        <w:rPr>
          <w:noProof/>
          <w:sz w:val="20"/>
        </w:rPr>
      </w:r>
      <w:r w:rsidRPr="004E3825">
        <w:rPr>
          <w:noProof/>
          <w:sz w:val="20"/>
        </w:rPr>
        <w:fldChar w:fldCharType="separate"/>
      </w:r>
      <w:r w:rsidR="00EA0B4D">
        <w:rPr>
          <w:noProof/>
          <w:sz w:val="20"/>
        </w:rPr>
        <w:t>211</w:t>
      </w:r>
      <w:r w:rsidRPr="004E3825">
        <w:rPr>
          <w:noProof/>
          <w:sz w:val="20"/>
        </w:rPr>
        <w:fldChar w:fldCharType="end"/>
      </w:r>
    </w:p>
    <w:p w14:paraId="21201460" w14:textId="05E5036E"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A.12: Costs per annual hour of curriculum (AHC) for Australia, Queensland, </w:t>
      </w:r>
      <w:r>
        <w:rPr>
          <w:noProof/>
          <w:sz w:val="20"/>
        </w:rPr>
        <w:br/>
        <w:t xml:space="preserve">   </w:t>
      </w:r>
      <w:r w:rsidR="0022031F" w:rsidRPr="004E3825">
        <w:rPr>
          <w:noProof/>
          <w:sz w:val="20"/>
        </w:rPr>
        <w:t xml:space="preserve">TAFE </w:t>
      </w:r>
      <w:r w:rsidR="00D1030E" w:rsidRPr="004E3825">
        <w:rPr>
          <w:noProof/>
          <w:sz w:val="20"/>
        </w:rPr>
        <w:t xml:space="preserve">Queensland, </w:t>
      </w:r>
      <w:r w:rsidRPr="004E3825">
        <w:rPr>
          <w:noProof/>
          <w:sz w:val="20"/>
        </w:rPr>
        <w:t>and Mt. Isa TAFE, 2009-2014 (AUD)</w:t>
      </w:r>
      <w:r w:rsidRPr="004E3825">
        <w:rPr>
          <w:noProof/>
          <w:sz w:val="20"/>
        </w:rPr>
        <w:tab/>
      </w:r>
      <w:r w:rsidRPr="004E3825">
        <w:rPr>
          <w:noProof/>
          <w:sz w:val="20"/>
        </w:rPr>
        <w:fldChar w:fldCharType="begin"/>
      </w:r>
      <w:r w:rsidRPr="004E3825">
        <w:rPr>
          <w:noProof/>
          <w:sz w:val="20"/>
        </w:rPr>
        <w:instrText xml:space="preserve"> PAGEREF _Toc272855507 \h </w:instrText>
      </w:r>
      <w:r w:rsidRPr="004E3825">
        <w:rPr>
          <w:noProof/>
          <w:sz w:val="20"/>
        </w:rPr>
      </w:r>
      <w:r w:rsidRPr="004E3825">
        <w:rPr>
          <w:noProof/>
          <w:sz w:val="20"/>
        </w:rPr>
        <w:fldChar w:fldCharType="separate"/>
      </w:r>
      <w:r w:rsidR="00EA0B4D">
        <w:rPr>
          <w:noProof/>
          <w:sz w:val="20"/>
        </w:rPr>
        <w:t>212</w:t>
      </w:r>
      <w:r w:rsidRPr="004E3825">
        <w:rPr>
          <w:noProof/>
          <w:sz w:val="20"/>
        </w:rPr>
        <w:fldChar w:fldCharType="end"/>
      </w:r>
    </w:p>
    <w:p w14:paraId="66BA5FF8" w14:textId="6A1B93EC"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A.13: Total expenditure broken down by overhead costs and direct training costs, </w:t>
      </w:r>
      <w:r>
        <w:rPr>
          <w:noProof/>
          <w:sz w:val="20"/>
        </w:rPr>
        <w:br/>
        <w:t xml:space="preserve">   </w:t>
      </w:r>
      <w:r w:rsidR="0022031F" w:rsidRPr="004E3825">
        <w:rPr>
          <w:noProof/>
          <w:sz w:val="20"/>
        </w:rPr>
        <w:t xml:space="preserve">with </w:t>
      </w:r>
      <w:r w:rsidR="00D1030E" w:rsidRPr="004E3825">
        <w:rPr>
          <w:noProof/>
          <w:sz w:val="20"/>
        </w:rPr>
        <w:t xml:space="preserve">direct </w:t>
      </w:r>
      <w:r w:rsidRPr="004E3825">
        <w:rPr>
          <w:noProof/>
          <w:sz w:val="20"/>
        </w:rPr>
        <w:t>training costs further broken down by training location, APTC Stage II</w:t>
      </w:r>
      <w:r w:rsidRPr="004E3825">
        <w:rPr>
          <w:noProof/>
          <w:sz w:val="20"/>
        </w:rPr>
        <w:tab/>
      </w:r>
      <w:r w:rsidRPr="004E3825">
        <w:rPr>
          <w:noProof/>
          <w:sz w:val="20"/>
        </w:rPr>
        <w:fldChar w:fldCharType="begin"/>
      </w:r>
      <w:r w:rsidRPr="004E3825">
        <w:rPr>
          <w:noProof/>
          <w:sz w:val="20"/>
        </w:rPr>
        <w:instrText xml:space="preserve"> PAGEREF _Toc272855508 \h </w:instrText>
      </w:r>
      <w:r w:rsidRPr="004E3825">
        <w:rPr>
          <w:noProof/>
          <w:sz w:val="20"/>
        </w:rPr>
      </w:r>
      <w:r w:rsidRPr="004E3825">
        <w:rPr>
          <w:noProof/>
          <w:sz w:val="20"/>
        </w:rPr>
        <w:fldChar w:fldCharType="separate"/>
      </w:r>
      <w:r w:rsidR="00EA0B4D">
        <w:rPr>
          <w:noProof/>
          <w:sz w:val="20"/>
        </w:rPr>
        <w:t>213</w:t>
      </w:r>
      <w:r w:rsidRPr="004E3825">
        <w:rPr>
          <w:noProof/>
          <w:sz w:val="20"/>
        </w:rPr>
        <w:fldChar w:fldCharType="end"/>
      </w:r>
    </w:p>
    <w:p w14:paraId="170096AC" w14:textId="0D33CB1E"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A.14: Direct training costs as percentage of total direct training costs by location, </w:t>
      </w:r>
      <w:r>
        <w:rPr>
          <w:noProof/>
          <w:sz w:val="20"/>
        </w:rPr>
        <w:br/>
        <w:t xml:space="preserve">   </w:t>
      </w:r>
      <w:r w:rsidRPr="004E3825">
        <w:rPr>
          <w:noProof/>
          <w:sz w:val="20"/>
        </w:rPr>
        <w:t>APTC Stage II (AUD)</w:t>
      </w:r>
      <w:r w:rsidRPr="004E3825">
        <w:rPr>
          <w:noProof/>
          <w:sz w:val="20"/>
        </w:rPr>
        <w:tab/>
      </w:r>
      <w:r w:rsidRPr="004E3825">
        <w:rPr>
          <w:noProof/>
          <w:sz w:val="20"/>
        </w:rPr>
        <w:fldChar w:fldCharType="begin"/>
      </w:r>
      <w:r w:rsidRPr="004E3825">
        <w:rPr>
          <w:noProof/>
          <w:sz w:val="20"/>
        </w:rPr>
        <w:instrText xml:space="preserve"> PAGEREF _Toc272855509 \h </w:instrText>
      </w:r>
      <w:r w:rsidRPr="004E3825">
        <w:rPr>
          <w:noProof/>
          <w:sz w:val="20"/>
        </w:rPr>
      </w:r>
      <w:r w:rsidRPr="004E3825">
        <w:rPr>
          <w:noProof/>
          <w:sz w:val="20"/>
        </w:rPr>
        <w:fldChar w:fldCharType="separate"/>
      </w:r>
      <w:r w:rsidR="00EA0B4D">
        <w:rPr>
          <w:noProof/>
          <w:sz w:val="20"/>
        </w:rPr>
        <w:t>213</w:t>
      </w:r>
      <w:r w:rsidRPr="004E3825">
        <w:rPr>
          <w:noProof/>
          <w:sz w:val="20"/>
        </w:rPr>
        <w:fldChar w:fldCharType="end"/>
      </w:r>
    </w:p>
    <w:p w14:paraId="0CA0F557" w14:textId="154B2FFE"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A.15: Total expenditure by training location with overhead costs allocated in </w:t>
      </w:r>
      <w:r>
        <w:rPr>
          <w:noProof/>
          <w:sz w:val="20"/>
        </w:rPr>
        <w:br/>
        <w:t xml:space="preserve">   </w:t>
      </w:r>
      <w:r w:rsidR="0022031F" w:rsidRPr="004E3825">
        <w:rPr>
          <w:noProof/>
          <w:sz w:val="20"/>
        </w:rPr>
        <w:t xml:space="preserve">proportion </w:t>
      </w:r>
      <w:r w:rsidRPr="004E3825">
        <w:rPr>
          <w:noProof/>
          <w:sz w:val="20"/>
        </w:rPr>
        <w:t>to direct training costs, APTC Stage II (AUD)</w:t>
      </w:r>
      <w:r w:rsidRPr="004E3825">
        <w:rPr>
          <w:noProof/>
          <w:sz w:val="20"/>
        </w:rPr>
        <w:tab/>
      </w:r>
      <w:r w:rsidRPr="004E3825">
        <w:rPr>
          <w:noProof/>
          <w:sz w:val="20"/>
        </w:rPr>
        <w:fldChar w:fldCharType="begin"/>
      </w:r>
      <w:r w:rsidRPr="004E3825">
        <w:rPr>
          <w:noProof/>
          <w:sz w:val="20"/>
        </w:rPr>
        <w:instrText xml:space="preserve"> PAGEREF _Toc272855510 \h </w:instrText>
      </w:r>
      <w:r w:rsidRPr="004E3825">
        <w:rPr>
          <w:noProof/>
          <w:sz w:val="20"/>
        </w:rPr>
      </w:r>
      <w:r w:rsidRPr="004E3825">
        <w:rPr>
          <w:noProof/>
          <w:sz w:val="20"/>
        </w:rPr>
        <w:fldChar w:fldCharType="separate"/>
      </w:r>
      <w:r w:rsidR="00EA0B4D">
        <w:rPr>
          <w:noProof/>
          <w:sz w:val="20"/>
        </w:rPr>
        <w:t>213</w:t>
      </w:r>
      <w:r w:rsidRPr="004E3825">
        <w:rPr>
          <w:noProof/>
          <w:sz w:val="20"/>
        </w:rPr>
        <w:fldChar w:fldCharType="end"/>
      </w:r>
    </w:p>
    <w:p w14:paraId="15F0CE91" w14:textId="0E6C54BF"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A.16: Number of matriculating students by training location, APTC Stage II</w:t>
      </w:r>
      <w:r w:rsidRPr="004E3825">
        <w:rPr>
          <w:noProof/>
          <w:sz w:val="20"/>
        </w:rPr>
        <w:tab/>
      </w:r>
      <w:r w:rsidRPr="004E3825">
        <w:rPr>
          <w:noProof/>
          <w:sz w:val="20"/>
        </w:rPr>
        <w:fldChar w:fldCharType="begin"/>
      </w:r>
      <w:r w:rsidRPr="004E3825">
        <w:rPr>
          <w:noProof/>
          <w:sz w:val="20"/>
        </w:rPr>
        <w:instrText xml:space="preserve"> PAGEREF _Toc272855511 \h </w:instrText>
      </w:r>
      <w:r w:rsidRPr="004E3825">
        <w:rPr>
          <w:noProof/>
          <w:sz w:val="20"/>
        </w:rPr>
      </w:r>
      <w:r w:rsidRPr="004E3825">
        <w:rPr>
          <w:noProof/>
          <w:sz w:val="20"/>
        </w:rPr>
        <w:fldChar w:fldCharType="separate"/>
      </w:r>
      <w:r w:rsidR="00EA0B4D">
        <w:rPr>
          <w:noProof/>
          <w:sz w:val="20"/>
        </w:rPr>
        <w:t>214</w:t>
      </w:r>
      <w:r w:rsidRPr="004E3825">
        <w:rPr>
          <w:noProof/>
          <w:sz w:val="20"/>
        </w:rPr>
        <w:fldChar w:fldCharType="end"/>
      </w:r>
    </w:p>
    <w:p w14:paraId="523160D9" w14:textId="6CFBE46C"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A.17: Number of graduates by training location, APTC Stage II</w:t>
      </w:r>
      <w:r w:rsidRPr="004E3825">
        <w:rPr>
          <w:noProof/>
          <w:sz w:val="20"/>
        </w:rPr>
        <w:tab/>
      </w:r>
      <w:r w:rsidRPr="004E3825">
        <w:rPr>
          <w:noProof/>
          <w:sz w:val="20"/>
        </w:rPr>
        <w:fldChar w:fldCharType="begin"/>
      </w:r>
      <w:r w:rsidRPr="004E3825">
        <w:rPr>
          <w:noProof/>
          <w:sz w:val="20"/>
        </w:rPr>
        <w:instrText xml:space="preserve"> PAGEREF _Toc272855512 \h </w:instrText>
      </w:r>
      <w:r w:rsidRPr="004E3825">
        <w:rPr>
          <w:noProof/>
          <w:sz w:val="20"/>
        </w:rPr>
      </w:r>
      <w:r w:rsidRPr="004E3825">
        <w:rPr>
          <w:noProof/>
          <w:sz w:val="20"/>
        </w:rPr>
        <w:fldChar w:fldCharType="separate"/>
      </w:r>
      <w:r w:rsidR="00EA0B4D">
        <w:rPr>
          <w:noProof/>
          <w:sz w:val="20"/>
        </w:rPr>
        <w:t>214</w:t>
      </w:r>
      <w:r w:rsidRPr="004E3825">
        <w:rPr>
          <w:noProof/>
          <w:sz w:val="20"/>
        </w:rPr>
        <w:fldChar w:fldCharType="end"/>
      </w:r>
    </w:p>
    <w:p w14:paraId="4B5D4C4F" w14:textId="1676F68D"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A.18: Cost per student by training location, APTC Stage II (AUD)</w:t>
      </w:r>
      <w:r w:rsidRPr="004E3825">
        <w:rPr>
          <w:noProof/>
          <w:sz w:val="20"/>
        </w:rPr>
        <w:tab/>
      </w:r>
      <w:r w:rsidRPr="004E3825">
        <w:rPr>
          <w:noProof/>
          <w:sz w:val="20"/>
        </w:rPr>
        <w:fldChar w:fldCharType="begin"/>
      </w:r>
      <w:r w:rsidRPr="004E3825">
        <w:rPr>
          <w:noProof/>
          <w:sz w:val="20"/>
        </w:rPr>
        <w:instrText xml:space="preserve"> PAGEREF _Toc272855513 \h </w:instrText>
      </w:r>
      <w:r w:rsidRPr="004E3825">
        <w:rPr>
          <w:noProof/>
          <w:sz w:val="20"/>
        </w:rPr>
      </w:r>
      <w:r w:rsidRPr="004E3825">
        <w:rPr>
          <w:noProof/>
          <w:sz w:val="20"/>
        </w:rPr>
        <w:fldChar w:fldCharType="separate"/>
      </w:r>
      <w:r w:rsidR="00EA0B4D">
        <w:rPr>
          <w:noProof/>
          <w:sz w:val="20"/>
        </w:rPr>
        <w:t>214</w:t>
      </w:r>
      <w:r w:rsidRPr="004E3825">
        <w:rPr>
          <w:noProof/>
          <w:sz w:val="20"/>
        </w:rPr>
        <w:fldChar w:fldCharType="end"/>
      </w:r>
    </w:p>
    <w:p w14:paraId="5545469E" w14:textId="6CDD47AD"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A.19: Cost per graduate by training location, APTC Stage II (AUD)</w:t>
      </w:r>
      <w:r w:rsidRPr="004E3825">
        <w:rPr>
          <w:noProof/>
          <w:sz w:val="20"/>
        </w:rPr>
        <w:tab/>
      </w:r>
      <w:r w:rsidRPr="004E3825">
        <w:rPr>
          <w:noProof/>
          <w:sz w:val="20"/>
        </w:rPr>
        <w:fldChar w:fldCharType="begin"/>
      </w:r>
      <w:r w:rsidRPr="004E3825">
        <w:rPr>
          <w:noProof/>
          <w:sz w:val="20"/>
        </w:rPr>
        <w:instrText xml:space="preserve"> PAGEREF _Toc272855514 \h </w:instrText>
      </w:r>
      <w:r w:rsidRPr="004E3825">
        <w:rPr>
          <w:noProof/>
          <w:sz w:val="20"/>
        </w:rPr>
      </w:r>
      <w:r w:rsidRPr="004E3825">
        <w:rPr>
          <w:noProof/>
          <w:sz w:val="20"/>
        </w:rPr>
        <w:fldChar w:fldCharType="separate"/>
      </w:r>
      <w:r w:rsidR="00EA0B4D">
        <w:rPr>
          <w:noProof/>
          <w:sz w:val="20"/>
        </w:rPr>
        <w:t>214</w:t>
      </w:r>
      <w:r w:rsidRPr="004E3825">
        <w:rPr>
          <w:noProof/>
          <w:sz w:val="20"/>
        </w:rPr>
        <w:fldChar w:fldCharType="end"/>
      </w:r>
    </w:p>
    <w:p w14:paraId="5DB30605" w14:textId="26FF15C5"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A.20: Students, trainers and tutors by school (SCHS and STT) and training </w:t>
      </w:r>
      <w:r>
        <w:rPr>
          <w:noProof/>
          <w:sz w:val="20"/>
        </w:rPr>
        <w:br/>
        <w:t xml:space="preserve">   </w:t>
      </w:r>
      <w:r w:rsidR="00D101F7" w:rsidRPr="004E3825">
        <w:rPr>
          <w:noProof/>
          <w:sz w:val="20"/>
        </w:rPr>
        <w:t>package,</w:t>
      </w:r>
      <w:r w:rsidR="00D101F7">
        <w:rPr>
          <w:noProof/>
          <w:sz w:val="20"/>
        </w:rPr>
        <w:t xml:space="preserve"> </w:t>
      </w:r>
      <w:r w:rsidRPr="004E3825">
        <w:rPr>
          <w:noProof/>
          <w:sz w:val="20"/>
        </w:rPr>
        <w:t>APTC Stages I and II (- end of 2014)</w:t>
      </w:r>
      <w:r w:rsidRPr="004E3825">
        <w:rPr>
          <w:noProof/>
          <w:sz w:val="20"/>
        </w:rPr>
        <w:tab/>
      </w:r>
      <w:r w:rsidRPr="004E3825">
        <w:rPr>
          <w:noProof/>
          <w:sz w:val="20"/>
        </w:rPr>
        <w:fldChar w:fldCharType="begin"/>
      </w:r>
      <w:r w:rsidRPr="004E3825">
        <w:rPr>
          <w:noProof/>
          <w:sz w:val="20"/>
        </w:rPr>
        <w:instrText xml:space="preserve"> PAGEREF _Toc272855515 \h </w:instrText>
      </w:r>
      <w:r w:rsidRPr="004E3825">
        <w:rPr>
          <w:noProof/>
          <w:sz w:val="20"/>
        </w:rPr>
      </w:r>
      <w:r w:rsidRPr="004E3825">
        <w:rPr>
          <w:noProof/>
          <w:sz w:val="20"/>
        </w:rPr>
        <w:fldChar w:fldCharType="separate"/>
      </w:r>
      <w:r w:rsidR="00EA0B4D">
        <w:rPr>
          <w:noProof/>
          <w:sz w:val="20"/>
        </w:rPr>
        <w:t>215</w:t>
      </w:r>
      <w:r w:rsidRPr="004E3825">
        <w:rPr>
          <w:noProof/>
          <w:sz w:val="20"/>
        </w:rPr>
        <w:fldChar w:fldCharType="end"/>
      </w:r>
    </w:p>
    <w:p w14:paraId="37FAD9DD" w14:textId="0D8053F5"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A.21: Student–teacher and trainer–tutor ratios by school (SHCS and STT), </w:t>
      </w:r>
      <w:r>
        <w:rPr>
          <w:noProof/>
          <w:sz w:val="20"/>
        </w:rPr>
        <w:br/>
        <w:t xml:space="preserve">   </w:t>
      </w:r>
      <w:r w:rsidRPr="004E3825">
        <w:rPr>
          <w:noProof/>
          <w:sz w:val="20"/>
        </w:rPr>
        <w:t>APTC Stages I and II (- end of 2014)</w:t>
      </w:r>
      <w:r w:rsidRPr="004E3825">
        <w:rPr>
          <w:noProof/>
          <w:sz w:val="20"/>
        </w:rPr>
        <w:tab/>
      </w:r>
      <w:r w:rsidRPr="004E3825">
        <w:rPr>
          <w:noProof/>
          <w:sz w:val="20"/>
        </w:rPr>
        <w:fldChar w:fldCharType="begin"/>
      </w:r>
      <w:r w:rsidRPr="004E3825">
        <w:rPr>
          <w:noProof/>
          <w:sz w:val="20"/>
        </w:rPr>
        <w:instrText xml:space="preserve"> PAGEREF _Toc272855516 \h </w:instrText>
      </w:r>
      <w:r w:rsidRPr="004E3825">
        <w:rPr>
          <w:noProof/>
          <w:sz w:val="20"/>
        </w:rPr>
      </w:r>
      <w:r w:rsidRPr="004E3825">
        <w:rPr>
          <w:noProof/>
          <w:sz w:val="20"/>
        </w:rPr>
        <w:fldChar w:fldCharType="separate"/>
      </w:r>
      <w:r w:rsidR="00EA0B4D">
        <w:rPr>
          <w:noProof/>
          <w:sz w:val="20"/>
        </w:rPr>
        <w:t>216</w:t>
      </w:r>
      <w:r w:rsidRPr="004E3825">
        <w:rPr>
          <w:noProof/>
          <w:sz w:val="20"/>
        </w:rPr>
        <w:fldChar w:fldCharType="end"/>
      </w:r>
    </w:p>
    <w:p w14:paraId="2D84CA47" w14:textId="0F21899E"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A.22: Training packages (and specialisations) offered across five </w:t>
      </w:r>
      <w:r w:rsidR="00BC249F">
        <w:rPr>
          <w:noProof/>
          <w:sz w:val="20"/>
        </w:rPr>
        <w:t>c</w:t>
      </w:r>
      <w:r w:rsidR="00BC249F" w:rsidRPr="004E3825">
        <w:rPr>
          <w:noProof/>
          <w:sz w:val="20"/>
        </w:rPr>
        <w:t xml:space="preserve">ampus </w:t>
      </w:r>
      <w:r w:rsidR="00BC249F">
        <w:rPr>
          <w:noProof/>
          <w:sz w:val="20"/>
        </w:rPr>
        <w:t>c</w:t>
      </w:r>
      <w:r w:rsidR="00BC249F" w:rsidRPr="004E3825">
        <w:rPr>
          <w:noProof/>
          <w:sz w:val="20"/>
        </w:rPr>
        <w:t xml:space="preserve">ountries </w:t>
      </w:r>
      <w:r>
        <w:rPr>
          <w:noProof/>
          <w:sz w:val="20"/>
        </w:rPr>
        <w:br/>
        <w:t xml:space="preserve">   </w:t>
      </w:r>
      <w:r w:rsidR="00BC249F" w:rsidRPr="004E3825">
        <w:rPr>
          <w:noProof/>
          <w:sz w:val="20"/>
        </w:rPr>
        <w:t xml:space="preserve">and </w:t>
      </w:r>
      <w:r w:rsidRPr="004E3825">
        <w:rPr>
          <w:noProof/>
          <w:sz w:val="20"/>
        </w:rPr>
        <w:t xml:space="preserve">three </w:t>
      </w:r>
      <w:r w:rsidR="00BC249F">
        <w:rPr>
          <w:noProof/>
          <w:color w:val="000000"/>
          <w:sz w:val="20"/>
        </w:rPr>
        <w:t>s</w:t>
      </w:r>
      <w:r w:rsidR="00BC249F" w:rsidRPr="004E3825">
        <w:rPr>
          <w:noProof/>
          <w:color w:val="000000"/>
          <w:sz w:val="20"/>
        </w:rPr>
        <w:t xml:space="preserve">mall </w:t>
      </w:r>
      <w:r w:rsidR="00BC249F">
        <w:rPr>
          <w:noProof/>
          <w:color w:val="000000"/>
          <w:sz w:val="20"/>
        </w:rPr>
        <w:t>i</w:t>
      </w:r>
      <w:r w:rsidR="00BC249F" w:rsidRPr="004E3825">
        <w:rPr>
          <w:noProof/>
          <w:color w:val="000000"/>
          <w:sz w:val="20"/>
        </w:rPr>
        <w:t xml:space="preserve">sland </w:t>
      </w:r>
      <w:r w:rsidR="00BC249F">
        <w:rPr>
          <w:noProof/>
          <w:color w:val="000000"/>
          <w:sz w:val="20"/>
        </w:rPr>
        <w:t>s</w:t>
      </w:r>
      <w:r w:rsidR="00BC249F" w:rsidRPr="004E3825">
        <w:rPr>
          <w:noProof/>
          <w:color w:val="000000"/>
          <w:sz w:val="20"/>
        </w:rPr>
        <w:t>tates</w:t>
      </w:r>
      <w:r w:rsidRPr="004E3825">
        <w:rPr>
          <w:noProof/>
          <w:color w:val="000000"/>
          <w:sz w:val="20"/>
        </w:rPr>
        <w:t>, January – June 2014</w:t>
      </w:r>
      <w:r w:rsidRPr="004E3825">
        <w:rPr>
          <w:noProof/>
          <w:sz w:val="20"/>
        </w:rPr>
        <w:tab/>
      </w:r>
      <w:r w:rsidRPr="004E3825">
        <w:rPr>
          <w:noProof/>
          <w:sz w:val="20"/>
        </w:rPr>
        <w:fldChar w:fldCharType="begin"/>
      </w:r>
      <w:r w:rsidRPr="004E3825">
        <w:rPr>
          <w:noProof/>
          <w:sz w:val="20"/>
        </w:rPr>
        <w:instrText xml:space="preserve"> PAGEREF _Toc272855517 \h </w:instrText>
      </w:r>
      <w:r w:rsidRPr="004E3825">
        <w:rPr>
          <w:noProof/>
          <w:sz w:val="20"/>
        </w:rPr>
      </w:r>
      <w:r w:rsidRPr="004E3825">
        <w:rPr>
          <w:noProof/>
          <w:sz w:val="20"/>
        </w:rPr>
        <w:fldChar w:fldCharType="separate"/>
      </w:r>
      <w:r w:rsidR="00EA0B4D">
        <w:rPr>
          <w:noProof/>
          <w:sz w:val="20"/>
        </w:rPr>
        <w:t>216</w:t>
      </w:r>
      <w:r w:rsidRPr="004E3825">
        <w:rPr>
          <w:noProof/>
          <w:sz w:val="20"/>
        </w:rPr>
        <w:fldChar w:fldCharType="end"/>
      </w:r>
    </w:p>
    <w:p w14:paraId="5A50DB36" w14:textId="14A92898"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A.23: APTC staff by position, location, and nationality as of 31 July 2014 a/</w:t>
      </w:r>
      <w:r w:rsidRPr="004E3825">
        <w:rPr>
          <w:noProof/>
          <w:sz w:val="20"/>
        </w:rPr>
        <w:tab/>
      </w:r>
      <w:r w:rsidRPr="004E3825">
        <w:rPr>
          <w:noProof/>
          <w:sz w:val="20"/>
        </w:rPr>
        <w:fldChar w:fldCharType="begin"/>
      </w:r>
      <w:r w:rsidRPr="004E3825">
        <w:rPr>
          <w:noProof/>
          <w:sz w:val="20"/>
        </w:rPr>
        <w:instrText xml:space="preserve"> PAGEREF _Toc272855518 \h </w:instrText>
      </w:r>
      <w:r w:rsidRPr="004E3825">
        <w:rPr>
          <w:noProof/>
          <w:sz w:val="20"/>
        </w:rPr>
      </w:r>
      <w:r w:rsidRPr="004E3825">
        <w:rPr>
          <w:noProof/>
          <w:sz w:val="20"/>
        </w:rPr>
        <w:fldChar w:fldCharType="separate"/>
      </w:r>
      <w:r w:rsidR="00EA0B4D">
        <w:rPr>
          <w:noProof/>
          <w:sz w:val="20"/>
        </w:rPr>
        <w:t>217</w:t>
      </w:r>
      <w:r w:rsidRPr="004E3825">
        <w:rPr>
          <w:noProof/>
          <w:sz w:val="20"/>
        </w:rPr>
        <w:fldChar w:fldCharType="end"/>
      </w:r>
    </w:p>
    <w:p w14:paraId="6AF68327" w14:textId="3887075C"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A.24: Approximate annual compensation (base salaries and benefits), APTC staff </w:t>
      </w:r>
      <w:r>
        <w:rPr>
          <w:noProof/>
          <w:sz w:val="20"/>
        </w:rPr>
        <w:br/>
        <w:t xml:space="preserve">   </w:t>
      </w:r>
      <w:r w:rsidR="00764B40" w:rsidRPr="004E3825">
        <w:rPr>
          <w:noProof/>
          <w:sz w:val="20"/>
        </w:rPr>
        <w:t xml:space="preserve">as </w:t>
      </w:r>
      <w:r w:rsidRPr="004E3825">
        <w:rPr>
          <w:noProof/>
          <w:sz w:val="20"/>
        </w:rPr>
        <w:t>of 31 July 2014 (AUD)</w:t>
      </w:r>
      <w:r w:rsidRPr="004E3825">
        <w:rPr>
          <w:noProof/>
          <w:sz w:val="20"/>
        </w:rPr>
        <w:tab/>
      </w:r>
      <w:r w:rsidRPr="004E3825">
        <w:rPr>
          <w:noProof/>
          <w:sz w:val="20"/>
        </w:rPr>
        <w:fldChar w:fldCharType="begin"/>
      </w:r>
      <w:r w:rsidRPr="004E3825">
        <w:rPr>
          <w:noProof/>
          <w:sz w:val="20"/>
        </w:rPr>
        <w:instrText xml:space="preserve"> PAGEREF _Toc272855519 \h </w:instrText>
      </w:r>
      <w:r w:rsidRPr="004E3825">
        <w:rPr>
          <w:noProof/>
          <w:sz w:val="20"/>
        </w:rPr>
      </w:r>
      <w:r w:rsidRPr="004E3825">
        <w:rPr>
          <w:noProof/>
          <w:sz w:val="20"/>
        </w:rPr>
        <w:fldChar w:fldCharType="separate"/>
      </w:r>
      <w:r w:rsidR="00EA0B4D">
        <w:rPr>
          <w:noProof/>
          <w:sz w:val="20"/>
        </w:rPr>
        <w:t>217</w:t>
      </w:r>
      <w:r w:rsidRPr="004E3825">
        <w:rPr>
          <w:noProof/>
          <w:sz w:val="20"/>
        </w:rPr>
        <w:fldChar w:fldCharType="end"/>
      </w:r>
    </w:p>
    <w:p w14:paraId="0E125586" w14:textId="2F322849"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A.25: APTC annual base salaries, national and expatriate staff (AUD)</w:t>
      </w:r>
      <w:r w:rsidRPr="004E3825">
        <w:rPr>
          <w:noProof/>
          <w:sz w:val="20"/>
        </w:rPr>
        <w:tab/>
      </w:r>
      <w:r w:rsidRPr="004E3825">
        <w:rPr>
          <w:noProof/>
          <w:sz w:val="20"/>
        </w:rPr>
        <w:fldChar w:fldCharType="begin"/>
      </w:r>
      <w:r w:rsidRPr="004E3825">
        <w:rPr>
          <w:noProof/>
          <w:sz w:val="20"/>
        </w:rPr>
        <w:instrText xml:space="preserve"> PAGEREF _Toc272855520 \h </w:instrText>
      </w:r>
      <w:r w:rsidRPr="004E3825">
        <w:rPr>
          <w:noProof/>
          <w:sz w:val="20"/>
        </w:rPr>
      </w:r>
      <w:r w:rsidRPr="004E3825">
        <w:rPr>
          <w:noProof/>
          <w:sz w:val="20"/>
        </w:rPr>
        <w:fldChar w:fldCharType="separate"/>
      </w:r>
      <w:r w:rsidR="00EA0B4D">
        <w:rPr>
          <w:noProof/>
          <w:sz w:val="20"/>
        </w:rPr>
        <w:t>218</w:t>
      </w:r>
      <w:r w:rsidRPr="004E3825">
        <w:rPr>
          <w:noProof/>
          <w:sz w:val="20"/>
        </w:rPr>
        <w:fldChar w:fldCharType="end"/>
      </w:r>
    </w:p>
    <w:p w14:paraId="7067ADF3" w14:textId="3240544F"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A.26: APTC staff as of 30 June, 2015 as projected by CEO of APTC a/</w:t>
      </w:r>
      <w:r w:rsidRPr="004E3825">
        <w:rPr>
          <w:noProof/>
          <w:sz w:val="20"/>
        </w:rPr>
        <w:tab/>
      </w:r>
      <w:r w:rsidRPr="004E3825">
        <w:rPr>
          <w:noProof/>
          <w:sz w:val="20"/>
        </w:rPr>
        <w:fldChar w:fldCharType="begin"/>
      </w:r>
      <w:r w:rsidRPr="004E3825">
        <w:rPr>
          <w:noProof/>
          <w:sz w:val="20"/>
        </w:rPr>
        <w:instrText xml:space="preserve"> PAGEREF _Toc272855521 \h </w:instrText>
      </w:r>
      <w:r w:rsidRPr="004E3825">
        <w:rPr>
          <w:noProof/>
          <w:sz w:val="20"/>
        </w:rPr>
      </w:r>
      <w:r w:rsidRPr="004E3825">
        <w:rPr>
          <w:noProof/>
          <w:sz w:val="20"/>
        </w:rPr>
        <w:fldChar w:fldCharType="separate"/>
      </w:r>
      <w:r w:rsidR="00EA0B4D">
        <w:rPr>
          <w:noProof/>
          <w:sz w:val="20"/>
        </w:rPr>
        <w:t>219</w:t>
      </w:r>
      <w:r w:rsidRPr="004E3825">
        <w:rPr>
          <w:noProof/>
          <w:sz w:val="20"/>
        </w:rPr>
        <w:fldChar w:fldCharType="end"/>
      </w:r>
    </w:p>
    <w:p w14:paraId="54892CED" w14:textId="68EF21BB"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A.27: Approximate annual compensation, APTC staff as of 30 June 2015</w:t>
      </w:r>
      <w:r w:rsidRPr="004E3825">
        <w:rPr>
          <w:noProof/>
          <w:sz w:val="20"/>
        </w:rPr>
        <w:tab/>
      </w:r>
      <w:r w:rsidRPr="004E3825">
        <w:rPr>
          <w:noProof/>
          <w:sz w:val="20"/>
        </w:rPr>
        <w:fldChar w:fldCharType="begin"/>
      </w:r>
      <w:r w:rsidRPr="004E3825">
        <w:rPr>
          <w:noProof/>
          <w:sz w:val="20"/>
        </w:rPr>
        <w:instrText xml:space="preserve"> PAGEREF _Toc272855522 \h </w:instrText>
      </w:r>
      <w:r w:rsidRPr="004E3825">
        <w:rPr>
          <w:noProof/>
          <w:sz w:val="20"/>
        </w:rPr>
      </w:r>
      <w:r w:rsidRPr="004E3825">
        <w:rPr>
          <w:noProof/>
          <w:sz w:val="20"/>
        </w:rPr>
        <w:fldChar w:fldCharType="separate"/>
      </w:r>
      <w:r w:rsidR="00EA0B4D">
        <w:rPr>
          <w:noProof/>
          <w:sz w:val="20"/>
        </w:rPr>
        <w:t>219</w:t>
      </w:r>
      <w:r w:rsidRPr="004E3825">
        <w:rPr>
          <w:noProof/>
          <w:sz w:val="20"/>
        </w:rPr>
        <w:fldChar w:fldCharType="end"/>
      </w:r>
    </w:p>
    <w:p w14:paraId="2D8D5E6F" w14:textId="094FA7E5"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A.28: APTC staff by 30 June 2019 (assuming Stage III will be funded) as </w:t>
      </w:r>
      <w:r w:rsidR="00037CD2">
        <w:rPr>
          <w:noProof/>
          <w:sz w:val="20"/>
        </w:rPr>
        <w:br/>
        <w:t xml:space="preserve">   </w:t>
      </w:r>
      <w:r w:rsidRPr="004E3825">
        <w:rPr>
          <w:noProof/>
          <w:sz w:val="20"/>
        </w:rPr>
        <w:t>projected by CEO of APTC a/</w:t>
      </w:r>
      <w:r w:rsidRPr="004E3825">
        <w:rPr>
          <w:noProof/>
          <w:sz w:val="20"/>
        </w:rPr>
        <w:tab/>
      </w:r>
      <w:r w:rsidRPr="004E3825">
        <w:rPr>
          <w:noProof/>
          <w:sz w:val="20"/>
        </w:rPr>
        <w:fldChar w:fldCharType="begin"/>
      </w:r>
      <w:r w:rsidRPr="004E3825">
        <w:rPr>
          <w:noProof/>
          <w:sz w:val="20"/>
        </w:rPr>
        <w:instrText xml:space="preserve"> PAGEREF _Toc272855523 \h </w:instrText>
      </w:r>
      <w:r w:rsidRPr="004E3825">
        <w:rPr>
          <w:noProof/>
          <w:sz w:val="20"/>
        </w:rPr>
      </w:r>
      <w:r w:rsidRPr="004E3825">
        <w:rPr>
          <w:noProof/>
          <w:sz w:val="20"/>
        </w:rPr>
        <w:fldChar w:fldCharType="separate"/>
      </w:r>
      <w:r w:rsidR="00EA0B4D">
        <w:rPr>
          <w:noProof/>
          <w:sz w:val="20"/>
        </w:rPr>
        <w:t>220</w:t>
      </w:r>
      <w:r w:rsidRPr="004E3825">
        <w:rPr>
          <w:noProof/>
          <w:sz w:val="20"/>
        </w:rPr>
        <w:fldChar w:fldCharType="end"/>
      </w:r>
    </w:p>
    <w:p w14:paraId="236C961A" w14:textId="195ADCAC"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A.29: Approximate annual compensation (base salaries and benefits), APTC staff </w:t>
      </w:r>
      <w:r>
        <w:rPr>
          <w:noProof/>
          <w:sz w:val="20"/>
        </w:rPr>
        <w:br/>
        <w:t xml:space="preserve">   </w:t>
      </w:r>
      <w:r w:rsidRPr="004E3825">
        <w:rPr>
          <w:noProof/>
          <w:sz w:val="20"/>
        </w:rPr>
        <w:t>as of 30 June 2019, assuming Phase III will be funded (AUD, 2014 prices)</w:t>
      </w:r>
      <w:r w:rsidRPr="004E3825">
        <w:rPr>
          <w:noProof/>
          <w:sz w:val="20"/>
        </w:rPr>
        <w:tab/>
      </w:r>
      <w:r w:rsidRPr="004E3825">
        <w:rPr>
          <w:noProof/>
          <w:sz w:val="20"/>
        </w:rPr>
        <w:fldChar w:fldCharType="begin"/>
      </w:r>
      <w:r w:rsidRPr="004E3825">
        <w:rPr>
          <w:noProof/>
          <w:sz w:val="20"/>
        </w:rPr>
        <w:instrText xml:space="preserve"> PAGEREF _Toc272855524 \h </w:instrText>
      </w:r>
      <w:r w:rsidRPr="004E3825">
        <w:rPr>
          <w:noProof/>
          <w:sz w:val="20"/>
        </w:rPr>
      </w:r>
      <w:r w:rsidRPr="004E3825">
        <w:rPr>
          <w:noProof/>
          <w:sz w:val="20"/>
        </w:rPr>
        <w:fldChar w:fldCharType="separate"/>
      </w:r>
      <w:r w:rsidR="00EA0B4D">
        <w:rPr>
          <w:noProof/>
          <w:sz w:val="20"/>
        </w:rPr>
        <w:t>220</w:t>
      </w:r>
      <w:r w:rsidRPr="004E3825">
        <w:rPr>
          <w:noProof/>
          <w:sz w:val="20"/>
        </w:rPr>
        <w:fldChar w:fldCharType="end"/>
      </w:r>
    </w:p>
    <w:p w14:paraId="17C72BC1" w14:textId="4DD06F67"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A.30: Flow variables (direct costs, graduates, and students enrolled) needed to </w:t>
      </w:r>
      <w:r>
        <w:rPr>
          <w:noProof/>
          <w:sz w:val="20"/>
        </w:rPr>
        <w:br/>
        <w:t xml:space="preserve">   </w:t>
      </w:r>
      <w:r w:rsidRPr="004E3825">
        <w:rPr>
          <w:noProof/>
          <w:sz w:val="20"/>
        </w:rPr>
        <w:t>estimate the economic rates of return (ERRs) for models 1, 2, 3.1, and 3.2</w:t>
      </w:r>
      <w:r w:rsidRPr="004E3825">
        <w:rPr>
          <w:noProof/>
          <w:sz w:val="20"/>
        </w:rPr>
        <w:tab/>
      </w:r>
      <w:r w:rsidRPr="004E3825">
        <w:rPr>
          <w:noProof/>
          <w:sz w:val="20"/>
        </w:rPr>
        <w:fldChar w:fldCharType="begin"/>
      </w:r>
      <w:r w:rsidRPr="004E3825">
        <w:rPr>
          <w:noProof/>
          <w:sz w:val="20"/>
        </w:rPr>
        <w:instrText xml:space="preserve"> PAGEREF _Toc272855525 \h </w:instrText>
      </w:r>
      <w:r w:rsidRPr="004E3825">
        <w:rPr>
          <w:noProof/>
          <w:sz w:val="20"/>
        </w:rPr>
      </w:r>
      <w:r w:rsidRPr="004E3825">
        <w:rPr>
          <w:noProof/>
          <w:sz w:val="20"/>
        </w:rPr>
        <w:fldChar w:fldCharType="separate"/>
      </w:r>
      <w:r w:rsidR="00EA0B4D">
        <w:rPr>
          <w:noProof/>
          <w:sz w:val="20"/>
        </w:rPr>
        <w:t>221</w:t>
      </w:r>
      <w:r w:rsidRPr="004E3825">
        <w:rPr>
          <w:noProof/>
          <w:sz w:val="20"/>
        </w:rPr>
        <w:fldChar w:fldCharType="end"/>
      </w:r>
    </w:p>
    <w:p w14:paraId="4EE64974" w14:textId="504E8FBE"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A.31: Results of ERR and sensitivity analysis – model 1 (year 0 = 2007)</w:t>
      </w:r>
      <w:r w:rsidRPr="004E3825">
        <w:rPr>
          <w:noProof/>
          <w:sz w:val="20"/>
        </w:rPr>
        <w:tab/>
      </w:r>
      <w:r w:rsidRPr="004E3825">
        <w:rPr>
          <w:noProof/>
          <w:sz w:val="20"/>
        </w:rPr>
        <w:fldChar w:fldCharType="begin"/>
      </w:r>
      <w:r w:rsidRPr="004E3825">
        <w:rPr>
          <w:noProof/>
          <w:sz w:val="20"/>
        </w:rPr>
        <w:instrText xml:space="preserve"> PAGEREF _Toc272855526 \h </w:instrText>
      </w:r>
      <w:r w:rsidRPr="004E3825">
        <w:rPr>
          <w:noProof/>
          <w:sz w:val="20"/>
        </w:rPr>
      </w:r>
      <w:r w:rsidRPr="004E3825">
        <w:rPr>
          <w:noProof/>
          <w:sz w:val="20"/>
        </w:rPr>
        <w:fldChar w:fldCharType="separate"/>
      </w:r>
      <w:r w:rsidR="00EA0B4D">
        <w:rPr>
          <w:noProof/>
          <w:sz w:val="20"/>
        </w:rPr>
        <w:t>222</w:t>
      </w:r>
      <w:r w:rsidRPr="004E3825">
        <w:rPr>
          <w:noProof/>
          <w:sz w:val="20"/>
        </w:rPr>
        <w:fldChar w:fldCharType="end"/>
      </w:r>
    </w:p>
    <w:p w14:paraId="739CC5C6" w14:textId="70ED573E"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A.32: Results of ERR and sensitivity analysis – model 2 (year 0 = 2011)</w:t>
      </w:r>
      <w:r w:rsidRPr="004E3825">
        <w:rPr>
          <w:noProof/>
          <w:sz w:val="20"/>
        </w:rPr>
        <w:tab/>
      </w:r>
      <w:r w:rsidRPr="004E3825">
        <w:rPr>
          <w:noProof/>
          <w:sz w:val="20"/>
        </w:rPr>
        <w:fldChar w:fldCharType="begin"/>
      </w:r>
      <w:r w:rsidRPr="004E3825">
        <w:rPr>
          <w:noProof/>
          <w:sz w:val="20"/>
        </w:rPr>
        <w:instrText xml:space="preserve"> PAGEREF _Toc272855527 \h </w:instrText>
      </w:r>
      <w:r w:rsidRPr="004E3825">
        <w:rPr>
          <w:noProof/>
          <w:sz w:val="20"/>
        </w:rPr>
      </w:r>
      <w:r w:rsidRPr="004E3825">
        <w:rPr>
          <w:noProof/>
          <w:sz w:val="20"/>
        </w:rPr>
        <w:fldChar w:fldCharType="separate"/>
      </w:r>
      <w:r w:rsidR="00EA0B4D">
        <w:rPr>
          <w:noProof/>
          <w:sz w:val="20"/>
        </w:rPr>
        <w:t>222</w:t>
      </w:r>
      <w:r w:rsidRPr="004E3825">
        <w:rPr>
          <w:noProof/>
          <w:sz w:val="20"/>
        </w:rPr>
        <w:fldChar w:fldCharType="end"/>
      </w:r>
    </w:p>
    <w:p w14:paraId="605C2694" w14:textId="5C38E2F4"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A.33: Results of ERR and sensitivity analysis – model 3.1 (year 0 = 2015, </w:t>
      </w:r>
      <w:r>
        <w:rPr>
          <w:noProof/>
          <w:sz w:val="20"/>
        </w:rPr>
        <w:br/>
        <w:t xml:space="preserve">   </w:t>
      </w:r>
      <w:r w:rsidRPr="004E3825">
        <w:rPr>
          <w:noProof/>
          <w:sz w:val="20"/>
        </w:rPr>
        <w:t>cost savings 10 per cent over four years of Stage III)</w:t>
      </w:r>
      <w:r w:rsidRPr="004E3825">
        <w:rPr>
          <w:noProof/>
          <w:sz w:val="20"/>
        </w:rPr>
        <w:tab/>
      </w:r>
      <w:r w:rsidRPr="004E3825">
        <w:rPr>
          <w:noProof/>
          <w:sz w:val="20"/>
        </w:rPr>
        <w:fldChar w:fldCharType="begin"/>
      </w:r>
      <w:r w:rsidRPr="004E3825">
        <w:rPr>
          <w:noProof/>
          <w:sz w:val="20"/>
        </w:rPr>
        <w:instrText xml:space="preserve"> PAGEREF _Toc272855528 \h </w:instrText>
      </w:r>
      <w:r w:rsidRPr="004E3825">
        <w:rPr>
          <w:noProof/>
          <w:sz w:val="20"/>
        </w:rPr>
      </w:r>
      <w:r w:rsidRPr="004E3825">
        <w:rPr>
          <w:noProof/>
          <w:sz w:val="20"/>
        </w:rPr>
        <w:fldChar w:fldCharType="separate"/>
      </w:r>
      <w:r w:rsidR="00EA0B4D">
        <w:rPr>
          <w:noProof/>
          <w:sz w:val="20"/>
        </w:rPr>
        <w:t>223</w:t>
      </w:r>
      <w:r w:rsidRPr="004E3825">
        <w:rPr>
          <w:noProof/>
          <w:sz w:val="20"/>
        </w:rPr>
        <w:fldChar w:fldCharType="end"/>
      </w:r>
    </w:p>
    <w:p w14:paraId="4A40DA1A" w14:textId="0D67872E"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 xml:space="preserve">Table A.34: Results of ERR and sensitivity analysis – model 3.2 (year 0 = 2015, </w:t>
      </w:r>
      <w:r>
        <w:rPr>
          <w:noProof/>
          <w:sz w:val="20"/>
        </w:rPr>
        <w:br/>
        <w:t xml:space="preserve">   </w:t>
      </w:r>
      <w:r w:rsidRPr="004E3825">
        <w:rPr>
          <w:noProof/>
          <w:sz w:val="20"/>
        </w:rPr>
        <w:t>cost savings 20 per cent over four years of Stage III)</w:t>
      </w:r>
      <w:r w:rsidRPr="004E3825">
        <w:rPr>
          <w:noProof/>
          <w:sz w:val="20"/>
        </w:rPr>
        <w:tab/>
      </w:r>
      <w:r w:rsidRPr="004E3825">
        <w:rPr>
          <w:noProof/>
          <w:sz w:val="20"/>
        </w:rPr>
        <w:fldChar w:fldCharType="begin"/>
      </w:r>
      <w:r w:rsidRPr="004E3825">
        <w:rPr>
          <w:noProof/>
          <w:sz w:val="20"/>
        </w:rPr>
        <w:instrText xml:space="preserve"> PAGEREF _Toc272855529 \h </w:instrText>
      </w:r>
      <w:r w:rsidRPr="004E3825">
        <w:rPr>
          <w:noProof/>
          <w:sz w:val="20"/>
        </w:rPr>
      </w:r>
      <w:r w:rsidRPr="004E3825">
        <w:rPr>
          <w:noProof/>
          <w:sz w:val="20"/>
        </w:rPr>
        <w:fldChar w:fldCharType="separate"/>
      </w:r>
      <w:r w:rsidR="00EA0B4D">
        <w:rPr>
          <w:noProof/>
          <w:sz w:val="20"/>
        </w:rPr>
        <w:t>223</w:t>
      </w:r>
      <w:r w:rsidRPr="004E3825">
        <w:rPr>
          <w:noProof/>
          <w:sz w:val="20"/>
        </w:rPr>
        <w:fldChar w:fldCharType="end"/>
      </w:r>
    </w:p>
    <w:p w14:paraId="34FBE539" w14:textId="57B9AFB3"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A.35: Cost recovery (revenues from sources other than DFAT), APTC Stage II</w:t>
      </w:r>
      <w:r w:rsidRPr="004E3825">
        <w:rPr>
          <w:noProof/>
          <w:sz w:val="20"/>
        </w:rPr>
        <w:tab/>
      </w:r>
      <w:r w:rsidRPr="004E3825">
        <w:rPr>
          <w:noProof/>
          <w:sz w:val="20"/>
        </w:rPr>
        <w:fldChar w:fldCharType="begin"/>
      </w:r>
      <w:r w:rsidRPr="004E3825">
        <w:rPr>
          <w:noProof/>
          <w:sz w:val="20"/>
        </w:rPr>
        <w:instrText xml:space="preserve"> PAGEREF _Toc272855530 \h </w:instrText>
      </w:r>
      <w:r w:rsidRPr="004E3825">
        <w:rPr>
          <w:noProof/>
          <w:sz w:val="20"/>
        </w:rPr>
      </w:r>
      <w:r w:rsidRPr="004E3825">
        <w:rPr>
          <w:noProof/>
          <w:sz w:val="20"/>
        </w:rPr>
        <w:fldChar w:fldCharType="separate"/>
      </w:r>
      <w:r w:rsidR="00EA0B4D">
        <w:rPr>
          <w:noProof/>
          <w:sz w:val="20"/>
        </w:rPr>
        <w:t>224</w:t>
      </w:r>
      <w:r w:rsidRPr="004E3825">
        <w:rPr>
          <w:noProof/>
          <w:sz w:val="20"/>
        </w:rPr>
        <w:fldChar w:fldCharType="end"/>
      </w:r>
    </w:p>
    <w:p w14:paraId="3E958403" w14:textId="09964484" w:rsidR="000913FE" w:rsidRPr="004E3825" w:rsidRDefault="000913FE" w:rsidP="00926CD3">
      <w:pPr>
        <w:pStyle w:val="TableofFigures"/>
        <w:tabs>
          <w:tab w:val="right" w:leader="dot" w:pos="8222"/>
          <w:tab w:val="right" w:leader="dot" w:pos="9014"/>
        </w:tabs>
        <w:spacing w:after="40"/>
        <w:rPr>
          <w:noProof/>
          <w:sz w:val="20"/>
          <w:lang w:val="en-US"/>
        </w:rPr>
      </w:pPr>
      <w:r w:rsidRPr="004E3825">
        <w:rPr>
          <w:noProof/>
          <w:sz w:val="20"/>
        </w:rPr>
        <w:t>Table A.36: APTC course tuition fees by school and by campus country</w:t>
      </w:r>
      <w:r w:rsidRPr="004E3825">
        <w:rPr>
          <w:noProof/>
          <w:sz w:val="20"/>
        </w:rPr>
        <w:tab/>
      </w:r>
      <w:r w:rsidRPr="004E3825">
        <w:rPr>
          <w:noProof/>
          <w:sz w:val="20"/>
        </w:rPr>
        <w:fldChar w:fldCharType="begin"/>
      </w:r>
      <w:r w:rsidRPr="004E3825">
        <w:rPr>
          <w:noProof/>
          <w:sz w:val="20"/>
        </w:rPr>
        <w:instrText xml:space="preserve"> PAGEREF _Toc272855531 \h </w:instrText>
      </w:r>
      <w:r w:rsidRPr="004E3825">
        <w:rPr>
          <w:noProof/>
          <w:sz w:val="20"/>
        </w:rPr>
      </w:r>
      <w:r w:rsidRPr="004E3825">
        <w:rPr>
          <w:noProof/>
          <w:sz w:val="20"/>
        </w:rPr>
        <w:fldChar w:fldCharType="separate"/>
      </w:r>
      <w:r w:rsidR="00EA0B4D">
        <w:rPr>
          <w:noProof/>
          <w:sz w:val="20"/>
        </w:rPr>
        <w:t>224</w:t>
      </w:r>
      <w:r w:rsidRPr="004E3825">
        <w:rPr>
          <w:noProof/>
          <w:sz w:val="20"/>
        </w:rPr>
        <w:fldChar w:fldCharType="end"/>
      </w:r>
    </w:p>
    <w:p w14:paraId="08F64BCC" w14:textId="77777777" w:rsidR="000913FE" w:rsidRDefault="000913FE" w:rsidP="00926CD3">
      <w:pPr>
        <w:tabs>
          <w:tab w:val="right" w:leader="dot" w:pos="8222"/>
        </w:tabs>
        <w:spacing w:after="40"/>
        <w:rPr>
          <w:b/>
        </w:rPr>
      </w:pPr>
      <w:r w:rsidRPr="004E3825">
        <w:rPr>
          <w:b/>
          <w:sz w:val="20"/>
        </w:rPr>
        <w:fldChar w:fldCharType="end"/>
      </w:r>
    </w:p>
    <w:p w14:paraId="6BC68961" w14:textId="77777777" w:rsidR="000913FE" w:rsidRDefault="000913FE" w:rsidP="000913FE">
      <w:pPr>
        <w:rPr>
          <w:b/>
        </w:rPr>
      </w:pPr>
    </w:p>
    <w:p w14:paraId="3A9137E3" w14:textId="77777777" w:rsidR="000913FE" w:rsidRDefault="000913FE" w:rsidP="000913FE">
      <w:pPr>
        <w:spacing w:after="200" w:line="276" w:lineRule="auto"/>
        <w:rPr>
          <w:rFonts w:eastAsiaTheme="majorEastAsia" w:cs="Arial"/>
          <w:b/>
          <w:bCs/>
          <w:color w:val="A5A5A5" w:themeColor="accent3"/>
          <w:sz w:val="24"/>
        </w:rPr>
      </w:pPr>
      <w:r>
        <w:br w:type="page"/>
      </w:r>
    </w:p>
    <w:p w14:paraId="7019DDCC" w14:textId="171F8329" w:rsidR="000913FE" w:rsidRDefault="00725EEE" w:rsidP="002028A6">
      <w:pPr>
        <w:pStyle w:val="Heading1"/>
      </w:pPr>
      <w:bookmarkStart w:id="941" w:name="_Toc274295071"/>
      <w:bookmarkStart w:id="942" w:name="_Toc278447984"/>
      <w:bookmarkStart w:id="943" w:name="_Toc278453457"/>
      <w:r>
        <w:t>1</w:t>
      </w:r>
      <w:r>
        <w:tab/>
      </w:r>
      <w:r w:rsidR="000913FE" w:rsidRPr="006E43CD">
        <w:t>Introduction: value for money</w:t>
      </w:r>
      <w:bookmarkEnd w:id="941"/>
      <w:bookmarkEnd w:id="942"/>
      <w:bookmarkEnd w:id="943"/>
    </w:p>
    <w:p w14:paraId="2B5ECF40" w14:textId="2600BA80" w:rsidR="000913FE" w:rsidRPr="008F0CCB" w:rsidRDefault="000913FE" w:rsidP="000913FE">
      <w:pPr>
        <w:spacing w:before="120"/>
        <w:rPr>
          <w:rFonts w:cs="Arial"/>
        </w:rPr>
      </w:pPr>
      <w:r w:rsidRPr="008F0CCB">
        <w:rPr>
          <w:rFonts w:cs="Arial"/>
        </w:rPr>
        <w:t>The 19</w:t>
      </w:r>
      <w:r w:rsidRPr="008F0CCB">
        <w:rPr>
          <w:rFonts w:cs="Arial"/>
          <w:vertAlign w:val="superscript"/>
        </w:rPr>
        <w:t>th</w:t>
      </w:r>
      <w:r w:rsidRPr="008F0CCB">
        <w:rPr>
          <w:rFonts w:cs="Arial"/>
        </w:rPr>
        <w:t xml:space="preserve"> century historian Thomas Carlyle referred, somewhat unkindly, to economics as the </w:t>
      </w:r>
      <w:r w:rsidR="00A6239B">
        <w:rPr>
          <w:rFonts w:cs="Arial"/>
        </w:rPr>
        <w:t>‘</w:t>
      </w:r>
      <w:r w:rsidRPr="008F0CCB">
        <w:rPr>
          <w:rFonts w:cs="Arial"/>
        </w:rPr>
        <w:t>dismal science</w:t>
      </w:r>
      <w:r w:rsidR="00A6239B">
        <w:rPr>
          <w:rFonts w:cs="Arial"/>
        </w:rPr>
        <w:t>’</w:t>
      </w:r>
      <w:r w:rsidR="00A6239B" w:rsidRPr="008F0CCB">
        <w:rPr>
          <w:rFonts w:cs="Arial"/>
        </w:rPr>
        <w:t> </w:t>
      </w:r>
      <w:r w:rsidRPr="008F0CCB">
        <w:rPr>
          <w:rFonts w:cs="Arial"/>
        </w:rPr>
        <w:t xml:space="preserve">– because of its focus on scarcity, costs and trade-offs, and the need, in a world of limited resources, of always having to choose between more of this and more of that. DFAT’s call for an independent review to assess whether APTC has provided value for money (VfM) borrows from the economist’s playbook by asking the difficult and disquieting question: Could the $278 million of spending on APTC between 2007 and 2015 have been spent differently so as to deliver greater </w:t>
      </w:r>
      <w:r w:rsidR="00A6239B">
        <w:rPr>
          <w:rFonts w:cs="Arial"/>
        </w:rPr>
        <w:t>‘</w:t>
      </w:r>
      <w:r w:rsidRPr="008F0CCB">
        <w:rPr>
          <w:rFonts w:cs="Arial"/>
        </w:rPr>
        <w:t>value</w:t>
      </w:r>
      <w:r w:rsidR="00A6239B">
        <w:rPr>
          <w:rFonts w:cs="Arial"/>
        </w:rPr>
        <w:t>’</w:t>
      </w:r>
      <w:r w:rsidR="00A6239B" w:rsidRPr="008F0CCB">
        <w:rPr>
          <w:rFonts w:cs="Arial"/>
        </w:rPr>
        <w:t xml:space="preserve"> </w:t>
      </w:r>
      <w:r w:rsidRPr="008F0CCB">
        <w:rPr>
          <w:rFonts w:cs="Arial"/>
        </w:rPr>
        <w:t>to the Australian taxpayer? At a meeting of the APTC Consortium Bo</w:t>
      </w:r>
      <w:r w:rsidR="0055221F">
        <w:rPr>
          <w:rFonts w:cs="Arial"/>
        </w:rPr>
        <w:t xml:space="preserve">ard in a Fiji hotel in March </w:t>
      </w:r>
      <w:r w:rsidRPr="008F0CCB">
        <w:rPr>
          <w:rFonts w:cs="Arial"/>
        </w:rPr>
        <w:t xml:space="preserve">2014, </w:t>
      </w:r>
      <w:r>
        <w:rPr>
          <w:rFonts w:cs="Arial"/>
        </w:rPr>
        <w:t>b</w:t>
      </w:r>
      <w:r w:rsidRPr="008F0CCB">
        <w:rPr>
          <w:rFonts w:cs="Arial"/>
        </w:rPr>
        <w:t>oard members were shown, in a Power</w:t>
      </w:r>
      <w:r w:rsidR="0055221F">
        <w:rPr>
          <w:rFonts w:cs="Arial"/>
        </w:rPr>
        <w:t>P</w:t>
      </w:r>
      <w:r w:rsidRPr="008F0CCB">
        <w:rPr>
          <w:rFonts w:cs="Arial"/>
        </w:rPr>
        <w:t>oint presentation (APTC 2014, July), that AusAID/DFAT had been spending $42,860 on average to produce each graduate since 2007</w:t>
      </w:r>
      <w:r w:rsidRPr="008F0CCB">
        <w:rPr>
          <w:rStyle w:val="FootnoteReference"/>
          <w:rFonts w:cs="Arial"/>
        </w:rPr>
        <w:footnoteReference w:id="59"/>
      </w:r>
      <w:r w:rsidRPr="008F0CCB">
        <w:rPr>
          <w:rFonts w:cs="Arial"/>
        </w:rPr>
        <w:t xml:space="preserve"> and asked to ponder the question</w:t>
      </w:r>
      <w:r w:rsidR="00A6239B">
        <w:rPr>
          <w:rFonts w:cs="Arial"/>
        </w:rPr>
        <w:t>:</w:t>
      </w:r>
      <w:r w:rsidR="00A6239B" w:rsidRPr="008F0CCB">
        <w:rPr>
          <w:rFonts w:cs="Arial"/>
        </w:rPr>
        <w:t xml:space="preserve"> </w:t>
      </w:r>
      <w:r w:rsidRPr="008F0CCB">
        <w:rPr>
          <w:rFonts w:cs="Arial"/>
        </w:rPr>
        <w:t>Has this amounted to value for money?</w:t>
      </w:r>
    </w:p>
    <w:p w14:paraId="6F4192B4" w14:textId="148356EF" w:rsidR="000913FE" w:rsidRPr="008F0CCB" w:rsidRDefault="000913FE" w:rsidP="000913FE">
      <w:pPr>
        <w:spacing w:before="120"/>
        <w:rPr>
          <w:rFonts w:cs="Arial"/>
        </w:rPr>
      </w:pPr>
      <w:r w:rsidRPr="008F0CCB">
        <w:rPr>
          <w:rFonts w:cs="Arial"/>
        </w:rPr>
        <w:t>The answer depends, of course, on the goals of APTC, the extent to which these goals have been achieved, and the values one places on them. The earliest documents provided to the review team articulating a rationale for the College stated that the goal of APTC was twofold: (1) increasing the supply of skilled workers and increased productivity in targeted sectors in the Pacific region</w:t>
      </w:r>
      <w:r w:rsidR="00C6136A">
        <w:rPr>
          <w:rFonts w:cs="Arial"/>
        </w:rPr>
        <w:t>;</w:t>
      </w:r>
      <w:r w:rsidRPr="008F0CCB">
        <w:rPr>
          <w:rFonts w:cs="Arial"/>
        </w:rPr>
        <w:t xml:space="preserve"> and (2) helping Pacific Islander women and men </w:t>
      </w:r>
      <w:r w:rsidR="00A6239B" w:rsidRPr="008F0CCB">
        <w:rPr>
          <w:rFonts w:cs="Arial"/>
        </w:rPr>
        <w:t>reali</w:t>
      </w:r>
      <w:r w:rsidR="00A6239B">
        <w:rPr>
          <w:rFonts w:cs="Arial"/>
        </w:rPr>
        <w:t>s</w:t>
      </w:r>
      <w:r w:rsidR="00A6239B" w:rsidRPr="008F0CCB">
        <w:rPr>
          <w:rFonts w:cs="Arial"/>
        </w:rPr>
        <w:t xml:space="preserve">e </w:t>
      </w:r>
      <w:r w:rsidRPr="008F0CCB">
        <w:rPr>
          <w:rFonts w:cs="Arial"/>
        </w:rPr>
        <w:t>improved employment opportunities nationally, regionally and internationally (APTC 2007, November).</w:t>
      </w:r>
    </w:p>
    <w:p w14:paraId="41A5F608" w14:textId="068E7BB4" w:rsidR="000913FE" w:rsidRPr="008F0CCB" w:rsidRDefault="000913FE" w:rsidP="000913FE">
      <w:pPr>
        <w:spacing w:before="120"/>
        <w:rPr>
          <w:rFonts w:cs="Arial"/>
        </w:rPr>
      </w:pPr>
      <w:r w:rsidRPr="008F0CCB">
        <w:rPr>
          <w:rFonts w:cs="Arial"/>
        </w:rPr>
        <w:t xml:space="preserve">By all accounts (feedback from current students, graduates, employers, and Advisory Group members), the first goal has been well achieved. APTC students acquire skills that meet ASQA standards, and graduates are judged by virtually all stakeholders as being good workers whose productivity is enhanced by the training they receive. Because students entering APTC are not school leavers (so that APTC </w:t>
      </w:r>
      <w:r>
        <w:rPr>
          <w:rFonts w:cs="Arial"/>
        </w:rPr>
        <w:t xml:space="preserve">will </w:t>
      </w:r>
      <w:r w:rsidRPr="008F0CCB">
        <w:rPr>
          <w:rFonts w:cs="Arial"/>
        </w:rPr>
        <w:t xml:space="preserve">not compete with national training institutions), and because a majority of students, whether EWs or NIEs, have been employed before they enter the College, the effect of APTC on </w:t>
      </w:r>
      <w:r w:rsidRPr="008F0CCB">
        <w:rPr>
          <w:rFonts w:cs="Arial"/>
          <w:i/>
        </w:rPr>
        <w:t>rates of employment</w:t>
      </w:r>
      <w:r w:rsidRPr="008F0CCB">
        <w:rPr>
          <w:rFonts w:cs="Arial"/>
        </w:rPr>
        <w:t xml:space="preserve"> has been minimal. On the other hand, </w:t>
      </w:r>
      <w:r w:rsidRPr="008F0CCB">
        <w:rPr>
          <w:rFonts w:cs="Arial"/>
          <w:i/>
        </w:rPr>
        <w:t>improved employment</w:t>
      </w:r>
      <w:r w:rsidRPr="008F0CCB">
        <w:rPr>
          <w:rFonts w:cs="Arial"/>
        </w:rPr>
        <w:t xml:space="preserve"> (jobs with greater responsibility and paying higher wages) would seem to be an outcome for most graduates – not necessarily right after they graduate, but over a period of time, as employers witness the graduates’ increased productivity and realise that they now have other employment opportunities to which they can move.</w:t>
      </w:r>
    </w:p>
    <w:p w14:paraId="16DC6774" w14:textId="77777777" w:rsidR="000913FE" w:rsidRPr="008F0CCB" w:rsidRDefault="000913FE" w:rsidP="000913FE">
      <w:pPr>
        <w:spacing w:before="120"/>
        <w:rPr>
          <w:rFonts w:cs="Arial"/>
        </w:rPr>
      </w:pPr>
      <w:r w:rsidRPr="008F0CCB">
        <w:rPr>
          <w:rFonts w:cs="Arial"/>
        </w:rPr>
        <w:t xml:space="preserve">As discussed earlier in this review, one goal expressed for APTC, to facilitate the migration of Pacific Islanders to Australia and other high-income economies (for the benefit of the migrants, who can earn much more than at home, and for the benefit of receiving countries with shortages of skills) has </w:t>
      </w:r>
      <w:r w:rsidRPr="008F0CCB">
        <w:rPr>
          <w:rFonts w:cs="Arial"/>
          <w:i/>
        </w:rPr>
        <w:t>not</w:t>
      </w:r>
      <w:r w:rsidRPr="008F0CCB">
        <w:rPr>
          <w:rFonts w:cs="Arial"/>
        </w:rPr>
        <w:t xml:space="preserve"> been broadly achieved. Only a very small minority of those who have graduated from APTC since operations began in mid-2007 have decided to migrate and then succeeded in doing so by meeting the significant costs (both financial and social/psychological) and by clearing the formidable barriers to immigration imposed by Australia and other high-income economies. While the possession of an Australian training certificate may be a necessary (or, at least, a helpful) condition for Pacific Islanders seeking an Australian work visa, it has not proven to be a sufficient condition (see </w:t>
      </w:r>
      <w:r>
        <w:rPr>
          <w:rFonts w:cs="Arial"/>
        </w:rPr>
        <w:t>A</w:t>
      </w:r>
      <w:r w:rsidRPr="008F0CCB">
        <w:rPr>
          <w:rFonts w:cs="Arial"/>
        </w:rPr>
        <w:t xml:space="preserve">nnex </w:t>
      </w:r>
      <w:r>
        <w:rPr>
          <w:rFonts w:cs="Arial"/>
        </w:rPr>
        <w:t>7</w:t>
      </w:r>
      <w:r w:rsidRPr="008F0CCB">
        <w:rPr>
          <w:rFonts w:cs="Arial"/>
        </w:rPr>
        <w:t xml:space="preserve">). This means that, at least for now, a positive VfM assessment of APTC will depend on the benefits that graduates (and their families), their employers, and their co-workers receive at home in the Pacific. </w:t>
      </w:r>
      <w:r w:rsidRPr="008F0CCB">
        <w:rPr>
          <w:rFonts w:cs="Arial"/>
          <w:i/>
        </w:rPr>
        <w:t>If</w:t>
      </w:r>
      <w:r w:rsidRPr="008F0CCB">
        <w:rPr>
          <w:rFonts w:cs="Arial"/>
        </w:rPr>
        <w:t xml:space="preserve"> APTC can be justified based on these domestic benefits alone, then any opening up of migration pathways in the future will simply reinforce this positive result.</w:t>
      </w:r>
    </w:p>
    <w:p w14:paraId="207978C0" w14:textId="2EF7778A" w:rsidR="000913FE" w:rsidRDefault="00725EEE" w:rsidP="002028A6">
      <w:pPr>
        <w:pStyle w:val="Heading1"/>
      </w:pPr>
      <w:bookmarkStart w:id="944" w:name="_Toc274295072"/>
      <w:bookmarkStart w:id="945" w:name="_Toc278447985"/>
      <w:bookmarkStart w:id="946" w:name="_Toc278453458"/>
      <w:r>
        <w:t>2</w:t>
      </w:r>
      <w:r>
        <w:tab/>
      </w:r>
      <w:r w:rsidR="000913FE" w:rsidRPr="008F0CCB">
        <w:t>Financial and education management information systems</w:t>
      </w:r>
      <w:bookmarkEnd w:id="944"/>
      <w:bookmarkEnd w:id="945"/>
      <w:bookmarkEnd w:id="946"/>
    </w:p>
    <w:p w14:paraId="6F1A2CA6" w14:textId="77777777" w:rsidR="000913FE" w:rsidRPr="00256926" w:rsidRDefault="000913FE" w:rsidP="000913FE">
      <w:pPr>
        <w:spacing w:before="120"/>
        <w:rPr>
          <w:rFonts w:cs="Arial"/>
          <w:b/>
        </w:rPr>
      </w:pPr>
      <w:r w:rsidRPr="00256926">
        <w:rPr>
          <w:rFonts w:cs="Arial"/>
          <w:b/>
          <w:u w:val="single"/>
        </w:rPr>
        <w:t>Questions listed in the evaluation plan</w:t>
      </w:r>
      <w:r w:rsidRPr="00256926">
        <w:rPr>
          <w:rFonts w:cs="Arial"/>
          <w:b/>
        </w:rPr>
        <w:t>: How adequate is the quality of information about costs and financing of APTC? Have effective consolidated financial and education management information system been established? What are the gaps?</w:t>
      </w:r>
    </w:p>
    <w:p w14:paraId="5A2FC068" w14:textId="77777777" w:rsidR="000913FE" w:rsidRPr="008F0CCB" w:rsidRDefault="000913FE" w:rsidP="000913FE">
      <w:pPr>
        <w:rPr>
          <w:b/>
        </w:rPr>
      </w:pPr>
      <w:r w:rsidRPr="008F0CCB">
        <w:t xml:space="preserve">During Stage II, Corporate and Student Services (CSS, the Pacific headquarters of APTC, located in Nadi) has implemented consolidated financial and education management information systems (FMIS and EMIS) to generate the data needed by the management team and Consortium Board for purposes of M&amp;E and planning. The newly installed FMIS and EMIS mark a significant improvement over the tools and procedures available in APTC’s early years. </w:t>
      </w:r>
    </w:p>
    <w:p w14:paraId="74F54965" w14:textId="77777777" w:rsidR="000913FE" w:rsidRPr="008F0CCB" w:rsidRDefault="000913FE" w:rsidP="000913FE">
      <w:pPr>
        <w:rPr>
          <w:b/>
        </w:rPr>
      </w:pPr>
      <w:r w:rsidRPr="008F0CCB">
        <w:t>During Stage I, separate financial accounts were maintained by the three Stage I contractors – Sinclair Knight Merz (SKM), Sunshine Coast Institute of TAFE (SCIT), and Box Hill Institute of TAFE (BHIT). The DFAT office in Suva is the only place where some (but not all) of this information is currently available in one place. In 2013, APTC purchased and installed MS Dynamics NAV (a resource planning product that Microsoft acquired in 2002 from the Danish company, Navision).</w:t>
      </w:r>
      <w:r w:rsidRPr="008F0CCB">
        <w:rPr>
          <w:rStyle w:val="FootnoteReference"/>
          <w:rFonts w:cs="Arial"/>
        </w:rPr>
        <w:footnoteReference w:id="60"/>
      </w:r>
      <w:r w:rsidRPr="008F0CCB">
        <w:t xml:space="preserve"> NAV allows </w:t>
      </w:r>
      <w:r>
        <w:t xml:space="preserve">APTC’s </w:t>
      </w:r>
      <w:r w:rsidRPr="008F0CCB">
        <w:t>Finance Manager in Nadi to record all revenues as they come in and expenditures as they are made and to generate detailed financial reports on a regular basis for the APTC board and management team.</w:t>
      </w:r>
    </w:p>
    <w:p w14:paraId="010D8BF3" w14:textId="76C1D158" w:rsidR="000913FE" w:rsidRPr="008F0CCB" w:rsidRDefault="000913FE" w:rsidP="000913FE">
      <w:pPr>
        <w:rPr>
          <w:b/>
        </w:rPr>
      </w:pPr>
      <w:r w:rsidRPr="008F0CCB">
        <w:t xml:space="preserve">At about the same time, APTC acquired two </w:t>
      </w:r>
      <w:r>
        <w:t xml:space="preserve">other software products, which </w:t>
      </w:r>
      <w:r w:rsidRPr="008F0CCB">
        <w:t>underpin the current EMIS. MS Dynamics CRM, a customer relationship management program developed by Microsoft</w:t>
      </w:r>
      <w:r w:rsidRPr="008F0CCB">
        <w:rPr>
          <w:rStyle w:val="FootnoteReference"/>
          <w:rFonts w:cs="Arial"/>
        </w:rPr>
        <w:footnoteReference w:id="61"/>
      </w:r>
      <w:r w:rsidRPr="008F0CCB">
        <w:t xml:space="preserve">, is used by APTC to track applicants through to the point of ready-to-enrol status (for those accepted for training) or to the point of rejection (for those who are not). Graduates are also tracked by CRM when they leave the College. The other software used for APTC’s EMIS is the stand-alone package, EduPoint, which the College uses to track students from the point of their enrolment through to their separation from the College as graduates or dropouts. </w:t>
      </w:r>
    </w:p>
    <w:p w14:paraId="7FBE9E40" w14:textId="30DA7642" w:rsidR="000913FE" w:rsidRPr="008F0CCB" w:rsidRDefault="000913FE" w:rsidP="000913FE">
      <w:pPr>
        <w:rPr>
          <w:b/>
        </w:rPr>
      </w:pPr>
      <w:r w:rsidRPr="008F0CCB">
        <w:t xml:space="preserve">Using these software products, APTC’s Quality Performance and Research unit (QPR) was able to respond accurately and quickly to the numerous requests for EMIS data submitted by </w:t>
      </w:r>
      <w:r>
        <w:t xml:space="preserve">this </w:t>
      </w:r>
      <w:r w:rsidRPr="008F0CCB">
        <w:t>independent review team. In addition, QPR must prepare regular reports for APTC’s corporate offices in Australia (TAFEQ East Coast in Brisbane and BHIT in Melbourne). There the spreadsheets are entered manually into the RTOs’ database systems (</w:t>
      </w:r>
      <w:r w:rsidR="009864DB" w:rsidRPr="009864DB">
        <w:t>ISAS</w:t>
      </w:r>
      <w:r w:rsidR="009864DB">
        <w:t>)</w:t>
      </w:r>
      <w:r w:rsidR="009864DB" w:rsidRPr="009864DB">
        <w:rPr>
          <w:rFonts w:cs="Arial"/>
          <w:szCs w:val="16"/>
          <w:vertAlign w:val="superscript"/>
          <w:lang w:val="sv-SE" w:eastAsia="sv-SE"/>
        </w:rPr>
        <w:footnoteReference w:id="62"/>
      </w:r>
      <w:r w:rsidR="009864DB" w:rsidRPr="009864DB">
        <w:t xml:space="preserve"> </w:t>
      </w:r>
      <w:r w:rsidRPr="008F0CCB">
        <w:t xml:space="preserve"> in the case of TAFEQEC, and SMART</w:t>
      </w:r>
      <w:r w:rsidRPr="008F0CCB">
        <w:rPr>
          <w:rStyle w:val="FootnoteReference"/>
          <w:rFonts w:cs="Arial"/>
        </w:rPr>
        <w:footnoteReference w:id="63"/>
      </w:r>
      <w:r w:rsidRPr="008F0CCB">
        <w:t xml:space="preserve"> in the case of BHIT). The two Australian RTOs are now in the process of upgrading their database systems. These will need to be more sophisticated than APTC’s, and they are likely to be different from one another,</w:t>
      </w:r>
      <w:r w:rsidRPr="008F0CCB">
        <w:rPr>
          <w:rStyle w:val="FootnoteReference"/>
          <w:rFonts w:cs="Arial"/>
        </w:rPr>
        <w:footnoteReference w:id="64"/>
      </w:r>
      <w:r w:rsidRPr="008F0CCB">
        <w:t xml:space="preserve"> but both should be able to interface electronically with APTC’s database so as to eliminate the need for the manual transfer of data in the future.</w:t>
      </w:r>
    </w:p>
    <w:p w14:paraId="066964FB" w14:textId="77777777" w:rsidR="002633E8" w:rsidRDefault="000913FE" w:rsidP="000913FE">
      <w:r w:rsidRPr="008F0CCB">
        <w:t>The data in CRM and EduPoint are integrated by means of project management software called Flow.</w:t>
      </w:r>
      <w:r w:rsidRPr="008F0CCB">
        <w:rPr>
          <w:rStyle w:val="FootnoteReference"/>
          <w:rFonts w:cs="Arial"/>
        </w:rPr>
        <w:footnoteReference w:id="65"/>
      </w:r>
      <w:r w:rsidRPr="008F0CCB">
        <w:t xml:space="preserve"> Additional integrations, for example between the EMIS and FMIS databases, are possible, but depending on their complexity, these tend to be costly, and the necessary software was not included in APTC’s recent purchases. </w:t>
      </w:r>
    </w:p>
    <w:p w14:paraId="4EC9E733" w14:textId="1453AF01" w:rsidR="000913FE" w:rsidRDefault="000913FE" w:rsidP="000913FE">
      <w:pPr>
        <w:rPr>
          <w:b/>
        </w:rPr>
      </w:pPr>
      <w:r w:rsidRPr="008F0CCB">
        <w:t>Still, the addition of CRM and EduPoint represents already a significant improvement over the situation that prevailed in Stage I, when APTC relied on the graphics process management software, Blue.</w:t>
      </w:r>
      <w:r w:rsidRPr="008F0CCB">
        <w:rPr>
          <w:rStyle w:val="FootnoteReference"/>
          <w:rFonts w:cs="Arial"/>
        </w:rPr>
        <w:footnoteReference w:id="66"/>
      </w:r>
      <w:r w:rsidRPr="008F0CCB">
        <w:t xml:space="preserve"> With Blue, EMIS data were entered by the APTC team in Nadi, but an experienced ICT person </w:t>
      </w:r>
      <w:r>
        <w:t xml:space="preserve">at </w:t>
      </w:r>
      <w:r w:rsidRPr="008F0CCB">
        <w:t>BHIT in Victoria had to write the queries to generate reports, meaning that the information needed for monitoring and planning was not available on a timely basis</w:t>
      </w:r>
      <w:r>
        <w:t>, unlike the much better situation today.</w:t>
      </w:r>
    </w:p>
    <w:p w14:paraId="32B76EC3" w14:textId="77777777" w:rsidR="000913FE" w:rsidRPr="008F0CCB" w:rsidRDefault="000913FE" w:rsidP="000913FE">
      <w:pPr>
        <w:rPr>
          <w:b/>
        </w:rPr>
      </w:pPr>
      <w:r>
        <w:t>It should be noted, however, that APTC’s current M&amp;E system focuses very much on operational matters (spending, staffing, enrolments, and qualifications awarded) but remains quite weak on external efficiency indicators (employment, migration and, especially, earnings) needed for a VfM analysis. The Scope of Services calls for the APTC contractor to collect data on outcomes and impact (Section 11.2.)  However, the Performance Assessment Framework (PAF) has virtually nothing on employment and earnings.</w:t>
      </w:r>
      <w:r>
        <w:rPr>
          <w:rStyle w:val="FootnoteReference"/>
          <w:rFonts w:cs="Arial"/>
        </w:rPr>
        <w:footnoteReference w:id="67"/>
      </w:r>
      <w:r>
        <w:t xml:space="preserve"> This point will be returned to later in this annex.</w:t>
      </w:r>
    </w:p>
    <w:p w14:paraId="42210382" w14:textId="66B1B316" w:rsidR="000913FE" w:rsidRDefault="00725EEE" w:rsidP="002028A6">
      <w:pPr>
        <w:pStyle w:val="Heading1"/>
      </w:pPr>
      <w:bookmarkStart w:id="947" w:name="_Toc274295073"/>
      <w:bookmarkStart w:id="948" w:name="_Toc278447986"/>
      <w:bookmarkStart w:id="949" w:name="_Toc278453459"/>
      <w:r>
        <w:t>3</w:t>
      </w:r>
      <w:r>
        <w:tab/>
      </w:r>
      <w:r w:rsidR="000913FE" w:rsidRPr="008F0CCB">
        <w:t>Economy of inputs</w:t>
      </w:r>
      <w:bookmarkEnd w:id="947"/>
      <w:bookmarkEnd w:id="948"/>
      <w:bookmarkEnd w:id="949"/>
    </w:p>
    <w:p w14:paraId="079075CF" w14:textId="77777777" w:rsidR="000913FE" w:rsidRPr="00256926" w:rsidRDefault="000913FE" w:rsidP="000913FE">
      <w:pPr>
        <w:spacing w:before="120"/>
        <w:rPr>
          <w:rFonts w:cs="Arial"/>
          <w:b/>
        </w:rPr>
      </w:pPr>
      <w:r w:rsidRPr="00256926">
        <w:rPr>
          <w:rFonts w:cs="Arial"/>
          <w:b/>
          <w:u w:val="single"/>
        </w:rPr>
        <w:t>Question listed in the evaluation plan</w:t>
      </w:r>
      <w:r w:rsidRPr="00256926">
        <w:rPr>
          <w:rFonts w:cs="Arial"/>
          <w:b/>
        </w:rPr>
        <w:t>: Has the APTC program been economical in buying inputs of appropriate quality at the right price?</w:t>
      </w:r>
    </w:p>
    <w:p w14:paraId="4C044909" w14:textId="77777777" w:rsidR="000913FE" w:rsidRDefault="000913FE" w:rsidP="000913FE">
      <w:pPr>
        <w:spacing w:before="120"/>
        <w:rPr>
          <w:rFonts w:cs="Arial"/>
        </w:rPr>
      </w:pPr>
      <w:r w:rsidRPr="008F0CCB">
        <w:rPr>
          <w:rFonts w:cs="Arial"/>
        </w:rPr>
        <w:t xml:space="preserve">There is no reason to believe that APTC over-pays for the goods and services it procures. Procurement follows Commonwealth guidelines (Commonwealth of Australia 2008). Procedures for purchases in different price ranges are spelled out in </w:t>
      </w:r>
      <w:r>
        <w:rPr>
          <w:rFonts w:cs="Arial"/>
        </w:rPr>
        <w:t xml:space="preserve">an </w:t>
      </w:r>
      <w:r w:rsidRPr="008F0CCB">
        <w:rPr>
          <w:rFonts w:cs="Arial"/>
        </w:rPr>
        <w:t xml:space="preserve">APTC procurement manual, as shown in </w:t>
      </w:r>
      <w:r>
        <w:rPr>
          <w:rFonts w:cs="Arial"/>
        </w:rPr>
        <w:t>T</w:t>
      </w:r>
      <w:r w:rsidRPr="00505195">
        <w:rPr>
          <w:rFonts w:cs="Arial"/>
        </w:rPr>
        <w:t>able 1.</w:t>
      </w:r>
      <w:r w:rsidRPr="008F0CCB">
        <w:rPr>
          <w:rFonts w:cs="Arial"/>
        </w:rPr>
        <w:t xml:space="preserve"> </w:t>
      </w:r>
    </w:p>
    <w:p w14:paraId="5B72B902" w14:textId="77777777" w:rsidR="000913FE" w:rsidRPr="008F0CCB" w:rsidRDefault="000913FE" w:rsidP="000913FE">
      <w:pPr>
        <w:pStyle w:val="Tableheading"/>
      </w:pPr>
      <w:bookmarkStart w:id="950" w:name="_Toc272855454"/>
      <w:bookmarkStart w:id="951" w:name="_Toc274915957"/>
      <w:bookmarkStart w:id="952" w:name="_Toc278446936"/>
      <w:r w:rsidRPr="008F0CCB">
        <w:t>Table 1: APTC approval limits for purchases</w:t>
      </w:r>
      <w:bookmarkEnd w:id="950"/>
      <w:bookmarkEnd w:id="951"/>
      <w:bookmarkEnd w:id="952"/>
      <w:r w:rsidRPr="008F0CCB">
        <w:t xml:space="preserve"> </w:t>
      </w:r>
    </w:p>
    <w:p w14:paraId="5B305A4A" w14:textId="77777777" w:rsidR="000913FE" w:rsidRPr="008F0CCB" w:rsidRDefault="000913FE" w:rsidP="000913FE">
      <w:pPr>
        <w:spacing w:after="0"/>
        <w:rPr>
          <w:rFonts w:cs="Arial"/>
          <w:color w:val="000000"/>
        </w:rPr>
      </w:pPr>
      <w:r>
        <w:rPr>
          <w:noProof/>
          <w:lang w:eastAsia="en-AU"/>
        </w:rPr>
        <w:drawing>
          <wp:inline distT="0" distB="0" distL="0" distR="0" wp14:anchorId="5B5842D8" wp14:editId="57FB9F53">
            <wp:extent cx="5269230" cy="1028700"/>
            <wp:effectExtent l="0" t="0" r="0" b="1270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269230" cy="1028700"/>
                    </a:xfrm>
                    <a:prstGeom prst="rect">
                      <a:avLst/>
                    </a:prstGeom>
                    <a:noFill/>
                    <a:ln w="9525">
                      <a:noFill/>
                      <a:miter lim="800000"/>
                      <a:headEnd/>
                      <a:tailEnd/>
                    </a:ln>
                  </pic:spPr>
                </pic:pic>
              </a:graphicData>
            </a:graphic>
          </wp:inline>
        </w:drawing>
      </w:r>
    </w:p>
    <w:p w14:paraId="6904BD8B" w14:textId="77777777" w:rsidR="000913FE" w:rsidRDefault="000913FE" w:rsidP="000913FE">
      <w:pPr>
        <w:spacing w:before="120"/>
        <w:rPr>
          <w:rFonts w:cs="Arial"/>
          <w:b/>
        </w:rPr>
      </w:pPr>
      <w:r w:rsidRPr="008F0CCB">
        <w:rPr>
          <w:rFonts w:cs="Arial"/>
        </w:rPr>
        <w:t>Wherever possible, APTC uses local suppliers</w:t>
      </w:r>
      <w:r>
        <w:rPr>
          <w:rFonts w:cs="Arial"/>
        </w:rPr>
        <w:t>,</w:t>
      </w:r>
      <w:r w:rsidRPr="008F0CCB">
        <w:rPr>
          <w:rFonts w:cs="Arial"/>
        </w:rPr>
        <w:t xml:space="preserve"> provided that cost and delivery schedules match or compare favourably with Australian quotes.</w:t>
      </w:r>
    </w:p>
    <w:p w14:paraId="75E87694" w14:textId="77777777" w:rsidR="000913FE" w:rsidRPr="008F0CCB" w:rsidRDefault="000913FE" w:rsidP="000913FE">
      <w:pPr>
        <w:rPr>
          <w:b/>
        </w:rPr>
      </w:pPr>
      <w:r w:rsidRPr="008F0CCB">
        <w:t xml:space="preserve">All expenditure incurred by APTC must be approved in accordance with APTC financial and administrative delegations and must not exceed the annual budget. Instruments of financial delegation are issued to positions within APTC by the CEO and approved by the Board (APTC 2012a and 2012b). </w:t>
      </w:r>
    </w:p>
    <w:p w14:paraId="7219F9FB" w14:textId="77777777" w:rsidR="000913FE" w:rsidRPr="008F0CCB" w:rsidRDefault="000913FE" w:rsidP="000913FE">
      <w:pPr>
        <w:rPr>
          <w:b/>
        </w:rPr>
      </w:pPr>
      <w:r w:rsidRPr="008F0CCB">
        <w:t>Salaries paid to national staff in each of APTC’s five campus countries and elsewhere in the Pacific are benchmarked against salaries paid locally for comparable work (Maxumise 2013).</w:t>
      </w:r>
    </w:p>
    <w:p w14:paraId="699819E0" w14:textId="77777777" w:rsidR="000913FE" w:rsidRDefault="000913FE" w:rsidP="000913FE">
      <w:pPr>
        <w:spacing w:after="200" w:line="276" w:lineRule="auto"/>
        <w:rPr>
          <w:rFonts w:eastAsiaTheme="majorEastAsia" w:cstheme="majorBidi"/>
          <w:b/>
          <w:bCs/>
          <w:color w:val="A5A5A5" w:themeColor="accent3"/>
          <w:sz w:val="24"/>
          <w:szCs w:val="28"/>
        </w:rPr>
      </w:pPr>
      <w:bookmarkStart w:id="953" w:name="_Toc274295074"/>
      <w:r>
        <w:br w:type="page"/>
      </w:r>
    </w:p>
    <w:p w14:paraId="0B25A4C8" w14:textId="4A30378C" w:rsidR="000913FE" w:rsidRDefault="00725EEE" w:rsidP="002028A6">
      <w:pPr>
        <w:pStyle w:val="Heading1"/>
      </w:pPr>
      <w:bookmarkStart w:id="954" w:name="_Toc278447987"/>
      <w:bookmarkStart w:id="955" w:name="_Toc278453460"/>
      <w:r>
        <w:t>4</w:t>
      </w:r>
      <w:r>
        <w:tab/>
      </w:r>
      <w:r w:rsidR="000913FE" w:rsidRPr="008F0CCB">
        <w:t>Cost structure analysis</w:t>
      </w:r>
      <w:bookmarkEnd w:id="953"/>
      <w:bookmarkEnd w:id="954"/>
      <w:bookmarkEnd w:id="955"/>
    </w:p>
    <w:p w14:paraId="3E2F508B" w14:textId="77777777" w:rsidR="000913FE" w:rsidRPr="008F6992" w:rsidRDefault="000913FE" w:rsidP="000913FE">
      <w:pPr>
        <w:spacing w:before="120"/>
        <w:rPr>
          <w:rFonts w:cs="Arial"/>
          <w:b/>
        </w:rPr>
      </w:pPr>
      <w:r w:rsidRPr="008F6992">
        <w:rPr>
          <w:rFonts w:cs="Arial"/>
          <w:b/>
          <w:u w:val="single"/>
        </w:rPr>
        <w:t>Questions listed in evaluation plan</w:t>
      </w:r>
      <w:r w:rsidRPr="008F6992">
        <w:rPr>
          <w:rFonts w:cs="Arial"/>
          <w:b/>
        </w:rPr>
        <w:t>: What have been the outputs in relation to inputs? What are the various unit recurrent costs, e.g., cost per trainee, cost per hour of instruction, and cost per graduate? What are other measures of internal efficiency, e.g., student completion rates, full-time equivalent ratios of students per teacher by program? What factors drive unit costs? What has been done (e.g. localisation), and what more could be done to achieve greater efficiency?</w:t>
      </w:r>
    </w:p>
    <w:p w14:paraId="3831ADB4" w14:textId="36CFC68F" w:rsidR="000913FE" w:rsidRDefault="00725EEE" w:rsidP="002028A6">
      <w:pPr>
        <w:pStyle w:val="Heading2"/>
      </w:pPr>
      <w:bookmarkStart w:id="956" w:name="_Toc274295075"/>
      <w:bookmarkStart w:id="957" w:name="_Toc274900579"/>
      <w:bookmarkStart w:id="958" w:name="_Toc274909967"/>
      <w:bookmarkStart w:id="959" w:name="_Toc278447988"/>
      <w:bookmarkStart w:id="960" w:name="_Toc278453461"/>
      <w:r>
        <w:t>4.1</w:t>
      </w:r>
      <w:r>
        <w:tab/>
      </w:r>
      <w:r w:rsidR="000913FE" w:rsidRPr="008F6992">
        <w:t>Total costs</w:t>
      </w:r>
      <w:bookmarkEnd w:id="956"/>
      <w:bookmarkEnd w:id="957"/>
      <w:bookmarkEnd w:id="958"/>
      <w:bookmarkEnd w:id="959"/>
      <w:bookmarkEnd w:id="960"/>
    </w:p>
    <w:p w14:paraId="64E1979F" w14:textId="335450C2" w:rsidR="000913FE" w:rsidRPr="008F0CCB" w:rsidRDefault="000913FE" w:rsidP="000913FE">
      <w:pPr>
        <w:spacing w:before="120"/>
        <w:rPr>
          <w:rFonts w:cs="Arial"/>
        </w:rPr>
      </w:pPr>
      <w:r w:rsidRPr="008F0CCB">
        <w:rPr>
          <w:rFonts w:cs="Arial"/>
        </w:rPr>
        <w:t>Given the absence of a consolidated FMIS until recently, detailed information on Stage</w:t>
      </w:r>
      <w:r w:rsidR="00725EEE">
        <w:rPr>
          <w:rFonts w:cs="Arial"/>
        </w:rPr>
        <w:t> </w:t>
      </w:r>
      <w:r w:rsidRPr="008F0CCB">
        <w:rPr>
          <w:rFonts w:cs="Arial"/>
        </w:rPr>
        <w:t>I costs was difficult for the review team to obtain. As indicated above, separate financial accounts were maintained by the three Stage I contractors</w:t>
      </w:r>
      <w:r>
        <w:rPr>
          <w:rFonts w:cs="Arial"/>
        </w:rPr>
        <w:t xml:space="preserve">; </w:t>
      </w:r>
      <w:r w:rsidRPr="008F0CCB">
        <w:rPr>
          <w:rFonts w:cs="Arial"/>
        </w:rPr>
        <w:t>this information has never been systematically integrated. By comparison, detailed information on Stage II is readily available given the introduction of the NAV financial database.</w:t>
      </w:r>
      <w:r>
        <w:rPr>
          <w:rStyle w:val="FootnoteReference"/>
          <w:rFonts w:cs="Arial"/>
        </w:rPr>
        <w:footnoteReference w:id="68"/>
      </w:r>
      <w:r w:rsidRPr="008F0CCB">
        <w:rPr>
          <w:rFonts w:cs="Arial"/>
        </w:rPr>
        <w:t xml:space="preserve"> </w:t>
      </w:r>
    </w:p>
    <w:p w14:paraId="3D82A8AC" w14:textId="52DA242C" w:rsidR="000913FE" w:rsidRPr="008F0CCB" w:rsidRDefault="000913FE" w:rsidP="000913FE">
      <w:pPr>
        <w:spacing w:before="120"/>
        <w:rPr>
          <w:rFonts w:cs="Arial"/>
        </w:rPr>
      </w:pPr>
      <w:r w:rsidRPr="008F0CCB">
        <w:rPr>
          <w:rFonts w:cs="Arial"/>
        </w:rPr>
        <w:t xml:space="preserve">Tables A.1 and A.2 in the section of appendix tables at the end of </w:t>
      </w:r>
      <w:r w:rsidR="002633E8">
        <w:rPr>
          <w:rFonts w:cs="Arial"/>
        </w:rPr>
        <w:t>this a</w:t>
      </w:r>
      <w:r w:rsidRPr="008F0CCB">
        <w:rPr>
          <w:rFonts w:cs="Arial"/>
        </w:rPr>
        <w:t>nnex show that a total of $134.4 million was spent during Stage I (including $7.1 million on planning and preparations during FY2006/07, which preceded the official launching of APTC in July 2007</w:t>
      </w:r>
      <w:r>
        <w:rPr>
          <w:rFonts w:cs="Arial"/>
        </w:rPr>
        <w:t>)</w:t>
      </w:r>
      <w:r w:rsidRPr="008F0CCB">
        <w:rPr>
          <w:rFonts w:cs="Arial"/>
        </w:rPr>
        <w:t>. About $22</w:t>
      </w:r>
      <w:r>
        <w:rPr>
          <w:rFonts w:cs="Arial"/>
        </w:rPr>
        <w:t xml:space="preserve"> </w:t>
      </w:r>
      <w:r w:rsidRPr="008F0CCB">
        <w:rPr>
          <w:rFonts w:cs="Arial"/>
        </w:rPr>
        <w:t>million (16 per cent) of Stage I expenditure was capital spending (on civil works and equipment), and the remaining $113 million was split among management fees paid to the three contractors ($12 million), scholarships to cover student travel and living expenses ($13 million), and other recurrent costs ($88 million). Stage I operational costs (everything other than the $13 million in scholarship costs) covered three main activities: program development and coordination, the responsibility of SKM (8 per cent); training in programs that would, in Stage II, become the School of Trades and Technology (STT), the responsibility of SCIT (61 per cent); and training in what would, in Stage II, become the School of Hospitality and Community Services (SHCS), the responsibility of BHIT (31 per cent).</w:t>
      </w:r>
    </w:p>
    <w:p w14:paraId="588D9644" w14:textId="6587173C" w:rsidR="000913FE" w:rsidRDefault="000913FE" w:rsidP="000913FE">
      <w:pPr>
        <w:spacing w:before="240"/>
        <w:rPr>
          <w:rFonts w:cs="Arial"/>
        </w:rPr>
      </w:pPr>
      <w:r w:rsidRPr="008F0CCB">
        <w:rPr>
          <w:rFonts w:cs="Arial"/>
        </w:rPr>
        <w:t>Counting the $7 million spent in FY2006/07 as part of the total, APTC spent $134.4</w:t>
      </w:r>
      <w:r w:rsidR="00B01D59">
        <w:rPr>
          <w:rFonts w:cs="Arial"/>
        </w:rPr>
        <w:t> </w:t>
      </w:r>
      <w:r w:rsidRPr="008F0CCB">
        <w:rPr>
          <w:rFonts w:cs="Arial"/>
        </w:rPr>
        <w:t>million during Stage I, or an average of $16.8 million per semester over the eight</w:t>
      </w:r>
      <w:r w:rsidR="00B01D59">
        <w:rPr>
          <w:rFonts w:cs="Arial"/>
        </w:rPr>
        <w:t xml:space="preserve"> semesters, during which time 4</w:t>
      </w:r>
      <w:r w:rsidRPr="008F0CCB">
        <w:rPr>
          <w:rFonts w:cs="Arial"/>
        </w:rPr>
        <w:t>4</w:t>
      </w:r>
      <w:r w:rsidR="00B01D59">
        <w:rPr>
          <w:rFonts w:cs="Arial"/>
        </w:rPr>
        <w:t>36 students were enrolled and 3</w:t>
      </w:r>
      <w:r w:rsidRPr="008F0CCB">
        <w:rPr>
          <w:rFonts w:cs="Arial"/>
        </w:rPr>
        <w:t>531 graduated. By comparison, $143.4 million will have been spent by the end of Stage II, or an average of $17.9 million per semester (</w:t>
      </w:r>
      <w:r>
        <w:rPr>
          <w:rFonts w:cs="Arial"/>
        </w:rPr>
        <w:t>A</w:t>
      </w:r>
      <w:r w:rsidRPr="008F0CCB">
        <w:rPr>
          <w:rFonts w:cs="Arial"/>
        </w:rPr>
        <w:t xml:space="preserve">ppendix </w:t>
      </w:r>
      <w:r>
        <w:rPr>
          <w:rFonts w:cs="Arial"/>
        </w:rPr>
        <w:t>T</w:t>
      </w:r>
      <w:r w:rsidRPr="008F0CCB">
        <w:rPr>
          <w:rFonts w:cs="Arial"/>
        </w:rPr>
        <w:t>ables A.3 and A.4). Enrolment over the four years of S</w:t>
      </w:r>
      <w:r w:rsidR="00B01D59">
        <w:rPr>
          <w:rFonts w:cs="Arial"/>
        </w:rPr>
        <w:t>tage II is projected to reach 5401, and graduates, 4</w:t>
      </w:r>
      <w:r w:rsidRPr="008F0CCB">
        <w:rPr>
          <w:rFonts w:cs="Arial"/>
        </w:rPr>
        <w:t xml:space="preserve">898. Expenditure in </w:t>
      </w:r>
      <w:r>
        <w:rPr>
          <w:rFonts w:cs="Arial"/>
        </w:rPr>
        <w:t>T</w:t>
      </w:r>
      <w:r w:rsidRPr="008F0CCB">
        <w:rPr>
          <w:rFonts w:cs="Arial"/>
        </w:rPr>
        <w:t xml:space="preserve">able A.3 is organised according to the Basis of Payment (BOP) structure that DFAT requires APTC and the contractor (TAFEQ) to use for claiming cost reimbursements. The five BOP categories are: (1) capital &amp; establishment, (2) corporate &amp; student support, (3) direct training delivery, (4) personnel costs, and (5) scholarships. Table A.4 and </w:t>
      </w:r>
      <w:r>
        <w:rPr>
          <w:rFonts w:cs="Arial"/>
        </w:rPr>
        <w:t xml:space="preserve">the remaining </w:t>
      </w:r>
      <w:r w:rsidRPr="008F0CCB">
        <w:rPr>
          <w:rFonts w:cs="Arial"/>
        </w:rPr>
        <w:t xml:space="preserve">expenditure tables and graphs in this annex will make use of chart of account categories more familiar to most economists and accountants and </w:t>
      </w:r>
      <w:r>
        <w:rPr>
          <w:rFonts w:cs="Arial"/>
        </w:rPr>
        <w:t xml:space="preserve">as </w:t>
      </w:r>
      <w:r w:rsidRPr="008F0CCB">
        <w:rPr>
          <w:rFonts w:cs="Arial"/>
        </w:rPr>
        <w:t xml:space="preserve">suggested by the APTC Finance Manager. </w:t>
      </w:r>
      <w:r w:rsidRPr="007C2DF6">
        <w:rPr>
          <w:rFonts w:cs="Arial"/>
        </w:rPr>
        <w:t>Figure 1</w:t>
      </w:r>
      <w:r w:rsidRPr="008F0CCB">
        <w:rPr>
          <w:rFonts w:cs="Arial"/>
        </w:rPr>
        <w:t xml:space="preserve"> shows total expenditure in Stage I (2007</w:t>
      </w:r>
      <w:r>
        <w:rPr>
          <w:rFonts w:cs="Arial"/>
        </w:rPr>
        <w:t>–</w:t>
      </w:r>
      <w:r w:rsidRPr="008F0CCB">
        <w:rPr>
          <w:rFonts w:cs="Arial"/>
        </w:rPr>
        <w:t>2011) and Stage II (2011</w:t>
      </w:r>
      <w:r>
        <w:rPr>
          <w:rFonts w:cs="Arial"/>
        </w:rPr>
        <w:t>–</w:t>
      </w:r>
      <w:r w:rsidRPr="008F0CCB">
        <w:rPr>
          <w:rFonts w:cs="Arial"/>
        </w:rPr>
        <w:t>2015).</w:t>
      </w:r>
      <w:r w:rsidR="009864DB" w:rsidRPr="009864DB">
        <w:rPr>
          <w:rFonts w:cs="Arial"/>
          <w:szCs w:val="16"/>
          <w:vertAlign w:val="superscript"/>
          <w:lang w:val="sv-SE" w:eastAsia="sv-SE"/>
        </w:rPr>
        <w:t xml:space="preserve"> </w:t>
      </w:r>
      <w:r w:rsidR="009864DB" w:rsidRPr="009864DB">
        <w:rPr>
          <w:rFonts w:cs="Arial"/>
          <w:szCs w:val="16"/>
          <w:vertAlign w:val="superscript"/>
          <w:lang w:val="sv-SE" w:eastAsia="sv-SE"/>
        </w:rPr>
        <w:footnoteReference w:id="69"/>
      </w:r>
      <w:r w:rsidRPr="008F0CCB">
        <w:rPr>
          <w:rFonts w:cs="Arial"/>
        </w:rPr>
        <w:t xml:space="preserve"> </w:t>
      </w:r>
    </w:p>
    <w:p w14:paraId="4ACA88FE" w14:textId="77777777" w:rsidR="000913FE" w:rsidRPr="00002371" w:rsidRDefault="000913FE" w:rsidP="000913FE">
      <w:pPr>
        <w:pStyle w:val="Tableheading"/>
      </w:pPr>
      <w:bookmarkStart w:id="961" w:name="_Toc272855455"/>
      <w:r>
        <w:br w:type="page"/>
      </w:r>
      <w:bookmarkStart w:id="962" w:name="_Toc274915958"/>
      <w:bookmarkStart w:id="963" w:name="_Toc278446937"/>
      <w:r w:rsidRPr="00D31755">
        <w:t xml:space="preserve">Figure 1: Expenditure in Stages I and II by capital, scholarships, management, </w:t>
      </w:r>
      <w:r>
        <w:br/>
      </w:r>
      <w:r w:rsidRPr="00D31755">
        <w:t>and other recurrent</w:t>
      </w:r>
      <w:r>
        <w:t xml:space="preserve"> costs (AUD millions)</w:t>
      </w:r>
      <w:bookmarkEnd w:id="961"/>
      <w:bookmarkEnd w:id="962"/>
      <w:bookmarkEnd w:id="963"/>
    </w:p>
    <w:p w14:paraId="56F64D64" w14:textId="77777777" w:rsidR="000913FE" w:rsidRDefault="000913FE" w:rsidP="000913FE">
      <w:pPr>
        <w:spacing w:before="240"/>
        <w:rPr>
          <w:rFonts w:cs="Arial"/>
        </w:rPr>
      </w:pPr>
      <w:r>
        <w:rPr>
          <w:rFonts w:cs="Arial"/>
          <w:noProof/>
          <w:lang w:eastAsia="en-AU"/>
        </w:rPr>
        <w:drawing>
          <wp:inline distT="0" distB="0" distL="0" distR="0" wp14:anchorId="53F2234C" wp14:editId="0B40F01B">
            <wp:extent cx="3060700" cy="1841500"/>
            <wp:effectExtent l="25400" t="0" r="0" b="0"/>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3060700" cy="1841500"/>
                    </a:xfrm>
                    <a:prstGeom prst="rect">
                      <a:avLst/>
                    </a:prstGeom>
                    <a:noFill/>
                    <a:ln w="9525">
                      <a:noFill/>
                      <a:miter lim="800000"/>
                      <a:headEnd/>
                      <a:tailEnd/>
                    </a:ln>
                  </pic:spPr>
                </pic:pic>
              </a:graphicData>
            </a:graphic>
          </wp:inline>
        </w:drawing>
      </w:r>
    </w:p>
    <w:p w14:paraId="4203DC5B" w14:textId="77777777" w:rsidR="000913FE" w:rsidRPr="00F84E88"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ables A.1</w:t>
      </w:r>
      <w:r>
        <w:rPr>
          <w:rFonts w:cs="Arial"/>
          <w:sz w:val="16"/>
          <w:szCs w:val="20"/>
        </w:rPr>
        <w:t xml:space="preserve"> – </w:t>
      </w:r>
      <w:r w:rsidRPr="007C2DF6">
        <w:rPr>
          <w:rFonts w:cs="Arial"/>
          <w:sz w:val="16"/>
          <w:szCs w:val="20"/>
        </w:rPr>
        <w:t>A.4</w:t>
      </w:r>
    </w:p>
    <w:p w14:paraId="29295F89" w14:textId="77777777" w:rsidR="000913FE" w:rsidRPr="008F0CCB" w:rsidRDefault="000913FE" w:rsidP="000913FE">
      <w:pPr>
        <w:spacing w:before="240"/>
        <w:rPr>
          <w:rFonts w:cs="Arial"/>
        </w:rPr>
      </w:pPr>
    </w:p>
    <w:p w14:paraId="3342C165" w14:textId="47F789D5" w:rsidR="000913FE" w:rsidRPr="008F0CCB" w:rsidRDefault="000913FE" w:rsidP="000913FE">
      <w:pPr>
        <w:spacing w:after="0"/>
        <w:rPr>
          <w:rFonts w:cs="Arial"/>
          <w:color w:val="000000"/>
        </w:rPr>
      </w:pPr>
      <w:r w:rsidRPr="008F0CCB">
        <w:rPr>
          <w:rFonts w:cs="Arial"/>
          <w:color w:val="000000"/>
        </w:rPr>
        <w:t xml:space="preserve">Appendix </w:t>
      </w:r>
      <w:r>
        <w:rPr>
          <w:rFonts w:cs="Arial"/>
          <w:color w:val="000000"/>
        </w:rPr>
        <w:t>T</w:t>
      </w:r>
      <w:r w:rsidRPr="008F0CCB">
        <w:rPr>
          <w:rFonts w:cs="Arial"/>
          <w:color w:val="000000"/>
        </w:rPr>
        <w:t>ables A.5</w:t>
      </w:r>
      <w:r>
        <w:rPr>
          <w:rFonts w:cs="Arial"/>
          <w:color w:val="000000"/>
        </w:rPr>
        <w:t xml:space="preserve"> to </w:t>
      </w:r>
      <w:r w:rsidRPr="008F0CCB">
        <w:rPr>
          <w:rFonts w:cs="Arial"/>
          <w:color w:val="000000"/>
        </w:rPr>
        <w:t xml:space="preserve">A.9 show further breakdowns of expenditure by economic purpose and over the eight semesters of Stage II, for which the NAV software has made detailed analysis possible. </w:t>
      </w:r>
      <w:r w:rsidRPr="007C2DF6">
        <w:rPr>
          <w:rFonts w:cs="Arial"/>
          <w:color w:val="000000"/>
        </w:rPr>
        <w:t>Figure 2</w:t>
      </w:r>
      <w:r w:rsidRPr="00505195">
        <w:rPr>
          <w:rFonts w:cs="Arial"/>
          <w:color w:val="000000"/>
        </w:rPr>
        <w:t xml:space="preserve"> shows the breakdown of the $10.7 million of capital expenditure in Stage II.</w:t>
      </w:r>
      <w:r>
        <w:rPr>
          <w:rFonts w:cs="Arial"/>
          <w:color w:val="000000"/>
        </w:rPr>
        <w:t xml:space="preserve"> Figure 3</w:t>
      </w:r>
      <w:r w:rsidRPr="008F0CCB">
        <w:rPr>
          <w:rFonts w:cs="Arial"/>
          <w:color w:val="000000"/>
        </w:rPr>
        <w:t xml:space="preserve"> shows the payment of management fees over the four years of Stage II to TAFEQ, the single contractor and lead organisation </w:t>
      </w:r>
      <w:r>
        <w:rPr>
          <w:rFonts w:cs="Arial"/>
          <w:color w:val="000000"/>
        </w:rPr>
        <w:t xml:space="preserve">in </w:t>
      </w:r>
      <w:r w:rsidRPr="008F0CCB">
        <w:rPr>
          <w:rFonts w:cs="Arial"/>
          <w:color w:val="000000"/>
        </w:rPr>
        <w:t>the APTC consortium</w:t>
      </w:r>
      <w:r>
        <w:rPr>
          <w:rFonts w:cs="Arial"/>
          <w:color w:val="000000"/>
        </w:rPr>
        <w:t>. These fees amount to 14.0 per cent of projected Stage II total costs as compared with management fees in Stage I, which amounted to 8.9 per cent of Stage I total costs.</w:t>
      </w:r>
    </w:p>
    <w:p w14:paraId="23020321" w14:textId="77777777" w:rsidR="000913FE" w:rsidRDefault="000913FE" w:rsidP="000913FE">
      <w:pPr>
        <w:pStyle w:val="Tableheading"/>
      </w:pPr>
      <w:bookmarkStart w:id="964" w:name="_Toc272855456"/>
      <w:bookmarkStart w:id="965" w:name="_Toc274915959"/>
      <w:bookmarkStart w:id="966" w:name="_Toc278446938"/>
      <w:r>
        <w:t>Figure 2: Stage II c</w:t>
      </w:r>
      <w:r w:rsidRPr="00090A78">
        <w:t xml:space="preserve">apital expenditure </w:t>
      </w:r>
      <w:r>
        <w:br/>
      </w:r>
      <w:r w:rsidRPr="00090A78">
        <w:t>(</w:t>
      </w:r>
      <w:r>
        <w:t>AUD millions, total $</w:t>
      </w:r>
      <w:r w:rsidRPr="00090A78">
        <w:t>10.7 million)</w:t>
      </w:r>
      <w:bookmarkEnd w:id="964"/>
      <w:bookmarkEnd w:id="965"/>
      <w:bookmarkEnd w:id="966"/>
    </w:p>
    <w:p w14:paraId="1F3ECEC0" w14:textId="77777777" w:rsidR="000913FE" w:rsidRDefault="000913FE" w:rsidP="000913FE">
      <w:pPr>
        <w:spacing w:after="0"/>
        <w:rPr>
          <w:rFonts w:cs="Arial"/>
          <w:color w:val="000000"/>
        </w:rPr>
      </w:pPr>
      <w:r>
        <w:rPr>
          <w:rFonts w:cs="Arial"/>
          <w:noProof/>
          <w:color w:val="000000"/>
          <w:lang w:eastAsia="en-AU"/>
        </w:rPr>
        <w:drawing>
          <wp:inline distT="0" distB="0" distL="0" distR="0" wp14:anchorId="5547F8F3" wp14:editId="70AF7169">
            <wp:extent cx="3665220" cy="2202180"/>
            <wp:effectExtent l="0" t="0" r="0" b="7620"/>
            <wp:docPr id="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srcRect/>
                    <a:stretch>
                      <a:fillRect/>
                    </a:stretch>
                  </pic:blipFill>
                  <pic:spPr bwMode="auto">
                    <a:xfrm>
                      <a:off x="0" y="0"/>
                      <a:ext cx="3665220" cy="2202180"/>
                    </a:xfrm>
                    <a:prstGeom prst="rect">
                      <a:avLst/>
                    </a:prstGeom>
                    <a:noFill/>
                    <a:ln w="9525">
                      <a:noFill/>
                      <a:miter lim="800000"/>
                      <a:headEnd/>
                      <a:tailEnd/>
                    </a:ln>
                  </pic:spPr>
                </pic:pic>
              </a:graphicData>
            </a:graphic>
          </wp:inline>
        </w:drawing>
      </w:r>
    </w:p>
    <w:p w14:paraId="478E5359" w14:textId="77777777" w:rsidR="000913FE" w:rsidRPr="00B20D2D"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ables A.5 – A.9</w:t>
      </w:r>
    </w:p>
    <w:p w14:paraId="3A204EA1" w14:textId="77777777" w:rsidR="000913FE" w:rsidRPr="00002371" w:rsidRDefault="000913FE" w:rsidP="000913FE">
      <w:pPr>
        <w:pStyle w:val="Tableheading"/>
      </w:pPr>
      <w:bookmarkStart w:id="967" w:name="_Toc272855457"/>
      <w:r>
        <w:br w:type="page"/>
      </w:r>
      <w:bookmarkStart w:id="968" w:name="_Toc274915960"/>
      <w:bookmarkStart w:id="969" w:name="_Toc278446939"/>
      <w:r w:rsidRPr="000D67C7">
        <w:t xml:space="preserve">Figure 3: Management fees paid to TAFEQ, Stage II </w:t>
      </w:r>
      <w:r>
        <w:br/>
      </w:r>
      <w:r w:rsidRPr="000D67C7">
        <w:t>(AUD</w:t>
      </w:r>
      <w:r>
        <w:t xml:space="preserve"> millions</w:t>
      </w:r>
      <w:r w:rsidRPr="000D67C7">
        <w:t>, total $20.7 million)</w:t>
      </w:r>
      <w:bookmarkEnd w:id="967"/>
      <w:bookmarkEnd w:id="968"/>
      <w:bookmarkEnd w:id="969"/>
    </w:p>
    <w:p w14:paraId="04755367" w14:textId="77777777" w:rsidR="000913FE" w:rsidRDefault="000913FE" w:rsidP="000913FE">
      <w:pPr>
        <w:spacing w:after="0"/>
        <w:rPr>
          <w:rFonts w:cs="Arial"/>
          <w:color w:val="000000"/>
        </w:rPr>
      </w:pPr>
      <w:r>
        <w:rPr>
          <w:rFonts w:cs="Arial"/>
          <w:noProof/>
          <w:color w:val="000000"/>
          <w:lang w:eastAsia="en-AU"/>
        </w:rPr>
        <w:drawing>
          <wp:inline distT="0" distB="0" distL="0" distR="0" wp14:anchorId="6CEAAE15" wp14:editId="304A68D8">
            <wp:extent cx="3359785" cy="2025650"/>
            <wp:effectExtent l="0" t="0" r="0" b="6350"/>
            <wp:docPr id="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srcRect/>
                    <a:stretch>
                      <a:fillRect/>
                    </a:stretch>
                  </pic:blipFill>
                  <pic:spPr bwMode="auto">
                    <a:xfrm>
                      <a:off x="0" y="0"/>
                      <a:ext cx="3359785" cy="2025650"/>
                    </a:xfrm>
                    <a:prstGeom prst="rect">
                      <a:avLst/>
                    </a:prstGeom>
                    <a:noFill/>
                    <a:ln w="9525">
                      <a:noFill/>
                      <a:miter lim="800000"/>
                      <a:headEnd/>
                      <a:tailEnd/>
                    </a:ln>
                  </pic:spPr>
                </pic:pic>
              </a:graphicData>
            </a:graphic>
          </wp:inline>
        </w:drawing>
      </w:r>
    </w:p>
    <w:p w14:paraId="240D52E3" w14:textId="77777777" w:rsidR="000913FE" w:rsidRPr="00B20D2D"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 A.6.</w:t>
      </w:r>
    </w:p>
    <w:p w14:paraId="2E319858" w14:textId="77777777" w:rsidR="000913FE" w:rsidRDefault="000913FE" w:rsidP="000913FE">
      <w:pPr>
        <w:spacing w:after="0"/>
        <w:rPr>
          <w:rFonts w:cs="Arial"/>
          <w:color w:val="000000"/>
        </w:rPr>
      </w:pPr>
    </w:p>
    <w:p w14:paraId="3FAE458E" w14:textId="77777777" w:rsidR="000913FE" w:rsidRPr="008F0CCB" w:rsidRDefault="000913FE" w:rsidP="000913FE">
      <w:pPr>
        <w:spacing w:after="0"/>
        <w:rPr>
          <w:rFonts w:cs="Arial"/>
          <w:color w:val="000000"/>
        </w:rPr>
      </w:pPr>
    </w:p>
    <w:p w14:paraId="1BAF2D68" w14:textId="0039032F" w:rsidR="000913FE" w:rsidRDefault="000913FE" w:rsidP="000913FE">
      <w:pPr>
        <w:spacing w:after="0"/>
        <w:rPr>
          <w:rFonts w:cs="Arial"/>
          <w:color w:val="000000"/>
        </w:rPr>
      </w:pPr>
      <w:r w:rsidRPr="007C2DF6">
        <w:rPr>
          <w:rFonts w:cs="Arial"/>
          <w:color w:val="000000"/>
        </w:rPr>
        <w:t>Figure 4</w:t>
      </w:r>
      <w:r w:rsidRPr="00505195">
        <w:rPr>
          <w:rFonts w:cs="Arial"/>
          <w:color w:val="000000"/>
        </w:rPr>
        <w:t xml:space="preserve"> shows the breakdown of recurrent expenditure (everything other than management fees) over the four years.</w:t>
      </w:r>
      <w:r>
        <w:rPr>
          <w:rFonts w:cs="Arial"/>
          <w:color w:val="000000"/>
        </w:rPr>
        <w:t xml:space="preserve"> Figure 5</w:t>
      </w:r>
      <w:r w:rsidRPr="00505195">
        <w:rPr>
          <w:rFonts w:cs="Arial"/>
          <w:color w:val="000000"/>
        </w:rPr>
        <w:t xml:space="preserve"> shows</w:t>
      </w:r>
      <w:r w:rsidRPr="008F0CCB">
        <w:rPr>
          <w:rFonts w:cs="Arial"/>
          <w:color w:val="000000"/>
        </w:rPr>
        <w:t xml:space="preserve"> the same expenditure by the chart of account categories used by APTC</w:t>
      </w:r>
      <w:r>
        <w:rPr>
          <w:rFonts w:cs="Arial"/>
          <w:color w:val="000000"/>
        </w:rPr>
        <w:t>’s</w:t>
      </w:r>
      <w:r w:rsidRPr="008F0CCB">
        <w:rPr>
          <w:rFonts w:cs="Arial"/>
          <w:color w:val="000000"/>
        </w:rPr>
        <w:t xml:space="preserve"> Finance Manager. Personnel </w:t>
      </w:r>
      <w:r>
        <w:rPr>
          <w:rFonts w:cs="Arial"/>
          <w:color w:val="000000"/>
        </w:rPr>
        <w:t xml:space="preserve">costs </w:t>
      </w:r>
      <w:r w:rsidRPr="008F0CCB">
        <w:rPr>
          <w:rFonts w:cs="Arial"/>
          <w:color w:val="000000"/>
        </w:rPr>
        <w:t>and scholarships</w:t>
      </w:r>
      <w:r>
        <w:rPr>
          <w:rStyle w:val="FootnoteReference"/>
          <w:rFonts w:cs="Arial"/>
          <w:color w:val="000000"/>
        </w:rPr>
        <w:footnoteReference w:id="70"/>
      </w:r>
      <w:r w:rsidRPr="008F0CCB">
        <w:rPr>
          <w:rFonts w:cs="Arial"/>
          <w:color w:val="000000"/>
        </w:rPr>
        <w:t xml:space="preserve"> account for </w:t>
      </w:r>
      <w:r>
        <w:rPr>
          <w:rFonts w:cs="Arial"/>
          <w:color w:val="000000"/>
        </w:rPr>
        <w:t>$54 million (</w:t>
      </w:r>
      <w:r w:rsidRPr="008F0CCB">
        <w:rPr>
          <w:rFonts w:cs="Arial"/>
          <w:color w:val="000000"/>
        </w:rPr>
        <w:t xml:space="preserve">48.3 </w:t>
      </w:r>
      <w:r>
        <w:rPr>
          <w:rFonts w:cs="Arial"/>
          <w:color w:val="000000"/>
        </w:rPr>
        <w:t xml:space="preserve">per cent) </w:t>
      </w:r>
      <w:r w:rsidRPr="008F0CCB">
        <w:rPr>
          <w:rFonts w:cs="Arial"/>
          <w:color w:val="000000"/>
        </w:rPr>
        <w:t xml:space="preserve">and </w:t>
      </w:r>
      <w:r>
        <w:rPr>
          <w:rFonts w:cs="Arial"/>
          <w:color w:val="000000"/>
        </w:rPr>
        <w:t>$22 million (</w:t>
      </w:r>
      <w:r w:rsidRPr="008F0CCB">
        <w:rPr>
          <w:rFonts w:cs="Arial"/>
          <w:color w:val="000000"/>
        </w:rPr>
        <w:t>19.5 per cent</w:t>
      </w:r>
      <w:r>
        <w:rPr>
          <w:rFonts w:cs="Arial"/>
          <w:color w:val="000000"/>
        </w:rPr>
        <w:t>)</w:t>
      </w:r>
      <w:r w:rsidRPr="008F0CCB">
        <w:rPr>
          <w:rFonts w:cs="Arial"/>
          <w:color w:val="000000"/>
        </w:rPr>
        <w:t xml:space="preserve"> of recurrent expenditure, respectively. Course expenses, which include course consumables, student uniforms, and student excursions, account for </w:t>
      </w:r>
      <w:r>
        <w:rPr>
          <w:rFonts w:cs="Arial"/>
          <w:color w:val="000000"/>
        </w:rPr>
        <w:t>$9 million (</w:t>
      </w:r>
      <w:r w:rsidRPr="008F0CCB">
        <w:rPr>
          <w:rFonts w:cs="Arial"/>
          <w:color w:val="000000"/>
        </w:rPr>
        <w:t>8.</w:t>
      </w:r>
      <w:r w:rsidR="00CC25A9" w:rsidRPr="008F0CCB">
        <w:rPr>
          <w:rFonts w:cs="Arial"/>
          <w:color w:val="000000"/>
        </w:rPr>
        <w:t>1</w:t>
      </w:r>
      <w:r w:rsidR="00CC25A9">
        <w:rPr>
          <w:rFonts w:cs="Arial"/>
          <w:color w:val="000000"/>
        </w:rPr>
        <w:t> </w:t>
      </w:r>
      <w:r w:rsidR="00CC25A9" w:rsidRPr="008F0CCB">
        <w:rPr>
          <w:rFonts w:cs="Arial"/>
          <w:color w:val="000000"/>
        </w:rPr>
        <w:t>per</w:t>
      </w:r>
      <w:r w:rsidR="00CC25A9">
        <w:rPr>
          <w:rFonts w:cs="Arial"/>
          <w:color w:val="000000"/>
        </w:rPr>
        <w:t> </w:t>
      </w:r>
      <w:r w:rsidRPr="008F0CCB">
        <w:rPr>
          <w:rFonts w:cs="Arial"/>
          <w:color w:val="000000"/>
        </w:rPr>
        <w:t>cent</w:t>
      </w:r>
      <w:r>
        <w:rPr>
          <w:rFonts w:cs="Arial"/>
          <w:color w:val="000000"/>
        </w:rPr>
        <w:t>)</w:t>
      </w:r>
      <w:r w:rsidRPr="008F0CCB">
        <w:rPr>
          <w:rFonts w:cs="Arial"/>
          <w:color w:val="000000"/>
        </w:rPr>
        <w:t xml:space="preserve">. Appendix </w:t>
      </w:r>
      <w:r>
        <w:rPr>
          <w:rFonts w:cs="Arial"/>
          <w:color w:val="000000"/>
        </w:rPr>
        <w:t>T</w:t>
      </w:r>
      <w:r w:rsidRPr="008F0CCB">
        <w:rPr>
          <w:rFonts w:cs="Arial"/>
          <w:color w:val="000000"/>
        </w:rPr>
        <w:t xml:space="preserve">able A.7 provides additional information on what is included in each of the chart of account categories, and </w:t>
      </w:r>
      <w:r>
        <w:rPr>
          <w:rFonts w:cs="Arial"/>
          <w:color w:val="000000"/>
        </w:rPr>
        <w:t>T</w:t>
      </w:r>
      <w:r w:rsidRPr="008F0CCB">
        <w:rPr>
          <w:rFonts w:cs="Arial"/>
          <w:color w:val="000000"/>
        </w:rPr>
        <w:t>ables A.8 and A.9 show more detailed breakdowns for two recent semesters (July</w:t>
      </w:r>
      <w:r w:rsidR="003149F3">
        <w:rPr>
          <w:rFonts w:cs="Arial"/>
          <w:color w:val="000000"/>
        </w:rPr>
        <w:t>–</w:t>
      </w:r>
      <w:r w:rsidRPr="008F0CCB">
        <w:rPr>
          <w:rFonts w:cs="Arial"/>
          <w:color w:val="000000"/>
        </w:rPr>
        <w:t>December 2013 and January</w:t>
      </w:r>
      <w:r w:rsidR="003149F3">
        <w:rPr>
          <w:rFonts w:cs="Arial"/>
          <w:color w:val="000000"/>
        </w:rPr>
        <w:t>–</w:t>
      </w:r>
      <w:r w:rsidRPr="008F0CCB">
        <w:rPr>
          <w:rFonts w:cs="Arial"/>
          <w:color w:val="000000"/>
        </w:rPr>
        <w:t>June 2014)</w:t>
      </w:r>
      <w:r>
        <w:rPr>
          <w:rFonts w:cs="Arial"/>
          <w:color w:val="000000"/>
        </w:rPr>
        <w:t>,</w:t>
      </w:r>
      <w:r w:rsidRPr="008F0CCB">
        <w:rPr>
          <w:rFonts w:cs="Arial"/>
          <w:color w:val="000000"/>
        </w:rPr>
        <w:t xml:space="preserve"> for which actual expenditure information was available when this review was conducted.</w:t>
      </w:r>
    </w:p>
    <w:p w14:paraId="2A6DB9F0" w14:textId="77777777" w:rsidR="000913FE" w:rsidRDefault="000913FE" w:rsidP="000913FE">
      <w:pPr>
        <w:pStyle w:val="Tableheading"/>
      </w:pPr>
      <w:bookmarkStart w:id="970" w:name="_Toc272855458"/>
      <w:bookmarkStart w:id="971" w:name="_Toc274915961"/>
      <w:bookmarkStart w:id="972" w:name="_Toc278446940"/>
      <w:r w:rsidRPr="008D1541">
        <w:t>Figure 4: Recurrent expenditure</w:t>
      </w:r>
      <w:r>
        <w:t xml:space="preserve"> other than management fees</w:t>
      </w:r>
      <w:r w:rsidRPr="008D1541">
        <w:t xml:space="preserve">, Stage II </w:t>
      </w:r>
      <w:r>
        <w:br/>
      </w:r>
      <w:r w:rsidRPr="008D1541">
        <w:t>(AUD millions, total $112.6</w:t>
      </w:r>
      <w:r>
        <w:t xml:space="preserve"> million</w:t>
      </w:r>
      <w:r w:rsidRPr="008D1541">
        <w:t>)</w:t>
      </w:r>
      <w:bookmarkEnd w:id="970"/>
      <w:bookmarkEnd w:id="971"/>
      <w:bookmarkEnd w:id="972"/>
    </w:p>
    <w:p w14:paraId="4E82E6C8" w14:textId="77777777" w:rsidR="000913FE" w:rsidRDefault="000913FE" w:rsidP="000913FE">
      <w:pPr>
        <w:spacing w:after="0"/>
        <w:rPr>
          <w:rFonts w:cs="Arial"/>
          <w:color w:val="000000"/>
        </w:rPr>
      </w:pPr>
      <w:r>
        <w:rPr>
          <w:rFonts w:cs="Arial"/>
          <w:noProof/>
          <w:color w:val="000000"/>
          <w:lang w:eastAsia="en-AU"/>
        </w:rPr>
        <w:drawing>
          <wp:inline distT="0" distB="0" distL="0" distR="0" wp14:anchorId="6E018EF8" wp14:editId="55B46AAF">
            <wp:extent cx="3359785" cy="2025650"/>
            <wp:effectExtent l="0" t="0" r="0" b="635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a:stretch>
                      <a:fillRect/>
                    </a:stretch>
                  </pic:blipFill>
                  <pic:spPr bwMode="auto">
                    <a:xfrm>
                      <a:off x="0" y="0"/>
                      <a:ext cx="3359785" cy="2025650"/>
                    </a:xfrm>
                    <a:prstGeom prst="rect">
                      <a:avLst/>
                    </a:prstGeom>
                    <a:noFill/>
                    <a:ln w="9525">
                      <a:noFill/>
                      <a:miter lim="800000"/>
                      <a:headEnd/>
                      <a:tailEnd/>
                    </a:ln>
                  </pic:spPr>
                </pic:pic>
              </a:graphicData>
            </a:graphic>
          </wp:inline>
        </w:drawing>
      </w:r>
    </w:p>
    <w:p w14:paraId="0EDC6226" w14:textId="77777777" w:rsidR="000913FE" w:rsidRPr="00016517"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ables A.3 – A.9</w:t>
      </w:r>
    </w:p>
    <w:p w14:paraId="37ADF6F7" w14:textId="77777777" w:rsidR="000913FE" w:rsidRPr="00B315CD" w:rsidRDefault="000913FE" w:rsidP="000913FE">
      <w:pPr>
        <w:pStyle w:val="Tableheading"/>
      </w:pPr>
      <w:bookmarkStart w:id="973" w:name="_Toc272855459"/>
      <w:r>
        <w:br w:type="page"/>
      </w:r>
      <w:bookmarkStart w:id="974" w:name="_Toc274915962"/>
      <w:bookmarkStart w:id="975" w:name="_Toc278446941"/>
      <w:r w:rsidRPr="008D1541">
        <w:t xml:space="preserve">Figure 5: Recurrent expenditure by economic purpose, Stage II </w:t>
      </w:r>
      <w:r>
        <w:br/>
      </w:r>
      <w:r w:rsidRPr="008D1541">
        <w:t>(AUD millions, total $112.6 million)</w:t>
      </w:r>
      <w:bookmarkEnd w:id="973"/>
      <w:bookmarkEnd w:id="974"/>
      <w:bookmarkEnd w:id="975"/>
    </w:p>
    <w:p w14:paraId="27E82D2F" w14:textId="77777777" w:rsidR="000913FE" w:rsidRDefault="000913FE" w:rsidP="000913FE">
      <w:pPr>
        <w:spacing w:after="0"/>
        <w:rPr>
          <w:rFonts w:cs="Arial"/>
          <w:color w:val="000000"/>
        </w:rPr>
      </w:pPr>
      <w:r>
        <w:rPr>
          <w:rFonts w:cs="Arial"/>
          <w:noProof/>
          <w:color w:val="000000"/>
          <w:lang w:eastAsia="en-AU"/>
        </w:rPr>
        <w:drawing>
          <wp:inline distT="0" distB="0" distL="0" distR="0" wp14:anchorId="62ED0B44" wp14:editId="7BC278F3">
            <wp:extent cx="3359785" cy="2018665"/>
            <wp:effectExtent l="0" t="0" r="0" b="0"/>
            <wp:docPr id="1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srcRect/>
                    <a:stretch>
                      <a:fillRect/>
                    </a:stretch>
                  </pic:blipFill>
                  <pic:spPr bwMode="auto">
                    <a:xfrm>
                      <a:off x="0" y="0"/>
                      <a:ext cx="3359785" cy="2018665"/>
                    </a:xfrm>
                    <a:prstGeom prst="rect">
                      <a:avLst/>
                    </a:prstGeom>
                    <a:noFill/>
                    <a:ln w="9525">
                      <a:noFill/>
                      <a:miter lim="800000"/>
                      <a:headEnd/>
                      <a:tailEnd/>
                    </a:ln>
                  </pic:spPr>
                </pic:pic>
              </a:graphicData>
            </a:graphic>
          </wp:inline>
        </w:drawing>
      </w:r>
    </w:p>
    <w:p w14:paraId="111A3A8B" w14:textId="77777777" w:rsidR="000913FE" w:rsidRPr="004367FF"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ables A.3 – A.9</w:t>
      </w:r>
    </w:p>
    <w:p w14:paraId="3644B180" w14:textId="77777777" w:rsidR="000913FE" w:rsidRDefault="000913FE" w:rsidP="000913FE">
      <w:pPr>
        <w:spacing w:after="0"/>
        <w:rPr>
          <w:rFonts w:cs="Arial"/>
          <w:color w:val="000000"/>
        </w:rPr>
      </w:pPr>
    </w:p>
    <w:p w14:paraId="045A4E86" w14:textId="44AAE95C" w:rsidR="000913FE" w:rsidRDefault="00725EEE" w:rsidP="002028A6">
      <w:pPr>
        <w:pStyle w:val="Heading2"/>
      </w:pPr>
      <w:bookmarkStart w:id="976" w:name="_Toc274295076"/>
      <w:bookmarkStart w:id="977" w:name="_Toc274900580"/>
      <w:bookmarkStart w:id="978" w:name="_Toc274909968"/>
      <w:bookmarkStart w:id="979" w:name="_Toc278447989"/>
      <w:bookmarkStart w:id="980" w:name="_Toc278453462"/>
      <w:r>
        <w:t>4.2</w:t>
      </w:r>
      <w:r>
        <w:tab/>
      </w:r>
      <w:r w:rsidR="000913FE" w:rsidRPr="008F0CCB">
        <w:t>Analysis of unit costs</w:t>
      </w:r>
      <w:bookmarkEnd w:id="976"/>
      <w:bookmarkEnd w:id="977"/>
      <w:bookmarkEnd w:id="978"/>
      <w:bookmarkEnd w:id="979"/>
      <w:bookmarkEnd w:id="980"/>
    </w:p>
    <w:p w14:paraId="1783280C" w14:textId="2928AA3B" w:rsidR="000913FE" w:rsidRDefault="000913FE" w:rsidP="000913FE">
      <w:pPr>
        <w:spacing w:before="120"/>
        <w:rPr>
          <w:rFonts w:cs="Arial"/>
        </w:rPr>
      </w:pPr>
      <w:r w:rsidRPr="008F0CCB">
        <w:rPr>
          <w:rFonts w:cs="Arial"/>
        </w:rPr>
        <w:t xml:space="preserve">A fundamental indicator of </w:t>
      </w:r>
      <w:r w:rsidR="002822E5">
        <w:rPr>
          <w:rFonts w:cs="Arial"/>
        </w:rPr>
        <w:t>‘</w:t>
      </w:r>
      <w:r w:rsidRPr="008F0CCB">
        <w:rPr>
          <w:rFonts w:cs="Arial"/>
        </w:rPr>
        <w:t>internal efficiency</w:t>
      </w:r>
      <w:r w:rsidR="002822E5">
        <w:rPr>
          <w:rFonts w:cs="Arial"/>
        </w:rPr>
        <w:t>’</w:t>
      </w:r>
      <w:r w:rsidRPr="008F0CCB">
        <w:rPr>
          <w:rFonts w:cs="Arial"/>
        </w:rPr>
        <w:t xml:space="preserve">, the extent to which a school, a college, or an entire education system succeeds in producing outputs (of specified quality) at the lowest possible cost, is the </w:t>
      </w:r>
      <w:r w:rsidRPr="008F0CCB">
        <w:rPr>
          <w:rFonts w:cs="Arial"/>
          <w:i/>
        </w:rPr>
        <w:t>unit cost</w:t>
      </w:r>
      <w:r w:rsidRPr="008F0CCB">
        <w:rPr>
          <w:rFonts w:cs="Arial"/>
        </w:rPr>
        <w:t xml:space="preserve"> – how much is spent per enrolled student or per full-time equivalent student (FTE), or how much is spent to produce one graduate. APTC has received criticism, both from Australian politicians and academics and from vocational trainers in the Pacific, for being such a high-cost training college, </w:t>
      </w:r>
      <w:r>
        <w:rPr>
          <w:rFonts w:cs="Arial"/>
        </w:rPr>
        <w:t xml:space="preserve">together with </w:t>
      </w:r>
      <w:r w:rsidRPr="008F0CCB">
        <w:rPr>
          <w:rFonts w:cs="Arial"/>
        </w:rPr>
        <w:t>questions regarding the College’s long-term sustainability</w:t>
      </w:r>
      <w:r w:rsidRPr="00505195">
        <w:rPr>
          <w:rFonts w:cs="Arial"/>
        </w:rPr>
        <w:t xml:space="preserve">. </w:t>
      </w:r>
      <w:r w:rsidRPr="007C2DF6">
        <w:rPr>
          <w:rFonts w:cs="Arial"/>
        </w:rPr>
        <w:t>Figure 6</w:t>
      </w:r>
      <w:r w:rsidRPr="00505195">
        <w:rPr>
          <w:rFonts w:cs="Arial"/>
        </w:rPr>
        <w:t xml:space="preserve"> shows</w:t>
      </w:r>
      <w:r w:rsidRPr="008F0CCB">
        <w:rPr>
          <w:rFonts w:cs="Arial"/>
        </w:rPr>
        <w:t xml:space="preserve"> APTC’s unit costs (cost per enrolled student, cost per full-time equivalent student (FTE), and cost per graduate) since the College opened its doors in July 2007. It can be seen that unit costs have come down over time, with the cost per student and cost per FTE </w:t>
      </w:r>
      <w:r w:rsidR="008F3ACB">
        <w:rPr>
          <w:rFonts w:cs="Arial"/>
        </w:rPr>
        <w:br/>
      </w:r>
      <w:r w:rsidRPr="008F0CCB">
        <w:rPr>
          <w:rFonts w:cs="Arial"/>
        </w:rPr>
        <w:t>12</w:t>
      </w:r>
      <w:r w:rsidR="008F3ACB">
        <w:rPr>
          <w:rFonts w:cs="Arial"/>
        </w:rPr>
        <w:t>–</w:t>
      </w:r>
      <w:r w:rsidRPr="008F0CCB">
        <w:rPr>
          <w:rFonts w:cs="Arial"/>
        </w:rPr>
        <w:t xml:space="preserve">13 per cent lower and the cost per graduate 23 per cent lower in Stage II than in Stage I. This reflects, </w:t>
      </w:r>
      <w:r w:rsidRPr="002A19BA">
        <w:rPr>
          <w:rFonts w:cs="Arial"/>
          <w:i/>
        </w:rPr>
        <w:t>inter alia</w:t>
      </w:r>
      <w:r w:rsidRPr="008F0CCB">
        <w:rPr>
          <w:rFonts w:cs="Arial"/>
        </w:rPr>
        <w:t xml:space="preserve">, the higher capital costs in Stage I (16.3 per cent of total expenditure versus 7.5 per cent in Stage II) </w:t>
      </w:r>
      <w:r>
        <w:rPr>
          <w:rFonts w:cs="Arial"/>
        </w:rPr>
        <w:t xml:space="preserve">and </w:t>
      </w:r>
      <w:r w:rsidRPr="008F0CCB">
        <w:rPr>
          <w:rFonts w:cs="Arial"/>
        </w:rPr>
        <w:t>increased enrolments i</w:t>
      </w:r>
      <w:r w:rsidR="00B01D59">
        <w:rPr>
          <w:rFonts w:cs="Arial"/>
        </w:rPr>
        <w:t>n Stage II (6162 FTEs versus 4</w:t>
      </w:r>
      <w:r w:rsidRPr="008F0CCB">
        <w:rPr>
          <w:rFonts w:cs="Arial"/>
        </w:rPr>
        <w:t xml:space="preserve">432 in Stage I), which </w:t>
      </w:r>
      <w:r>
        <w:rPr>
          <w:rFonts w:cs="Arial"/>
        </w:rPr>
        <w:t xml:space="preserve">have </w:t>
      </w:r>
      <w:r w:rsidRPr="008F0CCB">
        <w:rPr>
          <w:rFonts w:cs="Arial"/>
        </w:rPr>
        <w:t>led (all else equal) to an increase in the student</w:t>
      </w:r>
      <w:r w:rsidR="00DD0EC4">
        <w:rPr>
          <w:rFonts w:cs="Arial"/>
        </w:rPr>
        <w:t>–</w:t>
      </w:r>
      <w:r w:rsidRPr="008F0CCB">
        <w:rPr>
          <w:rFonts w:cs="Arial"/>
        </w:rPr>
        <w:t>teacher ratio.</w:t>
      </w:r>
      <w:r w:rsidR="00074D48" w:rsidRPr="00074D48">
        <w:rPr>
          <w:rFonts w:cs="Arial"/>
          <w:szCs w:val="16"/>
          <w:vertAlign w:val="superscript"/>
          <w:lang w:val="sv-SE" w:eastAsia="sv-SE"/>
        </w:rPr>
        <w:t xml:space="preserve"> </w:t>
      </w:r>
    </w:p>
    <w:p w14:paraId="2A3D823C" w14:textId="56497AA0" w:rsidR="00926775" w:rsidRPr="00926775" w:rsidRDefault="00926775" w:rsidP="00926775">
      <w:r w:rsidRPr="00926775">
        <w:t>APTC’s high unit costs can be attributed to a range of factors, including: (1) the high quality of the training that APTC provides (widely acknowledged, even by most critics of the College); (2) the dispersed population of the region, making potential economies of scale difficult to achieve; (3) the region’s poverty (as well as Australia’s generosity), which has led to the current situation wherein scholarships amount to a significant fraction of APTC’s total cost (9.5 per cent in Stage I and 15.2 per cent in Stage II); and (4) APTC’s heavy</w:t>
      </w:r>
      <w:r>
        <w:t xml:space="preserve"> reliance to date on Australians</w:t>
      </w:r>
      <w:r w:rsidRPr="00926775">
        <w:t xml:space="preserve"> and other high-cost expatriates to fill key administrative and teaching positions, in particular the positions of managers and trainers. The first three factors are ones that APTC and its stakeholders either do not wish to change (the high quality of training) or are powerless to address (the region’s dispersed population and current poverty). The fourth factor (the reliance on expatriate staff) is one that APTC has begun to address, especially during 2014, and has plans to address further in any third stage of funding (see below, section 4.5). Moreover, the heavy financial burden on APTC of providing scholarships to approximately three-quarters of students over the College’s first seven years could be reduced in the future, especially if DFAT could replace scholarships with student loans (as proposed in section 6 below).</w:t>
      </w:r>
    </w:p>
    <w:p w14:paraId="59A920EC" w14:textId="77777777" w:rsidR="0068339D" w:rsidRDefault="0068339D">
      <w:pPr>
        <w:spacing w:after="0"/>
        <w:rPr>
          <w:rFonts w:cs="Arial"/>
          <w:b/>
          <w:color w:val="76923C"/>
          <w:szCs w:val="22"/>
        </w:rPr>
      </w:pPr>
      <w:bookmarkStart w:id="981" w:name="_Toc272855460"/>
      <w:bookmarkStart w:id="982" w:name="_Toc274915963"/>
      <w:bookmarkStart w:id="983" w:name="_Toc278446942"/>
      <w:r>
        <w:br w:type="page"/>
      </w:r>
    </w:p>
    <w:p w14:paraId="1DA42522" w14:textId="4E602646" w:rsidR="000913FE" w:rsidRDefault="000913FE" w:rsidP="00F672A7">
      <w:pPr>
        <w:pStyle w:val="Tableheading"/>
        <w:spacing w:before="0" w:after="0"/>
      </w:pPr>
      <w:r w:rsidRPr="008D1541">
        <w:t xml:space="preserve">Figure </w:t>
      </w:r>
      <w:r>
        <w:t>6: Unit costs</w:t>
      </w:r>
      <w:r w:rsidRPr="009A62E4">
        <w:t>, Stages I and II (AUD thousands)</w:t>
      </w:r>
      <w:bookmarkEnd w:id="981"/>
      <w:bookmarkEnd w:id="982"/>
      <w:bookmarkEnd w:id="983"/>
    </w:p>
    <w:p w14:paraId="3D315BD9" w14:textId="77777777" w:rsidR="000913FE" w:rsidRDefault="000913FE" w:rsidP="000913FE">
      <w:pPr>
        <w:spacing w:before="120"/>
        <w:rPr>
          <w:rFonts w:cs="Arial"/>
        </w:rPr>
      </w:pPr>
      <w:r>
        <w:rPr>
          <w:rFonts w:cs="Arial"/>
          <w:noProof/>
          <w:lang w:eastAsia="en-AU"/>
        </w:rPr>
        <w:drawing>
          <wp:inline distT="0" distB="0" distL="0" distR="0" wp14:anchorId="43B6E2F3" wp14:editId="15756AFF">
            <wp:extent cx="3359785" cy="1934633"/>
            <wp:effectExtent l="0" t="0" r="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srcRect/>
                    <a:stretch>
                      <a:fillRect/>
                    </a:stretch>
                  </pic:blipFill>
                  <pic:spPr bwMode="auto">
                    <a:xfrm>
                      <a:off x="0" y="0"/>
                      <a:ext cx="3359785" cy="1934633"/>
                    </a:xfrm>
                    <a:prstGeom prst="rect">
                      <a:avLst/>
                    </a:prstGeom>
                    <a:noFill/>
                    <a:ln w="9525">
                      <a:noFill/>
                      <a:miter lim="800000"/>
                      <a:headEnd/>
                      <a:tailEnd/>
                    </a:ln>
                  </pic:spPr>
                </pic:pic>
              </a:graphicData>
            </a:graphic>
          </wp:inline>
        </w:drawing>
      </w:r>
    </w:p>
    <w:p w14:paraId="299D6D26" w14:textId="77777777" w:rsidR="000913FE" w:rsidRPr="00F92C2E" w:rsidRDefault="000913FE" w:rsidP="000913FE">
      <w:pPr>
        <w:spacing w:after="0"/>
        <w:rPr>
          <w:rFonts w:cs="Arial"/>
          <w:sz w:val="16"/>
          <w:szCs w:val="20"/>
        </w:rPr>
      </w:pPr>
      <w:r>
        <w:rPr>
          <w:rFonts w:cs="Arial"/>
          <w:sz w:val="16"/>
          <w:szCs w:val="20"/>
        </w:rPr>
        <w:t>Source: Appendix Table A.10</w:t>
      </w:r>
    </w:p>
    <w:p w14:paraId="17711210" w14:textId="77777777" w:rsidR="000913FE" w:rsidRPr="008F0CCB" w:rsidRDefault="000913FE" w:rsidP="000913FE">
      <w:pPr>
        <w:spacing w:before="120"/>
        <w:rPr>
          <w:rFonts w:cs="Arial"/>
        </w:rPr>
      </w:pPr>
      <w:r w:rsidRPr="008F0CCB">
        <w:rPr>
          <w:rFonts w:cs="Arial"/>
        </w:rPr>
        <w:t xml:space="preserve">As for the capital costs, in analysing an institution’s </w:t>
      </w:r>
      <w:r>
        <w:rPr>
          <w:rFonts w:cs="Arial"/>
        </w:rPr>
        <w:t>expenditure</w:t>
      </w:r>
      <w:r w:rsidRPr="008F0CCB">
        <w:rPr>
          <w:rFonts w:cs="Arial"/>
        </w:rPr>
        <w:t xml:space="preserve"> researcher</w:t>
      </w:r>
      <w:r>
        <w:rPr>
          <w:rFonts w:cs="Arial"/>
        </w:rPr>
        <w:t>s</w:t>
      </w:r>
      <w:r w:rsidRPr="008F0CCB">
        <w:rPr>
          <w:rFonts w:cs="Arial"/>
        </w:rPr>
        <w:t xml:space="preserve"> would normally want to amorti</w:t>
      </w:r>
      <w:r>
        <w:rPr>
          <w:rFonts w:cs="Arial"/>
        </w:rPr>
        <w:t>s</w:t>
      </w:r>
      <w:r w:rsidRPr="008F0CCB">
        <w:rPr>
          <w:rFonts w:cs="Arial"/>
        </w:rPr>
        <w:t>e these costs over the working lives of the assets. In the case of APTC, however, where funding has occurred in two four-year tranches, with no assurance of continuation beyond 2015, it was decided to treat all costs, including capital costs, as current. If DFAT decides not to renew APTC’s funding for a third stage, presumably the capital assets will be handed over to the governments or partner institutions in the five campus countries, but their use for a continuation of anything resembling APTC seems doubtful</w:t>
      </w:r>
      <w:r>
        <w:rPr>
          <w:rFonts w:cs="Arial"/>
        </w:rPr>
        <w:t>, or at least</w:t>
      </w:r>
      <w:r w:rsidRPr="008F0CCB">
        <w:rPr>
          <w:rFonts w:cs="Arial"/>
        </w:rPr>
        <w:t xml:space="preserve"> uncertain.</w:t>
      </w:r>
    </w:p>
    <w:p w14:paraId="67CEBFAF" w14:textId="77777777" w:rsidR="000913FE" w:rsidRDefault="000913FE" w:rsidP="000913FE">
      <w:pPr>
        <w:spacing w:before="120"/>
        <w:rPr>
          <w:rFonts w:cs="Arial"/>
        </w:rPr>
      </w:pPr>
      <w:r w:rsidRPr="008F0CCB">
        <w:rPr>
          <w:rFonts w:cs="Arial"/>
        </w:rPr>
        <w:t xml:space="preserve">In 2012 and 2013, AusAID commissioned (through two Australian firms, ACER and Austraining) a series of case studies on the financing of TVET in the Pacific. Final versions of five of the eight case studies were submitted to AusAID (now DFAT) in time for consideration by the authors of this review of APTC. The case studies estimate various measures of unit costs for the national training institutions </w:t>
      </w:r>
      <w:r>
        <w:rPr>
          <w:rFonts w:cs="Arial"/>
        </w:rPr>
        <w:t xml:space="preserve">(NTIs) </w:t>
      </w:r>
      <w:r w:rsidRPr="008F0CCB">
        <w:rPr>
          <w:rFonts w:cs="Arial"/>
        </w:rPr>
        <w:t xml:space="preserve">studied in the five countries (Fiji, PNG, Samoa, the Solomon Islands, and Tonga). Appendix </w:t>
      </w:r>
      <w:r>
        <w:rPr>
          <w:rFonts w:cs="Arial"/>
        </w:rPr>
        <w:t>T</w:t>
      </w:r>
      <w:r w:rsidRPr="008F0CCB">
        <w:rPr>
          <w:rFonts w:cs="Arial"/>
        </w:rPr>
        <w:t>able A.11 is an attempt to summari</w:t>
      </w:r>
      <w:r>
        <w:rPr>
          <w:rFonts w:cs="Arial"/>
        </w:rPr>
        <w:t>s</w:t>
      </w:r>
      <w:r w:rsidRPr="008F0CCB">
        <w:rPr>
          <w:rFonts w:cs="Arial"/>
        </w:rPr>
        <w:t xml:space="preserve">e the results for the five </w:t>
      </w:r>
      <w:r w:rsidRPr="00505195">
        <w:rPr>
          <w:rFonts w:cs="Arial"/>
        </w:rPr>
        <w:t xml:space="preserve">countries. </w:t>
      </w:r>
      <w:r w:rsidRPr="007C2DF6">
        <w:rPr>
          <w:rFonts w:cs="Arial"/>
        </w:rPr>
        <w:t>Figure 7</w:t>
      </w:r>
      <w:r w:rsidRPr="00505195">
        <w:rPr>
          <w:rFonts w:cs="Arial"/>
        </w:rPr>
        <w:t xml:space="preserve"> compares</w:t>
      </w:r>
      <w:r w:rsidRPr="008F0CCB">
        <w:rPr>
          <w:rFonts w:cs="Arial"/>
        </w:rPr>
        <w:t xml:space="preserve"> the results for the five countries with APTC’s estimated unit costs. The differences are striking, with APTC spending between 8 and 26 times as much per student and 6 to 12 times as much per graduate as the </w:t>
      </w:r>
      <w:r>
        <w:rPr>
          <w:rFonts w:cs="Arial"/>
        </w:rPr>
        <w:t>NTIs.</w:t>
      </w:r>
    </w:p>
    <w:p w14:paraId="019C8E8B" w14:textId="77777777" w:rsidR="000913FE" w:rsidRPr="00423FCD" w:rsidRDefault="000913FE" w:rsidP="00F672A7">
      <w:pPr>
        <w:pStyle w:val="Tableheading"/>
        <w:spacing w:before="200" w:after="0"/>
      </w:pPr>
      <w:bookmarkStart w:id="984" w:name="_Toc272855461"/>
      <w:bookmarkStart w:id="985" w:name="_Toc274915964"/>
      <w:bookmarkStart w:id="986" w:name="_Toc278446943"/>
      <w:r w:rsidRPr="004443B5">
        <w:t>Figure 7: Costs per student of national training institutions (NTIs) in the Pacific as compared with APTC (AUD thousands)</w:t>
      </w:r>
      <w:bookmarkEnd w:id="984"/>
      <w:bookmarkEnd w:id="985"/>
      <w:bookmarkEnd w:id="986"/>
    </w:p>
    <w:p w14:paraId="6E152889" w14:textId="77777777" w:rsidR="000913FE" w:rsidRDefault="000913FE" w:rsidP="000913FE">
      <w:pPr>
        <w:pStyle w:val="Tableheading"/>
      </w:pPr>
      <w:r>
        <w:rPr>
          <w:noProof/>
          <w:lang w:eastAsia="en-AU"/>
        </w:rPr>
        <w:drawing>
          <wp:inline distT="0" distB="0" distL="0" distR="0" wp14:anchorId="17167261" wp14:editId="0FC32CAE">
            <wp:extent cx="4588510" cy="2514600"/>
            <wp:effectExtent l="0" t="0" r="8890" b="0"/>
            <wp:docPr id="56"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CC0F8E5" w14:textId="77777777" w:rsidR="000913FE" w:rsidRPr="0097103E"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 A.11</w:t>
      </w:r>
    </w:p>
    <w:p w14:paraId="52194893" w14:textId="3AB9AD98" w:rsidR="000913FE" w:rsidRPr="008F0CCB" w:rsidRDefault="000913FE" w:rsidP="000913FE">
      <w:pPr>
        <w:spacing w:before="240"/>
        <w:rPr>
          <w:rFonts w:cs="Arial"/>
        </w:rPr>
      </w:pPr>
      <w:r w:rsidRPr="008F0CCB">
        <w:rPr>
          <w:rFonts w:cs="Arial"/>
        </w:rPr>
        <w:t xml:space="preserve">Comparing unit costs in APTC </w:t>
      </w:r>
      <w:r>
        <w:rPr>
          <w:rFonts w:cs="Arial"/>
        </w:rPr>
        <w:t xml:space="preserve">with </w:t>
      </w:r>
      <w:r w:rsidRPr="008F0CCB">
        <w:rPr>
          <w:rFonts w:cs="Arial"/>
        </w:rPr>
        <w:t xml:space="preserve">the </w:t>
      </w:r>
      <w:r w:rsidR="003B3F6F">
        <w:rPr>
          <w:rFonts w:cs="Arial"/>
        </w:rPr>
        <w:t>‘</w:t>
      </w:r>
      <w:r w:rsidRPr="008F0CCB">
        <w:rPr>
          <w:rFonts w:cs="Arial"/>
        </w:rPr>
        <w:t>average</w:t>
      </w:r>
      <w:r w:rsidR="003B3F6F">
        <w:rPr>
          <w:rFonts w:cs="Arial"/>
        </w:rPr>
        <w:t>’</w:t>
      </w:r>
      <w:r w:rsidRPr="008F0CCB">
        <w:rPr>
          <w:rFonts w:cs="Arial"/>
        </w:rPr>
        <w:t xml:space="preserve"> </w:t>
      </w:r>
      <w:r>
        <w:rPr>
          <w:rFonts w:cs="Arial"/>
        </w:rPr>
        <w:t xml:space="preserve">NTI </w:t>
      </w:r>
      <w:r w:rsidRPr="008F0CCB">
        <w:rPr>
          <w:rFonts w:cs="Arial"/>
        </w:rPr>
        <w:t xml:space="preserve">in a Pacific Island country is really, however, a comparison of </w:t>
      </w:r>
      <w:r w:rsidR="003B3F6F">
        <w:rPr>
          <w:rFonts w:cs="Arial"/>
        </w:rPr>
        <w:t>‘</w:t>
      </w:r>
      <w:r w:rsidRPr="008F0CCB">
        <w:rPr>
          <w:rFonts w:cs="Arial"/>
        </w:rPr>
        <w:t>apples and oranges</w:t>
      </w:r>
      <w:r w:rsidR="003B3F6F">
        <w:rPr>
          <w:rFonts w:cs="Arial"/>
        </w:rPr>
        <w:t>’</w:t>
      </w:r>
      <w:r w:rsidRPr="008F0CCB">
        <w:rPr>
          <w:rFonts w:cs="Arial"/>
        </w:rPr>
        <w:t xml:space="preserve">. The </w:t>
      </w:r>
      <w:r>
        <w:rPr>
          <w:rFonts w:cs="Arial"/>
        </w:rPr>
        <w:t xml:space="preserve">NTIs </w:t>
      </w:r>
      <w:r w:rsidRPr="008F0CCB">
        <w:rPr>
          <w:rFonts w:cs="Arial"/>
        </w:rPr>
        <w:t>studied in the five countries offer courses at many levels and of widely different durations, whereas APTC offers mostly Certificate III (and a few Certificate IV and diploma) qualifications lasting between 4 and 18 months.</w:t>
      </w:r>
      <w:r w:rsidRPr="008F0CCB">
        <w:rPr>
          <w:rStyle w:val="FootnoteReference"/>
          <w:rFonts w:cs="Arial"/>
        </w:rPr>
        <w:footnoteReference w:id="71"/>
      </w:r>
      <w:r w:rsidRPr="008F0CCB">
        <w:rPr>
          <w:rFonts w:cs="Arial"/>
        </w:rPr>
        <w:t xml:space="preserve"> Moreover, despite the emergence of national quality authorities in some PICs, such as the SQA in Samoa and the Higher Education Commission in Fiji, there is not yet a common qualifications framework for the Pacific and no systematic and independent pegging of the emerging country-specific frameworks with the AQF in Australia. APTC may spend ten times as much to produce graduates as </w:t>
      </w:r>
      <w:r>
        <w:rPr>
          <w:rFonts w:cs="Arial"/>
        </w:rPr>
        <w:t xml:space="preserve">does </w:t>
      </w:r>
      <w:r w:rsidRPr="008F0CCB">
        <w:rPr>
          <w:rFonts w:cs="Arial"/>
        </w:rPr>
        <w:t xml:space="preserve">a national training institution, but its graduates may also be </w:t>
      </w:r>
      <w:r w:rsidR="00501A1A">
        <w:rPr>
          <w:rFonts w:cs="Arial"/>
        </w:rPr>
        <w:t>‘</w:t>
      </w:r>
      <w:r w:rsidRPr="008F0CCB">
        <w:rPr>
          <w:rFonts w:cs="Arial"/>
        </w:rPr>
        <w:t>ten times better</w:t>
      </w:r>
      <w:r w:rsidR="00501A1A">
        <w:rPr>
          <w:rFonts w:cs="Arial"/>
        </w:rPr>
        <w:t>’</w:t>
      </w:r>
      <w:r w:rsidRPr="008F0CCB">
        <w:rPr>
          <w:rFonts w:cs="Arial"/>
        </w:rPr>
        <w:t xml:space="preserve">. To address this question requires the kind of </w:t>
      </w:r>
      <w:r w:rsidR="00501A1A">
        <w:rPr>
          <w:rFonts w:cs="Arial"/>
        </w:rPr>
        <w:t>‘</w:t>
      </w:r>
      <w:r w:rsidRPr="008F0CCB">
        <w:rPr>
          <w:rFonts w:cs="Arial"/>
        </w:rPr>
        <w:t>external efficiency</w:t>
      </w:r>
      <w:r w:rsidR="00501A1A">
        <w:rPr>
          <w:rFonts w:cs="Arial"/>
        </w:rPr>
        <w:t>’</w:t>
      </w:r>
      <w:r w:rsidR="00501A1A" w:rsidRPr="008F0CCB">
        <w:rPr>
          <w:rFonts w:cs="Arial"/>
        </w:rPr>
        <w:t xml:space="preserve"> </w:t>
      </w:r>
      <w:r w:rsidRPr="008F0CCB">
        <w:rPr>
          <w:rFonts w:cs="Arial"/>
        </w:rPr>
        <w:t xml:space="preserve">indicators (impact of the training received on employment and on earnings) as recommended in </w:t>
      </w:r>
      <w:r>
        <w:rPr>
          <w:rFonts w:cs="Arial"/>
        </w:rPr>
        <w:t>A</w:t>
      </w:r>
      <w:r w:rsidRPr="008F0CCB">
        <w:rPr>
          <w:rFonts w:cs="Arial"/>
        </w:rPr>
        <w:t xml:space="preserve">nnex </w:t>
      </w:r>
      <w:r w:rsidR="005F51B6">
        <w:rPr>
          <w:rFonts w:cs="Arial"/>
        </w:rPr>
        <w:t>8</w:t>
      </w:r>
      <w:r>
        <w:rPr>
          <w:rFonts w:cs="Arial"/>
        </w:rPr>
        <w:t xml:space="preserve"> </w:t>
      </w:r>
      <w:r w:rsidRPr="008F0CCB">
        <w:rPr>
          <w:rFonts w:cs="Arial"/>
        </w:rPr>
        <w:t>of this review</w:t>
      </w:r>
      <w:r>
        <w:rPr>
          <w:rFonts w:cs="Arial"/>
        </w:rPr>
        <w:t>,</w:t>
      </w:r>
      <w:r w:rsidRPr="008F0CCB">
        <w:rPr>
          <w:rFonts w:cs="Arial"/>
        </w:rPr>
        <w:t xml:space="preserve"> </w:t>
      </w:r>
      <w:r>
        <w:rPr>
          <w:rFonts w:cs="Arial"/>
        </w:rPr>
        <w:t xml:space="preserve">for a fair comparison of the </w:t>
      </w:r>
      <w:r w:rsidRPr="008F0CCB">
        <w:rPr>
          <w:rFonts w:cs="Arial"/>
        </w:rPr>
        <w:t>two training institutions.</w:t>
      </w:r>
    </w:p>
    <w:p w14:paraId="2F021202" w14:textId="78CA4928" w:rsidR="000913FE" w:rsidRPr="008F0CCB" w:rsidRDefault="000913FE" w:rsidP="000913FE">
      <w:pPr>
        <w:spacing w:before="120"/>
        <w:rPr>
          <w:rFonts w:cs="Arial"/>
        </w:rPr>
      </w:pPr>
      <w:r w:rsidRPr="008F0CCB">
        <w:rPr>
          <w:rFonts w:cs="Arial"/>
        </w:rPr>
        <w:t>A more meaningful comparison of APTC’s unit costs is with TAFE institutions in Australia</w:t>
      </w:r>
      <w:r w:rsidR="00123830">
        <w:rPr>
          <w:rStyle w:val="FootnoteReference"/>
          <w:rFonts w:cs="Arial"/>
        </w:rPr>
        <w:footnoteReference w:id="72"/>
      </w:r>
      <w:r w:rsidRPr="008F0CCB">
        <w:rPr>
          <w:rFonts w:cs="Arial"/>
        </w:rPr>
        <w:t xml:space="preserve">, since </w:t>
      </w:r>
      <w:r>
        <w:rPr>
          <w:rFonts w:cs="Arial"/>
        </w:rPr>
        <w:t xml:space="preserve">APTC </w:t>
      </w:r>
      <w:r w:rsidRPr="008F0CCB">
        <w:rPr>
          <w:rFonts w:cs="Arial"/>
        </w:rPr>
        <w:t>must satisfy the same AQF standards</w:t>
      </w:r>
      <w:r>
        <w:rPr>
          <w:rFonts w:cs="Arial"/>
        </w:rPr>
        <w:t xml:space="preserve"> as the Australian institutions</w:t>
      </w:r>
      <w:r w:rsidRPr="008F0CCB">
        <w:rPr>
          <w:rFonts w:cs="Arial"/>
        </w:rPr>
        <w:t>. The chair of the APTC Consortium Board, who is also the CEO of TAFE Queensland (TAFEQ, the Australian RTO awarded the contract for Stage II of APTC), provided the review team with estimates of costs per annual hour of curriculum (AHC</w:t>
      </w:r>
      <w:r>
        <w:rPr>
          <w:rFonts w:cs="Arial"/>
        </w:rPr>
        <w:t>)</w:t>
      </w:r>
      <w:r w:rsidRPr="008F0CCB">
        <w:rPr>
          <w:rFonts w:cs="Arial"/>
        </w:rPr>
        <w:t xml:space="preserve"> for</w:t>
      </w:r>
      <w:r>
        <w:rPr>
          <w:rFonts w:cs="Arial"/>
        </w:rPr>
        <w:t xml:space="preserve"> </w:t>
      </w:r>
      <w:r w:rsidRPr="008F0CCB">
        <w:rPr>
          <w:rFonts w:cs="Arial"/>
        </w:rPr>
        <w:t xml:space="preserve">RTOs in all of Australia and all of Queensland; </w:t>
      </w:r>
      <w:r>
        <w:rPr>
          <w:rFonts w:cs="Arial"/>
        </w:rPr>
        <w:t xml:space="preserve">for </w:t>
      </w:r>
      <w:r w:rsidRPr="008F0CCB">
        <w:rPr>
          <w:rFonts w:cs="Arial"/>
        </w:rPr>
        <w:t xml:space="preserve">TAFEQ; and </w:t>
      </w:r>
      <w:r>
        <w:rPr>
          <w:rFonts w:cs="Arial"/>
        </w:rPr>
        <w:t xml:space="preserve">for </w:t>
      </w:r>
      <w:r w:rsidRPr="008F0CCB">
        <w:rPr>
          <w:rFonts w:cs="Arial"/>
        </w:rPr>
        <w:t>Mount Isa TAFE (one of 11 campuses that comprise TAFE Queensland North, one of six locations under the TAFEQ umbrella following the 2013 reorgani</w:t>
      </w:r>
      <w:r>
        <w:rPr>
          <w:rFonts w:cs="Arial"/>
        </w:rPr>
        <w:t>s</w:t>
      </w:r>
      <w:r w:rsidRPr="008F0CCB">
        <w:rPr>
          <w:rFonts w:cs="Arial"/>
        </w:rPr>
        <w:t xml:space="preserve">ation of the state’s RTOs); see </w:t>
      </w:r>
      <w:r>
        <w:rPr>
          <w:rFonts w:cs="Arial"/>
        </w:rPr>
        <w:t>A</w:t>
      </w:r>
      <w:r w:rsidRPr="008F0CCB">
        <w:rPr>
          <w:rFonts w:cs="Arial"/>
        </w:rPr>
        <w:t xml:space="preserve">ppendix </w:t>
      </w:r>
      <w:r>
        <w:rPr>
          <w:rFonts w:cs="Arial"/>
        </w:rPr>
        <w:t>T</w:t>
      </w:r>
      <w:r w:rsidRPr="008F0CCB">
        <w:rPr>
          <w:rFonts w:cs="Arial"/>
        </w:rPr>
        <w:t xml:space="preserve">able A.12. The reason for looking separately at Mount Isa TAFE is that it is a remote campus with a relatively small enrolment within Queensland and expected, therefore, to have higher than average unit costs, making </w:t>
      </w:r>
      <w:r>
        <w:rPr>
          <w:rFonts w:cs="Arial"/>
        </w:rPr>
        <w:t xml:space="preserve">for a fair comparison with </w:t>
      </w:r>
      <w:r w:rsidRPr="008F0CCB">
        <w:rPr>
          <w:rFonts w:cs="Arial"/>
        </w:rPr>
        <w:t>APTC.</w:t>
      </w:r>
      <w:r>
        <w:rPr>
          <w:rFonts w:cs="Arial"/>
        </w:rPr>
        <w:t xml:space="preserve"> The suggestion to compare APTC with Mount Isa TAFE came from the </w:t>
      </w:r>
      <w:r w:rsidR="009C1D51">
        <w:rPr>
          <w:rFonts w:cs="Arial"/>
        </w:rPr>
        <w:t>C</w:t>
      </w:r>
      <w:r>
        <w:rPr>
          <w:rFonts w:cs="Arial"/>
        </w:rPr>
        <w:t xml:space="preserve">onsortium </w:t>
      </w:r>
      <w:r w:rsidR="009C1D51">
        <w:rPr>
          <w:rFonts w:cs="Arial"/>
        </w:rPr>
        <w:t>B</w:t>
      </w:r>
      <w:r>
        <w:rPr>
          <w:rFonts w:cs="Arial"/>
        </w:rPr>
        <w:t>oard chair.</w:t>
      </w:r>
    </w:p>
    <w:p w14:paraId="7D79B210" w14:textId="635CBC52" w:rsidR="000913FE" w:rsidRDefault="000913FE" w:rsidP="000913FE">
      <w:pPr>
        <w:spacing w:before="120"/>
        <w:rPr>
          <w:rFonts w:cs="Arial"/>
        </w:rPr>
      </w:pPr>
      <w:r w:rsidRPr="007C2DF6">
        <w:rPr>
          <w:rFonts w:cs="Arial"/>
        </w:rPr>
        <w:t>Figure 8</w:t>
      </w:r>
      <w:r w:rsidRPr="00505195">
        <w:rPr>
          <w:rFonts w:cs="Arial"/>
        </w:rPr>
        <w:t xml:space="preserve"> shows these comparisons (</w:t>
      </w:r>
      <w:r>
        <w:rPr>
          <w:rFonts w:cs="Arial"/>
        </w:rPr>
        <w:t>with AHCs having been converted to FTEs by dividing</w:t>
      </w:r>
      <w:r w:rsidRPr="008F0CCB">
        <w:rPr>
          <w:rFonts w:cs="Arial"/>
        </w:rPr>
        <w:t xml:space="preserve"> them by 720, which is assumed to be the instructional load of a full-time student</w:t>
      </w:r>
      <w:r>
        <w:rPr>
          <w:rFonts w:cs="Arial"/>
        </w:rPr>
        <w:t>)</w:t>
      </w:r>
      <w:r w:rsidRPr="008F0CCB">
        <w:rPr>
          <w:rFonts w:cs="Arial"/>
        </w:rPr>
        <w:t>. APTC’s cost per FTE ($28,100) is almost three times that of the Australian average ($9700). It is, however, closer to that of Mount Isa TAFE ($22,200)</w:t>
      </w:r>
      <w:r w:rsidR="00C96296">
        <w:rPr>
          <w:rFonts w:cs="Arial"/>
        </w:rPr>
        <w:t>, one of the highest cost TAFEs in Queensland</w:t>
      </w:r>
      <w:r w:rsidRPr="008F0CCB">
        <w:rPr>
          <w:rFonts w:cs="Arial"/>
        </w:rPr>
        <w:t>.</w:t>
      </w:r>
    </w:p>
    <w:p w14:paraId="7A31A04C" w14:textId="77777777" w:rsidR="00622527" w:rsidRDefault="00622527">
      <w:pPr>
        <w:spacing w:after="0"/>
        <w:rPr>
          <w:rFonts w:cs="Arial"/>
          <w:b/>
          <w:color w:val="76923C"/>
          <w:szCs w:val="22"/>
        </w:rPr>
      </w:pPr>
      <w:bookmarkStart w:id="987" w:name="_Toc272855462"/>
      <w:bookmarkStart w:id="988" w:name="_Toc274915965"/>
      <w:r>
        <w:br w:type="page"/>
      </w:r>
    </w:p>
    <w:p w14:paraId="40B0F9C3" w14:textId="1C54BF0A" w:rsidR="000913FE" w:rsidRDefault="000913FE" w:rsidP="000913FE">
      <w:pPr>
        <w:pStyle w:val="Tableheading"/>
      </w:pPr>
      <w:bookmarkStart w:id="989" w:name="_Toc278446944"/>
      <w:r w:rsidRPr="00490BB4">
        <w:t xml:space="preserve">Figure 8: Costs per </w:t>
      </w:r>
      <w:r>
        <w:t>FTE –</w:t>
      </w:r>
      <w:r w:rsidRPr="00490BB4">
        <w:t xml:space="preserve"> </w:t>
      </w:r>
      <w:r>
        <w:t xml:space="preserve">a </w:t>
      </w:r>
      <w:r w:rsidRPr="00490BB4">
        <w:t xml:space="preserve">comparison of APTC </w:t>
      </w:r>
      <w:r>
        <w:t xml:space="preserve">with </w:t>
      </w:r>
      <w:r w:rsidRPr="00490BB4">
        <w:t xml:space="preserve">RTOs in Australia </w:t>
      </w:r>
      <w:r>
        <w:br/>
      </w:r>
      <w:r w:rsidRPr="00490BB4">
        <w:t>(AUD thousands)</w:t>
      </w:r>
      <w:bookmarkEnd w:id="987"/>
      <w:bookmarkEnd w:id="988"/>
      <w:bookmarkEnd w:id="989"/>
    </w:p>
    <w:p w14:paraId="606A81AF" w14:textId="77777777" w:rsidR="000913FE" w:rsidRDefault="000913FE" w:rsidP="000913FE">
      <w:pPr>
        <w:spacing w:before="120"/>
        <w:rPr>
          <w:rFonts w:cs="Arial"/>
        </w:rPr>
      </w:pPr>
      <w:r>
        <w:rPr>
          <w:rFonts w:cs="Arial"/>
          <w:noProof/>
          <w:lang w:eastAsia="en-AU"/>
        </w:rPr>
        <w:drawing>
          <wp:inline distT="0" distB="0" distL="0" distR="0" wp14:anchorId="403A2697" wp14:editId="11E756DC">
            <wp:extent cx="3672840" cy="2209800"/>
            <wp:effectExtent l="25400" t="0" r="10160" b="0"/>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srcRect/>
                    <a:stretch>
                      <a:fillRect/>
                    </a:stretch>
                  </pic:blipFill>
                  <pic:spPr bwMode="auto">
                    <a:xfrm>
                      <a:off x="0" y="0"/>
                      <a:ext cx="3672840" cy="2209800"/>
                    </a:xfrm>
                    <a:prstGeom prst="rect">
                      <a:avLst/>
                    </a:prstGeom>
                    <a:noFill/>
                    <a:ln w="9525">
                      <a:noFill/>
                      <a:miter lim="800000"/>
                      <a:headEnd/>
                      <a:tailEnd/>
                    </a:ln>
                  </pic:spPr>
                </pic:pic>
              </a:graphicData>
            </a:graphic>
          </wp:inline>
        </w:drawing>
      </w:r>
    </w:p>
    <w:p w14:paraId="70FDFA3A" w14:textId="77777777" w:rsidR="000913FE" w:rsidRPr="00767006"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 A.12</w:t>
      </w:r>
    </w:p>
    <w:p w14:paraId="5A75733D" w14:textId="77777777" w:rsidR="000913FE" w:rsidRPr="008F0CCB" w:rsidRDefault="000913FE" w:rsidP="000913FE">
      <w:pPr>
        <w:spacing w:before="120"/>
        <w:rPr>
          <w:rFonts w:cs="Arial"/>
        </w:rPr>
      </w:pPr>
    </w:p>
    <w:p w14:paraId="66D2C1DA" w14:textId="77777777" w:rsidR="000913FE" w:rsidRPr="008F0CCB" w:rsidRDefault="000913FE" w:rsidP="000913FE">
      <w:pPr>
        <w:spacing w:before="120"/>
        <w:rPr>
          <w:rFonts w:cs="Arial"/>
        </w:rPr>
      </w:pPr>
      <w:r w:rsidRPr="008F0CCB">
        <w:rPr>
          <w:rFonts w:cs="Arial"/>
        </w:rPr>
        <w:t xml:space="preserve">Typically, RTOs in Australia do not cover the transportation and living expenses of students, whereas 75 per cent of students entering APTC are awarded scholarships to offset these costs. The top bar in </w:t>
      </w:r>
      <w:r>
        <w:rPr>
          <w:rFonts w:cs="Arial"/>
        </w:rPr>
        <w:t>F</w:t>
      </w:r>
      <w:r w:rsidRPr="00337988">
        <w:rPr>
          <w:rFonts w:cs="Arial"/>
        </w:rPr>
        <w:t>igure 8</w:t>
      </w:r>
      <w:r w:rsidRPr="008F0CCB">
        <w:rPr>
          <w:rFonts w:cs="Arial"/>
        </w:rPr>
        <w:t xml:space="preserve"> shows APTC’s unit cost with $34.6 million in scholarship costs excluded from the expenditure total. This adjustment brings APTC’s unit cost within 12 per cent of Mount Isa TAFE’s unit cost.</w:t>
      </w:r>
    </w:p>
    <w:p w14:paraId="3E63A81B" w14:textId="243C3F21" w:rsidR="000913FE" w:rsidRDefault="000913FE" w:rsidP="000913FE">
      <w:r w:rsidRPr="008F0CCB">
        <w:t>On the other hand, the counterfactual here is not the cost of sending approximately 10,000 Pacific Islanders to Mount Isa between 2007 and 2015 but, rather, the cost of sending them to RTOs in Australia with more typical unit costs ($9 to $10 thousand). To do so, Australia would have needed to subsidi</w:t>
      </w:r>
      <w:r>
        <w:t>s</w:t>
      </w:r>
      <w:r w:rsidRPr="008F0CCB">
        <w:t xml:space="preserve">e, in full or nearly in full, their travel and living expenses. While travel to Australia and the cost of living </w:t>
      </w:r>
      <w:r>
        <w:t xml:space="preserve">there </w:t>
      </w:r>
      <w:r w:rsidRPr="008F0CCB">
        <w:t xml:space="preserve">are certainly higher than the travel and living expenses for students who stay </w:t>
      </w:r>
      <w:r>
        <w:t xml:space="preserve">home </w:t>
      </w:r>
      <w:r w:rsidRPr="008F0CCB">
        <w:t xml:space="preserve">and enrol at APTC, almost certainly they </w:t>
      </w:r>
      <w:r>
        <w:t xml:space="preserve">do </w:t>
      </w:r>
      <w:r w:rsidRPr="008F0CCB">
        <w:t xml:space="preserve">not equal the 18 to 19 thousand AUD difference between APTC’s unit cost and Australia’s average unit cost. In other words, it </w:t>
      </w:r>
      <w:r>
        <w:t xml:space="preserve">may </w:t>
      </w:r>
      <w:r w:rsidRPr="008F0CCB">
        <w:t xml:space="preserve">have been cheaper over the eight-year period (though, arguably, less beneficial for the 14 PICs) to send 10,000 Pacific Islanders to Australia for training than to establish and operate a new college for them in the Pacific. </w:t>
      </w:r>
    </w:p>
    <w:p w14:paraId="1034DA78" w14:textId="74CE8E92" w:rsidR="000913FE" w:rsidRDefault="000913FE" w:rsidP="000913FE">
      <w:r w:rsidRPr="008F0CCB">
        <w:t>This calculation</w:t>
      </w:r>
      <w:r>
        <w:t xml:space="preserve"> </w:t>
      </w:r>
      <w:r w:rsidRPr="008F0CCB">
        <w:t xml:space="preserve">may </w:t>
      </w:r>
      <w:r>
        <w:t xml:space="preserve">well </w:t>
      </w:r>
      <w:r w:rsidRPr="008F0CCB">
        <w:t>change, however, as one looks ahead to a third funding stage for APTC (whether another four-year tranche or an open-ended renewal</w:t>
      </w:r>
      <w:r>
        <w:t>)</w:t>
      </w:r>
      <w:r w:rsidRPr="008F0CCB">
        <w:t xml:space="preserve"> with measures taken to rein in costs as recommended throughout this review. This is a decision for DFAT and Australia’s body politic to consider. From an economist’s perspective, what has already been spent on APTC </w:t>
      </w:r>
      <w:r>
        <w:t xml:space="preserve">can </w:t>
      </w:r>
      <w:r w:rsidRPr="008F0CCB">
        <w:t xml:space="preserve">be treated as </w:t>
      </w:r>
      <w:r w:rsidR="00B6314E">
        <w:t>‘</w:t>
      </w:r>
      <w:r w:rsidRPr="008F0CCB">
        <w:t>sunk costs</w:t>
      </w:r>
      <w:r w:rsidR="00B6314E">
        <w:t>’</w:t>
      </w:r>
      <w:r w:rsidRPr="008F0CCB">
        <w:t xml:space="preserve">. What matters now is what amounts to the </w:t>
      </w:r>
      <w:r w:rsidRPr="00C067FC">
        <w:rPr>
          <w:i/>
        </w:rPr>
        <w:t>best investment for the future</w:t>
      </w:r>
      <w:r w:rsidRPr="008F0CCB">
        <w:t xml:space="preserve">. </w:t>
      </w:r>
    </w:p>
    <w:p w14:paraId="56ADEC15" w14:textId="7BB27CEA" w:rsidR="000913FE" w:rsidRDefault="000913FE" w:rsidP="000913FE">
      <w:r w:rsidRPr="008F0CCB">
        <w:t xml:space="preserve">A related and perverse point is the fact that DFAT’s indecision as of the second half of 2014 about whether APTC’s funding will be renewed past the middle of 2015 almost certainly contributes to higher unit costs as this closing date approaches. APTC’s planned enrolment for the first half of 2015 (387 students) is the lowest since 2012 and only a third of APTC’s peak enrolment (in the first half of 2013 – 1127 students; </w:t>
      </w:r>
      <w:r w:rsidRPr="00A92021">
        <w:t xml:space="preserve">see </w:t>
      </w:r>
      <w:r>
        <w:t>F</w:t>
      </w:r>
      <w:r w:rsidRPr="007C2DF6">
        <w:t>igure 9</w:t>
      </w:r>
      <w:r w:rsidRPr="008F0CCB">
        <w:t xml:space="preserve">). APTC management cannot plan on enrolling students in the first half of 2015 who would not be able to complete everything by </w:t>
      </w:r>
      <w:r w:rsidR="009A7F29">
        <w:t xml:space="preserve">30 </w:t>
      </w:r>
      <w:r w:rsidRPr="008F0CCB">
        <w:t xml:space="preserve">June </w:t>
      </w:r>
      <w:r w:rsidR="009A7F29">
        <w:t>2015</w:t>
      </w:r>
      <w:r w:rsidRPr="008F0CCB">
        <w:t xml:space="preserve">, the Stage II closing date. DFAT’s late decision is, in fact, resulting in higher unit costs than would be the case if continuation were assured. </w:t>
      </w:r>
    </w:p>
    <w:p w14:paraId="48B8593C" w14:textId="77777777" w:rsidR="00B97C2E" w:rsidRDefault="00B97C2E">
      <w:pPr>
        <w:spacing w:after="0"/>
        <w:rPr>
          <w:rFonts w:cs="Arial"/>
          <w:b/>
          <w:color w:val="76923C"/>
          <w:szCs w:val="22"/>
        </w:rPr>
      </w:pPr>
      <w:bookmarkStart w:id="990" w:name="_Toc272855463"/>
      <w:bookmarkStart w:id="991" w:name="_Toc274915966"/>
      <w:r>
        <w:br w:type="page"/>
      </w:r>
    </w:p>
    <w:p w14:paraId="6946CE33" w14:textId="35423A03" w:rsidR="000913FE" w:rsidRDefault="000913FE" w:rsidP="000913FE">
      <w:pPr>
        <w:pStyle w:val="Tableheading"/>
      </w:pPr>
      <w:bookmarkStart w:id="992" w:name="_Toc278446945"/>
      <w:r w:rsidRPr="006E1A83">
        <w:t xml:space="preserve">Figure 9: </w:t>
      </w:r>
      <w:r>
        <w:t xml:space="preserve">Students </w:t>
      </w:r>
      <w:r w:rsidRPr="006E1A83">
        <w:t>by semester, 2007</w:t>
      </w:r>
      <w:r>
        <w:t>–</w:t>
      </w:r>
      <w:r w:rsidRPr="006E1A83">
        <w:t>2015</w:t>
      </w:r>
      <w:bookmarkEnd w:id="990"/>
      <w:bookmarkEnd w:id="991"/>
      <w:bookmarkEnd w:id="992"/>
    </w:p>
    <w:p w14:paraId="5C615BEF" w14:textId="77777777" w:rsidR="000913FE" w:rsidRDefault="000913FE" w:rsidP="000913FE">
      <w:pPr>
        <w:pStyle w:val="Tableheading"/>
      </w:pPr>
      <w:r>
        <w:rPr>
          <w:noProof/>
          <w:lang w:eastAsia="en-AU"/>
        </w:rPr>
        <w:drawing>
          <wp:inline distT="0" distB="0" distL="0" distR="0" wp14:anchorId="72FBEDE4" wp14:editId="45E237F8">
            <wp:extent cx="5080000" cy="2451100"/>
            <wp:effectExtent l="25400" t="0" r="0" b="0"/>
            <wp:docPr id="151"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E10BEC3" w14:textId="77777777" w:rsidR="000913FE" w:rsidRPr="002F3D79" w:rsidRDefault="000913FE" w:rsidP="000913FE">
      <w:pPr>
        <w:spacing w:after="0"/>
        <w:rPr>
          <w:rFonts w:cs="Arial"/>
          <w:sz w:val="16"/>
          <w:szCs w:val="20"/>
        </w:rPr>
      </w:pPr>
      <w:r w:rsidRPr="007C2DF6">
        <w:rPr>
          <w:rFonts w:cs="Arial"/>
          <w:sz w:val="16"/>
          <w:szCs w:val="20"/>
        </w:rPr>
        <w:t>Sources: Actuals (</w:t>
      </w:r>
      <w:r>
        <w:rPr>
          <w:rFonts w:cs="Arial"/>
          <w:sz w:val="16"/>
          <w:szCs w:val="20"/>
        </w:rPr>
        <w:t>2007</w:t>
      </w:r>
      <w:r w:rsidRPr="007C2DF6">
        <w:rPr>
          <w:rFonts w:cs="Arial"/>
          <w:sz w:val="16"/>
          <w:szCs w:val="20"/>
        </w:rPr>
        <w:t>-June 2014) APTC EMIS, Projected (July 2</w:t>
      </w:r>
      <w:r>
        <w:rPr>
          <w:rFonts w:cs="Arial"/>
          <w:sz w:val="16"/>
          <w:szCs w:val="20"/>
        </w:rPr>
        <w:t>014-June 2015), APTC management</w:t>
      </w:r>
    </w:p>
    <w:p w14:paraId="0372F7A4" w14:textId="7A95CE16" w:rsidR="000913FE" w:rsidRDefault="000913FE" w:rsidP="000913FE">
      <w:pPr>
        <w:spacing w:before="120"/>
        <w:rPr>
          <w:rFonts w:cs="Arial"/>
        </w:rPr>
      </w:pPr>
      <w:r w:rsidRPr="008F0CCB">
        <w:rPr>
          <w:rFonts w:cs="Arial"/>
        </w:rPr>
        <w:t xml:space="preserve">Graduates in the final semesters of Stage II will actually exceed enrolments, as students who matriculated in earlier semesters complete courses that span more than one semester, but the number of graduates will fall (from its peak level in the first half of 2014 – 1106 graduates; see </w:t>
      </w:r>
      <w:r>
        <w:rPr>
          <w:rFonts w:cs="Arial"/>
        </w:rPr>
        <w:t>F</w:t>
      </w:r>
      <w:r w:rsidRPr="007C2DF6">
        <w:rPr>
          <w:rFonts w:cs="Arial"/>
        </w:rPr>
        <w:t>igure 10</w:t>
      </w:r>
      <w:r w:rsidRPr="00A92021">
        <w:rPr>
          <w:rFonts w:cs="Arial"/>
        </w:rPr>
        <w:t>).</w:t>
      </w:r>
      <w:r w:rsidRPr="008F0CCB">
        <w:rPr>
          <w:rFonts w:cs="Arial"/>
        </w:rPr>
        <w:t xml:space="preserve"> The same pattern of falling enrolments followed by falling graduates can be seen at the end of Stage I, although the declines were less dramatic, perhaps because the decision to extend APTC’s funding for a second stage was made earlier in relation to the first closing date, making planning somewhat easier.</w:t>
      </w:r>
      <w:r>
        <w:rPr>
          <w:rFonts w:cs="Arial"/>
        </w:rPr>
        <w:t xml:space="preserve"> </w:t>
      </w:r>
      <w:r w:rsidRPr="00423A0B">
        <w:rPr>
          <w:rFonts w:cs="Arial"/>
        </w:rPr>
        <w:t xml:space="preserve">If APTC funding is extended to </w:t>
      </w:r>
      <w:r w:rsidR="00B6314E">
        <w:rPr>
          <w:rFonts w:cs="Arial"/>
        </w:rPr>
        <w:t>‘</w:t>
      </w:r>
      <w:r w:rsidRPr="00423A0B">
        <w:rPr>
          <w:rFonts w:cs="Arial"/>
        </w:rPr>
        <w:t>Stage III</w:t>
      </w:r>
      <w:r w:rsidR="00B6314E">
        <w:rPr>
          <w:rFonts w:cs="Arial"/>
        </w:rPr>
        <w:t>’</w:t>
      </w:r>
      <w:r w:rsidRPr="00423A0B">
        <w:rPr>
          <w:rFonts w:cs="Arial"/>
        </w:rPr>
        <w:t xml:space="preserve"> </w:t>
      </w:r>
      <w:r>
        <w:rPr>
          <w:rFonts w:cs="Arial"/>
        </w:rPr>
        <w:t xml:space="preserve">with </w:t>
      </w:r>
      <w:r w:rsidRPr="00423A0B">
        <w:rPr>
          <w:rFonts w:cs="Arial"/>
        </w:rPr>
        <w:t xml:space="preserve">another four-year tranche, DFAT’s decision in regard to any extension beyond </w:t>
      </w:r>
      <w:r>
        <w:rPr>
          <w:rFonts w:cs="Arial"/>
        </w:rPr>
        <w:t xml:space="preserve">2019 </w:t>
      </w:r>
      <w:r w:rsidRPr="00423A0B">
        <w:rPr>
          <w:rFonts w:cs="Arial"/>
        </w:rPr>
        <w:t xml:space="preserve">should be made at </w:t>
      </w:r>
      <w:r>
        <w:rPr>
          <w:rFonts w:cs="Arial"/>
        </w:rPr>
        <w:t>least one full year in advance.</w:t>
      </w:r>
    </w:p>
    <w:p w14:paraId="6C92F5EA" w14:textId="7E6F91A2" w:rsidR="000913FE" w:rsidRPr="00B315CD" w:rsidRDefault="000913FE" w:rsidP="000913FE">
      <w:pPr>
        <w:pStyle w:val="Tableheading"/>
      </w:pPr>
      <w:bookmarkStart w:id="993" w:name="_Toc272855464"/>
      <w:bookmarkStart w:id="994" w:name="_Toc274915967"/>
      <w:bookmarkStart w:id="995" w:name="_Toc278446946"/>
      <w:r w:rsidRPr="00E36637">
        <w:t xml:space="preserve">Figure 10: Students </w:t>
      </w:r>
      <w:r>
        <w:t xml:space="preserve">and </w:t>
      </w:r>
      <w:r w:rsidRPr="00E36637">
        <w:t>graduates by semester, 2007</w:t>
      </w:r>
      <w:r>
        <w:t>–</w:t>
      </w:r>
      <w:r w:rsidRPr="00E36637">
        <w:t>2015</w:t>
      </w:r>
      <w:bookmarkEnd w:id="993"/>
      <w:bookmarkEnd w:id="994"/>
      <w:bookmarkEnd w:id="995"/>
    </w:p>
    <w:p w14:paraId="5CF0F9B5" w14:textId="77777777" w:rsidR="000913FE" w:rsidRDefault="000913FE" w:rsidP="000913FE">
      <w:pPr>
        <w:pStyle w:val="Tableheading"/>
      </w:pPr>
      <w:r>
        <w:rPr>
          <w:noProof/>
          <w:lang w:eastAsia="en-AU"/>
        </w:rPr>
        <w:drawing>
          <wp:inline distT="0" distB="0" distL="0" distR="0" wp14:anchorId="1289ED8D" wp14:editId="506B0680">
            <wp:extent cx="5016500" cy="2482850"/>
            <wp:effectExtent l="25400" t="0" r="0" b="0"/>
            <wp:docPr id="152"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3A87D95" w14:textId="77777777" w:rsidR="000913FE" w:rsidRPr="002F3D79" w:rsidRDefault="000913FE" w:rsidP="000913FE">
      <w:pPr>
        <w:spacing w:after="0"/>
        <w:rPr>
          <w:rFonts w:cs="Arial"/>
          <w:sz w:val="16"/>
          <w:szCs w:val="20"/>
        </w:rPr>
      </w:pPr>
      <w:r w:rsidRPr="007C2DF6">
        <w:rPr>
          <w:rFonts w:cs="Arial"/>
          <w:sz w:val="16"/>
          <w:szCs w:val="20"/>
        </w:rPr>
        <w:t>Sources: Actuals (</w:t>
      </w:r>
      <w:r>
        <w:rPr>
          <w:rFonts w:cs="Arial"/>
          <w:sz w:val="16"/>
          <w:szCs w:val="20"/>
        </w:rPr>
        <w:t>2007</w:t>
      </w:r>
      <w:r w:rsidRPr="007C2DF6">
        <w:rPr>
          <w:rFonts w:cs="Arial"/>
          <w:sz w:val="16"/>
          <w:szCs w:val="20"/>
        </w:rPr>
        <w:t>-June 2014) APTC EMIS, Projected (July 2</w:t>
      </w:r>
      <w:r>
        <w:rPr>
          <w:rFonts w:cs="Arial"/>
          <w:sz w:val="16"/>
          <w:szCs w:val="20"/>
        </w:rPr>
        <w:t>014-June 2015), APTC management</w:t>
      </w:r>
    </w:p>
    <w:p w14:paraId="11E67507" w14:textId="77777777" w:rsidR="000913FE" w:rsidRDefault="000913FE" w:rsidP="000913FE">
      <w:pPr>
        <w:spacing w:after="200" w:line="276" w:lineRule="auto"/>
        <w:rPr>
          <w:rFonts w:eastAsiaTheme="majorEastAsia" w:cs="Arial"/>
          <w:b/>
          <w:bCs/>
          <w:color w:val="A5A5A5" w:themeColor="accent3"/>
        </w:rPr>
      </w:pPr>
    </w:p>
    <w:p w14:paraId="51245459" w14:textId="6BC741D1" w:rsidR="000913FE" w:rsidRDefault="00725EEE" w:rsidP="002028A6">
      <w:pPr>
        <w:pStyle w:val="Heading2"/>
      </w:pPr>
      <w:bookmarkStart w:id="996" w:name="_Toc274295077"/>
      <w:bookmarkStart w:id="997" w:name="_Toc274900581"/>
      <w:bookmarkStart w:id="998" w:name="_Toc274909969"/>
      <w:bookmarkStart w:id="999" w:name="_Toc278447990"/>
      <w:bookmarkStart w:id="1000" w:name="_Toc278453463"/>
      <w:r>
        <w:t>4.3</w:t>
      </w:r>
      <w:r>
        <w:tab/>
      </w:r>
      <w:r w:rsidR="000913FE" w:rsidRPr="008F0CCB">
        <w:t>Unit costs by training location</w:t>
      </w:r>
      <w:bookmarkEnd w:id="996"/>
      <w:bookmarkEnd w:id="997"/>
      <w:bookmarkEnd w:id="998"/>
      <w:bookmarkEnd w:id="999"/>
      <w:bookmarkEnd w:id="1000"/>
    </w:p>
    <w:p w14:paraId="79C4CD1E" w14:textId="4FC98ED5" w:rsidR="000913FE" w:rsidRPr="008F0CCB" w:rsidRDefault="000913FE" w:rsidP="000913FE">
      <w:pPr>
        <w:spacing w:before="120"/>
        <w:rPr>
          <w:rFonts w:cs="Arial"/>
        </w:rPr>
      </w:pPr>
      <w:r w:rsidRPr="008F0CCB">
        <w:rPr>
          <w:rFonts w:cs="Arial"/>
        </w:rPr>
        <w:t>APTC was launched in 2007 with training locations in four Pacific Island countries – PNG, Samoa, Vanuatu, and Fiji (which is also where the Coordination Office, renamed Corporate and Student Services (CSS) in Stage II, is located). A fifth campus country (the Solomon Islands) was added during Stage II. In addition, APTC has offered small-scale, on-site training courses in four Small Island States (SIS’s) during St</w:t>
      </w:r>
      <w:r w:rsidR="00CC61D1">
        <w:rPr>
          <w:rFonts w:cs="Arial"/>
        </w:rPr>
        <w:t>age II – Kiribati, Nauru, Palau</w:t>
      </w:r>
      <w:r w:rsidRPr="008F0CCB">
        <w:rPr>
          <w:rFonts w:cs="Arial"/>
        </w:rPr>
        <w:t xml:space="preserve"> and Tonga.</w:t>
      </w:r>
    </w:p>
    <w:p w14:paraId="0DFE0298" w14:textId="027966FC" w:rsidR="000913FE" w:rsidRDefault="000913FE" w:rsidP="000913FE">
      <w:pPr>
        <w:spacing w:before="120" w:after="0"/>
        <w:rPr>
          <w:rFonts w:cs="Arial"/>
        </w:rPr>
      </w:pPr>
      <w:r w:rsidRPr="008F0CCB">
        <w:rPr>
          <w:rFonts w:cs="Arial"/>
        </w:rPr>
        <w:t xml:space="preserve">The NAV software </w:t>
      </w:r>
      <w:r>
        <w:rPr>
          <w:rFonts w:cs="Arial"/>
        </w:rPr>
        <w:t xml:space="preserve">enables </w:t>
      </w:r>
      <w:r w:rsidRPr="008F0CCB">
        <w:rPr>
          <w:rFonts w:cs="Arial"/>
        </w:rPr>
        <w:t xml:space="preserve">the APTC Finance Manager </w:t>
      </w:r>
      <w:r>
        <w:rPr>
          <w:rFonts w:cs="Arial"/>
        </w:rPr>
        <w:t xml:space="preserve">to monitor </w:t>
      </w:r>
      <w:r w:rsidRPr="008F0CCB">
        <w:rPr>
          <w:rFonts w:cs="Arial"/>
        </w:rPr>
        <w:t xml:space="preserve">expenses </w:t>
      </w:r>
      <w:r>
        <w:rPr>
          <w:rFonts w:cs="Arial"/>
        </w:rPr>
        <w:t>in all location</w:t>
      </w:r>
      <w:r w:rsidR="00CC61D1">
        <w:rPr>
          <w:rFonts w:cs="Arial"/>
        </w:rPr>
        <w:t>s</w:t>
      </w:r>
      <w:r>
        <w:rPr>
          <w:rFonts w:cs="Arial"/>
        </w:rPr>
        <w:t xml:space="preserve"> </w:t>
      </w:r>
      <w:r w:rsidRPr="008F0CCB">
        <w:rPr>
          <w:rFonts w:cs="Arial"/>
        </w:rPr>
        <w:t>on a continuous basis.</w:t>
      </w:r>
      <w:r>
        <w:rPr>
          <w:rStyle w:val="FootnoteReference"/>
          <w:rFonts w:cs="Arial"/>
        </w:rPr>
        <w:footnoteReference w:id="73"/>
      </w:r>
      <w:r w:rsidRPr="008F0CCB">
        <w:rPr>
          <w:rFonts w:cs="Arial"/>
        </w:rPr>
        <w:t xml:space="preserve"> </w:t>
      </w:r>
      <w:r w:rsidRPr="007C2DF6">
        <w:rPr>
          <w:rFonts w:cs="Arial"/>
        </w:rPr>
        <w:t>Figure 11</w:t>
      </w:r>
      <w:r w:rsidRPr="00A92021">
        <w:rPr>
          <w:rFonts w:cs="Arial"/>
        </w:rPr>
        <w:t xml:space="preserve"> show</w:t>
      </w:r>
      <w:r w:rsidRPr="007C2DF6">
        <w:rPr>
          <w:rFonts w:cs="Arial"/>
        </w:rPr>
        <w:t xml:space="preserve">s the allocation of direct training costs to the training locations, as well as spending on </w:t>
      </w:r>
      <w:r w:rsidR="002822E5">
        <w:rPr>
          <w:rFonts w:cs="Arial"/>
        </w:rPr>
        <w:t>‘</w:t>
      </w:r>
      <w:r w:rsidRPr="007C2DF6">
        <w:rPr>
          <w:rFonts w:cs="Arial"/>
        </w:rPr>
        <w:t>overhead</w:t>
      </w:r>
      <w:r w:rsidR="002822E5">
        <w:rPr>
          <w:rFonts w:cs="Arial"/>
        </w:rPr>
        <w:t>’</w:t>
      </w:r>
      <w:r w:rsidRPr="007C2DF6">
        <w:rPr>
          <w:rFonts w:cs="Arial"/>
        </w:rPr>
        <w:t xml:space="preserve"> cost items, which for purposes of this review will be allocated to the training locations on a pro rata basis (percentage of overhead costs = percentage of direct training costs). Two-thirds of Stage II expenditure supported direct training in the several training locations, and one-third supported overhead costs.</w:t>
      </w:r>
      <w:r w:rsidRPr="007C2DF6">
        <w:rPr>
          <w:rStyle w:val="FootnoteReference"/>
          <w:rFonts w:cs="Arial"/>
        </w:rPr>
        <w:footnoteReference w:id="74"/>
      </w:r>
      <w:r w:rsidRPr="007C2DF6">
        <w:rPr>
          <w:rFonts w:cs="Arial"/>
        </w:rPr>
        <w:t xml:space="preserve"> Figure 12</w:t>
      </w:r>
      <w:r w:rsidRPr="008F0CCB">
        <w:rPr>
          <w:rFonts w:cs="Arial"/>
        </w:rPr>
        <w:t xml:space="preserve"> shows the percentage distribution of direct training costs by training location.</w:t>
      </w:r>
    </w:p>
    <w:p w14:paraId="64B63D16" w14:textId="77777777" w:rsidR="000913FE" w:rsidRDefault="000913FE" w:rsidP="000913FE">
      <w:pPr>
        <w:pStyle w:val="Tableheading"/>
      </w:pPr>
      <w:bookmarkStart w:id="1001" w:name="_Toc272855465"/>
      <w:bookmarkStart w:id="1002" w:name="_Toc274915968"/>
      <w:bookmarkStart w:id="1003" w:name="_Toc278446947"/>
      <w:r w:rsidRPr="009C153C">
        <w:t xml:space="preserve">Figure 11: </w:t>
      </w:r>
      <w:r>
        <w:t>E</w:t>
      </w:r>
      <w:r w:rsidRPr="009C153C">
        <w:t xml:space="preserve">xpenditure </w:t>
      </w:r>
      <w:r>
        <w:t>at training locations</w:t>
      </w:r>
      <w:r w:rsidRPr="009C153C">
        <w:t xml:space="preserve"> and </w:t>
      </w:r>
      <w:r>
        <w:t xml:space="preserve">on </w:t>
      </w:r>
      <w:r w:rsidRPr="009C153C">
        <w:t>overhead</w:t>
      </w:r>
      <w:r>
        <w:t xml:space="preserve"> categories</w:t>
      </w:r>
      <w:r w:rsidRPr="009C153C">
        <w:t>, Stage II (AUD millions)</w:t>
      </w:r>
      <w:bookmarkEnd w:id="1001"/>
      <w:bookmarkEnd w:id="1002"/>
      <w:bookmarkEnd w:id="1003"/>
    </w:p>
    <w:p w14:paraId="3E5253DA" w14:textId="77777777" w:rsidR="000913FE" w:rsidRDefault="000913FE" w:rsidP="000913FE">
      <w:pPr>
        <w:pStyle w:val="Tableheading"/>
        <w:rPr>
          <w:noProof/>
        </w:rPr>
      </w:pPr>
      <w:r>
        <w:rPr>
          <w:noProof/>
          <w:lang w:eastAsia="en-AU"/>
        </w:rPr>
        <w:drawing>
          <wp:inline distT="0" distB="0" distL="0" distR="0" wp14:anchorId="34E532E5" wp14:editId="7CCCF058">
            <wp:extent cx="5076402" cy="2556933"/>
            <wp:effectExtent l="0" t="0" r="3810" b="8890"/>
            <wp:docPr id="53"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767AA62" w14:textId="77777777" w:rsidR="000913FE" w:rsidRPr="005B0F5D"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w:t>
      </w:r>
      <w:r>
        <w:rPr>
          <w:rFonts w:cs="Arial"/>
          <w:sz w:val="16"/>
          <w:szCs w:val="20"/>
        </w:rPr>
        <w:t xml:space="preserve"> A.13</w:t>
      </w:r>
    </w:p>
    <w:p w14:paraId="5F0069C9" w14:textId="77777777" w:rsidR="000913FE" w:rsidRDefault="000913FE" w:rsidP="000913FE">
      <w:pPr>
        <w:pStyle w:val="Tableheading"/>
      </w:pPr>
      <w:bookmarkStart w:id="1004" w:name="_Toc272855466"/>
    </w:p>
    <w:p w14:paraId="2DE72B59" w14:textId="77777777" w:rsidR="000913FE" w:rsidRDefault="000913FE" w:rsidP="000913FE">
      <w:pPr>
        <w:pStyle w:val="Tableheading"/>
      </w:pPr>
      <w:bookmarkStart w:id="1005" w:name="_Toc274915969"/>
      <w:bookmarkStart w:id="1006" w:name="_Toc278446948"/>
      <w:r>
        <w:t>Figure 12</w:t>
      </w:r>
      <w:r w:rsidRPr="00682246">
        <w:t>: Percentage distribu</w:t>
      </w:r>
      <w:r>
        <w:t>tion of direct training costs ($</w:t>
      </w:r>
      <w:r w:rsidRPr="00682246">
        <w:t>95.</w:t>
      </w:r>
      <w:r>
        <w:t xml:space="preserve">6 million) </w:t>
      </w:r>
      <w:r>
        <w:br/>
        <w:t>by training location, Stage II</w:t>
      </w:r>
      <w:bookmarkEnd w:id="1004"/>
      <w:bookmarkEnd w:id="1005"/>
      <w:bookmarkEnd w:id="1006"/>
    </w:p>
    <w:p w14:paraId="1876BB51" w14:textId="77777777" w:rsidR="000913FE" w:rsidRDefault="000913FE" w:rsidP="000913FE">
      <w:pPr>
        <w:spacing w:before="120" w:after="0"/>
        <w:rPr>
          <w:rFonts w:cs="Arial"/>
        </w:rPr>
      </w:pPr>
      <w:r>
        <w:rPr>
          <w:rFonts w:cs="Arial"/>
          <w:noProof/>
          <w:lang w:eastAsia="en-AU"/>
        </w:rPr>
        <w:drawing>
          <wp:inline distT="0" distB="0" distL="0" distR="0" wp14:anchorId="042C6B37" wp14:editId="3719D9F9">
            <wp:extent cx="3672840" cy="2209800"/>
            <wp:effectExtent l="25400" t="0" r="10160" b="0"/>
            <wp:docPr id="1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srcRect/>
                    <a:stretch>
                      <a:fillRect/>
                    </a:stretch>
                  </pic:blipFill>
                  <pic:spPr bwMode="auto">
                    <a:xfrm>
                      <a:off x="0" y="0"/>
                      <a:ext cx="3672840" cy="2209800"/>
                    </a:xfrm>
                    <a:prstGeom prst="rect">
                      <a:avLst/>
                    </a:prstGeom>
                    <a:noFill/>
                    <a:ln w="9525">
                      <a:noFill/>
                      <a:miter lim="800000"/>
                      <a:headEnd/>
                      <a:tailEnd/>
                    </a:ln>
                  </pic:spPr>
                </pic:pic>
              </a:graphicData>
            </a:graphic>
          </wp:inline>
        </w:drawing>
      </w:r>
    </w:p>
    <w:p w14:paraId="1DFCDEEE" w14:textId="77777777" w:rsidR="000913FE" w:rsidRPr="004D1DBE" w:rsidRDefault="000913FE" w:rsidP="000913FE">
      <w:pPr>
        <w:spacing w:after="0"/>
        <w:rPr>
          <w:rFonts w:cs="Arial"/>
          <w:sz w:val="16"/>
          <w:szCs w:val="20"/>
        </w:rPr>
      </w:pPr>
      <w:r>
        <w:rPr>
          <w:rFonts w:cs="Arial"/>
          <w:sz w:val="16"/>
          <w:szCs w:val="20"/>
        </w:rPr>
        <w:t>Source: Appendix Table A.14</w:t>
      </w:r>
    </w:p>
    <w:p w14:paraId="09011566" w14:textId="77777777" w:rsidR="000913FE" w:rsidRPr="008F0CCB" w:rsidRDefault="000913FE" w:rsidP="000913FE">
      <w:pPr>
        <w:spacing w:before="120" w:after="0"/>
        <w:rPr>
          <w:rFonts w:cs="Arial"/>
        </w:rPr>
      </w:pPr>
    </w:p>
    <w:p w14:paraId="099EA1BB" w14:textId="77777777" w:rsidR="000913FE" w:rsidRDefault="000913FE" w:rsidP="000913FE">
      <w:pPr>
        <w:spacing w:before="120"/>
        <w:rPr>
          <w:rFonts w:cs="Arial"/>
        </w:rPr>
      </w:pPr>
      <w:r w:rsidRPr="007C2DF6">
        <w:rPr>
          <w:rFonts w:cs="Arial"/>
        </w:rPr>
        <w:t>Figure 13</w:t>
      </w:r>
      <w:r w:rsidRPr="008F0CCB">
        <w:rPr>
          <w:rFonts w:cs="Arial"/>
        </w:rPr>
        <w:t xml:space="preserve"> show</w:t>
      </w:r>
      <w:r>
        <w:rPr>
          <w:rFonts w:cs="Arial"/>
        </w:rPr>
        <w:t>s</w:t>
      </w:r>
      <w:r w:rsidRPr="008F0CCB">
        <w:rPr>
          <w:rFonts w:cs="Arial"/>
        </w:rPr>
        <w:t xml:space="preserve"> total Stage II expenditure by training location with the $47.8 million in overhead costs allocated to locations on a pro rata basis. Fiji has accounted for the largest share of expenditure, as one would expect given that 42 per cent of Stage II enrolments and 43 per cent of Stage II graduates have received their training there. The Solomon Islands have accounted for the smallest share, which also makes sense given </w:t>
      </w:r>
      <w:r>
        <w:rPr>
          <w:rFonts w:cs="Arial"/>
        </w:rPr>
        <w:t xml:space="preserve">its delayed </w:t>
      </w:r>
      <w:r w:rsidRPr="008F0CCB">
        <w:rPr>
          <w:rFonts w:cs="Arial"/>
        </w:rPr>
        <w:t xml:space="preserve">start-up (the campus in Honiara opened its doors only during 2012) and </w:t>
      </w:r>
      <w:r>
        <w:rPr>
          <w:rFonts w:cs="Arial"/>
        </w:rPr>
        <w:t xml:space="preserve">the </w:t>
      </w:r>
      <w:r w:rsidRPr="008F0CCB">
        <w:rPr>
          <w:rFonts w:cs="Arial"/>
        </w:rPr>
        <w:t xml:space="preserve">relatively small numbers of students and graduates (7 and 9 per cent of Stage II totals). PNG has accounted for 80 per cent more expenditure than Samoa, which is rather surprising given that the two campuses enrolled about the same number of students (16 and 18 per cent of the Stage II total </w:t>
      </w:r>
      <w:r>
        <w:rPr>
          <w:rFonts w:cs="Arial"/>
        </w:rPr>
        <w:t xml:space="preserve">at </w:t>
      </w:r>
      <w:r w:rsidRPr="008F0CCB">
        <w:rPr>
          <w:rFonts w:cs="Arial"/>
        </w:rPr>
        <w:t>PNG and Samoa, respectively).</w:t>
      </w:r>
    </w:p>
    <w:p w14:paraId="25AF34D6" w14:textId="77777777" w:rsidR="000913FE" w:rsidRDefault="000913FE" w:rsidP="000913FE">
      <w:pPr>
        <w:pStyle w:val="Tableheading"/>
      </w:pPr>
      <w:bookmarkStart w:id="1007" w:name="_Toc272855467"/>
      <w:bookmarkStart w:id="1008" w:name="_Toc274915970"/>
      <w:bookmarkStart w:id="1009" w:name="_Toc278446949"/>
      <w:r>
        <w:t>Figure</w:t>
      </w:r>
      <w:r w:rsidRPr="00052754">
        <w:t xml:space="preserve"> 13: Expenditure by</w:t>
      </w:r>
      <w:r>
        <w:t xml:space="preserve"> </w:t>
      </w:r>
      <w:r w:rsidRPr="00052754">
        <w:t>location with overhead costs allocated</w:t>
      </w:r>
      <w:r>
        <w:t xml:space="preserve"> to locations</w:t>
      </w:r>
      <w:r w:rsidRPr="00052754">
        <w:t>, Stage II (AUD millions)</w:t>
      </w:r>
      <w:bookmarkEnd w:id="1007"/>
      <w:bookmarkEnd w:id="1008"/>
      <w:bookmarkEnd w:id="1009"/>
    </w:p>
    <w:p w14:paraId="4D8ACE88" w14:textId="77777777" w:rsidR="000913FE" w:rsidRDefault="000913FE" w:rsidP="000913FE">
      <w:pPr>
        <w:spacing w:before="120"/>
        <w:rPr>
          <w:rFonts w:cs="Arial"/>
        </w:rPr>
      </w:pPr>
      <w:r>
        <w:rPr>
          <w:rFonts w:cs="Arial"/>
          <w:noProof/>
          <w:lang w:eastAsia="en-AU"/>
        </w:rPr>
        <w:drawing>
          <wp:inline distT="0" distB="0" distL="0" distR="0" wp14:anchorId="75CBF9C0" wp14:editId="425BA508">
            <wp:extent cx="3054350" cy="1835150"/>
            <wp:effectExtent l="0" t="0" r="0" b="0"/>
            <wp:docPr id="1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srcRect/>
                    <a:stretch>
                      <a:fillRect/>
                    </a:stretch>
                  </pic:blipFill>
                  <pic:spPr bwMode="auto">
                    <a:xfrm>
                      <a:off x="0" y="0"/>
                      <a:ext cx="3054350" cy="1835150"/>
                    </a:xfrm>
                    <a:prstGeom prst="rect">
                      <a:avLst/>
                    </a:prstGeom>
                    <a:noFill/>
                    <a:ln w="9525">
                      <a:noFill/>
                      <a:miter lim="800000"/>
                      <a:headEnd/>
                      <a:tailEnd/>
                    </a:ln>
                  </pic:spPr>
                </pic:pic>
              </a:graphicData>
            </a:graphic>
          </wp:inline>
        </w:drawing>
      </w:r>
    </w:p>
    <w:p w14:paraId="61221A9C" w14:textId="77777777" w:rsidR="000913FE" w:rsidRPr="005048CC"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 xml:space="preserve">able </w:t>
      </w:r>
      <w:r>
        <w:rPr>
          <w:rFonts w:cs="Arial"/>
          <w:sz w:val="16"/>
          <w:szCs w:val="20"/>
        </w:rPr>
        <w:t>A.15</w:t>
      </w:r>
    </w:p>
    <w:p w14:paraId="31B24EAC" w14:textId="662CFDC4" w:rsidR="000913FE" w:rsidRDefault="007006B7" w:rsidP="007006B7">
      <w:pPr>
        <w:spacing w:before="120"/>
        <w:rPr>
          <w:noProof/>
        </w:rPr>
      </w:pPr>
      <w:r>
        <w:rPr>
          <w:rFonts w:cs="Arial"/>
          <w:noProof/>
        </w:rPr>
        <w:br/>
      </w:r>
      <w:r w:rsidR="000913FE" w:rsidRPr="008F0CCB">
        <w:rPr>
          <w:rFonts w:cs="Arial"/>
          <w:noProof/>
        </w:rPr>
        <w:t xml:space="preserve">Appendix </w:t>
      </w:r>
      <w:r w:rsidR="000913FE">
        <w:rPr>
          <w:rFonts w:cs="Arial"/>
          <w:noProof/>
        </w:rPr>
        <w:t>T</w:t>
      </w:r>
      <w:r w:rsidR="000913FE" w:rsidRPr="008F0CCB">
        <w:rPr>
          <w:rFonts w:cs="Arial"/>
          <w:noProof/>
        </w:rPr>
        <w:t>ables A.16</w:t>
      </w:r>
      <w:r w:rsidR="000913FE">
        <w:rPr>
          <w:rFonts w:cs="Arial"/>
          <w:noProof/>
        </w:rPr>
        <w:t>–</w:t>
      </w:r>
      <w:r w:rsidR="000913FE" w:rsidRPr="008F0CCB">
        <w:rPr>
          <w:rFonts w:cs="Arial"/>
          <w:noProof/>
        </w:rPr>
        <w:t xml:space="preserve">A.19 provide the figures needed to take a closer look at unit costs across APTC’s training locations. </w:t>
      </w:r>
      <w:r w:rsidR="000913FE" w:rsidRPr="007C2DF6">
        <w:rPr>
          <w:rFonts w:cs="Arial"/>
          <w:noProof/>
        </w:rPr>
        <w:t>Figure 14</w:t>
      </w:r>
      <w:r w:rsidR="000913FE" w:rsidRPr="00A92021">
        <w:rPr>
          <w:rFonts w:cs="Arial"/>
          <w:noProof/>
        </w:rPr>
        <w:t xml:space="preserve"> </w:t>
      </w:r>
      <w:r w:rsidR="000913FE" w:rsidRPr="007C2DF6">
        <w:rPr>
          <w:rFonts w:cs="Arial"/>
          <w:noProof/>
        </w:rPr>
        <w:t xml:space="preserve">below shows the numbers of students who will have matriculated at and graduated from the several locations during Stage II, and </w:t>
      </w:r>
      <w:r w:rsidR="000913FE">
        <w:rPr>
          <w:rFonts w:cs="Arial"/>
          <w:noProof/>
        </w:rPr>
        <w:t>F</w:t>
      </w:r>
      <w:r w:rsidR="000913FE" w:rsidRPr="007C2DF6">
        <w:rPr>
          <w:rFonts w:cs="Arial"/>
          <w:noProof/>
        </w:rPr>
        <w:t>igure 15</w:t>
      </w:r>
      <w:r w:rsidR="000913FE" w:rsidRPr="00A92021">
        <w:rPr>
          <w:rFonts w:cs="Arial"/>
          <w:noProof/>
        </w:rPr>
        <w:t xml:space="preserve"> presents </w:t>
      </w:r>
      <w:r w:rsidR="000913FE" w:rsidRPr="007C2DF6">
        <w:rPr>
          <w:rFonts w:cs="Arial"/>
          <w:noProof/>
        </w:rPr>
        <w:t xml:space="preserve">the unit costs, obtained by dividing these numbers into the expenditure amounts shown in </w:t>
      </w:r>
      <w:r w:rsidR="000913FE">
        <w:rPr>
          <w:rFonts w:cs="Arial"/>
          <w:noProof/>
        </w:rPr>
        <w:t>F</w:t>
      </w:r>
      <w:r w:rsidR="000913FE" w:rsidRPr="007C2DF6">
        <w:rPr>
          <w:rFonts w:cs="Arial"/>
          <w:noProof/>
        </w:rPr>
        <w:t xml:space="preserve">igure 13 above. Costs per student are below the APTC-wide average for all of the training locations </w:t>
      </w:r>
      <w:r w:rsidR="000913FE" w:rsidRPr="007C2DF6">
        <w:rPr>
          <w:rFonts w:cs="Arial"/>
          <w:i/>
          <w:noProof/>
        </w:rPr>
        <w:t>except for PNG</w:t>
      </w:r>
      <w:r w:rsidR="000913FE" w:rsidRPr="007C2DF6">
        <w:rPr>
          <w:rFonts w:cs="Arial"/>
          <w:noProof/>
        </w:rPr>
        <w:t xml:space="preserve">, where it is </w:t>
      </w:r>
      <w:r w:rsidR="004F74D7" w:rsidRPr="007C2DF6">
        <w:rPr>
          <w:rFonts w:cs="Arial"/>
          <w:noProof/>
        </w:rPr>
        <w:t>92</w:t>
      </w:r>
      <w:r w:rsidR="004F74D7">
        <w:rPr>
          <w:rFonts w:cs="Arial"/>
          <w:noProof/>
        </w:rPr>
        <w:t> </w:t>
      </w:r>
      <w:r w:rsidR="004F74D7" w:rsidRPr="007C2DF6">
        <w:rPr>
          <w:rFonts w:cs="Arial"/>
          <w:noProof/>
        </w:rPr>
        <w:t>per</w:t>
      </w:r>
      <w:r w:rsidR="004F74D7">
        <w:rPr>
          <w:rFonts w:cs="Arial"/>
          <w:noProof/>
        </w:rPr>
        <w:t> </w:t>
      </w:r>
      <w:r w:rsidR="000913FE" w:rsidRPr="007C2DF6">
        <w:rPr>
          <w:rFonts w:cs="Arial"/>
          <w:noProof/>
        </w:rPr>
        <w:t>cent higher (nearly double). PNG’s cost per graduate is 75 per cent higher than the college-wide average.</w:t>
      </w:r>
    </w:p>
    <w:p w14:paraId="2080F354" w14:textId="77777777" w:rsidR="000913FE" w:rsidRDefault="000913FE" w:rsidP="000913FE">
      <w:pPr>
        <w:pStyle w:val="Tableheading"/>
        <w:rPr>
          <w:noProof/>
        </w:rPr>
      </w:pPr>
      <w:bookmarkStart w:id="1010" w:name="_Toc272855468"/>
      <w:bookmarkStart w:id="1011" w:name="_Toc274915971"/>
      <w:bookmarkStart w:id="1012" w:name="_Toc278446950"/>
      <w:r w:rsidRPr="003E08FF">
        <w:t>Figure 14: Students and graduates by training location, Stage II</w:t>
      </w:r>
      <w:bookmarkEnd w:id="1010"/>
      <w:bookmarkEnd w:id="1011"/>
      <w:bookmarkEnd w:id="1012"/>
    </w:p>
    <w:p w14:paraId="0E03A500" w14:textId="77777777" w:rsidR="000913FE" w:rsidRDefault="000913FE" w:rsidP="000913FE">
      <w:pPr>
        <w:spacing w:before="100" w:beforeAutospacing="1"/>
        <w:rPr>
          <w:rFonts w:cs="Arial"/>
          <w:noProof/>
        </w:rPr>
      </w:pPr>
      <w:r>
        <w:rPr>
          <w:rFonts w:cs="Arial"/>
          <w:noProof/>
          <w:lang w:eastAsia="en-AU"/>
        </w:rPr>
        <w:drawing>
          <wp:inline distT="0" distB="0" distL="0" distR="0" wp14:anchorId="03D47FA4" wp14:editId="10AB02B7">
            <wp:extent cx="3665220" cy="2202180"/>
            <wp:effectExtent l="0" t="0" r="0" b="7620"/>
            <wp:docPr id="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srcRect/>
                    <a:stretch>
                      <a:fillRect/>
                    </a:stretch>
                  </pic:blipFill>
                  <pic:spPr bwMode="auto">
                    <a:xfrm>
                      <a:off x="0" y="0"/>
                      <a:ext cx="3665220" cy="2202180"/>
                    </a:xfrm>
                    <a:prstGeom prst="rect">
                      <a:avLst/>
                    </a:prstGeom>
                    <a:noFill/>
                    <a:ln w="9525">
                      <a:noFill/>
                      <a:miter lim="800000"/>
                      <a:headEnd/>
                      <a:tailEnd/>
                    </a:ln>
                  </pic:spPr>
                </pic:pic>
              </a:graphicData>
            </a:graphic>
          </wp:inline>
        </w:drawing>
      </w:r>
    </w:p>
    <w:p w14:paraId="3CDDAF6A" w14:textId="77777777" w:rsidR="000913FE" w:rsidRPr="008E54A0"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ables A.16 – A.19</w:t>
      </w:r>
    </w:p>
    <w:p w14:paraId="1F9F5B1D" w14:textId="1932EB37" w:rsidR="000913FE" w:rsidRPr="00C6064C" w:rsidRDefault="00B97C2E" w:rsidP="000913FE">
      <w:pPr>
        <w:pStyle w:val="Tableheading"/>
      </w:pPr>
      <w:bookmarkStart w:id="1013" w:name="_Toc272855469"/>
      <w:r>
        <w:br/>
      </w:r>
      <w:bookmarkStart w:id="1014" w:name="_Toc274915972"/>
      <w:bookmarkStart w:id="1015" w:name="_Toc278446951"/>
      <w:r w:rsidR="000913FE" w:rsidRPr="003E08FF">
        <w:t xml:space="preserve">Figure 15: </w:t>
      </w:r>
      <w:r w:rsidR="000913FE">
        <w:t xml:space="preserve">Cost </w:t>
      </w:r>
      <w:r w:rsidR="000913FE" w:rsidRPr="003E08FF">
        <w:t xml:space="preserve">per student and </w:t>
      </w:r>
      <w:r w:rsidR="000913FE">
        <w:t>cost per graduate</w:t>
      </w:r>
      <w:r w:rsidR="000913FE" w:rsidRPr="003E08FF">
        <w:t xml:space="preserve"> by training location, Stage II </w:t>
      </w:r>
      <w:r w:rsidR="000913FE">
        <w:br/>
      </w:r>
      <w:r w:rsidR="000913FE" w:rsidRPr="003E08FF">
        <w:t>(AUD thousands)</w:t>
      </w:r>
      <w:bookmarkEnd w:id="1013"/>
      <w:bookmarkEnd w:id="1014"/>
      <w:bookmarkEnd w:id="1015"/>
    </w:p>
    <w:p w14:paraId="3F7726B3" w14:textId="77777777" w:rsidR="000913FE" w:rsidRDefault="000913FE" w:rsidP="000913FE">
      <w:pPr>
        <w:spacing w:before="100" w:beforeAutospacing="1"/>
        <w:rPr>
          <w:rFonts w:cs="Arial"/>
          <w:noProof/>
        </w:rPr>
      </w:pPr>
      <w:r>
        <w:rPr>
          <w:rFonts w:cs="Arial"/>
          <w:noProof/>
          <w:lang w:eastAsia="en-AU"/>
        </w:rPr>
        <w:drawing>
          <wp:inline distT="0" distB="0" distL="0" distR="0" wp14:anchorId="24990E71" wp14:editId="1ECBC74A">
            <wp:extent cx="3672840" cy="2209800"/>
            <wp:effectExtent l="25400" t="0" r="1016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3672840" cy="2209800"/>
                    </a:xfrm>
                    <a:prstGeom prst="rect">
                      <a:avLst/>
                    </a:prstGeom>
                    <a:noFill/>
                    <a:ln w="9525">
                      <a:noFill/>
                      <a:miter lim="800000"/>
                      <a:headEnd/>
                      <a:tailEnd/>
                    </a:ln>
                  </pic:spPr>
                </pic:pic>
              </a:graphicData>
            </a:graphic>
          </wp:inline>
        </w:drawing>
      </w:r>
    </w:p>
    <w:p w14:paraId="59147F96" w14:textId="77777777" w:rsidR="000913FE" w:rsidRDefault="000913FE" w:rsidP="000913FE">
      <w:pPr>
        <w:spacing w:after="0"/>
        <w:rPr>
          <w:rFonts w:cs="Arial"/>
          <w:sz w:val="16"/>
          <w:szCs w:val="20"/>
        </w:rPr>
      </w:pPr>
      <w:r w:rsidRPr="007C2DF6">
        <w:rPr>
          <w:rFonts w:cs="Arial"/>
          <w:sz w:val="16"/>
          <w:szCs w:val="20"/>
        </w:rPr>
        <w:t xml:space="preserve">Source: Figure 13 above and appendix </w:t>
      </w:r>
      <w:r>
        <w:rPr>
          <w:rFonts w:cs="Arial"/>
          <w:sz w:val="16"/>
          <w:szCs w:val="20"/>
        </w:rPr>
        <w:t>T</w:t>
      </w:r>
      <w:r w:rsidRPr="007C2DF6">
        <w:rPr>
          <w:rFonts w:cs="Arial"/>
          <w:sz w:val="16"/>
          <w:szCs w:val="20"/>
        </w:rPr>
        <w:t>ables A.16</w:t>
      </w:r>
      <w:r>
        <w:rPr>
          <w:rFonts w:cs="Arial"/>
          <w:sz w:val="16"/>
          <w:szCs w:val="20"/>
        </w:rPr>
        <w:t xml:space="preserve"> – </w:t>
      </w:r>
      <w:r w:rsidRPr="007C2DF6">
        <w:rPr>
          <w:rFonts w:cs="Arial"/>
          <w:sz w:val="16"/>
          <w:szCs w:val="20"/>
        </w:rPr>
        <w:t>A</w:t>
      </w:r>
      <w:r>
        <w:rPr>
          <w:rFonts w:cs="Arial"/>
          <w:sz w:val="16"/>
          <w:szCs w:val="20"/>
        </w:rPr>
        <w:t>.19</w:t>
      </w:r>
    </w:p>
    <w:p w14:paraId="026F802D" w14:textId="77777777" w:rsidR="000913FE" w:rsidRDefault="000913FE" w:rsidP="000913FE">
      <w:pPr>
        <w:rPr>
          <w:rFonts w:cs="Arial"/>
          <w:lang w:val="en-US"/>
        </w:rPr>
      </w:pPr>
      <w:bookmarkStart w:id="1016" w:name="_Toc272855470"/>
    </w:p>
    <w:p w14:paraId="0A94FA4B" w14:textId="66E2BA5B" w:rsidR="000913FE" w:rsidRPr="00105243" w:rsidRDefault="000913FE" w:rsidP="000913FE">
      <w:pPr>
        <w:rPr>
          <w:rFonts w:cs="Arial"/>
          <w:lang w:val="en-US"/>
        </w:rPr>
      </w:pPr>
      <w:r w:rsidRPr="00105243">
        <w:rPr>
          <w:rFonts w:cs="Arial"/>
          <w:lang w:val="en-US"/>
        </w:rPr>
        <w:t xml:space="preserve">The reasons for the much higher costs </w:t>
      </w:r>
      <w:r>
        <w:rPr>
          <w:rFonts w:cs="Arial"/>
          <w:lang w:val="en-US"/>
        </w:rPr>
        <w:t xml:space="preserve">of </w:t>
      </w:r>
      <w:r w:rsidRPr="00105243">
        <w:rPr>
          <w:rFonts w:cs="Arial"/>
          <w:lang w:val="en-US"/>
        </w:rPr>
        <w:t xml:space="preserve">training in PNG are complicated. On the one hand, although large in terms </w:t>
      </w:r>
      <w:r w:rsidRPr="00105243">
        <w:rPr>
          <w:rFonts w:cs="Arial"/>
          <w:noProof/>
        </w:rPr>
        <w:t xml:space="preserve">of population, PNG is among the poorest of the 14 PICs. Per capita income, about $1.9 thousand in 2013 (see </w:t>
      </w:r>
      <w:r>
        <w:rPr>
          <w:rFonts w:cs="Arial"/>
          <w:noProof/>
        </w:rPr>
        <w:t>F</w:t>
      </w:r>
      <w:r w:rsidRPr="007C2DF6">
        <w:rPr>
          <w:rFonts w:cs="Arial"/>
          <w:noProof/>
        </w:rPr>
        <w:t>igure 16</w:t>
      </w:r>
      <w:r w:rsidRPr="00E2298A">
        <w:rPr>
          <w:rFonts w:cs="Arial"/>
          <w:noProof/>
        </w:rPr>
        <w:t>),</w:t>
      </w:r>
      <w:r w:rsidRPr="00105243">
        <w:rPr>
          <w:rFonts w:cs="Arial"/>
          <w:noProof/>
        </w:rPr>
        <w:t xml:space="preserve"> is less than half that of Fiji ($4.2 thousand) and also well below that of Samoa and Vanuatu ($3.4 and $3.1</w:t>
      </w:r>
      <w:r w:rsidR="009F1139">
        <w:rPr>
          <w:rFonts w:cs="Arial"/>
          <w:noProof/>
        </w:rPr>
        <w:t> </w:t>
      </w:r>
      <w:r w:rsidRPr="00105243">
        <w:rPr>
          <w:rFonts w:cs="Arial"/>
          <w:noProof/>
        </w:rPr>
        <w:t>thousand, respectively). Only the Solomon Islands among APTC’s five campus countries has a lower GDP per capita ($1.8 thousand). Salaries paid by APTC to PNG national staff are about in the</w:t>
      </w:r>
      <w:r w:rsidRPr="00105243">
        <w:rPr>
          <w:rFonts w:cs="Arial"/>
          <w:lang w:val="en-US"/>
        </w:rPr>
        <w:t xml:space="preserve"> middle of the salaries paid in the five campus countries </w:t>
      </w:r>
      <w:r w:rsidRPr="00E2298A">
        <w:rPr>
          <w:rFonts w:cs="Arial"/>
          <w:noProof/>
        </w:rPr>
        <w:t>(</w:t>
      </w:r>
      <w:r>
        <w:rPr>
          <w:rFonts w:cs="Arial"/>
          <w:noProof/>
        </w:rPr>
        <w:t>F</w:t>
      </w:r>
      <w:r w:rsidRPr="007C2DF6">
        <w:rPr>
          <w:rFonts w:cs="Arial"/>
          <w:noProof/>
        </w:rPr>
        <w:t>igure 17</w:t>
      </w:r>
      <w:r w:rsidRPr="00E2298A">
        <w:rPr>
          <w:rFonts w:cs="Arial"/>
          <w:noProof/>
        </w:rPr>
        <w:t>)</w:t>
      </w:r>
      <w:r w:rsidRPr="00E2298A">
        <w:rPr>
          <w:rFonts w:cs="Arial"/>
          <w:lang w:val="en-US"/>
        </w:rPr>
        <w:t>.</w:t>
      </w:r>
      <w:r w:rsidRPr="00105243">
        <w:rPr>
          <w:rFonts w:cs="Arial"/>
          <w:lang w:val="en-US"/>
        </w:rPr>
        <w:t xml:space="preserve"> These factors might lead one to expect unit costs in PNG to be the same as, if not lower than, those in the other campus counties.</w:t>
      </w:r>
    </w:p>
    <w:p w14:paraId="6BC1C907" w14:textId="77777777" w:rsidR="00CC61D1" w:rsidRDefault="00CC61D1">
      <w:pPr>
        <w:spacing w:after="0"/>
        <w:rPr>
          <w:rFonts w:cs="Arial"/>
          <w:b/>
          <w:color w:val="76923C"/>
          <w:szCs w:val="22"/>
        </w:rPr>
      </w:pPr>
      <w:bookmarkStart w:id="1017" w:name="_Toc274915973"/>
      <w:bookmarkStart w:id="1018" w:name="_Toc278446952"/>
      <w:r>
        <w:br w:type="page"/>
      </w:r>
    </w:p>
    <w:p w14:paraId="53D1072E" w14:textId="2FC9CCC7" w:rsidR="000913FE" w:rsidRPr="00D90A7B" w:rsidRDefault="000913FE" w:rsidP="000913FE">
      <w:pPr>
        <w:pStyle w:val="Tableheading"/>
      </w:pPr>
      <w:r w:rsidRPr="00BE395C">
        <w:t>Figure 16: GDP per capita, Pacific Island Countries, 2013 (AUD)</w:t>
      </w:r>
      <w:bookmarkEnd w:id="1016"/>
      <w:bookmarkEnd w:id="1017"/>
      <w:bookmarkEnd w:id="1018"/>
    </w:p>
    <w:p w14:paraId="150D4FF6" w14:textId="77777777" w:rsidR="000913FE" w:rsidRPr="00090A78" w:rsidRDefault="000913FE" w:rsidP="000913FE">
      <w:pPr>
        <w:spacing w:after="0"/>
        <w:rPr>
          <w:rFonts w:cs="Arial"/>
        </w:rPr>
      </w:pPr>
      <w:r>
        <w:rPr>
          <w:noProof/>
          <w:lang w:eastAsia="en-AU"/>
        </w:rPr>
        <w:drawing>
          <wp:inline distT="0" distB="0" distL="0" distR="0" wp14:anchorId="0AA92B3E" wp14:editId="16EC9655">
            <wp:extent cx="3390900" cy="2362200"/>
            <wp:effectExtent l="25400" t="0" r="0" b="0"/>
            <wp:docPr id="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srcRect/>
                    <a:stretch>
                      <a:fillRect/>
                    </a:stretch>
                  </pic:blipFill>
                  <pic:spPr bwMode="auto">
                    <a:xfrm>
                      <a:off x="0" y="0"/>
                      <a:ext cx="3390900" cy="2362200"/>
                    </a:xfrm>
                    <a:prstGeom prst="rect">
                      <a:avLst/>
                    </a:prstGeom>
                    <a:noFill/>
                    <a:ln w="9525">
                      <a:noFill/>
                      <a:miter lim="800000"/>
                      <a:headEnd/>
                      <a:tailEnd/>
                    </a:ln>
                  </pic:spPr>
                </pic:pic>
              </a:graphicData>
            </a:graphic>
          </wp:inline>
        </w:drawing>
      </w:r>
    </w:p>
    <w:p w14:paraId="3AC13CE0" w14:textId="77777777" w:rsidR="000913FE" w:rsidRDefault="000913FE" w:rsidP="000913FE">
      <w:pPr>
        <w:pStyle w:val="Tableheading"/>
      </w:pPr>
      <w:bookmarkStart w:id="1019" w:name="_Toc272855471"/>
      <w:bookmarkStart w:id="1020" w:name="_Toc274915974"/>
      <w:bookmarkStart w:id="1021" w:name="_Toc278446953"/>
      <w:r>
        <w:t>Figure 17</w:t>
      </w:r>
      <w:r w:rsidRPr="00C76D24">
        <w:t>: Index of APTC national staff</w:t>
      </w:r>
      <w:r w:rsidRPr="00511F84">
        <w:t xml:space="preserve"> </w:t>
      </w:r>
      <w:r>
        <w:t>base salaries</w:t>
      </w:r>
      <w:bookmarkEnd w:id="1019"/>
      <w:bookmarkEnd w:id="1020"/>
      <w:bookmarkEnd w:id="1021"/>
    </w:p>
    <w:p w14:paraId="2249332C" w14:textId="77777777" w:rsidR="000913FE" w:rsidRPr="00090A78" w:rsidRDefault="000913FE" w:rsidP="000913FE">
      <w:pPr>
        <w:spacing w:after="0"/>
        <w:rPr>
          <w:rFonts w:cs="Arial"/>
        </w:rPr>
      </w:pPr>
      <w:r>
        <w:rPr>
          <w:noProof/>
          <w:lang w:eastAsia="en-AU"/>
        </w:rPr>
        <w:drawing>
          <wp:inline distT="0" distB="0" distL="0" distR="0" wp14:anchorId="0D50062F" wp14:editId="520A019B">
            <wp:extent cx="3672840" cy="2209800"/>
            <wp:effectExtent l="25400" t="0" r="10160" b="0"/>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srcRect/>
                    <a:stretch>
                      <a:fillRect/>
                    </a:stretch>
                  </pic:blipFill>
                  <pic:spPr bwMode="auto">
                    <a:xfrm>
                      <a:off x="0" y="0"/>
                      <a:ext cx="3672840" cy="2209800"/>
                    </a:xfrm>
                    <a:prstGeom prst="rect">
                      <a:avLst/>
                    </a:prstGeom>
                    <a:noFill/>
                    <a:ln w="9525">
                      <a:noFill/>
                      <a:miter lim="800000"/>
                      <a:headEnd/>
                      <a:tailEnd/>
                    </a:ln>
                  </pic:spPr>
                </pic:pic>
              </a:graphicData>
            </a:graphic>
          </wp:inline>
        </w:drawing>
      </w:r>
    </w:p>
    <w:p w14:paraId="08F03671" w14:textId="77777777" w:rsidR="00CC61D1" w:rsidRDefault="00CC61D1" w:rsidP="00CC61D1">
      <w:pPr>
        <w:rPr>
          <w:rFonts w:cs="Arial"/>
          <w:lang w:val="en-US"/>
        </w:rPr>
      </w:pPr>
    </w:p>
    <w:p w14:paraId="044A107A" w14:textId="77777777" w:rsidR="00CC61D1" w:rsidRPr="00E2298A" w:rsidRDefault="00CC61D1" w:rsidP="00CC61D1">
      <w:pPr>
        <w:rPr>
          <w:rFonts w:cs="Arial"/>
          <w:lang w:val="en-US"/>
        </w:rPr>
      </w:pPr>
      <w:r>
        <w:rPr>
          <w:rFonts w:cs="Arial"/>
          <w:lang w:val="en-US"/>
        </w:rPr>
        <w:t xml:space="preserve">However, </w:t>
      </w:r>
      <w:r w:rsidRPr="00105243">
        <w:rPr>
          <w:rFonts w:cs="Arial"/>
          <w:lang w:val="en-US"/>
        </w:rPr>
        <w:t xml:space="preserve">several other factors combine to explain PNG's higher than average unit costs. Security is a bigger issue than in the other four countries, and special measures to protect facilities and personnel add significantly to costs. </w:t>
      </w:r>
      <w:r>
        <w:rPr>
          <w:rFonts w:cs="Arial"/>
          <w:lang w:val="en-US"/>
        </w:rPr>
        <w:t xml:space="preserve">Generally, APTC budgets 38 per cent more for equipment and materials in PNG and Solomon Islands than other countries owing to higher transportation costs and supplier markups. </w:t>
      </w:r>
      <w:r w:rsidRPr="00105243">
        <w:rPr>
          <w:rFonts w:cs="Arial"/>
          <w:lang w:val="en-US"/>
        </w:rPr>
        <w:t>It is harder to recruit expatriate staff to work in PNG, leading to higher personnel costs</w:t>
      </w:r>
      <w:r>
        <w:rPr>
          <w:rFonts w:cs="Arial"/>
          <w:lang w:val="en-US"/>
        </w:rPr>
        <w:t>; t</w:t>
      </w:r>
      <w:r w:rsidRPr="00105243">
        <w:rPr>
          <w:rFonts w:cs="Arial"/>
          <w:lang w:val="en-US"/>
        </w:rPr>
        <w:t>rainers in PNG work on a fly</w:t>
      </w:r>
      <w:r>
        <w:rPr>
          <w:rFonts w:cs="Arial"/>
          <w:lang w:val="en-US"/>
        </w:rPr>
        <w:t>-</w:t>
      </w:r>
      <w:r w:rsidRPr="00105243">
        <w:rPr>
          <w:rFonts w:cs="Arial"/>
          <w:lang w:val="en-US"/>
        </w:rPr>
        <w:t>in fly</w:t>
      </w:r>
      <w:r>
        <w:rPr>
          <w:rFonts w:cs="Arial"/>
          <w:lang w:val="en-US"/>
        </w:rPr>
        <w:t>-</w:t>
      </w:r>
      <w:r w:rsidRPr="00105243">
        <w:rPr>
          <w:rFonts w:cs="Arial"/>
          <w:lang w:val="en-US"/>
        </w:rPr>
        <w:t>out model, and they are provided with a higher remuneration package</w:t>
      </w:r>
      <w:r>
        <w:rPr>
          <w:rFonts w:cs="Arial"/>
          <w:lang w:val="en-US"/>
        </w:rPr>
        <w:t>, and m</w:t>
      </w:r>
      <w:r w:rsidRPr="00105243">
        <w:rPr>
          <w:rFonts w:cs="Arial"/>
          <w:lang w:val="en-US"/>
        </w:rPr>
        <w:t xml:space="preserve">anagement staff receive an accommodation allowance </w:t>
      </w:r>
      <w:r>
        <w:rPr>
          <w:rFonts w:cs="Arial"/>
          <w:lang w:val="en-US"/>
        </w:rPr>
        <w:t xml:space="preserve">($11 thousand per month) five times </w:t>
      </w:r>
      <w:r w:rsidRPr="00105243">
        <w:rPr>
          <w:rFonts w:cs="Arial"/>
          <w:lang w:val="en-US"/>
        </w:rPr>
        <w:t xml:space="preserve">greater than </w:t>
      </w:r>
      <w:r>
        <w:rPr>
          <w:rFonts w:cs="Arial"/>
          <w:lang w:val="en-US"/>
        </w:rPr>
        <w:t>staff in Fiji.</w:t>
      </w:r>
      <w:r w:rsidRPr="00105243">
        <w:rPr>
          <w:rFonts w:cs="Arial"/>
          <w:lang w:val="en-US"/>
        </w:rPr>
        <w:t xml:space="preserve"> Per student scholarships are also more, to cover higher lodging and local transportation costs. Finally, the most important </w:t>
      </w:r>
      <w:r>
        <w:rPr>
          <w:rFonts w:cs="Arial"/>
          <w:lang w:val="en-US"/>
        </w:rPr>
        <w:t xml:space="preserve">single </w:t>
      </w:r>
      <w:r w:rsidRPr="00105243">
        <w:rPr>
          <w:rFonts w:cs="Arial"/>
          <w:lang w:val="en-US"/>
        </w:rPr>
        <w:t>factor contributing to higher costs in PNG is the lower ratio of enrolments to fixed training costs. For example, in FY 2013/14 staff costs per student were twice as high in PNG (about $12 thousand) as in Fiji.</w:t>
      </w:r>
      <w:r>
        <w:rPr>
          <w:rFonts w:cs="Arial"/>
          <w:lang w:val="en-US"/>
        </w:rPr>
        <w:t xml:space="preserve"> </w:t>
      </w:r>
      <w:r w:rsidRPr="00105243">
        <w:rPr>
          <w:rFonts w:cs="Arial"/>
          <w:lang w:val="en-US"/>
        </w:rPr>
        <w:t xml:space="preserve">APTC </w:t>
      </w:r>
      <w:r>
        <w:rPr>
          <w:rFonts w:cs="Arial"/>
          <w:lang w:val="en-US"/>
        </w:rPr>
        <w:t xml:space="preserve">PNG </w:t>
      </w:r>
      <w:r w:rsidRPr="00105243">
        <w:rPr>
          <w:rFonts w:cs="Arial"/>
          <w:lang w:val="en-US"/>
        </w:rPr>
        <w:t xml:space="preserve">had </w:t>
      </w:r>
      <w:r>
        <w:rPr>
          <w:rFonts w:cs="Arial"/>
          <w:lang w:val="en-US"/>
        </w:rPr>
        <w:t xml:space="preserve">several months at the start of Stage II </w:t>
      </w:r>
      <w:r w:rsidRPr="00105243">
        <w:rPr>
          <w:rFonts w:cs="Arial"/>
          <w:lang w:val="en-US"/>
        </w:rPr>
        <w:t xml:space="preserve">without </w:t>
      </w:r>
      <w:r>
        <w:rPr>
          <w:rFonts w:cs="Arial"/>
          <w:lang w:val="en-US"/>
        </w:rPr>
        <w:t xml:space="preserve">any </w:t>
      </w:r>
      <w:r w:rsidRPr="00105243">
        <w:rPr>
          <w:rFonts w:cs="Arial"/>
          <w:lang w:val="en-US"/>
        </w:rPr>
        <w:t xml:space="preserve">trainers </w:t>
      </w:r>
      <w:r>
        <w:rPr>
          <w:rFonts w:cs="Arial"/>
          <w:lang w:val="en-US"/>
        </w:rPr>
        <w:t xml:space="preserve">in place </w:t>
      </w:r>
      <w:r w:rsidRPr="00105243">
        <w:rPr>
          <w:rFonts w:cs="Arial"/>
          <w:lang w:val="en-US"/>
        </w:rPr>
        <w:t>(</w:t>
      </w:r>
      <w:r>
        <w:rPr>
          <w:rFonts w:cs="Arial"/>
          <w:lang w:val="en-US"/>
        </w:rPr>
        <w:t xml:space="preserve">owing </w:t>
      </w:r>
      <w:r w:rsidRPr="00105243">
        <w:rPr>
          <w:rFonts w:cs="Arial"/>
          <w:lang w:val="en-US"/>
        </w:rPr>
        <w:t xml:space="preserve">to difficulty in sourcing) but </w:t>
      </w:r>
      <w:r>
        <w:rPr>
          <w:rFonts w:cs="Arial"/>
          <w:lang w:val="en-US"/>
        </w:rPr>
        <w:t xml:space="preserve">needed nonetheless to carry </w:t>
      </w:r>
      <w:r w:rsidRPr="00105243">
        <w:rPr>
          <w:rFonts w:cs="Arial"/>
          <w:lang w:val="en-US"/>
        </w:rPr>
        <w:t>the high cost of facility management.</w:t>
      </w:r>
      <w:r>
        <w:rPr>
          <w:rStyle w:val="FootnoteReference"/>
          <w:lang w:val="en-US"/>
        </w:rPr>
        <w:footnoteReference w:id="75"/>
      </w:r>
    </w:p>
    <w:p w14:paraId="6D3CD1A2" w14:textId="038EE201" w:rsidR="000913FE" w:rsidRDefault="000913FE" w:rsidP="000913FE">
      <w:pPr>
        <w:spacing w:before="360"/>
        <w:rPr>
          <w:rFonts w:cs="Arial"/>
          <w:noProof/>
        </w:rPr>
      </w:pPr>
      <w:r w:rsidRPr="008F0CCB">
        <w:rPr>
          <w:rFonts w:cs="Arial"/>
          <w:noProof/>
        </w:rPr>
        <w:t>Assuming that not much can be done to bring training costs at the PNG campus in line with those in the other four countires, a tempting recommendation for the future of APTC would be for training operations in PNG</w:t>
      </w:r>
      <w:r>
        <w:rPr>
          <w:rFonts w:cs="Arial"/>
          <w:noProof/>
        </w:rPr>
        <w:t xml:space="preserve"> to be phased out</w:t>
      </w:r>
      <w:r w:rsidRPr="008F0CCB">
        <w:rPr>
          <w:rFonts w:cs="Arial"/>
          <w:noProof/>
        </w:rPr>
        <w:t xml:space="preserve">. </w:t>
      </w:r>
      <w:r>
        <w:rPr>
          <w:rFonts w:cs="Arial"/>
          <w:noProof/>
        </w:rPr>
        <w:t xml:space="preserve">However, </w:t>
      </w:r>
      <w:r w:rsidRPr="008F0CCB">
        <w:rPr>
          <w:rFonts w:cs="Arial"/>
          <w:noProof/>
        </w:rPr>
        <w:t xml:space="preserve">PNG accounts for three-quarters of the region’s population (7.4 million out of 9.7 million – see </w:t>
      </w:r>
      <w:r>
        <w:rPr>
          <w:rFonts w:cs="Arial"/>
          <w:noProof/>
        </w:rPr>
        <w:t>F</w:t>
      </w:r>
      <w:r w:rsidRPr="007C2DF6">
        <w:rPr>
          <w:rFonts w:cs="Arial"/>
          <w:noProof/>
        </w:rPr>
        <w:t>igure 18</w:t>
      </w:r>
      <w:r w:rsidRPr="008F0CCB">
        <w:rPr>
          <w:rFonts w:cs="Arial"/>
          <w:noProof/>
        </w:rPr>
        <w:t>), so the cost-reducing impact of transferring training now offered in PNG to lower-cost training locations would be offset to some extent by the additional travel and subsistence costs for more PNG students having to go to Fiji, Samoa, Vanuatu and the Solomon Islands.</w:t>
      </w:r>
      <w:r w:rsidRPr="008F0CCB">
        <w:rPr>
          <w:rStyle w:val="FootnoteReference"/>
          <w:rFonts w:cs="Arial"/>
          <w:noProof/>
        </w:rPr>
        <w:footnoteReference w:id="76"/>
      </w:r>
      <w:r w:rsidRPr="008F0CCB">
        <w:rPr>
          <w:rFonts w:cs="Arial"/>
          <w:noProof/>
        </w:rPr>
        <w:t xml:space="preserve"> Also, the push-back from PNG in response to the loss of administrative and teaching jobs at APTC’s PNG campus (not to mention the loss of other benefits of APTC’s presence in the country, for example, the increased demand for housing and other commercial services</w:t>
      </w:r>
      <w:r>
        <w:rPr>
          <w:rFonts w:cs="Arial"/>
          <w:noProof/>
        </w:rPr>
        <w:t>, and disappointment on the part of some large firms in PNG that indicated to the review team their high level of satisfaction with the training offered by APTC in PNG</w:t>
      </w:r>
      <w:r w:rsidRPr="008F0CCB">
        <w:rPr>
          <w:rFonts w:cs="Arial"/>
          <w:noProof/>
        </w:rPr>
        <w:t>) would be considerable. Therefore, the idea of closing down PNG operations in any extension of APTC, is almost certainly a political non</w:t>
      </w:r>
      <w:r w:rsidR="003F1620">
        <w:rPr>
          <w:rFonts w:cs="Arial"/>
          <w:noProof/>
        </w:rPr>
        <w:t>-</w:t>
      </w:r>
      <w:r w:rsidRPr="008F0CCB">
        <w:rPr>
          <w:rFonts w:cs="Arial"/>
          <w:noProof/>
        </w:rPr>
        <w:t>starter</w:t>
      </w:r>
      <w:r>
        <w:rPr>
          <w:rFonts w:cs="Arial"/>
          <w:noProof/>
        </w:rPr>
        <w:t>.</w:t>
      </w:r>
    </w:p>
    <w:p w14:paraId="51432BF6" w14:textId="77777777" w:rsidR="000913FE" w:rsidRDefault="000913FE" w:rsidP="000913FE">
      <w:pPr>
        <w:pStyle w:val="Tableheading"/>
      </w:pPr>
      <w:bookmarkStart w:id="1022" w:name="_Toc272855472"/>
      <w:bookmarkStart w:id="1023" w:name="_Toc274915975"/>
      <w:bookmarkStart w:id="1024" w:name="_Toc278446954"/>
      <w:r>
        <w:t>Figure 18</w:t>
      </w:r>
      <w:r w:rsidRPr="00D33C93">
        <w:t>: Po</w:t>
      </w:r>
      <w:r>
        <w:t>p</w:t>
      </w:r>
      <w:r w:rsidRPr="00D33C93">
        <w:t>ulation (</w:t>
      </w:r>
      <w:r>
        <w:t xml:space="preserve">in </w:t>
      </w:r>
      <w:r w:rsidRPr="00D33C93">
        <w:t>thousands</w:t>
      </w:r>
      <w:r>
        <w:t xml:space="preserve">) </w:t>
      </w:r>
      <w:r w:rsidRPr="00D33C93">
        <w:t xml:space="preserve">of 14 Pacific Island </w:t>
      </w:r>
      <w:r>
        <w:t>c</w:t>
      </w:r>
      <w:r w:rsidRPr="00D33C93">
        <w:t>ountries</w:t>
      </w:r>
      <w:r>
        <w:t xml:space="preserve"> </w:t>
      </w:r>
      <w:r>
        <w:br/>
        <w:t>(</w:t>
      </w:r>
      <w:r w:rsidRPr="00D33C93">
        <w:t>total 9,716.0</w:t>
      </w:r>
      <w:r>
        <w:t xml:space="preserve"> thousand), </w:t>
      </w:r>
      <w:r w:rsidRPr="00D33C93">
        <w:t>2013 or latest available year</w:t>
      </w:r>
      <w:bookmarkEnd w:id="1022"/>
      <w:bookmarkEnd w:id="1023"/>
      <w:bookmarkEnd w:id="1024"/>
    </w:p>
    <w:p w14:paraId="18FA5CCD" w14:textId="77777777" w:rsidR="000913FE" w:rsidRDefault="000913FE" w:rsidP="000913FE">
      <w:pPr>
        <w:pStyle w:val="Tableheading"/>
      </w:pPr>
      <w:r>
        <w:rPr>
          <w:noProof/>
          <w:lang w:eastAsia="en-AU"/>
        </w:rPr>
        <w:drawing>
          <wp:inline distT="0" distB="0" distL="0" distR="0" wp14:anchorId="64EC6A8D" wp14:editId="5CC09BDB">
            <wp:extent cx="4864100" cy="2472267"/>
            <wp:effectExtent l="25400" t="0" r="0" b="0"/>
            <wp:docPr id="155"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7C6F58B" w14:textId="77777777" w:rsidR="000913FE" w:rsidRDefault="000913FE" w:rsidP="000913FE">
      <w:pPr>
        <w:spacing w:after="0"/>
        <w:rPr>
          <w:rFonts w:cs="Arial"/>
          <w:noProof/>
        </w:rPr>
      </w:pPr>
    </w:p>
    <w:p w14:paraId="06C6C3DF" w14:textId="15B156FE" w:rsidR="000913FE" w:rsidRDefault="00D1686C" w:rsidP="002028A6">
      <w:pPr>
        <w:pStyle w:val="Heading2"/>
      </w:pPr>
      <w:bookmarkStart w:id="1025" w:name="_Toc274295078"/>
      <w:bookmarkStart w:id="1026" w:name="_Toc274900582"/>
      <w:bookmarkStart w:id="1027" w:name="_Toc274909970"/>
      <w:bookmarkStart w:id="1028" w:name="_Toc278447991"/>
      <w:bookmarkStart w:id="1029" w:name="_Toc278453464"/>
      <w:r>
        <w:t>4.4</w:t>
      </w:r>
      <w:r>
        <w:tab/>
      </w:r>
      <w:r w:rsidR="000913FE" w:rsidRPr="008F0CCB">
        <w:t>Student</w:t>
      </w:r>
      <w:r w:rsidR="006C69ED">
        <w:t>–</w:t>
      </w:r>
      <w:r w:rsidR="000913FE" w:rsidRPr="008F0CCB">
        <w:t>teacher ratios, double-blocking and economies of scale</w:t>
      </w:r>
      <w:bookmarkEnd w:id="1025"/>
      <w:bookmarkEnd w:id="1026"/>
      <w:bookmarkEnd w:id="1027"/>
      <w:bookmarkEnd w:id="1028"/>
      <w:bookmarkEnd w:id="1029"/>
    </w:p>
    <w:p w14:paraId="1254E47B" w14:textId="66809EFE" w:rsidR="000913FE" w:rsidRPr="008F0CCB" w:rsidRDefault="000913FE" w:rsidP="000913FE">
      <w:pPr>
        <w:spacing w:before="120"/>
        <w:rPr>
          <w:rFonts w:cs="Arial"/>
        </w:rPr>
      </w:pPr>
      <w:r w:rsidRPr="008F0CCB">
        <w:rPr>
          <w:rFonts w:cs="Arial"/>
        </w:rPr>
        <w:t>A key driver of unit costs in any school or college is the student</w:t>
      </w:r>
      <w:r w:rsidR="003F3F67">
        <w:rPr>
          <w:rFonts w:cs="Arial"/>
        </w:rPr>
        <w:t>–</w:t>
      </w:r>
      <w:r w:rsidRPr="008F0CCB">
        <w:rPr>
          <w:rFonts w:cs="Arial"/>
        </w:rPr>
        <w:t>teacher ratio. Often, an easy way to reduce unit costs is to increase the number of students without increasing the number of teachers (or reduce the number of teachers without reducing the number of students). The scope for APTC to apply this strategy is constrained</w:t>
      </w:r>
      <w:r>
        <w:rPr>
          <w:rFonts w:cs="Arial"/>
        </w:rPr>
        <w:t>, however,</w:t>
      </w:r>
      <w:r w:rsidRPr="008F0CCB">
        <w:rPr>
          <w:rFonts w:cs="Arial"/>
        </w:rPr>
        <w:t xml:space="preserve"> by quality concerns, and also by safety considerations that limit the number of students in each student group (class), especially in courses that involve the use of potentially dangerous tools and machinery, as in many of STT’s training packages and some of SHCS’s programs (e.g., cookery).</w:t>
      </w:r>
    </w:p>
    <w:p w14:paraId="5DCE0B70" w14:textId="787426C9" w:rsidR="000913FE" w:rsidRDefault="000913FE" w:rsidP="000913FE">
      <w:pPr>
        <w:spacing w:before="120"/>
        <w:rPr>
          <w:rFonts w:cs="Arial"/>
        </w:rPr>
      </w:pPr>
      <w:r w:rsidRPr="008F0CCB">
        <w:rPr>
          <w:rFonts w:cs="Arial"/>
        </w:rPr>
        <w:t>APTC’s student</w:t>
      </w:r>
      <w:r w:rsidR="00553A9C">
        <w:rPr>
          <w:rFonts w:cs="Arial"/>
        </w:rPr>
        <w:t>–</w:t>
      </w:r>
      <w:r w:rsidRPr="008F0CCB">
        <w:rPr>
          <w:rFonts w:cs="Arial"/>
        </w:rPr>
        <w:t xml:space="preserve">teacher ratio has actually </w:t>
      </w:r>
      <w:r w:rsidRPr="008E5163">
        <w:rPr>
          <w:rFonts w:cs="Arial"/>
          <w:i/>
        </w:rPr>
        <w:t>fallen</w:t>
      </w:r>
      <w:r w:rsidRPr="008F0CCB">
        <w:rPr>
          <w:rFonts w:cs="Arial"/>
        </w:rPr>
        <w:t xml:space="preserve"> between Stages I and II, even though the ratio of students to trainers has risen (see </w:t>
      </w:r>
      <w:r>
        <w:rPr>
          <w:rFonts w:cs="Arial"/>
        </w:rPr>
        <w:t>F</w:t>
      </w:r>
      <w:r w:rsidRPr="007C2DF6">
        <w:rPr>
          <w:rFonts w:cs="Arial"/>
        </w:rPr>
        <w:t>igure 19</w:t>
      </w:r>
      <w:r w:rsidRPr="00A92021">
        <w:rPr>
          <w:rFonts w:cs="Arial"/>
        </w:rPr>
        <w:t>).</w:t>
      </w:r>
      <w:r w:rsidRPr="007C2DF6">
        <w:rPr>
          <w:rFonts w:cs="Arial"/>
        </w:rPr>
        <w:t xml:space="preserve"> The explanation for this paradox is the College’s increased use of tutors (</w:t>
      </w:r>
      <w:r>
        <w:rPr>
          <w:rFonts w:cs="Arial"/>
        </w:rPr>
        <w:t>F</w:t>
      </w:r>
      <w:r w:rsidRPr="007C2DF6">
        <w:rPr>
          <w:rFonts w:cs="Arial"/>
        </w:rPr>
        <w:t>igure 20</w:t>
      </w:r>
      <w:r w:rsidRPr="00A92021">
        <w:rPr>
          <w:rFonts w:cs="Arial"/>
        </w:rPr>
        <w:t>).</w:t>
      </w:r>
      <w:r w:rsidRPr="008F0CCB">
        <w:rPr>
          <w:rFonts w:cs="Arial"/>
        </w:rPr>
        <w:t xml:space="preserve"> The introduction of tutors, all of whom are Pacific Islanders and less expensive than trainers, most of whom, to date, have been Australian or other expatriates, was part of a strategy to reduce unit costs in </w:t>
      </w:r>
      <w:r>
        <w:rPr>
          <w:rFonts w:cs="Arial"/>
        </w:rPr>
        <w:t xml:space="preserve">the </w:t>
      </w:r>
      <w:r w:rsidRPr="008F0CCB">
        <w:rPr>
          <w:rFonts w:cs="Arial"/>
        </w:rPr>
        <w:t>long run, by replacing Australian trainers with national trainers as the national tutors qualify for promotion. In the interim, however, the addition of tutors actually adds to operational cost given that most training (according to APTC management) does not need to be staffed by both a trainer and a tutor. In Stage I, the same courses were usually staffed by one trainer alone.</w:t>
      </w:r>
    </w:p>
    <w:p w14:paraId="4499AFD6" w14:textId="1B00F624" w:rsidR="000913FE" w:rsidRDefault="000913FE" w:rsidP="000913FE">
      <w:pPr>
        <w:pStyle w:val="Tableheading"/>
      </w:pPr>
      <w:bookmarkStart w:id="1030" w:name="_Toc272855473"/>
      <w:bookmarkStart w:id="1031" w:name="_Toc274915976"/>
      <w:bookmarkStart w:id="1032" w:name="_Toc278446955"/>
      <w:r w:rsidRPr="00F2211B">
        <w:t xml:space="preserve">Figure </w:t>
      </w:r>
      <w:r>
        <w:t>19</w:t>
      </w:r>
      <w:r w:rsidRPr="00F2211B">
        <w:t>: Student</w:t>
      </w:r>
      <w:r>
        <w:t>–</w:t>
      </w:r>
      <w:r w:rsidRPr="00F2211B">
        <w:t>teacher and student</w:t>
      </w:r>
      <w:r>
        <w:t>–</w:t>
      </w:r>
      <w:r w:rsidRPr="00F2211B">
        <w:t>trainer ratios, Stages I and II</w:t>
      </w:r>
      <w:bookmarkEnd w:id="1030"/>
      <w:bookmarkEnd w:id="1031"/>
      <w:bookmarkEnd w:id="1032"/>
    </w:p>
    <w:p w14:paraId="56FB9103" w14:textId="77777777" w:rsidR="000913FE" w:rsidRDefault="000913FE" w:rsidP="000913FE">
      <w:pPr>
        <w:spacing w:after="0"/>
        <w:rPr>
          <w:rFonts w:cs="Arial"/>
        </w:rPr>
      </w:pPr>
      <w:r>
        <w:rPr>
          <w:noProof/>
          <w:lang w:eastAsia="en-AU"/>
        </w:rPr>
        <w:drawing>
          <wp:inline distT="0" distB="0" distL="0" distR="0" wp14:anchorId="64280B54" wp14:editId="6F478F7F">
            <wp:extent cx="3366770" cy="2025650"/>
            <wp:effectExtent l="25400" t="0" r="11430"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3366770" cy="2025650"/>
                    </a:xfrm>
                    <a:prstGeom prst="rect">
                      <a:avLst/>
                    </a:prstGeom>
                    <a:noFill/>
                    <a:ln w="9525">
                      <a:noFill/>
                      <a:miter lim="800000"/>
                      <a:headEnd/>
                      <a:tailEnd/>
                    </a:ln>
                  </pic:spPr>
                </pic:pic>
              </a:graphicData>
            </a:graphic>
          </wp:inline>
        </w:drawing>
      </w:r>
    </w:p>
    <w:p w14:paraId="0BF70BFD" w14:textId="77777777" w:rsidR="000913FE" w:rsidRPr="00B01DC4" w:rsidRDefault="000913FE" w:rsidP="000913FE">
      <w:pPr>
        <w:spacing w:after="0"/>
        <w:rPr>
          <w:rFonts w:cs="Arial"/>
          <w:sz w:val="16"/>
          <w:szCs w:val="20"/>
        </w:rPr>
      </w:pPr>
      <w:r w:rsidRPr="007C2DF6">
        <w:rPr>
          <w:rFonts w:cs="Arial"/>
          <w:sz w:val="16"/>
          <w:szCs w:val="20"/>
        </w:rPr>
        <w:t>So</w:t>
      </w:r>
      <w:r>
        <w:rPr>
          <w:rFonts w:cs="Arial"/>
          <w:sz w:val="16"/>
          <w:szCs w:val="20"/>
        </w:rPr>
        <w:t>urce: Appendix Tables A.20 – A.21</w:t>
      </w:r>
    </w:p>
    <w:p w14:paraId="1F93B1F8" w14:textId="77777777" w:rsidR="000913FE" w:rsidRDefault="000913FE" w:rsidP="000913FE">
      <w:pPr>
        <w:pStyle w:val="Tableheading"/>
      </w:pPr>
      <w:bookmarkStart w:id="1033" w:name="_Toc272855474"/>
      <w:bookmarkStart w:id="1034" w:name="_Toc274915977"/>
      <w:bookmarkStart w:id="1035" w:name="_Toc278446956"/>
      <w:r>
        <w:t>Figure 20</w:t>
      </w:r>
      <w:r w:rsidRPr="00F2211B">
        <w:t>: Average numbers of</w:t>
      </w:r>
      <w:r>
        <w:t xml:space="preserve"> s</w:t>
      </w:r>
      <w:r w:rsidRPr="00F2211B">
        <w:t xml:space="preserve">tudents, trainers, and tutors </w:t>
      </w:r>
      <w:r>
        <w:br/>
      </w:r>
      <w:r w:rsidRPr="00F2211B">
        <w:t>per semester, Stages I and II</w:t>
      </w:r>
      <w:bookmarkEnd w:id="1033"/>
      <w:bookmarkEnd w:id="1034"/>
      <w:bookmarkEnd w:id="1035"/>
    </w:p>
    <w:p w14:paraId="001F2E65" w14:textId="77777777" w:rsidR="000913FE" w:rsidRDefault="000913FE" w:rsidP="000913FE">
      <w:pPr>
        <w:spacing w:after="0"/>
        <w:rPr>
          <w:rFonts w:cs="Arial"/>
        </w:rPr>
      </w:pPr>
      <w:r>
        <w:rPr>
          <w:noProof/>
          <w:lang w:eastAsia="en-AU"/>
        </w:rPr>
        <w:drawing>
          <wp:inline distT="0" distB="0" distL="0" distR="0" wp14:anchorId="2758F040" wp14:editId="1A059D7F">
            <wp:extent cx="3060700" cy="2374900"/>
            <wp:effectExtent l="25400" t="0" r="0" b="0"/>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srcRect/>
                    <a:stretch>
                      <a:fillRect/>
                    </a:stretch>
                  </pic:blipFill>
                  <pic:spPr bwMode="auto">
                    <a:xfrm>
                      <a:off x="0" y="0"/>
                      <a:ext cx="3060700" cy="2374900"/>
                    </a:xfrm>
                    <a:prstGeom prst="rect">
                      <a:avLst/>
                    </a:prstGeom>
                    <a:noFill/>
                    <a:ln w="9525">
                      <a:noFill/>
                      <a:miter lim="800000"/>
                      <a:headEnd/>
                      <a:tailEnd/>
                    </a:ln>
                  </pic:spPr>
                </pic:pic>
              </a:graphicData>
            </a:graphic>
          </wp:inline>
        </w:drawing>
      </w:r>
    </w:p>
    <w:p w14:paraId="47438E1D" w14:textId="77777777" w:rsidR="000913FE" w:rsidRPr="00B01DC4"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ables A.20</w:t>
      </w:r>
      <w:r>
        <w:rPr>
          <w:rFonts w:cs="Arial"/>
          <w:sz w:val="16"/>
          <w:szCs w:val="20"/>
        </w:rPr>
        <w:t xml:space="preserve"> – </w:t>
      </w:r>
      <w:r w:rsidRPr="007C2DF6">
        <w:rPr>
          <w:rFonts w:cs="Arial"/>
          <w:sz w:val="16"/>
          <w:szCs w:val="20"/>
        </w:rPr>
        <w:t>A</w:t>
      </w:r>
      <w:r>
        <w:rPr>
          <w:rFonts w:cs="Arial"/>
          <w:sz w:val="16"/>
          <w:szCs w:val="20"/>
        </w:rPr>
        <w:t>.21</w:t>
      </w:r>
    </w:p>
    <w:p w14:paraId="05AFDBF0" w14:textId="77777777" w:rsidR="000913FE" w:rsidRPr="00090A78" w:rsidRDefault="000913FE" w:rsidP="000913FE">
      <w:pPr>
        <w:spacing w:after="0"/>
        <w:rPr>
          <w:rFonts w:cs="Arial"/>
        </w:rPr>
      </w:pPr>
    </w:p>
    <w:p w14:paraId="4695292E" w14:textId="7AECF8CD" w:rsidR="000913FE" w:rsidRPr="008F0CCB" w:rsidRDefault="000913FE" w:rsidP="000913FE">
      <w:pPr>
        <w:spacing w:before="120"/>
        <w:rPr>
          <w:rFonts w:cs="Arial"/>
        </w:rPr>
      </w:pPr>
      <w:r w:rsidRPr="008F0CCB">
        <w:rPr>
          <w:rFonts w:cs="Arial"/>
        </w:rPr>
        <w:t xml:space="preserve">One way by which APTC </w:t>
      </w:r>
      <w:r w:rsidRPr="00E33DBF">
        <w:rPr>
          <w:rFonts w:cs="Arial"/>
          <w:i/>
        </w:rPr>
        <w:t>has</w:t>
      </w:r>
      <w:r w:rsidRPr="008F0CCB">
        <w:rPr>
          <w:rFonts w:cs="Arial"/>
        </w:rPr>
        <w:t xml:space="preserve"> managed to reduce unit costs in some training locations is by running two (or more) offerings in the same subject area (not necessarily the same qualifications or competencies) at the same time. This has been referred to as double</w:t>
      </w:r>
      <w:r w:rsidR="00553A9C">
        <w:rPr>
          <w:rFonts w:cs="Arial"/>
        </w:rPr>
        <w:t>-</w:t>
      </w:r>
      <w:r w:rsidRPr="008F0CCB">
        <w:rPr>
          <w:rFonts w:cs="Arial"/>
        </w:rPr>
        <w:t>blocking, and it results in cost savings if it can be done with three staff (one trainer and two tutors) for two course offerings, while most single blocks in Stage II have been implemented with two staff (one trainer and one tutor) for one course offering. This approach has been piloted in Suva</w:t>
      </w:r>
      <w:r>
        <w:rPr>
          <w:rFonts w:cs="Arial"/>
        </w:rPr>
        <w:t>,</w:t>
      </w:r>
      <w:r w:rsidRPr="008F0CCB">
        <w:rPr>
          <w:rFonts w:cs="Arial"/>
        </w:rPr>
        <w:t xml:space="preserve"> in carpentry and building (the construction, plumbing and services training package), diesel fitting (metal and engineering training package), and automotive, and it has recently been introduced also in Samoa. While double</w:t>
      </w:r>
      <w:r w:rsidR="00553A9C">
        <w:rPr>
          <w:rFonts w:cs="Arial"/>
        </w:rPr>
        <w:t>-</w:t>
      </w:r>
      <w:r w:rsidRPr="008F0CCB">
        <w:rPr>
          <w:rFonts w:cs="Arial"/>
        </w:rPr>
        <w:t xml:space="preserve">blocking is certainly a way of reducing costs, the review team </w:t>
      </w:r>
      <w:r>
        <w:rPr>
          <w:rFonts w:cs="Arial"/>
        </w:rPr>
        <w:t xml:space="preserve">heard </w:t>
      </w:r>
      <w:r w:rsidRPr="008F0CCB">
        <w:rPr>
          <w:rFonts w:cs="Arial"/>
        </w:rPr>
        <w:t xml:space="preserve">from some expatriate trainers that the practice imposes increased levels of stress on trainers </w:t>
      </w:r>
      <w:r>
        <w:rPr>
          <w:rFonts w:cs="Arial"/>
        </w:rPr>
        <w:t xml:space="preserve">now </w:t>
      </w:r>
      <w:r w:rsidRPr="008F0CCB">
        <w:rPr>
          <w:rFonts w:cs="Arial"/>
        </w:rPr>
        <w:t>responsible for simultaneous courses and for overseeing two</w:t>
      </w:r>
      <w:r w:rsidR="00553A9C">
        <w:rPr>
          <w:rFonts w:cs="Arial"/>
        </w:rPr>
        <w:t>,</w:t>
      </w:r>
      <w:r w:rsidRPr="008F0CCB">
        <w:rPr>
          <w:rFonts w:cs="Arial"/>
        </w:rPr>
        <w:t xml:space="preserve"> rather than just one</w:t>
      </w:r>
      <w:r w:rsidR="00553A9C">
        <w:rPr>
          <w:rFonts w:cs="Arial"/>
        </w:rPr>
        <w:t>,</w:t>
      </w:r>
      <w:r w:rsidRPr="008F0CCB">
        <w:rPr>
          <w:rFonts w:cs="Arial"/>
        </w:rPr>
        <w:t xml:space="preserve"> tutor. With the promotion of the first national tutors to trainer status in 2013, where</w:t>
      </w:r>
      <w:r>
        <w:rPr>
          <w:rFonts w:cs="Arial"/>
        </w:rPr>
        <w:t>ver</w:t>
      </w:r>
      <w:r w:rsidRPr="008F0CCB">
        <w:rPr>
          <w:rFonts w:cs="Arial"/>
        </w:rPr>
        <w:t xml:space="preserve"> double</w:t>
      </w:r>
      <w:r w:rsidR="00553A9C">
        <w:rPr>
          <w:rFonts w:cs="Arial"/>
        </w:rPr>
        <w:t>-</w:t>
      </w:r>
      <w:r w:rsidRPr="008F0CCB">
        <w:rPr>
          <w:rFonts w:cs="Arial"/>
        </w:rPr>
        <w:t xml:space="preserve">blocking is in existence, </w:t>
      </w:r>
      <w:r>
        <w:rPr>
          <w:rFonts w:cs="Arial"/>
        </w:rPr>
        <w:t xml:space="preserve">this </w:t>
      </w:r>
      <w:r w:rsidRPr="008F0CCB">
        <w:rPr>
          <w:rFonts w:cs="Arial"/>
        </w:rPr>
        <w:t>practice has been continued with two trainers (two national trainers, or one expatriate and one national) and with one or no tutors, resulting in even greater cost savings because of the salary difference between expatriate and national trainers.</w:t>
      </w:r>
    </w:p>
    <w:p w14:paraId="63599CE1" w14:textId="1D2C6BC9" w:rsidR="000913FE" w:rsidRDefault="000913FE" w:rsidP="000913FE">
      <w:pPr>
        <w:spacing w:before="120" w:after="0"/>
        <w:rPr>
          <w:rFonts w:cs="Arial"/>
        </w:rPr>
      </w:pPr>
      <w:r w:rsidRPr="008F0CCB">
        <w:rPr>
          <w:rFonts w:cs="Arial"/>
        </w:rPr>
        <w:t>Looking to the future, APTC might try to increase double</w:t>
      </w:r>
      <w:r w:rsidR="00676422">
        <w:rPr>
          <w:rFonts w:cs="Arial"/>
        </w:rPr>
        <w:t>-</w:t>
      </w:r>
      <w:r w:rsidRPr="008F0CCB">
        <w:rPr>
          <w:rFonts w:cs="Arial"/>
        </w:rPr>
        <w:t xml:space="preserve">blocking possibilities by having the five campus countries specialise in smaller numbers of training packages. Up to this point, each of the five training locations </w:t>
      </w:r>
      <w:r>
        <w:rPr>
          <w:rFonts w:cs="Arial"/>
        </w:rPr>
        <w:t>may</w:t>
      </w:r>
      <w:r w:rsidRPr="008F0CCB">
        <w:rPr>
          <w:rFonts w:cs="Arial"/>
        </w:rPr>
        <w:t xml:space="preserve">, in effect, </w:t>
      </w:r>
      <w:r>
        <w:rPr>
          <w:rFonts w:cs="Arial"/>
        </w:rPr>
        <w:t xml:space="preserve">have </w:t>
      </w:r>
      <w:r w:rsidRPr="008F0CCB">
        <w:rPr>
          <w:rFonts w:cs="Arial"/>
        </w:rPr>
        <w:t xml:space="preserve">been doing too little of too many different things. </w:t>
      </w:r>
      <w:r w:rsidRPr="007C2DF6">
        <w:rPr>
          <w:rFonts w:cs="Arial"/>
        </w:rPr>
        <w:t>Figure 21</w:t>
      </w:r>
      <w:r w:rsidRPr="008F0CCB">
        <w:rPr>
          <w:rFonts w:cs="Arial"/>
        </w:rPr>
        <w:t xml:space="preserve"> shows that Fiji, in the first half of 2014, offered courses in 10 of the 11 training packages offered by APTC across all five locations – all of the packages except for health (HLT). Samoa and PNG offer courses in seven and six of the 11 training packages, respectively. </w:t>
      </w:r>
    </w:p>
    <w:p w14:paraId="7FE45567" w14:textId="14373DF7" w:rsidR="000913FE" w:rsidRDefault="000913FE" w:rsidP="000913FE">
      <w:pPr>
        <w:pStyle w:val="Tableheading"/>
      </w:pPr>
      <w:bookmarkStart w:id="1036" w:name="_Toc272855475"/>
      <w:bookmarkStart w:id="1037" w:name="_Toc274915978"/>
      <w:bookmarkStart w:id="1038" w:name="_Toc278446957"/>
      <w:r>
        <w:t>Figure 21</w:t>
      </w:r>
      <w:r w:rsidRPr="00091468">
        <w:t xml:space="preserve">: Number of training </w:t>
      </w:r>
      <w:r>
        <w:t xml:space="preserve">packages </w:t>
      </w:r>
      <w:r w:rsidRPr="00091468">
        <w:t>offe</w:t>
      </w:r>
      <w:r>
        <w:t xml:space="preserve">red by the five </w:t>
      </w:r>
      <w:r w:rsidR="00676422">
        <w:br/>
        <w:t xml:space="preserve">training locations, </w:t>
      </w:r>
      <w:r>
        <w:t>Jan</w:t>
      </w:r>
      <w:r w:rsidRPr="00091468">
        <w:t>uary</w:t>
      </w:r>
      <w:r>
        <w:t xml:space="preserve"> – </w:t>
      </w:r>
      <w:r w:rsidRPr="00091468">
        <w:t>June 2014</w:t>
      </w:r>
      <w:bookmarkEnd w:id="1036"/>
      <w:bookmarkEnd w:id="1037"/>
      <w:bookmarkEnd w:id="1038"/>
    </w:p>
    <w:p w14:paraId="75AD3F4F" w14:textId="77777777" w:rsidR="000913FE" w:rsidRDefault="000913FE" w:rsidP="000913FE">
      <w:pPr>
        <w:spacing w:after="0"/>
        <w:rPr>
          <w:rFonts w:cs="Arial"/>
        </w:rPr>
      </w:pPr>
      <w:r>
        <w:rPr>
          <w:noProof/>
          <w:lang w:eastAsia="en-AU"/>
        </w:rPr>
        <w:drawing>
          <wp:inline distT="0" distB="0" distL="0" distR="0" wp14:anchorId="6477C73C" wp14:editId="6223282E">
            <wp:extent cx="3672840" cy="2209800"/>
            <wp:effectExtent l="25400" t="0" r="10160" b="0"/>
            <wp:docPr id="3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srcRect/>
                    <a:stretch>
                      <a:fillRect/>
                    </a:stretch>
                  </pic:blipFill>
                  <pic:spPr bwMode="auto">
                    <a:xfrm>
                      <a:off x="0" y="0"/>
                      <a:ext cx="3672840" cy="2209800"/>
                    </a:xfrm>
                    <a:prstGeom prst="rect">
                      <a:avLst/>
                    </a:prstGeom>
                    <a:noFill/>
                    <a:ln w="9525">
                      <a:noFill/>
                      <a:miter lim="800000"/>
                      <a:headEnd/>
                      <a:tailEnd/>
                    </a:ln>
                  </pic:spPr>
                </pic:pic>
              </a:graphicData>
            </a:graphic>
          </wp:inline>
        </w:drawing>
      </w:r>
    </w:p>
    <w:p w14:paraId="1262B350" w14:textId="77777777" w:rsidR="000913FE" w:rsidRPr="00410BF5" w:rsidRDefault="000913FE" w:rsidP="000913FE">
      <w:pPr>
        <w:spacing w:after="0"/>
        <w:rPr>
          <w:rFonts w:cs="Arial"/>
          <w:sz w:val="16"/>
          <w:szCs w:val="20"/>
        </w:rPr>
      </w:pPr>
      <w:r>
        <w:rPr>
          <w:rFonts w:cs="Arial"/>
          <w:sz w:val="16"/>
          <w:szCs w:val="20"/>
        </w:rPr>
        <w:t>Source: Appendix Table A.22</w:t>
      </w:r>
    </w:p>
    <w:p w14:paraId="6F85B00B" w14:textId="77777777" w:rsidR="000913FE" w:rsidRPr="008F0CCB" w:rsidRDefault="000913FE" w:rsidP="000913FE">
      <w:pPr>
        <w:spacing w:before="120" w:after="0"/>
        <w:rPr>
          <w:rFonts w:cs="Arial"/>
        </w:rPr>
      </w:pPr>
    </w:p>
    <w:p w14:paraId="76BF87BC" w14:textId="6A0ABA8A" w:rsidR="000913FE" w:rsidRDefault="000913FE" w:rsidP="000913FE">
      <w:pPr>
        <w:spacing w:before="120" w:after="0"/>
        <w:rPr>
          <w:rFonts w:cs="Arial"/>
        </w:rPr>
      </w:pPr>
      <w:r w:rsidRPr="007C2DF6">
        <w:rPr>
          <w:rFonts w:cs="Arial"/>
        </w:rPr>
        <w:t>Figure 22</w:t>
      </w:r>
      <w:r w:rsidRPr="008F0CCB">
        <w:rPr>
          <w:rFonts w:cs="Arial"/>
        </w:rPr>
        <w:t xml:space="preserve"> shows where courses in the 11 training packages were offered in the first half of 2014. Construction, plumbing </w:t>
      </w:r>
      <w:r w:rsidR="007006B7">
        <w:rPr>
          <w:rFonts w:cs="Arial"/>
        </w:rPr>
        <w:t>and</w:t>
      </w:r>
      <w:r w:rsidR="007006B7" w:rsidRPr="008F0CCB">
        <w:rPr>
          <w:rFonts w:cs="Arial"/>
        </w:rPr>
        <w:t xml:space="preserve"> </w:t>
      </w:r>
      <w:r w:rsidRPr="008F0CCB">
        <w:rPr>
          <w:rFonts w:cs="Arial"/>
        </w:rPr>
        <w:t xml:space="preserve">services courses were offered in all five locations (actually, carpentry </w:t>
      </w:r>
      <w:r>
        <w:rPr>
          <w:rFonts w:cs="Arial"/>
        </w:rPr>
        <w:t>and</w:t>
      </w:r>
      <w:r w:rsidRPr="008F0CCB">
        <w:rPr>
          <w:rFonts w:cs="Arial"/>
        </w:rPr>
        <w:t xml:space="preserve"> building in all five, </w:t>
      </w:r>
      <w:r>
        <w:rPr>
          <w:rFonts w:cs="Arial"/>
        </w:rPr>
        <w:t xml:space="preserve">and </w:t>
      </w:r>
      <w:r w:rsidRPr="008F0CCB">
        <w:rPr>
          <w:rFonts w:cs="Arial"/>
        </w:rPr>
        <w:t>plumbing</w:t>
      </w:r>
      <w:r>
        <w:rPr>
          <w:rFonts w:cs="Arial"/>
        </w:rPr>
        <w:t xml:space="preserve"> and</w:t>
      </w:r>
      <w:r w:rsidRPr="008F0CCB">
        <w:rPr>
          <w:rFonts w:cs="Arial"/>
        </w:rPr>
        <w:t xml:space="preserve"> tiling</w:t>
      </w:r>
      <w:r>
        <w:rPr>
          <w:rFonts w:cs="Arial"/>
        </w:rPr>
        <w:t xml:space="preserve"> </w:t>
      </w:r>
      <w:r w:rsidRPr="008F0CCB">
        <w:rPr>
          <w:rFonts w:cs="Arial"/>
        </w:rPr>
        <w:t xml:space="preserve">and painting </w:t>
      </w:r>
      <w:r>
        <w:rPr>
          <w:rFonts w:cs="Arial"/>
        </w:rPr>
        <w:t>and</w:t>
      </w:r>
      <w:r w:rsidRPr="008F0CCB">
        <w:rPr>
          <w:rFonts w:cs="Arial"/>
        </w:rPr>
        <w:t xml:space="preserve"> decorating in </w:t>
      </w:r>
      <w:r>
        <w:rPr>
          <w:rFonts w:cs="Arial"/>
        </w:rPr>
        <w:t xml:space="preserve">only </w:t>
      </w:r>
      <w:r w:rsidRPr="008F0CCB">
        <w:rPr>
          <w:rFonts w:cs="Arial"/>
        </w:rPr>
        <w:t xml:space="preserve">one location each). Tourism, hospitality </w:t>
      </w:r>
      <w:r w:rsidR="00F50799">
        <w:rPr>
          <w:rFonts w:cs="Arial"/>
        </w:rPr>
        <w:t>and</w:t>
      </w:r>
      <w:r w:rsidR="00F50799" w:rsidRPr="008F0CCB">
        <w:rPr>
          <w:rFonts w:cs="Arial"/>
        </w:rPr>
        <w:t xml:space="preserve"> </w:t>
      </w:r>
      <w:r w:rsidRPr="008F0CCB">
        <w:rPr>
          <w:rFonts w:cs="Arial"/>
        </w:rPr>
        <w:t xml:space="preserve">events courses were offered in four of the five locations (hospitality </w:t>
      </w:r>
      <w:r w:rsidR="00F50799">
        <w:rPr>
          <w:rFonts w:cs="Arial"/>
        </w:rPr>
        <w:t>and</w:t>
      </w:r>
      <w:r w:rsidR="00F50799" w:rsidRPr="008F0CCB">
        <w:rPr>
          <w:rFonts w:cs="Arial"/>
        </w:rPr>
        <w:t xml:space="preserve"> </w:t>
      </w:r>
      <w:r w:rsidRPr="008F0CCB">
        <w:rPr>
          <w:rFonts w:cs="Arial"/>
        </w:rPr>
        <w:t xml:space="preserve">tourism in all four, and cookery in three of the four). The question is whether costs could be further reduced by closing programs in some countries and enlarging the number of students in </w:t>
      </w:r>
      <w:r>
        <w:rPr>
          <w:rFonts w:cs="Arial"/>
        </w:rPr>
        <w:t xml:space="preserve">those </w:t>
      </w:r>
      <w:r w:rsidRPr="008F0CCB">
        <w:rPr>
          <w:rFonts w:cs="Arial"/>
        </w:rPr>
        <w:t>programs in the other countries.</w:t>
      </w:r>
      <w:r>
        <w:rPr>
          <w:rStyle w:val="FootnoteReference"/>
          <w:rFonts w:cs="Arial"/>
        </w:rPr>
        <w:footnoteReference w:id="77"/>
      </w:r>
      <w:r>
        <w:rPr>
          <w:rFonts w:cs="Arial"/>
        </w:rPr>
        <w:t xml:space="preserve"> </w:t>
      </w:r>
    </w:p>
    <w:p w14:paraId="2CC72D4F" w14:textId="77777777" w:rsidR="000913FE" w:rsidRDefault="000913FE" w:rsidP="000913FE">
      <w:pPr>
        <w:pStyle w:val="Tableheading"/>
      </w:pPr>
      <w:bookmarkStart w:id="1039" w:name="_Toc272855476"/>
      <w:r>
        <w:br w:type="page"/>
      </w:r>
      <w:bookmarkStart w:id="1040" w:name="_Toc274915979"/>
      <w:bookmarkStart w:id="1041" w:name="_Toc278446958"/>
      <w:r>
        <w:t>Figure 22</w:t>
      </w:r>
      <w:r w:rsidRPr="00091468">
        <w:t xml:space="preserve">: Number of training locations offering courses in </w:t>
      </w:r>
      <w:r>
        <w:br/>
      </w:r>
      <w:r w:rsidRPr="00091468">
        <w:t>different training packages, January</w:t>
      </w:r>
      <w:r>
        <w:t xml:space="preserve"> – </w:t>
      </w:r>
      <w:r w:rsidRPr="00091468">
        <w:t>June 2014</w:t>
      </w:r>
      <w:bookmarkEnd w:id="1039"/>
      <w:bookmarkEnd w:id="1040"/>
      <w:bookmarkEnd w:id="1041"/>
    </w:p>
    <w:p w14:paraId="70220CD5" w14:textId="77777777" w:rsidR="000913FE" w:rsidRDefault="000913FE" w:rsidP="000913FE">
      <w:pPr>
        <w:spacing w:after="0"/>
        <w:rPr>
          <w:rFonts w:cs="Arial"/>
        </w:rPr>
      </w:pPr>
      <w:r>
        <w:rPr>
          <w:noProof/>
          <w:lang w:eastAsia="en-AU"/>
        </w:rPr>
        <w:drawing>
          <wp:inline distT="0" distB="0" distL="0" distR="0" wp14:anchorId="79C94F50" wp14:editId="2620FAF4">
            <wp:extent cx="4276090" cy="2569210"/>
            <wp:effectExtent l="0" t="0" r="0" b="0"/>
            <wp:docPr id="3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srcRect/>
                    <a:stretch>
                      <a:fillRect/>
                    </a:stretch>
                  </pic:blipFill>
                  <pic:spPr bwMode="auto">
                    <a:xfrm>
                      <a:off x="0" y="0"/>
                      <a:ext cx="4276090" cy="2569210"/>
                    </a:xfrm>
                    <a:prstGeom prst="rect">
                      <a:avLst/>
                    </a:prstGeom>
                    <a:noFill/>
                    <a:ln w="9525">
                      <a:noFill/>
                      <a:miter lim="800000"/>
                      <a:headEnd/>
                      <a:tailEnd/>
                    </a:ln>
                  </pic:spPr>
                </pic:pic>
              </a:graphicData>
            </a:graphic>
          </wp:inline>
        </w:drawing>
      </w:r>
    </w:p>
    <w:p w14:paraId="65533F1D" w14:textId="77777777" w:rsidR="000913FE" w:rsidRPr="00000C34" w:rsidRDefault="000913FE" w:rsidP="000913FE">
      <w:pPr>
        <w:spacing w:after="0"/>
        <w:rPr>
          <w:rFonts w:cs="Arial"/>
          <w:sz w:val="16"/>
          <w:szCs w:val="20"/>
        </w:rPr>
      </w:pPr>
      <w:r w:rsidRPr="007C2DF6">
        <w:rPr>
          <w:rFonts w:cs="Arial"/>
          <w:sz w:val="16"/>
          <w:szCs w:val="20"/>
        </w:rPr>
        <w:t xml:space="preserve">Source: </w:t>
      </w:r>
      <w:r>
        <w:rPr>
          <w:rFonts w:cs="Arial"/>
          <w:sz w:val="16"/>
          <w:szCs w:val="20"/>
        </w:rPr>
        <w:t>Appendix Table A.22</w:t>
      </w:r>
    </w:p>
    <w:p w14:paraId="45A91F90" w14:textId="228439A4" w:rsidR="000913FE" w:rsidRPr="008F0CCB" w:rsidRDefault="000913FE" w:rsidP="000913FE">
      <w:pPr>
        <w:spacing w:before="120" w:after="0"/>
        <w:rPr>
          <w:rFonts w:cs="Arial"/>
        </w:rPr>
      </w:pPr>
      <w:r w:rsidRPr="008F0CCB">
        <w:rPr>
          <w:rFonts w:cs="Arial"/>
        </w:rPr>
        <w:t xml:space="preserve">It is worth noting, however, that when APTC decided </w:t>
      </w:r>
      <w:r w:rsidRPr="005B328F">
        <w:rPr>
          <w:rFonts w:cs="Arial"/>
        </w:rPr>
        <w:t>in 2013 t</w:t>
      </w:r>
      <w:r w:rsidRPr="008F0CCB">
        <w:rPr>
          <w:rFonts w:cs="Arial"/>
        </w:rPr>
        <w:t xml:space="preserve">o rest the automotive program in Samoa, in effect moving it to PNG, where a market analysis showed relatively higher demand for automotive graduates than in Samoa following six years of automotive training there, this led to </w:t>
      </w:r>
      <w:r>
        <w:rPr>
          <w:rFonts w:cs="Arial"/>
        </w:rPr>
        <w:t>an outcry of protest</w:t>
      </w:r>
      <w:r w:rsidRPr="008F0CCB">
        <w:rPr>
          <w:rFonts w:cs="Arial"/>
        </w:rPr>
        <w:t xml:space="preserve"> from Samoan stakeholders and politicians who viewed it as a kind of national betrayal. This demonstrates that annual or biennial fine</w:t>
      </w:r>
      <w:r w:rsidR="00F672A7">
        <w:rPr>
          <w:rFonts w:cs="Arial"/>
        </w:rPr>
        <w:t>-</w:t>
      </w:r>
      <w:r w:rsidRPr="008F0CCB">
        <w:rPr>
          <w:rFonts w:cs="Arial"/>
        </w:rPr>
        <w:t>tuning of training offerings may be politically difficult for APTC to achieve.</w:t>
      </w:r>
    </w:p>
    <w:p w14:paraId="042CC3F6" w14:textId="5C7FA0CA" w:rsidR="000913FE" w:rsidRDefault="00D1686C" w:rsidP="002028A6">
      <w:pPr>
        <w:pStyle w:val="Heading2"/>
      </w:pPr>
      <w:bookmarkStart w:id="1042" w:name="_Toc274295079"/>
      <w:bookmarkStart w:id="1043" w:name="_Toc274900583"/>
      <w:bookmarkStart w:id="1044" w:name="_Toc274909971"/>
      <w:bookmarkStart w:id="1045" w:name="_Toc278447992"/>
      <w:bookmarkStart w:id="1046" w:name="_Toc278453465"/>
      <w:r>
        <w:t>4.5</w:t>
      </w:r>
      <w:r>
        <w:tab/>
      </w:r>
      <w:r w:rsidR="000913FE" w:rsidRPr="008F0CCB">
        <w:t>Nationalisat</w:t>
      </w:r>
      <w:r w:rsidR="000913FE">
        <w:t>i</w:t>
      </w:r>
      <w:r w:rsidR="000913FE" w:rsidRPr="008F0CCB">
        <w:t>on of APTC staff</w:t>
      </w:r>
      <w:bookmarkEnd w:id="1042"/>
      <w:bookmarkEnd w:id="1043"/>
      <w:bookmarkEnd w:id="1044"/>
      <w:bookmarkEnd w:id="1045"/>
      <w:bookmarkEnd w:id="1046"/>
    </w:p>
    <w:p w14:paraId="44667661" w14:textId="67E3FF79" w:rsidR="000913FE" w:rsidRPr="008F0CCB" w:rsidRDefault="000913FE" w:rsidP="000913FE">
      <w:pPr>
        <w:spacing w:before="120"/>
        <w:rPr>
          <w:rFonts w:cs="Arial"/>
        </w:rPr>
      </w:pPr>
      <w:r w:rsidRPr="008F0CCB">
        <w:rPr>
          <w:rFonts w:cs="Arial"/>
        </w:rPr>
        <w:t xml:space="preserve">APTC’s high unit costs can be attributed to a range of factors, including: (1) the high quality of the training that APTC provides (widely acknowledged, even by most critics of the College); (2) the dispersed population of the region (making potential economies of scale difficult to achieve); and (3) the region’s poverty (as well as Australia’s generosity), which has led to the current situation wherein scholarships (awarded to offset student travel and living expenses – costs that are incidental to the training </w:t>
      </w:r>
      <w:r w:rsidRPr="008F0CCB">
        <w:rPr>
          <w:rFonts w:cs="Arial"/>
          <w:i/>
        </w:rPr>
        <w:t>per se</w:t>
      </w:r>
      <w:r w:rsidRPr="008F0CCB">
        <w:rPr>
          <w:rFonts w:cs="Arial"/>
        </w:rPr>
        <w:t xml:space="preserve"> and not included, at least to the same degree, in the budgets of most other training institutions) amount to a significant fraction of APTC’s total cost (9.5 per cent in Stage I and 15.2 per cent in Stage II). These </w:t>
      </w:r>
      <w:r>
        <w:rPr>
          <w:rFonts w:cs="Arial"/>
        </w:rPr>
        <w:t xml:space="preserve">three </w:t>
      </w:r>
      <w:r w:rsidRPr="008F0CCB">
        <w:rPr>
          <w:rFonts w:cs="Arial"/>
        </w:rPr>
        <w:t xml:space="preserve">factors </w:t>
      </w:r>
      <w:r>
        <w:rPr>
          <w:rFonts w:cs="Arial"/>
        </w:rPr>
        <w:t xml:space="preserve">are ones </w:t>
      </w:r>
      <w:r w:rsidRPr="008F0CCB">
        <w:rPr>
          <w:rFonts w:cs="Arial"/>
        </w:rPr>
        <w:t xml:space="preserve">that the College and its stakeholders </w:t>
      </w:r>
      <w:r>
        <w:rPr>
          <w:rFonts w:cs="Arial"/>
        </w:rPr>
        <w:t xml:space="preserve">either </w:t>
      </w:r>
      <w:r w:rsidRPr="008F0CCB">
        <w:rPr>
          <w:rFonts w:cs="Arial"/>
        </w:rPr>
        <w:t xml:space="preserve">do not wish to change (the quality of training) or are powerless to address (the region’s dispersed population and current poverty). </w:t>
      </w:r>
      <w:r>
        <w:rPr>
          <w:rFonts w:cs="Arial"/>
        </w:rPr>
        <w:t xml:space="preserve">A fourth </w:t>
      </w:r>
      <w:r w:rsidRPr="008F0CCB">
        <w:rPr>
          <w:rFonts w:cs="Arial"/>
        </w:rPr>
        <w:t>factor</w:t>
      </w:r>
      <w:r>
        <w:rPr>
          <w:rFonts w:cs="Arial"/>
        </w:rPr>
        <w:t xml:space="preserve"> </w:t>
      </w:r>
      <w:r w:rsidRPr="008F0CCB">
        <w:rPr>
          <w:rFonts w:cs="Arial"/>
        </w:rPr>
        <w:t xml:space="preserve">related to APTC’s high costs, however, </w:t>
      </w:r>
      <w:r>
        <w:rPr>
          <w:rFonts w:cs="Arial"/>
        </w:rPr>
        <w:t xml:space="preserve">which </w:t>
      </w:r>
      <w:r w:rsidRPr="008F0CCB">
        <w:rPr>
          <w:rFonts w:cs="Arial"/>
          <w:i/>
        </w:rPr>
        <w:t>can</w:t>
      </w:r>
      <w:r w:rsidRPr="008F0CCB">
        <w:rPr>
          <w:rFonts w:cs="Arial"/>
        </w:rPr>
        <w:t xml:space="preserve"> be addressed and </w:t>
      </w:r>
      <w:r>
        <w:rPr>
          <w:rFonts w:cs="Arial"/>
        </w:rPr>
        <w:t xml:space="preserve">which </w:t>
      </w:r>
      <w:r w:rsidRPr="008F0CCB">
        <w:rPr>
          <w:rFonts w:cs="Arial"/>
        </w:rPr>
        <w:t xml:space="preserve">the College </w:t>
      </w:r>
      <w:r w:rsidRPr="008F0CCB">
        <w:rPr>
          <w:rFonts w:cs="Arial"/>
          <w:i/>
        </w:rPr>
        <w:t>plans</w:t>
      </w:r>
      <w:r w:rsidRPr="008F0CCB">
        <w:rPr>
          <w:rFonts w:cs="Arial"/>
        </w:rPr>
        <w:t xml:space="preserve"> to address (APTC 2013a) is its heavy reliance in </w:t>
      </w:r>
      <w:r w:rsidR="00FF57D4">
        <w:rPr>
          <w:rFonts w:cs="Arial"/>
        </w:rPr>
        <w:t xml:space="preserve">Stages I and II on Australians </w:t>
      </w:r>
      <w:r w:rsidRPr="008F0CCB">
        <w:rPr>
          <w:rFonts w:cs="Arial"/>
        </w:rPr>
        <w:t>and other</w:t>
      </w:r>
      <w:r>
        <w:rPr>
          <w:rFonts w:cs="Arial"/>
        </w:rPr>
        <w:t xml:space="preserve"> </w:t>
      </w:r>
      <w:r w:rsidR="00FF57D4">
        <w:rPr>
          <w:rFonts w:cs="Arial"/>
        </w:rPr>
        <w:t>high-cost expatriates</w:t>
      </w:r>
      <w:r w:rsidRPr="008F0CCB">
        <w:rPr>
          <w:rFonts w:cs="Arial"/>
        </w:rPr>
        <w:t xml:space="preserve"> to fill key administrative and teaching positions, in particular the positions of managers and trainers. </w:t>
      </w:r>
    </w:p>
    <w:p w14:paraId="29D8420E" w14:textId="6758C2AD" w:rsidR="000913FE" w:rsidRDefault="000913FE" w:rsidP="000913FE">
      <w:pPr>
        <w:spacing w:before="120"/>
        <w:rPr>
          <w:rFonts w:cs="Arial"/>
        </w:rPr>
      </w:pPr>
      <w:r w:rsidRPr="008F0CCB">
        <w:rPr>
          <w:rFonts w:cs="Arial"/>
        </w:rPr>
        <w:t>APTC’s nationalisation strategy includes three objectives (APTC 2013a, p.</w:t>
      </w:r>
      <w:r w:rsidR="00ED271A">
        <w:rPr>
          <w:rFonts w:cs="Arial"/>
        </w:rPr>
        <w:t xml:space="preserve"> </w:t>
      </w:r>
      <w:r w:rsidRPr="008F0CCB">
        <w:rPr>
          <w:rFonts w:cs="Arial"/>
        </w:rPr>
        <w:t xml:space="preserve">2): </w:t>
      </w:r>
      <w:r w:rsidR="00ED271A">
        <w:rPr>
          <w:rFonts w:cs="Arial"/>
        </w:rPr>
        <w:br/>
      </w:r>
      <w:r w:rsidRPr="008F0CCB">
        <w:rPr>
          <w:rFonts w:cs="Arial"/>
        </w:rPr>
        <w:t xml:space="preserve">(1) to maximise the strategic value of national employees (recruitment); </w:t>
      </w:r>
      <w:r w:rsidR="00ED271A">
        <w:rPr>
          <w:rFonts w:cs="Arial"/>
        </w:rPr>
        <w:br/>
      </w:r>
      <w:r w:rsidRPr="008F0CCB">
        <w:rPr>
          <w:rFonts w:cs="Arial"/>
        </w:rPr>
        <w:t xml:space="preserve">(2) to develop the strategic value of national employment (training and career planning); and (3) to contribute to the capability development of TVET institutions in the Pacific (partnerships and workplace opportunities for the staff of the partner institutions). While less specific in terms of the targets for management positions, the College’s 2013 strategy set an explicit target of having </w:t>
      </w:r>
      <w:r w:rsidR="00D421C4">
        <w:rPr>
          <w:rFonts w:cs="Arial"/>
        </w:rPr>
        <w:t>‘</w:t>
      </w:r>
      <w:r w:rsidRPr="008F0CCB">
        <w:rPr>
          <w:rFonts w:cs="Arial"/>
        </w:rPr>
        <w:t>one national trainer for every six expatriate trainers by the end of 2014</w:t>
      </w:r>
      <w:r w:rsidR="00D421C4">
        <w:rPr>
          <w:rFonts w:cs="Arial"/>
        </w:rPr>
        <w:t>’</w:t>
      </w:r>
      <w:r w:rsidR="00D421C4" w:rsidRPr="008F0CCB">
        <w:rPr>
          <w:rFonts w:cs="Arial"/>
        </w:rPr>
        <w:t xml:space="preserve"> </w:t>
      </w:r>
      <w:r w:rsidRPr="008F0CCB">
        <w:rPr>
          <w:rFonts w:cs="Arial"/>
        </w:rPr>
        <w:t>(ibid., p. 4)</w:t>
      </w:r>
      <w:r>
        <w:rPr>
          <w:rFonts w:cs="Arial"/>
        </w:rPr>
        <w:t xml:space="preserve"> – </w:t>
      </w:r>
      <w:r w:rsidRPr="008F0CCB">
        <w:rPr>
          <w:rFonts w:cs="Arial"/>
        </w:rPr>
        <w:t xml:space="preserve">in other words, having one out of every seven trainer positions filled by a Pacific Islander. When the fieldwork for this review began in June 2014, this target for the number of national trainers was far from </w:t>
      </w:r>
      <w:r>
        <w:rPr>
          <w:rFonts w:cs="Arial"/>
        </w:rPr>
        <w:t xml:space="preserve">having been </w:t>
      </w:r>
      <w:r w:rsidRPr="008F0CCB">
        <w:rPr>
          <w:rFonts w:cs="Arial"/>
        </w:rPr>
        <w:t>met (only two national trainers), but two months later, by the end of July, the target had been surpassed</w:t>
      </w:r>
      <w:r>
        <w:rPr>
          <w:rFonts w:cs="Arial"/>
        </w:rPr>
        <w:t xml:space="preserve"> – </w:t>
      </w:r>
      <w:r w:rsidRPr="008F0CCB">
        <w:rPr>
          <w:rFonts w:cs="Arial"/>
        </w:rPr>
        <w:t xml:space="preserve">with one out of five trainer positions nationalised as shown in </w:t>
      </w:r>
      <w:r>
        <w:rPr>
          <w:rFonts w:cs="Arial"/>
        </w:rPr>
        <w:t>F</w:t>
      </w:r>
      <w:r w:rsidRPr="007C2DF6">
        <w:rPr>
          <w:rFonts w:cs="Arial"/>
        </w:rPr>
        <w:t>igure 23</w:t>
      </w:r>
      <w:r w:rsidRPr="00A92021">
        <w:rPr>
          <w:rFonts w:cs="Arial"/>
        </w:rPr>
        <w:t>.</w:t>
      </w:r>
      <w:r w:rsidRPr="008F0CCB">
        <w:rPr>
          <w:rFonts w:cs="Arial"/>
        </w:rPr>
        <w:t xml:space="preserve"> By that date, only one out of seven </w:t>
      </w:r>
      <w:r w:rsidRPr="00E33DBF">
        <w:rPr>
          <w:rFonts w:cs="Arial"/>
        </w:rPr>
        <w:t>management</w:t>
      </w:r>
      <w:r w:rsidRPr="008F0CCB">
        <w:rPr>
          <w:rFonts w:cs="Arial"/>
        </w:rPr>
        <w:t xml:space="preserve"> positions was filled by a Pacific Islander, but Pacific Islanders filled most (105 out of 116) of the positions in the </w:t>
      </w:r>
      <w:r w:rsidRPr="00E33DBF">
        <w:rPr>
          <w:rFonts w:cs="Arial"/>
        </w:rPr>
        <w:t>other three categories</w:t>
      </w:r>
      <w:r>
        <w:rPr>
          <w:rFonts w:cs="Arial"/>
        </w:rPr>
        <w:t xml:space="preserve"> in F</w:t>
      </w:r>
      <w:r w:rsidRPr="005B328F">
        <w:rPr>
          <w:rFonts w:cs="Arial"/>
        </w:rPr>
        <w:t>igure 23</w:t>
      </w:r>
      <w:r>
        <w:rPr>
          <w:rFonts w:cs="Arial"/>
        </w:rPr>
        <w:t>.</w:t>
      </w:r>
    </w:p>
    <w:p w14:paraId="686ACC41" w14:textId="77777777" w:rsidR="000913FE" w:rsidRDefault="000913FE" w:rsidP="000913FE">
      <w:pPr>
        <w:pStyle w:val="Tableheading"/>
      </w:pPr>
      <w:bookmarkStart w:id="1047" w:name="_Toc272855477"/>
      <w:bookmarkStart w:id="1048" w:name="_Toc274915980"/>
      <w:bookmarkStart w:id="1049" w:name="_Toc278446959"/>
      <w:r w:rsidRPr="00973C2F">
        <w:t>Figure 2</w:t>
      </w:r>
      <w:r>
        <w:t>3: APTC staff by nationality (Pacific Island</w:t>
      </w:r>
      <w:r w:rsidRPr="00973C2F">
        <w:t xml:space="preserve"> nationals and expatriates) </w:t>
      </w:r>
      <w:r>
        <w:br/>
        <w:t xml:space="preserve">and by </w:t>
      </w:r>
      <w:r w:rsidRPr="00973C2F">
        <w:t>position category as of 31 July 2014</w:t>
      </w:r>
      <w:r>
        <w:t xml:space="preserve"> (total staff 186)</w:t>
      </w:r>
      <w:bookmarkEnd w:id="1047"/>
      <w:bookmarkEnd w:id="1048"/>
      <w:bookmarkEnd w:id="1049"/>
    </w:p>
    <w:p w14:paraId="642ACA27" w14:textId="77777777" w:rsidR="000913FE" w:rsidRDefault="000913FE" w:rsidP="000913FE">
      <w:pPr>
        <w:spacing w:after="0"/>
        <w:rPr>
          <w:rFonts w:cs="Arial"/>
        </w:rPr>
      </w:pPr>
      <w:r>
        <w:rPr>
          <w:noProof/>
          <w:lang w:eastAsia="en-AU"/>
        </w:rPr>
        <w:drawing>
          <wp:inline distT="0" distB="0" distL="0" distR="0" wp14:anchorId="58546FDD" wp14:editId="3A544BF3">
            <wp:extent cx="3672840" cy="2209800"/>
            <wp:effectExtent l="25400" t="0" r="10160" b="0"/>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3672840" cy="2209800"/>
                    </a:xfrm>
                    <a:prstGeom prst="rect">
                      <a:avLst/>
                    </a:prstGeom>
                    <a:noFill/>
                    <a:ln w="9525">
                      <a:noFill/>
                      <a:miter lim="800000"/>
                      <a:headEnd/>
                      <a:tailEnd/>
                    </a:ln>
                  </pic:spPr>
                </pic:pic>
              </a:graphicData>
            </a:graphic>
          </wp:inline>
        </w:drawing>
      </w:r>
    </w:p>
    <w:p w14:paraId="589A33A0" w14:textId="77777777" w:rsidR="000913FE" w:rsidRPr="00387408" w:rsidRDefault="000913FE" w:rsidP="000913FE">
      <w:pPr>
        <w:spacing w:after="0"/>
        <w:rPr>
          <w:rFonts w:cs="Arial"/>
          <w:sz w:val="16"/>
          <w:szCs w:val="20"/>
        </w:rPr>
      </w:pPr>
      <w:r>
        <w:rPr>
          <w:rFonts w:cs="Arial"/>
          <w:sz w:val="16"/>
          <w:szCs w:val="20"/>
        </w:rPr>
        <w:t>Source: Appendix Table A.23</w:t>
      </w:r>
    </w:p>
    <w:p w14:paraId="2EBB6BD3" w14:textId="77777777" w:rsidR="000913FE" w:rsidRPr="00090A78" w:rsidRDefault="000913FE" w:rsidP="000913FE">
      <w:pPr>
        <w:spacing w:after="0"/>
        <w:rPr>
          <w:rFonts w:cs="Arial"/>
        </w:rPr>
      </w:pPr>
    </w:p>
    <w:p w14:paraId="67244A4D" w14:textId="27E518FE" w:rsidR="000913FE" w:rsidRDefault="000913FE" w:rsidP="000913FE">
      <w:pPr>
        <w:spacing w:before="120"/>
        <w:rPr>
          <w:rFonts w:cs="Arial"/>
        </w:rPr>
      </w:pPr>
      <w:r w:rsidRPr="008F0CCB">
        <w:rPr>
          <w:rFonts w:cs="Arial"/>
        </w:rPr>
        <w:t>To estimate the impact of nationalisation on APTC costs over time (between July 2014 and July 201</w:t>
      </w:r>
      <w:r w:rsidR="00073E34">
        <w:rPr>
          <w:rFonts w:cs="Arial"/>
        </w:rPr>
        <w:t>5</w:t>
      </w:r>
      <w:r w:rsidRPr="008F0CCB">
        <w:rPr>
          <w:rFonts w:cs="Arial"/>
        </w:rPr>
        <w:t xml:space="preserve"> – the end of Stage II, and then, assuming there will be an extension of APTC funding, by July 2019 – the end of Stage III), the review team attempted first to break down APTC’s personnel costs during FY 2013/14 (approximately $15 million; see </w:t>
      </w:r>
      <w:r>
        <w:rPr>
          <w:rFonts w:cs="Arial"/>
        </w:rPr>
        <w:t>A</w:t>
      </w:r>
      <w:r w:rsidRPr="008F0CCB">
        <w:rPr>
          <w:rFonts w:cs="Arial"/>
        </w:rPr>
        <w:t xml:space="preserve">ppendix </w:t>
      </w:r>
      <w:r>
        <w:rPr>
          <w:rFonts w:cs="Arial"/>
        </w:rPr>
        <w:t>T</w:t>
      </w:r>
      <w:r w:rsidRPr="008F0CCB">
        <w:rPr>
          <w:rFonts w:cs="Arial"/>
        </w:rPr>
        <w:t xml:space="preserve">ables A.8 and A.9) by nationality (expatriates and Pacific Island nationals), location (Australia and APTC’s five campus countries), and compensation category (base salaries and the various benefits received by expatriate and national staff). </w:t>
      </w:r>
      <w:r>
        <w:rPr>
          <w:rFonts w:cs="Arial"/>
        </w:rPr>
        <w:t>T</w:t>
      </w:r>
      <w:r w:rsidRPr="008F0CCB">
        <w:rPr>
          <w:rFonts w:cs="Arial"/>
        </w:rPr>
        <w:t>able 2</w:t>
      </w:r>
      <w:r>
        <w:rPr>
          <w:rFonts w:cs="Arial"/>
        </w:rPr>
        <w:t xml:space="preserve"> (a copy of Appendix Table A.24) </w:t>
      </w:r>
      <w:r w:rsidRPr="008F0CCB">
        <w:rPr>
          <w:rFonts w:cs="Arial"/>
        </w:rPr>
        <w:t>shows the results of the team’s (</w:t>
      </w:r>
      <w:r>
        <w:rPr>
          <w:rFonts w:cs="Arial"/>
        </w:rPr>
        <w:t xml:space="preserve">admittedly </w:t>
      </w:r>
      <w:r w:rsidRPr="008F0CCB">
        <w:rPr>
          <w:rFonts w:cs="Arial"/>
        </w:rPr>
        <w:t>crude) analysis. The base salary amount</w:t>
      </w:r>
      <w:r w:rsidR="00ED271A">
        <w:rPr>
          <w:rFonts w:cs="Arial"/>
        </w:rPr>
        <w:t xml:space="preserve">s are derived from information </w:t>
      </w:r>
      <w:r w:rsidRPr="008F0CCB">
        <w:rPr>
          <w:rFonts w:cs="Arial"/>
        </w:rPr>
        <w:t>obtained from</w:t>
      </w:r>
      <w:r w:rsidR="00ED271A">
        <w:rPr>
          <w:rFonts w:cs="Arial"/>
        </w:rPr>
        <w:t xml:space="preserve"> APTC’s Human Resources Manager</w:t>
      </w:r>
      <w:r w:rsidRPr="008F0CCB">
        <w:rPr>
          <w:rFonts w:cs="Arial"/>
        </w:rPr>
        <w:t xml:space="preserve"> on base salary rates (</w:t>
      </w:r>
      <w:r>
        <w:rPr>
          <w:rFonts w:cs="Arial"/>
        </w:rPr>
        <w:t>A</w:t>
      </w:r>
      <w:r w:rsidRPr="008F0CCB">
        <w:rPr>
          <w:rFonts w:cs="Arial"/>
        </w:rPr>
        <w:t xml:space="preserve">ppendix </w:t>
      </w:r>
      <w:r>
        <w:rPr>
          <w:rFonts w:cs="Arial"/>
        </w:rPr>
        <w:t>T</w:t>
      </w:r>
      <w:r w:rsidRPr="008F0CCB">
        <w:rPr>
          <w:rFonts w:cs="Arial"/>
        </w:rPr>
        <w:t>able A.25) and on the number of staff in each position/location/nationality category (</w:t>
      </w:r>
      <w:r>
        <w:rPr>
          <w:rFonts w:cs="Arial"/>
        </w:rPr>
        <w:t>A</w:t>
      </w:r>
      <w:r w:rsidRPr="008F0CCB">
        <w:rPr>
          <w:rFonts w:cs="Arial"/>
        </w:rPr>
        <w:t xml:space="preserve">ppendix </w:t>
      </w:r>
      <w:r>
        <w:rPr>
          <w:rFonts w:cs="Arial"/>
        </w:rPr>
        <w:t>T</w:t>
      </w:r>
      <w:r w:rsidRPr="008F0CCB">
        <w:rPr>
          <w:rFonts w:cs="Arial"/>
        </w:rPr>
        <w:t xml:space="preserve">able A.23). </w:t>
      </w:r>
    </w:p>
    <w:p w14:paraId="76436534" w14:textId="6DEBCDC4" w:rsidR="000913FE" w:rsidRDefault="000913FE" w:rsidP="000913FE">
      <w:pPr>
        <w:pStyle w:val="Tableheading"/>
      </w:pPr>
      <w:bookmarkStart w:id="1050" w:name="_Toc272855478"/>
      <w:bookmarkStart w:id="1051" w:name="_Toc274915981"/>
      <w:bookmarkStart w:id="1052" w:name="_Toc278446960"/>
      <w:r w:rsidRPr="008F0CCB">
        <w:t xml:space="preserve">Table 2: Approximate annual compensation (base salaries and benefits), </w:t>
      </w:r>
      <w:r w:rsidR="00FF700A">
        <w:br/>
      </w:r>
      <w:r w:rsidR="00BB7B59">
        <w:t>APTC staff as of 31 July</w:t>
      </w:r>
      <w:r w:rsidRPr="008F0CCB">
        <w:t xml:space="preserve"> 2014 (AUD)</w:t>
      </w:r>
      <w:bookmarkEnd w:id="1050"/>
      <w:bookmarkEnd w:id="1051"/>
      <w:bookmarkEnd w:id="1052"/>
    </w:p>
    <w:p w14:paraId="128E780D" w14:textId="77777777" w:rsidR="000913FE" w:rsidRPr="008F0CCB" w:rsidRDefault="000913FE" w:rsidP="000913FE">
      <w:pPr>
        <w:rPr>
          <w:rFonts w:cs="Arial"/>
        </w:rPr>
      </w:pPr>
      <w:r w:rsidRPr="008F0CCB">
        <w:rPr>
          <w:noProof/>
          <w:lang w:eastAsia="en-AU"/>
        </w:rPr>
        <w:drawing>
          <wp:inline distT="0" distB="0" distL="0" distR="0" wp14:anchorId="4EF27AE0" wp14:editId="71F154FD">
            <wp:extent cx="5489575" cy="1816100"/>
            <wp:effectExtent l="0" t="0" r="0" b="12700"/>
            <wp:docPr id="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5489575" cy="1816100"/>
                    </a:xfrm>
                    <a:prstGeom prst="rect">
                      <a:avLst/>
                    </a:prstGeom>
                    <a:noFill/>
                    <a:ln w="9525">
                      <a:noFill/>
                      <a:miter lim="800000"/>
                      <a:headEnd/>
                      <a:tailEnd/>
                    </a:ln>
                  </pic:spPr>
                </pic:pic>
              </a:graphicData>
            </a:graphic>
          </wp:inline>
        </w:drawing>
      </w:r>
    </w:p>
    <w:p w14:paraId="7EA03D72" w14:textId="6F8D1A8A" w:rsidR="000913FE" w:rsidRPr="00A6239B" w:rsidRDefault="000913FE" w:rsidP="00A6239B">
      <w:r>
        <w:br w:type="page"/>
      </w:r>
      <w:r w:rsidRPr="00681873">
        <w:t>The benefit amounts are derived from rough coefficients estimated by the review team from the breakdown of personnel expenditure in FY 2013/14 (</w:t>
      </w:r>
      <w:r w:rsidRPr="00681C5C">
        <w:t xml:space="preserve">Appendix </w:t>
      </w:r>
      <w:r w:rsidRPr="00A6239B">
        <w:t>Tables A8 and A.9), which are then applied to the base salaries of staff in each of the location/</w:t>
      </w:r>
      <w:r w:rsidR="006228F8">
        <w:t xml:space="preserve"> </w:t>
      </w:r>
      <w:r w:rsidRPr="00A6239B">
        <w:t>nationality categories. The coefficients as estimated by the review team are shown in Table 3.</w:t>
      </w:r>
    </w:p>
    <w:p w14:paraId="64623D7E" w14:textId="77777777" w:rsidR="000913FE" w:rsidRDefault="000913FE" w:rsidP="000913FE">
      <w:pPr>
        <w:pStyle w:val="Tableheading"/>
      </w:pPr>
      <w:bookmarkStart w:id="1053" w:name="_Toc272855479"/>
      <w:bookmarkStart w:id="1054" w:name="_Toc274915982"/>
      <w:bookmarkStart w:id="1055" w:name="_Toc278446961"/>
      <w:r w:rsidRPr="008F0CCB">
        <w:t>Table 3: Coefficients used by review team to estimate approximate benefits</w:t>
      </w:r>
      <w:bookmarkEnd w:id="1053"/>
      <w:bookmarkEnd w:id="1054"/>
      <w:bookmarkEnd w:id="1055"/>
    </w:p>
    <w:p w14:paraId="27DDE703" w14:textId="77777777" w:rsidR="000913FE" w:rsidRPr="008F0CCB" w:rsidRDefault="000913FE" w:rsidP="000913FE">
      <w:pPr>
        <w:rPr>
          <w:rFonts w:cs="Arial"/>
        </w:rPr>
      </w:pPr>
      <w:r w:rsidRPr="008F0CCB">
        <w:rPr>
          <w:noProof/>
          <w:lang w:eastAsia="en-AU"/>
        </w:rPr>
        <w:drawing>
          <wp:inline distT="0" distB="0" distL="0" distR="0" wp14:anchorId="642B2574" wp14:editId="390A62FD">
            <wp:extent cx="5144008" cy="1665478"/>
            <wp:effectExtent l="0" t="0" r="0" b="11430"/>
            <wp:docPr id="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a:stretch>
                      <a:fillRect/>
                    </a:stretch>
                  </pic:blipFill>
                  <pic:spPr bwMode="auto">
                    <a:xfrm>
                      <a:off x="0" y="0"/>
                      <a:ext cx="5144008" cy="1665478"/>
                    </a:xfrm>
                    <a:prstGeom prst="rect">
                      <a:avLst/>
                    </a:prstGeom>
                    <a:noFill/>
                    <a:ln w="9525">
                      <a:noFill/>
                      <a:miter lim="800000"/>
                      <a:headEnd/>
                      <a:tailEnd/>
                    </a:ln>
                  </pic:spPr>
                </pic:pic>
              </a:graphicData>
            </a:graphic>
          </wp:inline>
        </w:drawing>
      </w:r>
    </w:p>
    <w:p w14:paraId="06F42893" w14:textId="77777777" w:rsidR="000913FE" w:rsidRDefault="000913FE" w:rsidP="000913FE">
      <w:pPr>
        <w:spacing w:before="120"/>
        <w:rPr>
          <w:rFonts w:cs="Arial"/>
        </w:rPr>
      </w:pPr>
      <w:r w:rsidRPr="008F0CCB">
        <w:rPr>
          <w:rFonts w:cs="Arial"/>
        </w:rPr>
        <w:t xml:space="preserve">The Australian Tax Office (ATO) exempts Australian nationals working abroad from paying taxes at home (and the Pacific Island countries benefiting from APTC do not subject them to income taxes either). Although not shown on APTC’s books, the tax exemption amounts to a cost borne by other Australians and should be considered as an additional cost of Australia’s support of APTC. The taxes foregone by ATO have been estimated by the review team based on the applicable marginal tax rates in FY 2013/14. The rates are shown in </w:t>
      </w:r>
      <w:r>
        <w:rPr>
          <w:rFonts w:cs="Arial"/>
        </w:rPr>
        <w:t>T</w:t>
      </w:r>
      <w:r w:rsidRPr="008F0CCB">
        <w:rPr>
          <w:rFonts w:cs="Arial"/>
        </w:rPr>
        <w:t>able 4.</w:t>
      </w:r>
    </w:p>
    <w:p w14:paraId="5FC531A5" w14:textId="77777777" w:rsidR="000913FE" w:rsidRDefault="000913FE" w:rsidP="000913FE">
      <w:pPr>
        <w:pStyle w:val="Tableheading"/>
      </w:pPr>
      <w:bookmarkStart w:id="1056" w:name="_Toc272855480"/>
      <w:bookmarkStart w:id="1057" w:name="_Toc274915983"/>
      <w:bookmarkStart w:id="1058" w:name="_Toc278446962"/>
      <w:r w:rsidRPr="00CA26BB">
        <w:t>Table 4: Australian income tax rates for FY 2013/2014</w:t>
      </w:r>
      <w:bookmarkEnd w:id="1056"/>
      <w:bookmarkEnd w:id="1057"/>
      <w:bookmarkEnd w:id="1058"/>
    </w:p>
    <w:p w14:paraId="2B0E6128" w14:textId="77777777" w:rsidR="000913FE" w:rsidRPr="00090A78" w:rsidRDefault="000913FE" w:rsidP="000913FE">
      <w:pPr>
        <w:spacing w:after="0"/>
        <w:rPr>
          <w:rFonts w:cs="Arial"/>
        </w:rPr>
      </w:pPr>
      <w:r>
        <w:rPr>
          <w:noProof/>
          <w:lang w:eastAsia="en-AU"/>
        </w:rPr>
        <w:drawing>
          <wp:inline distT="0" distB="0" distL="0" distR="0" wp14:anchorId="10B5E19B" wp14:editId="2C9CA012">
            <wp:extent cx="2295525" cy="1533525"/>
            <wp:effectExtent l="19050" t="0" r="9525" b="0"/>
            <wp:docPr id="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srcRect/>
                    <a:stretch>
                      <a:fillRect/>
                    </a:stretch>
                  </pic:blipFill>
                  <pic:spPr bwMode="auto">
                    <a:xfrm>
                      <a:off x="0" y="0"/>
                      <a:ext cx="2295525" cy="1533525"/>
                    </a:xfrm>
                    <a:prstGeom prst="rect">
                      <a:avLst/>
                    </a:prstGeom>
                    <a:noFill/>
                    <a:ln w="9525">
                      <a:noFill/>
                      <a:miter lim="800000"/>
                      <a:headEnd/>
                      <a:tailEnd/>
                    </a:ln>
                  </pic:spPr>
                </pic:pic>
              </a:graphicData>
            </a:graphic>
          </wp:inline>
        </w:drawing>
      </w:r>
    </w:p>
    <w:p w14:paraId="61B209AE" w14:textId="77777777" w:rsidR="000913FE" w:rsidRPr="008F0CCB" w:rsidRDefault="000913FE" w:rsidP="000913FE">
      <w:pPr>
        <w:spacing w:before="120"/>
        <w:rPr>
          <w:rFonts w:cs="Arial"/>
        </w:rPr>
      </w:pPr>
    </w:p>
    <w:p w14:paraId="062A435D" w14:textId="134023C9" w:rsidR="000913FE" w:rsidRDefault="000913FE" w:rsidP="000913FE">
      <w:pPr>
        <w:spacing w:before="120"/>
        <w:rPr>
          <w:rFonts w:cs="Arial"/>
        </w:rPr>
      </w:pPr>
      <w:r w:rsidRPr="008F0CCB">
        <w:rPr>
          <w:rFonts w:cs="Arial"/>
        </w:rPr>
        <w:t xml:space="preserve">The results displayed in </w:t>
      </w:r>
      <w:r>
        <w:rPr>
          <w:rFonts w:cs="Arial"/>
        </w:rPr>
        <w:t>T</w:t>
      </w:r>
      <w:r w:rsidRPr="008F0CCB">
        <w:rPr>
          <w:rFonts w:cs="Arial"/>
        </w:rPr>
        <w:t>able 2 can be summari</w:t>
      </w:r>
      <w:r>
        <w:rPr>
          <w:rFonts w:cs="Arial"/>
        </w:rPr>
        <w:t>s</w:t>
      </w:r>
      <w:r w:rsidRPr="008F0CCB">
        <w:rPr>
          <w:rFonts w:cs="Arial"/>
        </w:rPr>
        <w:t xml:space="preserve">ed in two graphs. </w:t>
      </w:r>
      <w:r w:rsidRPr="007C2DF6">
        <w:rPr>
          <w:rFonts w:cs="Arial"/>
        </w:rPr>
        <w:t>Figure 24</w:t>
      </w:r>
      <w:r w:rsidRPr="00A92021">
        <w:rPr>
          <w:rFonts w:cs="Arial"/>
        </w:rPr>
        <w:t xml:space="preserve"> shows the allocation of personnel costs in FY 2013/14 to expatriates and Pacific Islanders and for each of the two groups by base salaries and benefits.</w:t>
      </w:r>
      <w:r w:rsidRPr="007C2DF6">
        <w:rPr>
          <w:rFonts w:cs="Arial"/>
        </w:rPr>
        <w:t xml:space="preserve"> The cost of employing </w:t>
      </w:r>
      <w:r w:rsidR="006228F8">
        <w:rPr>
          <w:rFonts w:cs="Arial"/>
        </w:rPr>
        <w:br/>
      </w:r>
      <w:r w:rsidRPr="007C2DF6">
        <w:rPr>
          <w:rFonts w:cs="Arial"/>
        </w:rPr>
        <w:t>68 expatriates (nearly all Australian) was 4.4 times more than the cost of employing 118 Pacific Islanders, and benefits account for a much larger share of the total compensation going to expatriates (52 per cent) than the compensation going to Pacific Islanders (32 per cent). Figure 25</w:t>
      </w:r>
      <w:r w:rsidRPr="008F0CCB">
        <w:rPr>
          <w:rFonts w:cs="Arial"/>
        </w:rPr>
        <w:t xml:space="preserve"> shows the approximate breakdown of each of the benefits for the two national groups.</w:t>
      </w:r>
    </w:p>
    <w:p w14:paraId="1E66F086" w14:textId="77777777" w:rsidR="000913FE" w:rsidRDefault="000913FE" w:rsidP="000913FE">
      <w:pPr>
        <w:pStyle w:val="Tableheading"/>
      </w:pPr>
      <w:bookmarkStart w:id="1059" w:name="_Toc272855481"/>
      <w:r>
        <w:br w:type="page"/>
      </w:r>
      <w:bookmarkStart w:id="1060" w:name="_Toc274915984"/>
      <w:bookmarkStart w:id="1061" w:name="_Toc278446963"/>
      <w:r>
        <w:t>Figure 24</w:t>
      </w:r>
      <w:r w:rsidRPr="00305D14">
        <w:t xml:space="preserve">: Approximate salaries and benefits, expatriate and national staff, </w:t>
      </w:r>
      <w:r>
        <w:br/>
      </w:r>
      <w:r w:rsidRPr="00305D14">
        <w:t>FY 2013/14 (AUD millions; total $15.2 million)</w:t>
      </w:r>
      <w:bookmarkEnd w:id="1059"/>
      <w:bookmarkEnd w:id="1060"/>
      <w:bookmarkEnd w:id="1061"/>
    </w:p>
    <w:p w14:paraId="6E25FED2" w14:textId="77777777" w:rsidR="000913FE" w:rsidRDefault="000913FE" w:rsidP="000913FE">
      <w:pPr>
        <w:spacing w:after="0"/>
        <w:rPr>
          <w:rFonts w:cs="Arial"/>
        </w:rPr>
      </w:pPr>
      <w:r>
        <w:rPr>
          <w:noProof/>
          <w:lang w:eastAsia="en-AU"/>
        </w:rPr>
        <w:drawing>
          <wp:inline distT="0" distB="0" distL="0" distR="0" wp14:anchorId="0FB5A530" wp14:editId="468EE353">
            <wp:extent cx="3366770" cy="2025650"/>
            <wp:effectExtent l="25400" t="0" r="11430" b="0"/>
            <wp:docPr id="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srcRect/>
                    <a:stretch>
                      <a:fillRect/>
                    </a:stretch>
                  </pic:blipFill>
                  <pic:spPr bwMode="auto">
                    <a:xfrm>
                      <a:off x="0" y="0"/>
                      <a:ext cx="3366770" cy="2025650"/>
                    </a:xfrm>
                    <a:prstGeom prst="rect">
                      <a:avLst/>
                    </a:prstGeom>
                    <a:noFill/>
                    <a:ln w="9525">
                      <a:noFill/>
                      <a:miter lim="800000"/>
                      <a:headEnd/>
                      <a:tailEnd/>
                    </a:ln>
                  </pic:spPr>
                </pic:pic>
              </a:graphicData>
            </a:graphic>
          </wp:inline>
        </w:drawing>
      </w:r>
    </w:p>
    <w:p w14:paraId="42ADBCB1" w14:textId="77777777" w:rsidR="000913FE"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ables A.23</w:t>
      </w:r>
      <w:r>
        <w:rPr>
          <w:rFonts w:cs="Arial"/>
          <w:sz w:val="16"/>
          <w:szCs w:val="20"/>
        </w:rPr>
        <w:t xml:space="preserve"> – </w:t>
      </w:r>
      <w:r w:rsidRPr="007C2DF6">
        <w:rPr>
          <w:rFonts w:cs="Arial"/>
          <w:sz w:val="16"/>
          <w:szCs w:val="20"/>
        </w:rPr>
        <w:t>A</w:t>
      </w:r>
      <w:r>
        <w:rPr>
          <w:rFonts w:cs="Arial"/>
          <w:sz w:val="16"/>
          <w:szCs w:val="20"/>
        </w:rPr>
        <w:t>.25</w:t>
      </w:r>
    </w:p>
    <w:p w14:paraId="1E2CBCA0" w14:textId="77777777" w:rsidR="000913FE" w:rsidRDefault="000913FE" w:rsidP="000913FE">
      <w:pPr>
        <w:pStyle w:val="Tableheading"/>
      </w:pPr>
      <w:bookmarkStart w:id="1062" w:name="_Toc272855482"/>
      <w:bookmarkStart w:id="1063" w:name="_Toc274915985"/>
      <w:bookmarkStart w:id="1064" w:name="_Toc278446964"/>
      <w:r>
        <w:t>Figure 25</w:t>
      </w:r>
      <w:r w:rsidRPr="00305D14">
        <w:t xml:space="preserve">: Breakdown of benefits, expatriate and national staff, FY 2013/14 </w:t>
      </w:r>
      <w:r>
        <w:br/>
      </w:r>
      <w:r w:rsidRPr="00305D14">
        <w:t>(AUD millions; total $7.2 million)</w:t>
      </w:r>
      <w:bookmarkEnd w:id="1062"/>
      <w:bookmarkEnd w:id="1063"/>
      <w:bookmarkEnd w:id="1064"/>
    </w:p>
    <w:p w14:paraId="354D164D" w14:textId="77777777" w:rsidR="000913FE" w:rsidRDefault="000913FE" w:rsidP="000913FE">
      <w:pPr>
        <w:spacing w:after="0"/>
        <w:rPr>
          <w:rFonts w:cs="Arial"/>
        </w:rPr>
      </w:pPr>
      <w:r>
        <w:rPr>
          <w:noProof/>
          <w:lang w:eastAsia="en-AU"/>
        </w:rPr>
        <w:drawing>
          <wp:inline distT="0" distB="0" distL="0" distR="0" wp14:anchorId="72B3CC87" wp14:editId="76BA4E07">
            <wp:extent cx="3672840" cy="2080260"/>
            <wp:effectExtent l="25400" t="0" r="10160" b="0"/>
            <wp:docPr id="4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srcRect/>
                    <a:stretch>
                      <a:fillRect/>
                    </a:stretch>
                  </pic:blipFill>
                  <pic:spPr bwMode="auto">
                    <a:xfrm>
                      <a:off x="0" y="0"/>
                      <a:ext cx="3672840" cy="2080260"/>
                    </a:xfrm>
                    <a:prstGeom prst="rect">
                      <a:avLst/>
                    </a:prstGeom>
                    <a:noFill/>
                    <a:ln w="9525">
                      <a:noFill/>
                      <a:miter lim="800000"/>
                      <a:headEnd/>
                      <a:tailEnd/>
                    </a:ln>
                  </pic:spPr>
                </pic:pic>
              </a:graphicData>
            </a:graphic>
          </wp:inline>
        </w:drawing>
      </w:r>
    </w:p>
    <w:p w14:paraId="695D4915" w14:textId="77777777" w:rsidR="000913FE"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Ta</w:t>
      </w:r>
      <w:r w:rsidRPr="007C2DF6">
        <w:rPr>
          <w:rFonts w:cs="Arial"/>
          <w:sz w:val="16"/>
          <w:szCs w:val="20"/>
        </w:rPr>
        <w:t>bles A.23</w:t>
      </w:r>
      <w:r>
        <w:rPr>
          <w:rFonts w:cs="Arial"/>
          <w:sz w:val="16"/>
          <w:szCs w:val="20"/>
        </w:rPr>
        <w:t xml:space="preserve"> – </w:t>
      </w:r>
      <w:r w:rsidRPr="007C2DF6">
        <w:rPr>
          <w:rFonts w:cs="Arial"/>
          <w:sz w:val="16"/>
          <w:szCs w:val="20"/>
        </w:rPr>
        <w:t>A.25</w:t>
      </w:r>
    </w:p>
    <w:p w14:paraId="3AC9A4EA" w14:textId="77777777" w:rsidR="000913FE" w:rsidRDefault="000913FE" w:rsidP="000913FE">
      <w:pPr>
        <w:spacing w:after="0"/>
        <w:rPr>
          <w:rFonts w:cs="Arial"/>
          <w:sz w:val="16"/>
          <w:szCs w:val="20"/>
        </w:rPr>
      </w:pPr>
    </w:p>
    <w:p w14:paraId="64C86944" w14:textId="4022CFC0" w:rsidR="000913FE" w:rsidRDefault="000913FE" w:rsidP="000913FE">
      <w:pPr>
        <w:rPr>
          <w:rFonts w:cs="Arial"/>
        </w:rPr>
      </w:pPr>
      <w:r w:rsidRPr="008F0CCB">
        <w:rPr>
          <w:rFonts w:cs="Arial"/>
        </w:rPr>
        <w:t xml:space="preserve">The reason for breaking down personnel costs in the base year (FY 2013/14) in </w:t>
      </w:r>
      <w:r w:rsidR="00FC6A66">
        <w:rPr>
          <w:rFonts w:cs="Arial"/>
        </w:rPr>
        <w:t>T</w:t>
      </w:r>
      <w:r w:rsidR="00FC6A66" w:rsidRPr="008F0CCB">
        <w:rPr>
          <w:rFonts w:cs="Arial"/>
        </w:rPr>
        <w:t>able</w:t>
      </w:r>
      <w:r w:rsidR="00FC6A66">
        <w:rPr>
          <w:rFonts w:cs="Arial"/>
        </w:rPr>
        <w:t> </w:t>
      </w:r>
      <w:r w:rsidRPr="008F0CCB">
        <w:rPr>
          <w:rFonts w:cs="Arial"/>
        </w:rPr>
        <w:t xml:space="preserve">2 was so that personnel costs could then be estimated for later years as nationalisation takes place. APTC’s CEO provided the review team with staffing projections for </w:t>
      </w:r>
      <w:r>
        <w:rPr>
          <w:rFonts w:cs="Arial"/>
        </w:rPr>
        <w:t xml:space="preserve">two points </w:t>
      </w:r>
      <w:r w:rsidRPr="008F0CCB">
        <w:rPr>
          <w:rFonts w:cs="Arial"/>
        </w:rPr>
        <w:t xml:space="preserve">in the future, the end of Stage II (30 June 2015) and the end of a third four-year stage for APTC (30 June 2019). These are presented in </w:t>
      </w:r>
      <w:r>
        <w:rPr>
          <w:rFonts w:cs="Arial"/>
        </w:rPr>
        <w:t>A</w:t>
      </w:r>
      <w:r w:rsidRPr="008F0CCB">
        <w:rPr>
          <w:rFonts w:cs="Arial"/>
        </w:rPr>
        <w:t xml:space="preserve">ppendix </w:t>
      </w:r>
      <w:r>
        <w:rPr>
          <w:rFonts w:cs="Arial"/>
        </w:rPr>
        <w:t>T</w:t>
      </w:r>
      <w:r w:rsidRPr="008F0CCB">
        <w:rPr>
          <w:rFonts w:cs="Arial"/>
        </w:rPr>
        <w:t>ables A.26 and A.28, with each table followed by the review team’s re-estimation of total compensation to reflect the higher number of national staff</w:t>
      </w:r>
      <w:r>
        <w:rPr>
          <w:rFonts w:cs="Arial"/>
        </w:rPr>
        <w:t xml:space="preserve"> </w:t>
      </w:r>
      <w:r w:rsidRPr="008F0CCB">
        <w:rPr>
          <w:rFonts w:cs="Arial"/>
        </w:rPr>
        <w:t>as a share of the total (</w:t>
      </w:r>
      <w:r>
        <w:rPr>
          <w:rFonts w:cs="Arial"/>
        </w:rPr>
        <w:t>A</w:t>
      </w:r>
      <w:r w:rsidRPr="008F0CCB">
        <w:rPr>
          <w:rFonts w:cs="Arial"/>
        </w:rPr>
        <w:t xml:space="preserve">ppendix </w:t>
      </w:r>
      <w:r>
        <w:rPr>
          <w:rFonts w:cs="Arial"/>
        </w:rPr>
        <w:t>T</w:t>
      </w:r>
      <w:r w:rsidRPr="008F0CCB">
        <w:rPr>
          <w:rFonts w:cs="Arial"/>
        </w:rPr>
        <w:t>ables A.27 and A.29)</w:t>
      </w:r>
      <w:r>
        <w:rPr>
          <w:rFonts w:cs="Arial"/>
        </w:rPr>
        <w:t>.</w:t>
      </w:r>
    </w:p>
    <w:p w14:paraId="777B41BF" w14:textId="1EA98F0B" w:rsidR="000913FE" w:rsidRDefault="000913FE" w:rsidP="000913FE">
      <w:pPr>
        <w:rPr>
          <w:rFonts w:cs="Arial"/>
        </w:rPr>
      </w:pPr>
      <w:r w:rsidRPr="007C2DF6">
        <w:rPr>
          <w:rFonts w:cs="Arial"/>
        </w:rPr>
        <w:t>Figure 26</w:t>
      </w:r>
      <w:r w:rsidRPr="00A92021">
        <w:rPr>
          <w:rFonts w:cs="Arial"/>
        </w:rPr>
        <w:t xml:space="preserve"> compares</w:t>
      </w:r>
      <w:r>
        <w:rPr>
          <w:rFonts w:cs="Arial"/>
        </w:rPr>
        <w:t xml:space="preserve"> the breakdown of staff in July of 2014 (actual figures as reported by APTC’s CEO and HR Manager) and in June of 2019 (the end of Stage III, if there were to be a Stage III, as projected by the CEO). Across all staff categories, the CEO projects that national staff would increase from 64 per cent of the total in 2014 to </w:t>
      </w:r>
      <w:r w:rsidR="00FC6A66">
        <w:rPr>
          <w:rFonts w:cs="Arial"/>
        </w:rPr>
        <w:t>88 per </w:t>
      </w:r>
      <w:r>
        <w:rPr>
          <w:rFonts w:cs="Arial"/>
        </w:rPr>
        <w:t xml:space="preserve">cent in 2019, but the key changes resulting in cost savings will </w:t>
      </w:r>
      <w:r w:rsidR="006228F8">
        <w:rPr>
          <w:rFonts w:cs="Arial"/>
        </w:rPr>
        <w:t xml:space="preserve">be from </w:t>
      </w:r>
      <w:r>
        <w:rPr>
          <w:rFonts w:cs="Arial"/>
        </w:rPr>
        <w:t xml:space="preserve">the increases in two categories – managers (from 15 per cent to 64 per cent) and </w:t>
      </w:r>
      <w:r w:rsidR="007931BB">
        <w:rPr>
          <w:rFonts w:cs="Arial"/>
        </w:rPr>
        <w:t>‘</w:t>
      </w:r>
      <w:r>
        <w:rPr>
          <w:rFonts w:cs="Arial"/>
        </w:rPr>
        <w:t>teachers</w:t>
      </w:r>
      <w:r w:rsidR="007931BB">
        <w:rPr>
          <w:rFonts w:cs="Arial"/>
        </w:rPr>
        <w:t>’</w:t>
      </w:r>
      <w:r>
        <w:rPr>
          <w:rFonts w:cs="Arial"/>
        </w:rPr>
        <w:t>, the total of trainers, tutors, learning facilitators, and APTC-to-Work facilitators (from 58 per cent to 81 per cent, with most of the change consisting of the increase in national trainers).</w:t>
      </w:r>
    </w:p>
    <w:p w14:paraId="4E9639BE" w14:textId="77777777" w:rsidR="000913FE" w:rsidRDefault="000913FE" w:rsidP="000913FE">
      <w:pPr>
        <w:pStyle w:val="Tableheading"/>
      </w:pPr>
      <w:bookmarkStart w:id="1065" w:name="_Toc272855483"/>
      <w:r>
        <w:br w:type="page"/>
      </w:r>
      <w:bookmarkStart w:id="1066" w:name="_Toc274915986"/>
      <w:bookmarkStart w:id="1067" w:name="_Toc278446965"/>
      <w:r w:rsidRPr="00040B92">
        <w:t xml:space="preserve">Figure 26: Nationalisation of staff by broad categories (managers, other admin., teachers), comparison of 2014 </w:t>
      </w:r>
      <w:r>
        <w:t xml:space="preserve">(actuals) and </w:t>
      </w:r>
      <w:r w:rsidRPr="00040B92">
        <w:t>2019</w:t>
      </w:r>
      <w:r>
        <w:t xml:space="preserve"> (projected)</w:t>
      </w:r>
      <w:bookmarkEnd w:id="1065"/>
      <w:bookmarkEnd w:id="1066"/>
      <w:bookmarkEnd w:id="1067"/>
    </w:p>
    <w:p w14:paraId="74320384" w14:textId="77777777" w:rsidR="000913FE" w:rsidRDefault="000913FE" w:rsidP="000913FE">
      <w:pPr>
        <w:pStyle w:val="Tableheading"/>
      </w:pPr>
      <w:r>
        <w:rPr>
          <w:noProof/>
          <w:lang w:eastAsia="en-AU"/>
        </w:rPr>
        <w:drawing>
          <wp:inline distT="0" distB="0" distL="0" distR="0" wp14:anchorId="64504D77" wp14:editId="77B8AFDC">
            <wp:extent cx="5080000" cy="2565400"/>
            <wp:effectExtent l="25400" t="25400" r="0" b="0"/>
            <wp:docPr id="158" name="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DBDC275" w14:textId="77777777" w:rsidR="000913FE" w:rsidRPr="002442EE"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ables A.23</w:t>
      </w:r>
      <w:r>
        <w:rPr>
          <w:rFonts w:cs="Arial"/>
          <w:sz w:val="16"/>
          <w:szCs w:val="20"/>
        </w:rPr>
        <w:t xml:space="preserve"> and A.28</w:t>
      </w:r>
    </w:p>
    <w:p w14:paraId="33D9E4BC" w14:textId="77777777" w:rsidR="000913FE" w:rsidRDefault="000913FE" w:rsidP="000913FE">
      <w:pPr>
        <w:rPr>
          <w:rFonts w:cs="Arial"/>
        </w:rPr>
      </w:pPr>
    </w:p>
    <w:p w14:paraId="4928DF28" w14:textId="0507DF33" w:rsidR="000913FE" w:rsidRDefault="000913FE" w:rsidP="000913FE">
      <w:pPr>
        <w:rPr>
          <w:rFonts w:cs="Arial"/>
        </w:rPr>
      </w:pPr>
      <w:r w:rsidRPr="007C2DF6">
        <w:rPr>
          <w:rFonts w:cs="Arial"/>
        </w:rPr>
        <w:t>Figure 27</w:t>
      </w:r>
      <w:r w:rsidRPr="008F0CCB">
        <w:rPr>
          <w:rFonts w:cs="Arial"/>
        </w:rPr>
        <w:t xml:space="preserve"> summari</w:t>
      </w:r>
      <w:r>
        <w:rPr>
          <w:rFonts w:cs="Arial"/>
        </w:rPr>
        <w:t>s</w:t>
      </w:r>
      <w:r w:rsidRPr="008F0CCB">
        <w:rPr>
          <w:rFonts w:cs="Arial"/>
        </w:rPr>
        <w:t xml:space="preserve">es the results of </w:t>
      </w:r>
      <w:r>
        <w:rPr>
          <w:rFonts w:cs="Arial"/>
        </w:rPr>
        <w:t>the cost analysis, showing a comparison of the estimated personnel costs in 2014 and 2019</w:t>
      </w:r>
      <w:r w:rsidRPr="008F0CCB">
        <w:rPr>
          <w:rFonts w:cs="Arial"/>
        </w:rPr>
        <w:t xml:space="preserve">. The main takeaway </w:t>
      </w:r>
      <w:r>
        <w:rPr>
          <w:rFonts w:cs="Arial"/>
        </w:rPr>
        <w:t xml:space="preserve">from this analysis </w:t>
      </w:r>
      <w:r w:rsidRPr="008F0CCB">
        <w:rPr>
          <w:rFonts w:cs="Arial"/>
        </w:rPr>
        <w:t xml:space="preserve">is that the planned nationalisation of APTC’s staffing will result (other things remaining the same) in a </w:t>
      </w:r>
      <w:r w:rsidRPr="00A82029">
        <w:rPr>
          <w:rFonts w:cs="Arial"/>
          <w:i/>
        </w:rPr>
        <w:t>reduction</w:t>
      </w:r>
      <w:r w:rsidRPr="008F0CCB">
        <w:rPr>
          <w:rFonts w:cs="Arial"/>
        </w:rPr>
        <w:t xml:space="preserve"> of APTC costs – a reduction </w:t>
      </w:r>
      <w:r>
        <w:rPr>
          <w:rFonts w:cs="Arial"/>
        </w:rPr>
        <w:t xml:space="preserve">that is </w:t>
      </w:r>
      <w:r w:rsidRPr="00A82029">
        <w:rPr>
          <w:rFonts w:cs="Arial"/>
          <w:i/>
        </w:rPr>
        <w:t>significant</w:t>
      </w:r>
      <w:r>
        <w:rPr>
          <w:rFonts w:cs="Arial"/>
        </w:rPr>
        <w:t xml:space="preserve">, </w:t>
      </w:r>
      <w:r w:rsidRPr="008F0CCB">
        <w:rPr>
          <w:rFonts w:cs="Arial"/>
        </w:rPr>
        <w:t xml:space="preserve">but </w:t>
      </w:r>
      <w:r>
        <w:rPr>
          <w:rFonts w:cs="Arial"/>
        </w:rPr>
        <w:t xml:space="preserve">perhaps </w:t>
      </w:r>
      <w:r w:rsidRPr="00A82029">
        <w:rPr>
          <w:rFonts w:cs="Arial"/>
          <w:i/>
        </w:rPr>
        <w:t>not a game changer.</w:t>
      </w:r>
      <w:r w:rsidRPr="008F0CCB">
        <w:rPr>
          <w:rFonts w:cs="Arial"/>
        </w:rPr>
        <w:t xml:space="preserve"> Increasing the number of national trainers from </w:t>
      </w:r>
      <w:r>
        <w:rPr>
          <w:rFonts w:cs="Arial"/>
        </w:rPr>
        <w:t>10</w:t>
      </w:r>
      <w:r w:rsidRPr="008F0CCB">
        <w:rPr>
          <w:rFonts w:cs="Arial"/>
        </w:rPr>
        <w:t xml:space="preserve"> in mid-2014 to </w:t>
      </w:r>
      <w:r w:rsidR="007931BB" w:rsidRPr="008F0CCB">
        <w:rPr>
          <w:rFonts w:cs="Arial"/>
        </w:rPr>
        <w:t>43</w:t>
      </w:r>
      <w:r w:rsidR="007931BB">
        <w:rPr>
          <w:rFonts w:cs="Arial"/>
        </w:rPr>
        <w:t> </w:t>
      </w:r>
      <w:r w:rsidRPr="008F0CCB">
        <w:rPr>
          <w:rFonts w:cs="Arial"/>
        </w:rPr>
        <w:t xml:space="preserve">in mid-2019 </w:t>
      </w:r>
      <w:r>
        <w:rPr>
          <w:rFonts w:cs="Arial"/>
        </w:rPr>
        <w:t>and increasing the percentage of management positions filled by PI nationals from 17 per</w:t>
      </w:r>
      <w:r w:rsidR="00F65B45">
        <w:rPr>
          <w:rFonts w:cs="Arial"/>
        </w:rPr>
        <w:t xml:space="preserve"> </w:t>
      </w:r>
      <w:r>
        <w:rPr>
          <w:rFonts w:cs="Arial"/>
        </w:rPr>
        <w:t xml:space="preserve">cent to 55 per cent </w:t>
      </w:r>
      <w:r w:rsidRPr="008F0CCB">
        <w:rPr>
          <w:rFonts w:cs="Arial"/>
        </w:rPr>
        <w:t>would appear to result in $2.1 million in annual savings by FY 2018/19. This amounts to 5.9 per cent of APTC’s average annual expenditure during Stage II.</w:t>
      </w:r>
      <w:r w:rsidRPr="008F0CCB">
        <w:rPr>
          <w:rStyle w:val="FootnoteReference"/>
          <w:rFonts w:cs="Arial"/>
        </w:rPr>
        <w:footnoteReference w:id="78"/>
      </w:r>
      <w:r w:rsidRPr="008F0CCB">
        <w:rPr>
          <w:rFonts w:cs="Arial"/>
        </w:rPr>
        <w:t xml:space="preserve"> Whether the cost savings from nationalisation and other efficiency measures will result in a positive economic rate of return (ERR) on the investment in APTC to date and in any renewal is the key question, to be discussed in the next section.</w:t>
      </w:r>
    </w:p>
    <w:p w14:paraId="4005D9B9" w14:textId="77777777" w:rsidR="000913FE" w:rsidRPr="006736CE" w:rsidRDefault="000913FE" w:rsidP="000913FE">
      <w:pPr>
        <w:pStyle w:val="Tableheading"/>
      </w:pPr>
      <w:bookmarkStart w:id="1068" w:name="_Toc272855484"/>
      <w:r>
        <w:br w:type="page"/>
      </w:r>
      <w:bookmarkStart w:id="1069" w:name="_Toc274915987"/>
      <w:bookmarkStart w:id="1070" w:name="_Toc278446966"/>
      <w:r>
        <w:t>Figure 27</w:t>
      </w:r>
      <w:r w:rsidRPr="00040B92">
        <w:t xml:space="preserve">: </w:t>
      </w:r>
      <w:r>
        <w:t xml:space="preserve">Estimated personnel costs broken down </w:t>
      </w:r>
      <w:r w:rsidRPr="00040B92">
        <w:t xml:space="preserve">by </w:t>
      </w:r>
      <w:r>
        <w:t xml:space="preserve">compensation categories and nationality </w:t>
      </w:r>
      <w:r w:rsidRPr="00040B92">
        <w:t>(2014 prices</w:t>
      </w:r>
      <w:r>
        <w:t xml:space="preserve">, </w:t>
      </w:r>
      <w:r w:rsidRPr="00040B92">
        <w:t>AUD millions)</w:t>
      </w:r>
      <w:r>
        <w:t xml:space="preserve">, </w:t>
      </w:r>
      <w:r w:rsidRPr="00040B92">
        <w:t xml:space="preserve">comparison of 2014 </w:t>
      </w:r>
      <w:r>
        <w:t xml:space="preserve">and </w:t>
      </w:r>
      <w:r w:rsidRPr="00040B92">
        <w:t>2019</w:t>
      </w:r>
      <w:bookmarkEnd w:id="1068"/>
      <w:bookmarkEnd w:id="1069"/>
      <w:bookmarkEnd w:id="1070"/>
    </w:p>
    <w:p w14:paraId="3B7E6008" w14:textId="77777777" w:rsidR="000913FE" w:rsidRDefault="000913FE" w:rsidP="000913FE">
      <w:pPr>
        <w:spacing w:after="0"/>
        <w:rPr>
          <w:rFonts w:cs="Arial"/>
        </w:rPr>
      </w:pPr>
      <w:r>
        <w:rPr>
          <w:noProof/>
          <w:lang w:eastAsia="en-AU"/>
        </w:rPr>
        <w:drawing>
          <wp:inline distT="0" distB="0" distL="0" distR="0" wp14:anchorId="033F7EC4" wp14:editId="35EED1C9">
            <wp:extent cx="3978910" cy="1997710"/>
            <wp:effectExtent l="25400" t="0" r="8890"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srcRect/>
                    <a:stretch>
                      <a:fillRect/>
                    </a:stretch>
                  </pic:blipFill>
                  <pic:spPr bwMode="auto">
                    <a:xfrm>
                      <a:off x="0" y="0"/>
                      <a:ext cx="3978910" cy="1997710"/>
                    </a:xfrm>
                    <a:prstGeom prst="rect">
                      <a:avLst/>
                    </a:prstGeom>
                    <a:noFill/>
                    <a:ln w="9525">
                      <a:noFill/>
                      <a:miter lim="800000"/>
                      <a:headEnd/>
                      <a:tailEnd/>
                    </a:ln>
                  </pic:spPr>
                </pic:pic>
              </a:graphicData>
            </a:graphic>
          </wp:inline>
        </w:drawing>
      </w:r>
    </w:p>
    <w:p w14:paraId="7A36D3DE" w14:textId="77777777" w:rsidR="000913FE" w:rsidRPr="002442EE" w:rsidRDefault="000913FE" w:rsidP="000913FE">
      <w:pPr>
        <w:spacing w:after="0"/>
        <w:rPr>
          <w:rFonts w:cs="Arial"/>
          <w:sz w:val="16"/>
          <w:szCs w:val="20"/>
        </w:rPr>
      </w:pPr>
      <w:r w:rsidRPr="007C2DF6">
        <w:rPr>
          <w:rFonts w:cs="Arial"/>
          <w:sz w:val="16"/>
          <w:szCs w:val="20"/>
        </w:rPr>
        <w:t xml:space="preserve">Source: Appendix </w:t>
      </w:r>
      <w:r>
        <w:rPr>
          <w:rFonts w:cs="Arial"/>
          <w:sz w:val="16"/>
          <w:szCs w:val="20"/>
        </w:rPr>
        <w:t>T</w:t>
      </w:r>
      <w:r w:rsidRPr="007C2DF6">
        <w:rPr>
          <w:rFonts w:cs="Arial"/>
          <w:sz w:val="16"/>
          <w:szCs w:val="20"/>
        </w:rPr>
        <w:t>ables A.23 – A.29</w:t>
      </w:r>
    </w:p>
    <w:p w14:paraId="246AD7FF" w14:textId="77777777" w:rsidR="000913FE" w:rsidRPr="008F0CCB" w:rsidRDefault="000913FE" w:rsidP="000913FE">
      <w:pPr>
        <w:rPr>
          <w:rFonts w:cs="Arial"/>
        </w:rPr>
      </w:pPr>
    </w:p>
    <w:p w14:paraId="31ED1E4A" w14:textId="27483CC0" w:rsidR="000913FE" w:rsidRDefault="00D1686C" w:rsidP="002028A6">
      <w:pPr>
        <w:pStyle w:val="Heading1"/>
      </w:pPr>
      <w:bookmarkStart w:id="1071" w:name="_Toc274295080"/>
      <w:bookmarkStart w:id="1072" w:name="_Toc278447993"/>
      <w:bookmarkStart w:id="1073" w:name="_Toc278453466"/>
      <w:r>
        <w:t>5.</w:t>
      </w:r>
      <w:r>
        <w:tab/>
      </w:r>
      <w:r w:rsidR="000913FE" w:rsidRPr="008F0CCB">
        <w:t>Cost-benefit analysis</w:t>
      </w:r>
      <w:bookmarkEnd w:id="1071"/>
      <w:bookmarkEnd w:id="1072"/>
      <w:bookmarkEnd w:id="1073"/>
    </w:p>
    <w:p w14:paraId="70AFCFC0" w14:textId="21133114" w:rsidR="000913FE" w:rsidRPr="008429D0" w:rsidRDefault="000913FE" w:rsidP="000913FE">
      <w:pPr>
        <w:spacing w:before="120"/>
        <w:rPr>
          <w:rFonts w:cs="Arial"/>
          <w:b/>
        </w:rPr>
      </w:pPr>
      <w:r w:rsidRPr="007C2DF6">
        <w:rPr>
          <w:rFonts w:cs="Arial"/>
          <w:b/>
          <w:u w:val="single"/>
        </w:rPr>
        <w:t>Questions listed in the evaluation plan</w:t>
      </w:r>
      <w:r w:rsidRPr="007C2DF6">
        <w:rPr>
          <w:rFonts w:cs="Arial"/>
          <w:b/>
        </w:rPr>
        <w:t xml:space="preserve">: What has been the internal rate of return, net present value or benefit-cost ratio of the APTC investment? How does the </w:t>
      </w:r>
      <w:r w:rsidR="00A420ED">
        <w:rPr>
          <w:rFonts w:cs="Arial"/>
          <w:b/>
        </w:rPr>
        <w:br/>
      </w:r>
      <w:r w:rsidRPr="007C2DF6">
        <w:rPr>
          <w:rFonts w:cs="Arial"/>
          <w:b/>
        </w:rPr>
        <w:t>ex-post economic rate of return compare with the ex-ante calculation of economic rate of return</w:t>
      </w:r>
      <w:r w:rsidR="00A420ED">
        <w:rPr>
          <w:rFonts w:cs="Arial"/>
          <w:b/>
        </w:rPr>
        <w:t xml:space="preserve"> (EER)</w:t>
      </w:r>
      <w:r w:rsidRPr="007C2DF6">
        <w:rPr>
          <w:rFonts w:cs="Arial"/>
          <w:b/>
        </w:rPr>
        <w:t>?</w:t>
      </w:r>
    </w:p>
    <w:p w14:paraId="23C1F4E9" w14:textId="77777777" w:rsidR="000913FE" w:rsidRPr="008F0CCB" w:rsidRDefault="000913FE" w:rsidP="000913FE">
      <w:pPr>
        <w:spacing w:before="120"/>
        <w:rPr>
          <w:rFonts w:cs="Arial"/>
        </w:rPr>
      </w:pPr>
      <w:r w:rsidRPr="008F0CCB">
        <w:rPr>
          <w:rFonts w:cs="Arial"/>
        </w:rPr>
        <w:t>Surprisingly, and perhaps because APTC was initiated at the highest political level, with public pronouncements made by senior Australian and Pacific community officials, there seems to have been no appraisal, of the kind one would expect for an investment of this size, conducted by AusAID in 2006 and 2007 before APTC’s launching in July of 2007. The first real mention of cost-benefit analysis (CBA) that the review team could find appeared in the Mid-Term Review of Stage I (Schofield et al. 2009)</w:t>
      </w:r>
      <w:r>
        <w:rPr>
          <w:rFonts w:cs="Arial"/>
        </w:rPr>
        <w:t xml:space="preserve">. This only </w:t>
      </w:r>
      <w:r w:rsidRPr="008F0CCB">
        <w:rPr>
          <w:rFonts w:cs="Arial"/>
        </w:rPr>
        <w:t xml:space="preserve">provided a </w:t>
      </w:r>
      <w:r w:rsidRPr="00A82029">
        <w:rPr>
          <w:rFonts w:cs="Arial"/>
          <w:i/>
        </w:rPr>
        <w:t>framework</w:t>
      </w:r>
      <w:r w:rsidRPr="008F0CCB">
        <w:rPr>
          <w:rFonts w:cs="Arial"/>
        </w:rPr>
        <w:t xml:space="preserve"> for conducting a CBA</w:t>
      </w:r>
      <w:r>
        <w:rPr>
          <w:rFonts w:cs="Arial"/>
        </w:rPr>
        <w:t xml:space="preserve"> (</w:t>
      </w:r>
      <w:r w:rsidRPr="008F0CCB">
        <w:rPr>
          <w:rFonts w:cs="Arial"/>
        </w:rPr>
        <w:t>or ERR analysis</w:t>
      </w:r>
      <w:r>
        <w:rPr>
          <w:rFonts w:cs="Arial"/>
        </w:rPr>
        <w:t>)</w:t>
      </w:r>
      <w:r w:rsidRPr="008F0CCB">
        <w:rPr>
          <w:rFonts w:cs="Arial"/>
        </w:rPr>
        <w:t xml:space="preserve"> but no actual such analysis. </w:t>
      </w:r>
    </w:p>
    <w:p w14:paraId="62DD415F" w14:textId="2FD79F2B" w:rsidR="000913FE" w:rsidRPr="008F0CCB" w:rsidRDefault="000913FE" w:rsidP="000913FE">
      <w:pPr>
        <w:spacing w:before="120"/>
        <w:rPr>
          <w:rFonts w:cs="Arial"/>
        </w:rPr>
      </w:pPr>
      <w:r w:rsidRPr="008F0CCB">
        <w:rPr>
          <w:rFonts w:cs="Arial"/>
        </w:rPr>
        <w:t xml:space="preserve">The design document for Stage II of APTC (Barber et al. 2010) did include an ERR analysis, but the document provided few details of the underlying assumptions and variable flows that would </w:t>
      </w:r>
      <w:r>
        <w:rPr>
          <w:rFonts w:cs="Arial"/>
        </w:rPr>
        <w:t xml:space="preserve">allow </w:t>
      </w:r>
      <w:r w:rsidRPr="008F0CCB">
        <w:rPr>
          <w:rFonts w:cs="Arial"/>
        </w:rPr>
        <w:t xml:space="preserve">others to re-estimate the results. The document concluded that the base case ERR on the APTC Stage I investment, </w:t>
      </w:r>
      <w:r w:rsidR="002822E5">
        <w:rPr>
          <w:rFonts w:cs="Arial"/>
        </w:rPr>
        <w:t>‘</w:t>
      </w:r>
      <w:r w:rsidRPr="008F0CCB">
        <w:rPr>
          <w:rFonts w:cs="Arial"/>
        </w:rPr>
        <w:t xml:space="preserve">assuming </w:t>
      </w:r>
      <w:r w:rsidR="00FC6A66" w:rsidRPr="008F0CCB">
        <w:rPr>
          <w:rFonts w:cs="Arial"/>
        </w:rPr>
        <w:t>25</w:t>
      </w:r>
      <w:r w:rsidR="00FC6A66">
        <w:rPr>
          <w:rFonts w:cs="Arial"/>
        </w:rPr>
        <w:t> </w:t>
      </w:r>
      <w:r w:rsidR="00FC6A66" w:rsidRPr="008F0CCB">
        <w:rPr>
          <w:rFonts w:cs="Arial"/>
        </w:rPr>
        <w:t>per</w:t>
      </w:r>
      <w:r w:rsidR="00FC6A66">
        <w:rPr>
          <w:rFonts w:cs="Arial"/>
        </w:rPr>
        <w:t> </w:t>
      </w:r>
      <w:r w:rsidRPr="008F0CCB">
        <w:rPr>
          <w:rFonts w:cs="Arial"/>
        </w:rPr>
        <w:t xml:space="preserve">cent of graduates find work in Australia soon after graduation, [stay] for </w:t>
      </w:r>
      <w:r>
        <w:rPr>
          <w:rFonts w:cs="Arial"/>
        </w:rPr>
        <w:t>10</w:t>
      </w:r>
      <w:r w:rsidRPr="008F0CCB">
        <w:rPr>
          <w:rFonts w:cs="Arial"/>
        </w:rPr>
        <w:t xml:space="preserve"> years and [remit] 40 per cent of their net earnings – is just under </w:t>
      </w:r>
      <w:r>
        <w:rPr>
          <w:rFonts w:cs="Arial"/>
        </w:rPr>
        <w:t>12</w:t>
      </w:r>
      <w:r w:rsidRPr="008F0CCB">
        <w:rPr>
          <w:rFonts w:cs="Arial"/>
        </w:rPr>
        <w:t xml:space="preserve"> per cent</w:t>
      </w:r>
      <w:r w:rsidR="002822E5">
        <w:rPr>
          <w:rFonts w:cs="Arial"/>
        </w:rPr>
        <w:t>’</w:t>
      </w:r>
      <w:r w:rsidRPr="008F0CCB">
        <w:rPr>
          <w:rFonts w:cs="Arial"/>
        </w:rPr>
        <w:t xml:space="preserve">. We know from tracer studies of APTC graduates that the percentage of graduates migrating to Australia and other high-income countries has been well below 25 per cent, probably below 3 per cent (Swanton &amp; Ong 2013). The assumption of ten years away seems reasonable, but the percentage of earnings remitted by migrants back to the Pacific is not relevant to the estimation of the ERR. Higher earnings on the part of APTC graduates, no matter where these are earned or where they are spent, should all be treated as benefits of the APTC. In other words, the assumption in the Stage II design that 25 per cent of graduates would migrate to Australia results in an upward bias of the ERR estimation, whereas counting only earnings remitted back home results in a downward bias. In any case, the design document concluded that, </w:t>
      </w:r>
      <w:r w:rsidR="00F65B45">
        <w:rPr>
          <w:rFonts w:cs="Arial"/>
        </w:rPr>
        <w:t>‘</w:t>
      </w:r>
      <w:r w:rsidRPr="008F0CCB">
        <w:rPr>
          <w:rFonts w:cs="Arial"/>
        </w:rPr>
        <w:t>if graduates obtain work only in their home countries after graduation, the ERR in most cases does not exceed 8 per cent</w:t>
      </w:r>
      <w:r w:rsidR="00F65B45">
        <w:rPr>
          <w:rFonts w:cs="Arial"/>
        </w:rPr>
        <w:t>’</w:t>
      </w:r>
      <w:r w:rsidRPr="008F0CCB">
        <w:rPr>
          <w:rFonts w:cs="Arial"/>
        </w:rPr>
        <w:t xml:space="preserve">. </w:t>
      </w:r>
    </w:p>
    <w:p w14:paraId="7BAED255" w14:textId="77777777" w:rsidR="00A420ED" w:rsidRDefault="00A420ED">
      <w:pPr>
        <w:spacing w:after="0"/>
        <w:rPr>
          <w:rFonts w:cs="Arial"/>
        </w:rPr>
      </w:pPr>
      <w:r>
        <w:rPr>
          <w:rFonts w:cs="Arial"/>
        </w:rPr>
        <w:br w:type="page"/>
      </w:r>
    </w:p>
    <w:p w14:paraId="5D21B23A" w14:textId="784EA221" w:rsidR="000913FE" w:rsidRDefault="000913FE" w:rsidP="000913FE">
      <w:pPr>
        <w:spacing w:before="120"/>
        <w:rPr>
          <w:rFonts w:cs="Arial"/>
        </w:rPr>
      </w:pPr>
      <w:r>
        <w:rPr>
          <w:rFonts w:cs="Arial"/>
        </w:rPr>
        <w:t xml:space="preserve">The current </w:t>
      </w:r>
      <w:r w:rsidRPr="008F0CCB">
        <w:rPr>
          <w:rFonts w:cs="Arial"/>
        </w:rPr>
        <w:t>independent review generates new estimates of the ERR on the APTC investment, with assumptions and variable flows spelled out. ERRs are estimated from three different time perspectives</w:t>
      </w:r>
      <w:r>
        <w:rPr>
          <w:rFonts w:cs="Arial"/>
        </w:rPr>
        <w:t>:</w:t>
      </w:r>
    </w:p>
    <w:p w14:paraId="70BF374E" w14:textId="1F65FA29" w:rsidR="000913FE" w:rsidRPr="00A82029" w:rsidRDefault="000913FE" w:rsidP="000668BA">
      <w:pPr>
        <w:pStyle w:val="ListParagraph"/>
        <w:numPr>
          <w:ilvl w:val="0"/>
          <w:numId w:val="67"/>
        </w:numPr>
        <w:spacing w:before="120" w:after="240"/>
        <w:rPr>
          <w:rFonts w:cs="Arial"/>
        </w:rPr>
      </w:pPr>
      <w:r w:rsidRPr="003A35EA">
        <w:rPr>
          <w:rFonts w:cs="Arial"/>
          <w:b/>
        </w:rPr>
        <w:t>Model 1 – 2007 to 2015</w:t>
      </w:r>
      <w:r>
        <w:rPr>
          <w:rFonts w:cs="Arial"/>
        </w:rPr>
        <w:t xml:space="preserve">: </w:t>
      </w:r>
      <w:r w:rsidRPr="00A82029">
        <w:rPr>
          <w:rFonts w:cs="Arial"/>
        </w:rPr>
        <w:t xml:space="preserve">APTC was launched in 2007, so the first model takes 2007 to be </w:t>
      </w:r>
      <w:r w:rsidR="00E67B74">
        <w:rPr>
          <w:rFonts w:cs="Arial"/>
        </w:rPr>
        <w:t>‘</w:t>
      </w:r>
      <w:r w:rsidRPr="00A82029">
        <w:rPr>
          <w:rFonts w:cs="Arial"/>
        </w:rPr>
        <w:t>year 0</w:t>
      </w:r>
      <w:r w:rsidR="00E67B74">
        <w:rPr>
          <w:rFonts w:cs="Arial"/>
        </w:rPr>
        <w:t>’</w:t>
      </w:r>
      <w:r w:rsidRPr="00A82029">
        <w:rPr>
          <w:rFonts w:cs="Arial"/>
        </w:rPr>
        <w:t>, the decision year for the investment. The costs of this analysis include all of the APTC expenditure between 2007 and 2015, the end of Stage II, plus an estimate of any earnings foregone by the students while enrolled at APTC. The benefits consist of the additional earnings attributable to the training on the part of graduates, most of whom will remain in the Pacific and not migrate, but some of whom will migrate to and find work in Australia or another high-income economy. The average age of those graduating from APTC is 35, and the analysis assumes that they will work for 20 years following their graduation – to the average age of 55, the official retirement age in most (but not all) of the PICs. In fact, the assumption about retirement age is not very critical, given that benefits this far into the future are so heavily discounted in the CBA formulation.</w:t>
      </w:r>
      <w:r>
        <w:rPr>
          <w:rStyle w:val="FootnoteReference"/>
          <w:rFonts w:cs="Arial"/>
        </w:rPr>
        <w:footnoteReference w:id="79"/>
      </w:r>
      <w:r w:rsidRPr="00A82029">
        <w:rPr>
          <w:rFonts w:cs="Arial"/>
        </w:rPr>
        <w:t xml:space="preserve"> The ERR estimates from the perspective of the 2007 investment decision will be referred to below as the model 1 estimates.</w:t>
      </w:r>
      <w:r w:rsidR="003A35EA">
        <w:rPr>
          <w:rFonts w:cs="Arial"/>
        </w:rPr>
        <w:br/>
      </w:r>
    </w:p>
    <w:p w14:paraId="72B99C2D" w14:textId="263AC02D" w:rsidR="000913FE" w:rsidRPr="00A82029" w:rsidRDefault="000913FE" w:rsidP="000668BA">
      <w:pPr>
        <w:pStyle w:val="ListParagraph"/>
        <w:numPr>
          <w:ilvl w:val="0"/>
          <w:numId w:val="67"/>
        </w:numPr>
        <w:spacing w:before="120"/>
        <w:rPr>
          <w:rFonts w:cs="Arial"/>
        </w:rPr>
      </w:pPr>
      <w:r w:rsidRPr="003A35EA">
        <w:rPr>
          <w:rFonts w:cs="Arial"/>
          <w:b/>
        </w:rPr>
        <w:t>Model 2 – 2011 to 2015</w:t>
      </w:r>
      <w:r>
        <w:rPr>
          <w:rFonts w:cs="Arial"/>
        </w:rPr>
        <w:t xml:space="preserve">: </w:t>
      </w:r>
      <w:r w:rsidRPr="00A82029">
        <w:rPr>
          <w:rFonts w:cs="Arial"/>
        </w:rPr>
        <w:t xml:space="preserve">The estimates of model 2 are from the perspective of 2011, the year in which it was decided to extend APTC funding for a second four-year tranche. Even if model 1 results in ERR estimates well below 11 per cent (assumed here to be the cost of capital and, therefore, the break-even ERR separating </w:t>
      </w:r>
      <w:r w:rsidR="00B057EC">
        <w:rPr>
          <w:rFonts w:cs="Arial"/>
        </w:rPr>
        <w:t>‘</w:t>
      </w:r>
      <w:r w:rsidRPr="00A82029">
        <w:rPr>
          <w:rFonts w:cs="Arial"/>
        </w:rPr>
        <w:t>good</w:t>
      </w:r>
      <w:r w:rsidR="00B057EC">
        <w:rPr>
          <w:rFonts w:cs="Arial"/>
        </w:rPr>
        <w:t>’</w:t>
      </w:r>
      <w:r w:rsidR="00B057EC" w:rsidRPr="00A82029">
        <w:rPr>
          <w:rFonts w:cs="Arial"/>
        </w:rPr>
        <w:t xml:space="preserve"> </w:t>
      </w:r>
      <w:r w:rsidRPr="00A82029">
        <w:rPr>
          <w:rFonts w:cs="Arial"/>
        </w:rPr>
        <w:t xml:space="preserve">investments from </w:t>
      </w:r>
      <w:r w:rsidR="00B057EC">
        <w:rPr>
          <w:rFonts w:cs="Arial"/>
        </w:rPr>
        <w:t>‘</w:t>
      </w:r>
      <w:r w:rsidRPr="00A82029">
        <w:rPr>
          <w:rFonts w:cs="Arial"/>
        </w:rPr>
        <w:t>bad</w:t>
      </w:r>
      <w:r w:rsidR="00B057EC">
        <w:rPr>
          <w:rFonts w:cs="Arial"/>
        </w:rPr>
        <w:t>’</w:t>
      </w:r>
      <w:r w:rsidR="00B057EC" w:rsidRPr="00A82029">
        <w:rPr>
          <w:rFonts w:cs="Arial"/>
        </w:rPr>
        <w:t xml:space="preserve"> </w:t>
      </w:r>
      <w:r w:rsidRPr="00A82029">
        <w:rPr>
          <w:rFonts w:cs="Arial"/>
        </w:rPr>
        <w:t xml:space="preserve">ones), the decision in 2011 can be thought-of as a forward-looking decision in which all Stage I costs are treated as sunk costs. Model </w:t>
      </w:r>
      <w:r w:rsidR="00FB104D">
        <w:rPr>
          <w:rFonts w:cs="Arial"/>
        </w:rPr>
        <w:t>2</w:t>
      </w:r>
      <w:r w:rsidRPr="00A82029">
        <w:rPr>
          <w:rFonts w:cs="Arial"/>
        </w:rPr>
        <w:t>, therefore, will look only at costs and benefits attributable to Stage II of APTC.</w:t>
      </w:r>
      <w:r w:rsidR="003A35EA">
        <w:rPr>
          <w:rFonts w:cs="Arial"/>
        </w:rPr>
        <w:br/>
      </w:r>
    </w:p>
    <w:p w14:paraId="55A95977" w14:textId="256B4261" w:rsidR="000913FE" w:rsidRPr="00A82029" w:rsidRDefault="000913FE" w:rsidP="000668BA">
      <w:pPr>
        <w:pStyle w:val="ListParagraph"/>
        <w:numPr>
          <w:ilvl w:val="0"/>
          <w:numId w:val="67"/>
        </w:numPr>
        <w:spacing w:before="120"/>
        <w:rPr>
          <w:rFonts w:cs="Arial"/>
        </w:rPr>
      </w:pPr>
      <w:r w:rsidRPr="003A35EA">
        <w:rPr>
          <w:rFonts w:cs="Arial"/>
          <w:b/>
        </w:rPr>
        <w:t>Model 3 – 2015 to 2019</w:t>
      </w:r>
      <w:r>
        <w:rPr>
          <w:rFonts w:cs="Arial"/>
        </w:rPr>
        <w:t xml:space="preserve">: </w:t>
      </w:r>
      <w:r w:rsidRPr="00A82029">
        <w:rPr>
          <w:rFonts w:cs="Arial"/>
        </w:rPr>
        <w:t xml:space="preserve">By the same logic, model 3 will treat all Stage I </w:t>
      </w:r>
      <w:r w:rsidRPr="00A82029">
        <w:rPr>
          <w:rFonts w:cs="Arial"/>
          <w:i/>
        </w:rPr>
        <w:t>and</w:t>
      </w:r>
      <w:r w:rsidRPr="00A82029">
        <w:rPr>
          <w:rFonts w:cs="Arial"/>
        </w:rPr>
        <w:t xml:space="preserve"> Stage II costs as sunk costs and estimate ERRs based only on the costs and benefits of a third four-year tranche. In model 3, the clock is reset once again, and 2015 becomes the decision point, or year 0. This is, in fact, the relevant decision for DFAT and Australia to consider at this time. What will be the value for money (VfM) of an APTC renewal that channels </w:t>
      </w:r>
      <w:r w:rsidRPr="00A82029">
        <w:rPr>
          <w:rFonts w:cs="Arial"/>
          <w:i/>
        </w:rPr>
        <w:t>additional</w:t>
      </w:r>
      <w:r w:rsidRPr="00A82029">
        <w:rPr>
          <w:rFonts w:cs="Arial"/>
        </w:rPr>
        <w:t xml:space="preserve"> Australian tax dollars into this eight-year-old aid project? Of course, the answer to this question depends on how much money will be spent in any next operational round, how efficiently the money will be spent (as compared with Stages I and II), and how many Pacific Islanders will enrol, graduate, and benefit from the training in the next round. </w:t>
      </w:r>
    </w:p>
    <w:p w14:paraId="5CDA1274" w14:textId="77777777" w:rsidR="000913FE" w:rsidRPr="008F0CCB" w:rsidRDefault="000913FE" w:rsidP="000913FE">
      <w:pPr>
        <w:spacing w:before="120"/>
        <w:rPr>
          <w:rFonts w:cs="Arial"/>
        </w:rPr>
      </w:pPr>
      <w:r>
        <w:rPr>
          <w:rFonts w:cs="Arial"/>
        </w:rPr>
        <w:t xml:space="preserve">It should be noted that the </w:t>
      </w:r>
      <w:r w:rsidRPr="008F0CCB">
        <w:rPr>
          <w:rFonts w:cs="Arial"/>
        </w:rPr>
        <w:t xml:space="preserve">analysis in this independent review considers only the </w:t>
      </w:r>
      <w:r w:rsidRPr="008F0CCB">
        <w:rPr>
          <w:rFonts w:cs="Arial"/>
          <w:i/>
        </w:rPr>
        <w:t>dollar</w:t>
      </w:r>
      <w:r w:rsidRPr="008F0CCB">
        <w:rPr>
          <w:rFonts w:cs="Arial"/>
        </w:rPr>
        <w:t xml:space="preserve"> costs and the </w:t>
      </w:r>
      <w:r w:rsidRPr="008F0CCB">
        <w:rPr>
          <w:rFonts w:cs="Arial"/>
          <w:i/>
        </w:rPr>
        <w:t>dollar</w:t>
      </w:r>
      <w:r w:rsidRPr="008F0CCB">
        <w:rPr>
          <w:rFonts w:cs="Arial"/>
        </w:rPr>
        <w:t xml:space="preserve"> benefits of the investment. Questions having to do with Australia’s reputation in the Pacific (and in the eyes of the global community at large) and the likely pushback from any decision to walk away from the project after eight years of support (whether abruptly, or over a period of time, according to some well-prepared and transparent exit strategy), while </w:t>
      </w:r>
      <w:r>
        <w:rPr>
          <w:rFonts w:cs="Arial"/>
        </w:rPr>
        <w:t xml:space="preserve">certainly </w:t>
      </w:r>
      <w:r w:rsidRPr="008F0CCB">
        <w:rPr>
          <w:rFonts w:cs="Arial"/>
        </w:rPr>
        <w:t xml:space="preserve">relevant to Australia’s ultimate decision, are not factored into the </w:t>
      </w:r>
      <w:r>
        <w:rPr>
          <w:rFonts w:cs="Arial"/>
        </w:rPr>
        <w:t xml:space="preserve">economic </w:t>
      </w:r>
      <w:r w:rsidRPr="008F0CCB">
        <w:rPr>
          <w:rFonts w:cs="Arial"/>
        </w:rPr>
        <w:t>analysis.</w:t>
      </w:r>
    </w:p>
    <w:p w14:paraId="3502DF62" w14:textId="2A27DD15" w:rsidR="000913FE" w:rsidRPr="008F0CCB" w:rsidRDefault="000913FE" w:rsidP="000913FE">
      <w:pPr>
        <w:spacing w:before="120"/>
        <w:rPr>
          <w:rFonts w:cs="Arial"/>
        </w:rPr>
      </w:pPr>
      <w:r w:rsidRPr="008F0CCB">
        <w:rPr>
          <w:rFonts w:cs="Arial"/>
        </w:rPr>
        <w:t xml:space="preserve">Table 5 shows the parameters used for estimating the ERRs according to the three CBA models. For each of the parameters, the models </w:t>
      </w:r>
      <w:r>
        <w:rPr>
          <w:rFonts w:cs="Arial"/>
        </w:rPr>
        <w:t xml:space="preserve">are </w:t>
      </w:r>
      <w:r w:rsidRPr="008F0CCB">
        <w:rPr>
          <w:rFonts w:cs="Arial"/>
        </w:rPr>
        <w:t xml:space="preserve">estimated with three different values: (1) a base case value, which amounts to the </w:t>
      </w:r>
      <w:r>
        <w:rPr>
          <w:rFonts w:cs="Arial"/>
        </w:rPr>
        <w:t xml:space="preserve">review </w:t>
      </w:r>
      <w:r w:rsidRPr="008F0CCB">
        <w:rPr>
          <w:rFonts w:cs="Arial"/>
        </w:rPr>
        <w:t xml:space="preserve">team’s </w:t>
      </w:r>
      <w:r w:rsidR="007741DE">
        <w:rPr>
          <w:rFonts w:cs="Arial"/>
        </w:rPr>
        <w:t>‘</w:t>
      </w:r>
      <w:r w:rsidRPr="008F0CCB">
        <w:rPr>
          <w:rFonts w:cs="Arial"/>
        </w:rPr>
        <w:t>best guess</w:t>
      </w:r>
      <w:r w:rsidR="007741DE">
        <w:rPr>
          <w:rFonts w:cs="Arial"/>
        </w:rPr>
        <w:t>’</w:t>
      </w:r>
      <w:r w:rsidR="007741DE" w:rsidRPr="008F0CCB">
        <w:rPr>
          <w:rFonts w:cs="Arial"/>
        </w:rPr>
        <w:t xml:space="preserve"> </w:t>
      </w:r>
      <w:r w:rsidRPr="008F0CCB">
        <w:rPr>
          <w:rFonts w:cs="Arial"/>
        </w:rPr>
        <w:t xml:space="preserve">of the real value, (2) a low or </w:t>
      </w:r>
      <w:r w:rsidR="007741DE">
        <w:rPr>
          <w:rFonts w:cs="Arial"/>
        </w:rPr>
        <w:t>‘</w:t>
      </w:r>
      <w:r w:rsidRPr="008F0CCB">
        <w:rPr>
          <w:rFonts w:cs="Arial"/>
        </w:rPr>
        <w:t>pessimistic</w:t>
      </w:r>
      <w:r w:rsidR="007741DE">
        <w:rPr>
          <w:rFonts w:cs="Arial"/>
        </w:rPr>
        <w:t>’</w:t>
      </w:r>
      <w:r w:rsidR="007741DE" w:rsidRPr="008F0CCB">
        <w:rPr>
          <w:rFonts w:cs="Arial"/>
        </w:rPr>
        <w:t xml:space="preserve"> </w:t>
      </w:r>
      <w:r w:rsidRPr="008F0CCB">
        <w:rPr>
          <w:rFonts w:cs="Arial"/>
        </w:rPr>
        <w:t xml:space="preserve">value, and (3) a high or </w:t>
      </w:r>
      <w:r w:rsidR="007741DE">
        <w:rPr>
          <w:rFonts w:cs="Arial"/>
        </w:rPr>
        <w:t>‘</w:t>
      </w:r>
      <w:r w:rsidRPr="008F0CCB">
        <w:rPr>
          <w:rFonts w:cs="Arial"/>
        </w:rPr>
        <w:t>optimistic</w:t>
      </w:r>
      <w:r w:rsidR="007741DE">
        <w:rPr>
          <w:rFonts w:cs="Arial"/>
        </w:rPr>
        <w:t>’</w:t>
      </w:r>
      <w:r w:rsidR="007741DE" w:rsidRPr="008F0CCB">
        <w:rPr>
          <w:rFonts w:cs="Arial"/>
        </w:rPr>
        <w:t xml:space="preserve"> </w:t>
      </w:r>
      <w:r w:rsidRPr="008F0CCB">
        <w:rPr>
          <w:rFonts w:cs="Arial"/>
        </w:rPr>
        <w:t xml:space="preserve">value. </w:t>
      </w:r>
    </w:p>
    <w:p w14:paraId="4A407403" w14:textId="77777777" w:rsidR="000913FE" w:rsidRPr="006736CE" w:rsidRDefault="000913FE" w:rsidP="000913FE">
      <w:pPr>
        <w:pStyle w:val="Tableheading"/>
      </w:pPr>
      <w:bookmarkStart w:id="1074" w:name="_Toc272855485"/>
      <w:r>
        <w:br w:type="page"/>
      </w:r>
      <w:bookmarkStart w:id="1075" w:name="_Toc274915988"/>
      <w:bookmarkStart w:id="1076" w:name="_Toc278446967"/>
      <w:r w:rsidRPr="008F0CCB">
        <w:t>Table 5: Range of values for key parameters of the models used to estimate the ERRs and to conduct sensitivity analyses</w:t>
      </w:r>
      <w:bookmarkEnd w:id="1074"/>
      <w:bookmarkEnd w:id="1075"/>
      <w:bookmarkEnd w:id="1076"/>
    </w:p>
    <w:p w14:paraId="25AF86E3" w14:textId="77777777" w:rsidR="000913FE" w:rsidRPr="008F0CCB" w:rsidRDefault="000913FE" w:rsidP="000913FE">
      <w:pPr>
        <w:spacing w:after="0"/>
        <w:rPr>
          <w:rFonts w:cs="Arial"/>
        </w:rPr>
      </w:pPr>
      <w:r w:rsidRPr="008F0CCB">
        <w:rPr>
          <w:noProof/>
          <w:lang w:eastAsia="en-AU"/>
        </w:rPr>
        <w:drawing>
          <wp:inline distT="0" distB="0" distL="0" distR="0" wp14:anchorId="25F2E8C9" wp14:editId="09AE0593">
            <wp:extent cx="5328412" cy="3013964"/>
            <wp:effectExtent l="0" t="0" r="5715" b="8890"/>
            <wp:docPr id="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srcRect/>
                    <a:stretch>
                      <a:fillRect/>
                    </a:stretch>
                  </pic:blipFill>
                  <pic:spPr bwMode="auto">
                    <a:xfrm>
                      <a:off x="0" y="0"/>
                      <a:ext cx="5328412" cy="3013964"/>
                    </a:xfrm>
                    <a:prstGeom prst="rect">
                      <a:avLst/>
                    </a:prstGeom>
                    <a:noFill/>
                    <a:ln w="9525">
                      <a:noFill/>
                      <a:miter lim="800000"/>
                      <a:headEnd/>
                      <a:tailEnd/>
                    </a:ln>
                  </pic:spPr>
                </pic:pic>
              </a:graphicData>
            </a:graphic>
          </wp:inline>
        </w:drawing>
      </w:r>
    </w:p>
    <w:p w14:paraId="59D6663D" w14:textId="036BF8D6" w:rsidR="000913FE" w:rsidRPr="008F0CCB" w:rsidRDefault="000913FE" w:rsidP="000913FE">
      <w:pPr>
        <w:spacing w:before="120"/>
        <w:rPr>
          <w:rFonts w:cs="Arial"/>
        </w:rPr>
      </w:pPr>
      <w:r w:rsidRPr="008F0CCB">
        <w:rPr>
          <w:rFonts w:cs="Arial"/>
        </w:rPr>
        <w:t xml:space="preserve">The base case value for A, the </w:t>
      </w:r>
      <w:r w:rsidRPr="008F2AAA">
        <w:rPr>
          <w:rFonts w:cs="Arial"/>
          <w:i/>
        </w:rPr>
        <w:t>additional earnings</w:t>
      </w:r>
      <w:r w:rsidRPr="008F0CCB">
        <w:rPr>
          <w:rFonts w:cs="Arial"/>
        </w:rPr>
        <w:t xml:space="preserve"> per week on average </w:t>
      </w:r>
      <w:r w:rsidRPr="008F2AAA">
        <w:rPr>
          <w:rFonts w:cs="Arial"/>
          <w:i/>
        </w:rPr>
        <w:t>of APTC graduates who stay in the Pacific</w:t>
      </w:r>
      <w:r w:rsidRPr="008F0CCB">
        <w:rPr>
          <w:rFonts w:cs="Arial"/>
        </w:rPr>
        <w:t xml:space="preserve"> </w:t>
      </w:r>
      <w:r w:rsidRPr="008F2AAA">
        <w:rPr>
          <w:rFonts w:cs="Arial"/>
          <w:i/>
        </w:rPr>
        <w:t>and do not migrate</w:t>
      </w:r>
      <w:r w:rsidRPr="008F0CCB">
        <w:rPr>
          <w:rFonts w:cs="Arial"/>
        </w:rPr>
        <w:t>, is based on nearly 200 responses to questions included in a questionnaire administered to graduates in the five campus countries who attended focus-group meetings with the review team between June and August of 2014: (i) </w:t>
      </w:r>
      <w:r w:rsidR="003C6923">
        <w:rPr>
          <w:rFonts w:cs="Arial"/>
        </w:rPr>
        <w:t>‘</w:t>
      </w:r>
      <w:r w:rsidRPr="008F0CCB">
        <w:rPr>
          <w:rFonts w:cs="Arial"/>
        </w:rPr>
        <w:t>How much did you earn in the week before you started training at APTC?</w:t>
      </w:r>
      <w:r w:rsidR="003C6923">
        <w:rPr>
          <w:rFonts w:cs="Arial"/>
        </w:rPr>
        <w:t>’</w:t>
      </w:r>
      <w:r w:rsidRPr="008F0CCB">
        <w:rPr>
          <w:rFonts w:cs="Arial"/>
        </w:rPr>
        <w:t xml:space="preserve"> and (ii) </w:t>
      </w:r>
      <w:r w:rsidR="003C6923">
        <w:rPr>
          <w:rFonts w:cs="Arial"/>
        </w:rPr>
        <w:t>‘</w:t>
      </w:r>
      <w:r w:rsidRPr="008F0CCB">
        <w:rPr>
          <w:rFonts w:cs="Arial"/>
        </w:rPr>
        <w:t>How much did you earn last week</w:t>
      </w:r>
      <w:r w:rsidR="003C6923" w:rsidRPr="008F0CCB">
        <w:rPr>
          <w:rFonts w:cs="Arial"/>
        </w:rPr>
        <w:t>?</w:t>
      </w:r>
      <w:r w:rsidR="003C6923">
        <w:rPr>
          <w:rFonts w:cs="Arial"/>
        </w:rPr>
        <w:t>’</w:t>
      </w:r>
      <w:r w:rsidR="003C6923" w:rsidRPr="008F0CCB">
        <w:rPr>
          <w:rFonts w:cs="Arial"/>
        </w:rPr>
        <w:t xml:space="preserve"> </w:t>
      </w:r>
      <w:r w:rsidRPr="008F0CCB">
        <w:rPr>
          <w:rFonts w:cs="Arial"/>
        </w:rPr>
        <w:t xml:space="preserve">The difference between (ii) and (i), extrapolated over </w:t>
      </w:r>
      <w:r>
        <w:rPr>
          <w:rFonts w:cs="Arial"/>
        </w:rPr>
        <w:t xml:space="preserve">the </w:t>
      </w:r>
      <w:r w:rsidRPr="008F0CCB">
        <w:rPr>
          <w:rFonts w:cs="Arial"/>
        </w:rPr>
        <w:t>graduate’s remaining working lifetime, can be interpreted as the benefit received from the APTC training. The review team has settled on $55 per week as its best guess estimate of this benefit.</w:t>
      </w:r>
      <w:r w:rsidRPr="008F0CCB">
        <w:rPr>
          <w:rStyle w:val="FootnoteReference"/>
          <w:rFonts w:cs="Arial"/>
        </w:rPr>
        <w:footnoteReference w:id="80"/>
      </w:r>
      <w:r w:rsidRPr="008F0CCB">
        <w:rPr>
          <w:rFonts w:cs="Arial"/>
        </w:rPr>
        <w:t xml:space="preserve"> </w:t>
      </w:r>
    </w:p>
    <w:p w14:paraId="111D1FB5" w14:textId="20B11E5B" w:rsidR="000913FE" w:rsidRPr="008F0CCB" w:rsidRDefault="000913FE" w:rsidP="000913FE">
      <w:pPr>
        <w:spacing w:before="120"/>
        <w:rPr>
          <w:rFonts w:cs="Arial"/>
        </w:rPr>
      </w:pPr>
      <w:r w:rsidRPr="008F0CCB">
        <w:rPr>
          <w:rFonts w:cs="Arial"/>
        </w:rPr>
        <w:t xml:space="preserve">In addition to </w:t>
      </w:r>
      <w:r>
        <w:rPr>
          <w:rFonts w:cs="Arial"/>
        </w:rPr>
        <w:t xml:space="preserve">using these </w:t>
      </w:r>
      <w:r w:rsidRPr="008F0CCB">
        <w:rPr>
          <w:rFonts w:cs="Arial"/>
        </w:rPr>
        <w:t xml:space="preserve">responses from graduates, the review team administered questionnaires to more than 200 </w:t>
      </w:r>
      <w:r w:rsidRPr="008F2AAA">
        <w:rPr>
          <w:rFonts w:cs="Arial"/>
          <w:i/>
        </w:rPr>
        <w:t>current</w:t>
      </w:r>
      <w:r w:rsidRPr="008F0CCB">
        <w:rPr>
          <w:rFonts w:cs="Arial"/>
        </w:rPr>
        <w:t xml:space="preserve"> APTC students, who were also asked </w:t>
      </w:r>
      <w:r>
        <w:rPr>
          <w:rFonts w:cs="Arial"/>
        </w:rPr>
        <w:t xml:space="preserve">the first of the two questions that graduates were asked: </w:t>
      </w:r>
      <w:r w:rsidRPr="008F0CCB">
        <w:rPr>
          <w:rFonts w:cs="Arial"/>
        </w:rPr>
        <w:t xml:space="preserve">How much did you earn in the week before you started training at APTC? </w:t>
      </w:r>
      <w:r>
        <w:rPr>
          <w:rFonts w:cs="Arial"/>
        </w:rPr>
        <w:t xml:space="preserve">The students’ </w:t>
      </w:r>
      <w:r w:rsidRPr="008F0CCB">
        <w:rPr>
          <w:rFonts w:cs="Arial"/>
        </w:rPr>
        <w:t xml:space="preserve">responses </w:t>
      </w:r>
      <w:r>
        <w:rPr>
          <w:rFonts w:cs="Arial"/>
        </w:rPr>
        <w:t xml:space="preserve">were </w:t>
      </w:r>
      <w:r w:rsidRPr="008F0CCB">
        <w:rPr>
          <w:rFonts w:cs="Arial"/>
        </w:rPr>
        <w:t xml:space="preserve">combined with the responses from graduates and employers to estimate C, the </w:t>
      </w:r>
      <w:r w:rsidRPr="008F2AAA">
        <w:rPr>
          <w:rFonts w:cs="Arial"/>
          <w:i/>
        </w:rPr>
        <w:t>earnings foregone</w:t>
      </w:r>
      <w:r w:rsidRPr="008F0CCB">
        <w:rPr>
          <w:rFonts w:cs="Arial"/>
        </w:rPr>
        <w:t>, on average, by students who enrol at APTC. About two thirds (68 per cent) of the students and graduates reported that they were employed prior to enrolling. The loss of earnings (or the loss of production at work, even in the case of those</w:t>
      </w:r>
      <w:r>
        <w:rPr>
          <w:rFonts w:cs="Arial"/>
        </w:rPr>
        <w:t xml:space="preserve"> (</w:t>
      </w:r>
      <w:r w:rsidRPr="008F0CCB">
        <w:rPr>
          <w:rFonts w:cs="Arial"/>
        </w:rPr>
        <w:t>relatively few</w:t>
      </w:r>
      <w:r>
        <w:rPr>
          <w:rFonts w:cs="Arial"/>
        </w:rPr>
        <w:t>)</w:t>
      </w:r>
      <w:r w:rsidRPr="008F0CCB">
        <w:rPr>
          <w:rFonts w:cs="Arial"/>
        </w:rPr>
        <w:t xml:space="preserve"> students whose employers continue to pay them while they are studying) is an indirect cost (an opportunity cost) of the APTC training, and it needs to be added to the direct cost (expenditure by the College) in estimating the ERRs. The review team has decided on $140 per week as its best guess estimate of C, the average opportunity cost of the time </w:t>
      </w:r>
      <w:r>
        <w:rPr>
          <w:rFonts w:cs="Arial"/>
        </w:rPr>
        <w:t xml:space="preserve">spent </w:t>
      </w:r>
      <w:r w:rsidRPr="008F0CCB">
        <w:rPr>
          <w:rFonts w:cs="Arial"/>
        </w:rPr>
        <w:t>studying.</w:t>
      </w:r>
      <w:r w:rsidR="009864DB" w:rsidRPr="009864DB">
        <w:rPr>
          <w:rFonts w:cs="Arial"/>
          <w:szCs w:val="16"/>
          <w:vertAlign w:val="superscript"/>
          <w:lang w:val="sv-SE" w:eastAsia="sv-SE"/>
        </w:rPr>
        <w:t xml:space="preserve"> </w:t>
      </w:r>
      <w:r w:rsidR="009864DB" w:rsidRPr="009864DB">
        <w:rPr>
          <w:rFonts w:cs="Arial"/>
          <w:szCs w:val="16"/>
          <w:vertAlign w:val="superscript"/>
          <w:lang w:val="sv-SE" w:eastAsia="sv-SE"/>
        </w:rPr>
        <w:footnoteReference w:id="81"/>
      </w:r>
    </w:p>
    <w:p w14:paraId="25562BA9" w14:textId="6591E655" w:rsidR="000913FE" w:rsidRPr="008F0CCB" w:rsidRDefault="000913FE" w:rsidP="001A0B56">
      <w:pPr>
        <w:rPr>
          <w:rFonts w:cs="Arial"/>
        </w:rPr>
      </w:pPr>
      <w:r w:rsidRPr="008F0CCB">
        <w:rPr>
          <w:rFonts w:cs="Arial"/>
        </w:rPr>
        <w:t xml:space="preserve">The values for B (the parameters relating to the benefits of APTC training for </w:t>
      </w:r>
      <w:r w:rsidRPr="00AE769B">
        <w:rPr>
          <w:rFonts w:cs="Arial"/>
          <w:i/>
        </w:rPr>
        <w:t>graduates who migrate</w:t>
      </w:r>
      <w:r w:rsidRPr="008F0CCB">
        <w:rPr>
          <w:rFonts w:cs="Arial"/>
        </w:rPr>
        <w:t xml:space="preserve"> to Australia and other high-income economies) are based on a variety of sources. A recent tracer study of APTC graduates</w:t>
      </w:r>
      <w:r w:rsidRPr="008F0CCB">
        <w:rPr>
          <w:rStyle w:val="FootnoteReference"/>
          <w:rFonts w:cs="Arial"/>
        </w:rPr>
        <w:footnoteReference w:id="82"/>
      </w:r>
      <w:r w:rsidRPr="008F0CCB">
        <w:rPr>
          <w:rFonts w:cs="Arial"/>
        </w:rPr>
        <w:t xml:space="preserve"> showed tha</w:t>
      </w:r>
      <w:r w:rsidR="009C2032">
        <w:rPr>
          <w:rFonts w:cs="Arial"/>
        </w:rPr>
        <w:t>t 112 of 6</w:t>
      </w:r>
      <w:r w:rsidRPr="008F0CCB">
        <w:rPr>
          <w:rFonts w:cs="Arial"/>
        </w:rPr>
        <w:t>211, or 1.</w:t>
      </w:r>
      <w:r w:rsidR="001A0B56" w:rsidRPr="008F0CCB">
        <w:rPr>
          <w:rFonts w:cs="Arial"/>
        </w:rPr>
        <w:t>8</w:t>
      </w:r>
      <w:r w:rsidR="001A0B56">
        <w:rPr>
          <w:rFonts w:cs="Arial"/>
        </w:rPr>
        <w:t> </w:t>
      </w:r>
      <w:r w:rsidRPr="008F0CCB">
        <w:rPr>
          <w:rFonts w:cs="Arial"/>
        </w:rPr>
        <w:t xml:space="preserve">per cent, of respondents </w:t>
      </w:r>
      <w:r>
        <w:rPr>
          <w:rFonts w:cs="Arial"/>
        </w:rPr>
        <w:t xml:space="preserve">had </w:t>
      </w:r>
      <w:r w:rsidRPr="008F0CCB">
        <w:rPr>
          <w:rFonts w:cs="Arial"/>
        </w:rPr>
        <w:t xml:space="preserve">migrated to Australia, New Zealand, the United States, Canada and the United Arab Emirates. </w:t>
      </w:r>
      <w:r>
        <w:rPr>
          <w:rFonts w:cs="Arial"/>
        </w:rPr>
        <w:t>M</w:t>
      </w:r>
      <w:r w:rsidRPr="008F0CCB">
        <w:rPr>
          <w:rFonts w:cs="Arial"/>
        </w:rPr>
        <w:t xml:space="preserve">igrants are harder to track than graduates who stay home and, therefore, </w:t>
      </w:r>
      <w:r>
        <w:rPr>
          <w:rFonts w:cs="Arial"/>
        </w:rPr>
        <w:t xml:space="preserve">quite </w:t>
      </w:r>
      <w:r w:rsidRPr="008F0CCB">
        <w:rPr>
          <w:rFonts w:cs="Arial"/>
        </w:rPr>
        <w:t>likely to be under</w:t>
      </w:r>
      <w:r w:rsidR="001A0B56">
        <w:rPr>
          <w:rFonts w:cs="Arial"/>
        </w:rPr>
        <w:t>-</w:t>
      </w:r>
      <w:r w:rsidRPr="008F0CCB">
        <w:rPr>
          <w:rFonts w:cs="Arial"/>
        </w:rPr>
        <w:t xml:space="preserve">represented in APTC’s tracer studies. It is also likely that some graduates who have not migrated in the short time since APTC started producing graduates </w:t>
      </w:r>
      <w:r>
        <w:rPr>
          <w:rFonts w:cs="Arial"/>
        </w:rPr>
        <w:t xml:space="preserve">will </w:t>
      </w:r>
      <w:r w:rsidRPr="008F0CCB">
        <w:rPr>
          <w:rFonts w:cs="Arial"/>
        </w:rPr>
        <w:t>still do so at a later date. Of those who have migrated</w:t>
      </w:r>
      <w:r w:rsidR="00F3124E">
        <w:rPr>
          <w:rFonts w:cs="Arial"/>
        </w:rPr>
        <w:t>,</w:t>
      </w:r>
      <w:r w:rsidRPr="008F0CCB">
        <w:rPr>
          <w:rFonts w:cs="Arial"/>
        </w:rPr>
        <w:t xml:space="preserve"> or who, in responding to the survey questionnaire, express an intention to migrate, 52 per cent say that they would expect to stay away for more than five years, 43 per cent say they would expect to stay away for less than five years, and 5 per cent are unsure. Based on </w:t>
      </w:r>
      <w:r>
        <w:rPr>
          <w:rFonts w:cs="Arial"/>
        </w:rPr>
        <w:t xml:space="preserve">the above </w:t>
      </w:r>
      <w:r w:rsidRPr="008F0CCB">
        <w:rPr>
          <w:rFonts w:cs="Arial"/>
        </w:rPr>
        <w:t>survey results, the review team decided on 2.5 per</w:t>
      </w:r>
      <w:r>
        <w:rPr>
          <w:rFonts w:cs="Arial"/>
        </w:rPr>
        <w:t xml:space="preserve"> </w:t>
      </w:r>
      <w:r w:rsidRPr="008F0CCB">
        <w:rPr>
          <w:rFonts w:cs="Arial"/>
        </w:rPr>
        <w:t xml:space="preserve">cent, four years, and 10 years as the best guess estimates for the percentage who will eventually migrate (B1 in </w:t>
      </w:r>
      <w:r>
        <w:rPr>
          <w:rFonts w:cs="Arial"/>
        </w:rPr>
        <w:t>T</w:t>
      </w:r>
      <w:r w:rsidRPr="008F0CCB">
        <w:rPr>
          <w:rFonts w:cs="Arial"/>
        </w:rPr>
        <w:t xml:space="preserve">able 5), the average number of years between graduation and migration (B2), and the average time away before they return home (B4). </w:t>
      </w:r>
    </w:p>
    <w:p w14:paraId="75D5C21E" w14:textId="4F845E5D" w:rsidR="000913FE" w:rsidRPr="004D376B" w:rsidRDefault="000913FE" w:rsidP="000913FE">
      <w:pPr>
        <w:shd w:val="clear" w:color="auto" w:fill="FFFFFF"/>
        <w:rPr>
          <w:rFonts w:cs="Arial"/>
        </w:rPr>
      </w:pPr>
      <w:r w:rsidRPr="004D376B">
        <w:rPr>
          <w:rFonts w:cs="Arial"/>
        </w:rPr>
        <w:t xml:space="preserve">For B3 (the average </w:t>
      </w:r>
      <w:r w:rsidRPr="004D376B">
        <w:rPr>
          <w:rFonts w:cs="Arial"/>
          <w:i/>
        </w:rPr>
        <w:t>earnings differential of APTC graduates living abroad</w:t>
      </w:r>
      <w:r w:rsidRPr="004D376B">
        <w:rPr>
          <w:rFonts w:cs="Arial"/>
        </w:rPr>
        <w:t>), the review team conducted an analysis of Australian 2011 Census data showing the earnings of migrants to Australia from Fiji, PNG, and Samoa. In total, there were nearly 50,000 migrants from these three countries for whom weekly earnings data were available. The team extracted data only for those with Certificate III and Ce</w:t>
      </w:r>
      <w:r w:rsidR="009F1139" w:rsidRPr="004D376B">
        <w:rPr>
          <w:rFonts w:cs="Arial"/>
        </w:rPr>
        <w:t>rtificate IV credentials (N = 1</w:t>
      </w:r>
      <w:r w:rsidRPr="004D376B">
        <w:rPr>
          <w:rFonts w:cs="Arial"/>
        </w:rPr>
        <w:t xml:space="preserve">769) and, from this group, for those whose occupations matched closely the qualifications offered by APTC’s two schools, STT (N = 401) and SHCS (N = 578). </w:t>
      </w:r>
      <w:r w:rsidR="004D376B">
        <w:rPr>
          <w:rFonts w:cs="Arial"/>
        </w:rPr>
        <w:br/>
      </w:r>
      <w:r w:rsidRPr="004D376B">
        <w:rPr>
          <w:rFonts w:cs="Arial"/>
        </w:rPr>
        <w:t xml:space="preserve">The weighted average of weekly earnings for the two groups was $862; see Table 6. On this basis, the team chose $700 as its best guess estimate for the earnings differential of APTC migrants (over and above the counterfactual earnings of those at home in the Pacific without APTC training, which was assumed, as stated above, to be $140 per week). For B4 (the </w:t>
      </w:r>
      <w:r w:rsidRPr="004D376B">
        <w:rPr>
          <w:rFonts w:cs="Arial"/>
          <w:i/>
        </w:rPr>
        <w:t>earnings differential of migrants after they return home</w:t>
      </w:r>
      <w:r w:rsidRPr="004D376B">
        <w:rPr>
          <w:rFonts w:cs="Arial"/>
        </w:rPr>
        <w:t>), given the absence of any hard evidence on which to base a best guess evidence, the review team chose $110, or two times A (the differential for those who stay home and never migrate).</w:t>
      </w:r>
    </w:p>
    <w:p w14:paraId="5F6C375B" w14:textId="77777777" w:rsidR="00D36238" w:rsidRDefault="00D36238">
      <w:pPr>
        <w:spacing w:after="0"/>
        <w:rPr>
          <w:rFonts w:cs="Arial"/>
          <w:b/>
          <w:noProof/>
          <w:color w:val="76923C"/>
          <w:szCs w:val="22"/>
        </w:rPr>
      </w:pPr>
      <w:bookmarkStart w:id="1077" w:name="_Toc272855486"/>
      <w:bookmarkStart w:id="1078" w:name="_Toc274915989"/>
      <w:bookmarkStart w:id="1079" w:name="_Toc278446968"/>
      <w:r>
        <w:rPr>
          <w:noProof/>
        </w:rPr>
        <w:br w:type="page"/>
      </w:r>
    </w:p>
    <w:p w14:paraId="2484DCEE" w14:textId="563F8F60" w:rsidR="000913FE" w:rsidRDefault="000913FE" w:rsidP="000913FE">
      <w:pPr>
        <w:pStyle w:val="Tableheading"/>
        <w:rPr>
          <w:noProof/>
        </w:rPr>
      </w:pPr>
      <w:r w:rsidRPr="00511325">
        <w:rPr>
          <w:noProof/>
        </w:rPr>
        <w:t xml:space="preserve">Table 6: Average weekly earnings of migrants from Pacific with Certificate III </w:t>
      </w:r>
      <w:r w:rsidR="00681873">
        <w:rPr>
          <w:noProof/>
        </w:rPr>
        <w:br/>
      </w:r>
      <w:r w:rsidRPr="00511325">
        <w:rPr>
          <w:noProof/>
        </w:rPr>
        <w:t>and IV training to Australia (AUD)</w:t>
      </w:r>
      <w:bookmarkEnd w:id="1077"/>
      <w:bookmarkEnd w:id="1078"/>
      <w:bookmarkEnd w:id="1079"/>
    </w:p>
    <w:p w14:paraId="181C5CD2" w14:textId="77777777" w:rsidR="000913FE" w:rsidRPr="00811419" w:rsidRDefault="000913FE" w:rsidP="000913FE">
      <w:r>
        <w:rPr>
          <w:noProof/>
          <w:lang w:eastAsia="en-AU"/>
        </w:rPr>
        <w:drawing>
          <wp:inline distT="0" distB="0" distL="0" distR="0" wp14:anchorId="108F0CA5" wp14:editId="5AE4CD50">
            <wp:extent cx="4177665" cy="1791970"/>
            <wp:effectExtent l="25400" t="0" r="0" b="0"/>
            <wp:docPr id="5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srcRect/>
                    <a:stretch>
                      <a:fillRect/>
                    </a:stretch>
                  </pic:blipFill>
                  <pic:spPr bwMode="auto">
                    <a:xfrm>
                      <a:off x="0" y="0"/>
                      <a:ext cx="4177665" cy="1791970"/>
                    </a:xfrm>
                    <a:prstGeom prst="rect">
                      <a:avLst/>
                    </a:prstGeom>
                    <a:noFill/>
                    <a:ln w="9525">
                      <a:noFill/>
                      <a:miter lim="800000"/>
                      <a:headEnd/>
                      <a:tailEnd/>
                    </a:ln>
                  </pic:spPr>
                </pic:pic>
              </a:graphicData>
            </a:graphic>
          </wp:inline>
        </w:drawing>
      </w:r>
    </w:p>
    <w:p w14:paraId="1321AD46" w14:textId="77777777" w:rsidR="000913FE" w:rsidRPr="008F0CCB" w:rsidRDefault="000913FE" w:rsidP="000913FE">
      <w:pPr>
        <w:shd w:val="clear" w:color="auto" w:fill="FFFFFF"/>
        <w:rPr>
          <w:rFonts w:cs="Arial"/>
          <w:color w:val="222222"/>
        </w:rPr>
      </w:pPr>
    </w:p>
    <w:p w14:paraId="0E0106C3" w14:textId="2A04909D" w:rsidR="000913FE" w:rsidRPr="008F0CCB" w:rsidRDefault="000913FE" w:rsidP="000913FE">
      <w:pPr>
        <w:spacing w:before="120"/>
        <w:rPr>
          <w:rFonts w:cs="Arial"/>
        </w:rPr>
      </w:pPr>
      <w:r>
        <w:rPr>
          <w:rFonts w:cs="Arial"/>
        </w:rPr>
        <w:t xml:space="preserve">Also </w:t>
      </w:r>
      <w:r w:rsidRPr="008F0CCB">
        <w:rPr>
          <w:rFonts w:cs="Arial"/>
        </w:rPr>
        <w:t>needed to estimate each of the three ERR models are values</w:t>
      </w:r>
      <w:r>
        <w:rPr>
          <w:rFonts w:cs="Arial"/>
        </w:rPr>
        <w:t xml:space="preserve">, </w:t>
      </w:r>
      <w:r w:rsidRPr="008F0CCB">
        <w:rPr>
          <w:rFonts w:cs="Arial"/>
        </w:rPr>
        <w:t>for each operational year included in the model</w:t>
      </w:r>
      <w:r>
        <w:rPr>
          <w:rFonts w:cs="Arial"/>
        </w:rPr>
        <w:t>,</w:t>
      </w:r>
      <w:r w:rsidRPr="008F0CCB">
        <w:rPr>
          <w:rFonts w:cs="Arial"/>
        </w:rPr>
        <w:t xml:space="preserve"> </w:t>
      </w:r>
      <w:r>
        <w:rPr>
          <w:rFonts w:cs="Arial"/>
        </w:rPr>
        <w:t xml:space="preserve">of </w:t>
      </w:r>
      <w:r w:rsidRPr="008F0CCB">
        <w:rPr>
          <w:rFonts w:cs="Arial"/>
        </w:rPr>
        <w:t>the following flow variables: (1) direct costs (i.e., APTC expenditure)</w:t>
      </w:r>
      <w:r w:rsidR="0005658E">
        <w:rPr>
          <w:rFonts w:cs="Arial"/>
        </w:rPr>
        <w:t>;</w:t>
      </w:r>
      <w:r w:rsidRPr="008F0CCB">
        <w:rPr>
          <w:rFonts w:cs="Arial"/>
        </w:rPr>
        <w:t xml:space="preserve"> (2) </w:t>
      </w:r>
      <w:r>
        <w:rPr>
          <w:rFonts w:cs="Arial"/>
        </w:rPr>
        <w:t xml:space="preserve">the number of </w:t>
      </w:r>
      <w:r w:rsidRPr="008F0CCB">
        <w:rPr>
          <w:rFonts w:cs="Arial"/>
        </w:rPr>
        <w:t>beneficiaries (i.e., graduates)</w:t>
      </w:r>
      <w:r w:rsidR="0005658E">
        <w:rPr>
          <w:rFonts w:cs="Arial"/>
        </w:rPr>
        <w:t>;</w:t>
      </w:r>
      <w:r w:rsidRPr="008F0CCB">
        <w:rPr>
          <w:rFonts w:cs="Arial"/>
        </w:rPr>
        <w:t xml:space="preserve"> and (3) </w:t>
      </w:r>
      <w:r>
        <w:rPr>
          <w:rFonts w:cs="Arial"/>
        </w:rPr>
        <w:t xml:space="preserve">the number </w:t>
      </w:r>
      <w:r w:rsidR="00FC742A">
        <w:rPr>
          <w:rFonts w:cs="Arial"/>
        </w:rPr>
        <w:t xml:space="preserve">of </w:t>
      </w:r>
      <w:r w:rsidRPr="008F0CCB">
        <w:rPr>
          <w:rFonts w:cs="Arial"/>
        </w:rPr>
        <w:t xml:space="preserve">students enrolled. The third variable is needed for </w:t>
      </w:r>
      <w:r>
        <w:rPr>
          <w:rFonts w:cs="Arial"/>
        </w:rPr>
        <w:t xml:space="preserve">estimating opportunity costs (foregone earnings). It is also needed for estimating </w:t>
      </w:r>
      <w:r w:rsidRPr="008F0CCB">
        <w:rPr>
          <w:rFonts w:cs="Arial"/>
        </w:rPr>
        <w:t>the costs for 2015</w:t>
      </w:r>
      <w:r>
        <w:rPr>
          <w:rFonts w:cs="Arial"/>
        </w:rPr>
        <w:t>–</w:t>
      </w:r>
      <w:r w:rsidRPr="008F0CCB">
        <w:rPr>
          <w:rFonts w:cs="Arial"/>
        </w:rPr>
        <w:t>2019, the years of a hypothetical Stage III for APTC</w:t>
      </w:r>
      <w:r>
        <w:rPr>
          <w:rFonts w:cs="Arial"/>
        </w:rPr>
        <w:t>, in model 3</w:t>
      </w:r>
      <w:r w:rsidRPr="008F0CCB">
        <w:rPr>
          <w:rFonts w:cs="Arial"/>
        </w:rPr>
        <w:t>. Two versions of model 3 were estimated. In 3.1, the base case scenario, it is assumed that the various efficiency measures introduced over the eight semesters of Stage III as recommended i</w:t>
      </w:r>
      <w:r>
        <w:rPr>
          <w:rFonts w:cs="Arial"/>
        </w:rPr>
        <w:t>n this review</w:t>
      </w:r>
      <w:r w:rsidRPr="008F0CCB">
        <w:rPr>
          <w:rFonts w:cs="Arial"/>
        </w:rPr>
        <w:t xml:space="preserve"> will reduce the unit cost (i.e., cost per student) from its average level in Stage II to 90 per cent of that level by the last semester of Stage III (January</w:t>
      </w:r>
      <w:r>
        <w:rPr>
          <w:rFonts w:cs="Arial"/>
        </w:rPr>
        <w:t>–</w:t>
      </w:r>
      <w:r w:rsidRPr="008F0CCB">
        <w:rPr>
          <w:rFonts w:cs="Arial"/>
        </w:rPr>
        <w:t xml:space="preserve">June 2019). In 3.2, </w:t>
      </w:r>
      <w:r>
        <w:rPr>
          <w:rFonts w:cs="Arial"/>
        </w:rPr>
        <w:t xml:space="preserve">a more </w:t>
      </w:r>
      <w:r w:rsidRPr="008F0CCB">
        <w:rPr>
          <w:rFonts w:cs="Arial"/>
        </w:rPr>
        <w:t>optimistic scenario, it is assumed that efficiency measures will be twice as effective, reducing unit costs to 80 per cent of the Stage II average. The flow variable values (</w:t>
      </w:r>
      <w:r w:rsidRPr="008F0CCB">
        <w:rPr>
          <w:rFonts w:cs="Arial"/>
          <w:i/>
        </w:rPr>
        <w:t>actual values</w:t>
      </w:r>
      <w:r w:rsidRPr="008F0CCB">
        <w:rPr>
          <w:rFonts w:cs="Arial"/>
        </w:rPr>
        <w:t xml:space="preserve"> for July</w:t>
      </w:r>
      <w:r>
        <w:rPr>
          <w:rFonts w:cs="Arial"/>
        </w:rPr>
        <w:t>–</w:t>
      </w:r>
      <w:r w:rsidRPr="008F0CCB">
        <w:rPr>
          <w:rFonts w:cs="Arial"/>
        </w:rPr>
        <w:t>December 2007 through January</w:t>
      </w:r>
      <w:r>
        <w:rPr>
          <w:rFonts w:cs="Arial"/>
        </w:rPr>
        <w:t>–</w:t>
      </w:r>
      <w:r w:rsidRPr="008F0CCB">
        <w:rPr>
          <w:rFonts w:cs="Arial"/>
        </w:rPr>
        <w:t xml:space="preserve">June 2014 and </w:t>
      </w:r>
      <w:r w:rsidRPr="008F0CCB">
        <w:rPr>
          <w:rFonts w:cs="Arial"/>
          <w:i/>
        </w:rPr>
        <w:t>projected values</w:t>
      </w:r>
      <w:r w:rsidRPr="008F0CCB">
        <w:rPr>
          <w:rFonts w:cs="Arial"/>
        </w:rPr>
        <w:t xml:space="preserve"> for July</w:t>
      </w:r>
      <w:r>
        <w:rPr>
          <w:rFonts w:cs="Arial"/>
        </w:rPr>
        <w:t>–</w:t>
      </w:r>
      <w:r w:rsidRPr="008F0CCB">
        <w:rPr>
          <w:rFonts w:cs="Arial"/>
        </w:rPr>
        <w:t>December 2014 through January</w:t>
      </w:r>
      <w:r>
        <w:rPr>
          <w:rFonts w:cs="Arial"/>
        </w:rPr>
        <w:t>–</w:t>
      </w:r>
      <w:r w:rsidRPr="008F0CCB">
        <w:rPr>
          <w:rFonts w:cs="Arial"/>
        </w:rPr>
        <w:t xml:space="preserve">June 2019) are shown in </w:t>
      </w:r>
      <w:r>
        <w:rPr>
          <w:rFonts w:cs="Arial"/>
        </w:rPr>
        <w:t>A</w:t>
      </w:r>
      <w:r w:rsidRPr="008F0CCB">
        <w:rPr>
          <w:rFonts w:cs="Arial"/>
        </w:rPr>
        <w:t xml:space="preserve">ppendix </w:t>
      </w:r>
      <w:r>
        <w:rPr>
          <w:rFonts w:cs="Arial"/>
        </w:rPr>
        <w:t>T</w:t>
      </w:r>
      <w:r w:rsidRPr="008F0CCB">
        <w:rPr>
          <w:rFonts w:cs="Arial"/>
        </w:rPr>
        <w:t xml:space="preserve">able A.30. </w:t>
      </w:r>
    </w:p>
    <w:p w14:paraId="586D2062" w14:textId="7458F4C4" w:rsidR="000913FE" w:rsidRDefault="000913FE" w:rsidP="000913FE">
      <w:pPr>
        <w:spacing w:before="120"/>
        <w:rPr>
          <w:rFonts w:cs="Arial"/>
        </w:rPr>
      </w:pPr>
      <w:r w:rsidRPr="008F0CCB">
        <w:rPr>
          <w:rFonts w:cs="Arial"/>
        </w:rPr>
        <w:t xml:space="preserve">Given the values for the flow variables and for the parameters, it is then possible to picture each version of the APTC investment (models 1, 2, 3.1, and 3.2) by graphing the costs and the </w:t>
      </w:r>
      <w:r w:rsidRPr="008F0CCB">
        <w:t>benefits – as</w:t>
      </w:r>
      <w:r w:rsidRPr="008F0CCB">
        <w:rPr>
          <w:rFonts w:cs="Arial"/>
        </w:rPr>
        <w:t xml:space="preserve"> shown </w:t>
      </w:r>
      <w:r>
        <w:rPr>
          <w:rFonts w:cs="Arial"/>
        </w:rPr>
        <w:t>in F</w:t>
      </w:r>
      <w:r w:rsidRPr="007C2DF6">
        <w:rPr>
          <w:rFonts w:cs="Arial"/>
        </w:rPr>
        <w:t>igure 28</w:t>
      </w:r>
      <w:r w:rsidRPr="008F0CCB">
        <w:rPr>
          <w:rFonts w:cs="Arial"/>
        </w:rPr>
        <w:t xml:space="preserve"> for model 1. The bar graph shows the total costs and benefits over the 29-year </w:t>
      </w:r>
      <w:r w:rsidR="003C6923">
        <w:rPr>
          <w:rFonts w:cs="Arial"/>
        </w:rPr>
        <w:t>‘</w:t>
      </w:r>
      <w:r w:rsidRPr="008F0CCB">
        <w:rPr>
          <w:rFonts w:cs="Arial"/>
        </w:rPr>
        <w:t>life</w:t>
      </w:r>
      <w:r w:rsidR="003C6923">
        <w:rPr>
          <w:rFonts w:cs="Arial"/>
        </w:rPr>
        <w:t>’</w:t>
      </w:r>
      <w:r w:rsidR="003C6923" w:rsidRPr="008F0CCB">
        <w:rPr>
          <w:rFonts w:cs="Arial"/>
        </w:rPr>
        <w:t xml:space="preserve"> </w:t>
      </w:r>
      <w:r w:rsidRPr="008F0CCB">
        <w:rPr>
          <w:rFonts w:cs="Arial"/>
        </w:rPr>
        <w:t xml:space="preserve">of the investment. The nominal totals in the model 1 case are $296 million in costs and $586 million in benefits, but as with any investment, the costs are </w:t>
      </w:r>
      <w:r w:rsidR="004B3A5F">
        <w:rPr>
          <w:rFonts w:cs="Arial"/>
        </w:rPr>
        <w:t>‘</w:t>
      </w:r>
      <w:r w:rsidRPr="008F0CCB">
        <w:rPr>
          <w:rFonts w:cs="Arial"/>
        </w:rPr>
        <w:t>front-loaded</w:t>
      </w:r>
      <w:r w:rsidR="004B3A5F">
        <w:rPr>
          <w:rFonts w:cs="Arial"/>
        </w:rPr>
        <w:t>’</w:t>
      </w:r>
      <w:r w:rsidRPr="008F0CCB">
        <w:rPr>
          <w:rFonts w:cs="Arial"/>
        </w:rPr>
        <w:t xml:space="preserve"> and the benefits start later and continue into the future. Given the </w:t>
      </w:r>
      <w:r w:rsidR="004B3A5F">
        <w:rPr>
          <w:rFonts w:cs="Arial"/>
        </w:rPr>
        <w:t>‘</w:t>
      </w:r>
      <w:r w:rsidRPr="008F0CCB">
        <w:rPr>
          <w:rFonts w:cs="Arial"/>
        </w:rPr>
        <w:t>time value of money</w:t>
      </w:r>
      <w:r w:rsidR="004B3A5F">
        <w:rPr>
          <w:rFonts w:cs="Arial"/>
        </w:rPr>
        <w:t>’</w:t>
      </w:r>
      <w:r w:rsidRPr="008F0CCB">
        <w:rPr>
          <w:rFonts w:cs="Arial"/>
        </w:rPr>
        <w:t xml:space="preserve">, </w:t>
      </w:r>
      <w:r>
        <w:rPr>
          <w:rFonts w:cs="Arial"/>
        </w:rPr>
        <w:t xml:space="preserve">the </w:t>
      </w:r>
      <w:r w:rsidRPr="008F0CCB">
        <w:rPr>
          <w:rFonts w:cs="Arial"/>
        </w:rPr>
        <w:t xml:space="preserve">APTC investment can be deemed a </w:t>
      </w:r>
      <w:r w:rsidR="00307934">
        <w:rPr>
          <w:rFonts w:cs="Arial"/>
        </w:rPr>
        <w:t>‘</w:t>
      </w:r>
      <w:r w:rsidRPr="008F0CCB">
        <w:rPr>
          <w:rFonts w:cs="Arial"/>
        </w:rPr>
        <w:t>good investment</w:t>
      </w:r>
      <w:r w:rsidR="00307934">
        <w:rPr>
          <w:rFonts w:cs="Arial"/>
        </w:rPr>
        <w:t>’</w:t>
      </w:r>
      <w:r w:rsidRPr="008F0CCB">
        <w:rPr>
          <w:rFonts w:cs="Arial"/>
        </w:rPr>
        <w:t xml:space="preserve"> only if the best alternative </w:t>
      </w:r>
      <w:r w:rsidR="00821945">
        <w:rPr>
          <w:rFonts w:cs="Arial"/>
        </w:rPr>
        <w:t>$</w:t>
      </w:r>
      <w:r w:rsidRPr="008F0CCB">
        <w:rPr>
          <w:rFonts w:cs="Arial"/>
        </w:rPr>
        <w:t>296</w:t>
      </w:r>
      <w:r w:rsidR="00821945">
        <w:rPr>
          <w:rFonts w:cs="Arial"/>
        </w:rPr>
        <w:t xml:space="preserve"> </w:t>
      </w:r>
      <w:r w:rsidRPr="008F0CCB">
        <w:rPr>
          <w:rFonts w:cs="Arial"/>
        </w:rPr>
        <w:t xml:space="preserve">million investment would have resulted in a smaller (i.e., less valuable) future benefit stream. The conventional measure of the best alternative investment is the market discount rate, assumed here (in the base case scenario) to be 11 per cent. For the investment to be </w:t>
      </w:r>
      <w:r>
        <w:rPr>
          <w:rFonts w:cs="Arial"/>
        </w:rPr>
        <w:t xml:space="preserve">deemed </w:t>
      </w:r>
      <w:r w:rsidRPr="008F0CCB">
        <w:rPr>
          <w:rFonts w:cs="Arial"/>
        </w:rPr>
        <w:t xml:space="preserve">a good investment, it would need to have an ERR of 11 per cent </w:t>
      </w:r>
      <w:r>
        <w:rPr>
          <w:rFonts w:cs="Arial"/>
        </w:rPr>
        <w:t xml:space="preserve">or </w:t>
      </w:r>
      <w:r w:rsidRPr="008F0CCB">
        <w:rPr>
          <w:rFonts w:cs="Arial"/>
        </w:rPr>
        <w:t>higher.</w:t>
      </w:r>
    </w:p>
    <w:p w14:paraId="0353188B" w14:textId="77777777" w:rsidR="004047FA" w:rsidRDefault="000913FE" w:rsidP="000913FE">
      <w:pPr>
        <w:pStyle w:val="Tableheading"/>
      </w:pPr>
      <w:bookmarkStart w:id="1080" w:name="_Toc272855487"/>
      <w:r>
        <w:br/>
      </w:r>
      <w:bookmarkStart w:id="1081" w:name="_Toc274915990"/>
    </w:p>
    <w:p w14:paraId="500386BD" w14:textId="77777777" w:rsidR="004047FA" w:rsidRDefault="004047FA">
      <w:pPr>
        <w:spacing w:after="0"/>
        <w:rPr>
          <w:rFonts w:cs="Arial"/>
          <w:b/>
          <w:color w:val="76923C"/>
          <w:szCs w:val="22"/>
        </w:rPr>
      </w:pPr>
      <w:r>
        <w:br w:type="page"/>
      </w:r>
    </w:p>
    <w:p w14:paraId="6D803C9F" w14:textId="25E15195" w:rsidR="000913FE" w:rsidRDefault="000913FE" w:rsidP="000913FE">
      <w:pPr>
        <w:pStyle w:val="Tableheading"/>
      </w:pPr>
      <w:bookmarkStart w:id="1082" w:name="_Toc278446969"/>
      <w:r>
        <w:t>Figure 28</w:t>
      </w:r>
      <w:r w:rsidRPr="00677511">
        <w:t xml:space="preserve">: Costs and benefits of APTC Stages I and II </w:t>
      </w:r>
      <w:r>
        <w:t>–</w:t>
      </w:r>
      <w:r w:rsidRPr="00677511">
        <w:t xml:space="preserve"> </w:t>
      </w:r>
      <w:r>
        <w:t xml:space="preserve">the </w:t>
      </w:r>
      <w:r w:rsidRPr="00677511">
        <w:t xml:space="preserve">model 1 </w:t>
      </w:r>
      <w:r>
        <w:t xml:space="preserve">investment </w:t>
      </w:r>
      <w:r>
        <w:br/>
      </w:r>
      <w:r w:rsidRPr="00677511">
        <w:t>(AUD millions)</w:t>
      </w:r>
      <w:bookmarkEnd w:id="1080"/>
      <w:bookmarkEnd w:id="1081"/>
      <w:bookmarkEnd w:id="1082"/>
    </w:p>
    <w:p w14:paraId="6BA2849D" w14:textId="77777777" w:rsidR="000913FE" w:rsidRDefault="000913FE" w:rsidP="000913FE">
      <w:pPr>
        <w:pStyle w:val="Tableheading"/>
      </w:pPr>
      <w:r>
        <w:rPr>
          <w:noProof/>
          <w:lang w:eastAsia="en-AU"/>
        </w:rPr>
        <w:drawing>
          <wp:inline distT="0" distB="0" distL="0" distR="0" wp14:anchorId="16A558D2" wp14:editId="604D3333">
            <wp:extent cx="5016500" cy="2565400"/>
            <wp:effectExtent l="25400" t="0" r="0" b="0"/>
            <wp:docPr id="58" name="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4C667C1" w14:textId="0D8CBDD5" w:rsidR="000913FE" w:rsidRPr="008F0CCB" w:rsidRDefault="000913FE" w:rsidP="000913FE">
      <w:pPr>
        <w:spacing w:before="120"/>
        <w:rPr>
          <w:rFonts w:cs="Arial"/>
        </w:rPr>
      </w:pPr>
      <w:r w:rsidRPr="008F0CCB">
        <w:rPr>
          <w:rFonts w:cs="Arial"/>
        </w:rPr>
        <w:t xml:space="preserve">In </w:t>
      </w:r>
      <w:r>
        <w:rPr>
          <w:rFonts w:cs="Arial"/>
        </w:rPr>
        <w:t>F</w:t>
      </w:r>
      <w:r w:rsidRPr="007C2DF6">
        <w:rPr>
          <w:rFonts w:cs="Arial"/>
        </w:rPr>
        <w:t>igures 29 and 30</w:t>
      </w:r>
      <w:r w:rsidRPr="008F0CCB">
        <w:rPr>
          <w:rFonts w:cs="Arial"/>
        </w:rPr>
        <w:t>, the costs and benefits of APTC Stages I and II are broken down into their component parts. By comparison with APTC expenditure (the direct costs), the foregone earnings of students (indirect costs) are small</w:t>
      </w:r>
      <w:r>
        <w:rPr>
          <w:rFonts w:cs="Arial"/>
        </w:rPr>
        <w:t xml:space="preserve">. Also, </w:t>
      </w:r>
      <w:r w:rsidRPr="008F0CCB">
        <w:rPr>
          <w:rFonts w:cs="Arial"/>
        </w:rPr>
        <w:t>given the small number of APTC graduates who are expected to migrate to Australia and to other high-income economies, the increased earnings of those who stay and find work at home in the Pacific swamp the benefits associated with international labour migration.</w:t>
      </w:r>
    </w:p>
    <w:p w14:paraId="5A874688" w14:textId="77777777" w:rsidR="000913FE" w:rsidRDefault="000913FE" w:rsidP="000913FE">
      <w:pPr>
        <w:pStyle w:val="Tableheading"/>
      </w:pPr>
      <w:bookmarkStart w:id="1083" w:name="_Toc272855488"/>
      <w:bookmarkStart w:id="1084" w:name="_Toc274915991"/>
      <w:bookmarkStart w:id="1085" w:name="_Toc278446970"/>
      <w:r>
        <w:t>Figure 29</w:t>
      </w:r>
      <w:r w:rsidRPr="00843082">
        <w:t xml:space="preserve">: Direct and indirect costs of APTC Stages I and II </w:t>
      </w:r>
      <w:r>
        <w:t>–</w:t>
      </w:r>
      <w:r w:rsidRPr="00843082">
        <w:t xml:space="preserve"> the model 1 investment (AUD millions)</w:t>
      </w:r>
      <w:bookmarkEnd w:id="1083"/>
      <w:bookmarkEnd w:id="1084"/>
      <w:bookmarkEnd w:id="1085"/>
    </w:p>
    <w:p w14:paraId="12A9AD12" w14:textId="77777777" w:rsidR="000913FE" w:rsidRPr="00090A78" w:rsidRDefault="000913FE" w:rsidP="000913FE">
      <w:pPr>
        <w:spacing w:after="0"/>
        <w:rPr>
          <w:rFonts w:cs="Arial"/>
        </w:rPr>
      </w:pPr>
      <w:r>
        <w:rPr>
          <w:noProof/>
          <w:lang w:eastAsia="en-AU"/>
        </w:rPr>
        <w:drawing>
          <wp:inline distT="0" distB="0" distL="0" distR="0" wp14:anchorId="0CB20D3D" wp14:editId="25B28B3E">
            <wp:extent cx="3672840" cy="2209800"/>
            <wp:effectExtent l="25400" t="0" r="10160" b="0"/>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srcRect/>
                    <a:stretch>
                      <a:fillRect/>
                    </a:stretch>
                  </pic:blipFill>
                  <pic:spPr bwMode="auto">
                    <a:xfrm>
                      <a:off x="0" y="0"/>
                      <a:ext cx="3672840" cy="2209800"/>
                    </a:xfrm>
                    <a:prstGeom prst="rect">
                      <a:avLst/>
                    </a:prstGeom>
                    <a:noFill/>
                    <a:ln w="9525">
                      <a:noFill/>
                      <a:miter lim="800000"/>
                      <a:headEnd/>
                      <a:tailEnd/>
                    </a:ln>
                  </pic:spPr>
                </pic:pic>
              </a:graphicData>
            </a:graphic>
          </wp:inline>
        </w:drawing>
      </w:r>
    </w:p>
    <w:p w14:paraId="126140F7" w14:textId="77777777" w:rsidR="000913FE" w:rsidRDefault="000913FE" w:rsidP="000913FE">
      <w:pPr>
        <w:spacing w:after="200" w:line="276" w:lineRule="auto"/>
        <w:rPr>
          <w:rFonts w:cs="Arial"/>
        </w:rPr>
      </w:pPr>
    </w:p>
    <w:p w14:paraId="55AD6821" w14:textId="77777777" w:rsidR="004047FA" w:rsidRDefault="004047FA">
      <w:pPr>
        <w:spacing w:after="0"/>
        <w:rPr>
          <w:rFonts w:cs="Arial"/>
          <w:b/>
          <w:color w:val="76923C"/>
          <w:szCs w:val="22"/>
        </w:rPr>
      </w:pPr>
      <w:bookmarkStart w:id="1086" w:name="_Toc272855489"/>
      <w:bookmarkStart w:id="1087" w:name="_Toc274915992"/>
      <w:r>
        <w:br w:type="page"/>
      </w:r>
    </w:p>
    <w:p w14:paraId="38060AC3" w14:textId="7E491B68" w:rsidR="000913FE" w:rsidRDefault="000913FE" w:rsidP="000913FE">
      <w:pPr>
        <w:pStyle w:val="Tableheading"/>
      </w:pPr>
      <w:bookmarkStart w:id="1088" w:name="_Toc278446971"/>
      <w:r>
        <w:t>Figure 30</w:t>
      </w:r>
      <w:r w:rsidRPr="00843082">
        <w:t xml:space="preserve">: Benefits (increased graduate earnings) of APTC Stages I and II </w:t>
      </w:r>
      <w:r>
        <w:t>–</w:t>
      </w:r>
      <w:r w:rsidRPr="00843082">
        <w:t xml:space="preserve"> </w:t>
      </w:r>
      <w:r>
        <w:br/>
      </w:r>
      <w:r w:rsidRPr="00843082">
        <w:t>the model 1 investment (AUD millions)</w:t>
      </w:r>
      <w:bookmarkEnd w:id="1086"/>
      <w:bookmarkEnd w:id="1087"/>
      <w:bookmarkEnd w:id="1088"/>
    </w:p>
    <w:p w14:paraId="5AD7BC2C" w14:textId="77777777" w:rsidR="000913FE" w:rsidRDefault="000913FE" w:rsidP="000913FE">
      <w:pPr>
        <w:pStyle w:val="Tableheading"/>
      </w:pPr>
      <w:r>
        <w:rPr>
          <w:noProof/>
          <w:lang w:eastAsia="en-AU"/>
        </w:rPr>
        <w:drawing>
          <wp:inline distT="0" distB="0" distL="0" distR="0" wp14:anchorId="4D949833" wp14:editId="523CECC9">
            <wp:extent cx="5178002" cy="2309918"/>
            <wp:effectExtent l="0" t="0" r="3810" b="1905"/>
            <wp:docPr id="161" name="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15ABBF4" w14:textId="22C264E4" w:rsidR="000913FE" w:rsidRDefault="000913FE" w:rsidP="000913FE">
      <w:pPr>
        <w:spacing w:before="120"/>
        <w:rPr>
          <w:rFonts w:cs="Arial"/>
        </w:rPr>
      </w:pPr>
      <w:r w:rsidRPr="008F0CCB">
        <w:rPr>
          <w:rFonts w:cs="Arial"/>
        </w:rPr>
        <w:t xml:space="preserve">The estimation results of the four models are shown in </w:t>
      </w:r>
      <w:r>
        <w:rPr>
          <w:rFonts w:cs="Arial"/>
        </w:rPr>
        <w:t>A</w:t>
      </w:r>
      <w:r w:rsidRPr="008F0CCB">
        <w:rPr>
          <w:rFonts w:cs="Arial"/>
        </w:rPr>
        <w:t xml:space="preserve">ppendix </w:t>
      </w:r>
      <w:r>
        <w:rPr>
          <w:rFonts w:cs="Arial"/>
        </w:rPr>
        <w:t>T</w:t>
      </w:r>
      <w:r w:rsidRPr="008F0CCB">
        <w:rPr>
          <w:rFonts w:cs="Arial"/>
        </w:rPr>
        <w:t>ables A.31</w:t>
      </w:r>
      <w:r>
        <w:rPr>
          <w:rFonts w:cs="Arial"/>
        </w:rPr>
        <w:t xml:space="preserve"> to </w:t>
      </w:r>
      <w:r w:rsidRPr="008F0CCB">
        <w:rPr>
          <w:rFonts w:cs="Arial"/>
        </w:rPr>
        <w:t>A.34. The ERRs for the base case scenar</w:t>
      </w:r>
      <w:r>
        <w:rPr>
          <w:rFonts w:cs="Arial"/>
        </w:rPr>
        <w:t>ios are summarised in F</w:t>
      </w:r>
      <w:r w:rsidRPr="007C2DF6">
        <w:rPr>
          <w:rFonts w:cs="Arial"/>
        </w:rPr>
        <w:t>igure 31</w:t>
      </w:r>
      <w:r w:rsidRPr="00A92021">
        <w:rPr>
          <w:rFonts w:cs="Arial"/>
        </w:rPr>
        <w:t>.</w:t>
      </w:r>
      <w:r w:rsidRPr="008F0CCB">
        <w:rPr>
          <w:rFonts w:cs="Arial"/>
        </w:rPr>
        <w:t xml:space="preserve"> None of the four models results in an ERR of 11 per cent</w:t>
      </w:r>
      <w:r>
        <w:rPr>
          <w:rFonts w:cs="Arial"/>
        </w:rPr>
        <w:t xml:space="preserve"> or higher as needed to pass </w:t>
      </w:r>
      <w:r w:rsidRPr="008F0CCB">
        <w:rPr>
          <w:rFonts w:cs="Arial"/>
        </w:rPr>
        <w:t>the break-even test. Models 3.1 and 3.2, however, result in ERRs at or above 10 per cent, which some analysts take to be the cost of capital and, therefore, the appropriate discount rate to use for CBA; 11</w:t>
      </w:r>
      <w:r>
        <w:rPr>
          <w:rFonts w:cs="Arial"/>
        </w:rPr>
        <w:t> </w:t>
      </w:r>
      <w:r w:rsidRPr="008F0CCB">
        <w:rPr>
          <w:rFonts w:cs="Arial"/>
        </w:rPr>
        <w:t>per</w:t>
      </w:r>
      <w:r>
        <w:rPr>
          <w:rFonts w:cs="Arial"/>
        </w:rPr>
        <w:t> </w:t>
      </w:r>
      <w:r w:rsidRPr="008F0CCB">
        <w:rPr>
          <w:rFonts w:cs="Arial"/>
        </w:rPr>
        <w:t xml:space="preserve">cent is a more conservative criterion. </w:t>
      </w:r>
    </w:p>
    <w:p w14:paraId="30E93C8F" w14:textId="5B7A61D6" w:rsidR="000913FE" w:rsidRPr="006736CE" w:rsidRDefault="004047FA" w:rsidP="000913FE">
      <w:pPr>
        <w:pStyle w:val="Tableheading"/>
      </w:pPr>
      <w:bookmarkStart w:id="1089" w:name="_Toc272855490"/>
      <w:r>
        <w:br/>
      </w:r>
      <w:bookmarkStart w:id="1090" w:name="_Toc274915993"/>
      <w:bookmarkStart w:id="1091" w:name="_Toc278446972"/>
      <w:r w:rsidR="000913FE">
        <w:t>Figure 31</w:t>
      </w:r>
      <w:r w:rsidR="000913FE" w:rsidRPr="002E216C">
        <w:t xml:space="preserve">: ERRs of base case scenarios, models 1, 2, 3.1, and 3.2 as compared </w:t>
      </w:r>
      <w:r w:rsidR="000913FE">
        <w:br/>
      </w:r>
      <w:r w:rsidR="000913FE" w:rsidRPr="002E216C">
        <w:t>with 11% (opportunity cost of capital)</w:t>
      </w:r>
      <w:bookmarkEnd w:id="1089"/>
      <w:bookmarkEnd w:id="1090"/>
      <w:bookmarkEnd w:id="1091"/>
    </w:p>
    <w:p w14:paraId="7EC50746" w14:textId="77777777" w:rsidR="000913FE" w:rsidRPr="00090A78" w:rsidRDefault="000913FE" w:rsidP="000913FE">
      <w:pPr>
        <w:spacing w:after="0"/>
        <w:rPr>
          <w:rFonts w:cs="Arial"/>
        </w:rPr>
      </w:pPr>
      <w:r>
        <w:rPr>
          <w:noProof/>
          <w:lang w:eastAsia="en-AU"/>
        </w:rPr>
        <w:drawing>
          <wp:inline distT="0" distB="0" distL="0" distR="0" wp14:anchorId="008BD830" wp14:editId="0FF16635">
            <wp:extent cx="3672840" cy="2362200"/>
            <wp:effectExtent l="25400" t="0" r="1016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srcRect/>
                    <a:stretch>
                      <a:fillRect/>
                    </a:stretch>
                  </pic:blipFill>
                  <pic:spPr bwMode="auto">
                    <a:xfrm>
                      <a:off x="0" y="0"/>
                      <a:ext cx="3672840" cy="2362200"/>
                    </a:xfrm>
                    <a:prstGeom prst="rect">
                      <a:avLst/>
                    </a:prstGeom>
                    <a:noFill/>
                    <a:ln w="9525">
                      <a:noFill/>
                      <a:miter lim="800000"/>
                      <a:headEnd/>
                      <a:tailEnd/>
                    </a:ln>
                  </pic:spPr>
                </pic:pic>
              </a:graphicData>
            </a:graphic>
          </wp:inline>
        </w:drawing>
      </w:r>
    </w:p>
    <w:p w14:paraId="67B4F3A6" w14:textId="77777777" w:rsidR="000913FE" w:rsidRDefault="000913FE" w:rsidP="000913FE">
      <w:pPr>
        <w:spacing w:before="120"/>
        <w:rPr>
          <w:rFonts w:cs="Arial"/>
        </w:rPr>
      </w:pPr>
    </w:p>
    <w:p w14:paraId="23F424D0" w14:textId="2AAD28DC" w:rsidR="000913FE" w:rsidRPr="008F0CCB" w:rsidRDefault="000913FE" w:rsidP="000913FE">
      <w:pPr>
        <w:rPr>
          <w:rFonts w:cs="Arial"/>
        </w:rPr>
      </w:pPr>
      <w:r w:rsidRPr="008F0CCB">
        <w:rPr>
          <w:rFonts w:cs="Arial"/>
        </w:rPr>
        <w:t xml:space="preserve">What the results suggest, therefore, </w:t>
      </w:r>
      <w:r w:rsidRPr="00D23522">
        <w:rPr>
          <w:rFonts w:cs="Arial"/>
        </w:rPr>
        <w:t xml:space="preserve">looking </w:t>
      </w:r>
      <w:r>
        <w:rPr>
          <w:rFonts w:cs="Arial"/>
        </w:rPr>
        <w:t xml:space="preserve">only </w:t>
      </w:r>
      <w:r w:rsidRPr="00D23522">
        <w:rPr>
          <w:rFonts w:cs="Arial"/>
        </w:rPr>
        <w:t>ahead</w:t>
      </w:r>
      <w:r w:rsidRPr="008F0CCB">
        <w:rPr>
          <w:rFonts w:cs="Arial"/>
        </w:rPr>
        <w:t xml:space="preserve"> and treating all costs in Stages I and II </w:t>
      </w:r>
      <w:r>
        <w:rPr>
          <w:rFonts w:cs="Arial"/>
        </w:rPr>
        <w:t>as sunk costs,</w:t>
      </w:r>
      <w:r w:rsidRPr="008F0CCB">
        <w:rPr>
          <w:rFonts w:cs="Arial"/>
        </w:rPr>
        <w:t xml:space="preserve"> is that APTC </w:t>
      </w:r>
      <w:r>
        <w:rPr>
          <w:rFonts w:cs="Arial"/>
        </w:rPr>
        <w:t xml:space="preserve">might </w:t>
      </w:r>
      <w:r w:rsidRPr="008F0CCB">
        <w:rPr>
          <w:rFonts w:cs="Arial"/>
        </w:rPr>
        <w:t xml:space="preserve">be a marginally viable investment for </w:t>
      </w:r>
      <w:r>
        <w:rPr>
          <w:rFonts w:cs="Arial"/>
        </w:rPr>
        <w:t xml:space="preserve">GoA </w:t>
      </w:r>
      <w:r w:rsidRPr="008F0CCB">
        <w:rPr>
          <w:rFonts w:cs="Arial"/>
        </w:rPr>
        <w:t xml:space="preserve">to consider </w:t>
      </w:r>
      <w:r>
        <w:rPr>
          <w:rFonts w:cs="Arial"/>
        </w:rPr>
        <w:t xml:space="preserve">supporting after </w:t>
      </w:r>
      <w:r w:rsidRPr="008F0CCB">
        <w:rPr>
          <w:rFonts w:cs="Arial"/>
        </w:rPr>
        <w:t xml:space="preserve">Stage II funding comes to an end. </w:t>
      </w:r>
      <w:r>
        <w:rPr>
          <w:rFonts w:cs="Arial"/>
        </w:rPr>
        <w:t xml:space="preserve">An important </w:t>
      </w:r>
      <w:r w:rsidRPr="008F0CCB">
        <w:rPr>
          <w:rFonts w:cs="Arial"/>
        </w:rPr>
        <w:t xml:space="preserve">lesson of APTC’s first eight years, however, </w:t>
      </w:r>
      <w:r>
        <w:rPr>
          <w:rFonts w:cs="Arial"/>
        </w:rPr>
        <w:t xml:space="preserve">should not be forgotten – that </w:t>
      </w:r>
      <w:r w:rsidRPr="008F0CCB">
        <w:rPr>
          <w:rFonts w:cs="Arial"/>
        </w:rPr>
        <w:t>an</w:t>
      </w:r>
      <w:r>
        <w:rPr>
          <w:rFonts w:cs="Arial"/>
        </w:rPr>
        <w:t>y</w:t>
      </w:r>
      <w:r w:rsidRPr="008F0CCB">
        <w:rPr>
          <w:rFonts w:cs="Arial"/>
        </w:rPr>
        <w:t xml:space="preserve"> investment of APTC’s magnitude </w:t>
      </w:r>
      <w:r>
        <w:rPr>
          <w:rFonts w:cs="Arial"/>
        </w:rPr>
        <w:t xml:space="preserve">ought to </w:t>
      </w:r>
      <w:r w:rsidRPr="008F0CCB">
        <w:rPr>
          <w:rFonts w:cs="Arial"/>
        </w:rPr>
        <w:t xml:space="preserve">be </w:t>
      </w:r>
      <w:r>
        <w:rPr>
          <w:rFonts w:cs="Arial"/>
        </w:rPr>
        <w:t xml:space="preserve">properly </w:t>
      </w:r>
      <w:r w:rsidRPr="008F0CCB">
        <w:rPr>
          <w:rFonts w:cs="Arial"/>
        </w:rPr>
        <w:t xml:space="preserve">appraised and </w:t>
      </w:r>
      <w:r>
        <w:rPr>
          <w:rFonts w:cs="Arial"/>
        </w:rPr>
        <w:t xml:space="preserve">subjected to </w:t>
      </w:r>
      <w:r w:rsidRPr="008F0CCB">
        <w:rPr>
          <w:rFonts w:cs="Arial"/>
        </w:rPr>
        <w:t>a thorough</w:t>
      </w:r>
      <w:r>
        <w:rPr>
          <w:rFonts w:cs="Arial"/>
        </w:rPr>
        <w:t xml:space="preserve">going, ex ante CBA. Probably that analysis would have shown a </w:t>
      </w:r>
      <w:r w:rsidRPr="008F0CCB">
        <w:rPr>
          <w:rFonts w:cs="Arial"/>
        </w:rPr>
        <w:t>below-market ERR</w:t>
      </w:r>
      <w:r>
        <w:rPr>
          <w:rFonts w:cs="Arial"/>
        </w:rPr>
        <w:t xml:space="preserve">, and if so, the APTC investment should not have been undertaken </w:t>
      </w:r>
      <w:r w:rsidRPr="00806C0C">
        <w:rPr>
          <w:rFonts w:cs="Arial"/>
          <w:i/>
        </w:rPr>
        <w:t>unless there were other good reasons for overriding the ERR criterion</w:t>
      </w:r>
      <w:r w:rsidRPr="008F0CCB">
        <w:rPr>
          <w:rFonts w:cs="Arial"/>
        </w:rPr>
        <w:t xml:space="preserve">. </w:t>
      </w:r>
      <w:r w:rsidR="001079D2">
        <w:rPr>
          <w:rFonts w:cs="Arial"/>
        </w:rPr>
        <w:t>‘</w:t>
      </w:r>
      <w:r>
        <w:rPr>
          <w:rFonts w:cs="Arial"/>
        </w:rPr>
        <w:t>Good reasons</w:t>
      </w:r>
      <w:r w:rsidR="001079D2">
        <w:rPr>
          <w:rFonts w:cs="Arial"/>
        </w:rPr>
        <w:t>’</w:t>
      </w:r>
      <w:r>
        <w:rPr>
          <w:rFonts w:cs="Arial"/>
        </w:rPr>
        <w:t xml:space="preserve"> might have included a </w:t>
      </w:r>
      <w:r w:rsidRPr="008F0CCB">
        <w:rPr>
          <w:rFonts w:cs="Arial"/>
        </w:rPr>
        <w:t xml:space="preserve">demonstrated impact on equity </w:t>
      </w:r>
      <w:r>
        <w:rPr>
          <w:rFonts w:cs="Arial"/>
        </w:rPr>
        <w:t xml:space="preserve">issues </w:t>
      </w:r>
      <w:r w:rsidRPr="008F0CCB">
        <w:rPr>
          <w:rFonts w:cs="Arial"/>
        </w:rPr>
        <w:t>(</w:t>
      </w:r>
      <w:r>
        <w:rPr>
          <w:rFonts w:cs="Arial"/>
        </w:rPr>
        <w:t xml:space="preserve">addressing </w:t>
      </w:r>
      <w:r w:rsidRPr="008F0CCB">
        <w:rPr>
          <w:rFonts w:cs="Arial"/>
        </w:rPr>
        <w:t xml:space="preserve">inequality across </w:t>
      </w:r>
      <w:r>
        <w:rPr>
          <w:rFonts w:cs="Arial"/>
        </w:rPr>
        <w:t xml:space="preserve">national, ethnic, socioeconomic, and </w:t>
      </w:r>
      <w:r w:rsidRPr="008F0CCB">
        <w:rPr>
          <w:rFonts w:cs="Arial"/>
        </w:rPr>
        <w:t xml:space="preserve">gender </w:t>
      </w:r>
      <w:r>
        <w:rPr>
          <w:rFonts w:cs="Arial"/>
        </w:rPr>
        <w:t>lines</w:t>
      </w:r>
      <w:r w:rsidRPr="008F0CCB">
        <w:rPr>
          <w:rFonts w:cs="Arial"/>
        </w:rPr>
        <w:t xml:space="preserve">) or a </w:t>
      </w:r>
      <w:r>
        <w:rPr>
          <w:rFonts w:cs="Arial"/>
        </w:rPr>
        <w:t xml:space="preserve">strong </w:t>
      </w:r>
      <w:r w:rsidRPr="008F0CCB">
        <w:rPr>
          <w:rFonts w:cs="Arial"/>
        </w:rPr>
        <w:t xml:space="preserve">belief in the existence of </w:t>
      </w:r>
      <w:r w:rsidR="00630099">
        <w:rPr>
          <w:rFonts w:cs="Arial"/>
        </w:rPr>
        <w:t>‘</w:t>
      </w:r>
      <w:r w:rsidRPr="008F0CCB">
        <w:rPr>
          <w:rFonts w:cs="Arial"/>
        </w:rPr>
        <w:t>external</w:t>
      </w:r>
      <w:r>
        <w:rPr>
          <w:rFonts w:cs="Arial"/>
        </w:rPr>
        <w:t>ities</w:t>
      </w:r>
      <w:r w:rsidR="00630099">
        <w:rPr>
          <w:rFonts w:cs="Arial"/>
        </w:rPr>
        <w:t>’</w:t>
      </w:r>
      <w:r>
        <w:rPr>
          <w:rFonts w:cs="Arial"/>
        </w:rPr>
        <w:t xml:space="preserve"> – </w:t>
      </w:r>
      <w:r w:rsidRPr="008F0CCB">
        <w:rPr>
          <w:rFonts w:cs="Arial"/>
        </w:rPr>
        <w:t xml:space="preserve">benefits that accrue to individuals other than students </w:t>
      </w:r>
      <w:r>
        <w:rPr>
          <w:rFonts w:cs="Arial"/>
        </w:rPr>
        <w:t xml:space="preserve">and graduates (the direct beneficiaries) </w:t>
      </w:r>
      <w:r w:rsidRPr="008F0CCB">
        <w:rPr>
          <w:rFonts w:cs="Arial"/>
        </w:rPr>
        <w:t xml:space="preserve">that </w:t>
      </w:r>
      <w:r>
        <w:rPr>
          <w:rFonts w:cs="Arial"/>
        </w:rPr>
        <w:t xml:space="preserve">are difficult to measure </w:t>
      </w:r>
      <w:r w:rsidRPr="008F0CCB">
        <w:rPr>
          <w:rFonts w:cs="Arial"/>
        </w:rPr>
        <w:t xml:space="preserve">and </w:t>
      </w:r>
      <w:r>
        <w:rPr>
          <w:rFonts w:cs="Arial"/>
        </w:rPr>
        <w:t xml:space="preserve">that </w:t>
      </w:r>
      <w:r w:rsidRPr="008F0CCB">
        <w:rPr>
          <w:rFonts w:cs="Arial"/>
        </w:rPr>
        <w:t xml:space="preserve">cannot, therefore, be reflected in </w:t>
      </w:r>
      <w:r>
        <w:rPr>
          <w:rFonts w:cs="Arial"/>
        </w:rPr>
        <w:t xml:space="preserve">an </w:t>
      </w:r>
      <w:r w:rsidRPr="008F0CCB">
        <w:rPr>
          <w:rFonts w:cs="Arial"/>
        </w:rPr>
        <w:t xml:space="preserve">ERR analysis. Annex </w:t>
      </w:r>
      <w:r>
        <w:rPr>
          <w:rFonts w:cs="Arial"/>
        </w:rPr>
        <w:t>6</w:t>
      </w:r>
      <w:r w:rsidRPr="008F0CCB">
        <w:rPr>
          <w:rFonts w:cs="Arial"/>
        </w:rPr>
        <w:t>, above, included a discussion of APTC’s impact on equity</w:t>
      </w:r>
      <w:r>
        <w:rPr>
          <w:rFonts w:cs="Arial"/>
        </w:rPr>
        <w:t xml:space="preserve">. This </w:t>
      </w:r>
      <w:r w:rsidRPr="008F0CCB">
        <w:rPr>
          <w:rFonts w:cs="Arial"/>
        </w:rPr>
        <w:t xml:space="preserve">annex </w:t>
      </w:r>
      <w:r>
        <w:rPr>
          <w:rFonts w:cs="Arial"/>
        </w:rPr>
        <w:t xml:space="preserve">(Annex 9) </w:t>
      </w:r>
      <w:r w:rsidRPr="008F0CCB">
        <w:rPr>
          <w:rFonts w:cs="Arial"/>
        </w:rPr>
        <w:t xml:space="preserve">will </w:t>
      </w:r>
      <w:r>
        <w:rPr>
          <w:rFonts w:cs="Arial"/>
        </w:rPr>
        <w:t xml:space="preserve">return shortly to the elusive question of </w:t>
      </w:r>
      <w:r w:rsidRPr="008F0CCB">
        <w:rPr>
          <w:rFonts w:cs="Arial"/>
        </w:rPr>
        <w:t>indirect benefits</w:t>
      </w:r>
      <w:r>
        <w:rPr>
          <w:rFonts w:cs="Arial"/>
        </w:rPr>
        <w:t xml:space="preserve">, </w:t>
      </w:r>
      <w:r w:rsidRPr="008F0CCB">
        <w:rPr>
          <w:rFonts w:cs="Arial"/>
        </w:rPr>
        <w:t>or externalities.</w:t>
      </w:r>
    </w:p>
    <w:p w14:paraId="6834FC8D" w14:textId="74CAC81E" w:rsidR="000913FE" w:rsidRPr="008F0CCB" w:rsidRDefault="000913FE" w:rsidP="000913FE">
      <w:pPr>
        <w:rPr>
          <w:rFonts w:cs="Arial"/>
        </w:rPr>
      </w:pPr>
      <w:r w:rsidRPr="008F0CCB">
        <w:rPr>
          <w:rFonts w:cs="Arial"/>
        </w:rPr>
        <w:t xml:space="preserve">Appendix </w:t>
      </w:r>
      <w:r>
        <w:rPr>
          <w:rFonts w:cs="Arial"/>
        </w:rPr>
        <w:t>T</w:t>
      </w:r>
      <w:r w:rsidRPr="008F0CCB">
        <w:rPr>
          <w:rFonts w:cs="Arial"/>
        </w:rPr>
        <w:t>ables A.31</w:t>
      </w:r>
      <w:r>
        <w:rPr>
          <w:rFonts w:cs="Arial"/>
        </w:rPr>
        <w:t xml:space="preserve"> – </w:t>
      </w:r>
      <w:r w:rsidRPr="008F0CCB">
        <w:rPr>
          <w:rFonts w:cs="Arial"/>
        </w:rPr>
        <w:t xml:space="preserve">A.34 include, in addition to the base case ERR estimates, </w:t>
      </w:r>
      <w:r>
        <w:rPr>
          <w:rFonts w:cs="Arial"/>
        </w:rPr>
        <w:t xml:space="preserve">additional results showing </w:t>
      </w:r>
      <w:r w:rsidRPr="008F0CCB">
        <w:rPr>
          <w:rFonts w:cs="Arial"/>
        </w:rPr>
        <w:t xml:space="preserve">how the </w:t>
      </w:r>
      <w:r>
        <w:rPr>
          <w:rFonts w:cs="Arial"/>
        </w:rPr>
        <w:t xml:space="preserve">ERR </w:t>
      </w:r>
      <w:r w:rsidRPr="008F0CCB">
        <w:rPr>
          <w:rFonts w:cs="Arial"/>
        </w:rPr>
        <w:t>change</w:t>
      </w:r>
      <w:r>
        <w:rPr>
          <w:rFonts w:cs="Arial"/>
        </w:rPr>
        <w:t>s</w:t>
      </w:r>
      <w:r w:rsidRPr="008F0CCB">
        <w:rPr>
          <w:rFonts w:cs="Arial"/>
        </w:rPr>
        <w:t xml:space="preserve"> as each of the parameter values is changed</w:t>
      </w:r>
      <w:r>
        <w:rPr>
          <w:rFonts w:cs="Arial"/>
        </w:rPr>
        <w:t>,</w:t>
      </w:r>
      <w:r w:rsidRPr="008F0CCB">
        <w:rPr>
          <w:rFonts w:cs="Arial"/>
        </w:rPr>
        <w:t xml:space="preserve"> </w:t>
      </w:r>
      <w:r>
        <w:rPr>
          <w:rFonts w:cs="Arial"/>
        </w:rPr>
        <w:t xml:space="preserve">in turn, </w:t>
      </w:r>
      <w:r w:rsidRPr="008F0CCB">
        <w:rPr>
          <w:rFonts w:cs="Arial"/>
        </w:rPr>
        <w:t xml:space="preserve">from the best guess value to a low (pessimistic) and then to a high (optimistic) value. Except for the substitution of $70 for $55 as the </w:t>
      </w:r>
      <w:r>
        <w:rPr>
          <w:rFonts w:cs="Arial"/>
        </w:rPr>
        <w:t xml:space="preserve">average </w:t>
      </w:r>
      <w:r w:rsidRPr="008F0CCB">
        <w:rPr>
          <w:rFonts w:cs="Arial"/>
        </w:rPr>
        <w:t xml:space="preserve">earnings differential </w:t>
      </w:r>
      <w:r>
        <w:rPr>
          <w:rFonts w:cs="Arial"/>
        </w:rPr>
        <w:t xml:space="preserve">for </w:t>
      </w:r>
      <w:r w:rsidRPr="008F0CCB">
        <w:rPr>
          <w:rFonts w:cs="Arial"/>
        </w:rPr>
        <w:t xml:space="preserve">APTC graduates </w:t>
      </w:r>
      <w:r>
        <w:rPr>
          <w:rFonts w:cs="Arial"/>
        </w:rPr>
        <w:t xml:space="preserve">in the Pacific </w:t>
      </w:r>
      <w:r w:rsidRPr="008F0CCB">
        <w:rPr>
          <w:rFonts w:cs="Arial"/>
        </w:rPr>
        <w:t>(parameter A)</w:t>
      </w:r>
      <w:r>
        <w:rPr>
          <w:rFonts w:cs="Arial"/>
        </w:rPr>
        <w:t>,</w:t>
      </w:r>
      <w:r w:rsidRPr="008F0CCB">
        <w:rPr>
          <w:rFonts w:cs="Arial"/>
        </w:rPr>
        <w:t xml:space="preserve"> and except for model 3.2 (efficiency gains amounting to 20 per cent of the average Stage II unit cost</w:t>
      </w:r>
      <w:r>
        <w:rPr>
          <w:rFonts w:cs="Arial"/>
        </w:rPr>
        <w:t xml:space="preserve"> rather than 10 per cent</w:t>
      </w:r>
      <w:r w:rsidRPr="008F0CCB">
        <w:rPr>
          <w:rFonts w:cs="Arial"/>
        </w:rPr>
        <w:t>), the optimistic assumptions do not raise the estimated ERR</w:t>
      </w:r>
      <w:r>
        <w:rPr>
          <w:rFonts w:cs="Arial"/>
        </w:rPr>
        <w:t>s</w:t>
      </w:r>
      <w:r w:rsidRPr="008F0CCB">
        <w:rPr>
          <w:rFonts w:cs="Arial"/>
        </w:rPr>
        <w:t xml:space="preserve"> to the 11 per cent break-even level. In other words, sensitivity </w:t>
      </w:r>
      <w:r>
        <w:rPr>
          <w:rFonts w:cs="Arial"/>
        </w:rPr>
        <w:t xml:space="preserve">analysis </w:t>
      </w:r>
      <w:r w:rsidRPr="008F0CCB">
        <w:rPr>
          <w:rFonts w:cs="Arial"/>
        </w:rPr>
        <w:t>reinforce</w:t>
      </w:r>
      <w:r>
        <w:rPr>
          <w:rFonts w:cs="Arial"/>
        </w:rPr>
        <w:t>s</w:t>
      </w:r>
      <w:r w:rsidRPr="008F0CCB">
        <w:rPr>
          <w:rFonts w:cs="Arial"/>
        </w:rPr>
        <w:t xml:space="preserve"> the conclusion that, based on measurable direct benefits alone, </w:t>
      </w:r>
      <w:r>
        <w:rPr>
          <w:rFonts w:cs="Arial"/>
        </w:rPr>
        <w:t xml:space="preserve">APTC </w:t>
      </w:r>
      <w:r w:rsidRPr="008F0CCB">
        <w:rPr>
          <w:rFonts w:cs="Arial"/>
        </w:rPr>
        <w:t xml:space="preserve">has been a poor or, at best, </w:t>
      </w:r>
      <w:r>
        <w:rPr>
          <w:rFonts w:cs="Arial"/>
        </w:rPr>
        <w:t xml:space="preserve">a </w:t>
      </w:r>
      <w:r w:rsidRPr="008F0CCB">
        <w:rPr>
          <w:rFonts w:cs="Arial"/>
        </w:rPr>
        <w:t xml:space="preserve">marginal investment </w:t>
      </w:r>
      <w:r>
        <w:rPr>
          <w:rFonts w:cs="Arial"/>
        </w:rPr>
        <w:t>by GoA</w:t>
      </w:r>
      <w:r w:rsidRPr="008F0CCB">
        <w:rPr>
          <w:rFonts w:cs="Arial"/>
        </w:rPr>
        <w:t>.</w:t>
      </w:r>
    </w:p>
    <w:p w14:paraId="53C9A7E1" w14:textId="3805D637" w:rsidR="000913FE" w:rsidRPr="008F0CCB" w:rsidRDefault="000913FE" w:rsidP="000913FE">
      <w:pPr>
        <w:rPr>
          <w:rFonts w:cs="Arial"/>
        </w:rPr>
      </w:pPr>
      <w:r w:rsidRPr="008F0CCB">
        <w:rPr>
          <w:rFonts w:cs="Arial"/>
        </w:rPr>
        <w:t xml:space="preserve">There is, however, a </w:t>
      </w:r>
      <w:r w:rsidRPr="008F0CCB">
        <w:rPr>
          <w:rFonts w:cs="Arial"/>
          <w:i/>
        </w:rPr>
        <w:t>deus ex machina</w:t>
      </w:r>
      <w:r w:rsidRPr="008F0CCB">
        <w:rPr>
          <w:rFonts w:cs="Arial"/>
        </w:rPr>
        <w:t xml:space="preserve"> that can make everything look better</w:t>
      </w:r>
      <w:r>
        <w:rPr>
          <w:rFonts w:cs="Arial"/>
        </w:rPr>
        <w:t xml:space="preserve"> </w:t>
      </w:r>
      <w:r w:rsidRPr="008F0CCB">
        <w:rPr>
          <w:rFonts w:cs="Arial"/>
        </w:rPr>
        <w:t>quickly, and this is the possible role of externalities</w:t>
      </w:r>
      <w:r>
        <w:rPr>
          <w:rFonts w:cs="Arial"/>
        </w:rPr>
        <w:t xml:space="preserve"> </w:t>
      </w:r>
      <w:r w:rsidRPr="008F0CCB">
        <w:rPr>
          <w:rFonts w:cs="Arial"/>
        </w:rPr>
        <w:t>or indirect benefits. There is ample reason to believe that APTC graduates contribute to workplace productivity, by passing along knowledge to co-workers and improving workplace organi</w:t>
      </w:r>
      <w:r>
        <w:rPr>
          <w:rFonts w:cs="Arial"/>
        </w:rPr>
        <w:t>s</w:t>
      </w:r>
      <w:r w:rsidRPr="008F0CCB">
        <w:rPr>
          <w:rFonts w:cs="Arial"/>
        </w:rPr>
        <w:t>ation and procedures</w:t>
      </w:r>
      <w:r w:rsidR="00707B37">
        <w:rPr>
          <w:rFonts w:cs="Arial"/>
        </w:rPr>
        <w:t xml:space="preserve">. </w:t>
      </w:r>
      <w:r w:rsidRPr="008F0CCB">
        <w:rPr>
          <w:rFonts w:cs="Arial"/>
        </w:rPr>
        <w:t xml:space="preserve"> </w:t>
      </w:r>
      <w:r w:rsidR="00707B37" w:rsidRPr="00707B37">
        <w:rPr>
          <w:rFonts w:cs="Arial"/>
        </w:rPr>
        <w:t>It</w:t>
      </w:r>
      <w:r w:rsidR="002B01F7">
        <w:rPr>
          <w:rFonts w:cs="Arial"/>
        </w:rPr>
        <w:t> </w:t>
      </w:r>
      <w:r w:rsidR="00707B37" w:rsidRPr="00707B37">
        <w:rPr>
          <w:rFonts w:cs="Arial"/>
        </w:rPr>
        <w:t xml:space="preserve">can, in addition, be argued that APTC enhances social welfare by training, for example, health care workers (leading to improved public health) and police force workers (helping to reduce crime and domestic violence). APTC’s courses have also included a number of teaching staff of the national training institutions, enhancing the quality of training provided by these institutions. There is, in fact, a long list of possible and quite credible examples of indirect benefits. The problem is that these benefits </w:t>
      </w:r>
      <w:r w:rsidRPr="008F0CCB">
        <w:rPr>
          <w:rFonts w:cs="Arial"/>
        </w:rPr>
        <w:t>are difficult (</w:t>
      </w:r>
      <w:r>
        <w:rPr>
          <w:rFonts w:cs="Arial"/>
        </w:rPr>
        <w:t xml:space="preserve">perhaps </w:t>
      </w:r>
      <w:r w:rsidRPr="008F0CCB">
        <w:rPr>
          <w:rFonts w:cs="Arial"/>
        </w:rPr>
        <w:t>impossible) to measure, which means t</w:t>
      </w:r>
      <w:r>
        <w:rPr>
          <w:rFonts w:cs="Arial"/>
        </w:rPr>
        <w:t>hat incorporating them in</w:t>
      </w:r>
      <w:r w:rsidRPr="008F0CCB">
        <w:rPr>
          <w:rFonts w:cs="Arial"/>
        </w:rPr>
        <w:t xml:space="preserve">to the CBA requires </w:t>
      </w:r>
      <w:r>
        <w:rPr>
          <w:rFonts w:cs="Arial"/>
        </w:rPr>
        <w:t xml:space="preserve">bold </w:t>
      </w:r>
      <w:r w:rsidRPr="008F0CCB">
        <w:rPr>
          <w:rFonts w:cs="Arial"/>
        </w:rPr>
        <w:t xml:space="preserve">assumptions. </w:t>
      </w:r>
    </w:p>
    <w:p w14:paraId="7A3A49D6" w14:textId="483E3A64" w:rsidR="000913FE" w:rsidRPr="008F0CCB" w:rsidRDefault="000913FE" w:rsidP="000913FE">
      <w:pPr>
        <w:rPr>
          <w:rFonts w:cs="Arial"/>
        </w:rPr>
      </w:pPr>
      <w:r w:rsidRPr="008F0CCB">
        <w:rPr>
          <w:rFonts w:cs="Arial"/>
        </w:rPr>
        <w:t xml:space="preserve">Russell Mckay, a GRM consultant, has conducted an interesting analysis of APTC costs (Mckay 2014), in which he attempts to measure the </w:t>
      </w:r>
      <w:r w:rsidR="001079D2">
        <w:rPr>
          <w:rFonts w:cs="Arial"/>
        </w:rPr>
        <w:t>‘</w:t>
      </w:r>
      <w:r w:rsidRPr="008F0CCB">
        <w:rPr>
          <w:rFonts w:cs="Arial"/>
        </w:rPr>
        <w:t>indirect results achieved by the APTC</w:t>
      </w:r>
      <w:r w:rsidR="001079D2">
        <w:rPr>
          <w:rFonts w:cs="Arial"/>
        </w:rPr>
        <w:t>’</w:t>
      </w:r>
      <w:r w:rsidRPr="008F0CCB">
        <w:rPr>
          <w:rFonts w:cs="Arial"/>
        </w:rPr>
        <w:t xml:space="preserve">. </w:t>
      </w:r>
      <w:r>
        <w:rPr>
          <w:rFonts w:cs="Arial"/>
        </w:rPr>
        <w:t xml:space="preserve">His analysis </w:t>
      </w:r>
      <w:r w:rsidRPr="008F0CCB">
        <w:rPr>
          <w:rFonts w:cs="Arial"/>
        </w:rPr>
        <w:t xml:space="preserve">concludes that, </w:t>
      </w:r>
      <w:r w:rsidR="0027701E">
        <w:rPr>
          <w:rFonts w:cs="Arial"/>
        </w:rPr>
        <w:t>‘</w:t>
      </w:r>
      <w:r w:rsidRPr="008F0CCB">
        <w:rPr>
          <w:rFonts w:cs="Arial"/>
        </w:rPr>
        <w:t>during Stage I there were 3610 graduates out of APTC, of these 3487 are employed and of these 2544 have affected the productive of their workplace on return</w:t>
      </w:r>
      <w:r w:rsidR="0027701E">
        <w:rPr>
          <w:rFonts w:cs="Arial"/>
        </w:rPr>
        <w:t>’</w:t>
      </w:r>
      <w:r w:rsidRPr="008F0CCB">
        <w:rPr>
          <w:rFonts w:cs="Arial"/>
        </w:rPr>
        <w:t xml:space="preserve">, and that </w:t>
      </w:r>
      <w:r w:rsidR="000D4A59">
        <w:rPr>
          <w:rFonts w:cs="Arial"/>
        </w:rPr>
        <w:t>‘</w:t>
      </w:r>
      <w:r w:rsidRPr="008F0CCB">
        <w:rPr>
          <w:rFonts w:cs="Arial"/>
        </w:rPr>
        <w:t>those 2610 graduates [have been] able to transfer skills and knowledge to an additional 9422 beneficiaries</w:t>
      </w:r>
      <w:r w:rsidR="000D4A59">
        <w:rPr>
          <w:rFonts w:cs="Arial"/>
        </w:rPr>
        <w:t>’</w:t>
      </w:r>
      <w:r w:rsidRPr="008F0CCB">
        <w:rPr>
          <w:rFonts w:cs="Arial"/>
        </w:rPr>
        <w:t xml:space="preserve"> (ibid, p. 18). </w:t>
      </w:r>
      <w:r>
        <w:rPr>
          <w:rFonts w:cs="Arial"/>
        </w:rPr>
        <w:t xml:space="preserve">The </w:t>
      </w:r>
      <w:r w:rsidRPr="008F0CCB">
        <w:rPr>
          <w:rFonts w:cs="Arial"/>
        </w:rPr>
        <w:t xml:space="preserve">results for Stage II </w:t>
      </w:r>
      <w:r>
        <w:rPr>
          <w:rFonts w:cs="Arial"/>
        </w:rPr>
        <w:t xml:space="preserve">are </w:t>
      </w:r>
      <w:r w:rsidRPr="008F0CCB">
        <w:rPr>
          <w:rFonts w:cs="Arial"/>
        </w:rPr>
        <w:t xml:space="preserve">similar: 4350 graduates, 4201 employed, 3065 affecting workplace productivity, and an additional 11,354 beneficiaries. In other words, </w:t>
      </w:r>
      <w:r>
        <w:rPr>
          <w:rFonts w:cs="Arial"/>
        </w:rPr>
        <w:t xml:space="preserve">the results of this study suggest that there have been </w:t>
      </w:r>
      <w:r w:rsidRPr="008F0CCB">
        <w:rPr>
          <w:rFonts w:cs="Arial"/>
        </w:rPr>
        <w:t xml:space="preserve">2.61 indirect beneficiaries for each direct beneficiary for both Stage I (9422 ÷ </w:t>
      </w:r>
      <w:r w:rsidR="009F1139">
        <w:rPr>
          <w:rFonts w:cs="Arial"/>
        </w:rPr>
        <w:t>3610) and Stage II (11,354 ÷ 4</w:t>
      </w:r>
      <w:r w:rsidRPr="008F0CCB">
        <w:rPr>
          <w:rFonts w:cs="Arial"/>
        </w:rPr>
        <w:t xml:space="preserve">350). </w:t>
      </w:r>
      <w:r>
        <w:rPr>
          <w:rFonts w:cs="Arial"/>
        </w:rPr>
        <w:t xml:space="preserve">The author </w:t>
      </w:r>
      <w:r w:rsidRPr="008F0CCB">
        <w:rPr>
          <w:rFonts w:cs="Arial"/>
        </w:rPr>
        <w:t>then re-compute</w:t>
      </w:r>
      <w:r>
        <w:rPr>
          <w:rFonts w:cs="Arial"/>
        </w:rPr>
        <w:t>d</w:t>
      </w:r>
      <w:r w:rsidRPr="008F0CCB">
        <w:rPr>
          <w:rFonts w:cs="Arial"/>
        </w:rPr>
        <w:t xml:space="preserve"> the unit cost (cost per beneficiary) for APTC by dividing the costs by the sum of the direct and indirect beneficiaries, which </w:t>
      </w:r>
      <w:r>
        <w:rPr>
          <w:rFonts w:cs="Arial"/>
        </w:rPr>
        <w:t xml:space="preserve">naturally </w:t>
      </w:r>
      <w:r w:rsidRPr="008F0CCB">
        <w:rPr>
          <w:rFonts w:cs="Arial"/>
        </w:rPr>
        <w:t>results</w:t>
      </w:r>
      <w:r>
        <w:rPr>
          <w:rFonts w:cs="Arial"/>
        </w:rPr>
        <w:t xml:space="preserve"> </w:t>
      </w:r>
      <w:r w:rsidRPr="008F0CCB">
        <w:rPr>
          <w:rFonts w:cs="Arial"/>
        </w:rPr>
        <w:t xml:space="preserve">in a much lower unit cost than </w:t>
      </w:r>
      <w:r>
        <w:rPr>
          <w:rFonts w:cs="Arial"/>
        </w:rPr>
        <w:t xml:space="preserve">the unit cost as </w:t>
      </w:r>
      <w:r w:rsidRPr="008F0CCB">
        <w:rPr>
          <w:rFonts w:cs="Arial"/>
        </w:rPr>
        <w:t>conventionally</w:t>
      </w:r>
      <w:r>
        <w:rPr>
          <w:rFonts w:cs="Arial"/>
        </w:rPr>
        <w:t xml:space="preserve"> measured</w:t>
      </w:r>
      <w:r w:rsidRPr="008F0CCB">
        <w:rPr>
          <w:rFonts w:cs="Arial"/>
        </w:rPr>
        <w:t xml:space="preserve">. </w:t>
      </w:r>
      <w:r>
        <w:rPr>
          <w:rFonts w:cs="Arial"/>
        </w:rPr>
        <w:t xml:space="preserve">The study </w:t>
      </w:r>
      <w:r w:rsidRPr="008F0CCB">
        <w:rPr>
          <w:rFonts w:cs="Arial"/>
        </w:rPr>
        <w:t>does</w:t>
      </w:r>
      <w:r>
        <w:rPr>
          <w:rFonts w:cs="Arial"/>
        </w:rPr>
        <w:t xml:space="preserve"> not, however,</w:t>
      </w:r>
      <w:r w:rsidRPr="008F0CCB">
        <w:rPr>
          <w:rFonts w:cs="Arial"/>
        </w:rPr>
        <w:t xml:space="preserve"> proceed to the next step, try to put a dollar value on the benefits (how much</w:t>
      </w:r>
      <w:r>
        <w:rPr>
          <w:rFonts w:cs="Arial"/>
        </w:rPr>
        <w:t xml:space="preserve"> value </w:t>
      </w:r>
      <w:r w:rsidRPr="008F0CCB">
        <w:rPr>
          <w:rFonts w:cs="Arial"/>
        </w:rPr>
        <w:t>over time</w:t>
      </w:r>
      <w:r>
        <w:rPr>
          <w:rFonts w:cs="Arial"/>
        </w:rPr>
        <w:t xml:space="preserve"> </w:t>
      </w:r>
      <w:r w:rsidRPr="008F0CCB">
        <w:rPr>
          <w:rFonts w:cs="Arial"/>
        </w:rPr>
        <w:t xml:space="preserve">for each graduate, and how much for each indirect beneficiary), and </w:t>
      </w:r>
      <w:r>
        <w:rPr>
          <w:rFonts w:cs="Arial"/>
        </w:rPr>
        <w:t xml:space="preserve">estimate an </w:t>
      </w:r>
      <w:r w:rsidRPr="008F0CCB">
        <w:rPr>
          <w:rFonts w:cs="Arial"/>
        </w:rPr>
        <w:t xml:space="preserve">ERR. </w:t>
      </w:r>
    </w:p>
    <w:p w14:paraId="292F948C" w14:textId="3906C6C9" w:rsidR="000913FE" w:rsidRDefault="000913FE" w:rsidP="000913FE">
      <w:pPr>
        <w:rPr>
          <w:rFonts w:cs="Arial"/>
        </w:rPr>
      </w:pPr>
      <w:r>
        <w:rPr>
          <w:rFonts w:cs="Arial"/>
        </w:rPr>
        <w:t xml:space="preserve">To complete the ERR analysis, the </w:t>
      </w:r>
      <w:r w:rsidRPr="008F0CCB">
        <w:rPr>
          <w:rFonts w:cs="Arial"/>
        </w:rPr>
        <w:t xml:space="preserve">review team </w:t>
      </w:r>
      <w:r>
        <w:rPr>
          <w:rFonts w:cs="Arial"/>
        </w:rPr>
        <w:t xml:space="preserve">decided to be bold and extend </w:t>
      </w:r>
      <w:r w:rsidRPr="008F0CCB">
        <w:rPr>
          <w:rFonts w:cs="Arial"/>
        </w:rPr>
        <w:t xml:space="preserve">the </w:t>
      </w:r>
      <w:r>
        <w:rPr>
          <w:rFonts w:cs="Arial"/>
        </w:rPr>
        <w:t xml:space="preserve">models </w:t>
      </w:r>
      <w:r w:rsidRPr="008F0CCB">
        <w:rPr>
          <w:rFonts w:cs="Arial"/>
        </w:rPr>
        <w:t xml:space="preserve">by making assumptions about the number of indirect beneficiaries per graduate and the value accruing over time to each indirect beneficiary. The results of this hypothetical exercise are shown in </w:t>
      </w:r>
      <w:r>
        <w:rPr>
          <w:rFonts w:cs="Arial"/>
        </w:rPr>
        <w:t>T</w:t>
      </w:r>
      <w:r w:rsidRPr="008F0CCB">
        <w:rPr>
          <w:rFonts w:cs="Arial"/>
        </w:rPr>
        <w:t>able 7. The ratio of indirect to direct beneficiaries was raised from 0 (the value in the earlier estimates) by</w:t>
      </w:r>
      <w:r>
        <w:rPr>
          <w:rFonts w:cs="Arial"/>
        </w:rPr>
        <w:t xml:space="preserve"> </w:t>
      </w:r>
      <w:r w:rsidRPr="008F0CCB">
        <w:rPr>
          <w:rFonts w:cs="Arial"/>
        </w:rPr>
        <w:t xml:space="preserve">integer steps to 3, reflecting Mckay’s estimate of 2.6. For the dollar value accruing to each indirect beneficiary, the team had no data or earlier research to go by, so values were chosen that seemed quite low, erring perhaps on the side of caution </w:t>
      </w:r>
      <w:r w:rsidR="002B01F7">
        <w:rPr>
          <w:rFonts w:cs="Arial"/>
        </w:rPr>
        <w:t>–</w:t>
      </w:r>
      <w:r w:rsidRPr="008F0CCB">
        <w:rPr>
          <w:rFonts w:cs="Arial"/>
        </w:rPr>
        <w:t xml:space="preserve"> $5.50 and $11.00 (10 per cent and 20</w:t>
      </w:r>
      <w:r w:rsidR="002B01F7">
        <w:rPr>
          <w:rFonts w:cs="Arial"/>
        </w:rPr>
        <w:t> </w:t>
      </w:r>
      <w:r w:rsidRPr="008F0CCB">
        <w:rPr>
          <w:rFonts w:cs="Arial"/>
        </w:rPr>
        <w:t xml:space="preserve">per cent of the estimated value of the </w:t>
      </w:r>
      <w:r>
        <w:rPr>
          <w:rFonts w:cs="Arial"/>
        </w:rPr>
        <w:t xml:space="preserve">assumed </w:t>
      </w:r>
      <w:r w:rsidRPr="008F0CCB">
        <w:rPr>
          <w:rFonts w:cs="Arial"/>
        </w:rPr>
        <w:t>direct benefit of each graduate</w:t>
      </w:r>
      <w:r>
        <w:rPr>
          <w:rFonts w:cs="Arial"/>
        </w:rPr>
        <w:t xml:space="preserve"> </w:t>
      </w:r>
      <w:r w:rsidRPr="008F0CCB">
        <w:rPr>
          <w:rFonts w:cs="Arial"/>
        </w:rPr>
        <w:t xml:space="preserve">working in the Pacific). Even with these conservative assumptions, however, the impact on the ERR results are dramatic. The results </w:t>
      </w:r>
      <w:r>
        <w:rPr>
          <w:rFonts w:cs="Arial"/>
        </w:rPr>
        <w:t xml:space="preserve">are shown </w:t>
      </w:r>
      <w:r w:rsidRPr="008F0CCB">
        <w:rPr>
          <w:rFonts w:cs="Arial"/>
        </w:rPr>
        <w:t xml:space="preserve">in </w:t>
      </w:r>
      <w:r>
        <w:rPr>
          <w:rFonts w:cs="Arial"/>
        </w:rPr>
        <w:t>T</w:t>
      </w:r>
      <w:r w:rsidRPr="008F0CCB">
        <w:rPr>
          <w:rFonts w:cs="Arial"/>
        </w:rPr>
        <w:t xml:space="preserve">able 7 </w:t>
      </w:r>
      <w:r>
        <w:rPr>
          <w:rFonts w:cs="Arial"/>
        </w:rPr>
        <w:t xml:space="preserve">below and </w:t>
      </w:r>
      <w:r w:rsidRPr="008F0CCB">
        <w:rPr>
          <w:rFonts w:cs="Arial"/>
        </w:rPr>
        <w:t>summari</w:t>
      </w:r>
      <w:r>
        <w:rPr>
          <w:rFonts w:cs="Arial"/>
        </w:rPr>
        <w:t>s</w:t>
      </w:r>
      <w:r w:rsidRPr="008F0CCB">
        <w:rPr>
          <w:rFonts w:cs="Arial"/>
        </w:rPr>
        <w:t xml:space="preserve">ed </w:t>
      </w:r>
      <w:r>
        <w:rPr>
          <w:rFonts w:cs="Arial"/>
        </w:rPr>
        <w:t>in F</w:t>
      </w:r>
      <w:r w:rsidRPr="007C2DF6">
        <w:rPr>
          <w:rFonts w:cs="Arial"/>
        </w:rPr>
        <w:t>igure 32</w:t>
      </w:r>
      <w:r w:rsidRPr="008F0CCB">
        <w:rPr>
          <w:rFonts w:cs="Arial"/>
        </w:rPr>
        <w:t xml:space="preserve">. Very quickly as indirect benefits are added to the four models, the ERRs approach and then surpass the 11 per cent break-even value. </w:t>
      </w:r>
      <w:r>
        <w:rPr>
          <w:rFonts w:cs="Arial"/>
        </w:rPr>
        <w:t>The assumed indirect benefits are, however, only theoretical. To be fully credible, an ERR incorporating them would need to be based on empirically established evidence.</w:t>
      </w:r>
    </w:p>
    <w:p w14:paraId="5E665E40" w14:textId="6F86D980" w:rsidR="000913FE" w:rsidRDefault="000913FE" w:rsidP="00BB7B59">
      <w:pPr>
        <w:pStyle w:val="Tableheading"/>
      </w:pPr>
      <w:bookmarkStart w:id="1092" w:name="_Toc272855491"/>
      <w:bookmarkStart w:id="1093" w:name="_Toc274915994"/>
      <w:bookmarkStart w:id="1094" w:name="_Toc278446973"/>
      <w:r w:rsidRPr="008F0CCB">
        <w:t>Table 7: Impact on baseline ERRs of quantifying external (indirect) benefits and adding these to the ERR models (AUD)</w:t>
      </w:r>
      <w:bookmarkEnd w:id="1092"/>
      <w:bookmarkEnd w:id="1093"/>
      <w:bookmarkEnd w:id="1094"/>
    </w:p>
    <w:p w14:paraId="183AA1BB" w14:textId="494907A0" w:rsidR="000913FE" w:rsidRDefault="00BB7B59" w:rsidP="000913FE">
      <w:r w:rsidRPr="00BB75F4">
        <w:rPr>
          <w:noProof/>
          <w:lang w:eastAsia="en-AU"/>
        </w:rPr>
        <w:drawing>
          <wp:inline distT="0" distB="0" distL="0" distR="0" wp14:anchorId="11B66E41" wp14:editId="1EB06106">
            <wp:extent cx="5253990" cy="1333500"/>
            <wp:effectExtent l="0" t="0" r="3810" b="1270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srcRect/>
                    <a:stretch>
                      <a:fillRect/>
                    </a:stretch>
                  </pic:blipFill>
                  <pic:spPr bwMode="auto">
                    <a:xfrm>
                      <a:off x="0" y="0"/>
                      <a:ext cx="5253990" cy="1333500"/>
                    </a:xfrm>
                    <a:prstGeom prst="rect">
                      <a:avLst/>
                    </a:prstGeom>
                    <a:noFill/>
                    <a:ln w="9525">
                      <a:noFill/>
                      <a:miter lim="800000"/>
                      <a:headEnd/>
                      <a:tailEnd/>
                    </a:ln>
                  </pic:spPr>
                </pic:pic>
              </a:graphicData>
            </a:graphic>
          </wp:inline>
        </w:drawing>
      </w:r>
    </w:p>
    <w:p w14:paraId="1C5B4CAA" w14:textId="77777777" w:rsidR="000913FE" w:rsidRDefault="000913FE" w:rsidP="000913FE"/>
    <w:p w14:paraId="1950E335" w14:textId="799A672E" w:rsidR="000913FE" w:rsidRPr="006736CE" w:rsidRDefault="000913FE" w:rsidP="000913FE">
      <w:pPr>
        <w:pStyle w:val="Tableheading"/>
      </w:pPr>
      <w:bookmarkStart w:id="1095" w:name="_Toc272855492"/>
      <w:bookmarkStart w:id="1096" w:name="_Toc274915995"/>
      <w:bookmarkStart w:id="1097" w:name="_Toc278446974"/>
      <w:r w:rsidRPr="00640DEA">
        <w:t>Fi</w:t>
      </w:r>
      <w:r>
        <w:t>gure 32</w:t>
      </w:r>
      <w:r w:rsidRPr="00640DEA">
        <w:t xml:space="preserve">: ERRs of base case scenarios with indirect benefits per graduate </w:t>
      </w:r>
      <w:r>
        <w:br/>
      </w:r>
      <w:r w:rsidRPr="00640DEA">
        <w:t>varying from $0 to $33 per week (AUD)</w:t>
      </w:r>
      <w:bookmarkEnd w:id="1095"/>
      <w:bookmarkEnd w:id="1096"/>
      <w:bookmarkEnd w:id="1097"/>
    </w:p>
    <w:p w14:paraId="4F2936C7" w14:textId="77777777" w:rsidR="000913FE" w:rsidRPr="00C11872" w:rsidRDefault="000913FE" w:rsidP="000913FE">
      <w:pPr>
        <w:rPr>
          <w:rFonts w:cs="Arial"/>
        </w:rPr>
      </w:pPr>
      <w:r>
        <w:rPr>
          <w:noProof/>
          <w:lang w:eastAsia="en-AU"/>
        </w:rPr>
        <w:drawing>
          <wp:inline distT="0" distB="0" distL="0" distR="0" wp14:anchorId="3AEABEA5" wp14:editId="5AA0988B">
            <wp:extent cx="3672840" cy="2209800"/>
            <wp:effectExtent l="25400" t="0" r="10160" b="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srcRect/>
                    <a:stretch>
                      <a:fillRect/>
                    </a:stretch>
                  </pic:blipFill>
                  <pic:spPr bwMode="auto">
                    <a:xfrm>
                      <a:off x="0" y="0"/>
                      <a:ext cx="3672840" cy="2209800"/>
                    </a:xfrm>
                    <a:prstGeom prst="rect">
                      <a:avLst/>
                    </a:prstGeom>
                    <a:noFill/>
                    <a:ln w="9525">
                      <a:noFill/>
                      <a:miter lim="800000"/>
                      <a:headEnd/>
                      <a:tailEnd/>
                    </a:ln>
                  </pic:spPr>
                </pic:pic>
              </a:graphicData>
            </a:graphic>
          </wp:inline>
        </w:drawing>
      </w:r>
    </w:p>
    <w:p w14:paraId="7B2757EA" w14:textId="77777777" w:rsidR="000913FE" w:rsidRDefault="000913FE" w:rsidP="000913FE"/>
    <w:p w14:paraId="2F64B43B" w14:textId="194F63A6" w:rsidR="000913FE" w:rsidRDefault="00D1686C" w:rsidP="002028A6">
      <w:pPr>
        <w:pStyle w:val="Heading1"/>
      </w:pPr>
      <w:bookmarkStart w:id="1098" w:name="_Toc274295081"/>
      <w:bookmarkStart w:id="1099" w:name="_Toc278447994"/>
      <w:bookmarkStart w:id="1100" w:name="_Toc278453467"/>
      <w:r>
        <w:t>6.</w:t>
      </w:r>
      <w:r>
        <w:tab/>
      </w:r>
      <w:r w:rsidR="000913FE" w:rsidRPr="008F0CCB">
        <w:t>Sustainability</w:t>
      </w:r>
      <w:bookmarkEnd w:id="1098"/>
      <w:bookmarkEnd w:id="1099"/>
      <w:bookmarkEnd w:id="1100"/>
    </w:p>
    <w:p w14:paraId="4562F79A" w14:textId="658C9C55" w:rsidR="000913FE" w:rsidRPr="008429D0" w:rsidRDefault="000913FE" w:rsidP="000913FE">
      <w:pPr>
        <w:spacing w:before="120"/>
        <w:rPr>
          <w:rFonts w:cs="Arial"/>
          <w:b/>
        </w:rPr>
      </w:pPr>
      <w:r w:rsidRPr="007C2DF6">
        <w:rPr>
          <w:rFonts w:cs="Arial"/>
          <w:b/>
          <w:u w:val="single"/>
        </w:rPr>
        <w:t>Tasks and questions listed in the evaluation plan</w:t>
      </w:r>
      <w:r w:rsidRPr="007C2DF6">
        <w:rPr>
          <w:rFonts w:cs="Arial"/>
          <w:b/>
        </w:rPr>
        <w:t xml:space="preserve">: Analyse the APTC Business Development Policy and non-DFAT sources of income, e.g., tuition sponsorships and fee-for-service, with a view to assessing APTC’s financial sustainability. </w:t>
      </w:r>
      <w:r w:rsidR="00105075">
        <w:rPr>
          <w:rFonts w:cs="Arial"/>
          <w:b/>
        </w:rPr>
        <w:br/>
      </w:r>
      <w:r w:rsidRPr="007C2DF6">
        <w:rPr>
          <w:rFonts w:cs="Arial"/>
          <w:b/>
        </w:rPr>
        <w:t>Is the Stage II target of 15 per cent of income from fee-for-service realistic?</w:t>
      </w:r>
    </w:p>
    <w:p w14:paraId="00C1A352" w14:textId="0623E3C5" w:rsidR="000913FE" w:rsidRPr="008F0CCB" w:rsidRDefault="000913FE" w:rsidP="000913FE">
      <w:pPr>
        <w:spacing w:before="120"/>
        <w:rPr>
          <w:rFonts w:cs="Arial"/>
        </w:rPr>
      </w:pPr>
      <w:r w:rsidRPr="008F0CCB">
        <w:rPr>
          <w:rFonts w:cs="Arial"/>
        </w:rPr>
        <w:t xml:space="preserve">The activity design document for the Stage II School of Health and Community Services (SHCS), prepared in 2008 by two consulting firms together with BHIT, concluded with a short statement in regard to the sustainability of APTC: </w:t>
      </w:r>
      <w:r w:rsidR="005A3A64">
        <w:rPr>
          <w:rFonts w:cs="Arial"/>
        </w:rPr>
        <w:t>‘</w:t>
      </w:r>
      <w:r w:rsidRPr="008F0CCB">
        <w:rPr>
          <w:rFonts w:cs="Arial"/>
        </w:rPr>
        <w:t>... issues of sustainability as would normally be associated with a development activity do not arise with respect to the operations of the APTC. The delivery of Australian qualifications by the SHCS will only remain sustainable while Australian Government funding continues</w:t>
      </w:r>
      <w:r w:rsidR="005A3A64">
        <w:rPr>
          <w:rFonts w:cs="Arial"/>
        </w:rPr>
        <w:t>’</w:t>
      </w:r>
      <w:r w:rsidRPr="008F0CCB">
        <w:rPr>
          <w:rFonts w:cs="Arial"/>
        </w:rPr>
        <w:t xml:space="preserve"> (Box Hill Institute, Gordon Institute, &amp; MDI International 2008, p. 74). This section of </w:t>
      </w:r>
      <w:r>
        <w:rPr>
          <w:rFonts w:cs="Arial"/>
        </w:rPr>
        <w:t>A</w:t>
      </w:r>
      <w:r w:rsidRPr="008F0CCB">
        <w:rPr>
          <w:rFonts w:cs="Arial"/>
        </w:rPr>
        <w:t xml:space="preserve">nnex </w:t>
      </w:r>
      <w:r>
        <w:rPr>
          <w:rFonts w:cs="Arial"/>
        </w:rPr>
        <w:t>9</w:t>
      </w:r>
      <w:r w:rsidRPr="008F0CCB">
        <w:rPr>
          <w:rFonts w:cs="Arial"/>
        </w:rPr>
        <w:t xml:space="preserve"> will review facts that </w:t>
      </w:r>
      <w:r>
        <w:rPr>
          <w:rFonts w:cs="Arial"/>
        </w:rPr>
        <w:t xml:space="preserve">may have </w:t>
      </w:r>
      <w:r w:rsidRPr="008F0CCB">
        <w:rPr>
          <w:rFonts w:cs="Arial"/>
        </w:rPr>
        <w:t xml:space="preserve">led to this conclusion and explore the extent to which they still </w:t>
      </w:r>
      <w:r>
        <w:rPr>
          <w:rFonts w:cs="Arial"/>
        </w:rPr>
        <w:t xml:space="preserve">seem applicable </w:t>
      </w:r>
      <w:r w:rsidRPr="008F0CCB">
        <w:rPr>
          <w:rFonts w:cs="Arial"/>
        </w:rPr>
        <w:t xml:space="preserve">today, five years after the Stage II design, and </w:t>
      </w:r>
      <w:r>
        <w:rPr>
          <w:rFonts w:cs="Arial"/>
        </w:rPr>
        <w:t xml:space="preserve">applicable </w:t>
      </w:r>
      <w:r w:rsidRPr="008F0CCB">
        <w:rPr>
          <w:rFonts w:cs="Arial"/>
        </w:rPr>
        <w:t xml:space="preserve">to APTC as a whole and not just to </w:t>
      </w:r>
      <w:r>
        <w:rPr>
          <w:rFonts w:cs="Arial"/>
        </w:rPr>
        <w:t xml:space="preserve">SHCS (one of APTC’s two schools – </w:t>
      </w:r>
      <w:r w:rsidRPr="008F0CCB">
        <w:rPr>
          <w:rFonts w:cs="Arial"/>
        </w:rPr>
        <w:t>the one for which BHIT is the responsible RTO and APTC consortium member).</w:t>
      </w:r>
    </w:p>
    <w:p w14:paraId="1FA32222" w14:textId="45D957DE" w:rsidR="000913FE" w:rsidRPr="008F0CCB" w:rsidRDefault="000913FE" w:rsidP="000913FE">
      <w:pPr>
        <w:spacing w:before="120"/>
        <w:rPr>
          <w:rFonts w:cs="Arial"/>
        </w:rPr>
      </w:pPr>
      <w:r w:rsidRPr="008F0CCB">
        <w:rPr>
          <w:rFonts w:cs="Arial"/>
        </w:rPr>
        <w:t xml:space="preserve">One reason to doubt the sustainability of APTC in the absence of GoA funding is the College’s high costs relative to incomes in the Pacific (see </w:t>
      </w:r>
      <w:r>
        <w:rPr>
          <w:rFonts w:cs="Arial"/>
        </w:rPr>
        <w:t>F</w:t>
      </w:r>
      <w:r w:rsidRPr="008F0CCB">
        <w:rPr>
          <w:rFonts w:cs="Arial"/>
        </w:rPr>
        <w:t>igure 16 above) and in comparison with the costs of national training institutions (</w:t>
      </w:r>
      <w:r>
        <w:rPr>
          <w:rFonts w:cs="Arial"/>
        </w:rPr>
        <w:t>F</w:t>
      </w:r>
      <w:r w:rsidRPr="008F0CCB">
        <w:rPr>
          <w:rFonts w:cs="Arial"/>
        </w:rPr>
        <w:t>igure 7 above). Even if APTC manages, by means of increase</w:t>
      </w:r>
      <w:r>
        <w:rPr>
          <w:rFonts w:cs="Arial"/>
        </w:rPr>
        <w:t>d student throughput, nationalis</w:t>
      </w:r>
      <w:r w:rsidRPr="008F0CCB">
        <w:rPr>
          <w:rFonts w:cs="Arial"/>
        </w:rPr>
        <w:t>ation of staff (both management and training), and other efficiency measures, to reduce unit costs by as much as 20 per cent over the course of a third four-year funding cycle, the average cost per graduate will still be six times (in the case of Fiji and Tonga) to 15</w:t>
      </w:r>
      <w:r w:rsidR="002A235C">
        <w:rPr>
          <w:rFonts w:cs="Arial"/>
        </w:rPr>
        <w:t> </w:t>
      </w:r>
      <w:r w:rsidRPr="008F0CCB">
        <w:rPr>
          <w:rFonts w:cs="Arial"/>
        </w:rPr>
        <w:t>times (in the case of Kiribati) higher than GDP per capita across the 14 PICs.</w:t>
      </w:r>
      <w:r w:rsidRPr="008F0CCB">
        <w:rPr>
          <w:rStyle w:val="FootnoteReference"/>
          <w:rFonts w:cs="Arial"/>
        </w:rPr>
        <w:footnoteReference w:id="83"/>
      </w:r>
      <w:r w:rsidRPr="008F0CCB">
        <w:rPr>
          <w:rFonts w:cs="Arial"/>
        </w:rPr>
        <w:t xml:space="preserve"> </w:t>
      </w:r>
    </w:p>
    <w:p w14:paraId="09765F7B" w14:textId="77777777" w:rsidR="002A235C" w:rsidRDefault="000913FE" w:rsidP="000913FE">
      <w:pPr>
        <w:spacing w:before="120"/>
        <w:rPr>
          <w:rFonts w:cs="Arial"/>
        </w:rPr>
      </w:pPr>
      <w:r w:rsidRPr="008F0CCB">
        <w:rPr>
          <w:rFonts w:cs="Arial"/>
        </w:rPr>
        <w:t>Another reason to doubt APTC’s sustainability is the fact that APTC students</w:t>
      </w:r>
      <w:r>
        <w:rPr>
          <w:rFonts w:cs="Arial"/>
        </w:rPr>
        <w:t xml:space="preserve"> are generally not eligible for</w:t>
      </w:r>
      <w:r w:rsidR="002A235C">
        <w:rPr>
          <w:rFonts w:cs="Arial"/>
        </w:rPr>
        <w:t>,</w:t>
      </w:r>
      <w:r w:rsidRPr="008F0CCB">
        <w:rPr>
          <w:rFonts w:cs="Arial"/>
        </w:rPr>
        <w:t xml:space="preserve"> or find it difficult to access</w:t>
      </w:r>
      <w:r w:rsidR="002A235C">
        <w:rPr>
          <w:rFonts w:cs="Arial"/>
        </w:rPr>
        <w:t>,</w:t>
      </w:r>
      <w:r w:rsidRPr="008F0CCB">
        <w:rPr>
          <w:rFonts w:cs="Arial"/>
        </w:rPr>
        <w:t xml:space="preserve"> national training funds that are available for students who attend national training institutions</w:t>
      </w:r>
      <w:r>
        <w:rPr>
          <w:rFonts w:cs="Arial"/>
        </w:rPr>
        <w:t xml:space="preserve"> (NTIs)</w:t>
      </w:r>
      <w:r w:rsidRPr="008F0CCB">
        <w:rPr>
          <w:rFonts w:cs="Arial"/>
        </w:rPr>
        <w:t>. This is true in a country like Samoa where political support for APTC has been rock-solid from the outset</w:t>
      </w:r>
      <w:r>
        <w:rPr>
          <w:rFonts w:cs="Arial"/>
        </w:rPr>
        <w:t xml:space="preserve"> </w:t>
      </w:r>
      <w:r w:rsidRPr="008F0CCB">
        <w:rPr>
          <w:rFonts w:cs="Arial"/>
        </w:rPr>
        <w:t>and even truer in a country like Fiji where</w:t>
      </w:r>
      <w:r>
        <w:rPr>
          <w:rFonts w:cs="Arial"/>
        </w:rPr>
        <w:t xml:space="preserve"> </w:t>
      </w:r>
      <w:r w:rsidRPr="008F0CCB">
        <w:rPr>
          <w:rFonts w:cs="Arial"/>
        </w:rPr>
        <w:t xml:space="preserve">there </w:t>
      </w:r>
      <w:r>
        <w:rPr>
          <w:rFonts w:cs="Arial"/>
        </w:rPr>
        <w:t xml:space="preserve">has been greater </w:t>
      </w:r>
      <w:r w:rsidRPr="008F0CCB">
        <w:rPr>
          <w:rFonts w:cs="Arial"/>
        </w:rPr>
        <w:t xml:space="preserve">suspicion of APTC – seen as competing with </w:t>
      </w:r>
      <w:r>
        <w:rPr>
          <w:rFonts w:cs="Arial"/>
        </w:rPr>
        <w:t xml:space="preserve">NTIs </w:t>
      </w:r>
      <w:r w:rsidRPr="008F0CCB">
        <w:rPr>
          <w:rFonts w:cs="Arial"/>
        </w:rPr>
        <w:t xml:space="preserve">for potential students and </w:t>
      </w:r>
      <w:r>
        <w:rPr>
          <w:rFonts w:cs="Arial"/>
        </w:rPr>
        <w:t xml:space="preserve">possibly </w:t>
      </w:r>
      <w:r w:rsidRPr="008F0CCB">
        <w:rPr>
          <w:rFonts w:cs="Arial"/>
        </w:rPr>
        <w:t>contributing to skills drain</w:t>
      </w:r>
      <w:r>
        <w:rPr>
          <w:rFonts w:cs="Arial"/>
        </w:rPr>
        <w:t>,</w:t>
      </w:r>
      <w:r>
        <w:rPr>
          <w:rStyle w:val="FootnoteReference"/>
          <w:rFonts w:cs="Arial"/>
        </w:rPr>
        <w:footnoteReference w:id="84"/>
      </w:r>
      <w:r w:rsidRPr="008F0CCB">
        <w:rPr>
          <w:rFonts w:cs="Arial"/>
        </w:rPr>
        <w:t xml:space="preserve"> </w:t>
      </w:r>
      <w:r>
        <w:rPr>
          <w:rFonts w:cs="Arial"/>
        </w:rPr>
        <w:t xml:space="preserve">and where APTC has been excluded from use of the national training levy. </w:t>
      </w:r>
      <w:r w:rsidRPr="008F0CCB">
        <w:rPr>
          <w:rFonts w:cs="Arial"/>
        </w:rPr>
        <w:t>Cost recovery from APTC’s beneficiaries (</w:t>
      </w:r>
      <w:r>
        <w:rPr>
          <w:rFonts w:cs="Arial"/>
        </w:rPr>
        <w:t xml:space="preserve">not just students but also </w:t>
      </w:r>
      <w:r w:rsidRPr="008F0CCB">
        <w:rPr>
          <w:rFonts w:cs="Arial"/>
        </w:rPr>
        <w:t>employers in industry, government and donor organisations that need the specialised skills that the College imparts) would ease the burden on DFAT and contribute to APTC’s long-</w:t>
      </w:r>
      <w:r>
        <w:rPr>
          <w:rFonts w:cs="Arial"/>
        </w:rPr>
        <w:t xml:space="preserve">term </w:t>
      </w:r>
      <w:r w:rsidRPr="008F0CCB">
        <w:rPr>
          <w:rFonts w:cs="Arial"/>
        </w:rPr>
        <w:t xml:space="preserve">sustainability, but APTC’s ability to recover costs has proven to be </w:t>
      </w:r>
      <w:r>
        <w:rPr>
          <w:rFonts w:cs="Arial"/>
        </w:rPr>
        <w:t xml:space="preserve">quite </w:t>
      </w:r>
      <w:r w:rsidRPr="008F0CCB">
        <w:rPr>
          <w:rFonts w:cs="Arial"/>
        </w:rPr>
        <w:t xml:space="preserve">limited and inconsequential in relation to operational costs. </w:t>
      </w:r>
    </w:p>
    <w:p w14:paraId="506145AC" w14:textId="1AF4BAA4" w:rsidR="000913FE" w:rsidRDefault="000913FE" w:rsidP="000913FE">
      <w:pPr>
        <w:spacing w:before="120"/>
        <w:rPr>
          <w:rFonts w:cs="Arial"/>
        </w:rPr>
      </w:pPr>
      <w:r w:rsidRPr="008F0CCB">
        <w:rPr>
          <w:rFonts w:cs="Arial"/>
        </w:rPr>
        <w:t>The Stage II contract for APTC included two targets for income generation over the four years: (1) $2 million from tuition fees, and (2) $5 million from fee-for-service activities, 10 per cent of which should be profit, to be split 50</w:t>
      </w:r>
      <w:r w:rsidR="002A235C">
        <w:rPr>
          <w:rFonts w:cs="Arial"/>
        </w:rPr>
        <w:t>–</w:t>
      </w:r>
      <w:r w:rsidRPr="008F0CCB">
        <w:rPr>
          <w:rFonts w:cs="Arial"/>
        </w:rPr>
        <w:t xml:space="preserve">50 between DFAT and APTC (the consortium). </w:t>
      </w:r>
      <w:r w:rsidRPr="007C2DF6">
        <w:rPr>
          <w:rFonts w:cs="Arial"/>
        </w:rPr>
        <w:t>Figure 33</w:t>
      </w:r>
      <w:r w:rsidRPr="008F0CCB">
        <w:rPr>
          <w:rFonts w:cs="Arial"/>
        </w:rPr>
        <w:t xml:space="preserve"> (based on </w:t>
      </w:r>
      <w:r>
        <w:rPr>
          <w:rFonts w:cs="Arial"/>
        </w:rPr>
        <w:t>Appendix Table A.3</w:t>
      </w:r>
      <w:r w:rsidRPr="008F0CCB">
        <w:rPr>
          <w:rFonts w:cs="Arial"/>
        </w:rPr>
        <w:t xml:space="preserve">5) shows APTC’s revenue from sources other than DFAT during Stage II. The total of $3.9 million amounts to just 2.8 per cent of total costs during Stage II, and only 52 per cent of </w:t>
      </w:r>
      <w:r>
        <w:rPr>
          <w:rFonts w:cs="Arial"/>
        </w:rPr>
        <w:t xml:space="preserve">this </w:t>
      </w:r>
      <w:r w:rsidRPr="008F0CCB">
        <w:rPr>
          <w:rFonts w:cs="Arial"/>
        </w:rPr>
        <w:t>$3.9 million had actually been received when this study was conducted in the middle of 2014. The rest (48 per</w:t>
      </w:r>
      <w:r>
        <w:rPr>
          <w:rFonts w:cs="Arial"/>
        </w:rPr>
        <w:t xml:space="preserve"> </w:t>
      </w:r>
      <w:r w:rsidRPr="008F0CCB">
        <w:rPr>
          <w:rFonts w:cs="Arial"/>
        </w:rPr>
        <w:t xml:space="preserve">cent) was projected by APTC’s Finance Manager to </w:t>
      </w:r>
      <w:r>
        <w:rPr>
          <w:rFonts w:cs="Arial"/>
        </w:rPr>
        <w:t xml:space="preserve">come in </w:t>
      </w:r>
      <w:r w:rsidRPr="008F0CCB">
        <w:rPr>
          <w:rFonts w:cs="Arial"/>
        </w:rPr>
        <w:t>over the last year of the four-year cycle. Even if these projections prove correct, the totals will amount to just 45 per cent and 50 per cent of the original targets for tuition fees and fee-for-service income, respectively.</w:t>
      </w:r>
    </w:p>
    <w:p w14:paraId="18853283" w14:textId="77777777" w:rsidR="00BE1AD1" w:rsidRDefault="00BE1AD1">
      <w:pPr>
        <w:spacing w:after="0"/>
        <w:rPr>
          <w:rFonts w:cs="Arial"/>
          <w:b/>
          <w:color w:val="76923C"/>
          <w:szCs w:val="22"/>
        </w:rPr>
      </w:pPr>
      <w:bookmarkStart w:id="1101" w:name="_Toc272855493"/>
      <w:bookmarkStart w:id="1102" w:name="_Toc274915996"/>
      <w:r>
        <w:br w:type="page"/>
      </w:r>
    </w:p>
    <w:p w14:paraId="3EBABC3A" w14:textId="6DE3CB90" w:rsidR="000913FE" w:rsidRDefault="000913FE" w:rsidP="000913FE">
      <w:pPr>
        <w:pStyle w:val="Tableheading"/>
      </w:pPr>
      <w:bookmarkStart w:id="1103" w:name="_Toc278446975"/>
      <w:r>
        <w:t>Figure 33</w:t>
      </w:r>
      <w:r w:rsidRPr="005F3CE5">
        <w:t xml:space="preserve">: Cost recovery, APTC Stage II </w:t>
      </w:r>
      <w:r>
        <w:br/>
      </w:r>
      <w:r w:rsidRPr="005F3CE5">
        <w:t>(AUD thousands; total $</w:t>
      </w:r>
      <w:r w:rsidR="00415408">
        <w:t>3</w:t>
      </w:r>
      <w:r>
        <w:t xml:space="preserve">948 </w:t>
      </w:r>
      <w:r w:rsidRPr="005F3CE5">
        <w:t>= 2.8% of Stage II costs)</w:t>
      </w:r>
      <w:bookmarkEnd w:id="1101"/>
      <w:bookmarkEnd w:id="1102"/>
      <w:bookmarkEnd w:id="1103"/>
    </w:p>
    <w:p w14:paraId="1CD3CC0C" w14:textId="77777777" w:rsidR="000913FE" w:rsidRDefault="000913FE" w:rsidP="000913FE">
      <w:pPr>
        <w:pStyle w:val="Tableheading"/>
        <w:keepNext/>
      </w:pPr>
      <w:r>
        <w:rPr>
          <w:noProof/>
          <w:lang w:eastAsia="en-AU"/>
        </w:rPr>
        <w:drawing>
          <wp:inline distT="0" distB="0" distL="0" distR="0" wp14:anchorId="5E08F17F" wp14:editId="18258FA6">
            <wp:extent cx="4588933" cy="2463800"/>
            <wp:effectExtent l="25400" t="0" r="8467" b="0"/>
            <wp:docPr id="54"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447AD13" w14:textId="77777777" w:rsidR="000913FE" w:rsidRPr="00CB0ABE" w:rsidRDefault="000913FE" w:rsidP="000913FE">
      <w:pPr>
        <w:spacing w:after="0"/>
        <w:rPr>
          <w:rFonts w:cs="Arial"/>
          <w:sz w:val="16"/>
          <w:szCs w:val="20"/>
        </w:rPr>
      </w:pPr>
      <w:r>
        <w:rPr>
          <w:rFonts w:cs="Arial"/>
          <w:sz w:val="16"/>
          <w:szCs w:val="20"/>
        </w:rPr>
        <w:t>Source: Appendix Table A.35</w:t>
      </w:r>
    </w:p>
    <w:p w14:paraId="4CC754AB" w14:textId="77777777" w:rsidR="000913FE" w:rsidRPr="008F0CCB" w:rsidRDefault="000913FE" w:rsidP="000913FE">
      <w:pPr>
        <w:spacing w:before="120"/>
        <w:rPr>
          <w:rFonts w:cs="Arial"/>
        </w:rPr>
      </w:pPr>
    </w:p>
    <w:p w14:paraId="160808C1" w14:textId="350943FE" w:rsidR="000913FE" w:rsidRPr="008F0CCB" w:rsidRDefault="000913FE" w:rsidP="000913FE">
      <w:pPr>
        <w:spacing w:before="120"/>
        <w:rPr>
          <w:rFonts w:cs="Arial"/>
        </w:rPr>
      </w:pPr>
      <w:r w:rsidRPr="008F0CCB">
        <w:rPr>
          <w:rFonts w:cs="Arial"/>
        </w:rPr>
        <w:t>In the case of tuition fees, these are set by APTC based on local provider rates for similar (Certificate I or II equivalent) courses</w:t>
      </w:r>
      <w:r>
        <w:rPr>
          <w:rFonts w:cs="Arial"/>
        </w:rPr>
        <w:t>,</w:t>
      </w:r>
      <w:r w:rsidRPr="008F0CCB">
        <w:rPr>
          <w:rFonts w:cs="Arial"/>
        </w:rPr>
        <w:t xml:space="preserve"> with a notional premium of 20 per cent to reflect the higher-level qualifications (Certificates III and IV) and recognised high quality of APTC’s offerings. The fees for the same </w:t>
      </w:r>
      <w:r>
        <w:rPr>
          <w:rFonts w:cs="Arial"/>
        </w:rPr>
        <w:t xml:space="preserve">APTC </w:t>
      </w:r>
      <w:r w:rsidRPr="008F0CCB">
        <w:rPr>
          <w:rFonts w:cs="Arial"/>
        </w:rPr>
        <w:t>qualifications differ across campus countries</w:t>
      </w:r>
      <w:r>
        <w:rPr>
          <w:rFonts w:cs="Arial"/>
        </w:rPr>
        <w:t xml:space="preserve">. They </w:t>
      </w:r>
      <w:r w:rsidRPr="008F0CCB">
        <w:rPr>
          <w:rFonts w:cs="Arial"/>
        </w:rPr>
        <w:t>are assessed</w:t>
      </w:r>
      <w:r>
        <w:rPr>
          <w:rFonts w:cs="Arial"/>
        </w:rPr>
        <w:t>, in part,</w:t>
      </w:r>
      <w:r w:rsidRPr="008F0CCB">
        <w:rPr>
          <w:rFonts w:cs="Arial"/>
        </w:rPr>
        <w:t xml:space="preserve"> based on industry capacity to pay, which results, for example, in higher fees generally for STT courses in PNG than in Fiji despite the per capita income difference between the two countries. Appendix </w:t>
      </w:r>
      <w:r>
        <w:rPr>
          <w:rFonts w:cs="Arial"/>
        </w:rPr>
        <w:t>T</w:t>
      </w:r>
      <w:r w:rsidRPr="008F0CCB">
        <w:rPr>
          <w:rFonts w:cs="Arial"/>
        </w:rPr>
        <w:t>able A.36 shows the fees by school and by country in 2014. The fees range from a low of $380 (VUV 33,000) for some SHCS courses in V</w:t>
      </w:r>
      <w:r w:rsidR="009F1139">
        <w:rPr>
          <w:rFonts w:cs="Arial"/>
        </w:rPr>
        <w:t>anuatu to highs of $2181 (PGK 4</w:t>
      </w:r>
      <w:r w:rsidRPr="008F0CCB">
        <w:rPr>
          <w:rFonts w:cs="Arial"/>
        </w:rPr>
        <w:t>950) for some STT courses in PNG and $2239 (FJD</w:t>
      </w:r>
      <w:r>
        <w:rPr>
          <w:rFonts w:cs="Arial"/>
        </w:rPr>
        <w:t> </w:t>
      </w:r>
      <w:r w:rsidRPr="008F0CCB">
        <w:rPr>
          <w:rFonts w:cs="Arial"/>
        </w:rPr>
        <w:t>3850) for some SHCS courses in Fiji. Clearly, even the high-end fees, those in excess of $2000, reflect a significant APTC/DFAT subsidy, given that average unit costs are known to be in the $26,000</w:t>
      </w:r>
      <w:r w:rsidR="00415408">
        <w:rPr>
          <w:rFonts w:cs="Arial"/>
        </w:rPr>
        <w:t>–</w:t>
      </w:r>
      <w:r w:rsidRPr="008F0CCB">
        <w:rPr>
          <w:rFonts w:cs="Arial"/>
        </w:rPr>
        <w:t>$30,000 range (</w:t>
      </w:r>
      <w:r>
        <w:rPr>
          <w:rFonts w:cs="Arial"/>
        </w:rPr>
        <w:t>F</w:t>
      </w:r>
      <w:r w:rsidRPr="008F0CCB">
        <w:rPr>
          <w:rFonts w:cs="Arial"/>
        </w:rPr>
        <w:t xml:space="preserve">igure 6, above). </w:t>
      </w:r>
    </w:p>
    <w:p w14:paraId="4D44856A" w14:textId="5123F3AD" w:rsidR="000913FE" w:rsidRPr="008F0CCB" w:rsidRDefault="000913FE" w:rsidP="000913FE">
      <w:pPr>
        <w:spacing w:before="120"/>
        <w:rPr>
          <w:rFonts w:cs="Arial"/>
        </w:rPr>
      </w:pPr>
      <w:r w:rsidRPr="008F0CCB">
        <w:rPr>
          <w:rFonts w:cs="Arial"/>
        </w:rPr>
        <w:t>In general, students in the Pacific cannot afford to pay even the low-end tuition fees. From the start of APTC through June of 2014, according to APTC EMIS data only 127</w:t>
      </w:r>
      <w:r w:rsidR="00FC548F">
        <w:rPr>
          <w:rFonts w:cs="Arial"/>
        </w:rPr>
        <w:t> </w:t>
      </w:r>
      <w:r w:rsidRPr="008F0CCB">
        <w:rPr>
          <w:rFonts w:cs="Arial"/>
        </w:rPr>
        <w:t xml:space="preserve">students had financed their </w:t>
      </w:r>
      <w:r>
        <w:rPr>
          <w:rFonts w:cs="Arial"/>
        </w:rPr>
        <w:t xml:space="preserve">own </w:t>
      </w:r>
      <w:r w:rsidRPr="008F0CCB">
        <w:rPr>
          <w:rFonts w:cs="Arial"/>
        </w:rPr>
        <w:t>APTC courses.</w:t>
      </w:r>
      <w:r w:rsidR="005F0A36" w:rsidRPr="005F0A36">
        <w:rPr>
          <w:rFonts w:cs="Arial"/>
          <w:szCs w:val="16"/>
          <w:vertAlign w:val="superscript"/>
          <w:lang w:val="sv-SE" w:eastAsia="sv-SE"/>
        </w:rPr>
        <w:footnoteReference w:id="85"/>
      </w:r>
      <w:r w:rsidRPr="008F0CCB">
        <w:rPr>
          <w:rFonts w:cs="Arial"/>
        </w:rPr>
        <w:t xml:space="preserve"> The lion’s share (2860 or 72 per cent over the seven years) had received scholarships from APTC. A significant number of students (794 or 20</w:t>
      </w:r>
      <w:r>
        <w:rPr>
          <w:rFonts w:cs="Arial"/>
        </w:rPr>
        <w:t> </w:t>
      </w:r>
      <w:r w:rsidRPr="008F0CCB">
        <w:rPr>
          <w:rFonts w:cs="Arial"/>
        </w:rPr>
        <w:t>per</w:t>
      </w:r>
      <w:r>
        <w:rPr>
          <w:rFonts w:cs="Arial"/>
        </w:rPr>
        <w:t xml:space="preserve"> </w:t>
      </w:r>
      <w:r w:rsidRPr="008F0CCB">
        <w:rPr>
          <w:rFonts w:cs="Arial"/>
        </w:rPr>
        <w:t xml:space="preserve">cent) had been financed by their employers, and it might be reasonable to think this percentage could be nudged up in the future. For example, one proposal </w:t>
      </w:r>
      <w:r>
        <w:rPr>
          <w:rFonts w:cs="Arial"/>
        </w:rPr>
        <w:t xml:space="preserve">might be </w:t>
      </w:r>
      <w:r w:rsidRPr="008F0CCB">
        <w:rPr>
          <w:rFonts w:cs="Arial"/>
        </w:rPr>
        <w:t>to require international employers to pay the tuition fees of enrolled employees or otherwise contribute funds to the College</w:t>
      </w:r>
      <w:r>
        <w:rPr>
          <w:rFonts w:cs="Arial"/>
        </w:rPr>
        <w:t>. M</w:t>
      </w:r>
      <w:r w:rsidRPr="008F0CCB">
        <w:rPr>
          <w:rFonts w:cs="Arial"/>
        </w:rPr>
        <w:t xml:space="preserve">ore might be willing to do so, but the likelihood of some </w:t>
      </w:r>
      <w:r w:rsidR="00630099">
        <w:rPr>
          <w:rFonts w:cs="Arial"/>
        </w:rPr>
        <w:t>‘</w:t>
      </w:r>
      <w:r w:rsidRPr="008F0CCB">
        <w:rPr>
          <w:rFonts w:cs="Arial"/>
        </w:rPr>
        <w:t>free riding</w:t>
      </w:r>
      <w:r w:rsidR="00630099">
        <w:rPr>
          <w:rFonts w:cs="Arial"/>
        </w:rPr>
        <w:t>’</w:t>
      </w:r>
      <w:r w:rsidRPr="008F0CCB">
        <w:rPr>
          <w:rFonts w:cs="Arial"/>
        </w:rPr>
        <w:t xml:space="preserve"> is </w:t>
      </w:r>
      <w:r>
        <w:rPr>
          <w:rFonts w:cs="Arial"/>
        </w:rPr>
        <w:t>evident</w:t>
      </w:r>
      <w:r w:rsidRPr="008F0CCB">
        <w:rPr>
          <w:rFonts w:cs="Arial"/>
        </w:rPr>
        <w:t xml:space="preserve">. An international employer could </w:t>
      </w:r>
      <w:r w:rsidR="00630099">
        <w:rPr>
          <w:rFonts w:cs="Arial"/>
        </w:rPr>
        <w:t>‘</w:t>
      </w:r>
      <w:r w:rsidRPr="008F0CCB">
        <w:rPr>
          <w:rFonts w:cs="Arial"/>
        </w:rPr>
        <w:t>fire</w:t>
      </w:r>
      <w:r w:rsidR="00630099">
        <w:rPr>
          <w:rFonts w:cs="Arial"/>
        </w:rPr>
        <w:t>’</w:t>
      </w:r>
      <w:r w:rsidR="00630099" w:rsidRPr="008F0CCB">
        <w:rPr>
          <w:rFonts w:cs="Arial"/>
        </w:rPr>
        <w:t xml:space="preserve"> </w:t>
      </w:r>
      <w:r w:rsidRPr="008F0CCB">
        <w:rPr>
          <w:rFonts w:cs="Arial"/>
        </w:rPr>
        <w:t xml:space="preserve">his or her workers prior to their applying for APTC training, with the implicit understanding between employer and workers that they will be rehired </w:t>
      </w:r>
      <w:r>
        <w:rPr>
          <w:rFonts w:cs="Arial"/>
        </w:rPr>
        <w:t xml:space="preserve">at the end of </w:t>
      </w:r>
      <w:r w:rsidRPr="008F0CCB">
        <w:rPr>
          <w:rFonts w:cs="Arial"/>
        </w:rPr>
        <w:t>their training.</w:t>
      </w:r>
    </w:p>
    <w:p w14:paraId="58BF2147" w14:textId="054A7645" w:rsidR="000913FE" w:rsidRPr="008F0CCB" w:rsidRDefault="000913FE" w:rsidP="000913FE">
      <w:pPr>
        <w:spacing w:before="120"/>
        <w:rPr>
          <w:rFonts w:cs="Arial"/>
        </w:rPr>
      </w:pPr>
      <w:r w:rsidRPr="008F0CCB">
        <w:rPr>
          <w:rFonts w:cs="Arial"/>
        </w:rPr>
        <w:t xml:space="preserve">A possibility for the future would be for APTC to transition from a system of grants (scholarships) to a system of loans. If training increases the average graduate’s weekly wage by $55, a $380 tuition fee represents </w:t>
      </w:r>
      <w:r>
        <w:rPr>
          <w:rFonts w:cs="Arial"/>
        </w:rPr>
        <w:t xml:space="preserve">just </w:t>
      </w:r>
      <w:r w:rsidRPr="008F0CCB">
        <w:rPr>
          <w:rFonts w:cs="Arial"/>
        </w:rPr>
        <w:t xml:space="preserve">seven weeks of additional earnings, </w:t>
      </w:r>
      <w:r>
        <w:rPr>
          <w:rFonts w:cs="Arial"/>
        </w:rPr>
        <w:t xml:space="preserve">and </w:t>
      </w:r>
      <w:r w:rsidRPr="008F0CCB">
        <w:rPr>
          <w:rFonts w:cs="Arial"/>
        </w:rPr>
        <w:t xml:space="preserve">a $2200 tuition fee, nine months. Spread out over a few years, graduates could easily afford to pay off </w:t>
      </w:r>
      <w:r>
        <w:rPr>
          <w:rFonts w:cs="Arial"/>
        </w:rPr>
        <w:t xml:space="preserve">these </w:t>
      </w:r>
      <w:r w:rsidRPr="008F0CCB">
        <w:rPr>
          <w:rFonts w:cs="Arial"/>
        </w:rPr>
        <w:t xml:space="preserve">loans. The loans could be </w:t>
      </w:r>
      <w:r>
        <w:rPr>
          <w:rFonts w:cs="Arial"/>
        </w:rPr>
        <w:t xml:space="preserve">made </w:t>
      </w:r>
      <w:r w:rsidRPr="008F0CCB">
        <w:rPr>
          <w:rFonts w:cs="Arial"/>
        </w:rPr>
        <w:t>income-contingent.</w:t>
      </w:r>
      <w:r w:rsidRPr="008F0CCB">
        <w:rPr>
          <w:rStyle w:val="FootnoteReference"/>
          <w:rFonts w:cs="Arial"/>
        </w:rPr>
        <w:footnoteReference w:id="86"/>
      </w:r>
      <w:r w:rsidRPr="008F0CCB">
        <w:rPr>
          <w:rFonts w:cs="Arial"/>
        </w:rPr>
        <w:t xml:space="preserve"> The </w:t>
      </w:r>
      <w:r w:rsidR="00FC548F">
        <w:rPr>
          <w:rFonts w:cs="Arial"/>
        </w:rPr>
        <w:t>key</w:t>
      </w:r>
      <w:r w:rsidRPr="008F0CCB">
        <w:rPr>
          <w:rFonts w:cs="Arial"/>
        </w:rPr>
        <w:t xml:space="preserve"> for APTC, of cou</w:t>
      </w:r>
      <w:r>
        <w:rPr>
          <w:rFonts w:cs="Arial"/>
        </w:rPr>
        <w:t>rse, is how to ensure repayment</w:t>
      </w:r>
      <w:r w:rsidRPr="008F0CCB">
        <w:rPr>
          <w:rFonts w:cs="Arial"/>
        </w:rPr>
        <w:t xml:space="preserve"> once graduates are </w:t>
      </w:r>
      <w:r w:rsidR="00D123B4">
        <w:rPr>
          <w:rFonts w:cs="Arial"/>
        </w:rPr>
        <w:t>‘</w:t>
      </w:r>
      <w:r w:rsidRPr="008F0CCB">
        <w:rPr>
          <w:rFonts w:cs="Arial"/>
        </w:rPr>
        <w:t>out the door</w:t>
      </w:r>
      <w:r w:rsidR="00D123B4">
        <w:rPr>
          <w:rFonts w:cs="Arial"/>
        </w:rPr>
        <w:t>’</w:t>
      </w:r>
      <w:r w:rsidRPr="008F0CCB">
        <w:rPr>
          <w:rFonts w:cs="Arial"/>
        </w:rPr>
        <w:t xml:space="preserve">. One possibility would be to require every loan recipient to </w:t>
      </w:r>
      <w:r w:rsidR="00FC548F">
        <w:rPr>
          <w:rFonts w:cs="Arial"/>
        </w:rPr>
        <w:t>have an established,</w:t>
      </w:r>
      <w:r w:rsidRPr="008F0CCB">
        <w:rPr>
          <w:rFonts w:cs="Arial"/>
        </w:rPr>
        <w:t xml:space="preserve"> demonstrably dependable </w:t>
      </w:r>
      <w:r w:rsidR="00FC548F">
        <w:rPr>
          <w:rFonts w:cs="Arial"/>
        </w:rPr>
        <w:t xml:space="preserve">individual </w:t>
      </w:r>
      <w:r w:rsidRPr="008F0CCB">
        <w:rPr>
          <w:rFonts w:cs="Arial"/>
        </w:rPr>
        <w:t xml:space="preserve">(a parent or other older relative, or </w:t>
      </w:r>
      <w:r>
        <w:rPr>
          <w:rFonts w:cs="Arial"/>
        </w:rPr>
        <w:t xml:space="preserve">perhaps </w:t>
      </w:r>
      <w:r w:rsidRPr="008F0CCB">
        <w:rPr>
          <w:rFonts w:cs="Arial"/>
        </w:rPr>
        <w:t xml:space="preserve">the student’s employer) to co-sign and guarantee the loan. If APTC (or DFAT) could make this work and establish a revolving loan scheme fund, this would amount to approximately 15 per cent in </w:t>
      </w:r>
      <w:r>
        <w:rPr>
          <w:rFonts w:cs="Arial"/>
        </w:rPr>
        <w:t xml:space="preserve">APTC cost </w:t>
      </w:r>
      <w:r w:rsidRPr="008F0CCB">
        <w:rPr>
          <w:rFonts w:cs="Arial"/>
        </w:rPr>
        <w:t>savings</w:t>
      </w:r>
      <w:r>
        <w:rPr>
          <w:rFonts w:cs="Arial"/>
        </w:rPr>
        <w:t xml:space="preserve"> (which, </w:t>
      </w:r>
      <w:r w:rsidRPr="008F0CCB">
        <w:rPr>
          <w:rFonts w:cs="Arial"/>
        </w:rPr>
        <w:t>in terms of expenditure in Stage II</w:t>
      </w:r>
      <w:r>
        <w:rPr>
          <w:rFonts w:cs="Arial"/>
        </w:rPr>
        <w:t xml:space="preserve">, was </w:t>
      </w:r>
      <w:r w:rsidRPr="008F0CCB">
        <w:rPr>
          <w:rFonts w:cs="Arial"/>
        </w:rPr>
        <w:t>more than $5 million per year</w:t>
      </w:r>
      <w:r>
        <w:rPr>
          <w:rFonts w:cs="Arial"/>
        </w:rPr>
        <w:t>)</w:t>
      </w:r>
      <w:r w:rsidRPr="008F0CCB">
        <w:rPr>
          <w:rFonts w:cs="Arial"/>
        </w:rPr>
        <w:t>.</w:t>
      </w:r>
    </w:p>
    <w:p w14:paraId="376C7E9B" w14:textId="77777777" w:rsidR="000913FE" w:rsidRPr="008F0CCB" w:rsidRDefault="000913FE" w:rsidP="000913FE">
      <w:pPr>
        <w:spacing w:before="120"/>
        <w:rPr>
          <w:rFonts w:cs="Arial"/>
        </w:rPr>
      </w:pPr>
      <w:r w:rsidRPr="008F0CCB">
        <w:rPr>
          <w:rFonts w:cs="Arial"/>
        </w:rPr>
        <w:t xml:space="preserve">Another way for APTC to increase revenues from students would be to offer programs not oriented to full qualification outcomes – short courses that cover limited skill sets, but skill sets that students (or their employers) need for the work they are doing at the moment and </w:t>
      </w:r>
      <w:r>
        <w:rPr>
          <w:rFonts w:cs="Arial"/>
        </w:rPr>
        <w:t xml:space="preserve">should, </w:t>
      </w:r>
      <w:r w:rsidRPr="008F0CCB">
        <w:rPr>
          <w:rFonts w:cs="Arial"/>
        </w:rPr>
        <w:t xml:space="preserve">therefore, be willing to pay for. Because these courses could be as short as a few weeks or even a few days, the fees would be smaller and more affordable than full-course fees. Students who have completed the short courses might decide, at a later date, to re-enrol to master other needed skills and, perhaps eventually, to complete full qualifications so as to obtain the corresponding credentials. According to </w:t>
      </w:r>
      <w:r>
        <w:rPr>
          <w:rFonts w:cs="Arial"/>
        </w:rPr>
        <w:t xml:space="preserve">the CEO of TAFEQ, who also chairs </w:t>
      </w:r>
      <w:r w:rsidRPr="008F0CCB">
        <w:rPr>
          <w:rFonts w:cs="Arial"/>
        </w:rPr>
        <w:t xml:space="preserve">the APTC board, this behaviour is observed </w:t>
      </w:r>
      <w:r>
        <w:rPr>
          <w:rFonts w:cs="Arial"/>
        </w:rPr>
        <w:t xml:space="preserve">frequently </w:t>
      </w:r>
      <w:r w:rsidRPr="008F0CCB">
        <w:rPr>
          <w:rFonts w:cs="Arial"/>
        </w:rPr>
        <w:t>on the part of TVET students in Australia.</w:t>
      </w:r>
    </w:p>
    <w:p w14:paraId="5841C3AB" w14:textId="37523F69" w:rsidR="000913FE" w:rsidRPr="008F0CCB" w:rsidRDefault="000913FE" w:rsidP="000913FE">
      <w:pPr>
        <w:spacing w:before="120"/>
        <w:rPr>
          <w:rFonts w:cs="Arial"/>
        </w:rPr>
      </w:pPr>
      <w:r w:rsidRPr="008F0CCB">
        <w:rPr>
          <w:rFonts w:cs="Arial"/>
        </w:rPr>
        <w:t xml:space="preserve">Fee-for-service programs probably offer even greater scope for APTC </w:t>
      </w:r>
      <w:r>
        <w:rPr>
          <w:rFonts w:cs="Arial"/>
        </w:rPr>
        <w:t>cost recovery</w:t>
      </w:r>
      <w:r w:rsidRPr="008F0CCB">
        <w:rPr>
          <w:rFonts w:cs="Arial"/>
        </w:rPr>
        <w:t>. Whereas tuition fees apply to the College’s core programs and will continue to be highly subsidised by GoA, fee-for-service activities are off scope</w:t>
      </w:r>
      <w:r>
        <w:rPr>
          <w:rFonts w:cs="Arial"/>
        </w:rPr>
        <w:t>,</w:t>
      </w:r>
      <w:r w:rsidRPr="008F0CCB">
        <w:rPr>
          <w:rFonts w:cs="Arial"/>
        </w:rPr>
        <w:t xml:space="preserve"> </w:t>
      </w:r>
      <w:r>
        <w:rPr>
          <w:rFonts w:cs="Arial"/>
        </w:rPr>
        <w:t xml:space="preserve">and the </w:t>
      </w:r>
      <w:r w:rsidRPr="008F0CCB">
        <w:rPr>
          <w:rFonts w:cs="Arial"/>
        </w:rPr>
        <w:t xml:space="preserve">costs are intended to be fully recovered, with no subsidisation from GoA. In fact, </w:t>
      </w:r>
      <w:r>
        <w:rPr>
          <w:rFonts w:cs="Arial"/>
        </w:rPr>
        <w:t xml:space="preserve">fee-for-service </w:t>
      </w:r>
      <w:r w:rsidRPr="008F0CCB">
        <w:rPr>
          <w:rFonts w:cs="Arial"/>
        </w:rPr>
        <w:t xml:space="preserve">activities are meant to yield a 10 per cent profit over and above costs, for DFAT and the College to split. Some fee-for-service activities have been relatively small-scale, such as the Certificate IV course in TAE and the Diploma of Management, for which clients are </w:t>
      </w:r>
      <w:r>
        <w:rPr>
          <w:rFonts w:cs="Arial"/>
        </w:rPr>
        <w:t xml:space="preserve">already </w:t>
      </w:r>
      <w:r w:rsidRPr="008F0CCB">
        <w:rPr>
          <w:rFonts w:cs="Arial"/>
        </w:rPr>
        <w:t xml:space="preserve">charged. There would seem to be scope, however, for larger fee-for-service activities demanded by industry and donor organisations. To date, APTC has landed few fee-for-service contracts with industry, but there has been </w:t>
      </w:r>
      <w:r>
        <w:rPr>
          <w:rFonts w:cs="Arial"/>
        </w:rPr>
        <w:t xml:space="preserve">modest </w:t>
      </w:r>
      <w:r w:rsidRPr="008F0CCB">
        <w:rPr>
          <w:rFonts w:cs="Arial"/>
        </w:rPr>
        <w:t>success with donors, including FAO, the EU, NZAID, and UNDP</w:t>
      </w:r>
      <w:r>
        <w:rPr>
          <w:rFonts w:cs="Arial"/>
        </w:rPr>
        <w:t>  </w:t>
      </w:r>
      <w:r w:rsidRPr="008F0CCB">
        <w:rPr>
          <w:rFonts w:cs="Arial"/>
        </w:rPr>
        <w:t xml:space="preserve">– </w:t>
      </w:r>
      <w:r w:rsidRPr="008F0CCB">
        <w:rPr>
          <w:rFonts w:cs="Arial"/>
          <w:i/>
        </w:rPr>
        <w:t>as well as AusAID/DFAT</w:t>
      </w:r>
      <w:r w:rsidRPr="008F0CCB">
        <w:rPr>
          <w:rFonts w:cs="Arial"/>
        </w:rPr>
        <w:t xml:space="preserve">, which can contract with APTC for training that it needs in its bilateral aid projects. </w:t>
      </w:r>
    </w:p>
    <w:p w14:paraId="6DFC5C46" w14:textId="3E833596" w:rsidR="000913FE" w:rsidRPr="008F0CCB" w:rsidRDefault="000913FE" w:rsidP="000913FE">
      <w:pPr>
        <w:spacing w:before="120"/>
        <w:rPr>
          <w:rFonts w:cs="Arial"/>
        </w:rPr>
      </w:pPr>
      <w:r w:rsidRPr="008F0CCB">
        <w:rPr>
          <w:rFonts w:cs="Arial"/>
        </w:rPr>
        <w:t xml:space="preserve">Expenditure for project-related training appears as a cost on the donor’s books but </w:t>
      </w:r>
      <w:r w:rsidR="00E643F1">
        <w:rPr>
          <w:rFonts w:cs="Arial"/>
        </w:rPr>
        <w:br/>
      </w:r>
      <w:r w:rsidRPr="008F0CCB">
        <w:rPr>
          <w:rFonts w:cs="Arial"/>
        </w:rPr>
        <w:t xml:space="preserve">as a revenue item on APTC’s books. In the interest of APTC sustainability, such arrangements could perhaps be pursued more vigorously. The successful examples to date have tended not to involve competitive tender, for which APTC would need to be </w:t>
      </w:r>
      <w:r>
        <w:rPr>
          <w:rFonts w:cs="Arial"/>
        </w:rPr>
        <w:t xml:space="preserve">more </w:t>
      </w:r>
      <w:r w:rsidRPr="008F0CCB">
        <w:rPr>
          <w:rFonts w:cs="Arial"/>
        </w:rPr>
        <w:t>aggressive and quick</w:t>
      </w:r>
      <w:r>
        <w:rPr>
          <w:rFonts w:cs="Arial"/>
        </w:rPr>
        <w:t>er</w:t>
      </w:r>
      <w:r w:rsidRPr="008F0CCB">
        <w:rPr>
          <w:rFonts w:cs="Arial"/>
        </w:rPr>
        <w:t xml:space="preserve"> off the mark. APTC country </w:t>
      </w:r>
      <w:r>
        <w:rPr>
          <w:rFonts w:cs="Arial"/>
        </w:rPr>
        <w:t xml:space="preserve">and CSS </w:t>
      </w:r>
      <w:r w:rsidRPr="008F0CCB">
        <w:rPr>
          <w:rFonts w:cs="Arial"/>
        </w:rPr>
        <w:t xml:space="preserve">managers have not had the time to devote much </w:t>
      </w:r>
      <w:r>
        <w:rPr>
          <w:rFonts w:cs="Arial"/>
        </w:rPr>
        <w:t xml:space="preserve">of their </w:t>
      </w:r>
      <w:r w:rsidRPr="008F0CCB">
        <w:rPr>
          <w:rFonts w:cs="Arial"/>
        </w:rPr>
        <w:t>attention to business development activities. For a trial period, APTC hired a full-time business development officer based in Australia, but the position was dropped shortly thereafter because it seemed that the business generated would be unable to cover that person’s salary.</w:t>
      </w:r>
      <w:r w:rsidRPr="008F0CCB">
        <w:rPr>
          <w:rStyle w:val="FootnoteReference"/>
          <w:rFonts w:cs="Arial"/>
        </w:rPr>
        <w:footnoteReference w:id="87"/>
      </w:r>
    </w:p>
    <w:p w14:paraId="056CCB84" w14:textId="15AE9F3D" w:rsidR="000913FE" w:rsidRDefault="00D1686C" w:rsidP="002028A6">
      <w:pPr>
        <w:pStyle w:val="Heading1"/>
      </w:pPr>
      <w:bookmarkStart w:id="1104" w:name="_Toc274295082"/>
      <w:bookmarkStart w:id="1105" w:name="_Toc278447995"/>
      <w:bookmarkStart w:id="1106" w:name="_Toc278453468"/>
      <w:r>
        <w:t>7.</w:t>
      </w:r>
      <w:r>
        <w:tab/>
      </w:r>
      <w:r w:rsidR="000913FE">
        <w:t>Concluding remarks</w:t>
      </w:r>
      <w:bookmarkEnd w:id="1104"/>
      <w:bookmarkEnd w:id="1105"/>
      <w:bookmarkEnd w:id="1106"/>
    </w:p>
    <w:p w14:paraId="39C83197" w14:textId="592E4B39" w:rsidR="000913FE" w:rsidRDefault="000913FE" w:rsidP="000913FE">
      <w:pPr>
        <w:spacing w:before="120"/>
        <w:rPr>
          <w:rFonts w:cs="Arial"/>
        </w:rPr>
      </w:pPr>
      <w:r>
        <w:rPr>
          <w:rFonts w:cs="Arial"/>
        </w:rPr>
        <w:t xml:space="preserve">As part of this independent review of APTC, which amounts to a belated mid-term review of Stage II, the review team was asked by DFAT to conduct a value for money (VfM) assessment of the APTC investment – looking back, between 2007 and the end of Stage II, and also looking ahead to a possible third round of funding. Unfortunately, the database needed for a proper VfM assessment has never been a demonstrated AusAID/DFAT priority when it comes to APTC. The mid-term review of Stage I, conducted five years before this review, included a careful list of essential survey information that would be needed to conduct a thoroughgoing and credible CBA (Schofield et al. 2009, Annex J), but those recommendations have been, to borrow from Shakespeare, </w:t>
      </w:r>
      <w:r w:rsidR="00975B59">
        <w:rPr>
          <w:rFonts w:cs="Arial"/>
        </w:rPr>
        <w:t>‘</w:t>
      </w:r>
      <w:r>
        <w:rPr>
          <w:rFonts w:cs="Arial"/>
        </w:rPr>
        <w:t>more honoured in the breach than in the observance</w:t>
      </w:r>
      <w:r w:rsidR="00975B59">
        <w:rPr>
          <w:rFonts w:cs="Arial"/>
        </w:rPr>
        <w:t>’</w:t>
      </w:r>
      <w:r>
        <w:rPr>
          <w:rFonts w:cs="Arial"/>
        </w:rPr>
        <w:t>.</w:t>
      </w:r>
    </w:p>
    <w:p w14:paraId="50232EE4" w14:textId="0165DDD4" w:rsidR="000913FE" w:rsidRDefault="000913FE" w:rsidP="000913FE">
      <w:pPr>
        <w:spacing w:before="120"/>
        <w:rPr>
          <w:rFonts w:cs="Arial"/>
        </w:rPr>
      </w:pPr>
      <w:r>
        <w:rPr>
          <w:rFonts w:cs="Arial"/>
        </w:rPr>
        <w:t>APTC has conducted a series of graduate and enterprise surveys to provide information on training outcomes. A question on earnings in one of the early tracer study questionnaires was deleted in subsequent rounds in response to complaints from national staff that this question was culturally inappropriate in the Pacific, where people are uncomfortable supplying specific salary information. The question was replaced with another, innocuous and essentially useless one: Do you now earn more, the same, or less than you earned before you trained at APTC? For purposes of this new review, the team had to rely on answers to questions about pre- and post-training earnings included in a questionnaire administered to graduates (who were, it should be noted, surprisingly forthcoming for the most part) in focus group meetings in the five campus countries between June and August 2014</w:t>
      </w:r>
      <w:r w:rsidR="00D66CAB">
        <w:rPr>
          <w:rFonts w:cs="Arial"/>
        </w:rPr>
        <w:t>. However,</w:t>
      </w:r>
      <w:r>
        <w:rPr>
          <w:rFonts w:cs="Arial"/>
        </w:rPr>
        <w:t xml:space="preserve"> only some 200 graduates were able and willing to attend these meetings, and that turnout </w:t>
      </w:r>
      <w:r w:rsidR="00D66CAB">
        <w:rPr>
          <w:rFonts w:cs="Arial"/>
        </w:rPr>
        <w:t>cannot be considered</w:t>
      </w:r>
      <w:r>
        <w:rPr>
          <w:rFonts w:cs="Arial"/>
        </w:rPr>
        <w:t xml:space="preserve"> a representative sample of the ap</w:t>
      </w:r>
      <w:r w:rsidR="009F1139">
        <w:rPr>
          <w:rFonts w:cs="Arial"/>
        </w:rPr>
        <w:t>proximately 8</w:t>
      </w:r>
      <w:r>
        <w:rPr>
          <w:rFonts w:cs="Arial"/>
        </w:rPr>
        <w:t xml:space="preserve">000 APTC graduates to date. </w:t>
      </w:r>
    </w:p>
    <w:p w14:paraId="70CAD424" w14:textId="77777777" w:rsidR="000913FE" w:rsidRDefault="000913FE" w:rsidP="000913FE">
      <w:pPr>
        <w:spacing w:before="120"/>
        <w:rPr>
          <w:rFonts w:cs="Arial"/>
        </w:rPr>
      </w:pPr>
      <w:r>
        <w:rPr>
          <w:rFonts w:cs="Arial"/>
        </w:rPr>
        <w:t>Questions about salary levels are culturally sensitive the world over presumably, but APTC and DFAT have both the leverage and a due diligence obligation to obtain credible information on the impact of APTC training on earnings. APTC’s M&amp;E system should be expanded to collect much fuller information on employment and wages from all APTC students before, during, and after their APTC training. One strategy would be to require, as a condition of their matriculation and certainly of any scholarship (or loan) support, a commitment from incoming students to provide this information. Entering students should be asked to sign an agreement that they will maintain an ongoing relationship with the College following graduation and cooperate when asked to provide status updates, including information on wages. The alumni associations in the various countries and locations within countries (e.g., the Fiji East and Fiji West associations) could be mobilised to assist the College in this regard. If loans replace scholarships in the future, one idea would be to offer some degree of loan forgiveness to graduates who provide information on a regular and timely basis.</w:t>
      </w:r>
    </w:p>
    <w:p w14:paraId="303957D3" w14:textId="3867A6E3" w:rsidR="000913FE" w:rsidRDefault="000913FE" w:rsidP="000913FE">
      <w:pPr>
        <w:spacing w:before="120"/>
        <w:rPr>
          <w:rFonts w:cs="Arial"/>
        </w:rPr>
      </w:pPr>
      <w:r>
        <w:rPr>
          <w:rFonts w:cs="Arial"/>
        </w:rPr>
        <w:t>To improve the ex post ERR analyses conducted in this review, more complete information on the employment and earnings of the historical Stage I and II cohorts (and, if possible as well, a sample of those trained in national institutions) ought to be collected. Although past students will be under no moral obligation, having signed no agreements to provide this information, the review team</w:t>
      </w:r>
      <w:r w:rsidR="00B812B3">
        <w:rPr>
          <w:rFonts w:cs="Arial"/>
        </w:rPr>
        <w:t xml:space="preserve"> observed a high degree of good</w:t>
      </w:r>
      <w:r>
        <w:rPr>
          <w:rFonts w:cs="Arial"/>
        </w:rPr>
        <w:t xml:space="preserve">will and willingness to cooperate on the part of APTC graduates. Mail surveys </w:t>
      </w:r>
      <w:r w:rsidR="00073E34">
        <w:rPr>
          <w:rFonts w:cs="Arial"/>
        </w:rPr>
        <w:t xml:space="preserve">would </w:t>
      </w:r>
      <w:r>
        <w:rPr>
          <w:rFonts w:cs="Arial"/>
        </w:rPr>
        <w:t>need to be followed up with emails and phone calls</w:t>
      </w:r>
      <w:r w:rsidR="00073E34">
        <w:rPr>
          <w:rFonts w:cs="Arial"/>
        </w:rPr>
        <w:t xml:space="preserve"> </w:t>
      </w:r>
      <w:r w:rsidR="00073E34" w:rsidRPr="00073E34">
        <w:rPr>
          <w:rFonts w:cs="Arial"/>
        </w:rPr>
        <w:t>(as has been the case in most of APTC’s earlier surveys)</w:t>
      </w:r>
      <w:r>
        <w:rPr>
          <w:rFonts w:cs="Arial"/>
        </w:rPr>
        <w:t xml:space="preserve">, again with the help of the alumni associations. </w:t>
      </w:r>
      <w:r w:rsidR="00B812B3">
        <w:rPr>
          <w:rFonts w:cs="Arial"/>
        </w:rPr>
        <w:br/>
      </w:r>
      <w:r>
        <w:rPr>
          <w:rFonts w:cs="Arial"/>
        </w:rPr>
        <w:t>To test the validity of the tracer survey results, small sub-samples of non-respondents should be randomly selected and then followed up even more vigorously until enough data are available to determine whether respondents differ systematically from (initial) non-respondents.</w:t>
      </w:r>
    </w:p>
    <w:p w14:paraId="22EAFF1D" w14:textId="5E9AE20E" w:rsidR="000913FE" w:rsidRDefault="000913FE" w:rsidP="000913FE">
      <w:pPr>
        <w:spacing w:before="120"/>
        <w:rPr>
          <w:rFonts w:cs="Arial"/>
        </w:rPr>
      </w:pPr>
      <w:r>
        <w:rPr>
          <w:rFonts w:cs="Arial"/>
        </w:rPr>
        <w:t>DFAT’s renewal of APTC funding should be contingent on a detailed, costed plan for an improved M&amp;E system. Given the short time that now remains before the end of Stage II (30 June 2015), DFAT might want to consider a provisional APTC extension for a shorter than four-year time period (</w:t>
      </w:r>
      <w:r w:rsidR="00C917CB">
        <w:rPr>
          <w:rFonts w:cs="Arial"/>
        </w:rPr>
        <w:t>perhaps two years</w:t>
      </w:r>
      <w:r>
        <w:rPr>
          <w:rFonts w:cs="Arial"/>
        </w:rPr>
        <w:t>), enough time for APTC’s board and management to complete the plan and initiate its implementation. A provisional extension for a limited time period would underline the point that another four-year renewal is not automatic but will require that issues, many of which were identified quite early on, finally get addressed. A decision at the end of the interim period to renew APTC funding for a longer period should be based on a convincing strategic plan that will include, inter alia, the improved M&amp;E mechanisms so as to obtain, on a regular basis, feedback from employers on training needs and the performance of APTC graduates, as well as information on the prior training and work history of entering students and the labour market outcomes of graduates.</w:t>
      </w:r>
    </w:p>
    <w:p w14:paraId="2C49BDA0" w14:textId="3ACB6402" w:rsidR="000913FE" w:rsidRDefault="000913FE" w:rsidP="000913FE">
      <w:pPr>
        <w:spacing w:before="120"/>
        <w:rPr>
          <w:rFonts w:cs="Arial"/>
        </w:rPr>
      </w:pPr>
      <w:r>
        <w:rPr>
          <w:rFonts w:cs="Arial"/>
        </w:rPr>
        <w:t xml:space="preserve">DFAT’s decision (at the end of an interim period or at the end of a possible APTC Stage III) should be made at least one year before committed funds come to an end, so that APTC’s management and Board can plan ahead and complete efficiently the necessary procurement (including recruitment of staff) so as to be ready for the next operational round (or, in the event of a </w:t>
      </w:r>
      <w:r w:rsidR="00DF375E">
        <w:rPr>
          <w:rFonts w:cs="Arial"/>
        </w:rPr>
        <w:t>‘</w:t>
      </w:r>
      <w:r>
        <w:rPr>
          <w:rFonts w:cs="Arial"/>
        </w:rPr>
        <w:t>no-go</w:t>
      </w:r>
      <w:r w:rsidR="00DF375E">
        <w:rPr>
          <w:rFonts w:cs="Arial"/>
        </w:rPr>
        <w:t xml:space="preserve">’ </w:t>
      </w:r>
      <w:r>
        <w:rPr>
          <w:rFonts w:cs="Arial"/>
        </w:rPr>
        <w:t xml:space="preserve">decision, to wind down APTC operations in an orderly fashion). The decision at the end of Stage II (the decision that this review is meant to inform) will happen too late, contributing to a waste of resources. </w:t>
      </w:r>
    </w:p>
    <w:p w14:paraId="23FC5E8C" w14:textId="1A4CB96E" w:rsidR="000913FE" w:rsidRDefault="000913FE" w:rsidP="000913FE">
      <w:pPr>
        <w:spacing w:before="120"/>
        <w:rPr>
          <w:rFonts w:cs="Arial"/>
        </w:rPr>
      </w:pPr>
      <w:r>
        <w:rPr>
          <w:rFonts w:cs="Arial"/>
        </w:rPr>
        <w:t xml:space="preserve">Whatever DFAT’s decision turns out to be, it should not be heavily influenced by any retroactive ERR analysis. Money spent between 2007 and 2015 is really </w:t>
      </w:r>
      <w:r w:rsidR="00DF375E">
        <w:rPr>
          <w:rFonts w:cs="Arial"/>
        </w:rPr>
        <w:t>‘</w:t>
      </w:r>
      <w:r>
        <w:rPr>
          <w:rFonts w:cs="Arial"/>
        </w:rPr>
        <w:t>water under the bridge</w:t>
      </w:r>
      <w:r w:rsidR="00DF375E">
        <w:rPr>
          <w:rFonts w:cs="Arial"/>
        </w:rPr>
        <w:t>’</w:t>
      </w:r>
      <w:r>
        <w:rPr>
          <w:rFonts w:cs="Arial"/>
        </w:rPr>
        <w:t xml:space="preserve">. DFAT’s decision should be forward-looking and based on whether or not funding for APTC </w:t>
      </w:r>
      <w:r w:rsidRPr="00F27707">
        <w:rPr>
          <w:rFonts w:cs="Arial"/>
          <w:i/>
        </w:rPr>
        <w:t>in the future</w:t>
      </w:r>
      <w:r>
        <w:rPr>
          <w:rFonts w:cs="Arial"/>
        </w:rPr>
        <w:t xml:space="preserve"> seems to offer value for money. The economic analysis presented in this annex suggests that the answer to this question is, </w:t>
      </w:r>
      <w:r w:rsidR="00DF375E">
        <w:rPr>
          <w:rFonts w:cs="Arial"/>
        </w:rPr>
        <w:t>‘</w:t>
      </w:r>
      <w:r>
        <w:rPr>
          <w:rFonts w:cs="Arial"/>
        </w:rPr>
        <w:t>yes, perhaps</w:t>
      </w:r>
      <w:r w:rsidR="00DF375E">
        <w:rPr>
          <w:rFonts w:cs="Arial"/>
        </w:rPr>
        <w:t>’</w:t>
      </w:r>
      <w:r>
        <w:rPr>
          <w:rFonts w:cs="Arial"/>
        </w:rPr>
        <w:t>, but a positive net present value will depend very much on the implementation of cost-cutting measures as recommended in this review and on there being a robust future pipeline of students trained in STT and SHCS specialisations for which there is demonstrated demand in the 14 PICs (and in Australia and other countries to which more Pacific Islanders might wish to migrate for work). Evidence on market demand in the future needs to be collected on an ongoing basis so that the ERR results can be updated continuously. Any review team asked in four or six years’ time to assess whether APTC has provided VfM should not look back to this review as the most recent evaluation of this important, but expensive, aid program given to the 14 Pacific Island countries and funded by the taxpayers of Australia.</w:t>
      </w:r>
    </w:p>
    <w:p w14:paraId="651746B5" w14:textId="381AB488" w:rsidR="0011350C" w:rsidRDefault="0011350C" w:rsidP="000913FE">
      <w:pPr>
        <w:spacing w:before="120"/>
        <w:rPr>
          <w:rFonts w:cs="Arial"/>
        </w:rPr>
      </w:pPr>
    </w:p>
    <w:p w14:paraId="23C3D5E9" w14:textId="671FA905" w:rsidR="000913FE" w:rsidRDefault="000913FE" w:rsidP="002028A6">
      <w:pPr>
        <w:pStyle w:val="Heading1"/>
      </w:pPr>
      <w:r>
        <w:br w:type="page"/>
      </w:r>
      <w:bookmarkStart w:id="1107" w:name="_Toc274295083"/>
      <w:bookmarkStart w:id="1108" w:name="_Toc278447996"/>
      <w:bookmarkStart w:id="1109" w:name="_Toc278453469"/>
      <w:r w:rsidR="00D1686C">
        <w:t>8.</w:t>
      </w:r>
      <w:r w:rsidR="00D1686C">
        <w:tab/>
      </w:r>
      <w:r>
        <w:t>Appendix tables</w:t>
      </w:r>
      <w:bookmarkEnd w:id="1107"/>
      <w:bookmarkEnd w:id="1108"/>
      <w:bookmarkEnd w:id="1109"/>
    </w:p>
    <w:p w14:paraId="2AF21633" w14:textId="77777777" w:rsidR="000913FE" w:rsidRDefault="000913FE" w:rsidP="000913FE">
      <w:pPr>
        <w:pStyle w:val="Tableheading"/>
      </w:pPr>
      <w:bookmarkStart w:id="1110" w:name="_Toc272855494"/>
      <w:bookmarkStart w:id="1111" w:name="_Toc274915997"/>
      <w:bookmarkStart w:id="1112" w:name="_Toc278446976"/>
      <w:r w:rsidRPr="00E23452">
        <w:t xml:space="preserve">Table A.1: Total </w:t>
      </w:r>
      <w:r>
        <w:t>e</w:t>
      </w:r>
      <w:r w:rsidRPr="00E23452">
        <w:t>xpenditure</w:t>
      </w:r>
      <w:r>
        <w:t xml:space="preserve"> by APTC operational categories</w:t>
      </w:r>
      <w:r w:rsidRPr="00E23452">
        <w:t>, APTC Stage I (AUD)</w:t>
      </w:r>
      <w:bookmarkEnd w:id="1110"/>
      <w:bookmarkEnd w:id="1111"/>
      <w:bookmarkEnd w:id="1112"/>
    </w:p>
    <w:p w14:paraId="244A721A" w14:textId="77777777" w:rsidR="000913FE" w:rsidRDefault="000913FE" w:rsidP="000913FE">
      <w:pPr>
        <w:spacing w:after="0"/>
        <w:rPr>
          <w:rFonts w:cs="Arial"/>
        </w:rPr>
      </w:pPr>
      <w:r>
        <w:rPr>
          <w:noProof/>
          <w:lang w:eastAsia="en-AU"/>
        </w:rPr>
        <w:drawing>
          <wp:inline distT="0" distB="0" distL="0" distR="0" wp14:anchorId="7404861A" wp14:editId="68A29C45">
            <wp:extent cx="5399405" cy="1997710"/>
            <wp:effectExtent l="0" t="0" r="10795" b="889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5399405" cy="1997710"/>
                    </a:xfrm>
                    <a:prstGeom prst="rect">
                      <a:avLst/>
                    </a:prstGeom>
                    <a:noFill/>
                    <a:ln w="9525">
                      <a:noFill/>
                      <a:miter lim="800000"/>
                      <a:headEnd/>
                      <a:tailEnd/>
                    </a:ln>
                  </pic:spPr>
                </pic:pic>
              </a:graphicData>
            </a:graphic>
          </wp:inline>
        </w:drawing>
      </w:r>
    </w:p>
    <w:p w14:paraId="57082589" w14:textId="77777777" w:rsidR="000913FE" w:rsidRDefault="000913FE" w:rsidP="000913FE">
      <w:pPr>
        <w:pStyle w:val="Tableheading"/>
      </w:pPr>
      <w:bookmarkStart w:id="1113" w:name="_Toc272855495"/>
      <w:bookmarkStart w:id="1114" w:name="_Toc274915998"/>
      <w:bookmarkStart w:id="1115" w:name="_Toc278446977"/>
      <w:r w:rsidRPr="00E23452">
        <w:t xml:space="preserve">Table A.2: Total </w:t>
      </w:r>
      <w:r>
        <w:t>e</w:t>
      </w:r>
      <w:r w:rsidRPr="00E23452">
        <w:t>xpenditure</w:t>
      </w:r>
      <w:r>
        <w:t xml:space="preserve"> by economic purpose</w:t>
      </w:r>
      <w:r w:rsidRPr="00E23452">
        <w:t>, APTC Stage I (AUD)</w:t>
      </w:r>
      <w:bookmarkEnd w:id="1113"/>
      <w:bookmarkEnd w:id="1114"/>
      <w:bookmarkEnd w:id="1115"/>
    </w:p>
    <w:p w14:paraId="6E94EDA8" w14:textId="77777777" w:rsidR="000913FE" w:rsidRDefault="000913FE" w:rsidP="000913FE">
      <w:pPr>
        <w:spacing w:after="0"/>
        <w:rPr>
          <w:rFonts w:cs="Arial"/>
          <w:color w:val="000000"/>
        </w:rPr>
      </w:pPr>
      <w:r>
        <w:rPr>
          <w:noProof/>
          <w:lang w:eastAsia="en-AU"/>
        </w:rPr>
        <w:drawing>
          <wp:inline distT="0" distB="0" distL="0" distR="0" wp14:anchorId="5BA24EF6" wp14:editId="020D49EF">
            <wp:extent cx="5311970" cy="1735667"/>
            <wp:effectExtent l="0" t="0" r="0" b="0"/>
            <wp:docPr id="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4" cstate="print"/>
                    <a:srcRect b="40489"/>
                    <a:stretch/>
                  </pic:blipFill>
                  <pic:spPr bwMode="auto">
                    <a:xfrm>
                      <a:off x="0" y="0"/>
                      <a:ext cx="5312664" cy="1735894"/>
                    </a:xfrm>
                    <a:prstGeom prst="rect">
                      <a:avLst/>
                    </a:prstGeom>
                    <a:noFill/>
                    <a:ln>
                      <a:noFill/>
                    </a:ln>
                    <a:extLst>
                      <a:ext uri="{53640926-AAD7-44D8-BBD7-CCE9431645EC}">
                        <a14:shadowObscured xmlns:a14="http://schemas.microsoft.com/office/drawing/2010/main"/>
                      </a:ext>
                    </a:extLst>
                  </pic:spPr>
                </pic:pic>
              </a:graphicData>
            </a:graphic>
          </wp:inline>
        </w:drawing>
      </w:r>
    </w:p>
    <w:p w14:paraId="4859F967" w14:textId="77777777" w:rsidR="00273BCC" w:rsidRDefault="00273BCC" w:rsidP="000913FE">
      <w:pPr>
        <w:spacing w:after="0"/>
        <w:rPr>
          <w:rFonts w:cs="Arial"/>
          <w:color w:val="000000"/>
        </w:rPr>
      </w:pPr>
    </w:p>
    <w:p w14:paraId="3EC1AE73" w14:textId="7E9E61C3" w:rsidR="00273BCC" w:rsidRPr="000A1A06" w:rsidRDefault="00273BCC" w:rsidP="000913FE">
      <w:pPr>
        <w:spacing w:after="0"/>
        <w:rPr>
          <w:rFonts w:cs="Arial"/>
          <w:color w:val="000000"/>
          <w:sz w:val="16"/>
        </w:rPr>
      </w:pPr>
      <w:r w:rsidRPr="000A1A06">
        <w:rPr>
          <w:rFonts w:cs="Arial"/>
          <w:color w:val="000000"/>
          <w:sz w:val="16"/>
        </w:rPr>
        <w:t>Notes:</w:t>
      </w:r>
    </w:p>
    <w:p w14:paraId="274E36F0" w14:textId="5EB2C842" w:rsidR="00273BCC" w:rsidRPr="000A1A06" w:rsidRDefault="00273BCC" w:rsidP="000913FE">
      <w:pPr>
        <w:spacing w:after="0"/>
        <w:rPr>
          <w:rFonts w:cs="Arial"/>
          <w:color w:val="000000"/>
          <w:sz w:val="16"/>
        </w:rPr>
      </w:pPr>
      <w:r w:rsidRPr="000A1A06">
        <w:rPr>
          <w:rFonts w:cs="Arial"/>
          <w:color w:val="000000"/>
          <w:sz w:val="16"/>
        </w:rPr>
        <w:t>a/ Stage 1 was managed by three Australia-based contractors. Sinclair Knight Merz (SKM) for development and coordination and for operating the Coordination Office in Nadi. Box Hill Institute of TAFE (BHIT) w</w:t>
      </w:r>
      <w:r w:rsidR="000A1A06">
        <w:rPr>
          <w:rFonts w:cs="Arial"/>
          <w:color w:val="000000"/>
          <w:sz w:val="16"/>
        </w:rPr>
        <w:t>as responsible for the programs</w:t>
      </w:r>
      <w:r w:rsidRPr="000A1A06">
        <w:rPr>
          <w:rFonts w:cs="Arial"/>
          <w:color w:val="000000"/>
          <w:sz w:val="16"/>
        </w:rPr>
        <w:t xml:space="preserve"> in hospitality, tourism, health and community services. Sunshine Coast Institute of TAFE (SCIT) was responsible for the trades programs (automotive, construction, electrical and manufacturing</w:t>
      </w:r>
      <w:r w:rsidR="000A1A06" w:rsidRPr="000A1A06">
        <w:rPr>
          <w:rFonts w:cs="Arial"/>
          <w:color w:val="000000"/>
          <w:sz w:val="16"/>
        </w:rPr>
        <w:t>).</w:t>
      </w:r>
    </w:p>
    <w:p w14:paraId="133647AF" w14:textId="156A806D" w:rsidR="000A1A06" w:rsidRPr="000A1A06" w:rsidRDefault="000A1A06" w:rsidP="000913FE">
      <w:pPr>
        <w:spacing w:after="0"/>
        <w:rPr>
          <w:rFonts w:cs="Arial"/>
          <w:color w:val="000000"/>
          <w:sz w:val="16"/>
        </w:rPr>
      </w:pPr>
      <w:r>
        <w:rPr>
          <w:rFonts w:cs="Arial"/>
          <w:color w:val="000000"/>
          <w:sz w:val="16"/>
        </w:rPr>
        <w:br/>
        <w:t>Sources: The figure</w:t>
      </w:r>
      <w:r w:rsidRPr="000A1A06">
        <w:rPr>
          <w:rFonts w:cs="Arial"/>
          <w:color w:val="000000"/>
          <w:sz w:val="16"/>
        </w:rPr>
        <w:t xml:space="preserve"> of AUD 21.9 million in capital spending cam from the 2009 mid-term review of APTC (Schofield et al. 2009). All other figures were provided by Tina Seniloli, Program Manager, Skills Development and Labour Mobility, DFAT, Australian High Commission, Suva, Fiji.</w:t>
      </w:r>
    </w:p>
    <w:p w14:paraId="72F10F52" w14:textId="77777777" w:rsidR="000A1A06" w:rsidRDefault="000A1A06" w:rsidP="000913FE">
      <w:pPr>
        <w:spacing w:after="0"/>
        <w:rPr>
          <w:rFonts w:cs="Arial"/>
          <w:color w:val="000000"/>
        </w:rPr>
      </w:pPr>
    </w:p>
    <w:p w14:paraId="626E2DA8" w14:textId="77777777" w:rsidR="000913FE" w:rsidRDefault="000913FE" w:rsidP="000913FE">
      <w:pPr>
        <w:spacing w:after="200" w:line="276" w:lineRule="auto"/>
        <w:rPr>
          <w:b/>
          <w:color w:val="76923C"/>
        </w:rPr>
      </w:pPr>
      <w:bookmarkStart w:id="1116" w:name="_Toc272855496"/>
      <w:r>
        <w:br w:type="page"/>
      </w:r>
    </w:p>
    <w:p w14:paraId="37DA67F7" w14:textId="51547406" w:rsidR="000913FE" w:rsidRDefault="000913FE" w:rsidP="000913FE">
      <w:pPr>
        <w:pStyle w:val="Tableheading"/>
      </w:pPr>
      <w:bookmarkStart w:id="1117" w:name="_Toc274915999"/>
      <w:bookmarkStart w:id="1118" w:name="_Toc278446978"/>
      <w:r w:rsidRPr="00585081">
        <w:t xml:space="preserve">Table </w:t>
      </w:r>
      <w:r>
        <w:t>A.3</w:t>
      </w:r>
      <w:r w:rsidRPr="00585081">
        <w:t>: Total expenditure by Ba</w:t>
      </w:r>
      <w:r>
        <w:t xml:space="preserve">sis of Payment (BOP) categories, </w:t>
      </w:r>
      <w:r w:rsidRPr="00585081">
        <w:t xml:space="preserve">as claimed by APTC </w:t>
      </w:r>
      <w:r>
        <w:t xml:space="preserve">and TAFEQ </w:t>
      </w:r>
      <w:r w:rsidRPr="00585081">
        <w:t>for reimbursement from DFAT, APTC Stage II (AUD)</w:t>
      </w:r>
      <w:bookmarkEnd w:id="1116"/>
      <w:bookmarkEnd w:id="1117"/>
      <w:bookmarkEnd w:id="1118"/>
    </w:p>
    <w:p w14:paraId="50D331B7" w14:textId="77777777" w:rsidR="000913FE" w:rsidRDefault="000913FE" w:rsidP="000913FE">
      <w:pPr>
        <w:spacing w:after="0"/>
        <w:rPr>
          <w:rFonts w:cs="Arial"/>
          <w:color w:val="000000"/>
        </w:rPr>
      </w:pPr>
      <w:r>
        <w:rPr>
          <w:noProof/>
          <w:lang w:eastAsia="en-AU"/>
        </w:rPr>
        <w:drawing>
          <wp:inline distT="0" distB="0" distL="0" distR="0" wp14:anchorId="59E2876B" wp14:editId="304C0BA5">
            <wp:extent cx="5575808" cy="1409700"/>
            <wp:effectExtent l="0" t="0" r="12700" b="0"/>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srcRect/>
                    <a:stretch>
                      <a:fillRect/>
                    </a:stretch>
                  </pic:blipFill>
                  <pic:spPr bwMode="auto">
                    <a:xfrm>
                      <a:off x="0" y="0"/>
                      <a:ext cx="5575808" cy="1409700"/>
                    </a:xfrm>
                    <a:prstGeom prst="rect">
                      <a:avLst/>
                    </a:prstGeom>
                    <a:noFill/>
                    <a:ln w="9525">
                      <a:noFill/>
                      <a:miter lim="800000"/>
                      <a:headEnd/>
                      <a:tailEnd/>
                    </a:ln>
                  </pic:spPr>
                </pic:pic>
              </a:graphicData>
            </a:graphic>
          </wp:inline>
        </w:drawing>
      </w:r>
    </w:p>
    <w:p w14:paraId="51272228" w14:textId="77777777" w:rsidR="000913FE" w:rsidRDefault="000913FE" w:rsidP="000913FE">
      <w:pPr>
        <w:pStyle w:val="Tableheading"/>
      </w:pPr>
      <w:bookmarkStart w:id="1119" w:name="_Toc272855497"/>
      <w:bookmarkStart w:id="1120" w:name="_Toc274916000"/>
      <w:bookmarkStart w:id="1121" w:name="_Toc278446979"/>
      <w:r w:rsidRPr="00D349F7">
        <w:t xml:space="preserve">Table </w:t>
      </w:r>
      <w:r>
        <w:t>A.4</w:t>
      </w:r>
      <w:r w:rsidRPr="00D349F7">
        <w:t xml:space="preserve">: Total expenditure by </w:t>
      </w:r>
      <w:r>
        <w:t xml:space="preserve">economic purpose </w:t>
      </w:r>
      <w:r w:rsidRPr="00D349F7">
        <w:t>(capital, personnel, scholarships, other recurrent, management), APTC Stage II (AUD)</w:t>
      </w:r>
      <w:bookmarkEnd w:id="1119"/>
      <w:bookmarkEnd w:id="1120"/>
      <w:bookmarkEnd w:id="1121"/>
    </w:p>
    <w:p w14:paraId="655628DA" w14:textId="77777777" w:rsidR="000913FE" w:rsidRPr="00E23452" w:rsidRDefault="000913FE" w:rsidP="000913FE">
      <w:pPr>
        <w:keepNext/>
        <w:spacing w:after="0"/>
        <w:rPr>
          <w:rFonts w:cs="Arial"/>
          <w:color w:val="000000"/>
        </w:rPr>
      </w:pPr>
      <w:r>
        <w:rPr>
          <w:noProof/>
          <w:lang w:eastAsia="en-AU"/>
        </w:rPr>
        <w:drawing>
          <wp:inline distT="0" distB="0" distL="0" distR="0" wp14:anchorId="49E117F5" wp14:editId="6136AFAD">
            <wp:extent cx="5568696" cy="1409700"/>
            <wp:effectExtent l="0" t="0" r="0" b="0"/>
            <wp:docPr id="16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srcRect/>
                    <a:stretch>
                      <a:fillRect/>
                    </a:stretch>
                  </pic:blipFill>
                  <pic:spPr bwMode="auto">
                    <a:xfrm>
                      <a:off x="0" y="0"/>
                      <a:ext cx="5568696" cy="1409700"/>
                    </a:xfrm>
                    <a:prstGeom prst="rect">
                      <a:avLst/>
                    </a:prstGeom>
                    <a:noFill/>
                    <a:ln w="9525">
                      <a:noFill/>
                      <a:miter lim="800000"/>
                      <a:headEnd/>
                      <a:tailEnd/>
                    </a:ln>
                  </pic:spPr>
                </pic:pic>
              </a:graphicData>
            </a:graphic>
          </wp:inline>
        </w:drawing>
      </w:r>
    </w:p>
    <w:p w14:paraId="356A289C" w14:textId="77777777" w:rsidR="000913FE" w:rsidRDefault="000913FE" w:rsidP="000913FE">
      <w:pPr>
        <w:pStyle w:val="Tableheading"/>
      </w:pPr>
      <w:bookmarkStart w:id="1122" w:name="_Toc272855498"/>
      <w:bookmarkStart w:id="1123" w:name="_Toc274916001"/>
      <w:bookmarkStart w:id="1124" w:name="_Toc278446980"/>
      <w:r w:rsidRPr="003E050B">
        <w:t xml:space="preserve">Table </w:t>
      </w:r>
      <w:r>
        <w:t>A.5</w:t>
      </w:r>
      <w:r w:rsidRPr="003E050B">
        <w:t xml:space="preserve">: Capital expenditure by </w:t>
      </w:r>
      <w:r>
        <w:t xml:space="preserve">economic purpose </w:t>
      </w:r>
      <w:r w:rsidRPr="003E050B">
        <w:t xml:space="preserve">(civil works, </w:t>
      </w:r>
      <w:r>
        <w:t xml:space="preserve">equipment, </w:t>
      </w:r>
      <w:r w:rsidRPr="003E050B">
        <w:t>maintenance, handover reserve), APTC Stage II (AUD)</w:t>
      </w:r>
      <w:bookmarkEnd w:id="1122"/>
      <w:bookmarkEnd w:id="1123"/>
      <w:bookmarkEnd w:id="1124"/>
    </w:p>
    <w:p w14:paraId="44A4B459" w14:textId="77777777" w:rsidR="000913FE" w:rsidRDefault="000913FE" w:rsidP="000913FE">
      <w:pPr>
        <w:spacing w:after="0"/>
        <w:rPr>
          <w:rFonts w:cs="Arial"/>
        </w:rPr>
      </w:pPr>
      <w:r>
        <w:rPr>
          <w:noProof/>
          <w:lang w:eastAsia="en-AU"/>
        </w:rPr>
        <w:drawing>
          <wp:inline distT="0" distB="0" distL="0" distR="0" wp14:anchorId="325B3716" wp14:editId="01FCD557">
            <wp:extent cx="5575808" cy="1508760"/>
            <wp:effectExtent l="0" t="0" r="12700" b="0"/>
            <wp:docPr id="16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srcRect/>
                    <a:stretch>
                      <a:fillRect/>
                    </a:stretch>
                  </pic:blipFill>
                  <pic:spPr bwMode="auto">
                    <a:xfrm>
                      <a:off x="0" y="0"/>
                      <a:ext cx="5575808" cy="1508760"/>
                    </a:xfrm>
                    <a:prstGeom prst="rect">
                      <a:avLst/>
                    </a:prstGeom>
                    <a:noFill/>
                    <a:ln w="9525">
                      <a:noFill/>
                      <a:miter lim="800000"/>
                      <a:headEnd/>
                      <a:tailEnd/>
                    </a:ln>
                  </pic:spPr>
                </pic:pic>
              </a:graphicData>
            </a:graphic>
          </wp:inline>
        </w:drawing>
      </w:r>
    </w:p>
    <w:p w14:paraId="7DA7A5B3" w14:textId="34568486" w:rsidR="000913FE" w:rsidRDefault="000913FE" w:rsidP="000913FE">
      <w:pPr>
        <w:pStyle w:val="Tableheading"/>
      </w:pPr>
      <w:bookmarkStart w:id="1125" w:name="_Toc272855499"/>
      <w:bookmarkStart w:id="1126" w:name="_Toc274916002"/>
      <w:bookmarkStart w:id="1127" w:name="_Toc278446981"/>
      <w:r w:rsidRPr="003E050B">
        <w:t xml:space="preserve">Table </w:t>
      </w:r>
      <w:r>
        <w:t>A.6</w:t>
      </w:r>
      <w:r w:rsidRPr="003E050B">
        <w:t xml:space="preserve">: Management fees paid to contractor (TAFE Queensland) for </w:t>
      </w:r>
      <w:r w:rsidR="00DD705B">
        <w:br/>
      </w:r>
      <w:r w:rsidRPr="003E050B">
        <w:t>APTC Stage II (AUD)</w:t>
      </w:r>
      <w:bookmarkEnd w:id="1125"/>
      <w:bookmarkEnd w:id="1126"/>
      <w:bookmarkEnd w:id="1127"/>
    </w:p>
    <w:p w14:paraId="238CCF65" w14:textId="77777777" w:rsidR="000913FE" w:rsidRDefault="000913FE" w:rsidP="000913FE">
      <w:pPr>
        <w:spacing w:after="0"/>
        <w:rPr>
          <w:rFonts w:cs="Arial"/>
          <w:color w:val="000000"/>
        </w:rPr>
      </w:pPr>
      <w:r>
        <w:rPr>
          <w:noProof/>
          <w:lang w:eastAsia="en-AU"/>
        </w:rPr>
        <w:drawing>
          <wp:inline distT="0" distB="0" distL="0" distR="0" wp14:anchorId="3FCCDC89" wp14:editId="03B4BDE8">
            <wp:extent cx="5705856" cy="1249680"/>
            <wp:effectExtent l="0" t="0" r="9525" b="0"/>
            <wp:docPr id="16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srcRect/>
                    <a:stretch>
                      <a:fillRect/>
                    </a:stretch>
                  </pic:blipFill>
                  <pic:spPr bwMode="auto">
                    <a:xfrm>
                      <a:off x="0" y="0"/>
                      <a:ext cx="5705856" cy="1249680"/>
                    </a:xfrm>
                    <a:prstGeom prst="rect">
                      <a:avLst/>
                    </a:prstGeom>
                    <a:noFill/>
                    <a:ln w="9525">
                      <a:noFill/>
                      <a:miter lim="800000"/>
                      <a:headEnd/>
                      <a:tailEnd/>
                    </a:ln>
                  </pic:spPr>
                </pic:pic>
              </a:graphicData>
            </a:graphic>
          </wp:inline>
        </w:drawing>
      </w:r>
    </w:p>
    <w:p w14:paraId="6BFD29D5" w14:textId="77777777" w:rsidR="000913FE" w:rsidRDefault="000913FE" w:rsidP="000913FE">
      <w:pPr>
        <w:spacing w:after="0"/>
        <w:rPr>
          <w:rFonts w:cs="Arial"/>
          <w:color w:val="000000"/>
        </w:rPr>
      </w:pPr>
    </w:p>
    <w:p w14:paraId="6A3ACFE8" w14:textId="77777777" w:rsidR="000913FE" w:rsidRPr="003E050B" w:rsidRDefault="000913FE" w:rsidP="000913FE">
      <w:pPr>
        <w:spacing w:after="0"/>
        <w:rPr>
          <w:rFonts w:cs="Arial"/>
          <w:color w:val="000000"/>
        </w:rPr>
      </w:pPr>
    </w:p>
    <w:p w14:paraId="6D46D71D" w14:textId="77777777" w:rsidR="000913FE" w:rsidRDefault="000913FE" w:rsidP="000913FE">
      <w:pPr>
        <w:spacing w:after="0"/>
        <w:rPr>
          <w:rFonts w:cs="Arial"/>
        </w:rPr>
        <w:sectPr w:rsidR="000913FE" w:rsidSect="00FF3EDE">
          <w:headerReference w:type="default" r:id="rId119"/>
          <w:footerReference w:type="default" r:id="rId120"/>
          <w:type w:val="continuous"/>
          <w:pgSz w:w="11904" w:h="16834"/>
          <w:pgMar w:top="1440" w:right="1701" w:bottom="1440" w:left="1701" w:header="709" w:footer="709" w:gutter="0"/>
          <w:cols w:space="720"/>
          <w:docGrid w:linePitch="360"/>
        </w:sectPr>
      </w:pPr>
    </w:p>
    <w:p w14:paraId="51B75996" w14:textId="77777777" w:rsidR="000913FE" w:rsidRDefault="000913FE" w:rsidP="000913FE">
      <w:pPr>
        <w:pStyle w:val="Tableheading"/>
      </w:pPr>
      <w:bookmarkStart w:id="1128" w:name="_Toc272855500"/>
      <w:bookmarkStart w:id="1129" w:name="_Toc274916003"/>
      <w:bookmarkStart w:id="1130" w:name="_Toc278446982"/>
      <w:r w:rsidRPr="00585081">
        <w:t xml:space="preserve">Table </w:t>
      </w:r>
      <w:r>
        <w:t>A.7</w:t>
      </w:r>
      <w:r w:rsidRPr="00585081">
        <w:t xml:space="preserve">: Recurrent expenditure by </w:t>
      </w:r>
      <w:r>
        <w:t>economic purpose</w:t>
      </w:r>
      <w:r w:rsidRPr="00585081">
        <w:t>, APTC Stage II (AUD)</w:t>
      </w:r>
      <w:bookmarkEnd w:id="1128"/>
      <w:bookmarkEnd w:id="1129"/>
      <w:bookmarkEnd w:id="1130"/>
    </w:p>
    <w:p w14:paraId="01F4B89F" w14:textId="77777777" w:rsidR="000913FE" w:rsidRDefault="000913FE" w:rsidP="000913FE">
      <w:pPr>
        <w:keepNext/>
        <w:spacing w:after="0"/>
        <w:rPr>
          <w:rFonts w:cs="Arial"/>
          <w:color w:val="000000"/>
        </w:rPr>
      </w:pPr>
      <w:r>
        <w:rPr>
          <w:noProof/>
          <w:lang w:eastAsia="en-AU"/>
        </w:rPr>
        <w:drawing>
          <wp:inline distT="0" distB="0" distL="0" distR="0" wp14:anchorId="626B4850" wp14:editId="48C200D9">
            <wp:extent cx="8229600" cy="3848793"/>
            <wp:effectExtent l="19050" t="0" r="0" b="0"/>
            <wp:docPr id="1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cstate="print"/>
                    <a:srcRect/>
                    <a:stretch>
                      <a:fillRect/>
                    </a:stretch>
                  </pic:blipFill>
                  <pic:spPr bwMode="auto">
                    <a:xfrm>
                      <a:off x="0" y="0"/>
                      <a:ext cx="8229600" cy="3848793"/>
                    </a:xfrm>
                    <a:prstGeom prst="rect">
                      <a:avLst/>
                    </a:prstGeom>
                    <a:noFill/>
                    <a:ln w="9525">
                      <a:noFill/>
                      <a:miter lim="800000"/>
                      <a:headEnd/>
                      <a:tailEnd/>
                    </a:ln>
                  </pic:spPr>
                </pic:pic>
              </a:graphicData>
            </a:graphic>
          </wp:inline>
        </w:drawing>
      </w:r>
    </w:p>
    <w:p w14:paraId="245B592C" w14:textId="77777777" w:rsidR="000913FE" w:rsidRDefault="000913FE" w:rsidP="000913FE">
      <w:pPr>
        <w:keepNext/>
        <w:spacing w:after="0"/>
        <w:rPr>
          <w:rFonts w:cs="Arial"/>
          <w:color w:val="000000"/>
        </w:rPr>
      </w:pPr>
    </w:p>
    <w:p w14:paraId="5F78A34F" w14:textId="77777777" w:rsidR="000913FE" w:rsidRDefault="000913FE" w:rsidP="000913FE">
      <w:pPr>
        <w:keepNext/>
        <w:spacing w:after="0"/>
        <w:rPr>
          <w:rFonts w:cs="Arial"/>
          <w:color w:val="000000"/>
        </w:rPr>
      </w:pPr>
    </w:p>
    <w:p w14:paraId="321DF2A1" w14:textId="77777777" w:rsidR="000913FE" w:rsidRDefault="000913FE" w:rsidP="000913FE">
      <w:pPr>
        <w:pStyle w:val="Tableheading"/>
        <w:spacing w:before="0" w:after="0"/>
        <w:rPr>
          <w:color w:val="000000"/>
        </w:rPr>
      </w:pPr>
      <w:r>
        <w:rPr>
          <w:color w:val="000000"/>
        </w:rPr>
        <w:br w:type="page"/>
      </w:r>
      <w:bookmarkStart w:id="1131" w:name="_Toc272855501"/>
      <w:bookmarkStart w:id="1132" w:name="_Toc274916004"/>
      <w:bookmarkStart w:id="1133" w:name="_Toc278446983"/>
      <w:r w:rsidRPr="00CC439A">
        <w:t xml:space="preserve">Table </w:t>
      </w:r>
      <w:r>
        <w:t xml:space="preserve">A.8: </w:t>
      </w:r>
      <w:r w:rsidRPr="00CC439A">
        <w:t>APTC recurrent expendit</w:t>
      </w:r>
      <w:r>
        <w:t>ure, first semester of FY 2013/2</w:t>
      </w:r>
      <w:r w:rsidRPr="00CC439A">
        <w:t xml:space="preserve">014, July 2013 </w:t>
      </w:r>
      <w:r>
        <w:t>–</w:t>
      </w:r>
      <w:r w:rsidRPr="00CC439A">
        <w:t xml:space="preserve"> December 2013 (page 1 of 2)</w:t>
      </w:r>
      <w:bookmarkEnd w:id="1131"/>
      <w:bookmarkEnd w:id="1132"/>
      <w:bookmarkEnd w:id="1133"/>
    </w:p>
    <w:p w14:paraId="41F1D7AA" w14:textId="77777777" w:rsidR="000913FE" w:rsidRPr="00CC439A" w:rsidRDefault="000913FE" w:rsidP="000913FE">
      <w:pPr>
        <w:keepNext/>
        <w:spacing w:after="0"/>
        <w:rPr>
          <w:rFonts w:cs="Arial"/>
          <w:color w:val="000000"/>
        </w:rPr>
      </w:pPr>
      <w:r>
        <w:rPr>
          <w:noProof/>
          <w:lang w:eastAsia="en-AU"/>
        </w:rPr>
        <w:drawing>
          <wp:inline distT="0" distB="0" distL="0" distR="0" wp14:anchorId="55A7723A" wp14:editId="13D5FC68">
            <wp:extent cx="8229600" cy="5284724"/>
            <wp:effectExtent l="19050" t="0" r="0" b="0"/>
            <wp:docPr id="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print"/>
                    <a:srcRect/>
                    <a:stretch>
                      <a:fillRect/>
                    </a:stretch>
                  </pic:blipFill>
                  <pic:spPr bwMode="auto">
                    <a:xfrm>
                      <a:off x="0" y="0"/>
                      <a:ext cx="8229600" cy="5284724"/>
                    </a:xfrm>
                    <a:prstGeom prst="rect">
                      <a:avLst/>
                    </a:prstGeom>
                    <a:noFill/>
                    <a:ln w="9525">
                      <a:noFill/>
                      <a:miter lim="800000"/>
                      <a:headEnd/>
                      <a:tailEnd/>
                    </a:ln>
                  </pic:spPr>
                </pic:pic>
              </a:graphicData>
            </a:graphic>
          </wp:inline>
        </w:drawing>
      </w:r>
    </w:p>
    <w:p w14:paraId="75EB720A" w14:textId="77777777" w:rsidR="000913FE" w:rsidRDefault="000913FE" w:rsidP="000913FE">
      <w:pPr>
        <w:rPr>
          <w:rFonts w:cs="Arial"/>
        </w:rPr>
      </w:pPr>
    </w:p>
    <w:p w14:paraId="6482EF4E" w14:textId="77777777" w:rsidR="000913FE" w:rsidRDefault="000913FE" w:rsidP="000913FE">
      <w:pPr>
        <w:pStyle w:val="Tableheading"/>
        <w:spacing w:before="0" w:after="0"/>
      </w:pPr>
      <w:r>
        <w:br w:type="page"/>
      </w:r>
      <w:bookmarkStart w:id="1134" w:name="_Toc272855502"/>
      <w:bookmarkStart w:id="1135" w:name="_Toc274916005"/>
      <w:bookmarkStart w:id="1136" w:name="_Toc278446984"/>
      <w:r>
        <w:t xml:space="preserve">Table A.8: </w:t>
      </w:r>
      <w:r w:rsidRPr="00C827A6">
        <w:t>APTC recurrent expendit</w:t>
      </w:r>
      <w:r>
        <w:t>ure, first semester of FY 2013/2</w:t>
      </w:r>
      <w:r w:rsidRPr="00C827A6">
        <w:t xml:space="preserve">014, July 2013 </w:t>
      </w:r>
      <w:r>
        <w:t>–</w:t>
      </w:r>
      <w:r w:rsidRPr="00C827A6">
        <w:t xml:space="preserve"> December 2013 (page 2 of 2)</w:t>
      </w:r>
      <w:bookmarkEnd w:id="1134"/>
      <w:bookmarkEnd w:id="1135"/>
      <w:bookmarkEnd w:id="1136"/>
    </w:p>
    <w:p w14:paraId="0E235EFA" w14:textId="77777777" w:rsidR="000913FE" w:rsidRDefault="000913FE" w:rsidP="000913FE">
      <w:pPr>
        <w:spacing w:after="0"/>
        <w:rPr>
          <w:rFonts w:cs="Arial"/>
        </w:rPr>
      </w:pPr>
      <w:r>
        <w:rPr>
          <w:noProof/>
          <w:lang w:eastAsia="en-AU"/>
        </w:rPr>
        <w:drawing>
          <wp:inline distT="0" distB="0" distL="0" distR="0" wp14:anchorId="1340D363" wp14:editId="38FA39E2">
            <wp:extent cx="7903294" cy="5718789"/>
            <wp:effectExtent l="19050" t="0" r="2456" b="0"/>
            <wp:docPr id="1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srcRect/>
                    <a:stretch>
                      <a:fillRect/>
                    </a:stretch>
                  </pic:blipFill>
                  <pic:spPr bwMode="auto">
                    <a:xfrm>
                      <a:off x="0" y="0"/>
                      <a:ext cx="7905653" cy="5720496"/>
                    </a:xfrm>
                    <a:prstGeom prst="rect">
                      <a:avLst/>
                    </a:prstGeom>
                    <a:noFill/>
                    <a:ln w="9525">
                      <a:noFill/>
                      <a:miter lim="800000"/>
                      <a:headEnd/>
                      <a:tailEnd/>
                    </a:ln>
                  </pic:spPr>
                </pic:pic>
              </a:graphicData>
            </a:graphic>
          </wp:inline>
        </w:drawing>
      </w:r>
    </w:p>
    <w:p w14:paraId="7DFF55EA" w14:textId="77777777" w:rsidR="000913FE" w:rsidRDefault="000913FE" w:rsidP="000913FE">
      <w:pPr>
        <w:pStyle w:val="Tableheading"/>
      </w:pPr>
      <w:bookmarkStart w:id="1137" w:name="_Toc272855503"/>
      <w:bookmarkStart w:id="1138" w:name="_Toc274916006"/>
      <w:bookmarkStart w:id="1139" w:name="_Toc278446985"/>
      <w:r w:rsidRPr="00C827A6">
        <w:t xml:space="preserve">Table </w:t>
      </w:r>
      <w:r>
        <w:t xml:space="preserve">A.9: </w:t>
      </w:r>
      <w:r w:rsidRPr="00C827A6">
        <w:t>APTC recurrent expenditure, second semester of FY 2013/2014, January 2014</w:t>
      </w:r>
      <w:r>
        <w:t xml:space="preserve"> – </w:t>
      </w:r>
      <w:r w:rsidRPr="00C827A6">
        <w:t>June 2014 (page 1 of 2)</w:t>
      </w:r>
      <w:bookmarkEnd w:id="1137"/>
      <w:bookmarkEnd w:id="1138"/>
      <w:bookmarkEnd w:id="1139"/>
    </w:p>
    <w:p w14:paraId="478FDB95" w14:textId="77777777" w:rsidR="000913FE" w:rsidRDefault="000913FE" w:rsidP="000913FE">
      <w:pPr>
        <w:rPr>
          <w:rFonts w:cs="Arial"/>
        </w:rPr>
      </w:pPr>
      <w:r>
        <w:rPr>
          <w:noProof/>
          <w:lang w:eastAsia="en-AU"/>
        </w:rPr>
        <w:drawing>
          <wp:inline distT="0" distB="0" distL="0" distR="0" wp14:anchorId="728B606D" wp14:editId="67FF20D1">
            <wp:extent cx="8229600" cy="5299270"/>
            <wp:effectExtent l="19050" t="0" r="0" b="0"/>
            <wp:docPr id="1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cstate="print"/>
                    <a:srcRect/>
                    <a:stretch>
                      <a:fillRect/>
                    </a:stretch>
                  </pic:blipFill>
                  <pic:spPr bwMode="auto">
                    <a:xfrm>
                      <a:off x="0" y="0"/>
                      <a:ext cx="8229600" cy="5299270"/>
                    </a:xfrm>
                    <a:prstGeom prst="rect">
                      <a:avLst/>
                    </a:prstGeom>
                    <a:noFill/>
                    <a:ln w="9525">
                      <a:noFill/>
                      <a:miter lim="800000"/>
                      <a:headEnd/>
                      <a:tailEnd/>
                    </a:ln>
                  </pic:spPr>
                </pic:pic>
              </a:graphicData>
            </a:graphic>
          </wp:inline>
        </w:drawing>
      </w:r>
    </w:p>
    <w:p w14:paraId="74E7BA6B" w14:textId="77777777" w:rsidR="000913FE" w:rsidRDefault="000913FE" w:rsidP="000913FE">
      <w:pPr>
        <w:rPr>
          <w:rFonts w:cs="Arial"/>
        </w:rPr>
      </w:pPr>
    </w:p>
    <w:p w14:paraId="78E78C29" w14:textId="77777777" w:rsidR="000913FE" w:rsidRDefault="000913FE" w:rsidP="000913FE">
      <w:pPr>
        <w:pStyle w:val="Tableheading"/>
        <w:spacing w:before="120" w:after="0"/>
      </w:pPr>
      <w:bookmarkStart w:id="1140" w:name="_Toc272855504"/>
      <w:bookmarkStart w:id="1141" w:name="_Toc274916007"/>
      <w:bookmarkStart w:id="1142" w:name="_Toc278446986"/>
      <w:r w:rsidRPr="00375823">
        <w:t xml:space="preserve">Table </w:t>
      </w:r>
      <w:r>
        <w:t>A.9:</w:t>
      </w:r>
      <w:r w:rsidRPr="00375823">
        <w:t xml:space="preserve"> APTC recurrent expenditure, second semester of FY 2013/2014, January 2014</w:t>
      </w:r>
      <w:r>
        <w:t xml:space="preserve"> – </w:t>
      </w:r>
      <w:r w:rsidRPr="00375823">
        <w:t>June 2014 (page 2 of 2)</w:t>
      </w:r>
      <w:bookmarkEnd w:id="1140"/>
      <w:bookmarkEnd w:id="1141"/>
      <w:bookmarkEnd w:id="1142"/>
    </w:p>
    <w:p w14:paraId="65F8F34F" w14:textId="77777777" w:rsidR="000913FE" w:rsidRDefault="000913FE" w:rsidP="000913FE">
      <w:pPr>
        <w:spacing w:after="0"/>
        <w:rPr>
          <w:rFonts w:cs="Arial"/>
        </w:rPr>
        <w:sectPr w:rsidR="000913FE" w:rsidSect="00FF3EDE">
          <w:pgSz w:w="15840" w:h="12240" w:orient="landscape"/>
          <w:pgMar w:top="1440" w:right="1440" w:bottom="1440" w:left="1440" w:header="720" w:footer="720" w:gutter="0"/>
          <w:cols w:space="720"/>
          <w:docGrid w:linePitch="360"/>
        </w:sectPr>
      </w:pPr>
      <w:r>
        <w:rPr>
          <w:noProof/>
          <w:lang w:eastAsia="en-AU"/>
        </w:rPr>
        <w:drawing>
          <wp:inline distT="0" distB="0" distL="0" distR="0" wp14:anchorId="419AEF6E" wp14:editId="6FE03250">
            <wp:extent cx="8008154" cy="5738977"/>
            <wp:effectExtent l="19050" t="0" r="0" b="0"/>
            <wp:docPr id="1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cstate="print"/>
                    <a:srcRect/>
                    <a:stretch>
                      <a:fillRect/>
                    </a:stretch>
                  </pic:blipFill>
                  <pic:spPr bwMode="auto">
                    <a:xfrm>
                      <a:off x="0" y="0"/>
                      <a:ext cx="8010462" cy="5740631"/>
                    </a:xfrm>
                    <a:prstGeom prst="rect">
                      <a:avLst/>
                    </a:prstGeom>
                    <a:noFill/>
                    <a:ln w="9525">
                      <a:noFill/>
                      <a:miter lim="800000"/>
                      <a:headEnd/>
                      <a:tailEnd/>
                    </a:ln>
                  </pic:spPr>
                </pic:pic>
              </a:graphicData>
            </a:graphic>
          </wp:inline>
        </w:drawing>
      </w:r>
    </w:p>
    <w:p w14:paraId="1A9B05A1" w14:textId="77777777" w:rsidR="000913FE" w:rsidRDefault="000913FE" w:rsidP="000913FE">
      <w:pPr>
        <w:pStyle w:val="Tableheading"/>
      </w:pPr>
      <w:bookmarkStart w:id="1143" w:name="_Toc272855505"/>
      <w:bookmarkStart w:id="1144" w:name="_Toc274916008"/>
      <w:bookmarkStart w:id="1145" w:name="_Toc278446987"/>
      <w:r w:rsidRPr="005A7BA0">
        <w:t xml:space="preserve">Table A.10: Unit costs (cost per graduate, cost per student, cost per </w:t>
      </w:r>
      <w:r>
        <w:t>student contact hour</w:t>
      </w:r>
      <w:r w:rsidRPr="005A7BA0">
        <w:t xml:space="preserve">, and cost per </w:t>
      </w:r>
      <w:r>
        <w:t>full-time equivalent student</w:t>
      </w:r>
      <w:r w:rsidRPr="005A7BA0">
        <w:t xml:space="preserve">), </w:t>
      </w:r>
      <w:r>
        <w:t xml:space="preserve">APTC </w:t>
      </w:r>
      <w:r w:rsidRPr="005A7BA0">
        <w:t>Stages I and II</w:t>
      </w:r>
      <w:bookmarkEnd w:id="1143"/>
      <w:bookmarkEnd w:id="1144"/>
      <w:bookmarkEnd w:id="1145"/>
    </w:p>
    <w:p w14:paraId="4833A27E" w14:textId="77777777" w:rsidR="000913FE" w:rsidRDefault="000913FE" w:rsidP="000913FE">
      <w:pPr>
        <w:spacing w:after="0"/>
        <w:rPr>
          <w:rFonts w:cs="Arial"/>
        </w:rPr>
      </w:pPr>
      <w:r>
        <w:rPr>
          <w:noProof/>
          <w:lang w:eastAsia="en-AU"/>
        </w:rPr>
        <w:drawing>
          <wp:inline distT="0" distB="0" distL="0" distR="0" wp14:anchorId="06F721B9" wp14:editId="1BED658F">
            <wp:extent cx="5303520" cy="2301240"/>
            <wp:effectExtent l="0" t="0" r="5080" b="1016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srcRect/>
                    <a:stretch>
                      <a:fillRect/>
                    </a:stretch>
                  </pic:blipFill>
                  <pic:spPr bwMode="auto">
                    <a:xfrm>
                      <a:off x="0" y="0"/>
                      <a:ext cx="5303520" cy="2301240"/>
                    </a:xfrm>
                    <a:prstGeom prst="rect">
                      <a:avLst/>
                    </a:prstGeom>
                    <a:noFill/>
                    <a:ln w="9525">
                      <a:noFill/>
                      <a:miter lim="800000"/>
                      <a:headEnd/>
                      <a:tailEnd/>
                    </a:ln>
                  </pic:spPr>
                </pic:pic>
              </a:graphicData>
            </a:graphic>
          </wp:inline>
        </w:drawing>
      </w:r>
    </w:p>
    <w:p w14:paraId="7FED8DAB" w14:textId="1612B0BA" w:rsidR="000913FE" w:rsidRDefault="000913FE" w:rsidP="000913FE">
      <w:pPr>
        <w:pStyle w:val="Tableheading"/>
        <w:spacing w:before="200" w:after="0"/>
        <w:rPr>
          <w:i/>
        </w:rPr>
      </w:pPr>
      <w:bookmarkStart w:id="1146" w:name="_Toc272855506"/>
      <w:bookmarkStart w:id="1147" w:name="_Toc274916009"/>
      <w:bookmarkStart w:id="1148" w:name="_Toc278446988"/>
      <w:r w:rsidRPr="001727C5">
        <w:t xml:space="preserve">Table A.11: Unit costs as estimated by </w:t>
      </w:r>
      <w:r w:rsidRPr="001727C5">
        <w:rPr>
          <w:i/>
        </w:rPr>
        <w:t>Research into the financing of TVET in the Pacific</w:t>
      </w:r>
      <w:r w:rsidRPr="001727C5">
        <w:t xml:space="preserve"> (country case studies managed by ACER and Austraining on behalf of AusAID/DFAT)</w:t>
      </w:r>
      <w:bookmarkEnd w:id="1146"/>
      <w:bookmarkEnd w:id="1147"/>
      <w:bookmarkEnd w:id="1148"/>
      <w:r w:rsidR="003A2E3D">
        <w:br/>
      </w:r>
    </w:p>
    <w:p w14:paraId="5760C76A" w14:textId="77777777" w:rsidR="000913FE" w:rsidRDefault="000913FE" w:rsidP="000913FE">
      <w:pPr>
        <w:spacing w:after="0"/>
        <w:rPr>
          <w:rFonts w:cs="Arial"/>
        </w:rPr>
      </w:pPr>
      <w:r>
        <w:rPr>
          <w:noProof/>
          <w:lang w:eastAsia="en-AU"/>
        </w:rPr>
        <w:drawing>
          <wp:inline distT="0" distB="0" distL="0" distR="0" wp14:anchorId="0543D93B" wp14:editId="16F15AD1">
            <wp:extent cx="4743450" cy="4381384"/>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srcRect/>
                    <a:stretch>
                      <a:fillRect/>
                    </a:stretch>
                  </pic:blipFill>
                  <pic:spPr bwMode="auto">
                    <a:xfrm>
                      <a:off x="0" y="0"/>
                      <a:ext cx="4743576" cy="4381500"/>
                    </a:xfrm>
                    <a:prstGeom prst="rect">
                      <a:avLst/>
                    </a:prstGeom>
                    <a:noFill/>
                    <a:ln w="9525">
                      <a:noFill/>
                      <a:miter lim="800000"/>
                      <a:headEnd/>
                      <a:tailEnd/>
                    </a:ln>
                  </pic:spPr>
                </pic:pic>
              </a:graphicData>
            </a:graphic>
          </wp:inline>
        </w:drawing>
      </w:r>
    </w:p>
    <w:p w14:paraId="4E7BB464" w14:textId="77777777" w:rsidR="00871548" w:rsidRDefault="00871548">
      <w:pPr>
        <w:spacing w:after="0"/>
        <w:rPr>
          <w:rFonts w:cs="Arial"/>
          <w:b/>
          <w:color w:val="76923C"/>
          <w:szCs w:val="22"/>
        </w:rPr>
      </w:pPr>
      <w:bookmarkStart w:id="1149" w:name="_Toc272855507"/>
      <w:r>
        <w:br w:type="page"/>
      </w:r>
    </w:p>
    <w:p w14:paraId="36CF15BC" w14:textId="6E148A1B" w:rsidR="000913FE" w:rsidRDefault="000913FE" w:rsidP="000913FE">
      <w:pPr>
        <w:pStyle w:val="Tableheading"/>
      </w:pPr>
      <w:bookmarkStart w:id="1150" w:name="_Toc274916010"/>
      <w:bookmarkStart w:id="1151" w:name="_Toc278446989"/>
      <w:r w:rsidRPr="00E36B27">
        <w:t xml:space="preserve">Table </w:t>
      </w:r>
      <w:r>
        <w:t>A.12</w:t>
      </w:r>
      <w:r w:rsidRPr="00E36B27">
        <w:t>: Costs per annual hour of curriculum (AHC) for Australia, Queensland, TAFE Queensland, and M</w:t>
      </w:r>
      <w:r w:rsidR="00C13157">
        <w:t>ount</w:t>
      </w:r>
      <w:r w:rsidRPr="00E36B27">
        <w:t xml:space="preserve"> Isa TAFE (a remote campus of TAFE Queensland), 2009</w:t>
      </w:r>
      <w:r w:rsidR="00A718C7">
        <w:t>–</w:t>
      </w:r>
      <w:r w:rsidRPr="00E36B27">
        <w:t>2014 (AUD)</w:t>
      </w:r>
      <w:bookmarkEnd w:id="1149"/>
      <w:bookmarkEnd w:id="1150"/>
      <w:bookmarkEnd w:id="1151"/>
      <w:r w:rsidRPr="00E36B27">
        <w:t xml:space="preserve"> </w:t>
      </w:r>
    </w:p>
    <w:p w14:paraId="41819A2C" w14:textId="77777777" w:rsidR="000913FE" w:rsidRDefault="000913FE" w:rsidP="000913FE">
      <w:pPr>
        <w:spacing w:after="0"/>
        <w:rPr>
          <w:rFonts w:cs="Arial"/>
        </w:rPr>
      </w:pPr>
      <w:r>
        <w:rPr>
          <w:noProof/>
          <w:lang w:eastAsia="en-AU"/>
        </w:rPr>
        <w:drawing>
          <wp:inline distT="0" distB="0" distL="0" distR="0" wp14:anchorId="4435C81C" wp14:editId="34F2D2E1">
            <wp:extent cx="5169408" cy="6876288"/>
            <wp:effectExtent l="0" t="0" r="12700" b="7620"/>
            <wp:docPr id="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cstate="print"/>
                    <a:srcRect/>
                    <a:stretch>
                      <a:fillRect/>
                    </a:stretch>
                  </pic:blipFill>
                  <pic:spPr bwMode="auto">
                    <a:xfrm>
                      <a:off x="0" y="0"/>
                      <a:ext cx="5169408" cy="6876288"/>
                    </a:xfrm>
                    <a:prstGeom prst="rect">
                      <a:avLst/>
                    </a:prstGeom>
                    <a:noFill/>
                    <a:ln w="9525">
                      <a:noFill/>
                      <a:miter lim="800000"/>
                      <a:headEnd/>
                      <a:tailEnd/>
                    </a:ln>
                  </pic:spPr>
                </pic:pic>
              </a:graphicData>
            </a:graphic>
          </wp:inline>
        </w:drawing>
      </w:r>
    </w:p>
    <w:p w14:paraId="240471C3" w14:textId="326F6477" w:rsidR="000913FE" w:rsidRDefault="000913FE" w:rsidP="000913FE">
      <w:pPr>
        <w:pStyle w:val="Tableheading"/>
        <w:rPr>
          <w:rFonts w:eastAsiaTheme="minorEastAsia"/>
        </w:rPr>
      </w:pPr>
      <w:r>
        <w:br w:type="page"/>
      </w:r>
      <w:bookmarkStart w:id="1152" w:name="_Toc272855508"/>
      <w:bookmarkStart w:id="1153" w:name="_Toc274916011"/>
      <w:bookmarkStart w:id="1154" w:name="_Toc278446990"/>
      <w:r w:rsidRPr="001F3141">
        <w:t xml:space="preserve">Table A.13: Total expenditure </w:t>
      </w:r>
      <w:r>
        <w:t>broken down by overhead costs and direct training costs, with direct training costs further broken down by training location</w:t>
      </w:r>
      <w:r w:rsidRPr="001F3141">
        <w:t xml:space="preserve">, </w:t>
      </w:r>
      <w:r w:rsidR="00D8659B">
        <w:br/>
      </w:r>
      <w:r w:rsidRPr="001F3141">
        <w:t>APTC Stage II (AUD)</w:t>
      </w:r>
      <w:bookmarkEnd w:id="1152"/>
      <w:bookmarkEnd w:id="1153"/>
      <w:bookmarkEnd w:id="1154"/>
    </w:p>
    <w:p w14:paraId="598D0F45" w14:textId="77777777" w:rsidR="000913FE" w:rsidRDefault="000913FE" w:rsidP="000913FE">
      <w:pPr>
        <w:rPr>
          <w:rFonts w:cs="Arial"/>
        </w:rPr>
      </w:pPr>
      <w:r>
        <w:rPr>
          <w:noProof/>
          <w:lang w:eastAsia="en-AU"/>
        </w:rPr>
        <w:drawing>
          <wp:inline distT="0" distB="0" distL="0" distR="0" wp14:anchorId="7497D55C" wp14:editId="03A37FED">
            <wp:extent cx="5369814" cy="2843276"/>
            <wp:effectExtent l="0" t="0" r="0" b="1905"/>
            <wp:docPr id="1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cstate="print"/>
                    <a:srcRect/>
                    <a:stretch>
                      <a:fillRect/>
                    </a:stretch>
                  </pic:blipFill>
                  <pic:spPr bwMode="auto">
                    <a:xfrm>
                      <a:off x="0" y="0"/>
                      <a:ext cx="5369814" cy="2843276"/>
                    </a:xfrm>
                    <a:prstGeom prst="rect">
                      <a:avLst/>
                    </a:prstGeom>
                    <a:noFill/>
                    <a:ln w="9525">
                      <a:noFill/>
                      <a:miter lim="800000"/>
                      <a:headEnd/>
                      <a:tailEnd/>
                    </a:ln>
                  </pic:spPr>
                </pic:pic>
              </a:graphicData>
            </a:graphic>
          </wp:inline>
        </w:drawing>
      </w:r>
    </w:p>
    <w:p w14:paraId="138FA435" w14:textId="766DFA00" w:rsidR="000913FE" w:rsidRDefault="000913FE" w:rsidP="000913FE">
      <w:pPr>
        <w:pStyle w:val="Tableheading"/>
      </w:pPr>
      <w:bookmarkStart w:id="1155" w:name="_Toc272855509"/>
      <w:bookmarkStart w:id="1156" w:name="_Toc274916012"/>
      <w:bookmarkStart w:id="1157" w:name="_Toc278446991"/>
      <w:r w:rsidRPr="00996534">
        <w:t xml:space="preserve">Table A.14: Direct training costs as percentage of total direct training costs </w:t>
      </w:r>
      <w:r w:rsidR="00D8659B">
        <w:br/>
      </w:r>
      <w:r w:rsidRPr="00996534">
        <w:t>by location, APTC Stage II (AUD)</w:t>
      </w:r>
      <w:bookmarkEnd w:id="1155"/>
      <w:bookmarkEnd w:id="1156"/>
      <w:bookmarkEnd w:id="1157"/>
    </w:p>
    <w:p w14:paraId="089B4C71" w14:textId="77777777" w:rsidR="000913FE" w:rsidRDefault="000913FE" w:rsidP="000913FE">
      <w:pPr>
        <w:spacing w:after="0"/>
        <w:rPr>
          <w:rFonts w:cs="Arial"/>
        </w:rPr>
      </w:pPr>
      <w:r>
        <w:rPr>
          <w:noProof/>
          <w:lang w:eastAsia="en-AU"/>
        </w:rPr>
        <w:drawing>
          <wp:inline distT="0" distB="0" distL="0" distR="0" wp14:anchorId="7B751625" wp14:editId="2E7E98AA">
            <wp:extent cx="5354320" cy="1701292"/>
            <wp:effectExtent l="0" t="0" r="5080" b="635"/>
            <wp:docPr id="1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cstate="print"/>
                    <a:srcRect/>
                    <a:stretch>
                      <a:fillRect/>
                    </a:stretch>
                  </pic:blipFill>
                  <pic:spPr bwMode="auto">
                    <a:xfrm>
                      <a:off x="0" y="0"/>
                      <a:ext cx="5354320" cy="1701292"/>
                    </a:xfrm>
                    <a:prstGeom prst="rect">
                      <a:avLst/>
                    </a:prstGeom>
                    <a:noFill/>
                    <a:ln w="9525">
                      <a:noFill/>
                      <a:miter lim="800000"/>
                      <a:headEnd/>
                      <a:tailEnd/>
                    </a:ln>
                  </pic:spPr>
                </pic:pic>
              </a:graphicData>
            </a:graphic>
          </wp:inline>
        </w:drawing>
      </w:r>
    </w:p>
    <w:p w14:paraId="48D02D98" w14:textId="77777777" w:rsidR="000913FE" w:rsidRDefault="000913FE" w:rsidP="000913FE">
      <w:pPr>
        <w:spacing w:after="0"/>
        <w:rPr>
          <w:rFonts w:cs="Arial"/>
        </w:rPr>
      </w:pPr>
    </w:p>
    <w:p w14:paraId="7571EFF1" w14:textId="438A3A55" w:rsidR="000913FE" w:rsidRDefault="000913FE" w:rsidP="000913FE">
      <w:pPr>
        <w:pStyle w:val="Tableheading"/>
      </w:pPr>
      <w:bookmarkStart w:id="1158" w:name="_Toc272855510"/>
      <w:bookmarkStart w:id="1159" w:name="_Toc274916013"/>
      <w:bookmarkStart w:id="1160" w:name="_Toc278446992"/>
      <w:r>
        <w:t>Table A.15</w:t>
      </w:r>
      <w:r w:rsidRPr="00E3376C">
        <w:t xml:space="preserve">: Total </w:t>
      </w:r>
      <w:r>
        <w:t xml:space="preserve">expenditure </w:t>
      </w:r>
      <w:r w:rsidRPr="00E3376C">
        <w:t xml:space="preserve">by </w:t>
      </w:r>
      <w:r>
        <w:t xml:space="preserve">training </w:t>
      </w:r>
      <w:r w:rsidRPr="00E3376C">
        <w:t>location with overhead costs allocated in proportion to direct training costs, APTC Stage II (AUD)</w:t>
      </w:r>
      <w:bookmarkEnd w:id="1158"/>
      <w:bookmarkEnd w:id="1159"/>
      <w:bookmarkEnd w:id="1160"/>
    </w:p>
    <w:p w14:paraId="2F0ED495" w14:textId="77777777" w:rsidR="000913FE" w:rsidRDefault="000913FE" w:rsidP="000913FE">
      <w:pPr>
        <w:rPr>
          <w:rFonts w:cs="Arial"/>
        </w:rPr>
      </w:pPr>
      <w:r>
        <w:rPr>
          <w:noProof/>
          <w:lang w:eastAsia="en-AU"/>
        </w:rPr>
        <w:drawing>
          <wp:inline distT="0" distB="0" distL="0" distR="0" wp14:anchorId="7BF54D95" wp14:editId="72A1DA8D">
            <wp:extent cx="5421376" cy="1561592"/>
            <wp:effectExtent l="0" t="0" r="0" b="0"/>
            <wp:docPr id="1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cstate="print"/>
                    <a:srcRect/>
                    <a:stretch>
                      <a:fillRect/>
                    </a:stretch>
                  </pic:blipFill>
                  <pic:spPr bwMode="auto">
                    <a:xfrm>
                      <a:off x="0" y="0"/>
                      <a:ext cx="5421376" cy="1561592"/>
                    </a:xfrm>
                    <a:prstGeom prst="rect">
                      <a:avLst/>
                    </a:prstGeom>
                    <a:noFill/>
                    <a:ln w="9525">
                      <a:noFill/>
                      <a:miter lim="800000"/>
                      <a:headEnd/>
                      <a:tailEnd/>
                    </a:ln>
                  </pic:spPr>
                </pic:pic>
              </a:graphicData>
            </a:graphic>
          </wp:inline>
        </w:drawing>
      </w:r>
    </w:p>
    <w:p w14:paraId="4BD04AE9" w14:textId="77777777" w:rsidR="000029A4" w:rsidRDefault="000029A4">
      <w:pPr>
        <w:spacing w:after="0"/>
        <w:rPr>
          <w:rFonts w:cs="Arial"/>
          <w:b/>
          <w:color w:val="76923C"/>
          <w:szCs w:val="22"/>
        </w:rPr>
      </w:pPr>
      <w:bookmarkStart w:id="1161" w:name="_Toc272855511"/>
      <w:bookmarkStart w:id="1162" w:name="_Toc274916014"/>
      <w:bookmarkStart w:id="1163" w:name="_Toc278446993"/>
      <w:r>
        <w:br w:type="page"/>
      </w:r>
    </w:p>
    <w:p w14:paraId="6CB8477F" w14:textId="15614C76" w:rsidR="000029A4" w:rsidRDefault="000913FE" w:rsidP="000029A4">
      <w:pPr>
        <w:pStyle w:val="Tableheading"/>
        <w:spacing w:after="400"/>
      </w:pPr>
      <w:r w:rsidRPr="00E60F64">
        <w:t>Table A.16: Number of matriculating students by training location, APTC Stage II</w:t>
      </w:r>
    </w:p>
    <w:p w14:paraId="66FE1E7C" w14:textId="749BBAFC" w:rsidR="000913FE" w:rsidRDefault="000913FE" w:rsidP="000029A4">
      <w:pPr>
        <w:pStyle w:val="Tableheading"/>
        <w:spacing w:after="400"/>
      </w:pPr>
      <w:r>
        <w:rPr>
          <w:noProof/>
          <w:lang w:eastAsia="en-AU"/>
        </w:rPr>
        <w:drawing>
          <wp:inline distT="0" distB="0" distL="0" distR="0" wp14:anchorId="1380C2BC" wp14:editId="639D3B5F">
            <wp:extent cx="5376164" cy="1911096"/>
            <wp:effectExtent l="0" t="0" r="889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srcRect/>
                    <a:stretch>
                      <a:fillRect/>
                    </a:stretch>
                  </pic:blipFill>
                  <pic:spPr bwMode="auto">
                    <a:xfrm>
                      <a:off x="0" y="0"/>
                      <a:ext cx="5376164" cy="1911096"/>
                    </a:xfrm>
                    <a:prstGeom prst="rect">
                      <a:avLst/>
                    </a:prstGeom>
                    <a:noFill/>
                    <a:ln w="9525">
                      <a:noFill/>
                      <a:miter lim="800000"/>
                      <a:headEnd/>
                      <a:tailEnd/>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bookmarkEnd w:id="1161"/>
      <w:bookmarkEnd w:id="1162"/>
      <w:bookmarkEnd w:id="1163"/>
    </w:p>
    <w:p w14:paraId="3DE46A64" w14:textId="77777777" w:rsidR="000913FE" w:rsidRDefault="000913FE" w:rsidP="000913FE">
      <w:pPr>
        <w:pStyle w:val="Tableheading"/>
      </w:pPr>
      <w:bookmarkStart w:id="1164" w:name="_Toc272855512"/>
      <w:bookmarkStart w:id="1165" w:name="_Toc274916015"/>
      <w:bookmarkStart w:id="1166" w:name="_Toc278446994"/>
      <w:r w:rsidRPr="00996534">
        <w:t>Table A.17: Number of graduates by training location, APTC Stage II</w:t>
      </w:r>
      <w:bookmarkEnd w:id="1164"/>
      <w:bookmarkEnd w:id="1165"/>
      <w:bookmarkEnd w:id="1166"/>
    </w:p>
    <w:p w14:paraId="7ED25504" w14:textId="77777777" w:rsidR="000913FE" w:rsidRDefault="000913FE" w:rsidP="000913FE">
      <w:pPr>
        <w:rPr>
          <w:rFonts w:cs="Arial"/>
        </w:rPr>
      </w:pPr>
      <w:r>
        <w:rPr>
          <w:noProof/>
          <w:lang w:eastAsia="en-AU"/>
        </w:rPr>
        <w:drawing>
          <wp:inline distT="0" distB="0" distL="0" distR="0" wp14:anchorId="264D7FAA" wp14:editId="14CC9B74">
            <wp:extent cx="5305425" cy="1885950"/>
            <wp:effectExtent l="0" t="0" r="3175" b="0"/>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srcRect/>
                    <a:stretch>
                      <a:fillRect/>
                    </a:stretch>
                  </pic:blipFill>
                  <pic:spPr bwMode="auto">
                    <a:xfrm>
                      <a:off x="0" y="0"/>
                      <a:ext cx="5305425" cy="1885950"/>
                    </a:xfrm>
                    <a:prstGeom prst="rect">
                      <a:avLst/>
                    </a:prstGeom>
                    <a:noFill/>
                    <a:ln w="9525">
                      <a:noFill/>
                      <a:miter lim="800000"/>
                      <a:headEnd/>
                      <a:tailEnd/>
                    </a:ln>
                  </pic:spPr>
                </pic:pic>
              </a:graphicData>
            </a:graphic>
          </wp:inline>
        </w:drawing>
      </w:r>
    </w:p>
    <w:p w14:paraId="661480B9" w14:textId="4CB1CF59" w:rsidR="000913FE" w:rsidRDefault="000913FE" w:rsidP="000913FE">
      <w:pPr>
        <w:pStyle w:val="Tableheading"/>
      </w:pPr>
      <w:bookmarkStart w:id="1167" w:name="_Toc272855513"/>
      <w:bookmarkStart w:id="1168" w:name="_Toc274916016"/>
      <w:bookmarkStart w:id="1169" w:name="_Toc278446995"/>
      <w:r w:rsidRPr="00707015">
        <w:t>Table A.18: Cost per student by training location, APTC Stage II (AUD)</w:t>
      </w:r>
      <w:bookmarkEnd w:id="1167"/>
      <w:bookmarkEnd w:id="1168"/>
      <w:bookmarkEnd w:id="1169"/>
    </w:p>
    <w:p w14:paraId="3B9B263A" w14:textId="77777777" w:rsidR="000913FE" w:rsidRDefault="000913FE" w:rsidP="000913FE">
      <w:pPr>
        <w:rPr>
          <w:rFonts w:cs="Arial"/>
        </w:rPr>
      </w:pPr>
      <w:r>
        <w:rPr>
          <w:noProof/>
          <w:lang w:eastAsia="en-AU"/>
        </w:rPr>
        <w:drawing>
          <wp:inline distT="0" distB="0" distL="0" distR="0" wp14:anchorId="320F07FD" wp14:editId="4487A8E6">
            <wp:extent cx="5234686" cy="1437894"/>
            <wp:effectExtent l="0" t="0" r="0" b="10160"/>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srcRect/>
                    <a:stretch>
                      <a:fillRect/>
                    </a:stretch>
                  </pic:blipFill>
                  <pic:spPr bwMode="auto">
                    <a:xfrm>
                      <a:off x="0" y="0"/>
                      <a:ext cx="5234686" cy="1437894"/>
                    </a:xfrm>
                    <a:prstGeom prst="rect">
                      <a:avLst/>
                    </a:prstGeom>
                    <a:noFill/>
                    <a:ln w="9525">
                      <a:noFill/>
                      <a:miter lim="800000"/>
                      <a:headEnd/>
                      <a:tailEnd/>
                    </a:ln>
                  </pic:spPr>
                </pic:pic>
              </a:graphicData>
            </a:graphic>
          </wp:inline>
        </w:drawing>
      </w:r>
    </w:p>
    <w:p w14:paraId="4A1663EC" w14:textId="77777777" w:rsidR="000913FE" w:rsidRDefault="000913FE" w:rsidP="000913FE">
      <w:pPr>
        <w:pStyle w:val="Tableheading"/>
      </w:pPr>
      <w:bookmarkStart w:id="1170" w:name="_Toc272855514"/>
      <w:bookmarkStart w:id="1171" w:name="_Toc274916017"/>
      <w:bookmarkStart w:id="1172" w:name="_Toc278446996"/>
      <w:r w:rsidRPr="00707015">
        <w:t xml:space="preserve">Table A.19: Cost per graduate by </w:t>
      </w:r>
      <w:r>
        <w:t xml:space="preserve">training </w:t>
      </w:r>
      <w:r w:rsidRPr="00707015">
        <w:t>location, APTC Stage II (AUD)</w:t>
      </w:r>
      <w:bookmarkEnd w:id="1170"/>
      <w:bookmarkEnd w:id="1171"/>
      <w:bookmarkEnd w:id="1172"/>
    </w:p>
    <w:p w14:paraId="5804414E" w14:textId="77777777" w:rsidR="000913FE" w:rsidRDefault="000913FE" w:rsidP="000913FE">
      <w:pPr>
        <w:spacing w:after="240"/>
        <w:rPr>
          <w:rFonts w:cs="Arial"/>
        </w:rPr>
      </w:pPr>
      <w:r>
        <w:rPr>
          <w:noProof/>
          <w:lang w:eastAsia="en-AU"/>
        </w:rPr>
        <w:drawing>
          <wp:inline distT="0" distB="0" distL="0" distR="0" wp14:anchorId="23F713C3" wp14:editId="7EF24876">
            <wp:extent cx="5352161" cy="1429512"/>
            <wp:effectExtent l="0" t="0" r="762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srcRect/>
                    <a:stretch>
                      <a:fillRect/>
                    </a:stretch>
                  </pic:blipFill>
                  <pic:spPr bwMode="auto">
                    <a:xfrm>
                      <a:off x="0" y="0"/>
                      <a:ext cx="5352161" cy="1429512"/>
                    </a:xfrm>
                    <a:prstGeom prst="rect">
                      <a:avLst/>
                    </a:prstGeom>
                    <a:noFill/>
                    <a:ln w="9525">
                      <a:noFill/>
                      <a:miter lim="800000"/>
                      <a:headEnd/>
                      <a:tailEnd/>
                    </a:ln>
                  </pic:spPr>
                </pic:pic>
              </a:graphicData>
            </a:graphic>
          </wp:inline>
        </w:drawing>
      </w:r>
    </w:p>
    <w:p w14:paraId="364A2EBE" w14:textId="3A304516" w:rsidR="000913FE" w:rsidRDefault="000913FE" w:rsidP="000913FE">
      <w:pPr>
        <w:pStyle w:val="Tableheading"/>
      </w:pPr>
      <w:r>
        <w:br w:type="page"/>
      </w:r>
      <w:bookmarkStart w:id="1173" w:name="_Toc272855515"/>
      <w:bookmarkStart w:id="1174" w:name="_Toc274916018"/>
      <w:bookmarkStart w:id="1175" w:name="_Toc278446997"/>
      <w:r w:rsidRPr="00684AD8">
        <w:t xml:space="preserve">Table A.20: Students, trainers and tutors by school (SCHS and STT) and </w:t>
      </w:r>
      <w:r w:rsidR="003F1E5F">
        <w:br/>
      </w:r>
      <w:r w:rsidRPr="00684AD8">
        <w:t>training package, APTC Stages I and II (- end of 2014)</w:t>
      </w:r>
      <w:bookmarkEnd w:id="1173"/>
      <w:bookmarkEnd w:id="1174"/>
      <w:bookmarkEnd w:id="1175"/>
    </w:p>
    <w:p w14:paraId="56F00DF5" w14:textId="77777777" w:rsidR="000913FE" w:rsidRDefault="000913FE" w:rsidP="000913FE">
      <w:pPr>
        <w:pStyle w:val="Tableheading"/>
        <w:spacing w:before="0"/>
      </w:pPr>
      <w:r>
        <w:rPr>
          <w:noProof/>
          <w:lang w:eastAsia="en-AU"/>
        </w:rPr>
        <w:drawing>
          <wp:inline distT="0" distB="0" distL="0" distR="0" wp14:anchorId="06D36B6B" wp14:editId="16FE708B">
            <wp:extent cx="5267960" cy="5709539"/>
            <wp:effectExtent l="0" t="0" r="0" b="5715"/>
            <wp:docPr id="1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6" cstate="print"/>
                    <a:srcRect/>
                    <a:stretch>
                      <a:fillRect/>
                    </a:stretch>
                  </pic:blipFill>
                  <pic:spPr bwMode="auto">
                    <a:xfrm>
                      <a:off x="0" y="0"/>
                      <a:ext cx="5267960" cy="5709539"/>
                    </a:xfrm>
                    <a:prstGeom prst="rect">
                      <a:avLst/>
                    </a:prstGeom>
                    <a:noFill/>
                    <a:ln w="9525">
                      <a:noFill/>
                      <a:miter lim="800000"/>
                      <a:headEnd/>
                      <a:tailEnd/>
                    </a:ln>
                  </pic:spPr>
                </pic:pic>
              </a:graphicData>
            </a:graphic>
          </wp:inline>
        </w:drawing>
      </w:r>
      <w:r>
        <w:br w:type="page"/>
      </w:r>
      <w:bookmarkStart w:id="1176" w:name="_Toc272855516"/>
      <w:bookmarkStart w:id="1177" w:name="_Toc274916019"/>
      <w:bookmarkStart w:id="1178" w:name="_Toc278446998"/>
      <w:r w:rsidRPr="00684AD8">
        <w:t>Table A.21: Student</w:t>
      </w:r>
      <w:r>
        <w:t>–</w:t>
      </w:r>
      <w:r w:rsidRPr="00684AD8">
        <w:t>teacher and trainer</w:t>
      </w:r>
      <w:r>
        <w:t>–</w:t>
      </w:r>
      <w:r w:rsidRPr="00684AD8">
        <w:t>tutor ratios by school (SHCS and STT), APTC Stages I and II (- end of 2014)</w:t>
      </w:r>
      <w:bookmarkEnd w:id="1176"/>
      <w:bookmarkEnd w:id="1177"/>
      <w:bookmarkEnd w:id="1178"/>
    </w:p>
    <w:p w14:paraId="52544F29" w14:textId="77777777" w:rsidR="000913FE" w:rsidRDefault="000913FE" w:rsidP="000913FE">
      <w:pPr>
        <w:rPr>
          <w:rFonts w:cs="Arial"/>
        </w:rPr>
      </w:pPr>
      <w:r>
        <w:rPr>
          <w:noProof/>
          <w:lang w:eastAsia="en-AU"/>
        </w:rPr>
        <w:drawing>
          <wp:inline distT="0" distB="0" distL="0" distR="0" wp14:anchorId="00310E58" wp14:editId="4C320825">
            <wp:extent cx="5376672" cy="3016377"/>
            <wp:effectExtent l="0" t="0" r="8255" b="6350"/>
            <wp:docPr id="1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cstate="print"/>
                    <a:srcRect/>
                    <a:stretch>
                      <a:fillRect/>
                    </a:stretch>
                  </pic:blipFill>
                  <pic:spPr bwMode="auto">
                    <a:xfrm>
                      <a:off x="0" y="0"/>
                      <a:ext cx="5376672" cy="3016377"/>
                    </a:xfrm>
                    <a:prstGeom prst="rect">
                      <a:avLst/>
                    </a:prstGeom>
                    <a:noFill/>
                    <a:ln w="9525">
                      <a:noFill/>
                      <a:miter lim="800000"/>
                      <a:headEnd/>
                      <a:tailEnd/>
                    </a:ln>
                  </pic:spPr>
                </pic:pic>
              </a:graphicData>
            </a:graphic>
          </wp:inline>
        </w:drawing>
      </w:r>
    </w:p>
    <w:p w14:paraId="076DCBF6" w14:textId="06BFF578" w:rsidR="000913FE" w:rsidRPr="00871548" w:rsidRDefault="000913FE" w:rsidP="00871548">
      <w:pPr>
        <w:pStyle w:val="Tableheading"/>
      </w:pPr>
      <w:bookmarkStart w:id="1179" w:name="_Toc272855517"/>
      <w:bookmarkStart w:id="1180" w:name="_Toc274916020"/>
      <w:bookmarkStart w:id="1181" w:name="_Toc278446999"/>
      <w:r w:rsidRPr="00D5018F">
        <w:t xml:space="preserve">Table A.22: Training packages (and specialisations) offered across five </w:t>
      </w:r>
      <w:r w:rsidR="00871548">
        <w:t>c</w:t>
      </w:r>
      <w:r w:rsidRPr="00D5018F">
        <w:t xml:space="preserve">ampus </w:t>
      </w:r>
      <w:r w:rsidR="00871548">
        <w:t>c</w:t>
      </w:r>
      <w:r w:rsidRPr="00D5018F">
        <w:t xml:space="preserve">ountries and </w:t>
      </w:r>
      <w:r w:rsidRPr="00871548">
        <w:t xml:space="preserve">three </w:t>
      </w:r>
      <w:r w:rsidR="00871548">
        <w:t>s</w:t>
      </w:r>
      <w:r w:rsidRPr="00871548">
        <w:t xml:space="preserve">mall </w:t>
      </w:r>
      <w:r w:rsidR="00871548">
        <w:t>i</w:t>
      </w:r>
      <w:r w:rsidRPr="00871548">
        <w:t xml:space="preserve">sland </w:t>
      </w:r>
      <w:r w:rsidR="00871548">
        <w:t>s</w:t>
      </w:r>
      <w:r w:rsidRPr="00871548">
        <w:t>tates, January – June 2014</w:t>
      </w:r>
      <w:bookmarkEnd w:id="1179"/>
      <w:bookmarkEnd w:id="1180"/>
      <w:bookmarkEnd w:id="1181"/>
    </w:p>
    <w:p w14:paraId="1A365DB5" w14:textId="77777777" w:rsidR="000913FE" w:rsidRDefault="000913FE" w:rsidP="000913FE">
      <w:pPr>
        <w:rPr>
          <w:rFonts w:cs="Arial"/>
        </w:rPr>
      </w:pPr>
      <w:r>
        <w:rPr>
          <w:noProof/>
          <w:lang w:eastAsia="en-AU"/>
        </w:rPr>
        <w:drawing>
          <wp:inline distT="0" distB="0" distL="0" distR="0" wp14:anchorId="19E0A9CC" wp14:editId="1AF396DD">
            <wp:extent cx="5344668" cy="3848481"/>
            <wp:effectExtent l="0" t="0" r="0" b="1270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srcRect/>
                    <a:stretch>
                      <a:fillRect/>
                    </a:stretch>
                  </pic:blipFill>
                  <pic:spPr bwMode="auto">
                    <a:xfrm>
                      <a:off x="0" y="0"/>
                      <a:ext cx="5344668" cy="3848481"/>
                    </a:xfrm>
                    <a:prstGeom prst="rect">
                      <a:avLst/>
                    </a:prstGeom>
                    <a:noFill/>
                    <a:ln w="9525">
                      <a:noFill/>
                      <a:miter lim="800000"/>
                      <a:headEnd/>
                      <a:tailEnd/>
                    </a:ln>
                  </pic:spPr>
                </pic:pic>
              </a:graphicData>
            </a:graphic>
          </wp:inline>
        </w:drawing>
      </w:r>
    </w:p>
    <w:p w14:paraId="05AE5E35" w14:textId="77777777" w:rsidR="003F1E5F" w:rsidRDefault="003F1E5F">
      <w:pPr>
        <w:spacing w:after="0"/>
        <w:rPr>
          <w:rFonts w:cs="Arial"/>
          <w:b/>
          <w:color w:val="76923C"/>
          <w:szCs w:val="22"/>
        </w:rPr>
      </w:pPr>
      <w:bookmarkStart w:id="1182" w:name="_Toc272855518"/>
      <w:r>
        <w:br w:type="page"/>
      </w:r>
    </w:p>
    <w:p w14:paraId="32B5AB37" w14:textId="43288CCD" w:rsidR="000913FE" w:rsidRDefault="000913FE" w:rsidP="000913FE">
      <w:pPr>
        <w:pStyle w:val="Tableheading"/>
      </w:pPr>
      <w:bookmarkStart w:id="1183" w:name="_Toc274916021"/>
      <w:bookmarkStart w:id="1184" w:name="_Toc278447000"/>
      <w:r w:rsidRPr="00D9308F">
        <w:t xml:space="preserve">Table A.23: APTC staff </w:t>
      </w:r>
      <w:r>
        <w:t xml:space="preserve">by position, location, and nationality </w:t>
      </w:r>
      <w:r w:rsidRPr="00D9308F">
        <w:t>as of 31</w:t>
      </w:r>
      <w:r>
        <w:t xml:space="preserve"> July</w:t>
      </w:r>
      <w:r w:rsidRPr="00D9308F">
        <w:t xml:space="preserve"> 2014 a/</w:t>
      </w:r>
      <w:bookmarkEnd w:id="1182"/>
      <w:bookmarkEnd w:id="1183"/>
      <w:bookmarkEnd w:id="1184"/>
    </w:p>
    <w:p w14:paraId="7E763B3D" w14:textId="77777777" w:rsidR="000913FE" w:rsidRDefault="000913FE" w:rsidP="000913FE">
      <w:pPr>
        <w:spacing w:after="0"/>
        <w:rPr>
          <w:rFonts w:cs="Arial"/>
        </w:rPr>
      </w:pPr>
      <w:r>
        <w:rPr>
          <w:noProof/>
          <w:lang w:eastAsia="en-AU"/>
        </w:rPr>
        <w:drawing>
          <wp:inline distT="0" distB="0" distL="0" distR="0" wp14:anchorId="2F92DC81" wp14:editId="0E10006A">
            <wp:extent cx="5192395" cy="6083935"/>
            <wp:effectExtent l="0" t="0" r="0" b="1206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a:stretch>
                      <a:fillRect/>
                    </a:stretch>
                  </pic:blipFill>
                  <pic:spPr bwMode="auto">
                    <a:xfrm>
                      <a:off x="0" y="0"/>
                      <a:ext cx="5192395" cy="6083935"/>
                    </a:xfrm>
                    <a:prstGeom prst="rect">
                      <a:avLst/>
                    </a:prstGeom>
                    <a:noFill/>
                    <a:ln w="9525">
                      <a:noFill/>
                      <a:miter lim="800000"/>
                      <a:headEnd/>
                      <a:tailEnd/>
                    </a:ln>
                  </pic:spPr>
                </pic:pic>
              </a:graphicData>
            </a:graphic>
          </wp:inline>
        </w:drawing>
      </w:r>
    </w:p>
    <w:p w14:paraId="18CB8055" w14:textId="417CA884" w:rsidR="000913FE" w:rsidRDefault="003F1E5F" w:rsidP="000913FE">
      <w:pPr>
        <w:pStyle w:val="Tableheading"/>
      </w:pPr>
      <w:r>
        <w:br/>
      </w:r>
      <w:bookmarkStart w:id="1185" w:name="_Toc272855519"/>
      <w:bookmarkStart w:id="1186" w:name="_Toc274916022"/>
      <w:bookmarkStart w:id="1187" w:name="_Toc278447001"/>
      <w:r w:rsidR="000913FE" w:rsidRPr="00846515">
        <w:t xml:space="preserve">Table A.24: Approximate </w:t>
      </w:r>
      <w:r w:rsidR="000913FE">
        <w:t xml:space="preserve">annual </w:t>
      </w:r>
      <w:r w:rsidR="000913FE" w:rsidRPr="00846515">
        <w:t>compensation (base salaries and bene</w:t>
      </w:r>
      <w:r w:rsidR="000913FE">
        <w:t>fits), APTC staff as of 31 July</w:t>
      </w:r>
      <w:r w:rsidR="000913FE" w:rsidRPr="00846515">
        <w:t xml:space="preserve"> 2014 (AUD)</w:t>
      </w:r>
      <w:bookmarkEnd w:id="1185"/>
      <w:bookmarkEnd w:id="1186"/>
      <w:bookmarkEnd w:id="1187"/>
    </w:p>
    <w:p w14:paraId="52070961" w14:textId="77777777" w:rsidR="000913FE" w:rsidRDefault="000913FE" w:rsidP="000913FE">
      <w:pPr>
        <w:rPr>
          <w:rFonts w:cs="Arial"/>
        </w:rPr>
      </w:pPr>
      <w:r>
        <w:rPr>
          <w:noProof/>
          <w:lang w:eastAsia="en-AU"/>
        </w:rPr>
        <w:drawing>
          <wp:inline distT="0" distB="0" distL="0" distR="0" wp14:anchorId="25E60E65" wp14:editId="2619058C">
            <wp:extent cx="5405120" cy="1601216"/>
            <wp:effectExtent l="0" t="0" r="5080" b="0"/>
            <wp:docPr id="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srcRect/>
                    <a:stretch>
                      <a:fillRect/>
                    </a:stretch>
                  </pic:blipFill>
                  <pic:spPr bwMode="auto">
                    <a:xfrm>
                      <a:off x="0" y="0"/>
                      <a:ext cx="5405120" cy="1601216"/>
                    </a:xfrm>
                    <a:prstGeom prst="rect">
                      <a:avLst/>
                    </a:prstGeom>
                    <a:noFill/>
                    <a:ln w="9525">
                      <a:noFill/>
                      <a:miter lim="800000"/>
                      <a:headEnd/>
                      <a:tailEnd/>
                    </a:ln>
                  </pic:spPr>
                </pic:pic>
              </a:graphicData>
            </a:graphic>
          </wp:inline>
        </w:drawing>
      </w:r>
    </w:p>
    <w:p w14:paraId="72FFB988" w14:textId="77777777" w:rsidR="000913FE" w:rsidRDefault="000913FE" w:rsidP="000913FE">
      <w:pPr>
        <w:pStyle w:val="Tableheading"/>
      </w:pPr>
      <w:r>
        <w:br w:type="page"/>
      </w:r>
      <w:bookmarkStart w:id="1188" w:name="_Toc272855520"/>
      <w:bookmarkStart w:id="1189" w:name="_Toc274916023"/>
      <w:bookmarkStart w:id="1190" w:name="_Toc278447002"/>
      <w:r w:rsidRPr="00C75FEC">
        <w:t xml:space="preserve">Table A.25: APTC </w:t>
      </w:r>
      <w:r>
        <w:t xml:space="preserve">annual </w:t>
      </w:r>
      <w:r w:rsidRPr="00C75FEC">
        <w:t>base salaries, national and expatriate staff (AUD)</w:t>
      </w:r>
      <w:bookmarkEnd w:id="1188"/>
      <w:bookmarkEnd w:id="1189"/>
      <w:bookmarkEnd w:id="1190"/>
    </w:p>
    <w:p w14:paraId="577D9ACE" w14:textId="77777777" w:rsidR="000913FE" w:rsidRDefault="000913FE" w:rsidP="000913FE">
      <w:pPr>
        <w:spacing w:after="0"/>
        <w:rPr>
          <w:rFonts w:cs="Arial"/>
        </w:rPr>
      </w:pPr>
      <w:r>
        <w:rPr>
          <w:noProof/>
          <w:lang w:eastAsia="en-AU"/>
        </w:rPr>
        <w:drawing>
          <wp:inline distT="0" distB="0" distL="0" distR="0" wp14:anchorId="241E65F2" wp14:editId="764E2731">
            <wp:extent cx="5305806" cy="6630162"/>
            <wp:effectExtent l="0" t="0" r="3175" b="0"/>
            <wp:docPr id="1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print"/>
                    <a:srcRect/>
                    <a:stretch>
                      <a:fillRect/>
                    </a:stretch>
                  </pic:blipFill>
                  <pic:spPr bwMode="auto">
                    <a:xfrm>
                      <a:off x="0" y="0"/>
                      <a:ext cx="5305806" cy="6630162"/>
                    </a:xfrm>
                    <a:prstGeom prst="rect">
                      <a:avLst/>
                    </a:prstGeom>
                    <a:noFill/>
                    <a:ln w="9525">
                      <a:noFill/>
                      <a:miter lim="800000"/>
                      <a:headEnd/>
                      <a:tailEnd/>
                    </a:ln>
                  </pic:spPr>
                </pic:pic>
              </a:graphicData>
            </a:graphic>
          </wp:inline>
        </w:drawing>
      </w:r>
    </w:p>
    <w:p w14:paraId="08A8A92E" w14:textId="77777777" w:rsidR="000913FE" w:rsidRDefault="000913FE" w:rsidP="000913FE">
      <w:pPr>
        <w:rPr>
          <w:rFonts w:cs="Arial"/>
        </w:rPr>
      </w:pPr>
    </w:p>
    <w:p w14:paraId="138961DE" w14:textId="77777777" w:rsidR="00517274" w:rsidRDefault="00517274">
      <w:pPr>
        <w:spacing w:after="0"/>
        <w:rPr>
          <w:rFonts w:cs="Arial"/>
          <w:b/>
          <w:color w:val="76923C"/>
          <w:szCs w:val="22"/>
        </w:rPr>
      </w:pPr>
      <w:bookmarkStart w:id="1191" w:name="_Toc272855521"/>
      <w:r>
        <w:br w:type="page"/>
      </w:r>
    </w:p>
    <w:p w14:paraId="496F031B" w14:textId="495BF510" w:rsidR="000913FE" w:rsidRDefault="000913FE" w:rsidP="000913FE">
      <w:pPr>
        <w:pStyle w:val="Tableheading"/>
      </w:pPr>
      <w:bookmarkStart w:id="1192" w:name="_Toc274916024"/>
      <w:bookmarkStart w:id="1193" w:name="_Toc278447003"/>
      <w:r>
        <w:t>Table A.26</w:t>
      </w:r>
      <w:r w:rsidRPr="00F779FE">
        <w:t xml:space="preserve">: APTC staff as of 30 June 2015 (end of Phase II) as projected </w:t>
      </w:r>
      <w:r w:rsidR="00517274">
        <w:br/>
      </w:r>
      <w:r w:rsidRPr="00F779FE">
        <w:t>by CEO of APTC a/</w:t>
      </w:r>
      <w:bookmarkEnd w:id="1191"/>
      <w:bookmarkEnd w:id="1192"/>
      <w:bookmarkEnd w:id="1193"/>
    </w:p>
    <w:p w14:paraId="42D701E5" w14:textId="77777777" w:rsidR="000913FE" w:rsidRDefault="000913FE" w:rsidP="000913FE">
      <w:pPr>
        <w:rPr>
          <w:rFonts w:cs="Arial"/>
        </w:rPr>
      </w:pPr>
      <w:r>
        <w:rPr>
          <w:noProof/>
          <w:lang w:eastAsia="en-AU"/>
        </w:rPr>
        <w:drawing>
          <wp:inline distT="0" distB="0" distL="0" distR="0" wp14:anchorId="6D5BD82E" wp14:editId="0A14093B">
            <wp:extent cx="5272278" cy="5506974"/>
            <wp:effectExtent l="0" t="0" r="11430" b="5080"/>
            <wp:docPr id="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srcRect/>
                    <a:stretch>
                      <a:fillRect/>
                    </a:stretch>
                  </pic:blipFill>
                  <pic:spPr bwMode="auto">
                    <a:xfrm>
                      <a:off x="0" y="0"/>
                      <a:ext cx="5272278" cy="5506974"/>
                    </a:xfrm>
                    <a:prstGeom prst="rect">
                      <a:avLst/>
                    </a:prstGeom>
                    <a:noFill/>
                    <a:ln w="9525">
                      <a:noFill/>
                      <a:miter lim="800000"/>
                      <a:headEnd/>
                      <a:tailEnd/>
                    </a:ln>
                  </pic:spPr>
                </pic:pic>
              </a:graphicData>
            </a:graphic>
          </wp:inline>
        </w:drawing>
      </w:r>
    </w:p>
    <w:p w14:paraId="4D7074EC" w14:textId="0F54F587" w:rsidR="000913FE" w:rsidRDefault="000913FE" w:rsidP="000913FE">
      <w:pPr>
        <w:pStyle w:val="Tableheading"/>
      </w:pPr>
      <w:bookmarkStart w:id="1194" w:name="_Toc272855522"/>
      <w:bookmarkStart w:id="1195" w:name="_Toc274916025"/>
      <w:bookmarkStart w:id="1196" w:name="_Toc278447004"/>
      <w:r>
        <w:t>Table A.27</w:t>
      </w:r>
      <w:r w:rsidRPr="00F779FE">
        <w:t xml:space="preserve">: Approximate </w:t>
      </w:r>
      <w:r>
        <w:t xml:space="preserve">annual </w:t>
      </w:r>
      <w:r w:rsidRPr="00F779FE">
        <w:t>compensation (base salaries and bene</w:t>
      </w:r>
      <w:r>
        <w:t>fits), APTC staff as of 30 June</w:t>
      </w:r>
      <w:r w:rsidRPr="00F779FE">
        <w:t xml:space="preserve"> 2015 (AUD, 2014 prices)</w:t>
      </w:r>
      <w:bookmarkEnd w:id="1194"/>
      <w:bookmarkEnd w:id="1195"/>
      <w:bookmarkEnd w:id="1196"/>
    </w:p>
    <w:p w14:paraId="6E426D8E" w14:textId="77777777" w:rsidR="000913FE" w:rsidRDefault="000913FE" w:rsidP="000913FE">
      <w:pPr>
        <w:rPr>
          <w:rFonts w:cs="Arial"/>
        </w:rPr>
      </w:pPr>
      <w:r>
        <w:rPr>
          <w:noProof/>
          <w:lang w:eastAsia="en-AU"/>
        </w:rPr>
        <w:drawing>
          <wp:inline distT="0" distB="0" distL="0" distR="0" wp14:anchorId="36C5668D" wp14:editId="5CEC5B10">
            <wp:extent cx="5372608" cy="1601216"/>
            <wp:effectExtent l="0" t="0" r="0" b="0"/>
            <wp:docPr id="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srcRect/>
                    <a:stretch>
                      <a:fillRect/>
                    </a:stretch>
                  </pic:blipFill>
                  <pic:spPr bwMode="auto">
                    <a:xfrm>
                      <a:off x="0" y="0"/>
                      <a:ext cx="5372608" cy="1601216"/>
                    </a:xfrm>
                    <a:prstGeom prst="rect">
                      <a:avLst/>
                    </a:prstGeom>
                    <a:noFill/>
                    <a:ln w="9525">
                      <a:noFill/>
                      <a:miter lim="800000"/>
                      <a:headEnd/>
                      <a:tailEnd/>
                    </a:ln>
                  </pic:spPr>
                </pic:pic>
              </a:graphicData>
            </a:graphic>
          </wp:inline>
        </w:drawing>
      </w:r>
    </w:p>
    <w:p w14:paraId="0571C90A" w14:textId="77777777" w:rsidR="000913FE" w:rsidRDefault="000913FE" w:rsidP="000913FE">
      <w:pPr>
        <w:pStyle w:val="Tableheading"/>
      </w:pPr>
      <w:r>
        <w:br w:type="page"/>
      </w:r>
      <w:bookmarkStart w:id="1197" w:name="_Toc272855523"/>
      <w:bookmarkStart w:id="1198" w:name="_Toc274916026"/>
      <w:bookmarkStart w:id="1199" w:name="_Toc278447005"/>
      <w:r>
        <w:t>Table A.28: APTC staff by 30 June</w:t>
      </w:r>
      <w:r w:rsidRPr="00B8327D">
        <w:t xml:space="preserve"> 2019 (assuming Stage III will be funded) as projected by CEO of APTC a/</w:t>
      </w:r>
      <w:bookmarkEnd w:id="1197"/>
      <w:bookmarkEnd w:id="1198"/>
      <w:bookmarkEnd w:id="1199"/>
    </w:p>
    <w:p w14:paraId="793A4033" w14:textId="77777777" w:rsidR="000913FE" w:rsidRDefault="000913FE" w:rsidP="000913FE">
      <w:pPr>
        <w:rPr>
          <w:rFonts w:cs="Arial"/>
        </w:rPr>
      </w:pPr>
      <w:r>
        <w:rPr>
          <w:noProof/>
          <w:lang w:eastAsia="en-AU"/>
        </w:rPr>
        <w:drawing>
          <wp:inline distT="0" distB="0" distL="0" distR="0" wp14:anchorId="5898809F" wp14:editId="38564B88">
            <wp:extent cx="5272278" cy="5506974"/>
            <wp:effectExtent l="0" t="0" r="11430" b="5080"/>
            <wp:docPr id="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srcRect/>
                    <a:stretch>
                      <a:fillRect/>
                    </a:stretch>
                  </pic:blipFill>
                  <pic:spPr bwMode="auto">
                    <a:xfrm>
                      <a:off x="0" y="0"/>
                      <a:ext cx="5272278" cy="5506974"/>
                    </a:xfrm>
                    <a:prstGeom prst="rect">
                      <a:avLst/>
                    </a:prstGeom>
                    <a:noFill/>
                    <a:ln w="9525">
                      <a:noFill/>
                      <a:miter lim="800000"/>
                      <a:headEnd/>
                      <a:tailEnd/>
                    </a:ln>
                  </pic:spPr>
                </pic:pic>
              </a:graphicData>
            </a:graphic>
          </wp:inline>
        </w:drawing>
      </w:r>
    </w:p>
    <w:p w14:paraId="4ABDCDE0" w14:textId="2724CED7" w:rsidR="000913FE" w:rsidRDefault="000913FE" w:rsidP="000913FE">
      <w:pPr>
        <w:pStyle w:val="Tableheading"/>
      </w:pPr>
      <w:bookmarkStart w:id="1200" w:name="_Toc272855524"/>
      <w:bookmarkStart w:id="1201" w:name="_Toc274916027"/>
      <w:bookmarkStart w:id="1202" w:name="_Toc278447006"/>
      <w:r>
        <w:t>Table A.29</w:t>
      </w:r>
      <w:r w:rsidRPr="008323D2">
        <w:t xml:space="preserve">: Approximate </w:t>
      </w:r>
      <w:r>
        <w:t xml:space="preserve">annual </w:t>
      </w:r>
      <w:r w:rsidRPr="008323D2">
        <w:t>compensation (base salaries and bene</w:t>
      </w:r>
      <w:r>
        <w:t>fits), APTC staff as of 30 June</w:t>
      </w:r>
      <w:r w:rsidRPr="008323D2">
        <w:t xml:space="preserve"> 2019, assuming Phase III will be funded </w:t>
      </w:r>
      <w:r w:rsidR="00D432F1">
        <w:br/>
      </w:r>
      <w:r w:rsidRPr="008323D2">
        <w:t>(AUD, 2014 prices)</w:t>
      </w:r>
      <w:bookmarkEnd w:id="1200"/>
      <w:bookmarkEnd w:id="1201"/>
      <w:bookmarkEnd w:id="1202"/>
    </w:p>
    <w:p w14:paraId="6E8FF332" w14:textId="77777777" w:rsidR="000913FE" w:rsidRDefault="000913FE" w:rsidP="000913FE">
      <w:pPr>
        <w:rPr>
          <w:rFonts w:cs="Arial"/>
        </w:rPr>
      </w:pPr>
      <w:r>
        <w:rPr>
          <w:noProof/>
          <w:lang w:eastAsia="en-AU"/>
        </w:rPr>
        <w:drawing>
          <wp:inline distT="0" distB="0" distL="0" distR="0" wp14:anchorId="11D3E26D" wp14:editId="2C88B587">
            <wp:extent cx="5336667" cy="1576197"/>
            <wp:effectExtent l="0" t="0" r="0" b="0"/>
            <wp:docPr id="1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cstate="print"/>
                    <a:srcRect/>
                    <a:stretch>
                      <a:fillRect/>
                    </a:stretch>
                  </pic:blipFill>
                  <pic:spPr bwMode="auto">
                    <a:xfrm>
                      <a:off x="0" y="0"/>
                      <a:ext cx="5336667" cy="1576197"/>
                    </a:xfrm>
                    <a:prstGeom prst="rect">
                      <a:avLst/>
                    </a:prstGeom>
                    <a:noFill/>
                    <a:ln w="9525">
                      <a:noFill/>
                      <a:miter lim="800000"/>
                      <a:headEnd/>
                      <a:tailEnd/>
                    </a:ln>
                  </pic:spPr>
                </pic:pic>
              </a:graphicData>
            </a:graphic>
          </wp:inline>
        </w:drawing>
      </w:r>
    </w:p>
    <w:p w14:paraId="2371C9CA" w14:textId="407E3650" w:rsidR="000913FE" w:rsidRDefault="000913FE" w:rsidP="000913FE">
      <w:pPr>
        <w:pStyle w:val="Tableheading"/>
      </w:pPr>
      <w:r>
        <w:br w:type="page"/>
      </w:r>
      <w:bookmarkStart w:id="1203" w:name="_Toc272855525"/>
      <w:bookmarkStart w:id="1204" w:name="_Toc274916028"/>
      <w:bookmarkStart w:id="1205" w:name="_Toc278447007"/>
      <w:r w:rsidRPr="00BB168C">
        <w:t xml:space="preserve">Table A.30: Flow variables (direct costs, graduates, and students enrolled) </w:t>
      </w:r>
      <w:r>
        <w:t xml:space="preserve">needed to estimate </w:t>
      </w:r>
      <w:r w:rsidRPr="00BB168C">
        <w:t>the economic rate</w:t>
      </w:r>
      <w:r>
        <w:t>s</w:t>
      </w:r>
      <w:r w:rsidRPr="00BB168C">
        <w:t xml:space="preserve"> of return (ERR</w:t>
      </w:r>
      <w:r>
        <w:t xml:space="preserve">s) </w:t>
      </w:r>
      <w:r w:rsidR="00D74C64">
        <w:br/>
      </w:r>
      <w:r>
        <w:t>for models 1, 2, 3.1, and 3.2</w:t>
      </w:r>
      <w:bookmarkEnd w:id="1203"/>
      <w:bookmarkEnd w:id="1204"/>
      <w:bookmarkEnd w:id="1205"/>
    </w:p>
    <w:p w14:paraId="5F571157" w14:textId="77777777" w:rsidR="000913FE" w:rsidRDefault="000913FE" w:rsidP="000913FE">
      <w:pPr>
        <w:ind w:left="-360"/>
        <w:rPr>
          <w:rFonts w:cs="Arial"/>
        </w:rPr>
      </w:pPr>
      <w:r>
        <w:rPr>
          <w:noProof/>
          <w:lang w:eastAsia="en-AU"/>
        </w:rPr>
        <w:drawing>
          <wp:inline distT="0" distB="0" distL="0" distR="0" wp14:anchorId="526FBBCF" wp14:editId="63654E6A">
            <wp:extent cx="5473700" cy="6165850"/>
            <wp:effectExtent l="0" t="0" r="12700" b="6350"/>
            <wp:docPr id="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srcRect/>
                    <a:stretch>
                      <a:fillRect/>
                    </a:stretch>
                  </pic:blipFill>
                  <pic:spPr bwMode="auto">
                    <a:xfrm>
                      <a:off x="0" y="0"/>
                      <a:ext cx="5473700" cy="6165850"/>
                    </a:xfrm>
                    <a:prstGeom prst="rect">
                      <a:avLst/>
                    </a:prstGeom>
                    <a:noFill/>
                    <a:ln w="9525">
                      <a:noFill/>
                      <a:miter lim="800000"/>
                      <a:headEnd/>
                      <a:tailEnd/>
                    </a:ln>
                  </pic:spPr>
                </pic:pic>
              </a:graphicData>
            </a:graphic>
          </wp:inline>
        </w:drawing>
      </w:r>
    </w:p>
    <w:p w14:paraId="2A4110F8" w14:textId="77777777" w:rsidR="000913FE" w:rsidRDefault="000913FE" w:rsidP="000913FE">
      <w:pPr>
        <w:rPr>
          <w:rFonts w:cs="Arial"/>
        </w:rPr>
      </w:pPr>
      <w:r>
        <w:rPr>
          <w:rFonts w:cs="Arial"/>
        </w:rPr>
        <w:br w:type="page"/>
      </w:r>
    </w:p>
    <w:p w14:paraId="1D34D62F" w14:textId="77777777" w:rsidR="000913FE" w:rsidRDefault="000913FE" w:rsidP="000913FE">
      <w:pPr>
        <w:pStyle w:val="Tableheading"/>
      </w:pPr>
      <w:bookmarkStart w:id="1206" w:name="_Toc272855526"/>
      <w:bookmarkStart w:id="1207" w:name="_Toc274916029"/>
      <w:bookmarkStart w:id="1208" w:name="_Toc278447008"/>
      <w:r w:rsidRPr="009426AA">
        <w:t xml:space="preserve">Table A.31: Results of ERR and sensitivity analysis </w:t>
      </w:r>
      <w:r>
        <w:t>–</w:t>
      </w:r>
      <w:r w:rsidRPr="009426AA">
        <w:t xml:space="preserve"> model 1 (year 0 = 2007)</w:t>
      </w:r>
      <w:bookmarkEnd w:id="1206"/>
      <w:bookmarkEnd w:id="1207"/>
      <w:bookmarkEnd w:id="1208"/>
    </w:p>
    <w:p w14:paraId="0F09859F" w14:textId="77777777" w:rsidR="000913FE" w:rsidRDefault="000913FE" w:rsidP="000913FE">
      <w:pPr>
        <w:rPr>
          <w:rFonts w:cs="Arial"/>
        </w:rPr>
      </w:pPr>
      <w:r>
        <w:rPr>
          <w:noProof/>
          <w:lang w:eastAsia="en-AU"/>
        </w:rPr>
        <w:drawing>
          <wp:inline distT="0" distB="0" distL="0" distR="0" wp14:anchorId="3C733E2E" wp14:editId="1D457DB0">
            <wp:extent cx="5303520" cy="2293620"/>
            <wp:effectExtent l="0" t="0" r="508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srcRect/>
                    <a:stretch>
                      <a:fillRect/>
                    </a:stretch>
                  </pic:blipFill>
                  <pic:spPr bwMode="auto">
                    <a:xfrm>
                      <a:off x="0" y="0"/>
                      <a:ext cx="5303520" cy="2293620"/>
                    </a:xfrm>
                    <a:prstGeom prst="rect">
                      <a:avLst/>
                    </a:prstGeom>
                    <a:noFill/>
                    <a:ln w="9525">
                      <a:noFill/>
                      <a:miter lim="800000"/>
                      <a:headEnd/>
                      <a:tailEnd/>
                    </a:ln>
                  </pic:spPr>
                </pic:pic>
              </a:graphicData>
            </a:graphic>
          </wp:inline>
        </w:drawing>
      </w:r>
    </w:p>
    <w:p w14:paraId="7B57CF3E" w14:textId="77777777" w:rsidR="000913FE" w:rsidRDefault="000913FE" w:rsidP="000913FE">
      <w:pPr>
        <w:pStyle w:val="Tableheading"/>
      </w:pPr>
      <w:bookmarkStart w:id="1209" w:name="_Toc272855527"/>
      <w:bookmarkStart w:id="1210" w:name="_Toc274916030"/>
      <w:bookmarkStart w:id="1211" w:name="_Toc278447009"/>
      <w:r w:rsidRPr="009426AA">
        <w:t xml:space="preserve">Table A.32: Results of ERR and sensitivity analysis </w:t>
      </w:r>
      <w:r>
        <w:t>–</w:t>
      </w:r>
      <w:r w:rsidRPr="009426AA">
        <w:t xml:space="preserve"> model 2 (year 0 = 2011)</w:t>
      </w:r>
      <w:bookmarkEnd w:id="1209"/>
      <w:bookmarkEnd w:id="1210"/>
      <w:bookmarkEnd w:id="1211"/>
    </w:p>
    <w:p w14:paraId="72B67D59" w14:textId="77777777" w:rsidR="000913FE" w:rsidRDefault="000913FE" w:rsidP="000913FE">
      <w:pPr>
        <w:rPr>
          <w:rFonts w:cs="Arial"/>
        </w:rPr>
      </w:pPr>
      <w:r>
        <w:rPr>
          <w:noProof/>
          <w:lang w:eastAsia="en-AU"/>
        </w:rPr>
        <w:drawing>
          <wp:inline distT="0" distB="0" distL="0" distR="0" wp14:anchorId="2BC6B247" wp14:editId="7BB11E4B">
            <wp:extent cx="5189220" cy="2537460"/>
            <wp:effectExtent l="0" t="0" r="0" b="254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srcRect/>
                    <a:stretch>
                      <a:fillRect/>
                    </a:stretch>
                  </pic:blipFill>
                  <pic:spPr bwMode="auto">
                    <a:xfrm>
                      <a:off x="0" y="0"/>
                      <a:ext cx="5189220" cy="2537460"/>
                    </a:xfrm>
                    <a:prstGeom prst="rect">
                      <a:avLst/>
                    </a:prstGeom>
                    <a:noFill/>
                    <a:ln w="9525">
                      <a:noFill/>
                      <a:miter lim="800000"/>
                      <a:headEnd/>
                      <a:tailEnd/>
                    </a:ln>
                  </pic:spPr>
                </pic:pic>
              </a:graphicData>
            </a:graphic>
          </wp:inline>
        </w:drawing>
      </w:r>
    </w:p>
    <w:p w14:paraId="5DF3BB0A" w14:textId="3055F27B" w:rsidR="000913FE" w:rsidRDefault="000913FE" w:rsidP="000913FE">
      <w:pPr>
        <w:pStyle w:val="Tableheading"/>
      </w:pPr>
      <w:r>
        <w:br w:type="page"/>
      </w:r>
      <w:bookmarkStart w:id="1212" w:name="_Toc272855528"/>
      <w:bookmarkStart w:id="1213" w:name="_Toc274916031"/>
      <w:bookmarkStart w:id="1214" w:name="_Toc278447010"/>
      <w:r w:rsidRPr="009426AA">
        <w:t xml:space="preserve">Table A.33: Results of ERR and sensitivity analysis </w:t>
      </w:r>
      <w:r>
        <w:t>–</w:t>
      </w:r>
      <w:r w:rsidRPr="009426AA">
        <w:t xml:space="preserve"> model 3.1 </w:t>
      </w:r>
      <w:r w:rsidR="00D74C64">
        <w:br/>
      </w:r>
      <w:r w:rsidRPr="009426AA">
        <w:t>(year 0 = 2015, cost savings 10 per cent over four years of Stage III)</w:t>
      </w:r>
      <w:bookmarkEnd w:id="1212"/>
      <w:bookmarkEnd w:id="1213"/>
      <w:bookmarkEnd w:id="1214"/>
    </w:p>
    <w:p w14:paraId="6A5B4446" w14:textId="77777777" w:rsidR="000913FE" w:rsidRDefault="000913FE" w:rsidP="000913FE">
      <w:pPr>
        <w:rPr>
          <w:rFonts w:cs="Arial"/>
        </w:rPr>
      </w:pPr>
      <w:r>
        <w:rPr>
          <w:noProof/>
          <w:lang w:eastAsia="en-AU"/>
        </w:rPr>
        <w:drawing>
          <wp:inline distT="0" distB="0" distL="0" distR="0" wp14:anchorId="4A712883" wp14:editId="77DB3A3B">
            <wp:extent cx="5250180" cy="2377440"/>
            <wp:effectExtent l="0" t="0" r="7620" b="10160"/>
            <wp:docPr id="1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srcRect/>
                    <a:stretch>
                      <a:fillRect/>
                    </a:stretch>
                  </pic:blipFill>
                  <pic:spPr bwMode="auto">
                    <a:xfrm>
                      <a:off x="0" y="0"/>
                      <a:ext cx="5250180" cy="2377440"/>
                    </a:xfrm>
                    <a:prstGeom prst="rect">
                      <a:avLst/>
                    </a:prstGeom>
                    <a:noFill/>
                    <a:ln w="9525">
                      <a:noFill/>
                      <a:miter lim="800000"/>
                      <a:headEnd/>
                      <a:tailEnd/>
                    </a:ln>
                  </pic:spPr>
                </pic:pic>
              </a:graphicData>
            </a:graphic>
          </wp:inline>
        </w:drawing>
      </w:r>
    </w:p>
    <w:p w14:paraId="4A5722DF" w14:textId="17201D77" w:rsidR="000913FE" w:rsidRDefault="000913FE" w:rsidP="000913FE">
      <w:pPr>
        <w:pStyle w:val="Tableheading"/>
      </w:pPr>
      <w:bookmarkStart w:id="1215" w:name="_Toc272855529"/>
      <w:bookmarkStart w:id="1216" w:name="_Toc274916032"/>
      <w:bookmarkStart w:id="1217" w:name="_Toc278447011"/>
      <w:r w:rsidRPr="009426AA">
        <w:t xml:space="preserve">Table A.34: Results of ERR and sensitivity analysis </w:t>
      </w:r>
      <w:r>
        <w:t>–</w:t>
      </w:r>
      <w:r w:rsidRPr="009426AA">
        <w:t xml:space="preserve"> model 3.2 </w:t>
      </w:r>
      <w:r w:rsidR="00D74C64">
        <w:br/>
      </w:r>
      <w:r w:rsidRPr="009426AA">
        <w:t>(year 0 = 2015, cost savings 20 per cent over four years of Stage III)</w:t>
      </w:r>
      <w:bookmarkEnd w:id="1215"/>
      <w:bookmarkEnd w:id="1216"/>
      <w:bookmarkEnd w:id="1217"/>
    </w:p>
    <w:p w14:paraId="0BE19F01" w14:textId="77777777" w:rsidR="000913FE" w:rsidRDefault="000913FE" w:rsidP="000913FE">
      <w:pPr>
        <w:rPr>
          <w:rFonts w:cs="Arial"/>
        </w:rPr>
      </w:pPr>
      <w:r>
        <w:rPr>
          <w:noProof/>
          <w:lang w:eastAsia="en-AU"/>
        </w:rPr>
        <w:drawing>
          <wp:inline distT="0" distB="0" distL="0" distR="0" wp14:anchorId="1BE3033D" wp14:editId="7639813E">
            <wp:extent cx="5196840" cy="2392680"/>
            <wp:effectExtent l="0" t="0" r="1016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srcRect/>
                    <a:stretch>
                      <a:fillRect/>
                    </a:stretch>
                  </pic:blipFill>
                  <pic:spPr bwMode="auto">
                    <a:xfrm>
                      <a:off x="0" y="0"/>
                      <a:ext cx="5196840" cy="2392680"/>
                    </a:xfrm>
                    <a:prstGeom prst="rect">
                      <a:avLst/>
                    </a:prstGeom>
                    <a:noFill/>
                    <a:ln w="9525">
                      <a:noFill/>
                      <a:miter lim="800000"/>
                      <a:headEnd/>
                      <a:tailEnd/>
                    </a:ln>
                  </pic:spPr>
                </pic:pic>
              </a:graphicData>
            </a:graphic>
          </wp:inline>
        </w:drawing>
      </w:r>
    </w:p>
    <w:p w14:paraId="699DA29B" w14:textId="537DCB39" w:rsidR="000913FE" w:rsidRDefault="000913FE" w:rsidP="000913FE">
      <w:pPr>
        <w:pStyle w:val="Tableheading"/>
      </w:pPr>
      <w:r>
        <w:br w:type="page"/>
      </w:r>
      <w:bookmarkStart w:id="1218" w:name="_Toc272855530"/>
      <w:bookmarkStart w:id="1219" w:name="_Toc274916033"/>
      <w:bookmarkStart w:id="1220" w:name="_Toc278447012"/>
      <w:r>
        <w:t>Table A.35</w:t>
      </w:r>
      <w:r w:rsidRPr="001B5EE6">
        <w:t xml:space="preserve">: Cost recovery (revenues from sources other than DFAT), </w:t>
      </w:r>
      <w:r w:rsidR="00D74C64">
        <w:br/>
      </w:r>
      <w:r w:rsidRPr="001B5EE6">
        <w:t>APTC Stage II (AUD)</w:t>
      </w:r>
      <w:bookmarkEnd w:id="1218"/>
      <w:bookmarkEnd w:id="1219"/>
      <w:bookmarkEnd w:id="1220"/>
    </w:p>
    <w:p w14:paraId="5F740BD1" w14:textId="77777777" w:rsidR="000913FE" w:rsidRPr="00381271" w:rsidRDefault="000913FE" w:rsidP="000913FE">
      <w:pPr>
        <w:rPr>
          <w:rFonts w:cs="Arial"/>
        </w:rPr>
      </w:pPr>
      <w:r>
        <w:rPr>
          <w:noProof/>
          <w:lang w:eastAsia="en-AU"/>
        </w:rPr>
        <w:drawing>
          <wp:inline distT="0" distB="0" distL="0" distR="0" wp14:anchorId="6F5B07E1" wp14:editId="14672186">
            <wp:extent cx="5357495" cy="1271270"/>
            <wp:effectExtent l="0" t="0" r="1905" b="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5357495" cy="1271270"/>
                    </a:xfrm>
                    <a:prstGeom prst="rect">
                      <a:avLst/>
                    </a:prstGeom>
                    <a:noFill/>
                    <a:ln w="9525">
                      <a:noFill/>
                      <a:miter lim="800000"/>
                      <a:headEnd/>
                      <a:tailEnd/>
                    </a:ln>
                  </pic:spPr>
                </pic:pic>
              </a:graphicData>
            </a:graphic>
          </wp:inline>
        </w:drawing>
      </w:r>
    </w:p>
    <w:p w14:paraId="01F64645" w14:textId="1BEA36BB" w:rsidR="000913FE" w:rsidRDefault="000913FE" w:rsidP="000913FE">
      <w:pPr>
        <w:pStyle w:val="Tableheading"/>
      </w:pPr>
      <w:bookmarkStart w:id="1221" w:name="_Toc272855531"/>
      <w:bookmarkStart w:id="1222" w:name="_Toc274916034"/>
      <w:bookmarkStart w:id="1223" w:name="_Toc278447013"/>
      <w:r>
        <w:t>Table A.36</w:t>
      </w:r>
      <w:r w:rsidRPr="002D2C43">
        <w:t xml:space="preserve">: APTC course tuition fees by school (STT and SHCS) and </w:t>
      </w:r>
      <w:r w:rsidR="00D74C64">
        <w:br/>
      </w:r>
      <w:r w:rsidRPr="002D2C43">
        <w:t>by campus country</w:t>
      </w:r>
      <w:bookmarkEnd w:id="1221"/>
      <w:bookmarkEnd w:id="1222"/>
      <w:bookmarkEnd w:id="1223"/>
    </w:p>
    <w:p w14:paraId="5FF26369" w14:textId="77777777" w:rsidR="000913FE" w:rsidRDefault="000913FE" w:rsidP="000913FE">
      <w:pPr>
        <w:rPr>
          <w:rFonts w:cs="Arial"/>
        </w:rPr>
      </w:pPr>
      <w:r>
        <w:rPr>
          <w:noProof/>
          <w:lang w:eastAsia="en-AU"/>
        </w:rPr>
        <w:drawing>
          <wp:inline distT="0" distB="0" distL="0" distR="0" wp14:anchorId="43B8032A" wp14:editId="4157EC0D">
            <wp:extent cx="5171440" cy="3108960"/>
            <wp:effectExtent l="0" t="0" r="1016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srcRect/>
                    <a:stretch>
                      <a:fillRect/>
                    </a:stretch>
                  </pic:blipFill>
                  <pic:spPr bwMode="auto">
                    <a:xfrm>
                      <a:off x="0" y="0"/>
                      <a:ext cx="5171440" cy="3108960"/>
                    </a:xfrm>
                    <a:prstGeom prst="rect">
                      <a:avLst/>
                    </a:prstGeom>
                    <a:noFill/>
                    <a:ln w="9525">
                      <a:noFill/>
                      <a:miter lim="800000"/>
                      <a:headEnd/>
                      <a:tailEnd/>
                    </a:ln>
                  </pic:spPr>
                </pic:pic>
              </a:graphicData>
            </a:graphic>
          </wp:inline>
        </w:drawing>
      </w:r>
    </w:p>
    <w:p w14:paraId="70DCA2A3" w14:textId="77777777" w:rsidR="000913FE" w:rsidRDefault="000913FE" w:rsidP="000913FE"/>
    <w:p w14:paraId="4F982780" w14:textId="77777777" w:rsidR="009B4045" w:rsidRDefault="009B4045">
      <w:pPr>
        <w:spacing w:after="0"/>
        <w:rPr>
          <w:rFonts w:cs="Arial"/>
          <w:szCs w:val="22"/>
        </w:rPr>
      </w:pPr>
    </w:p>
    <w:p w14:paraId="6E478EB5" w14:textId="77777777" w:rsidR="001124D6" w:rsidRDefault="001124D6" w:rsidP="002028A6">
      <w:pPr>
        <w:pStyle w:val="Heading1"/>
        <w:sectPr w:rsidR="001124D6" w:rsidSect="00FF3EDE">
          <w:headerReference w:type="first" r:id="rId153"/>
          <w:footerReference w:type="first" r:id="rId154"/>
          <w:pgSz w:w="11904" w:h="16834"/>
          <w:pgMar w:top="1440" w:right="1701" w:bottom="1440" w:left="1701" w:header="709" w:footer="709" w:gutter="0"/>
          <w:cols w:space="708"/>
          <w:docGrid w:linePitch="326"/>
        </w:sectPr>
      </w:pPr>
      <w:bookmarkStart w:id="1224" w:name="_Toc274039246"/>
      <w:bookmarkEnd w:id="1224"/>
    </w:p>
    <w:p w14:paraId="79CFB46B" w14:textId="365BC360" w:rsidR="00361541" w:rsidRDefault="009B4045" w:rsidP="002028A6">
      <w:pPr>
        <w:pStyle w:val="Heading1"/>
      </w:pPr>
      <w:r>
        <w:br w:type="page"/>
      </w:r>
      <w:bookmarkStart w:id="1225" w:name="_Toc278447997"/>
      <w:bookmarkStart w:id="1226" w:name="_Toc278453470"/>
      <w:r w:rsidR="00CD2D4F" w:rsidRPr="009B4045">
        <w:t>ANNE</w:t>
      </w:r>
      <w:r w:rsidR="00CD2D4F">
        <w:t>X 10</w:t>
      </w:r>
      <w:r w:rsidR="00CD2D4F" w:rsidRPr="009B4045">
        <w:t xml:space="preserve">: </w:t>
      </w:r>
      <w:r w:rsidR="00CD2D4F">
        <w:t>FUTURE OF THE APTC</w:t>
      </w:r>
      <w:bookmarkEnd w:id="1225"/>
      <w:bookmarkEnd w:id="1226"/>
    </w:p>
    <w:p w14:paraId="304961E9" w14:textId="77777777" w:rsidR="009B4045" w:rsidRDefault="009B4045" w:rsidP="000C561B">
      <w:pPr>
        <w:rPr>
          <w:b/>
        </w:rPr>
      </w:pPr>
      <w:r w:rsidRPr="000C561B">
        <w:rPr>
          <w:b/>
        </w:rPr>
        <w:t>What do the findings, evidence and lessons suggest for the future of the APTC?</w:t>
      </w:r>
    </w:p>
    <w:p w14:paraId="407525BF" w14:textId="52C0F7C1" w:rsidR="00156DB9" w:rsidRDefault="00156DB9" w:rsidP="000C561B">
      <w:pPr>
        <w:rPr>
          <w:b/>
        </w:rPr>
      </w:pPr>
      <w:r>
        <w:rPr>
          <w:b/>
        </w:rPr>
        <w:t>Table of contents</w:t>
      </w:r>
    </w:p>
    <w:p w14:paraId="5539CDFE" w14:textId="77777777" w:rsidR="00FC6826" w:rsidRPr="005D1494" w:rsidRDefault="00FC6826" w:rsidP="00441936">
      <w:pPr>
        <w:pStyle w:val="TOC1"/>
        <w:rPr>
          <w:rFonts w:asciiTheme="minorHAnsi" w:eastAsiaTheme="minorEastAsia" w:hAnsiTheme="minorHAnsi" w:cstheme="minorBidi"/>
          <w:sz w:val="24"/>
          <w:lang w:val="en-US" w:eastAsia="ja-JP"/>
        </w:rPr>
      </w:pPr>
      <w:r w:rsidRPr="005D1494">
        <w:t>1</w:t>
      </w:r>
      <w:r w:rsidRPr="005D1494">
        <w:rPr>
          <w:rFonts w:asciiTheme="minorHAnsi" w:eastAsiaTheme="minorEastAsia" w:hAnsiTheme="minorHAnsi" w:cstheme="minorBidi"/>
          <w:sz w:val="24"/>
          <w:lang w:val="en-US" w:eastAsia="ja-JP"/>
        </w:rPr>
        <w:tab/>
      </w:r>
      <w:r w:rsidRPr="005D1494">
        <w:t>Short term: What could be done to strengthen APTC until the end of Stage II?</w:t>
      </w:r>
      <w:r w:rsidRPr="005D1494">
        <w:tab/>
      </w:r>
      <w:r w:rsidRPr="005D1494">
        <w:fldChar w:fldCharType="begin"/>
      </w:r>
      <w:r w:rsidRPr="005D1494">
        <w:instrText xml:space="preserve"> PAGEREF _Toc278447998 \h </w:instrText>
      </w:r>
      <w:r w:rsidRPr="005D1494">
        <w:fldChar w:fldCharType="separate"/>
      </w:r>
      <w:r w:rsidR="00EA0B4D">
        <w:t>225</w:t>
      </w:r>
      <w:r w:rsidRPr="005D1494">
        <w:fldChar w:fldCharType="end"/>
      </w:r>
    </w:p>
    <w:p w14:paraId="643410ED" w14:textId="77777777" w:rsidR="00156DB9" w:rsidRPr="00FF51CD" w:rsidRDefault="00156DB9" w:rsidP="00156DB9">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1.1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Actions that could be undertaken by APTC</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_Toc274909978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225</w:t>
      </w:r>
      <w:r w:rsidRPr="00FF51CD">
        <w:rPr>
          <w:rFonts w:ascii="Arial" w:hAnsi="Arial" w:cs="Arial"/>
          <w:noProof/>
          <w:sz w:val="20"/>
          <w:szCs w:val="20"/>
        </w:rPr>
        <w:fldChar w:fldCharType="end"/>
      </w:r>
    </w:p>
    <w:p w14:paraId="3C7A32CF" w14:textId="77777777" w:rsidR="00156DB9" w:rsidRPr="00FF51CD" w:rsidRDefault="00156DB9" w:rsidP="00156DB9">
      <w:pPr>
        <w:pStyle w:val="TOC2"/>
        <w:tabs>
          <w:tab w:val="left" w:pos="568"/>
          <w:tab w:val="right" w:leader="dot" w:pos="8489"/>
        </w:tabs>
        <w:rPr>
          <w:rFonts w:ascii="Arial" w:eastAsiaTheme="minorEastAsia" w:hAnsi="Arial" w:cs="Arial"/>
          <w:noProof/>
          <w:sz w:val="20"/>
          <w:szCs w:val="20"/>
          <w:lang w:val="en-US" w:eastAsia="ja-JP"/>
        </w:rPr>
      </w:pPr>
      <w:r w:rsidRPr="00FF51CD">
        <w:rPr>
          <w:rFonts w:ascii="Arial" w:hAnsi="Arial" w:cs="Arial"/>
          <w:noProof/>
          <w:sz w:val="20"/>
          <w:szCs w:val="20"/>
        </w:rPr>
        <w:t xml:space="preserve">1.2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Actions that could be undertaken by DFAT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_Toc274909979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226</w:t>
      </w:r>
      <w:r w:rsidRPr="00FF51CD">
        <w:rPr>
          <w:rFonts w:ascii="Arial" w:hAnsi="Arial" w:cs="Arial"/>
          <w:noProof/>
          <w:sz w:val="20"/>
          <w:szCs w:val="20"/>
        </w:rPr>
        <w:fldChar w:fldCharType="end"/>
      </w:r>
    </w:p>
    <w:p w14:paraId="0829CBF3" w14:textId="77777777" w:rsidR="00F70625" w:rsidRPr="005D1494" w:rsidRDefault="00F70625" w:rsidP="00A023AF">
      <w:pPr>
        <w:pStyle w:val="TOC1"/>
        <w:ind w:left="351" w:hanging="351"/>
        <w:rPr>
          <w:rFonts w:asciiTheme="minorHAnsi" w:eastAsiaTheme="minorEastAsia" w:hAnsiTheme="minorHAnsi" w:cstheme="minorBidi"/>
          <w:sz w:val="24"/>
          <w:lang w:val="en-US" w:eastAsia="ja-JP"/>
        </w:rPr>
      </w:pPr>
      <w:r w:rsidRPr="005D1494">
        <w:t xml:space="preserve">2 </w:t>
      </w:r>
      <w:r w:rsidRPr="005D1494">
        <w:rPr>
          <w:rFonts w:asciiTheme="minorHAnsi" w:eastAsiaTheme="minorEastAsia" w:hAnsiTheme="minorHAnsi" w:cstheme="minorBidi"/>
          <w:sz w:val="24"/>
          <w:lang w:val="en-US" w:eastAsia="ja-JP"/>
        </w:rPr>
        <w:tab/>
      </w:r>
      <w:r w:rsidRPr="005D1494">
        <w:t xml:space="preserve">Medium to long term: In what form and under what conditions could APTC </w:t>
      </w:r>
      <w:r>
        <w:br/>
      </w:r>
      <w:r w:rsidRPr="005D1494">
        <w:t>continue beyond 2015?</w:t>
      </w:r>
      <w:r w:rsidRPr="005D1494">
        <w:tab/>
      </w:r>
      <w:r w:rsidRPr="005D1494">
        <w:fldChar w:fldCharType="begin"/>
      </w:r>
      <w:r w:rsidRPr="005D1494">
        <w:instrText xml:space="preserve"> PAGEREF _Toc278448001 \h </w:instrText>
      </w:r>
      <w:r w:rsidRPr="005D1494">
        <w:fldChar w:fldCharType="separate"/>
      </w:r>
      <w:r w:rsidR="00EA0B4D">
        <w:t>226</w:t>
      </w:r>
      <w:r w:rsidRPr="005D1494">
        <w:fldChar w:fldCharType="end"/>
      </w:r>
    </w:p>
    <w:p w14:paraId="7B9DB133" w14:textId="32654E7A" w:rsidR="00156DB9" w:rsidRPr="00FF51CD" w:rsidRDefault="00156DB9" w:rsidP="00156DB9">
      <w:pPr>
        <w:pStyle w:val="TOC2"/>
        <w:tabs>
          <w:tab w:val="left" w:pos="568"/>
          <w:tab w:val="right" w:leader="dot" w:pos="8489"/>
        </w:tabs>
        <w:ind w:left="400" w:hanging="400"/>
        <w:rPr>
          <w:rFonts w:ascii="Arial" w:eastAsiaTheme="minorEastAsia" w:hAnsi="Arial" w:cs="Arial"/>
          <w:noProof/>
          <w:sz w:val="20"/>
          <w:szCs w:val="20"/>
          <w:lang w:val="en-US" w:eastAsia="ja-JP"/>
        </w:rPr>
      </w:pPr>
      <w:r w:rsidRPr="00FF51CD">
        <w:rPr>
          <w:rFonts w:ascii="Arial" w:hAnsi="Arial" w:cs="Arial"/>
          <w:noProof/>
          <w:sz w:val="20"/>
          <w:szCs w:val="20"/>
        </w:rPr>
        <w:t xml:space="preserve">2.1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Is the APTC approach still relevant</w:t>
      </w:r>
      <w:r>
        <w:rPr>
          <w:rFonts w:ascii="Arial" w:hAnsi="Arial" w:cs="Arial"/>
          <w:noProof/>
          <w:sz w:val="20"/>
          <w:szCs w:val="20"/>
        </w:rPr>
        <w:t xml:space="preserve">, given current and projected </w:t>
      </w:r>
      <w:r w:rsidRPr="00FF51CD">
        <w:rPr>
          <w:rFonts w:ascii="Arial" w:hAnsi="Arial" w:cs="Arial"/>
          <w:noProof/>
          <w:sz w:val="20"/>
          <w:szCs w:val="20"/>
        </w:rPr>
        <w:t xml:space="preserve">conditions in the </w:t>
      </w:r>
      <w:r>
        <w:rPr>
          <w:rFonts w:ascii="Arial" w:hAnsi="Arial" w:cs="Arial"/>
          <w:noProof/>
          <w:sz w:val="20"/>
          <w:szCs w:val="20"/>
        </w:rPr>
        <w:br/>
      </w:r>
      <w:r w:rsidRPr="00FF51CD">
        <w:rPr>
          <w:rFonts w:ascii="Arial" w:hAnsi="Arial" w:cs="Arial"/>
          <w:noProof/>
          <w:sz w:val="20"/>
          <w:szCs w:val="20"/>
        </w:rPr>
        <w:t>Pacific and the international labour market?</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_Toc274909981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226</w:t>
      </w:r>
      <w:r w:rsidRPr="00FF51CD">
        <w:rPr>
          <w:rFonts w:ascii="Arial" w:hAnsi="Arial" w:cs="Arial"/>
          <w:noProof/>
          <w:sz w:val="20"/>
          <w:szCs w:val="20"/>
        </w:rPr>
        <w:fldChar w:fldCharType="end"/>
      </w:r>
    </w:p>
    <w:p w14:paraId="6BA3FE77" w14:textId="26F16D98" w:rsidR="00156DB9" w:rsidRPr="00FF51CD" w:rsidRDefault="00156DB9" w:rsidP="00156DB9">
      <w:pPr>
        <w:pStyle w:val="TOC2"/>
        <w:tabs>
          <w:tab w:val="left" w:pos="568"/>
          <w:tab w:val="right" w:leader="dot" w:pos="8489"/>
        </w:tabs>
        <w:ind w:left="400" w:hanging="400"/>
        <w:rPr>
          <w:rFonts w:ascii="Arial" w:eastAsiaTheme="minorEastAsia" w:hAnsi="Arial" w:cs="Arial"/>
          <w:noProof/>
          <w:sz w:val="20"/>
          <w:szCs w:val="20"/>
          <w:lang w:val="en-US" w:eastAsia="ja-JP"/>
        </w:rPr>
      </w:pPr>
      <w:r w:rsidRPr="00FF51CD">
        <w:rPr>
          <w:rFonts w:ascii="Arial" w:hAnsi="Arial" w:cs="Arial"/>
          <w:noProof/>
          <w:sz w:val="20"/>
          <w:szCs w:val="20"/>
        </w:rPr>
        <w:t xml:space="preserve">2.2 </w:t>
      </w:r>
      <w:r w:rsidRPr="00FF51CD">
        <w:rPr>
          <w:rFonts w:ascii="Arial" w:eastAsiaTheme="minorEastAsia" w:hAnsi="Arial" w:cs="Arial"/>
          <w:noProof/>
          <w:sz w:val="20"/>
          <w:szCs w:val="20"/>
          <w:lang w:val="en-US" w:eastAsia="ja-JP"/>
        </w:rPr>
        <w:tab/>
      </w:r>
      <w:r w:rsidRPr="00FF51CD">
        <w:rPr>
          <w:rFonts w:ascii="Arial" w:hAnsi="Arial" w:cs="Arial"/>
          <w:noProof/>
          <w:sz w:val="20"/>
          <w:szCs w:val="20"/>
        </w:rPr>
        <w:t>How sustainable is the current model e.</w:t>
      </w:r>
      <w:r>
        <w:rPr>
          <w:rFonts w:ascii="Arial" w:hAnsi="Arial" w:cs="Arial"/>
          <w:noProof/>
          <w:sz w:val="20"/>
          <w:szCs w:val="20"/>
        </w:rPr>
        <w:t xml:space="preserve">g. of providing international </w:t>
      </w:r>
      <w:r w:rsidRPr="00FF51CD">
        <w:rPr>
          <w:rFonts w:ascii="Arial" w:hAnsi="Arial" w:cs="Arial"/>
          <w:noProof/>
          <w:sz w:val="20"/>
          <w:szCs w:val="20"/>
        </w:rPr>
        <w:t xml:space="preserve">qualifications, </w:t>
      </w:r>
      <w:r>
        <w:rPr>
          <w:rFonts w:ascii="Arial" w:hAnsi="Arial" w:cs="Arial"/>
          <w:noProof/>
          <w:sz w:val="20"/>
          <w:szCs w:val="20"/>
        </w:rPr>
        <w:br/>
      </w:r>
      <w:r w:rsidRPr="00FF51CD">
        <w:rPr>
          <w:rFonts w:ascii="Arial" w:hAnsi="Arial" w:cs="Arial"/>
          <w:noProof/>
          <w:sz w:val="20"/>
          <w:szCs w:val="20"/>
        </w:rPr>
        <w:t>in relation to possible options?</w:t>
      </w:r>
      <w:r w:rsidRPr="00FF51CD">
        <w:rPr>
          <w:rFonts w:ascii="Arial" w:hAnsi="Arial" w:cs="Arial"/>
          <w:noProof/>
          <w:sz w:val="20"/>
          <w:szCs w:val="20"/>
        </w:rPr>
        <w:tab/>
      </w:r>
      <w:r w:rsidRPr="00FF51CD">
        <w:rPr>
          <w:rFonts w:ascii="Arial" w:hAnsi="Arial" w:cs="Arial"/>
          <w:noProof/>
          <w:sz w:val="20"/>
          <w:szCs w:val="20"/>
        </w:rPr>
        <w:fldChar w:fldCharType="begin"/>
      </w:r>
      <w:r w:rsidRPr="00FF51CD">
        <w:rPr>
          <w:rFonts w:ascii="Arial" w:hAnsi="Arial" w:cs="Arial"/>
          <w:noProof/>
          <w:sz w:val="20"/>
          <w:szCs w:val="20"/>
        </w:rPr>
        <w:instrText xml:space="preserve"> PAGEREF _Toc274909982 \h </w:instrText>
      </w:r>
      <w:r w:rsidRPr="00FF51CD">
        <w:rPr>
          <w:rFonts w:ascii="Arial" w:hAnsi="Arial" w:cs="Arial"/>
          <w:noProof/>
          <w:sz w:val="20"/>
          <w:szCs w:val="20"/>
        </w:rPr>
      </w:r>
      <w:r w:rsidRPr="00FF51CD">
        <w:rPr>
          <w:rFonts w:ascii="Arial" w:hAnsi="Arial" w:cs="Arial"/>
          <w:noProof/>
          <w:sz w:val="20"/>
          <w:szCs w:val="20"/>
        </w:rPr>
        <w:fldChar w:fldCharType="separate"/>
      </w:r>
      <w:r w:rsidR="00EA0B4D">
        <w:rPr>
          <w:rFonts w:ascii="Arial" w:hAnsi="Arial" w:cs="Arial"/>
          <w:noProof/>
          <w:sz w:val="20"/>
          <w:szCs w:val="20"/>
        </w:rPr>
        <w:t>227</w:t>
      </w:r>
      <w:r w:rsidRPr="00FF51CD">
        <w:rPr>
          <w:rFonts w:ascii="Arial" w:hAnsi="Arial" w:cs="Arial"/>
          <w:noProof/>
          <w:sz w:val="20"/>
          <w:szCs w:val="20"/>
        </w:rPr>
        <w:fldChar w:fldCharType="end"/>
      </w:r>
    </w:p>
    <w:p w14:paraId="016B8DDB" w14:textId="77777777" w:rsidR="00F70625" w:rsidRPr="005D1494" w:rsidRDefault="00F70625" w:rsidP="00441936">
      <w:pPr>
        <w:pStyle w:val="TOC1"/>
        <w:rPr>
          <w:rFonts w:asciiTheme="minorHAnsi" w:eastAsiaTheme="minorEastAsia" w:hAnsiTheme="minorHAnsi" w:cstheme="minorBidi"/>
          <w:sz w:val="24"/>
          <w:lang w:val="en-US" w:eastAsia="ja-JP"/>
        </w:rPr>
      </w:pPr>
      <w:r w:rsidRPr="005D1494">
        <w:t xml:space="preserve">3 </w:t>
      </w:r>
      <w:r w:rsidRPr="005D1494">
        <w:rPr>
          <w:rFonts w:asciiTheme="minorHAnsi" w:eastAsiaTheme="minorEastAsia" w:hAnsiTheme="minorHAnsi" w:cstheme="minorBidi"/>
          <w:sz w:val="24"/>
          <w:lang w:val="en-US" w:eastAsia="ja-JP"/>
        </w:rPr>
        <w:tab/>
      </w:r>
      <w:r w:rsidRPr="005D1494">
        <w:t>How well does APTC fit within DFAT policies on future aid to  the region?</w:t>
      </w:r>
      <w:r w:rsidRPr="005D1494">
        <w:tab/>
      </w:r>
      <w:r w:rsidRPr="005D1494">
        <w:fldChar w:fldCharType="begin"/>
      </w:r>
      <w:r w:rsidRPr="005D1494">
        <w:instrText xml:space="preserve"> PAGEREF _Toc278448004 \h </w:instrText>
      </w:r>
      <w:r w:rsidRPr="005D1494">
        <w:fldChar w:fldCharType="separate"/>
      </w:r>
      <w:r w:rsidR="00EA0B4D">
        <w:t>228</w:t>
      </w:r>
      <w:r w:rsidRPr="005D1494">
        <w:fldChar w:fldCharType="end"/>
      </w:r>
    </w:p>
    <w:p w14:paraId="72A3FF2A" w14:textId="75AB6CAC" w:rsidR="00F70625" w:rsidRPr="005D1494" w:rsidRDefault="00F70625" w:rsidP="00A023AF">
      <w:pPr>
        <w:pStyle w:val="TOC1"/>
        <w:ind w:left="351" w:hanging="351"/>
        <w:rPr>
          <w:rFonts w:asciiTheme="minorHAnsi" w:eastAsiaTheme="minorEastAsia" w:hAnsiTheme="minorHAnsi" w:cstheme="minorBidi"/>
          <w:sz w:val="24"/>
          <w:lang w:val="en-US" w:eastAsia="ja-JP"/>
        </w:rPr>
      </w:pPr>
      <w:r w:rsidRPr="005D1494">
        <w:t xml:space="preserve">4 </w:t>
      </w:r>
      <w:r w:rsidRPr="005D1494">
        <w:rPr>
          <w:rFonts w:asciiTheme="minorHAnsi" w:eastAsiaTheme="minorEastAsia" w:hAnsiTheme="minorHAnsi" w:cstheme="minorBidi"/>
          <w:sz w:val="24"/>
          <w:lang w:val="en-US" w:eastAsia="ja-JP"/>
        </w:rPr>
        <w:tab/>
      </w:r>
      <w:r w:rsidRPr="005D1494">
        <w:t xml:space="preserve">What key principles and lessons should guide decisions about the future </w:t>
      </w:r>
      <w:r w:rsidR="00E2341C">
        <w:br/>
      </w:r>
      <w:r w:rsidRPr="005D1494">
        <w:t>of APTC?</w:t>
      </w:r>
      <w:r w:rsidRPr="005D1494">
        <w:tab/>
      </w:r>
      <w:r w:rsidRPr="005D1494">
        <w:fldChar w:fldCharType="begin"/>
      </w:r>
      <w:r w:rsidRPr="005D1494">
        <w:instrText xml:space="preserve"> PAGEREF _Toc278448005 \h </w:instrText>
      </w:r>
      <w:r w:rsidRPr="005D1494">
        <w:fldChar w:fldCharType="separate"/>
      </w:r>
      <w:r w:rsidR="00EA0B4D">
        <w:t>230</w:t>
      </w:r>
      <w:r w:rsidRPr="005D1494">
        <w:fldChar w:fldCharType="end"/>
      </w:r>
    </w:p>
    <w:p w14:paraId="46499F63" w14:textId="4C74FF9D" w:rsidR="00CF0750" w:rsidRPr="00E2341C" w:rsidRDefault="00E2341C" w:rsidP="00441936">
      <w:pPr>
        <w:pStyle w:val="TOC1"/>
        <w:rPr>
          <w:rFonts w:asciiTheme="minorHAnsi" w:eastAsiaTheme="minorEastAsia" w:hAnsiTheme="minorHAnsi" w:cstheme="minorBidi"/>
          <w:sz w:val="24"/>
          <w:lang w:val="en-US" w:eastAsia="ja-JP"/>
        </w:rPr>
      </w:pPr>
      <w:r w:rsidRPr="00E2341C">
        <w:t xml:space="preserve">5 </w:t>
      </w:r>
      <w:r w:rsidRPr="00E2341C">
        <w:rPr>
          <w:rFonts w:asciiTheme="minorHAnsi" w:eastAsiaTheme="minorEastAsia" w:hAnsiTheme="minorHAnsi" w:cstheme="minorBidi"/>
          <w:sz w:val="24"/>
          <w:lang w:val="en-US" w:eastAsia="ja-JP"/>
        </w:rPr>
        <w:tab/>
      </w:r>
      <w:r w:rsidRPr="00E2341C">
        <w:t>What would success look like in the long term for APTC?</w:t>
      </w:r>
      <w:r w:rsidRPr="00E2341C">
        <w:tab/>
      </w:r>
      <w:r w:rsidRPr="00E2341C">
        <w:fldChar w:fldCharType="begin"/>
      </w:r>
      <w:r w:rsidRPr="00E2341C">
        <w:instrText xml:space="preserve"> PAGEREF _Toc278448006 \h </w:instrText>
      </w:r>
      <w:r w:rsidRPr="00E2341C">
        <w:fldChar w:fldCharType="separate"/>
      </w:r>
      <w:r w:rsidR="00EA0B4D">
        <w:t>233</w:t>
      </w:r>
      <w:r w:rsidRPr="00E2341C">
        <w:fldChar w:fldCharType="end"/>
      </w:r>
      <w:r w:rsidR="00CF0750">
        <w:br/>
      </w:r>
      <w:r w:rsidR="00CF0750" w:rsidRPr="00E2341C">
        <w:t>5.1</w:t>
      </w:r>
      <w:r w:rsidR="00CF0750" w:rsidRPr="00E2341C">
        <w:tab/>
        <w:t>Seven long-term options for APTC</w:t>
      </w:r>
      <w:r w:rsidR="00CF0750" w:rsidRPr="00E2341C">
        <w:tab/>
        <w:t>223</w:t>
      </w:r>
    </w:p>
    <w:p w14:paraId="6935DF36" w14:textId="77777777" w:rsidR="00156DB9" w:rsidRDefault="00156DB9" w:rsidP="000C561B">
      <w:pPr>
        <w:rPr>
          <w:b/>
        </w:rPr>
      </w:pPr>
    </w:p>
    <w:p w14:paraId="7343A82A" w14:textId="77777777" w:rsidR="000D7856" w:rsidRPr="00BF7E2D" w:rsidRDefault="000D7856" w:rsidP="000D7856">
      <w:pPr>
        <w:pStyle w:val="TableofFigures"/>
        <w:tabs>
          <w:tab w:val="right" w:leader="dot" w:pos="8489"/>
        </w:tabs>
        <w:rPr>
          <w:rFonts w:asciiTheme="minorHAnsi" w:eastAsiaTheme="minorEastAsia" w:hAnsiTheme="minorHAnsi" w:cstheme="minorBidi"/>
          <w:noProof/>
          <w:lang w:val="en-US" w:eastAsia="ja-JP"/>
        </w:rPr>
      </w:pPr>
      <w:r w:rsidRPr="00BF7E2D">
        <w:rPr>
          <w:noProof/>
          <w:sz w:val="20"/>
        </w:rPr>
        <w:t>Figure 1: A new strategic framework for the Australian aid program</w:t>
      </w:r>
      <w:r w:rsidRPr="00BF7E2D">
        <w:rPr>
          <w:noProof/>
          <w:sz w:val="20"/>
        </w:rPr>
        <w:tab/>
      </w:r>
      <w:r w:rsidRPr="00BF7E2D">
        <w:rPr>
          <w:noProof/>
          <w:sz w:val="20"/>
        </w:rPr>
        <w:fldChar w:fldCharType="begin"/>
      </w:r>
      <w:r w:rsidRPr="00BF7E2D">
        <w:rPr>
          <w:noProof/>
          <w:sz w:val="20"/>
        </w:rPr>
        <w:instrText xml:space="preserve"> PAGEREF _Toc274916035 \h </w:instrText>
      </w:r>
      <w:r w:rsidRPr="00BF7E2D">
        <w:rPr>
          <w:noProof/>
          <w:sz w:val="20"/>
        </w:rPr>
      </w:r>
      <w:r w:rsidRPr="00BF7E2D">
        <w:rPr>
          <w:noProof/>
          <w:sz w:val="20"/>
        </w:rPr>
        <w:fldChar w:fldCharType="separate"/>
      </w:r>
      <w:r w:rsidR="00EA0B4D">
        <w:rPr>
          <w:noProof/>
          <w:sz w:val="20"/>
        </w:rPr>
        <w:t>228</w:t>
      </w:r>
      <w:r w:rsidRPr="00BF7E2D">
        <w:rPr>
          <w:noProof/>
          <w:sz w:val="20"/>
        </w:rPr>
        <w:fldChar w:fldCharType="end"/>
      </w:r>
    </w:p>
    <w:p w14:paraId="05973B7D" w14:textId="77777777" w:rsidR="000D7856" w:rsidRPr="00BF7E2D" w:rsidRDefault="000D7856" w:rsidP="000D7856">
      <w:pPr>
        <w:pStyle w:val="TableofFigures"/>
        <w:tabs>
          <w:tab w:val="right" w:leader="dot" w:pos="8489"/>
        </w:tabs>
        <w:rPr>
          <w:rFonts w:asciiTheme="minorHAnsi" w:eastAsiaTheme="minorEastAsia" w:hAnsiTheme="minorHAnsi" w:cstheme="minorBidi"/>
          <w:noProof/>
          <w:lang w:val="en-US" w:eastAsia="ja-JP"/>
        </w:rPr>
      </w:pPr>
      <w:r w:rsidRPr="00BF7E2D">
        <w:rPr>
          <w:rFonts w:eastAsia="Calibri"/>
          <w:noProof/>
          <w:sz w:val="20"/>
        </w:rPr>
        <w:t>Table 1: Long-term structural options for APTC</w:t>
      </w:r>
      <w:r w:rsidRPr="00BF7E2D">
        <w:rPr>
          <w:noProof/>
          <w:sz w:val="20"/>
        </w:rPr>
        <w:tab/>
      </w:r>
      <w:r w:rsidRPr="00BF7E2D">
        <w:rPr>
          <w:noProof/>
          <w:sz w:val="20"/>
        </w:rPr>
        <w:fldChar w:fldCharType="begin"/>
      </w:r>
      <w:r w:rsidRPr="00BF7E2D">
        <w:rPr>
          <w:noProof/>
          <w:sz w:val="20"/>
        </w:rPr>
        <w:instrText xml:space="preserve"> PAGEREF _Toc274916036 \h </w:instrText>
      </w:r>
      <w:r w:rsidRPr="00BF7E2D">
        <w:rPr>
          <w:noProof/>
          <w:sz w:val="20"/>
        </w:rPr>
      </w:r>
      <w:r w:rsidRPr="00BF7E2D">
        <w:rPr>
          <w:noProof/>
          <w:sz w:val="20"/>
        </w:rPr>
        <w:fldChar w:fldCharType="separate"/>
      </w:r>
      <w:r w:rsidR="00EA0B4D">
        <w:rPr>
          <w:noProof/>
          <w:sz w:val="20"/>
        </w:rPr>
        <w:t>234</w:t>
      </w:r>
      <w:r w:rsidRPr="00BF7E2D">
        <w:rPr>
          <w:noProof/>
          <w:sz w:val="20"/>
        </w:rPr>
        <w:fldChar w:fldCharType="end"/>
      </w:r>
    </w:p>
    <w:p w14:paraId="15D1D100" w14:textId="77777777" w:rsidR="000D7856" w:rsidRPr="00BF7E2D" w:rsidRDefault="000D7856" w:rsidP="000D7856">
      <w:pPr>
        <w:pStyle w:val="TableofFigures"/>
        <w:tabs>
          <w:tab w:val="right" w:leader="dot" w:pos="8489"/>
        </w:tabs>
        <w:rPr>
          <w:rFonts w:asciiTheme="minorHAnsi" w:eastAsiaTheme="minorEastAsia" w:hAnsiTheme="minorHAnsi" w:cstheme="minorBidi"/>
          <w:noProof/>
          <w:lang w:val="en-US" w:eastAsia="ja-JP"/>
        </w:rPr>
      </w:pPr>
      <w:r w:rsidRPr="00BF7E2D">
        <w:rPr>
          <w:rFonts w:eastAsia="Calibri"/>
          <w:noProof/>
          <w:sz w:val="20"/>
        </w:rPr>
        <w:t>Table 2: The change of roles envisaged for APTC</w:t>
      </w:r>
      <w:r w:rsidRPr="00BF7E2D">
        <w:rPr>
          <w:noProof/>
          <w:sz w:val="20"/>
        </w:rPr>
        <w:tab/>
      </w:r>
      <w:r w:rsidRPr="00BF7E2D">
        <w:rPr>
          <w:noProof/>
          <w:sz w:val="20"/>
        </w:rPr>
        <w:fldChar w:fldCharType="begin"/>
      </w:r>
      <w:r w:rsidRPr="00BF7E2D">
        <w:rPr>
          <w:noProof/>
          <w:sz w:val="20"/>
        </w:rPr>
        <w:instrText xml:space="preserve"> PAGEREF _Toc274916037 \h </w:instrText>
      </w:r>
      <w:r w:rsidRPr="00BF7E2D">
        <w:rPr>
          <w:noProof/>
          <w:sz w:val="20"/>
        </w:rPr>
      </w:r>
      <w:r w:rsidRPr="00BF7E2D">
        <w:rPr>
          <w:noProof/>
          <w:sz w:val="20"/>
        </w:rPr>
        <w:fldChar w:fldCharType="separate"/>
      </w:r>
      <w:r w:rsidR="00EA0B4D">
        <w:rPr>
          <w:noProof/>
          <w:sz w:val="20"/>
        </w:rPr>
        <w:t>237</w:t>
      </w:r>
      <w:r w:rsidRPr="00BF7E2D">
        <w:rPr>
          <w:noProof/>
          <w:sz w:val="20"/>
        </w:rPr>
        <w:fldChar w:fldCharType="end"/>
      </w:r>
    </w:p>
    <w:p w14:paraId="54D4656B" w14:textId="77777777" w:rsidR="000D7856" w:rsidRPr="000C561B" w:rsidRDefault="000D7856" w:rsidP="000C561B">
      <w:pPr>
        <w:rPr>
          <w:b/>
        </w:rPr>
      </w:pPr>
    </w:p>
    <w:p w14:paraId="0A3DF6FF" w14:textId="77777777" w:rsidR="009B4045" w:rsidRPr="006A460D" w:rsidRDefault="000C561B" w:rsidP="000668BA">
      <w:pPr>
        <w:pStyle w:val="Heading1"/>
        <w:numPr>
          <w:ilvl w:val="0"/>
          <w:numId w:val="63"/>
        </w:numPr>
        <w:ind w:left="851" w:hanging="851"/>
      </w:pPr>
      <w:bookmarkStart w:id="1227" w:name="_Toc278447998"/>
      <w:bookmarkStart w:id="1228" w:name="_Toc278453471"/>
      <w:r>
        <w:t>Short t</w:t>
      </w:r>
      <w:r w:rsidR="009B4045" w:rsidRPr="006A460D">
        <w:t xml:space="preserve">erm: What could be done to strengthen APTC until the end of Stage </w:t>
      </w:r>
      <w:r w:rsidR="00F101E9">
        <w:t>II</w:t>
      </w:r>
      <w:r w:rsidR="009B4045" w:rsidRPr="006A460D">
        <w:t>?</w:t>
      </w:r>
      <w:bookmarkEnd w:id="1227"/>
      <w:bookmarkEnd w:id="1228"/>
      <w:r w:rsidR="009B4045" w:rsidRPr="006A460D">
        <w:t xml:space="preserve"> </w:t>
      </w:r>
    </w:p>
    <w:p w14:paraId="063955D4" w14:textId="77777777" w:rsidR="009B4045" w:rsidRPr="006A460D" w:rsidRDefault="009B4045" w:rsidP="000C561B">
      <w:r w:rsidRPr="006A460D">
        <w:t xml:space="preserve">Several actions could be taken to strengthen APTC until the end of Stage </w:t>
      </w:r>
      <w:r w:rsidR="004C4B81">
        <w:t>II</w:t>
      </w:r>
      <w:r w:rsidR="000A58E4" w:rsidRPr="006A460D">
        <w:t xml:space="preserve"> </w:t>
      </w:r>
      <w:r w:rsidRPr="006A460D">
        <w:t xml:space="preserve">and in preparation for any continuation. These can be divided into those </w:t>
      </w:r>
      <w:r w:rsidR="000A58E4">
        <w:t xml:space="preserve">actions </w:t>
      </w:r>
      <w:r w:rsidRPr="006A460D">
        <w:t>that could be undertaken by APTC and those that could be undertaken by DFAT.</w:t>
      </w:r>
    </w:p>
    <w:p w14:paraId="609E5A8A" w14:textId="05876A1A" w:rsidR="003D355F" w:rsidRDefault="002F6A41" w:rsidP="002028A6">
      <w:pPr>
        <w:pStyle w:val="Heading2"/>
      </w:pPr>
      <w:bookmarkStart w:id="1229" w:name="_Toc274145207"/>
      <w:bookmarkStart w:id="1230" w:name="_Toc274900590"/>
      <w:bookmarkStart w:id="1231" w:name="_Toc274909978"/>
      <w:bookmarkStart w:id="1232" w:name="_Toc278447999"/>
      <w:bookmarkStart w:id="1233" w:name="_Toc278453472"/>
      <w:r>
        <w:t xml:space="preserve">1.1 </w:t>
      </w:r>
      <w:r w:rsidR="002750AF">
        <w:tab/>
      </w:r>
      <w:r w:rsidR="009B4045" w:rsidRPr="006A460D">
        <w:t>Actions that could be undertaken by APTC</w:t>
      </w:r>
      <w:bookmarkEnd w:id="1229"/>
      <w:bookmarkEnd w:id="1230"/>
      <w:bookmarkEnd w:id="1231"/>
      <w:bookmarkEnd w:id="1232"/>
      <w:bookmarkEnd w:id="1233"/>
    </w:p>
    <w:p w14:paraId="360446A3" w14:textId="77777777" w:rsidR="009B4045" w:rsidRDefault="009B4045" w:rsidP="000C561B">
      <w:r w:rsidRPr="000C561B">
        <w:t>The</w:t>
      </w:r>
      <w:r w:rsidRPr="006A460D">
        <w:t xml:space="preserve"> following actions by APTC would strengthen its operations until the end of Stage </w:t>
      </w:r>
      <w:r w:rsidR="00FC7F7E">
        <w:t>II.</w:t>
      </w:r>
    </w:p>
    <w:p w14:paraId="5D16A145" w14:textId="67449D37" w:rsidR="009B4045" w:rsidRPr="000C561B" w:rsidRDefault="00546F37" w:rsidP="000C561B">
      <w:pPr>
        <w:pStyle w:val="ListParagraph"/>
        <w:spacing w:after="80"/>
        <w:ind w:left="714" w:hanging="357"/>
        <w:contextualSpacing w:val="0"/>
      </w:pPr>
      <w:r w:rsidRPr="00546F37">
        <w:rPr>
          <w:b/>
        </w:rPr>
        <w:t>Continue the process of eliminating duplication in the organisational structure</w:t>
      </w:r>
      <w:r w:rsidR="00281C39">
        <w:rPr>
          <w:b/>
        </w:rPr>
        <w:t xml:space="preserve">: </w:t>
      </w:r>
      <w:r w:rsidR="009B4045" w:rsidRPr="000C561B">
        <w:t>At the time of the field visits</w:t>
      </w:r>
      <w:r w:rsidR="00FC7F7E">
        <w:t>,</w:t>
      </w:r>
      <w:r w:rsidR="009B4045" w:rsidRPr="000C561B">
        <w:t xml:space="preserve"> APTC was taking steps, through the consortium and as vacancies arose, to eliminate duplication.</w:t>
      </w:r>
    </w:p>
    <w:p w14:paraId="4835CDE6" w14:textId="77777777" w:rsidR="009B4045" w:rsidRPr="000C561B" w:rsidRDefault="00546F37" w:rsidP="000C561B">
      <w:pPr>
        <w:pStyle w:val="ListParagraph"/>
        <w:spacing w:after="80"/>
        <w:ind w:left="714" w:hanging="357"/>
        <w:contextualSpacing w:val="0"/>
      </w:pPr>
      <w:r w:rsidRPr="00546F37">
        <w:rPr>
          <w:b/>
        </w:rPr>
        <w:t>Commence the development of a Risk Management Plan for the Nationalisation Strategy</w:t>
      </w:r>
      <w:r w:rsidR="00281C39">
        <w:t xml:space="preserve">: </w:t>
      </w:r>
      <w:r w:rsidRPr="00950268">
        <w:t>Annex 6</w:t>
      </w:r>
      <w:r w:rsidR="009B4045" w:rsidRPr="006360E3">
        <w:t xml:space="preserve"> outlines</w:t>
      </w:r>
      <w:r w:rsidR="009B4045" w:rsidRPr="000C561B">
        <w:t xml:space="preserve"> some of the risks associated with nationalisation of the </w:t>
      </w:r>
      <w:r w:rsidR="009B4045" w:rsidRPr="00FE6DA2">
        <w:t>management and teaching</w:t>
      </w:r>
      <w:r w:rsidR="009B4045" w:rsidRPr="000C561B">
        <w:t xml:space="preserve"> staff. Addressing those risks should not be postponed, particularly providing appropriate support for national trainers where they are working without an equivalent expatriate trainer and to balancing the ratio of expatriate trainers to national trainers as the training profile changes over time.  </w:t>
      </w:r>
    </w:p>
    <w:p w14:paraId="5328D7BB" w14:textId="76BF5F27" w:rsidR="003D355F" w:rsidRDefault="00546F37">
      <w:pPr>
        <w:pStyle w:val="ListParagraph"/>
        <w:spacing w:after="80"/>
        <w:ind w:left="714" w:hanging="357"/>
        <w:contextualSpacing w:val="0"/>
      </w:pPr>
      <w:r w:rsidRPr="00546F37">
        <w:rPr>
          <w:b/>
        </w:rPr>
        <w:t xml:space="preserve">Complete the Review of APTC-to-Work: </w:t>
      </w:r>
      <w:r w:rsidR="009B4045" w:rsidRPr="000C561B">
        <w:t>The 2013</w:t>
      </w:r>
      <w:r w:rsidR="0026675E">
        <w:t>–</w:t>
      </w:r>
      <w:r w:rsidR="009B4045" w:rsidRPr="000C561B">
        <w:t>14 Annual Report and Plan projected that this review would be complete by April 2014. This had not occurred by the time of the field visits. The role of APTC-to-</w:t>
      </w:r>
      <w:r w:rsidR="00DC5C7D">
        <w:t>W</w:t>
      </w:r>
      <w:r w:rsidR="00E907B9" w:rsidRPr="000C561B">
        <w:t xml:space="preserve">ork </w:t>
      </w:r>
      <w:r w:rsidR="009B4045" w:rsidRPr="000C561B">
        <w:t>tutors is critical and when performed well, has a significant impact. The tutors should be integrated with the teaching staff. The review should include the issue of how to develop and maintain a database of employers interested in employing APTC graduates and in providing work placements. It should also include the issue of how best to provide more support to unemployed graduates to find work matched to their skills.</w:t>
      </w:r>
    </w:p>
    <w:p w14:paraId="60E8FF57" w14:textId="77777777" w:rsidR="003D355F" w:rsidRDefault="00546F37">
      <w:pPr>
        <w:pStyle w:val="ListParagraph"/>
        <w:spacing w:after="80"/>
        <w:ind w:left="714" w:hanging="357"/>
        <w:contextualSpacing w:val="0"/>
      </w:pPr>
      <w:r w:rsidRPr="00546F37">
        <w:rPr>
          <w:b/>
        </w:rPr>
        <w:t xml:space="preserve">Address communication problems with staff: </w:t>
      </w:r>
      <w:r w:rsidR="009B4045" w:rsidRPr="000C561B">
        <w:t xml:space="preserve">Evidence arose during the field visits of some </w:t>
      </w:r>
      <w:r w:rsidR="00F96122" w:rsidRPr="000C561B">
        <w:t>dissatisfact</w:t>
      </w:r>
      <w:r w:rsidR="00F96122">
        <w:t>ion</w:t>
      </w:r>
      <w:r w:rsidR="00F96122" w:rsidRPr="000C561B">
        <w:t xml:space="preserve"> </w:t>
      </w:r>
      <w:r w:rsidR="009B4045" w:rsidRPr="000C561B">
        <w:t xml:space="preserve">among small pockets of staff, much of which seemed to be related to communication. There are dangers that poor communication could endanger a smooth transition to a subsequent stage. </w:t>
      </w:r>
    </w:p>
    <w:p w14:paraId="6598A7B6" w14:textId="77777777" w:rsidR="009B4045" w:rsidRPr="000C561B" w:rsidRDefault="00546F37" w:rsidP="000C561B">
      <w:pPr>
        <w:pStyle w:val="ListParagraph"/>
        <w:spacing w:after="80"/>
        <w:ind w:left="714" w:hanging="357"/>
        <w:contextualSpacing w:val="0"/>
      </w:pPr>
      <w:r w:rsidRPr="00546F37">
        <w:rPr>
          <w:b/>
        </w:rPr>
        <w:t>Update the APTC website</w:t>
      </w:r>
      <w:r w:rsidR="009B4045" w:rsidRPr="000C561B">
        <w:t xml:space="preserve"> with information about APTC qualifications and eligibility for migration</w:t>
      </w:r>
      <w:r w:rsidR="00406153">
        <w:t>,</w:t>
      </w:r>
      <w:r w:rsidR="009B4045" w:rsidRPr="000C561B">
        <w:t xml:space="preserve"> and provide appropriate links to agencies conducting skills assessment for Australia and New Zealand</w:t>
      </w:r>
      <w:r w:rsidR="00406153">
        <w:t>. Also</w:t>
      </w:r>
      <w:r w:rsidR="009B4045" w:rsidRPr="000C561B">
        <w:t xml:space="preserve"> provide relevant information to alumni networks in each country and support to help them disseminate information </w:t>
      </w:r>
      <w:r w:rsidR="00B367F1" w:rsidRPr="000C561B">
        <w:t xml:space="preserve">to graduates </w:t>
      </w:r>
      <w:r w:rsidR="009B4045" w:rsidRPr="000C561B">
        <w:t>on the requirements of the migration process.</w:t>
      </w:r>
    </w:p>
    <w:p w14:paraId="2C66DBAB" w14:textId="498EF813" w:rsidR="003D355F" w:rsidRDefault="002F6A41" w:rsidP="002028A6">
      <w:pPr>
        <w:pStyle w:val="Heading2"/>
      </w:pPr>
      <w:bookmarkStart w:id="1234" w:name="_Toc274145208"/>
      <w:bookmarkStart w:id="1235" w:name="_Toc274900591"/>
      <w:bookmarkStart w:id="1236" w:name="_Toc274909979"/>
      <w:bookmarkStart w:id="1237" w:name="_Toc278448000"/>
      <w:bookmarkStart w:id="1238" w:name="_Toc278453473"/>
      <w:r>
        <w:t xml:space="preserve">1.2 </w:t>
      </w:r>
      <w:r w:rsidR="002750AF">
        <w:tab/>
      </w:r>
      <w:r w:rsidR="009B4045" w:rsidRPr="006A460D">
        <w:t>Actions that could be undertaken by DFAT</w:t>
      </w:r>
      <w:bookmarkEnd w:id="1234"/>
      <w:bookmarkEnd w:id="1235"/>
      <w:bookmarkEnd w:id="1236"/>
      <w:bookmarkEnd w:id="1237"/>
      <w:bookmarkEnd w:id="1238"/>
    </w:p>
    <w:p w14:paraId="0105EDD7" w14:textId="77777777" w:rsidR="009B4045" w:rsidRPr="006A460D" w:rsidRDefault="009B4045" w:rsidP="00AB5F08">
      <w:r w:rsidRPr="006A460D">
        <w:t xml:space="preserve">The </w:t>
      </w:r>
      <w:r w:rsidRPr="00AB5F08">
        <w:t>following</w:t>
      </w:r>
      <w:r w:rsidRPr="006A460D">
        <w:t xml:space="preserve"> actions by DFAT would strengthen APTC operations until the end of Stage II</w:t>
      </w:r>
      <w:r w:rsidR="00A87D12">
        <w:t>.</w:t>
      </w:r>
    </w:p>
    <w:p w14:paraId="5B8205DB" w14:textId="553D3BEB" w:rsidR="003D355F" w:rsidRDefault="00546F37" w:rsidP="000668BA">
      <w:pPr>
        <w:pStyle w:val="ListParagraph"/>
        <w:numPr>
          <w:ilvl w:val="0"/>
          <w:numId w:val="59"/>
        </w:numPr>
        <w:spacing w:after="80"/>
        <w:contextualSpacing w:val="0"/>
        <w:rPr>
          <w:b/>
        </w:rPr>
      </w:pPr>
      <w:r w:rsidRPr="00546F37">
        <w:rPr>
          <w:b/>
        </w:rPr>
        <w:t>Institute a consultative process to develop (a) a regional TVET strategy, and, within it, (b) a long</w:t>
      </w:r>
      <w:r w:rsidR="00297298">
        <w:rPr>
          <w:b/>
        </w:rPr>
        <w:t>-</w:t>
      </w:r>
      <w:r w:rsidRPr="00546F37">
        <w:rPr>
          <w:b/>
        </w:rPr>
        <w:t xml:space="preserve">term vision for APTC. </w:t>
      </w:r>
      <w:r w:rsidR="009B4045" w:rsidRPr="00AB5F08">
        <w:t>In light of the forthcoming shift of DFAT responsibility for APTC from Fiji to Canberra, this consultative process should take a country focus and involve DFAT posts involved with bilateral TVET programs. This would allow any future vision for APTC to be more closely inter-connected with bilateral programs. An important focus should be to identify</w:t>
      </w:r>
      <w:r w:rsidR="00297298">
        <w:t>,</w:t>
      </w:r>
      <w:r w:rsidR="009B4045" w:rsidRPr="00AB5F08">
        <w:t xml:space="preserve"> from DFAT programs and other donors</w:t>
      </w:r>
      <w:r w:rsidR="00297298">
        <w:t>,</w:t>
      </w:r>
      <w:r w:rsidR="009B4045" w:rsidRPr="00AB5F08">
        <w:t xml:space="preserve"> potential and likely sources of demand for APTC training. There is also an opportunity to engage national g</w:t>
      </w:r>
      <w:r w:rsidR="00297298">
        <w:t>overnments and industry parties</w:t>
      </w:r>
      <w:r w:rsidR="009B4045" w:rsidRPr="00AB5F08">
        <w:t xml:space="preserve"> to gain commitment and ‘buy-in’ for APTC’s future, within the context of DFAT’s wider regional TVET strategy.</w:t>
      </w:r>
    </w:p>
    <w:p w14:paraId="2627779B" w14:textId="5DECF4F7" w:rsidR="003D355F" w:rsidRPr="00525299" w:rsidRDefault="00546F37" w:rsidP="000668BA">
      <w:pPr>
        <w:pStyle w:val="ListParagraph"/>
        <w:numPr>
          <w:ilvl w:val="0"/>
          <w:numId w:val="59"/>
        </w:numPr>
        <w:spacing w:after="80"/>
        <w:contextualSpacing w:val="0"/>
      </w:pPr>
      <w:r w:rsidRPr="00525299">
        <w:rPr>
          <w:b/>
        </w:rPr>
        <w:t>Start the design of a new M&amp;E system</w:t>
      </w:r>
      <w:r w:rsidR="009B4045" w:rsidRPr="00525299">
        <w:t xml:space="preserve"> to identify economic impact of APTC’s outputs. </w:t>
      </w:r>
      <w:r w:rsidR="00985789">
        <w:t>Annex 8 (Attachment 1)</w:t>
      </w:r>
      <w:r w:rsidR="009B4045" w:rsidRPr="00525299">
        <w:t xml:space="preserve"> indicates the types of information that need to be collected. </w:t>
      </w:r>
    </w:p>
    <w:p w14:paraId="53243A77" w14:textId="77777777" w:rsidR="003D355F" w:rsidRDefault="00546F37" w:rsidP="000668BA">
      <w:pPr>
        <w:pStyle w:val="ListParagraph"/>
        <w:numPr>
          <w:ilvl w:val="0"/>
          <w:numId w:val="59"/>
        </w:numPr>
        <w:spacing w:after="80"/>
        <w:contextualSpacing w:val="0"/>
        <w:rPr>
          <w:rFonts w:cs="Arial"/>
          <w:bCs/>
          <w:color w:val="FF0000"/>
        </w:rPr>
      </w:pPr>
      <w:r w:rsidRPr="008E7579">
        <w:rPr>
          <w:b/>
        </w:rPr>
        <w:t>Engage with Australian immigration authorities</w:t>
      </w:r>
      <w:r w:rsidR="009B4045" w:rsidRPr="008E7579">
        <w:t xml:space="preserve"> to determine how DFAT can support APTC to provide a coordinated approach to promoting labour mobility in the Pacific.</w:t>
      </w:r>
      <w:r w:rsidR="00F0626F" w:rsidRPr="008E7579">
        <w:t xml:space="preserve"> </w:t>
      </w:r>
      <w:r w:rsidR="009B4045" w:rsidRPr="008E7579">
        <w:rPr>
          <w:rFonts w:cs="Arial"/>
          <w:bCs/>
        </w:rPr>
        <w:t>Surveys undertaken with students during the field visit revealed that</w:t>
      </w:r>
      <w:r w:rsidR="009B4045" w:rsidRPr="00F0626F">
        <w:rPr>
          <w:rFonts w:cs="Arial"/>
          <w:bCs/>
        </w:rPr>
        <w:t xml:space="preserve"> m</w:t>
      </w:r>
      <w:r w:rsidR="009B4045" w:rsidRPr="00F0626F">
        <w:rPr>
          <w:rFonts w:eastAsia="Calibri" w:cs="Arial"/>
        </w:rPr>
        <w:t xml:space="preserve">ost APTC students are planning to migrate (64 per cent) or have taken steps to do so (18 per cent) with most setting their sights on Australia. The gaining of an Australian qualification raises expectations in this regard and it is important that APTC is in a position to provide accurate information and appropriate support to students about how to realise the opportunity to migrate for work. </w:t>
      </w:r>
      <w:r w:rsidR="00D23049">
        <w:rPr>
          <w:rFonts w:eastAsia="Calibri" w:cs="Arial"/>
        </w:rPr>
        <w:br/>
      </w:r>
    </w:p>
    <w:p w14:paraId="2FE3DA2C" w14:textId="0CCFD1A3" w:rsidR="003D355F" w:rsidRDefault="002F6A41" w:rsidP="002028A6">
      <w:pPr>
        <w:pStyle w:val="Heading1"/>
      </w:pPr>
      <w:bookmarkStart w:id="1239" w:name="_Toc278448001"/>
      <w:bookmarkStart w:id="1240" w:name="_Toc278453474"/>
      <w:r>
        <w:t xml:space="preserve">2 </w:t>
      </w:r>
      <w:r w:rsidR="002750AF">
        <w:tab/>
      </w:r>
      <w:r w:rsidR="009B4045" w:rsidRPr="006A460D">
        <w:t>Medium to long term: In what form and under what conditions could APTC continue beyond 2015?</w:t>
      </w:r>
      <w:bookmarkEnd w:id="1239"/>
      <w:bookmarkEnd w:id="1240"/>
    </w:p>
    <w:p w14:paraId="533595E3" w14:textId="77777777" w:rsidR="009B4045" w:rsidRPr="006A460D" w:rsidRDefault="009B4045" w:rsidP="00D226C4">
      <w:r w:rsidRPr="006A460D">
        <w:t xml:space="preserve">APTC remains relevant in the medium term but the current model is not sustainable and other </w:t>
      </w:r>
      <w:r w:rsidRPr="00D226C4">
        <w:t>options</w:t>
      </w:r>
      <w:r w:rsidRPr="006A460D">
        <w:t xml:space="preserve"> need to be considered for APTC in the longer term. </w:t>
      </w:r>
    </w:p>
    <w:p w14:paraId="49C3FF61" w14:textId="68B90FFE" w:rsidR="003D355F" w:rsidRDefault="002F6A41" w:rsidP="002028A6">
      <w:pPr>
        <w:pStyle w:val="Heading2"/>
      </w:pPr>
      <w:bookmarkStart w:id="1241" w:name="_Toc274145210"/>
      <w:bookmarkStart w:id="1242" w:name="_Toc274900593"/>
      <w:bookmarkStart w:id="1243" w:name="_Toc274909981"/>
      <w:bookmarkStart w:id="1244" w:name="_Toc278448002"/>
      <w:bookmarkStart w:id="1245" w:name="_Toc278453475"/>
      <w:r>
        <w:t xml:space="preserve">2.1 </w:t>
      </w:r>
      <w:r w:rsidR="002750AF">
        <w:tab/>
      </w:r>
      <w:r w:rsidR="009B4045" w:rsidRPr="006A460D">
        <w:t xml:space="preserve">Is the APTC approach still relevant, given current and projected </w:t>
      </w:r>
      <w:r w:rsidR="002750AF">
        <w:br/>
      </w:r>
      <w:r w:rsidR="002750AF">
        <w:tab/>
      </w:r>
      <w:r w:rsidR="009B4045" w:rsidRPr="006A460D">
        <w:t>conditions in the Pacific and the international labour market?</w:t>
      </w:r>
      <w:bookmarkEnd w:id="1241"/>
      <w:bookmarkEnd w:id="1242"/>
      <w:bookmarkEnd w:id="1243"/>
      <w:bookmarkEnd w:id="1244"/>
      <w:bookmarkEnd w:id="1245"/>
    </w:p>
    <w:p w14:paraId="7F2904E0" w14:textId="77777777" w:rsidR="009B4045" w:rsidRPr="006A460D" w:rsidRDefault="009B4045" w:rsidP="009B4045">
      <w:pPr>
        <w:rPr>
          <w:rFonts w:cs="Arial"/>
        </w:rPr>
      </w:pPr>
      <w:r w:rsidRPr="006A460D">
        <w:rPr>
          <w:rFonts w:cs="Arial"/>
        </w:rPr>
        <w:t xml:space="preserve">The current APTC approach </w:t>
      </w:r>
      <w:r>
        <w:rPr>
          <w:rFonts w:cs="Arial"/>
        </w:rPr>
        <w:t xml:space="preserve">has strengths and weaknesses, as </w:t>
      </w:r>
      <w:r w:rsidR="008840B2">
        <w:rPr>
          <w:rFonts w:cs="Arial"/>
        </w:rPr>
        <w:t>listed below.</w:t>
      </w:r>
      <w:r w:rsidRPr="006A460D">
        <w:rPr>
          <w:rFonts w:cs="Arial"/>
        </w:rPr>
        <w:t xml:space="preserve"> </w:t>
      </w:r>
    </w:p>
    <w:p w14:paraId="63AD0101" w14:textId="77777777" w:rsidR="009B4045" w:rsidRPr="00D226C4" w:rsidRDefault="009B4045" w:rsidP="000668BA">
      <w:pPr>
        <w:numPr>
          <w:ilvl w:val="0"/>
          <w:numId w:val="45"/>
        </w:numPr>
        <w:rPr>
          <w:rFonts w:cs="Arial"/>
        </w:rPr>
      </w:pPr>
      <w:r w:rsidRPr="006A460D">
        <w:rPr>
          <w:rFonts w:cs="Arial"/>
        </w:rPr>
        <w:t xml:space="preserve">The focus on a student cohort of existing </w:t>
      </w:r>
      <w:r>
        <w:rPr>
          <w:rFonts w:cs="Arial"/>
        </w:rPr>
        <w:t xml:space="preserve">skilled </w:t>
      </w:r>
      <w:r w:rsidRPr="006A460D">
        <w:rPr>
          <w:rFonts w:cs="Arial"/>
        </w:rPr>
        <w:t xml:space="preserve">workers and new industry entrants gives APTC a clear and manageable market niche. It avoids duplication and competition with other national providers and hence averts tensions in this regard. </w:t>
      </w:r>
      <w:r>
        <w:rPr>
          <w:rFonts w:cs="Arial"/>
        </w:rPr>
        <w:t xml:space="preserve">However, the focus on the former group in the context of the labour mobility objective will continue to raise employers’ fears of ‘brain drain’. </w:t>
      </w:r>
    </w:p>
    <w:p w14:paraId="7F0C7879" w14:textId="2CA20A38" w:rsidR="009B4045" w:rsidRDefault="009B4045" w:rsidP="00D226C4">
      <w:pPr>
        <w:ind w:left="720"/>
        <w:rPr>
          <w:rFonts w:cs="Arial"/>
        </w:rPr>
      </w:pPr>
      <w:r w:rsidRPr="006A460D">
        <w:rPr>
          <w:rFonts w:cs="Arial"/>
        </w:rPr>
        <w:t xml:space="preserve">APTC will have provided a useful service </w:t>
      </w:r>
      <w:r>
        <w:rPr>
          <w:rFonts w:cs="Arial"/>
        </w:rPr>
        <w:t xml:space="preserve">to Pacific economies </w:t>
      </w:r>
      <w:r w:rsidRPr="006A460D">
        <w:rPr>
          <w:rFonts w:cs="Arial"/>
        </w:rPr>
        <w:t xml:space="preserve">until this market niche becomes saturated. As </w:t>
      </w:r>
      <w:r w:rsidR="006360E3">
        <w:rPr>
          <w:rFonts w:cs="Arial"/>
        </w:rPr>
        <w:t xml:space="preserve">Annex 8 </w:t>
      </w:r>
      <w:r w:rsidRPr="006A460D">
        <w:rPr>
          <w:rFonts w:cs="Arial"/>
        </w:rPr>
        <w:t xml:space="preserve">shows, there is a danger in the smaller Pacific economies that this will become the case. For APTC to remain relevant to the skill needs of the Pacific, new sources of economic demand for training need to be identified. This will require major changes to how APTC now operates as a provider of standardised qualifications. </w:t>
      </w:r>
    </w:p>
    <w:p w14:paraId="1C76B67E" w14:textId="77777777" w:rsidR="009B4045" w:rsidRPr="006A460D" w:rsidRDefault="009B4045" w:rsidP="00D226C4">
      <w:pPr>
        <w:ind w:left="720"/>
        <w:rPr>
          <w:rFonts w:cs="Arial"/>
        </w:rPr>
      </w:pPr>
      <w:r w:rsidRPr="006A460D">
        <w:rPr>
          <w:rFonts w:cs="Arial"/>
        </w:rPr>
        <w:t>Some stakeholders expressed the view that APTC’s courses should be available to school leavers. However, this would dilute its current focus and impact. It could place an unmanageable and unaffordable burden on APTC while allowing national governments to abrogate responsibility for this group. Moreover, it would create confusion and overlap with DFAT’s planned ‘Skilling Youth in the Pacific’ project.</w:t>
      </w:r>
    </w:p>
    <w:p w14:paraId="1143AF0E" w14:textId="77777777" w:rsidR="003D355F" w:rsidRDefault="009B4045" w:rsidP="000668BA">
      <w:pPr>
        <w:numPr>
          <w:ilvl w:val="0"/>
          <w:numId w:val="45"/>
        </w:numPr>
        <w:spacing w:after="80"/>
        <w:ind w:left="714" w:hanging="357"/>
        <w:rPr>
          <w:rFonts w:cs="Arial"/>
        </w:rPr>
      </w:pPr>
      <w:r w:rsidRPr="006A460D">
        <w:rPr>
          <w:rFonts w:cs="Arial"/>
        </w:rPr>
        <w:t xml:space="preserve">Employers frequently commented that APTC provided training of a depth and quality not available elsewhere and that APTC was providing a boost to the economy by enabling local enterprises to aim for international standards. The partnership with the textiles, clothing and footwear </w:t>
      </w:r>
      <w:r w:rsidR="00622BA9">
        <w:rPr>
          <w:rFonts w:cs="Arial"/>
        </w:rPr>
        <w:t>i</w:t>
      </w:r>
      <w:r w:rsidR="00622BA9" w:rsidRPr="006A460D">
        <w:rPr>
          <w:rFonts w:cs="Arial"/>
        </w:rPr>
        <w:t xml:space="preserve">ndustry </w:t>
      </w:r>
      <w:r w:rsidRPr="006A460D">
        <w:rPr>
          <w:rFonts w:cs="Arial"/>
        </w:rPr>
        <w:t>in Fiji exemplifies this.</w:t>
      </w:r>
    </w:p>
    <w:p w14:paraId="6C9F7729" w14:textId="729351CB" w:rsidR="003D355F" w:rsidRDefault="009B4045" w:rsidP="000668BA">
      <w:pPr>
        <w:numPr>
          <w:ilvl w:val="0"/>
          <w:numId w:val="45"/>
        </w:numPr>
        <w:ind w:left="714" w:hanging="357"/>
        <w:rPr>
          <w:rFonts w:cs="Arial"/>
        </w:rPr>
      </w:pPr>
      <w:r w:rsidRPr="006A460D">
        <w:rPr>
          <w:rFonts w:cs="Arial"/>
        </w:rPr>
        <w:t xml:space="preserve">APTC is having </w:t>
      </w:r>
      <w:r>
        <w:rPr>
          <w:rFonts w:cs="Arial"/>
        </w:rPr>
        <w:t xml:space="preserve">some </w:t>
      </w:r>
      <w:r w:rsidRPr="006A460D">
        <w:rPr>
          <w:rFonts w:cs="Arial"/>
        </w:rPr>
        <w:t>success in driving up the standards of training in the Pacific by working closely with partner institutions, supporting the development of robust national qualification systems and providing a demonstration effect on higher quality standards</w:t>
      </w:r>
      <w:r>
        <w:rPr>
          <w:rFonts w:cs="Arial"/>
        </w:rPr>
        <w:t xml:space="preserve"> (</w:t>
      </w:r>
      <w:r w:rsidR="00546F37" w:rsidRPr="00950268">
        <w:rPr>
          <w:rFonts w:cs="Arial"/>
        </w:rPr>
        <w:t>Annex 6</w:t>
      </w:r>
      <w:r w:rsidRPr="006360E3">
        <w:rPr>
          <w:rFonts w:cs="Arial"/>
        </w:rPr>
        <w:t>)</w:t>
      </w:r>
      <w:r w:rsidR="00FC4084" w:rsidRPr="006360E3">
        <w:rPr>
          <w:rFonts w:cs="Arial"/>
        </w:rPr>
        <w:t>.</w:t>
      </w:r>
      <w:r>
        <w:rPr>
          <w:rFonts w:cs="Arial"/>
        </w:rPr>
        <w:t xml:space="preserve"> </w:t>
      </w:r>
      <w:r w:rsidRPr="006A460D">
        <w:rPr>
          <w:rFonts w:cs="Arial"/>
        </w:rPr>
        <w:t xml:space="preserve">APTC needs to </w:t>
      </w:r>
      <w:r>
        <w:rPr>
          <w:rFonts w:cs="Arial"/>
        </w:rPr>
        <w:t xml:space="preserve">continue to </w:t>
      </w:r>
      <w:r w:rsidRPr="006A460D">
        <w:rPr>
          <w:rFonts w:cs="Arial"/>
        </w:rPr>
        <w:t xml:space="preserve">move from being </w:t>
      </w:r>
      <w:r w:rsidR="004614E1">
        <w:rPr>
          <w:rFonts w:cs="Arial"/>
        </w:rPr>
        <w:t>‘</w:t>
      </w:r>
      <w:r w:rsidRPr="006A460D">
        <w:rPr>
          <w:rFonts w:cs="Arial"/>
        </w:rPr>
        <w:t>the light on the hill</w:t>
      </w:r>
      <w:r w:rsidR="004614E1">
        <w:rPr>
          <w:rFonts w:cs="Arial"/>
        </w:rPr>
        <w:t>’</w:t>
      </w:r>
      <w:r w:rsidRPr="006A460D">
        <w:rPr>
          <w:rFonts w:cs="Arial"/>
        </w:rPr>
        <w:t xml:space="preserve"> to proactive involvement in lifting the performance of Pacific TVET systems</w:t>
      </w:r>
      <w:r>
        <w:rPr>
          <w:rFonts w:cs="Arial"/>
        </w:rPr>
        <w:t xml:space="preserve">. </w:t>
      </w:r>
      <w:r w:rsidRPr="006A460D">
        <w:rPr>
          <w:rFonts w:cs="Arial"/>
        </w:rPr>
        <w:t>The nature that this might take will be clear from the country level consultations DFAT undertakes in finalising its regional TVET strategy.</w:t>
      </w:r>
    </w:p>
    <w:p w14:paraId="3CAB603F" w14:textId="77777777" w:rsidR="003D355F" w:rsidRDefault="009B4045" w:rsidP="000668BA">
      <w:pPr>
        <w:numPr>
          <w:ilvl w:val="0"/>
          <w:numId w:val="45"/>
        </w:numPr>
        <w:ind w:left="714" w:hanging="357"/>
        <w:rPr>
          <w:rFonts w:cs="Arial"/>
        </w:rPr>
      </w:pPr>
      <w:r w:rsidRPr="006A460D">
        <w:rPr>
          <w:rFonts w:cs="Arial"/>
        </w:rPr>
        <w:t xml:space="preserve">APTC needs to build on these ways of moving beyond its initial concept of a </w:t>
      </w:r>
      <w:r w:rsidR="00964E49" w:rsidRPr="006A460D">
        <w:rPr>
          <w:rFonts w:cs="Arial"/>
        </w:rPr>
        <w:t>scholarships</w:t>
      </w:r>
      <w:r w:rsidR="00964E49">
        <w:rPr>
          <w:rFonts w:cs="Arial"/>
        </w:rPr>
        <w:t>-</w:t>
      </w:r>
      <w:r w:rsidRPr="006A460D">
        <w:rPr>
          <w:rFonts w:cs="Arial"/>
        </w:rPr>
        <w:t xml:space="preserve">driven provider of full qualifications aimed at the Australian labour market. Large employers, especially in PNG, offer the prospect of being long-term clients, provided their needs are met and they pay </w:t>
      </w:r>
      <w:r>
        <w:rPr>
          <w:rFonts w:cs="Arial"/>
        </w:rPr>
        <w:t xml:space="preserve">for </w:t>
      </w:r>
      <w:r w:rsidRPr="006A460D">
        <w:rPr>
          <w:rFonts w:cs="Arial"/>
        </w:rPr>
        <w:t>the training they want. Meeting the need</w:t>
      </w:r>
      <w:r>
        <w:rPr>
          <w:rFonts w:cs="Arial"/>
        </w:rPr>
        <w:t>s</w:t>
      </w:r>
      <w:r w:rsidRPr="006A460D">
        <w:rPr>
          <w:rFonts w:cs="Arial"/>
        </w:rPr>
        <w:t xml:space="preserve"> of these clients will require changes to the breadth of skills (e.g. skill sets), type of skills, training content and mode of delivery that APTC now provides. </w:t>
      </w:r>
    </w:p>
    <w:p w14:paraId="15983093" w14:textId="1918ABC4" w:rsidR="003D355F" w:rsidRDefault="008016C8" w:rsidP="002028A6">
      <w:pPr>
        <w:pStyle w:val="Heading2"/>
      </w:pPr>
      <w:bookmarkStart w:id="1246" w:name="_Toc274145211"/>
      <w:bookmarkStart w:id="1247" w:name="_Toc274900594"/>
      <w:bookmarkStart w:id="1248" w:name="_Toc274909982"/>
      <w:bookmarkStart w:id="1249" w:name="_Toc278448003"/>
      <w:bookmarkStart w:id="1250" w:name="_Toc278453476"/>
      <w:r>
        <w:t xml:space="preserve">2.2 </w:t>
      </w:r>
      <w:r w:rsidR="002750AF">
        <w:tab/>
      </w:r>
      <w:r w:rsidR="009B4045" w:rsidRPr="006A460D">
        <w:t xml:space="preserve">How sustainable is the current model e.g. of providing international </w:t>
      </w:r>
      <w:r w:rsidR="002750AF">
        <w:br/>
      </w:r>
      <w:r w:rsidR="002750AF">
        <w:tab/>
      </w:r>
      <w:r w:rsidR="009B4045" w:rsidRPr="006A460D">
        <w:t>qualifications, in relation to possible options?</w:t>
      </w:r>
      <w:bookmarkEnd w:id="1246"/>
      <w:bookmarkEnd w:id="1247"/>
      <w:bookmarkEnd w:id="1248"/>
      <w:bookmarkEnd w:id="1249"/>
      <w:bookmarkEnd w:id="1250"/>
    </w:p>
    <w:p w14:paraId="0A8C2929" w14:textId="77777777" w:rsidR="009B4045" w:rsidRPr="006A460D" w:rsidRDefault="009B4045" w:rsidP="009B4045">
      <w:pPr>
        <w:rPr>
          <w:rFonts w:cs="Arial"/>
        </w:rPr>
      </w:pPr>
      <w:r w:rsidRPr="006A460D">
        <w:rPr>
          <w:rFonts w:cs="Arial"/>
        </w:rPr>
        <w:t>As outlined elsewhere in this report, the current model is not sustainable in the long term. This can be examined from a number of perspectives:</w:t>
      </w:r>
    </w:p>
    <w:p w14:paraId="3E13AE63" w14:textId="77777777" w:rsidR="009B4045" w:rsidRPr="006A460D" w:rsidRDefault="00FD5245" w:rsidP="000668BA">
      <w:pPr>
        <w:numPr>
          <w:ilvl w:val="0"/>
          <w:numId w:val="48"/>
        </w:numPr>
        <w:spacing w:after="0" w:line="259" w:lineRule="auto"/>
        <w:rPr>
          <w:rFonts w:cs="Arial"/>
        </w:rPr>
      </w:pPr>
      <w:r>
        <w:rPr>
          <w:rFonts w:cs="Arial"/>
        </w:rPr>
        <w:t>e</w:t>
      </w:r>
      <w:r w:rsidRPr="006A460D">
        <w:rPr>
          <w:rFonts w:cs="Arial"/>
        </w:rPr>
        <w:t xml:space="preserve">ducational </w:t>
      </w:r>
    </w:p>
    <w:p w14:paraId="1415D10D" w14:textId="77777777" w:rsidR="009B4045" w:rsidRPr="006A460D" w:rsidRDefault="00FD5245" w:rsidP="000668BA">
      <w:pPr>
        <w:numPr>
          <w:ilvl w:val="0"/>
          <w:numId w:val="48"/>
        </w:numPr>
        <w:spacing w:after="0" w:line="259" w:lineRule="auto"/>
        <w:rPr>
          <w:rFonts w:cs="Arial"/>
        </w:rPr>
      </w:pPr>
      <w:r>
        <w:rPr>
          <w:rFonts w:cs="Arial"/>
        </w:rPr>
        <w:t>m</w:t>
      </w:r>
      <w:r w:rsidRPr="006A460D">
        <w:rPr>
          <w:rFonts w:cs="Arial"/>
        </w:rPr>
        <w:t xml:space="preserve">anagement </w:t>
      </w:r>
      <w:r w:rsidR="009B4045" w:rsidRPr="006A460D">
        <w:rPr>
          <w:rFonts w:cs="Arial"/>
        </w:rPr>
        <w:t>and governance</w:t>
      </w:r>
    </w:p>
    <w:p w14:paraId="2401A555" w14:textId="77777777" w:rsidR="003D355F" w:rsidRDefault="00FD5245" w:rsidP="000668BA">
      <w:pPr>
        <w:numPr>
          <w:ilvl w:val="0"/>
          <w:numId w:val="48"/>
        </w:numPr>
        <w:ind w:left="714" w:hanging="357"/>
        <w:rPr>
          <w:rFonts w:cs="Arial"/>
        </w:rPr>
      </w:pPr>
      <w:r>
        <w:rPr>
          <w:rFonts w:cs="Arial"/>
        </w:rPr>
        <w:t>f</w:t>
      </w:r>
      <w:r w:rsidRPr="006A460D">
        <w:rPr>
          <w:rFonts w:cs="Arial"/>
        </w:rPr>
        <w:t>inancial</w:t>
      </w:r>
      <w:r>
        <w:rPr>
          <w:rFonts w:cs="Arial"/>
        </w:rPr>
        <w:t>.</w:t>
      </w:r>
    </w:p>
    <w:p w14:paraId="6E307DE6" w14:textId="77777777" w:rsidR="009B4045" w:rsidRPr="006A460D" w:rsidRDefault="00546F37" w:rsidP="009B4045">
      <w:pPr>
        <w:rPr>
          <w:rFonts w:cs="Arial"/>
        </w:rPr>
      </w:pPr>
      <w:r w:rsidRPr="00546F37">
        <w:rPr>
          <w:rFonts w:cs="Arial"/>
          <w:b/>
          <w:i/>
        </w:rPr>
        <w:t>Educational:</w:t>
      </w:r>
      <w:r w:rsidR="009B4045" w:rsidRPr="006A460D">
        <w:rPr>
          <w:rFonts w:cs="Arial"/>
        </w:rPr>
        <w:t xml:space="preserve"> In the long term, the best providers in the Pacific countries will be in a position to offer international level qualifications themselves and will become less reliant on Australia’s assistance. They will be able to do this either in their own right or with other partners. They are working towards this now. There are already signs of competition in some areas, especially those that are not capital intensive. </w:t>
      </w:r>
    </w:p>
    <w:p w14:paraId="555AE075" w14:textId="77777777" w:rsidR="009B4045" w:rsidRPr="006A460D" w:rsidRDefault="00546F37" w:rsidP="009B4045">
      <w:pPr>
        <w:rPr>
          <w:rFonts w:cs="Arial"/>
        </w:rPr>
      </w:pPr>
      <w:r w:rsidRPr="00546F37">
        <w:rPr>
          <w:rFonts w:cs="Arial"/>
          <w:b/>
          <w:i/>
        </w:rPr>
        <w:t>Governance</w:t>
      </w:r>
      <w:r w:rsidR="00FA6EC0">
        <w:rPr>
          <w:rFonts w:cs="Arial"/>
          <w:b/>
        </w:rPr>
        <w:t>:</w:t>
      </w:r>
      <w:r w:rsidR="00FD5245" w:rsidRPr="006A460D">
        <w:rPr>
          <w:rFonts w:cs="Arial"/>
        </w:rPr>
        <w:t xml:space="preserve"> </w:t>
      </w:r>
      <w:r w:rsidR="009B4045">
        <w:rPr>
          <w:rFonts w:cs="Arial"/>
        </w:rPr>
        <w:t>T</w:t>
      </w:r>
      <w:r w:rsidR="009B4045" w:rsidRPr="006A460D">
        <w:rPr>
          <w:rFonts w:cs="Arial"/>
        </w:rPr>
        <w:t>he current management and governance arrangements will not serve APTC well into the future</w:t>
      </w:r>
      <w:r w:rsidR="009B4045">
        <w:rPr>
          <w:rFonts w:cs="Arial"/>
        </w:rPr>
        <w:t xml:space="preserve"> </w:t>
      </w:r>
      <w:r w:rsidR="009B4045" w:rsidRPr="006360E3">
        <w:rPr>
          <w:rFonts w:cs="Arial"/>
        </w:rPr>
        <w:t>(</w:t>
      </w:r>
      <w:r w:rsidRPr="00950268">
        <w:rPr>
          <w:rFonts w:cs="Arial"/>
        </w:rPr>
        <w:t>Annex 6</w:t>
      </w:r>
      <w:r w:rsidR="009B4045" w:rsidRPr="006360E3">
        <w:rPr>
          <w:rFonts w:cs="Arial"/>
        </w:rPr>
        <w:t>).</w:t>
      </w:r>
      <w:r w:rsidR="009B4045" w:rsidRPr="006A460D">
        <w:rPr>
          <w:rFonts w:cs="Arial"/>
        </w:rPr>
        <w:t xml:space="preserve"> They are cumbersome, costly and inefficient. There is a need for streamlining these arrangements. </w:t>
      </w:r>
    </w:p>
    <w:p w14:paraId="1A61C4BE" w14:textId="77777777" w:rsidR="009B4045" w:rsidRPr="006A460D" w:rsidRDefault="00546F37" w:rsidP="009B4045">
      <w:pPr>
        <w:rPr>
          <w:rFonts w:cs="Arial"/>
        </w:rPr>
      </w:pPr>
      <w:r w:rsidRPr="00546F37">
        <w:rPr>
          <w:rFonts w:cs="Arial"/>
          <w:b/>
          <w:i/>
        </w:rPr>
        <w:t>Financial:</w:t>
      </w:r>
      <w:r w:rsidR="009B4045" w:rsidRPr="006A460D">
        <w:rPr>
          <w:rFonts w:cs="Arial"/>
          <w:i/>
        </w:rPr>
        <w:t xml:space="preserve"> </w:t>
      </w:r>
      <w:r w:rsidR="009B4045" w:rsidRPr="006A460D">
        <w:rPr>
          <w:rFonts w:cs="Arial"/>
        </w:rPr>
        <w:t xml:space="preserve">APTC’s unit costs are very high relative to incomes in the Pacific and as compared with the costs of national training institutions (NTIs) </w:t>
      </w:r>
      <w:r w:rsidR="009B4045">
        <w:rPr>
          <w:rFonts w:cs="Arial"/>
        </w:rPr>
        <w:t>(Annex 9)</w:t>
      </w:r>
      <w:r w:rsidR="006C53EE">
        <w:rPr>
          <w:rFonts w:cs="Arial"/>
        </w:rPr>
        <w:t>.</w:t>
      </w:r>
      <w:r w:rsidR="009B4045">
        <w:rPr>
          <w:rFonts w:cs="Arial"/>
        </w:rPr>
        <w:t xml:space="preserve"> </w:t>
      </w:r>
      <w:r w:rsidR="009B4045" w:rsidRPr="006A460D">
        <w:rPr>
          <w:rFonts w:cs="Arial"/>
        </w:rPr>
        <w:t>Moreover, APTC students are generally not eligible for, or they find it difficult to access, national training funds that are available for students who attend NTIs. Tuition fees are set at notional levels across the five campus countries, but few students (or employers of students) pay even these heavily subsidised fees. In any extension of APTC under a third tranche of DFAT funding, it will be important</w:t>
      </w:r>
      <w:r w:rsidR="009B4045">
        <w:rPr>
          <w:rFonts w:cs="Arial"/>
        </w:rPr>
        <w:t xml:space="preserve"> both </w:t>
      </w:r>
      <w:r w:rsidR="009B4045" w:rsidRPr="006A460D">
        <w:rPr>
          <w:rFonts w:cs="Arial"/>
        </w:rPr>
        <w:t>to implement measures to reduce unit costs and</w:t>
      </w:r>
      <w:r w:rsidR="009B4045">
        <w:rPr>
          <w:rFonts w:cs="Arial"/>
        </w:rPr>
        <w:t xml:space="preserve"> </w:t>
      </w:r>
      <w:r w:rsidR="009B4045" w:rsidRPr="006A460D">
        <w:rPr>
          <w:rFonts w:cs="Arial"/>
        </w:rPr>
        <w:t>to diversify sources of funding.</w:t>
      </w:r>
    </w:p>
    <w:p w14:paraId="33C57781" w14:textId="39034303" w:rsidR="003D355F" w:rsidRDefault="008016C8" w:rsidP="002028A6">
      <w:pPr>
        <w:pStyle w:val="Heading1"/>
      </w:pPr>
      <w:bookmarkStart w:id="1251" w:name="_Toc278448004"/>
      <w:bookmarkStart w:id="1252" w:name="_Toc278453477"/>
      <w:r>
        <w:t xml:space="preserve">3 </w:t>
      </w:r>
      <w:r w:rsidR="002750AF">
        <w:tab/>
      </w:r>
      <w:r w:rsidR="009B4045" w:rsidRPr="006A460D">
        <w:t xml:space="preserve">How well does APTC fit within DFAT policies on future aid to </w:t>
      </w:r>
      <w:r w:rsidR="002750AF">
        <w:br/>
      </w:r>
      <w:r w:rsidR="009B4045" w:rsidRPr="006A460D">
        <w:t>the region?</w:t>
      </w:r>
      <w:bookmarkEnd w:id="1251"/>
      <w:bookmarkEnd w:id="1252"/>
    </w:p>
    <w:p w14:paraId="39865878" w14:textId="4511E5FF" w:rsidR="009B4045" w:rsidRPr="006A460D" w:rsidRDefault="009B4045" w:rsidP="009B4045">
      <w:pPr>
        <w:rPr>
          <w:rFonts w:cs="Arial"/>
        </w:rPr>
      </w:pPr>
      <w:r w:rsidRPr="006A460D">
        <w:rPr>
          <w:rFonts w:cs="Arial"/>
        </w:rPr>
        <w:t>From both a geographic and thematic/investment perspective</w:t>
      </w:r>
      <w:r w:rsidR="004614E1">
        <w:rPr>
          <w:rFonts w:cs="Arial"/>
        </w:rPr>
        <w:t>,</w:t>
      </w:r>
      <w:r w:rsidRPr="006A460D">
        <w:rPr>
          <w:rFonts w:cs="Arial"/>
        </w:rPr>
        <w:t xml:space="preserve"> APTC fits well with the new policy on aid introduced by the Australian Government in June 2014</w:t>
      </w:r>
      <w:r w:rsidR="0005660C">
        <w:rPr>
          <w:rFonts w:cs="Arial"/>
        </w:rPr>
        <w:t>.</w:t>
      </w:r>
      <w:r w:rsidRPr="006A460D">
        <w:rPr>
          <w:rFonts w:cs="Arial"/>
          <w:vertAlign w:val="superscript"/>
        </w:rPr>
        <w:footnoteReference w:id="88"/>
      </w:r>
      <w:r w:rsidRPr="006A460D">
        <w:rPr>
          <w:rFonts w:cs="Arial"/>
        </w:rPr>
        <w:t xml:space="preserve"> This policy, hereafter referred to as ‘the Australian aid policy’, is regarded by </w:t>
      </w:r>
      <w:r w:rsidR="004614E1">
        <w:rPr>
          <w:rFonts w:cs="Arial"/>
        </w:rPr>
        <w:t>DFAT</w:t>
      </w:r>
      <w:r w:rsidRPr="006A460D">
        <w:rPr>
          <w:rFonts w:cs="Arial"/>
        </w:rPr>
        <w:t xml:space="preserve"> as a fundamentally changed approach. It is therefore important to consider the extent to which it provides both a </w:t>
      </w:r>
      <w:r>
        <w:rPr>
          <w:rFonts w:cs="Arial"/>
        </w:rPr>
        <w:t xml:space="preserve">broader and a </w:t>
      </w:r>
      <w:r w:rsidRPr="006A460D">
        <w:rPr>
          <w:rFonts w:cs="Arial"/>
        </w:rPr>
        <w:t>specific framework within whi</w:t>
      </w:r>
      <w:r>
        <w:rPr>
          <w:rFonts w:cs="Arial"/>
        </w:rPr>
        <w:t>ch APTC’s future can</w:t>
      </w:r>
      <w:r w:rsidRPr="006A460D">
        <w:rPr>
          <w:rFonts w:cs="Arial"/>
        </w:rPr>
        <w:t xml:space="preserve"> be shaped.</w:t>
      </w:r>
    </w:p>
    <w:p w14:paraId="71FCCDCE" w14:textId="4D2E95EB" w:rsidR="009B4045" w:rsidRPr="006A460D" w:rsidRDefault="009B4045" w:rsidP="009B4045">
      <w:pPr>
        <w:rPr>
          <w:rFonts w:cs="Arial"/>
        </w:rPr>
      </w:pPr>
      <w:r w:rsidRPr="006A460D">
        <w:rPr>
          <w:rFonts w:cs="Arial"/>
        </w:rPr>
        <w:t>The policy states the purpose of the Australian aid program as follows:</w:t>
      </w:r>
    </w:p>
    <w:p w14:paraId="0A704C5A" w14:textId="1EFF1004" w:rsidR="009B4045" w:rsidRPr="006A460D" w:rsidRDefault="000B1393" w:rsidP="009B4045">
      <w:pPr>
        <w:ind w:left="720"/>
        <w:rPr>
          <w:rFonts w:cs="Arial"/>
          <w:i/>
        </w:rPr>
      </w:pPr>
      <w:r>
        <w:rPr>
          <w:noProof/>
          <w:lang w:eastAsia="en-AU"/>
        </w:rPr>
        <w:drawing>
          <wp:anchor distT="0" distB="0" distL="114300" distR="114300" simplePos="0" relativeHeight="251658240" behindDoc="0" locked="0" layoutInCell="1" allowOverlap="1" wp14:anchorId="3CACC6A3" wp14:editId="7D36D109">
            <wp:simplePos x="0" y="0"/>
            <wp:positionH relativeFrom="margin">
              <wp:posOffset>828675</wp:posOffset>
            </wp:positionH>
            <wp:positionV relativeFrom="margin">
              <wp:posOffset>2971800</wp:posOffset>
            </wp:positionV>
            <wp:extent cx="3707130" cy="5734050"/>
            <wp:effectExtent l="2540" t="0" r="3810" b="3810"/>
            <wp:wrapTight wrapText="bothSides">
              <wp:wrapPolygon edited="0">
                <wp:start x="15" y="21610"/>
                <wp:lineTo x="21474" y="21610"/>
                <wp:lineTo x="21474" y="81"/>
                <wp:lineTo x="15" y="81"/>
                <wp:lineTo x="15" y="21610"/>
              </wp:wrapPolygon>
            </wp:wrapTight>
            <wp:docPr id="2" name="Picture 2" descr="For each country, the balance of investments will be tailored to country context and reflect Australia's national interest. We will invest in infrastructure, trade facilitation and international competitiveness; agriculture, fisheries and water; Effective governance - policies, institutions and functioning economies; education and health; building resilience - humanitarian assistance, disaster risk reduction and social protection; and gender equality and empowering women and girls. We maximise impact by being innovative and leveraging knowledge and finance, supporting both private sector development and human development (which relate to each other). All this will promote Australia's national interests by contributing to sustainable economic growth and poverty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9 at 3.34.38 pm.png"/>
                    <pic:cNvPicPr/>
                  </pic:nvPicPr>
                  <pic:blipFill>
                    <a:blip r:embed="rId155">
                      <a:extLst>
                        <a:ext uri="{28A0092B-C50C-407E-A947-70E740481C1C}">
                          <a14:useLocalDpi xmlns:a14="http://schemas.microsoft.com/office/drawing/2010/main" val="0"/>
                        </a:ext>
                      </a:extLst>
                    </a:blip>
                    <a:stretch>
                      <a:fillRect/>
                    </a:stretch>
                  </pic:blipFill>
                  <pic:spPr>
                    <a:xfrm rot="5400000">
                      <a:off x="0" y="0"/>
                      <a:ext cx="3707130" cy="5734050"/>
                    </a:xfrm>
                    <a:prstGeom prst="rect">
                      <a:avLst/>
                    </a:prstGeom>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9B4045" w:rsidRPr="006A460D">
        <w:rPr>
          <w:rFonts w:cs="Arial"/>
          <w:i/>
        </w:rPr>
        <w:t>The Australian aid program will promote prosperity, reduce poverty and enhance stability with a strengthened focus on our region, the Indo-Pacific.</w:t>
      </w:r>
    </w:p>
    <w:p w14:paraId="112DDD8F" w14:textId="59189453" w:rsidR="009B4045" w:rsidRPr="006A460D" w:rsidRDefault="009B4045" w:rsidP="009B4045">
      <w:pPr>
        <w:ind w:left="720"/>
        <w:rPr>
          <w:rFonts w:cs="Arial"/>
          <w:i/>
        </w:rPr>
      </w:pPr>
      <w:r w:rsidRPr="006A460D">
        <w:rPr>
          <w:rFonts w:cs="Arial"/>
          <w:i/>
        </w:rPr>
        <w:t xml:space="preserve">The purpose of the </w:t>
      </w:r>
      <w:r w:rsidR="00EE5E6E">
        <w:rPr>
          <w:rFonts w:cs="Arial"/>
          <w:i/>
        </w:rPr>
        <w:t>a</w:t>
      </w:r>
      <w:r w:rsidR="00EE5E6E" w:rsidRPr="006A460D">
        <w:rPr>
          <w:rFonts w:cs="Arial"/>
          <w:i/>
        </w:rPr>
        <w:t xml:space="preserve">id </w:t>
      </w:r>
      <w:r w:rsidRPr="006A460D">
        <w:rPr>
          <w:rFonts w:cs="Arial"/>
          <w:i/>
        </w:rPr>
        <w:t>program is to promote Australia’s national interests by contributing to sustainable economic growth and poverty reduction.</w:t>
      </w:r>
      <w:r w:rsidRPr="006A460D">
        <w:rPr>
          <w:rFonts w:cs="Arial"/>
          <w:i/>
          <w:vertAlign w:val="superscript"/>
        </w:rPr>
        <w:footnoteReference w:id="89"/>
      </w:r>
    </w:p>
    <w:p w14:paraId="279967A8" w14:textId="77777777" w:rsidR="009B4045" w:rsidRPr="006A460D" w:rsidRDefault="009B4045" w:rsidP="009B4045">
      <w:pPr>
        <w:rPr>
          <w:rFonts w:cs="Arial"/>
        </w:rPr>
      </w:pPr>
      <w:r w:rsidRPr="006A460D">
        <w:rPr>
          <w:rFonts w:cs="Arial"/>
        </w:rPr>
        <w:t>Figure 1 illustrates the inter-relationships in the policy.</w:t>
      </w:r>
    </w:p>
    <w:p w14:paraId="432A4E0E" w14:textId="1FCCEBE1" w:rsidR="003D355F" w:rsidRDefault="009B4045">
      <w:pPr>
        <w:pStyle w:val="Tableheading"/>
      </w:pPr>
      <w:bookmarkStart w:id="1253" w:name="_Toc274146576"/>
      <w:bookmarkStart w:id="1254" w:name="_Toc274916035"/>
      <w:bookmarkStart w:id="1255" w:name="_Toc278447014"/>
      <w:r w:rsidRPr="006A460D">
        <w:t>Figure 1: A new strategic framework for the Australian aid program</w:t>
      </w:r>
      <w:bookmarkEnd w:id="1253"/>
      <w:bookmarkEnd w:id="1254"/>
      <w:bookmarkEnd w:id="1255"/>
    </w:p>
    <w:p w14:paraId="7546EC08" w14:textId="77777777" w:rsidR="00157115" w:rsidRDefault="00157115" w:rsidP="009B4045">
      <w:pPr>
        <w:rPr>
          <w:rFonts w:cs="Arial"/>
          <w:sz w:val="18"/>
        </w:rPr>
      </w:pPr>
    </w:p>
    <w:p w14:paraId="62087431" w14:textId="42C1CCA2" w:rsidR="00420056" w:rsidRPr="000D7856" w:rsidRDefault="00546F37" w:rsidP="000D7856">
      <w:pPr>
        <w:rPr>
          <w:rFonts w:cs="Arial"/>
          <w:sz w:val="16"/>
        </w:rPr>
      </w:pPr>
      <w:r w:rsidRPr="00546F37">
        <w:rPr>
          <w:rFonts w:cs="Arial"/>
          <w:sz w:val="16"/>
        </w:rPr>
        <w:t xml:space="preserve">Source: DFAT 2014, </w:t>
      </w:r>
      <w:r w:rsidRPr="00546F37">
        <w:rPr>
          <w:rFonts w:cs="Arial"/>
          <w:i/>
          <w:sz w:val="16"/>
        </w:rPr>
        <w:t>op. cit</w:t>
      </w:r>
      <w:r w:rsidRPr="00546F37">
        <w:rPr>
          <w:rFonts w:cs="Arial"/>
          <w:sz w:val="16"/>
        </w:rPr>
        <w:t>., p.</w:t>
      </w:r>
      <w:r w:rsidR="00DA72D6">
        <w:rPr>
          <w:rFonts w:cs="Arial"/>
          <w:sz w:val="16"/>
        </w:rPr>
        <w:t xml:space="preserve"> </w:t>
      </w:r>
      <w:r w:rsidRPr="00546F37">
        <w:rPr>
          <w:rFonts w:cs="Arial"/>
          <w:sz w:val="16"/>
        </w:rPr>
        <w:t>9</w:t>
      </w:r>
      <w:r w:rsidR="00420056">
        <w:rPr>
          <w:rFonts w:cs="Arial"/>
          <w:b/>
        </w:rPr>
        <w:br w:type="page"/>
      </w:r>
    </w:p>
    <w:p w14:paraId="0CE83741" w14:textId="10BDF263" w:rsidR="009B4045" w:rsidRPr="006A460D" w:rsidRDefault="00546F37" w:rsidP="009B4045">
      <w:pPr>
        <w:rPr>
          <w:rFonts w:cs="Arial"/>
        </w:rPr>
      </w:pPr>
      <w:r w:rsidRPr="00546F37">
        <w:rPr>
          <w:rFonts w:cs="Arial"/>
          <w:b/>
        </w:rPr>
        <w:t>Specific/direct relevance of the Australian aid policy to APTC</w:t>
      </w:r>
      <w:r w:rsidR="009B4045" w:rsidRPr="006A460D">
        <w:rPr>
          <w:rFonts w:cs="Arial"/>
        </w:rPr>
        <w:t>. Geographically, the focus is the Indo-Pacific region, Australia’s immediate neighbourhood:</w:t>
      </w:r>
    </w:p>
    <w:p w14:paraId="439C6D10" w14:textId="77777777" w:rsidR="009B4045" w:rsidRPr="006A460D" w:rsidRDefault="009B4045" w:rsidP="009B4045">
      <w:pPr>
        <w:ind w:left="720"/>
        <w:rPr>
          <w:rFonts w:cs="Arial"/>
          <w:i/>
        </w:rPr>
      </w:pPr>
      <w:r w:rsidRPr="006A460D">
        <w:rPr>
          <w:rFonts w:cs="Arial"/>
          <w:i/>
        </w:rPr>
        <w:t>From 2014</w:t>
      </w:r>
      <w:r w:rsidR="0066058F">
        <w:rPr>
          <w:rFonts w:cs="Arial"/>
          <w:i/>
        </w:rPr>
        <w:t>–</w:t>
      </w:r>
      <w:r w:rsidRPr="006A460D">
        <w:rPr>
          <w:rFonts w:cs="Arial"/>
          <w:i/>
        </w:rPr>
        <w:t xml:space="preserve">15 at least 90 per cent of country program aid will be directed to the Indo–Pacific region, especially </w:t>
      </w:r>
      <w:r>
        <w:rPr>
          <w:rFonts w:cs="Arial"/>
          <w:i/>
        </w:rPr>
        <w:t>South East Asia and the Pacific</w:t>
      </w:r>
      <w:r w:rsidR="000A2426">
        <w:rPr>
          <w:rFonts w:cs="Arial"/>
          <w:i/>
        </w:rPr>
        <w:t>.</w:t>
      </w:r>
      <w:r w:rsidRPr="006A460D">
        <w:rPr>
          <w:rFonts w:cs="Arial"/>
          <w:i/>
          <w:vertAlign w:val="superscript"/>
        </w:rPr>
        <w:footnoteReference w:id="90"/>
      </w:r>
    </w:p>
    <w:p w14:paraId="6310DE58" w14:textId="77777777" w:rsidR="009B4045" w:rsidRPr="006A460D" w:rsidRDefault="009B4045" w:rsidP="009B4045">
      <w:pPr>
        <w:rPr>
          <w:rFonts w:cs="Arial"/>
        </w:rPr>
      </w:pPr>
      <w:r>
        <w:rPr>
          <w:rFonts w:cs="Arial"/>
        </w:rPr>
        <w:t>The e</w:t>
      </w:r>
      <w:r w:rsidRPr="006A460D">
        <w:rPr>
          <w:rFonts w:cs="Arial"/>
        </w:rPr>
        <w:t>valuation team was advised by one DFAT officer that</w:t>
      </w:r>
      <w:r>
        <w:rPr>
          <w:rFonts w:cs="Arial"/>
        </w:rPr>
        <w:t xml:space="preserve"> </w:t>
      </w:r>
      <w:r w:rsidRPr="006A460D">
        <w:rPr>
          <w:rFonts w:cs="Arial"/>
        </w:rPr>
        <w:t>this could mean more funding for APTC than in the past, because investment is likely to be reduced in countries beyond the Indo-Pacific region.</w:t>
      </w:r>
    </w:p>
    <w:p w14:paraId="192EC684" w14:textId="77777777" w:rsidR="009B4045" w:rsidRPr="006A460D" w:rsidRDefault="009B4045" w:rsidP="009B4045">
      <w:pPr>
        <w:rPr>
          <w:rFonts w:cs="Arial"/>
        </w:rPr>
      </w:pPr>
      <w:r w:rsidRPr="006A460D">
        <w:rPr>
          <w:rFonts w:cs="Arial"/>
        </w:rPr>
        <w:t>The combined sector of education and health is one of the six investment priorities. TVET is specifically included among the five priorities for education:</w:t>
      </w:r>
    </w:p>
    <w:p w14:paraId="328262B0" w14:textId="77777777" w:rsidR="009B4045" w:rsidRPr="006A460D" w:rsidRDefault="009B4045" w:rsidP="009B4045">
      <w:pPr>
        <w:ind w:left="720"/>
        <w:rPr>
          <w:rFonts w:cs="Arial"/>
        </w:rPr>
      </w:pPr>
      <w:r w:rsidRPr="006A460D">
        <w:rPr>
          <w:rFonts w:cs="Arial"/>
          <w:i/>
        </w:rPr>
        <w:t>Prioritise skills for growth to enable people to be job-ready and adaptable, by improving access to quality-assured technical education and training, which matches the needs of the local privat</w:t>
      </w:r>
      <w:r>
        <w:rPr>
          <w:rFonts w:cs="Arial"/>
          <w:i/>
        </w:rPr>
        <w:t>e sector</w:t>
      </w:r>
      <w:r w:rsidRPr="006A460D">
        <w:rPr>
          <w:rFonts w:cs="Arial"/>
        </w:rPr>
        <w:t>.</w:t>
      </w:r>
      <w:r w:rsidRPr="006A460D">
        <w:rPr>
          <w:rFonts w:cs="Arial"/>
          <w:vertAlign w:val="superscript"/>
        </w:rPr>
        <w:footnoteReference w:id="91"/>
      </w:r>
    </w:p>
    <w:p w14:paraId="4F10BE46" w14:textId="77777777" w:rsidR="009B4045" w:rsidRPr="006A460D" w:rsidRDefault="00546F37" w:rsidP="009B4045">
      <w:pPr>
        <w:rPr>
          <w:rFonts w:cs="Arial"/>
        </w:rPr>
      </w:pPr>
      <w:r w:rsidRPr="00546F37">
        <w:rPr>
          <w:rFonts w:cs="Arial"/>
          <w:b/>
        </w:rPr>
        <w:t>Broad/</w:t>
      </w:r>
      <w:r w:rsidR="006133DB">
        <w:rPr>
          <w:rFonts w:cs="Arial"/>
          <w:b/>
        </w:rPr>
        <w:t>i</w:t>
      </w:r>
      <w:r w:rsidRPr="00546F37">
        <w:rPr>
          <w:rFonts w:cs="Arial"/>
          <w:b/>
        </w:rPr>
        <w:t xml:space="preserve">ndirect relevance of the Australian </w:t>
      </w:r>
      <w:r w:rsidR="006133DB">
        <w:rPr>
          <w:rFonts w:cs="Arial"/>
          <w:b/>
        </w:rPr>
        <w:t>a</w:t>
      </w:r>
      <w:r w:rsidRPr="00546F37">
        <w:rPr>
          <w:rFonts w:cs="Arial"/>
          <w:b/>
        </w:rPr>
        <w:t xml:space="preserve">id </w:t>
      </w:r>
      <w:r w:rsidR="006133DB">
        <w:rPr>
          <w:rFonts w:cs="Arial"/>
          <w:b/>
        </w:rPr>
        <w:t>p</w:t>
      </w:r>
      <w:r w:rsidRPr="00546F37">
        <w:rPr>
          <w:rFonts w:cs="Arial"/>
          <w:b/>
        </w:rPr>
        <w:t>olicy to APTC</w:t>
      </w:r>
      <w:r w:rsidR="009B4045" w:rsidRPr="006A460D">
        <w:rPr>
          <w:rFonts w:cs="Arial"/>
          <w:i/>
        </w:rPr>
        <w:t xml:space="preserve">. </w:t>
      </w:r>
      <w:r w:rsidR="009B4045" w:rsidRPr="006A460D">
        <w:rPr>
          <w:rFonts w:cs="Arial"/>
        </w:rPr>
        <w:t>Other priorities of the Australian aid policy also provide pointers to the potential future directions for APTC. In particular, they are:</w:t>
      </w:r>
    </w:p>
    <w:p w14:paraId="50605015" w14:textId="77777777" w:rsidR="009B4045" w:rsidRPr="006A460D" w:rsidRDefault="003275E5" w:rsidP="000668BA">
      <w:pPr>
        <w:numPr>
          <w:ilvl w:val="0"/>
          <w:numId w:val="44"/>
        </w:numPr>
        <w:spacing w:after="0" w:line="259" w:lineRule="auto"/>
        <w:contextualSpacing/>
        <w:rPr>
          <w:rFonts w:cs="Arial"/>
        </w:rPr>
      </w:pPr>
      <w:r>
        <w:rPr>
          <w:rFonts w:cs="Arial"/>
        </w:rPr>
        <w:t>a</w:t>
      </w:r>
      <w:r w:rsidRPr="006A460D">
        <w:rPr>
          <w:rFonts w:cs="Arial"/>
        </w:rPr>
        <w:t xml:space="preserve"> </w:t>
      </w:r>
      <w:r w:rsidR="009B4045" w:rsidRPr="006A460D">
        <w:rPr>
          <w:rFonts w:cs="Arial"/>
        </w:rPr>
        <w:t xml:space="preserve">strong focus on aid for trade and associated emphasis on strengthening private sector development, including small and micro-businesses </w:t>
      </w:r>
    </w:p>
    <w:p w14:paraId="19ED0881" w14:textId="77777777" w:rsidR="009B4045" w:rsidRPr="006A460D" w:rsidRDefault="003275E5" w:rsidP="000668BA">
      <w:pPr>
        <w:numPr>
          <w:ilvl w:val="0"/>
          <w:numId w:val="44"/>
        </w:numPr>
        <w:spacing w:after="0" w:line="259" w:lineRule="auto"/>
        <w:contextualSpacing/>
        <w:rPr>
          <w:rFonts w:cs="Arial"/>
        </w:rPr>
      </w:pPr>
      <w:r>
        <w:rPr>
          <w:rFonts w:cs="Arial"/>
        </w:rPr>
        <w:t>a</w:t>
      </w:r>
      <w:r w:rsidRPr="006A460D">
        <w:rPr>
          <w:rFonts w:cs="Arial"/>
        </w:rPr>
        <w:t xml:space="preserve">n </w:t>
      </w:r>
      <w:r w:rsidR="009B4045" w:rsidRPr="006A460D">
        <w:rPr>
          <w:rFonts w:cs="Arial"/>
        </w:rPr>
        <w:t>emphasis on agriculture and fisheries as a means to promote food security</w:t>
      </w:r>
    </w:p>
    <w:p w14:paraId="356BEC4B" w14:textId="77777777" w:rsidR="009B4045" w:rsidRPr="006A460D" w:rsidRDefault="003275E5" w:rsidP="000668BA">
      <w:pPr>
        <w:numPr>
          <w:ilvl w:val="0"/>
          <w:numId w:val="44"/>
        </w:numPr>
        <w:spacing w:after="0" w:line="259" w:lineRule="auto"/>
        <w:contextualSpacing/>
        <w:rPr>
          <w:rFonts w:cs="Arial"/>
        </w:rPr>
      </w:pPr>
      <w:r>
        <w:rPr>
          <w:rFonts w:cs="Arial"/>
        </w:rPr>
        <w:t>p</w:t>
      </w:r>
      <w:r w:rsidRPr="006A460D">
        <w:rPr>
          <w:rFonts w:cs="Arial"/>
        </w:rPr>
        <w:t xml:space="preserve">rovision </w:t>
      </w:r>
      <w:r w:rsidR="009B4045" w:rsidRPr="006A460D">
        <w:rPr>
          <w:rFonts w:cs="Arial"/>
        </w:rPr>
        <w:t>of humanitarian assistance in response to emergencies</w:t>
      </w:r>
    </w:p>
    <w:p w14:paraId="0854D244" w14:textId="77777777" w:rsidR="009B4045" w:rsidRPr="006A460D" w:rsidRDefault="003275E5" w:rsidP="000668BA">
      <w:pPr>
        <w:numPr>
          <w:ilvl w:val="0"/>
          <w:numId w:val="44"/>
        </w:numPr>
        <w:spacing w:after="0" w:line="259" w:lineRule="auto"/>
        <w:contextualSpacing/>
        <w:rPr>
          <w:rFonts w:cs="Arial"/>
        </w:rPr>
      </w:pPr>
      <w:r>
        <w:rPr>
          <w:rFonts w:cs="Arial"/>
        </w:rPr>
        <w:t>v</w:t>
      </w:r>
      <w:r w:rsidRPr="006A460D">
        <w:rPr>
          <w:rFonts w:cs="Arial"/>
        </w:rPr>
        <w:t xml:space="preserve">alue </w:t>
      </w:r>
      <w:r w:rsidR="009B4045" w:rsidRPr="006A460D">
        <w:rPr>
          <w:rFonts w:cs="Arial"/>
        </w:rPr>
        <w:t>for money</w:t>
      </w:r>
    </w:p>
    <w:p w14:paraId="39132616" w14:textId="77777777" w:rsidR="009B4045" w:rsidRPr="006A460D" w:rsidRDefault="003275E5" w:rsidP="000668BA">
      <w:pPr>
        <w:numPr>
          <w:ilvl w:val="0"/>
          <w:numId w:val="44"/>
        </w:numPr>
        <w:spacing w:after="0" w:line="259" w:lineRule="auto"/>
        <w:contextualSpacing/>
        <w:rPr>
          <w:rFonts w:cs="Arial"/>
        </w:rPr>
      </w:pPr>
      <w:r>
        <w:rPr>
          <w:rFonts w:cs="Arial"/>
        </w:rPr>
        <w:t>g</w:t>
      </w:r>
      <w:r w:rsidRPr="006A460D">
        <w:rPr>
          <w:rFonts w:cs="Arial"/>
        </w:rPr>
        <w:t xml:space="preserve">ender </w:t>
      </w:r>
      <w:r w:rsidR="009B4045" w:rsidRPr="006A460D">
        <w:rPr>
          <w:rFonts w:cs="Arial"/>
        </w:rPr>
        <w:t>equality and empowerment of women and girls.</w:t>
      </w:r>
    </w:p>
    <w:p w14:paraId="2EA8FA5A" w14:textId="77777777" w:rsidR="009B4045" w:rsidRPr="006A460D" w:rsidRDefault="009B4045" w:rsidP="009B4045">
      <w:pPr>
        <w:contextualSpacing/>
        <w:rPr>
          <w:rFonts w:cs="Arial"/>
        </w:rPr>
      </w:pPr>
    </w:p>
    <w:p w14:paraId="239918CD" w14:textId="77777777" w:rsidR="009B4045" w:rsidRPr="006A460D" w:rsidRDefault="00546F37" w:rsidP="009B4045">
      <w:pPr>
        <w:rPr>
          <w:rFonts w:cs="Arial"/>
        </w:rPr>
      </w:pPr>
      <w:r w:rsidRPr="00546F37">
        <w:rPr>
          <w:rFonts w:cs="Arial"/>
          <w:b/>
        </w:rPr>
        <w:t>Implications for APTC</w:t>
      </w:r>
      <w:r w:rsidR="009B4045" w:rsidRPr="006A460D">
        <w:rPr>
          <w:rFonts w:cs="Arial"/>
        </w:rPr>
        <w:t xml:space="preserve"> of these priorities are:</w:t>
      </w:r>
    </w:p>
    <w:p w14:paraId="43593C9A" w14:textId="77777777" w:rsidR="009B4045" w:rsidRPr="006A460D" w:rsidRDefault="009B4045" w:rsidP="000668BA">
      <w:pPr>
        <w:numPr>
          <w:ilvl w:val="0"/>
          <w:numId w:val="46"/>
        </w:numPr>
        <w:spacing w:after="0"/>
        <w:rPr>
          <w:rFonts w:cs="Arial"/>
        </w:rPr>
      </w:pPr>
      <w:r w:rsidRPr="006A460D">
        <w:rPr>
          <w:rFonts w:cs="Arial"/>
          <w:i/>
        </w:rPr>
        <w:t>Private sector development</w:t>
      </w:r>
      <w:r w:rsidRPr="006A460D">
        <w:rPr>
          <w:rFonts w:cs="Arial"/>
        </w:rPr>
        <w:t xml:space="preserve">. APTC </w:t>
      </w:r>
      <w:r>
        <w:rPr>
          <w:rFonts w:cs="Arial"/>
        </w:rPr>
        <w:t>contributes</w:t>
      </w:r>
      <w:r w:rsidRPr="006A460D">
        <w:rPr>
          <w:rFonts w:cs="Arial"/>
        </w:rPr>
        <w:t xml:space="preserve"> to private sector growth by supporting employment (including self-employment) and reducing reliance on the public sector. This also has implications for its own operations</w:t>
      </w:r>
      <w:r w:rsidR="007A21AC">
        <w:rPr>
          <w:rFonts w:cs="Arial"/>
        </w:rPr>
        <w:t>,</w:t>
      </w:r>
      <w:r w:rsidRPr="006A460D">
        <w:rPr>
          <w:rFonts w:cs="Arial"/>
        </w:rPr>
        <w:t xml:space="preserve"> where becoming more self-sustaining financially is also a goal.</w:t>
      </w:r>
    </w:p>
    <w:p w14:paraId="5176A866" w14:textId="77777777" w:rsidR="009B4045" w:rsidRPr="006A460D" w:rsidRDefault="009B4045" w:rsidP="000668BA">
      <w:pPr>
        <w:numPr>
          <w:ilvl w:val="0"/>
          <w:numId w:val="46"/>
        </w:numPr>
        <w:spacing w:after="0"/>
        <w:rPr>
          <w:rFonts w:cs="Arial"/>
        </w:rPr>
      </w:pPr>
      <w:r w:rsidRPr="006A460D">
        <w:rPr>
          <w:rFonts w:cs="Arial"/>
          <w:i/>
        </w:rPr>
        <w:t>Emphasis on agriculture and fisheries</w:t>
      </w:r>
      <w:r w:rsidRPr="006A460D">
        <w:rPr>
          <w:rFonts w:cs="Arial"/>
        </w:rPr>
        <w:t>. APTC has been exploring opportunities in this area for some time, particularly in agri-business. Delivery of training in this field would support the Australian aid policy, including in small and micro-businesses.</w:t>
      </w:r>
    </w:p>
    <w:p w14:paraId="502743B2" w14:textId="77777777" w:rsidR="009B4045" w:rsidRPr="006A460D" w:rsidRDefault="009B4045" w:rsidP="000668BA">
      <w:pPr>
        <w:numPr>
          <w:ilvl w:val="0"/>
          <w:numId w:val="46"/>
        </w:numPr>
        <w:spacing w:after="0"/>
        <w:rPr>
          <w:rFonts w:cs="Arial"/>
        </w:rPr>
      </w:pPr>
      <w:r w:rsidRPr="006A460D">
        <w:rPr>
          <w:rFonts w:cs="Arial"/>
          <w:i/>
        </w:rPr>
        <w:t>Provision of humanitarian assistance in response to emergencies</w:t>
      </w:r>
      <w:r w:rsidRPr="006A460D">
        <w:rPr>
          <w:rFonts w:cs="Arial"/>
        </w:rPr>
        <w:t>. The Pacific region is vulnerable to natural disasters such as cyclones, earthquakes and tsunami</w:t>
      </w:r>
      <w:r>
        <w:rPr>
          <w:rFonts w:cs="Arial"/>
        </w:rPr>
        <w:t>s</w:t>
      </w:r>
      <w:r w:rsidRPr="006A460D">
        <w:rPr>
          <w:rFonts w:cs="Arial"/>
        </w:rPr>
        <w:t>. APTC has joined with other partners to provide humanitarian assistance in the past, for example following Cyclone Evan in 2012, and this can be seen as consistent with the Australian aid policy.</w:t>
      </w:r>
    </w:p>
    <w:p w14:paraId="0D5CDA0F" w14:textId="77777777" w:rsidR="009B4045" w:rsidRPr="006A460D" w:rsidRDefault="009B4045" w:rsidP="000668BA">
      <w:pPr>
        <w:numPr>
          <w:ilvl w:val="0"/>
          <w:numId w:val="46"/>
        </w:numPr>
        <w:spacing w:after="0"/>
        <w:rPr>
          <w:rFonts w:cs="Arial"/>
        </w:rPr>
      </w:pPr>
      <w:r w:rsidRPr="006A460D">
        <w:rPr>
          <w:rFonts w:cs="Arial"/>
          <w:i/>
        </w:rPr>
        <w:t xml:space="preserve">Value for </w:t>
      </w:r>
      <w:r w:rsidR="003C34AE">
        <w:rPr>
          <w:rFonts w:cs="Arial"/>
          <w:i/>
        </w:rPr>
        <w:t>m</w:t>
      </w:r>
      <w:r w:rsidR="003C34AE" w:rsidRPr="006A460D">
        <w:rPr>
          <w:rFonts w:cs="Arial"/>
          <w:i/>
        </w:rPr>
        <w:t>oney</w:t>
      </w:r>
      <w:r w:rsidRPr="006A460D">
        <w:rPr>
          <w:rFonts w:cs="Arial"/>
        </w:rPr>
        <w:t>: APTC has developed sound management information systems which can readily provide the data for analysing value for money</w:t>
      </w:r>
      <w:r w:rsidR="00FA14DF">
        <w:rPr>
          <w:rFonts w:cs="Arial"/>
        </w:rPr>
        <w:t xml:space="preserve"> </w:t>
      </w:r>
      <w:r>
        <w:rPr>
          <w:rFonts w:cs="Arial"/>
        </w:rPr>
        <w:t>(Annex 9)</w:t>
      </w:r>
      <w:r w:rsidR="00FF0BDD">
        <w:rPr>
          <w:rFonts w:cs="Arial"/>
        </w:rPr>
        <w:t>.</w:t>
      </w:r>
      <w:r>
        <w:rPr>
          <w:rFonts w:cs="Arial"/>
        </w:rPr>
        <w:t xml:space="preserve"> </w:t>
      </w:r>
      <w:r w:rsidRPr="006A460D">
        <w:rPr>
          <w:rFonts w:cs="Arial"/>
        </w:rPr>
        <w:t xml:space="preserve">It will be in APTC’s best interests to develop sophisticated performance and impact measurement systems. </w:t>
      </w:r>
    </w:p>
    <w:p w14:paraId="3E26357C" w14:textId="77777777" w:rsidR="009B4045" w:rsidRPr="006A460D" w:rsidRDefault="009B4045" w:rsidP="000668BA">
      <w:pPr>
        <w:numPr>
          <w:ilvl w:val="0"/>
          <w:numId w:val="46"/>
        </w:numPr>
        <w:spacing w:after="0"/>
        <w:rPr>
          <w:rFonts w:cs="Arial"/>
        </w:rPr>
      </w:pPr>
      <w:r w:rsidRPr="006A460D">
        <w:rPr>
          <w:rFonts w:cs="Arial"/>
          <w:i/>
        </w:rPr>
        <w:t>Gender equality and empowerment of girls</w:t>
      </w:r>
      <w:r w:rsidRPr="006A460D">
        <w:rPr>
          <w:rFonts w:cs="Arial"/>
        </w:rPr>
        <w:t xml:space="preserve">. APTC has a </w:t>
      </w:r>
      <w:r>
        <w:rPr>
          <w:rFonts w:cs="Arial"/>
        </w:rPr>
        <w:t xml:space="preserve">strong </w:t>
      </w:r>
      <w:r w:rsidRPr="006A460D">
        <w:rPr>
          <w:rFonts w:cs="Arial"/>
        </w:rPr>
        <w:t>commitment to gender equality</w:t>
      </w:r>
      <w:r>
        <w:rPr>
          <w:rFonts w:cs="Arial"/>
        </w:rPr>
        <w:t xml:space="preserve"> (Annex 6)</w:t>
      </w:r>
      <w:r w:rsidR="00D97BF7">
        <w:rPr>
          <w:rFonts w:cs="Arial"/>
        </w:rPr>
        <w:t>.</w:t>
      </w:r>
    </w:p>
    <w:p w14:paraId="5ADEAD30" w14:textId="77777777" w:rsidR="009B4045" w:rsidRPr="006A460D" w:rsidRDefault="009B4045" w:rsidP="00950268">
      <w:pPr>
        <w:spacing w:after="0"/>
        <w:rPr>
          <w:rFonts w:cs="Arial"/>
        </w:rPr>
      </w:pPr>
    </w:p>
    <w:p w14:paraId="32E7EFBA" w14:textId="77777777" w:rsidR="00420056" w:rsidRDefault="00420056">
      <w:pPr>
        <w:spacing w:after="0"/>
        <w:rPr>
          <w:rFonts w:cs="Arial"/>
          <w:b/>
        </w:rPr>
      </w:pPr>
      <w:r>
        <w:rPr>
          <w:rFonts w:cs="Arial"/>
          <w:b/>
        </w:rPr>
        <w:br w:type="page"/>
      </w:r>
    </w:p>
    <w:p w14:paraId="2BA6EDCB" w14:textId="795E54CB" w:rsidR="009B4045" w:rsidRPr="006C38BE" w:rsidRDefault="00546F37" w:rsidP="006360E3">
      <w:pPr>
        <w:rPr>
          <w:rFonts w:cs="Arial"/>
          <w:b/>
        </w:rPr>
      </w:pPr>
      <w:r w:rsidRPr="00546F37">
        <w:rPr>
          <w:rFonts w:cs="Arial"/>
          <w:b/>
        </w:rPr>
        <w:t>Challenges of regional service delivery</w:t>
      </w:r>
    </w:p>
    <w:p w14:paraId="3DFD590A" w14:textId="77777777" w:rsidR="009B4045" w:rsidRPr="006A460D" w:rsidRDefault="009B4045" w:rsidP="00950268">
      <w:pPr>
        <w:spacing w:after="0"/>
        <w:rPr>
          <w:rFonts w:eastAsia="Calibri" w:cs="Arial"/>
          <w:bCs/>
        </w:rPr>
      </w:pPr>
      <w:r w:rsidRPr="006A460D">
        <w:rPr>
          <w:rFonts w:eastAsia="Calibri" w:cs="Arial"/>
        </w:rPr>
        <w:t xml:space="preserve">The eventual goal of Pacific ownership of APTC as a regional service agency will face a number of challenges. A recent assessment of </w:t>
      </w:r>
      <w:r w:rsidRPr="006A460D">
        <w:rPr>
          <w:rFonts w:eastAsia="Calibri" w:cs="Arial"/>
          <w:bCs/>
        </w:rPr>
        <w:t>regional service delivery among small island states in the Pacific (Dornan &amp; Cain 2013) has highlighted the problems of top-down, all-encompassing efforts to set up region-wide service pooling arrangements. The authors note that the slow progress of the 20 initiatives reviewed are due to problems inherent in voluntary regionalism. Added to this are complications created by the diversity of Pacific island states, politico-</w:t>
      </w:r>
      <w:r w:rsidR="00552506" w:rsidRPr="006A460D">
        <w:rPr>
          <w:rFonts w:eastAsia="Calibri" w:cs="Arial"/>
          <w:bCs/>
        </w:rPr>
        <w:t>econom</w:t>
      </w:r>
      <w:r w:rsidR="00552506">
        <w:rPr>
          <w:rFonts w:eastAsia="Calibri" w:cs="Arial"/>
          <w:bCs/>
        </w:rPr>
        <w:t>ic</w:t>
      </w:r>
      <w:r w:rsidR="00552506" w:rsidRPr="006A460D">
        <w:rPr>
          <w:rFonts w:eastAsia="Calibri" w:cs="Arial"/>
          <w:bCs/>
        </w:rPr>
        <w:t xml:space="preserve"> </w:t>
      </w:r>
      <w:r w:rsidRPr="006A460D">
        <w:rPr>
          <w:rFonts w:eastAsia="Calibri" w:cs="Arial"/>
          <w:bCs/>
        </w:rPr>
        <w:t xml:space="preserve">factors, and problems of accountability and legitimacy. </w:t>
      </w:r>
    </w:p>
    <w:p w14:paraId="3B4DBBBC" w14:textId="77777777" w:rsidR="009B4045" w:rsidRPr="006A460D" w:rsidRDefault="009B4045" w:rsidP="00950268">
      <w:pPr>
        <w:spacing w:after="0"/>
        <w:rPr>
          <w:rFonts w:eastAsia="Calibri" w:cs="Arial"/>
        </w:rPr>
      </w:pPr>
    </w:p>
    <w:p w14:paraId="3027F2BD" w14:textId="77777777" w:rsidR="009B4045" w:rsidRPr="006A460D" w:rsidRDefault="009B4045" w:rsidP="00950268">
      <w:pPr>
        <w:spacing w:after="0"/>
        <w:rPr>
          <w:rFonts w:eastAsia="Calibri" w:cs="Arial"/>
        </w:rPr>
      </w:pPr>
      <w:r w:rsidRPr="006A460D">
        <w:rPr>
          <w:rFonts w:eastAsia="Calibri" w:cs="Arial"/>
        </w:rPr>
        <w:t xml:space="preserve">A better approach, they suggest, is to start at a sub-regional level. This requires working slowly towards pooled service delivery based on good evidence of what works in the countries affected. Also needed is the political will and economic desire for the pooling arrangements and the national institutions capable of supporting the required cooperation. </w:t>
      </w:r>
      <w:r w:rsidR="00EA509C" w:rsidRPr="006A460D">
        <w:rPr>
          <w:rFonts w:eastAsia="Calibri" w:cs="Arial"/>
        </w:rPr>
        <w:t>Bottom</w:t>
      </w:r>
      <w:r w:rsidR="00EA509C">
        <w:rPr>
          <w:rFonts w:eastAsia="Calibri" w:cs="Arial"/>
        </w:rPr>
        <w:t>-</w:t>
      </w:r>
      <w:r w:rsidRPr="006A460D">
        <w:rPr>
          <w:rFonts w:eastAsia="Calibri" w:cs="Arial"/>
        </w:rPr>
        <w:t>up change based on local ownership requires building up broad support from a diversity of stakeholders who can see the benefits. APTC needs a strategy on how best to do this, and time to achieve it. The country focus emphasised throughout this report steps in this direction.</w:t>
      </w:r>
    </w:p>
    <w:p w14:paraId="07981587" w14:textId="459C9F30" w:rsidR="003D355F" w:rsidRDefault="00462F70" w:rsidP="002028A6">
      <w:pPr>
        <w:pStyle w:val="Heading1"/>
      </w:pPr>
      <w:bookmarkStart w:id="1256" w:name="_Toc278448005"/>
      <w:bookmarkStart w:id="1257" w:name="_Toc278453478"/>
      <w:r>
        <w:t xml:space="preserve">4 </w:t>
      </w:r>
      <w:r w:rsidR="002750AF">
        <w:tab/>
      </w:r>
      <w:r w:rsidR="009B4045" w:rsidRPr="006A460D">
        <w:t>What key principles and lessons should guide decisions about the future of APTC?</w:t>
      </w:r>
      <w:bookmarkEnd w:id="1256"/>
      <w:bookmarkEnd w:id="1257"/>
    </w:p>
    <w:p w14:paraId="707E9FDA" w14:textId="77777777" w:rsidR="009B4045" w:rsidRPr="006A460D" w:rsidRDefault="009B4045" w:rsidP="009B4045">
      <w:pPr>
        <w:rPr>
          <w:rFonts w:cs="Arial"/>
        </w:rPr>
      </w:pPr>
      <w:r w:rsidRPr="006A460D">
        <w:rPr>
          <w:rFonts w:cs="Arial"/>
        </w:rPr>
        <w:t>First and foremost, the principles underpinning the Australian aid policy will guide strategic decisions about the future of APTC together with the policies of the Pacific Island countries.</w:t>
      </w:r>
    </w:p>
    <w:p w14:paraId="44C756CC" w14:textId="35590AEA" w:rsidR="009B4045" w:rsidRPr="006A460D" w:rsidRDefault="009B4045" w:rsidP="009B4045">
      <w:pPr>
        <w:rPr>
          <w:rFonts w:cs="Arial"/>
        </w:rPr>
      </w:pPr>
      <w:r w:rsidRPr="006A460D">
        <w:rPr>
          <w:rFonts w:cs="Arial"/>
        </w:rPr>
        <w:t xml:space="preserve">The future success of APTC as a stand-alone, relevant and sustainable institution </w:t>
      </w:r>
      <w:r w:rsidR="000E064D">
        <w:rPr>
          <w:rFonts w:cs="Arial"/>
        </w:rPr>
        <w:t xml:space="preserve">also </w:t>
      </w:r>
      <w:r w:rsidRPr="006A460D">
        <w:rPr>
          <w:rFonts w:cs="Arial"/>
        </w:rPr>
        <w:t>depend</w:t>
      </w:r>
      <w:r w:rsidR="000E064D">
        <w:rPr>
          <w:rFonts w:cs="Arial"/>
        </w:rPr>
        <w:t>s</w:t>
      </w:r>
      <w:r w:rsidR="00F60C3F">
        <w:rPr>
          <w:rFonts w:cs="Arial"/>
        </w:rPr>
        <w:t xml:space="preserve"> in part</w:t>
      </w:r>
      <w:r w:rsidRPr="006A460D">
        <w:rPr>
          <w:rFonts w:cs="Arial"/>
        </w:rPr>
        <w:t xml:space="preserve"> on how well it addresses the four Busan principles of aid effectiveness.</w:t>
      </w:r>
      <w:r w:rsidRPr="006A460D">
        <w:rPr>
          <w:rFonts w:eastAsia="Calibri" w:cs="Arial"/>
          <w:vertAlign w:val="superscript"/>
        </w:rPr>
        <w:footnoteReference w:id="92"/>
      </w:r>
      <w:r w:rsidRPr="006A460D">
        <w:rPr>
          <w:rFonts w:cs="Arial"/>
        </w:rPr>
        <w:t xml:space="preserve"> These principles can be posed as questions for APTC in five to </w:t>
      </w:r>
      <w:r w:rsidR="000A66E0">
        <w:rPr>
          <w:rFonts w:cs="Arial"/>
        </w:rPr>
        <w:t>10</w:t>
      </w:r>
      <w:r w:rsidR="00F344C5">
        <w:rPr>
          <w:rFonts w:cs="Arial"/>
        </w:rPr>
        <w:t> </w:t>
      </w:r>
      <w:r w:rsidRPr="006A460D">
        <w:rPr>
          <w:rFonts w:cs="Arial"/>
        </w:rPr>
        <w:t>years’ time.</w:t>
      </w:r>
    </w:p>
    <w:p w14:paraId="2E599977" w14:textId="77777777" w:rsidR="009B4045" w:rsidRPr="006A460D" w:rsidRDefault="009B4045" w:rsidP="000668BA">
      <w:pPr>
        <w:numPr>
          <w:ilvl w:val="0"/>
          <w:numId w:val="49"/>
        </w:numPr>
        <w:spacing w:after="0"/>
        <w:contextualSpacing/>
        <w:rPr>
          <w:rFonts w:cs="Arial"/>
        </w:rPr>
      </w:pPr>
      <w:r w:rsidRPr="006A460D">
        <w:rPr>
          <w:rFonts w:cs="Arial"/>
        </w:rPr>
        <w:t>How well has APTC addressed the development priorities of each country and of the region it serves?</w:t>
      </w:r>
    </w:p>
    <w:p w14:paraId="3E613D67" w14:textId="77777777" w:rsidR="009B4045" w:rsidRPr="006A460D" w:rsidRDefault="009B4045" w:rsidP="000668BA">
      <w:pPr>
        <w:numPr>
          <w:ilvl w:val="0"/>
          <w:numId w:val="49"/>
        </w:numPr>
        <w:spacing w:after="0"/>
        <w:contextualSpacing/>
        <w:rPr>
          <w:rFonts w:cs="Arial"/>
        </w:rPr>
      </w:pPr>
      <w:r w:rsidRPr="006A460D">
        <w:rPr>
          <w:rFonts w:cs="Arial"/>
        </w:rPr>
        <w:t xml:space="preserve">What solid evidence is there for the lasting results APTC has achieved? </w:t>
      </w:r>
    </w:p>
    <w:p w14:paraId="337D63B9" w14:textId="77777777" w:rsidR="009B4045" w:rsidRPr="006A460D" w:rsidRDefault="009B4045" w:rsidP="000668BA">
      <w:pPr>
        <w:numPr>
          <w:ilvl w:val="0"/>
          <w:numId w:val="49"/>
        </w:numPr>
        <w:spacing w:after="0"/>
        <w:contextualSpacing/>
        <w:rPr>
          <w:rFonts w:cs="Arial"/>
        </w:rPr>
      </w:pPr>
      <w:r w:rsidRPr="006A460D">
        <w:rPr>
          <w:rFonts w:cs="Arial"/>
        </w:rPr>
        <w:t>How well has APTC worked in effective partnerships with governments, employers and donors, based on openness, trust, mutual respect and learning?</w:t>
      </w:r>
    </w:p>
    <w:p w14:paraId="6C6778BC" w14:textId="77777777" w:rsidR="009B4045" w:rsidRDefault="009B4045" w:rsidP="000668BA">
      <w:pPr>
        <w:numPr>
          <w:ilvl w:val="0"/>
          <w:numId w:val="49"/>
        </w:numPr>
        <w:contextualSpacing/>
        <w:rPr>
          <w:rFonts w:cs="Arial"/>
        </w:rPr>
      </w:pPr>
      <w:r w:rsidRPr="006A460D">
        <w:rPr>
          <w:rFonts w:cs="Arial"/>
        </w:rPr>
        <w:t>Has APTC been transparent and accountable to its intended beneficiaries for the outcomes it has been asked to deliver?</w:t>
      </w:r>
    </w:p>
    <w:p w14:paraId="588FBDE8" w14:textId="77777777" w:rsidR="009B4045" w:rsidRPr="006A460D" w:rsidRDefault="009B4045" w:rsidP="009B4045">
      <w:pPr>
        <w:spacing w:line="259" w:lineRule="auto"/>
        <w:contextualSpacing/>
        <w:rPr>
          <w:rFonts w:cs="Arial"/>
        </w:rPr>
      </w:pPr>
    </w:p>
    <w:p w14:paraId="0D956C7D" w14:textId="77777777" w:rsidR="001C30C6" w:rsidRPr="001C30C6" w:rsidRDefault="001C30C6" w:rsidP="000859B4">
      <w:pPr>
        <w:spacing w:after="200"/>
        <w:rPr>
          <w:rFonts w:eastAsia="Calibri" w:cs="Arial"/>
          <w:szCs w:val="22"/>
        </w:rPr>
      </w:pPr>
      <w:r w:rsidRPr="001C30C6">
        <w:rPr>
          <w:rFonts w:cs="Arial"/>
          <w:szCs w:val="22"/>
        </w:rPr>
        <w:t xml:space="preserve">After eight years of delivery of Australian qualifications in the Pacific, what key principles and lessons should guide decisions about the future of APTC? </w:t>
      </w:r>
    </w:p>
    <w:p w14:paraId="386F9E73" w14:textId="5420204B" w:rsidR="001C30C6" w:rsidRPr="001C30C6"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Need for long</w:t>
      </w:r>
      <w:r w:rsidR="00985789">
        <w:rPr>
          <w:rFonts w:eastAsia="Calibri" w:cs="Arial"/>
          <w:b/>
          <w:szCs w:val="22"/>
        </w:rPr>
        <w:t>-</w:t>
      </w:r>
      <w:r w:rsidRPr="001C30C6">
        <w:rPr>
          <w:rFonts w:eastAsia="Calibri" w:cs="Arial"/>
          <w:b/>
          <w:szCs w:val="22"/>
        </w:rPr>
        <w:t>term perspective</w:t>
      </w:r>
      <w:r w:rsidRPr="001C30C6">
        <w:rPr>
          <w:rFonts w:eastAsia="Calibri" w:cs="Arial"/>
          <w:szCs w:val="22"/>
        </w:rPr>
        <w:t>. One key lesson is the importance of a l</w:t>
      </w:r>
      <w:r w:rsidR="00985789">
        <w:rPr>
          <w:rFonts w:eastAsia="Calibri" w:cs="Arial"/>
          <w:szCs w:val="22"/>
        </w:rPr>
        <w:t>ong time</w:t>
      </w:r>
      <w:r w:rsidRPr="001C30C6">
        <w:rPr>
          <w:rFonts w:eastAsia="Calibri" w:cs="Arial"/>
          <w:szCs w:val="22"/>
        </w:rPr>
        <w:t>frame to implement a large program across a diverse geographical, political and social landscape. This underscores the necessity of a long</w:t>
      </w:r>
      <w:r w:rsidR="00F15884">
        <w:rPr>
          <w:rFonts w:eastAsia="Calibri" w:cs="Arial"/>
          <w:szCs w:val="22"/>
        </w:rPr>
        <w:t>-</w:t>
      </w:r>
      <w:r w:rsidRPr="001C30C6">
        <w:rPr>
          <w:rFonts w:eastAsia="Calibri" w:cs="Arial"/>
          <w:szCs w:val="22"/>
        </w:rPr>
        <w:t xml:space="preserve">term perspective in planning APTC’s future. Finding: APTC has been limited by working in a planning </w:t>
      </w:r>
      <w:r w:rsidR="004331A2">
        <w:rPr>
          <w:rFonts w:eastAsia="Calibri" w:cs="Arial"/>
          <w:szCs w:val="22"/>
        </w:rPr>
        <w:t>environment aligned to the four-</w:t>
      </w:r>
      <w:r w:rsidRPr="001C30C6">
        <w:rPr>
          <w:rFonts w:eastAsia="Calibri" w:cs="Arial"/>
          <w:szCs w:val="22"/>
        </w:rPr>
        <w:t xml:space="preserve">year contract and without a clear view </w:t>
      </w:r>
      <w:r w:rsidR="002022B7">
        <w:rPr>
          <w:rFonts w:eastAsia="Calibri" w:cs="Arial"/>
          <w:szCs w:val="22"/>
        </w:rPr>
        <w:t xml:space="preserve">provided by DFAT </w:t>
      </w:r>
      <w:r w:rsidR="004331A2">
        <w:rPr>
          <w:rFonts w:eastAsia="Calibri" w:cs="Arial"/>
          <w:szCs w:val="22"/>
        </w:rPr>
        <w:t>of a long-</w:t>
      </w:r>
      <w:r w:rsidRPr="001C30C6">
        <w:rPr>
          <w:rFonts w:eastAsia="Calibri" w:cs="Arial"/>
          <w:szCs w:val="22"/>
        </w:rPr>
        <w:t>term vision for its future.</w:t>
      </w:r>
      <w:r w:rsidR="00D03816" w:rsidRPr="00D03816">
        <w:rPr>
          <w:rFonts w:eastAsia="Calibri" w:cs="Arial"/>
          <w:szCs w:val="22"/>
        </w:rPr>
        <w:t xml:space="preserve"> </w:t>
      </w:r>
      <w:r w:rsidR="00D03816">
        <w:rPr>
          <w:rFonts w:eastAsia="Calibri" w:cs="Arial"/>
          <w:szCs w:val="22"/>
        </w:rPr>
        <w:t>Implication</w:t>
      </w:r>
      <w:r w:rsidRPr="001C30C6">
        <w:rPr>
          <w:rFonts w:eastAsia="Calibri" w:cs="Arial"/>
          <w:szCs w:val="22"/>
        </w:rPr>
        <w:t>: APTC should operate within a strategic framework developed by DFAT that ar</w:t>
      </w:r>
      <w:r w:rsidR="004331A2">
        <w:rPr>
          <w:rFonts w:eastAsia="Calibri" w:cs="Arial"/>
          <w:szCs w:val="22"/>
        </w:rPr>
        <w:t xml:space="preserve">ticulates the criteria and time </w:t>
      </w:r>
      <w:r w:rsidRPr="001C30C6">
        <w:rPr>
          <w:rFonts w:eastAsia="Calibri" w:cs="Arial"/>
          <w:szCs w:val="22"/>
        </w:rPr>
        <w:t xml:space="preserve">lines by which the ultimate success of APTC can be judged. </w:t>
      </w:r>
      <w:r w:rsidR="00985789">
        <w:rPr>
          <w:rFonts w:eastAsia="Calibri" w:cs="Arial"/>
          <w:szCs w:val="22"/>
        </w:rPr>
        <w:br/>
      </w:r>
    </w:p>
    <w:p w14:paraId="64D626BC" w14:textId="77777777" w:rsidR="00985789" w:rsidRDefault="00985789">
      <w:pPr>
        <w:spacing w:after="0"/>
        <w:rPr>
          <w:rFonts w:eastAsia="Calibri" w:cs="Arial"/>
          <w:b/>
          <w:szCs w:val="22"/>
        </w:rPr>
      </w:pPr>
      <w:r>
        <w:rPr>
          <w:rFonts w:eastAsia="Calibri" w:cs="Arial"/>
          <w:b/>
          <w:szCs w:val="22"/>
        </w:rPr>
        <w:br w:type="page"/>
      </w:r>
    </w:p>
    <w:p w14:paraId="2D1E6D9B" w14:textId="509E52AA" w:rsidR="001C30C6" w:rsidRPr="001C30C6"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Emphasis on outcomes</w:t>
      </w:r>
      <w:r w:rsidRPr="001C30C6">
        <w:rPr>
          <w:rFonts w:eastAsia="Calibri" w:cs="Arial"/>
          <w:szCs w:val="22"/>
        </w:rPr>
        <w:t>. The need for a shift in emphasis from inputs/outputs to outcomes is noted in PESDA 2011 (p.</w:t>
      </w:r>
      <w:r w:rsidR="00D54982">
        <w:rPr>
          <w:rFonts w:eastAsia="Calibri" w:cs="Arial"/>
          <w:szCs w:val="22"/>
        </w:rPr>
        <w:t xml:space="preserve"> </w:t>
      </w:r>
      <w:r w:rsidRPr="001C30C6">
        <w:rPr>
          <w:rFonts w:eastAsia="Calibri" w:cs="Arial"/>
          <w:szCs w:val="22"/>
        </w:rPr>
        <w:t>10). Finding: The APTC program focuses on outputs (qualifications produced) not on l</w:t>
      </w:r>
      <w:r w:rsidR="002022B7">
        <w:rPr>
          <w:rFonts w:eastAsia="Calibri" w:cs="Arial"/>
          <w:szCs w:val="22"/>
        </w:rPr>
        <w:t>abour market results and impact</w:t>
      </w:r>
      <w:r w:rsidRPr="001C30C6">
        <w:rPr>
          <w:rFonts w:eastAsia="Calibri" w:cs="Arial"/>
          <w:szCs w:val="22"/>
        </w:rPr>
        <w:t xml:space="preserve"> on enterprise productivity. As a result</w:t>
      </w:r>
      <w:r w:rsidR="00D54982">
        <w:rPr>
          <w:rFonts w:eastAsia="Calibri" w:cs="Arial"/>
          <w:szCs w:val="22"/>
        </w:rPr>
        <w:t>,</w:t>
      </w:r>
      <w:r w:rsidRPr="001C30C6">
        <w:rPr>
          <w:rFonts w:eastAsia="Calibri" w:cs="Arial"/>
          <w:szCs w:val="22"/>
        </w:rPr>
        <w:t xml:space="preserve"> the evaluation could say relatively little about economic impact. In addition, the lack of evidence on employment outcomes</w:t>
      </w:r>
      <w:r w:rsidR="00D54982">
        <w:rPr>
          <w:rFonts w:eastAsia="Calibri" w:cs="Arial"/>
          <w:szCs w:val="22"/>
        </w:rPr>
        <w:t>,</w:t>
      </w:r>
      <w:r w:rsidRPr="001C30C6">
        <w:rPr>
          <w:rFonts w:eastAsia="Calibri" w:cs="Arial"/>
          <w:szCs w:val="22"/>
        </w:rPr>
        <w:t xml:space="preserve"> such as wage rates and skills match by qualification and gender for each country</w:t>
      </w:r>
      <w:r w:rsidR="00D54982">
        <w:rPr>
          <w:rFonts w:eastAsia="Calibri" w:cs="Arial"/>
          <w:szCs w:val="22"/>
        </w:rPr>
        <w:t>,</w:t>
      </w:r>
      <w:r w:rsidRPr="001C30C6">
        <w:rPr>
          <w:rFonts w:eastAsia="Calibri" w:cs="Arial"/>
          <w:szCs w:val="22"/>
        </w:rPr>
        <w:t xml:space="preserve"> has been a lost opportunity to show governments and other stakeholders the beneficial impact of investing in TVET. </w:t>
      </w:r>
      <w:r w:rsidR="00D03816">
        <w:rPr>
          <w:rFonts w:eastAsia="Calibri" w:cs="Arial"/>
          <w:szCs w:val="22"/>
        </w:rPr>
        <w:t>Implication:</w:t>
      </w:r>
      <w:r w:rsidR="00D03816" w:rsidRPr="001C30C6">
        <w:rPr>
          <w:rFonts w:eastAsia="Calibri" w:cs="Arial"/>
          <w:szCs w:val="22"/>
        </w:rPr>
        <w:t xml:space="preserve"> </w:t>
      </w:r>
      <w:r w:rsidRPr="001C30C6">
        <w:rPr>
          <w:rFonts w:eastAsia="Calibri" w:cs="Arial"/>
          <w:szCs w:val="22"/>
        </w:rPr>
        <w:t xml:space="preserve">A carefully designed and adequately resourced evaluation </w:t>
      </w:r>
      <w:r w:rsidR="002022B7">
        <w:rPr>
          <w:rFonts w:eastAsia="Calibri" w:cs="Arial"/>
          <w:szCs w:val="22"/>
        </w:rPr>
        <w:t xml:space="preserve">system </w:t>
      </w:r>
      <w:r w:rsidR="001444F7">
        <w:rPr>
          <w:rFonts w:eastAsia="Calibri" w:cs="Arial"/>
          <w:szCs w:val="22"/>
        </w:rPr>
        <w:t xml:space="preserve">focused on outcomes </w:t>
      </w:r>
      <w:r w:rsidRPr="001C30C6">
        <w:rPr>
          <w:rFonts w:eastAsia="Calibri" w:cs="Arial"/>
          <w:szCs w:val="22"/>
        </w:rPr>
        <w:t>has to be a key element in showing key stakeholders the value of investing in APTC and high quality TVET.</w:t>
      </w:r>
      <w:r w:rsidR="00A232A5">
        <w:rPr>
          <w:rFonts w:eastAsia="Calibri" w:cs="Arial"/>
          <w:szCs w:val="22"/>
        </w:rPr>
        <w:br/>
      </w:r>
    </w:p>
    <w:p w14:paraId="035FA642" w14:textId="5EFD9AC8" w:rsidR="001C30C6" w:rsidRPr="001C30C6"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Demand-driven</w:t>
      </w:r>
      <w:r w:rsidRPr="001C30C6">
        <w:rPr>
          <w:rFonts w:eastAsia="Calibri" w:cs="Arial"/>
          <w:szCs w:val="22"/>
        </w:rPr>
        <w:t>. PESDA 2011 stated that APTC will provide demand-driven qualifications (p.</w:t>
      </w:r>
      <w:r w:rsidR="001D4DB8">
        <w:rPr>
          <w:rFonts w:eastAsia="Calibri" w:cs="Arial"/>
          <w:szCs w:val="22"/>
        </w:rPr>
        <w:t xml:space="preserve"> </w:t>
      </w:r>
      <w:r w:rsidRPr="001C30C6">
        <w:rPr>
          <w:rFonts w:eastAsia="Calibri" w:cs="Arial"/>
          <w:szCs w:val="22"/>
        </w:rPr>
        <w:t xml:space="preserve">9). Finding: Insufficient information is collected about </w:t>
      </w:r>
      <w:r w:rsidR="002022B7">
        <w:rPr>
          <w:rFonts w:eastAsia="Calibri" w:cs="Arial"/>
          <w:szCs w:val="22"/>
        </w:rPr>
        <w:t>labour market demand and employment outcomes.</w:t>
      </w:r>
      <w:r w:rsidRPr="001C30C6">
        <w:rPr>
          <w:rFonts w:eastAsia="Calibri" w:cs="Arial"/>
          <w:szCs w:val="22"/>
        </w:rPr>
        <w:t xml:space="preserve"> As a result, APTC risks over</w:t>
      </w:r>
      <w:r w:rsidR="00D54982">
        <w:rPr>
          <w:rFonts w:eastAsia="Calibri" w:cs="Arial"/>
          <w:szCs w:val="22"/>
        </w:rPr>
        <w:t>-</w:t>
      </w:r>
      <w:r w:rsidRPr="001C30C6">
        <w:rPr>
          <w:rFonts w:eastAsia="Calibri" w:cs="Arial"/>
          <w:szCs w:val="22"/>
        </w:rPr>
        <w:t>supplying the market in some fields.</w:t>
      </w:r>
      <w:r w:rsidR="00D03816" w:rsidRPr="00D03816">
        <w:rPr>
          <w:rFonts w:eastAsia="Calibri" w:cs="Arial"/>
          <w:szCs w:val="22"/>
        </w:rPr>
        <w:t xml:space="preserve"> </w:t>
      </w:r>
      <w:r w:rsidR="00D03816">
        <w:rPr>
          <w:rFonts w:eastAsia="Calibri" w:cs="Arial"/>
          <w:szCs w:val="22"/>
        </w:rPr>
        <w:t>Implication</w:t>
      </w:r>
      <w:r w:rsidRPr="001C30C6">
        <w:rPr>
          <w:rFonts w:eastAsia="Calibri" w:cs="Arial"/>
          <w:szCs w:val="22"/>
        </w:rPr>
        <w:t>: APTC should</w:t>
      </w:r>
      <w:r w:rsidR="00D54982">
        <w:rPr>
          <w:rFonts w:eastAsia="Calibri" w:cs="Arial"/>
          <w:szCs w:val="22"/>
        </w:rPr>
        <w:t>:</w:t>
      </w:r>
      <w:r w:rsidRPr="001C30C6">
        <w:rPr>
          <w:rFonts w:eastAsia="Calibri" w:cs="Arial"/>
          <w:szCs w:val="22"/>
        </w:rPr>
        <w:t xml:space="preserve"> </w:t>
      </w:r>
      <w:r w:rsidR="002022B7">
        <w:rPr>
          <w:rFonts w:eastAsia="Calibri" w:cs="Arial"/>
          <w:szCs w:val="22"/>
        </w:rPr>
        <w:t xml:space="preserve">(1) </w:t>
      </w:r>
      <w:r w:rsidRPr="001C30C6">
        <w:rPr>
          <w:rFonts w:eastAsia="Calibri" w:cs="Arial"/>
          <w:szCs w:val="22"/>
        </w:rPr>
        <w:t>undertake systematic tracer studies by country, qualification and gender</w:t>
      </w:r>
      <w:r w:rsidR="002022B7">
        <w:rPr>
          <w:rFonts w:eastAsia="Calibri" w:cs="Arial"/>
          <w:szCs w:val="22"/>
        </w:rPr>
        <w:t>;</w:t>
      </w:r>
      <w:r w:rsidR="00D60F1C">
        <w:rPr>
          <w:rFonts w:eastAsia="Calibri" w:cs="Arial"/>
          <w:szCs w:val="22"/>
        </w:rPr>
        <w:t xml:space="preserve"> </w:t>
      </w:r>
      <w:r w:rsidR="00D54982">
        <w:rPr>
          <w:rFonts w:eastAsia="Calibri" w:cs="Arial"/>
          <w:szCs w:val="22"/>
        </w:rPr>
        <w:t xml:space="preserve">and </w:t>
      </w:r>
      <w:r w:rsidR="002022B7">
        <w:rPr>
          <w:rFonts w:eastAsia="Calibri" w:cs="Arial"/>
          <w:szCs w:val="22"/>
        </w:rPr>
        <w:t>(2) strengthen the collection and analysis of labour market information</w:t>
      </w:r>
      <w:r w:rsidRPr="001C30C6">
        <w:rPr>
          <w:rFonts w:eastAsia="Calibri" w:cs="Arial"/>
          <w:szCs w:val="22"/>
        </w:rPr>
        <w:t xml:space="preserve">.   </w:t>
      </w:r>
      <w:r w:rsidR="00A232A5">
        <w:rPr>
          <w:rFonts w:eastAsia="Calibri" w:cs="Arial"/>
          <w:szCs w:val="22"/>
        </w:rPr>
        <w:br/>
      </w:r>
    </w:p>
    <w:p w14:paraId="0779E861" w14:textId="037A03BC" w:rsidR="001C30C6" w:rsidRPr="001C30C6"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Placing quality first</w:t>
      </w:r>
      <w:r w:rsidRPr="001C30C6">
        <w:rPr>
          <w:rFonts w:eastAsia="Calibri" w:cs="Arial"/>
          <w:szCs w:val="22"/>
        </w:rPr>
        <w:t>. Finding: APTC has succeeded in delivering Australian</w:t>
      </w:r>
      <w:r w:rsidR="002022B7">
        <w:rPr>
          <w:rFonts w:eastAsia="Calibri" w:cs="Arial"/>
          <w:szCs w:val="22"/>
        </w:rPr>
        <w:t xml:space="preserve"> standards in the Pacific. It ha</w:t>
      </w:r>
      <w:r w:rsidRPr="001C30C6">
        <w:rPr>
          <w:rFonts w:eastAsia="Calibri" w:cs="Arial"/>
          <w:szCs w:val="22"/>
        </w:rPr>
        <w:t xml:space="preserve">s done so </w:t>
      </w:r>
      <w:r w:rsidR="007E2FB6">
        <w:rPr>
          <w:rFonts w:eastAsia="Calibri" w:cs="Arial"/>
          <w:szCs w:val="22"/>
        </w:rPr>
        <w:t xml:space="preserve">by </w:t>
      </w:r>
      <w:r w:rsidRPr="001C30C6">
        <w:rPr>
          <w:rFonts w:eastAsia="Calibri" w:cs="Arial"/>
          <w:szCs w:val="22"/>
        </w:rPr>
        <w:t>relying almost exclusively on Australian staff until recently.</w:t>
      </w:r>
      <w:r w:rsidR="00D03816" w:rsidRPr="00D03816">
        <w:rPr>
          <w:rFonts w:eastAsia="Calibri" w:cs="Arial"/>
          <w:szCs w:val="22"/>
        </w:rPr>
        <w:t xml:space="preserve"> </w:t>
      </w:r>
      <w:r w:rsidR="00D03816">
        <w:rPr>
          <w:rFonts w:eastAsia="Calibri" w:cs="Arial"/>
          <w:szCs w:val="22"/>
        </w:rPr>
        <w:t>Implication</w:t>
      </w:r>
      <w:r w:rsidRPr="001C30C6">
        <w:rPr>
          <w:rFonts w:eastAsia="Calibri" w:cs="Arial"/>
          <w:szCs w:val="22"/>
        </w:rPr>
        <w:t xml:space="preserve">: </w:t>
      </w:r>
      <w:r w:rsidR="002022B7">
        <w:rPr>
          <w:rFonts w:eastAsia="Calibri" w:cs="Arial"/>
          <w:szCs w:val="22"/>
        </w:rPr>
        <w:t xml:space="preserve">Sustaining high quality </w:t>
      </w:r>
      <w:r w:rsidRPr="001C30C6">
        <w:rPr>
          <w:rFonts w:eastAsia="Calibri" w:cs="Arial"/>
          <w:szCs w:val="22"/>
        </w:rPr>
        <w:t xml:space="preserve">requires effort </w:t>
      </w:r>
      <w:r w:rsidR="007E2FB6">
        <w:rPr>
          <w:rFonts w:eastAsia="Calibri" w:cs="Arial"/>
          <w:szCs w:val="22"/>
        </w:rPr>
        <w:t>in</w:t>
      </w:r>
      <w:r w:rsidRPr="001C30C6">
        <w:rPr>
          <w:rFonts w:eastAsia="Calibri" w:cs="Arial"/>
          <w:szCs w:val="22"/>
        </w:rPr>
        <w:t xml:space="preserve"> maintaining the professional currency of teaching staff</w:t>
      </w:r>
      <w:r w:rsidR="007E2FB6">
        <w:rPr>
          <w:rFonts w:eastAsia="Calibri" w:cs="Arial"/>
          <w:szCs w:val="22"/>
        </w:rPr>
        <w:t>,</w:t>
      </w:r>
      <w:r w:rsidRPr="001C30C6">
        <w:rPr>
          <w:rFonts w:eastAsia="Calibri" w:cs="Arial"/>
          <w:szCs w:val="22"/>
        </w:rPr>
        <w:t xml:space="preserve"> particularly as nationalisation of staff accelerates. </w:t>
      </w:r>
      <w:r w:rsidR="00A232A5">
        <w:rPr>
          <w:rFonts w:eastAsia="Calibri" w:cs="Arial"/>
          <w:szCs w:val="22"/>
        </w:rPr>
        <w:br/>
      </w:r>
    </w:p>
    <w:p w14:paraId="6AD47FC4" w14:textId="7AEE0169" w:rsidR="001C30C6" w:rsidRPr="001C30C6"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Client orientation</w:t>
      </w:r>
      <w:r w:rsidRPr="001C30C6">
        <w:rPr>
          <w:rFonts w:eastAsia="Calibri" w:cs="Arial"/>
          <w:szCs w:val="22"/>
        </w:rPr>
        <w:t xml:space="preserve">. Finding: APTC has focused </w:t>
      </w:r>
      <w:r w:rsidR="002022B7" w:rsidRPr="001C30C6">
        <w:rPr>
          <w:rFonts w:eastAsia="Calibri" w:cs="Arial"/>
          <w:szCs w:val="22"/>
        </w:rPr>
        <w:t xml:space="preserve">primarily </w:t>
      </w:r>
      <w:r w:rsidRPr="001C30C6">
        <w:rPr>
          <w:rFonts w:eastAsia="Calibri" w:cs="Arial"/>
          <w:szCs w:val="22"/>
        </w:rPr>
        <w:t>on being accountable to one client (DFAT) in its contractual obligations.</w:t>
      </w:r>
      <w:r w:rsidR="00D03816" w:rsidRPr="00D03816">
        <w:rPr>
          <w:rFonts w:eastAsia="Calibri" w:cs="Arial"/>
          <w:szCs w:val="22"/>
        </w:rPr>
        <w:t xml:space="preserve"> </w:t>
      </w:r>
      <w:r w:rsidR="00D03816">
        <w:rPr>
          <w:rFonts w:eastAsia="Calibri" w:cs="Arial"/>
          <w:szCs w:val="22"/>
        </w:rPr>
        <w:t>Implication</w:t>
      </w:r>
      <w:r w:rsidRPr="001C30C6">
        <w:rPr>
          <w:rFonts w:eastAsia="Calibri" w:cs="Arial"/>
          <w:szCs w:val="22"/>
        </w:rPr>
        <w:t>: APTC needs to place more emphasis on being accountable to other clients (employers, Pacific governments, students and graduates)</w:t>
      </w:r>
      <w:r w:rsidR="007E2FB6">
        <w:rPr>
          <w:rFonts w:eastAsia="Calibri" w:cs="Arial"/>
          <w:szCs w:val="22"/>
        </w:rPr>
        <w:t>.</w:t>
      </w:r>
      <w:r w:rsidRPr="001C30C6">
        <w:rPr>
          <w:rFonts w:eastAsia="Calibri" w:cs="Arial"/>
          <w:szCs w:val="22"/>
        </w:rPr>
        <w:t xml:space="preserve"> </w:t>
      </w:r>
      <w:r w:rsidR="00A232A5">
        <w:rPr>
          <w:rFonts w:eastAsia="Calibri" w:cs="Arial"/>
          <w:szCs w:val="22"/>
        </w:rPr>
        <w:br/>
      </w:r>
    </w:p>
    <w:p w14:paraId="75367AAF" w14:textId="33DBE6BF" w:rsidR="001C30C6" w:rsidRPr="001C30C6"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Country differentiation</w:t>
      </w:r>
      <w:r w:rsidRPr="001C30C6">
        <w:rPr>
          <w:rFonts w:eastAsia="Calibri" w:cs="Arial"/>
          <w:szCs w:val="22"/>
        </w:rPr>
        <w:t xml:space="preserve">. Finding: </w:t>
      </w:r>
      <w:r w:rsidR="00DC209A">
        <w:rPr>
          <w:rFonts w:eastAsia="Calibri" w:cs="Arial"/>
          <w:szCs w:val="22"/>
        </w:rPr>
        <w:t>M</w:t>
      </w:r>
      <w:r w:rsidRPr="001C30C6">
        <w:rPr>
          <w:rFonts w:eastAsia="Calibri" w:cs="Arial"/>
          <w:szCs w:val="22"/>
        </w:rPr>
        <w:t xml:space="preserve">ajor country differences exist in </w:t>
      </w:r>
      <w:r w:rsidR="00DC209A">
        <w:rPr>
          <w:rFonts w:eastAsia="Calibri" w:cs="Arial"/>
          <w:szCs w:val="22"/>
        </w:rPr>
        <w:t xml:space="preserve">the </w:t>
      </w:r>
      <w:r w:rsidRPr="001C30C6">
        <w:rPr>
          <w:rFonts w:eastAsia="Calibri" w:cs="Arial"/>
          <w:szCs w:val="22"/>
        </w:rPr>
        <w:t>level</w:t>
      </w:r>
      <w:r w:rsidR="00DC209A">
        <w:rPr>
          <w:rFonts w:eastAsia="Calibri" w:cs="Arial"/>
          <w:szCs w:val="22"/>
        </w:rPr>
        <w:t>s</w:t>
      </w:r>
      <w:r w:rsidRPr="001C30C6">
        <w:rPr>
          <w:rFonts w:eastAsia="Calibri" w:cs="Arial"/>
          <w:szCs w:val="22"/>
        </w:rPr>
        <w:t xml:space="preserve"> of economic demand and potential, TVET provision and country support. As APTC matures, the differences in potential and development of the campus countries are becoming increasingly clear. </w:t>
      </w:r>
      <w:r w:rsidR="00D03816">
        <w:rPr>
          <w:rFonts w:eastAsia="Calibri" w:cs="Arial"/>
          <w:szCs w:val="22"/>
        </w:rPr>
        <w:t>Implication</w:t>
      </w:r>
      <w:r w:rsidRPr="001C30C6">
        <w:rPr>
          <w:rFonts w:eastAsia="Calibri" w:cs="Arial"/>
          <w:szCs w:val="22"/>
        </w:rPr>
        <w:t xml:space="preserve">: </w:t>
      </w:r>
      <w:r w:rsidR="00150634">
        <w:rPr>
          <w:rFonts w:eastAsia="Calibri" w:cs="Arial"/>
          <w:szCs w:val="22"/>
        </w:rPr>
        <w:t>P</w:t>
      </w:r>
      <w:r w:rsidRPr="001C30C6">
        <w:rPr>
          <w:rFonts w:eastAsia="Calibri" w:cs="Arial"/>
          <w:szCs w:val="22"/>
        </w:rPr>
        <w:t>lanning for APTC should take into account the different characteristics and stages of development of the five campus countries</w:t>
      </w:r>
      <w:r w:rsidR="00DC209A">
        <w:rPr>
          <w:rFonts w:eastAsia="Calibri" w:cs="Arial"/>
          <w:szCs w:val="22"/>
        </w:rPr>
        <w:t>,</w:t>
      </w:r>
      <w:r w:rsidRPr="001C30C6">
        <w:rPr>
          <w:rFonts w:eastAsia="Calibri" w:cs="Arial"/>
          <w:szCs w:val="22"/>
        </w:rPr>
        <w:t xml:space="preserve"> as well as SIS. </w:t>
      </w:r>
      <w:r w:rsidR="00A232A5">
        <w:rPr>
          <w:rFonts w:eastAsia="Calibri" w:cs="Arial"/>
          <w:szCs w:val="22"/>
        </w:rPr>
        <w:br/>
      </w:r>
    </w:p>
    <w:p w14:paraId="460D8EC6" w14:textId="47F19784" w:rsidR="001C30C6" w:rsidRPr="001C30C6"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Country support, partnership and ownership</w:t>
      </w:r>
      <w:r w:rsidRPr="001C30C6">
        <w:rPr>
          <w:rFonts w:eastAsia="Calibri" w:cs="Arial"/>
          <w:szCs w:val="22"/>
        </w:rPr>
        <w:t>. APTC’s success in Samoa shows the positives that result from strong government support for APTC. The Paris Principles for Aid Effectiveness call for greater partnership and country ownership of foreign assistance programs, and this is echoed in PESDA 2011. The review team found little or no interest in country ownership for APTC</w:t>
      </w:r>
      <w:r w:rsidR="00DC209A">
        <w:rPr>
          <w:rFonts w:eastAsia="Calibri" w:cs="Arial"/>
          <w:szCs w:val="22"/>
        </w:rPr>
        <w:t>,</w:t>
      </w:r>
      <w:r w:rsidRPr="001C30C6">
        <w:rPr>
          <w:rFonts w:eastAsia="Calibri" w:cs="Arial"/>
          <w:szCs w:val="22"/>
        </w:rPr>
        <w:t xml:space="preserve"> other than in Samoa. More country participation in governance and, gradually, financing should be sought as a means to build local ownership.</w:t>
      </w:r>
      <w:r w:rsidR="00D03816" w:rsidRPr="00D03816">
        <w:rPr>
          <w:rFonts w:eastAsia="Calibri" w:cs="Arial"/>
          <w:szCs w:val="22"/>
        </w:rPr>
        <w:t xml:space="preserve"> </w:t>
      </w:r>
      <w:r w:rsidR="00D03816">
        <w:rPr>
          <w:rFonts w:eastAsia="Calibri" w:cs="Arial"/>
          <w:szCs w:val="22"/>
        </w:rPr>
        <w:t>Implication</w:t>
      </w:r>
      <w:r w:rsidR="00D60F1C">
        <w:rPr>
          <w:rFonts w:eastAsia="Calibri" w:cs="Arial"/>
          <w:szCs w:val="22"/>
        </w:rPr>
        <w:t>: As a first step, create: (1)</w:t>
      </w:r>
      <w:r w:rsidR="00574DD3">
        <w:rPr>
          <w:rFonts w:eastAsia="Calibri" w:cs="Arial"/>
          <w:szCs w:val="22"/>
        </w:rPr>
        <w:t> </w:t>
      </w:r>
      <w:r w:rsidRPr="001C30C6">
        <w:rPr>
          <w:rFonts w:eastAsia="Calibri" w:cs="Arial"/>
          <w:szCs w:val="22"/>
        </w:rPr>
        <w:t>campus country-specific APTC strategies</w:t>
      </w:r>
      <w:r w:rsidR="00574DD3">
        <w:rPr>
          <w:rFonts w:eastAsia="Calibri" w:cs="Arial"/>
          <w:szCs w:val="22"/>
        </w:rPr>
        <w:t>,</w:t>
      </w:r>
      <w:r w:rsidRPr="001C30C6">
        <w:rPr>
          <w:rFonts w:eastAsia="Calibri" w:cs="Arial"/>
          <w:szCs w:val="22"/>
        </w:rPr>
        <w:t xml:space="preserve"> taking into account local developments a</w:t>
      </w:r>
      <w:r w:rsidR="00D60F1C">
        <w:rPr>
          <w:rFonts w:eastAsia="Calibri" w:cs="Arial"/>
          <w:szCs w:val="22"/>
        </w:rPr>
        <w:t>nd constraints</w:t>
      </w:r>
      <w:r w:rsidR="00574DD3">
        <w:rPr>
          <w:rFonts w:eastAsia="Calibri" w:cs="Arial"/>
          <w:szCs w:val="22"/>
        </w:rPr>
        <w:t>;</w:t>
      </w:r>
      <w:r w:rsidR="00D60F1C">
        <w:rPr>
          <w:rFonts w:eastAsia="Calibri" w:cs="Arial"/>
          <w:szCs w:val="22"/>
        </w:rPr>
        <w:t xml:space="preserve"> and (2) </w:t>
      </w:r>
      <w:r w:rsidRPr="001C30C6">
        <w:rPr>
          <w:rFonts w:eastAsia="Calibri" w:cs="Arial"/>
          <w:szCs w:val="22"/>
        </w:rPr>
        <w:t>campus country advisory groups to guide APTC operations, from which the regional advisory body would be formed.</w:t>
      </w:r>
      <w:r w:rsidR="00A232A5">
        <w:rPr>
          <w:rFonts w:eastAsia="Calibri" w:cs="Arial"/>
          <w:szCs w:val="22"/>
        </w:rPr>
        <w:br/>
      </w:r>
    </w:p>
    <w:p w14:paraId="4227C6D1" w14:textId="77777777" w:rsidR="001D4DB8"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Promoting equity</w:t>
      </w:r>
      <w:r w:rsidRPr="001C30C6">
        <w:rPr>
          <w:rFonts w:eastAsia="Calibri" w:cs="Arial"/>
          <w:szCs w:val="22"/>
        </w:rPr>
        <w:t xml:space="preserve">. Finding: APTC has a strong commitment and salient achievements in equity. However, </w:t>
      </w:r>
      <w:r w:rsidR="00574DD3">
        <w:rPr>
          <w:rFonts w:eastAsia="Calibri" w:cs="Arial"/>
          <w:szCs w:val="22"/>
        </w:rPr>
        <w:t>s</w:t>
      </w:r>
      <w:r w:rsidRPr="001C30C6">
        <w:rPr>
          <w:rFonts w:eastAsia="Calibri" w:cs="Arial"/>
          <w:szCs w:val="22"/>
        </w:rPr>
        <w:t>tudents from PNG and Solomon Islands, the largest and third largest countries by population in APTC’s list of eligible countries, are proportionately under</w:t>
      </w:r>
      <w:r w:rsidR="00150634">
        <w:rPr>
          <w:rFonts w:eastAsia="Calibri" w:cs="Arial"/>
          <w:szCs w:val="22"/>
        </w:rPr>
        <w:t xml:space="preserve">-represented in APTC enrolment </w:t>
      </w:r>
      <w:r w:rsidRPr="001C30C6">
        <w:rPr>
          <w:rFonts w:eastAsia="Calibri" w:cs="Arial"/>
          <w:szCs w:val="22"/>
        </w:rPr>
        <w:t xml:space="preserve">relative to their populations. Female enrolments constitute about 40 per cent of the total, but little can be said about the labour market outcomes of female graduates due to the absence of Stage II tracer survey results by gender. APTC provides two training programs in disability, but enrols relatively few disabled students. </w:t>
      </w:r>
    </w:p>
    <w:p w14:paraId="112B1DDF" w14:textId="13676A34" w:rsidR="001C30C6" w:rsidRPr="001C30C6" w:rsidRDefault="00D03816" w:rsidP="001D4DB8">
      <w:pPr>
        <w:spacing w:after="200"/>
        <w:ind w:left="360"/>
        <w:contextualSpacing/>
        <w:rPr>
          <w:rFonts w:eastAsia="Calibri" w:cs="Arial"/>
          <w:szCs w:val="22"/>
        </w:rPr>
      </w:pPr>
      <w:r>
        <w:rPr>
          <w:rFonts w:eastAsia="Calibri" w:cs="Arial"/>
          <w:szCs w:val="22"/>
        </w:rPr>
        <w:t>Implication</w:t>
      </w:r>
      <w:r w:rsidR="001C30C6" w:rsidRPr="001C30C6">
        <w:rPr>
          <w:rFonts w:eastAsia="Calibri" w:cs="Arial"/>
          <w:szCs w:val="22"/>
        </w:rPr>
        <w:t xml:space="preserve">s: Achieve economies of scale to expand enrolments of nationals from PNG and Solomon Islands based on economic demand. As stated above, carry out systematic tracer studies of graduate outcomes </w:t>
      </w:r>
      <w:r w:rsidR="001D4DB8">
        <w:rPr>
          <w:rFonts w:eastAsia="Calibri" w:cs="Arial"/>
          <w:szCs w:val="22"/>
        </w:rPr>
        <w:t xml:space="preserve">by </w:t>
      </w:r>
      <w:r w:rsidR="001C30C6" w:rsidRPr="001C30C6">
        <w:rPr>
          <w:rFonts w:eastAsia="Calibri" w:cs="Arial"/>
          <w:szCs w:val="22"/>
        </w:rPr>
        <w:t xml:space="preserve">gender. Establish protocols for tracking participation of those with disabilities. </w:t>
      </w:r>
      <w:r w:rsidR="00A232A5">
        <w:rPr>
          <w:rFonts w:eastAsia="Calibri" w:cs="Arial"/>
          <w:szCs w:val="22"/>
        </w:rPr>
        <w:br/>
      </w:r>
    </w:p>
    <w:p w14:paraId="3E25A29E" w14:textId="0A566B06" w:rsidR="001C30C6" w:rsidRPr="001C30C6"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Efficiency-reducing costs per output</w:t>
      </w:r>
      <w:r w:rsidRPr="001C30C6">
        <w:rPr>
          <w:rFonts w:eastAsia="Calibri" w:cs="Arial"/>
          <w:szCs w:val="22"/>
        </w:rPr>
        <w:t xml:space="preserve">. </w:t>
      </w:r>
    </w:p>
    <w:p w14:paraId="44DC607D" w14:textId="34520EF2" w:rsidR="001C30C6" w:rsidRPr="001C30C6" w:rsidRDefault="001C30C6" w:rsidP="000668BA">
      <w:pPr>
        <w:numPr>
          <w:ilvl w:val="0"/>
          <w:numId w:val="77"/>
        </w:numPr>
        <w:spacing w:after="200"/>
        <w:ind w:hanging="357"/>
        <w:contextualSpacing/>
        <w:rPr>
          <w:rFonts w:eastAsia="Calibri" w:cs="Arial"/>
          <w:szCs w:val="22"/>
        </w:rPr>
      </w:pPr>
      <w:r w:rsidRPr="001C30C6">
        <w:rPr>
          <w:rFonts w:eastAsia="Calibri" w:cs="Arial"/>
          <w:szCs w:val="22"/>
        </w:rPr>
        <w:t>Administrative efficiencies. Findings: Wh</w:t>
      </w:r>
      <w:r w:rsidR="0049293B">
        <w:rPr>
          <w:rFonts w:eastAsia="Calibri" w:cs="Arial"/>
          <w:szCs w:val="22"/>
        </w:rPr>
        <w:t>ile</w:t>
      </w:r>
      <w:r w:rsidRPr="001C30C6">
        <w:rPr>
          <w:rFonts w:eastAsia="Calibri" w:cs="Arial"/>
          <w:szCs w:val="22"/>
        </w:rPr>
        <w:t xml:space="preserve"> having two RTOs involved in the operations of APTC may have had advantages at the time of establishment, after eight years this is </w:t>
      </w:r>
      <w:r w:rsidR="002D6486">
        <w:rPr>
          <w:rFonts w:eastAsia="Calibri" w:cs="Arial"/>
          <w:szCs w:val="22"/>
        </w:rPr>
        <w:t>now</w:t>
      </w:r>
      <w:r w:rsidRPr="001C30C6">
        <w:rPr>
          <w:rFonts w:eastAsia="Calibri" w:cs="Arial"/>
          <w:szCs w:val="22"/>
        </w:rPr>
        <w:t xml:space="preserve"> at the expense of efficiency and effectiveness.</w:t>
      </w:r>
      <w:r w:rsidR="00D03816" w:rsidRPr="00D03816">
        <w:rPr>
          <w:rFonts w:eastAsia="Calibri" w:cs="Arial"/>
          <w:szCs w:val="22"/>
        </w:rPr>
        <w:t xml:space="preserve"> </w:t>
      </w:r>
      <w:r w:rsidR="00D03816">
        <w:rPr>
          <w:rFonts w:eastAsia="Calibri" w:cs="Arial"/>
          <w:szCs w:val="22"/>
        </w:rPr>
        <w:t>Implication</w:t>
      </w:r>
      <w:r w:rsidRPr="001C30C6">
        <w:rPr>
          <w:rFonts w:eastAsia="Calibri" w:cs="Arial"/>
          <w:szCs w:val="22"/>
        </w:rPr>
        <w:t>: Educational and administrative processes should be streamlined and simplified and delegations to the CEO and Country Managers maximised</w:t>
      </w:r>
      <w:r w:rsidR="002D6486">
        <w:rPr>
          <w:rFonts w:eastAsia="Calibri" w:cs="Arial"/>
          <w:szCs w:val="22"/>
        </w:rPr>
        <w:t>.</w:t>
      </w:r>
    </w:p>
    <w:p w14:paraId="556E7420" w14:textId="3BF5A98D" w:rsidR="001C30C6" w:rsidRPr="001C30C6" w:rsidRDefault="001C30C6" w:rsidP="000668BA">
      <w:pPr>
        <w:numPr>
          <w:ilvl w:val="0"/>
          <w:numId w:val="77"/>
        </w:numPr>
        <w:spacing w:after="200"/>
        <w:ind w:hanging="357"/>
        <w:contextualSpacing/>
        <w:rPr>
          <w:rFonts w:eastAsia="Calibri" w:cs="Arial"/>
          <w:szCs w:val="22"/>
        </w:rPr>
      </w:pPr>
      <w:r w:rsidRPr="001C30C6">
        <w:rPr>
          <w:rFonts w:eastAsia="Calibri" w:cs="Arial"/>
          <w:szCs w:val="22"/>
        </w:rPr>
        <w:t>Nationalisation. Findings: Even taking into account the time taken to develop a fully qualified VET practitioner under the Australian system, APTC was slow to implement a nationalisation strategy. Now that it has been introduced, it is clear that there is much to be gained in terms of capability building and skills transfer as well as cost-effectiveness.</w:t>
      </w:r>
      <w:r w:rsidR="00D03816">
        <w:rPr>
          <w:rFonts w:eastAsia="Calibri" w:cs="Arial"/>
          <w:szCs w:val="22"/>
        </w:rPr>
        <w:t xml:space="preserve"> Implication</w:t>
      </w:r>
      <w:r w:rsidRPr="001C30C6">
        <w:rPr>
          <w:rFonts w:eastAsia="Calibri" w:cs="Arial"/>
          <w:szCs w:val="22"/>
        </w:rPr>
        <w:t>: APTC should aim for a largely nationalised staff, with expatriates employed only on a short</w:t>
      </w:r>
      <w:r w:rsidR="002D6486">
        <w:rPr>
          <w:rFonts w:eastAsia="Calibri" w:cs="Arial"/>
          <w:szCs w:val="22"/>
        </w:rPr>
        <w:t>-</w:t>
      </w:r>
      <w:r w:rsidRPr="001C30C6">
        <w:rPr>
          <w:rFonts w:eastAsia="Calibri" w:cs="Arial"/>
          <w:szCs w:val="22"/>
        </w:rPr>
        <w:t>term adviser basis as specialists and/or mentors. The pace at which this occurs should give due account to the quality and sustainability risks involved</w:t>
      </w:r>
      <w:r w:rsidR="002D22DA">
        <w:rPr>
          <w:rFonts w:eastAsia="Calibri" w:cs="Arial"/>
          <w:szCs w:val="22"/>
        </w:rPr>
        <w:t>,</w:t>
      </w:r>
      <w:r w:rsidRPr="001C30C6">
        <w:rPr>
          <w:rFonts w:eastAsia="Calibri" w:cs="Arial"/>
          <w:szCs w:val="22"/>
        </w:rPr>
        <w:t xml:space="preserve"> as well as the educational and financial benefits.</w:t>
      </w:r>
    </w:p>
    <w:p w14:paraId="0969CBDE" w14:textId="5E71A30C" w:rsidR="001C30C6" w:rsidRPr="001C30C6" w:rsidRDefault="001C30C6" w:rsidP="000668BA">
      <w:pPr>
        <w:numPr>
          <w:ilvl w:val="0"/>
          <w:numId w:val="77"/>
        </w:numPr>
        <w:spacing w:after="200"/>
        <w:ind w:hanging="357"/>
        <w:contextualSpacing/>
        <w:rPr>
          <w:rFonts w:eastAsia="Calibri" w:cs="Arial"/>
          <w:szCs w:val="22"/>
        </w:rPr>
      </w:pPr>
      <w:r w:rsidRPr="001C30C6">
        <w:rPr>
          <w:rFonts w:eastAsia="Calibri" w:cs="Arial"/>
          <w:szCs w:val="22"/>
        </w:rPr>
        <w:t>Financial information. Findings: APTC has developed sound management information systems which can readily provide the data for analysing value for money (Annex 9).</w:t>
      </w:r>
      <w:r w:rsidR="00150634" w:rsidRPr="00150634">
        <w:rPr>
          <w:rFonts w:eastAsia="Calibri" w:cs="Arial"/>
          <w:szCs w:val="22"/>
        </w:rPr>
        <w:t xml:space="preserve"> </w:t>
      </w:r>
      <w:r w:rsidR="00150634">
        <w:rPr>
          <w:rFonts w:eastAsia="Calibri" w:cs="Arial"/>
          <w:szCs w:val="22"/>
        </w:rPr>
        <w:t>Implication</w:t>
      </w:r>
      <w:r w:rsidR="00D03816">
        <w:rPr>
          <w:rFonts w:eastAsia="Calibri" w:cs="Arial"/>
          <w:szCs w:val="22"/>
        </w:rPr>
        <w:t>:</w:t>
      </w:r>
      <w:r w:rsidRPr="001C30C6">
        <w:rPr>
          <w:rFonts w:eastAsia="Calibri" w:cs="Arial"/>
          <w:szCs w:val="22"/>
        </w:rPr>
        <w:t xml:space="preserve"> It will be in APTC’s best interests to develop robust impa</w:t>
      </w:r>
      <w:r w:rsidR="00150634">
        <w:rPr>
          <w:rFonts w:eastAsia="Calibri" w:cs="Arial"/>
          <w:szCs w:val="22"/>
        </w:rPr>
        <w:t>ct measurement systems as well.</w:t>
      </w:r>
      <w:r w:rsidRPr="001C30C6">
        <w:rPr>
          <w:rFonts w:eastAsia="Calibri" w:cs="Arial"/>
          <w:szCs w:val="22"/>
        </w:rPr>
        <w:t xml:space="preserve">   </w:t>
      </w:r>
      <w:r w:rsidR="00A232A5">
        <w:rPr>
          <w:rFonts w:eastAsia="Calibri" w:cs="Arial"/>
          <w:szCs w:val="22"/>
        </w:rPr>
        <w:br/>
      </w:r>
    </w:p>
    <w:p w14:paraId="3542296A" w14:textId="4652B6EC" w:rsidR="001C30C6" w:rsidRPr="0078688A"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Cost-sharing</w:t>
      </w:r>
      <w:r w:rsidRPr="001C30C6">
        <w:rPr>
          <w:rFonts w:eastAsia="Calibri" w:cs="Arial"/>
          <w:szCs w:val="22"/>
        </w:rPr>
        <w:t xml:space="preserve">. Finding: Reliance on DFAT funding and operating on a scholarship model is convenient for the contractor but </w:t>
      </w:r>
      <w:r w:rsidR="00150634">
        <w:rPr>
          <w:rFonts w:eastAsia="Calibri" w:cs="Arial"/>
          <w:szCs w:val="22"/>
        </w:rPr>
        <w:t xml:space="preserve">is </w:t>
      </w:r>
      <w:r w:rsidRPr="001C30C6">
        <w:rPr>
          <w:rFonts w:eastAsia="Calibri" w:cs="Arial"/>
          <w:szCs w:val="22"/>
        </w:rPr>
        <w:t xml:space="preserve">not sustainable in the long term. Greater efforts are called for to share the costs of APTC with beneficiaries – employers and trainees. </w:t>
      </w:r>
      <w:r w:rsidR="00150634">
        <w:rPr>
          <w:rFonts w:eastAsia="Calibri" w:cs="Arial"/>
          <w:szCs w:val="22"/>
        </w:rPr>
        <w:t>Implication</w:t>
      </w:r>
      <w:r w:rsidRPr="001C30C6">
        <w:rPr>
          <w:rFonts w:eastAsia="Calibri" w:cs="Arial"/>
          <w:szCs w:val="22"/>
        </w:rPr>
        <w:t xml:space="preserve">s: </w:t>
      </w:r>
      <w:r w:rsidR="002D6486">
        <w:rPr>
          <w:rFonts w:eastAsia="Calibri" w:cs="Arial"/>
          <w:szCs w:val="22"/>
        </w:rPr>
        <w:t xml:space="preserve">(1) </w:t>
      </w:r>
      <w:r w:rsidRPr="002D6486">
        <w:rPr>
          <w:rFonts w:eastAsia="Calibri" w:cs="Arial"/>
          <w:szCs w:val="22"/>
        </w:rPr>
        <w:t xml:space="preserve">Targets for income generation should be increased to progressively reduce reliance on DFAT funding support. </w:t>
      </w:r>
      <w:r w:rsidR="002D6486">
        <w:rPr>
          <w:rFonts w:eastAsia="Calibri" w:cs="Arial"/>
          <w:szCs w:val="22"/>
        </w:rPr>
        <w:t xml:space="preserve">(2) </w:t>
      </w:r>
      <w:r w:rsidRPr="002D6486">
        <w:rPr>
          <w:rFonts w:eastAsia="Calibri" w:cs="Arial"/>
          <w:szCs w:val="22"/>
        </w:rPr>
        <w:t>Explore other revenue sources to sustain APTC including replacing some scholarships with student loans to reduce the financial burden on Australia.</w:t>
      </w:r>
      <w:r w:rsidR="00A232A5">
        <w:rPr>
          <w:rFonts w:eastAsia="Calibri" w:cs="Arial"/>
          <w:szCs w:val="22"/>
        </w:rPr>
        <w:br/>
      </w:r>
    </w:p>
    <w:p w14:paraId="463B95A8" w14:textId="77777777" w:rsidR="001C30C6" w:rsidRPr="001C30C6"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Maximising benefits</w:t>
      </w:r>
      <w:r w:rsidRPr="001C30C6">
        <w:rPr>
          <w:rFonts w:eastAsia="Calibri" w:cs="Arial"/>
          <w:szCs w:val="22"/>
        </w:rPr>
        <w:t xml:space="preserve">.  </w:t>
      </w:r>
    </w:p>
    <w:p w14:paraId="76E9392D" w14:textId="35C67293" w:rsidR="001C30C6" w:rsidRPr="001C30C6" w:rsidRDefault="001C30C6" w:rsidP="000668BA">
      <w:pPr>
        <w:numPr>
          <w:ilvl w:val="0"/>
          <w:numId w:val="78"/>
        </w:numPr>
        <w:spacing w:after="200"/>
        <w:ind w:hanging="357"/>
        <w:contextualSpacing/>
        <w:rPr>
          <w:rFonts w:eastAsia="Calibri" w:cs="Arial"/>
          <w:szCs w:val="22"/>
        </w:rPr>
      </w:pPr>
      <w:r w:rsidRPr="001C30C6">
        <w:rPr>
          <w:rFonts w:eastAsia="Calibri" w:cs="Arial"/>
          <w:szCs w:val="22"/>
        </w:rPr>
        <w:t xml:space="preserve">Labour mobility. Labour mobility to Australia and New Zealand can produce strong benefits for Pacific </w:t>
      </w:r>
      <w:r w:rsidR="002D6486">
        <w:rPr>
          <w:rFonts w:eastAsia="Calibri" w:cs="Arial"/>
          <w:szCs w:val="22"/>
        </w:rPr>
        <w:t>I</w:t>
      </w:r>
      <w:r w:rsidRPr="001C30C6">
        <w:rPr>
          <w:rFonts w:eastAsia="Calibri" w:cs="Arial"/>
          <w:szCs w:val="22"/>
        </w:rPr>
        <w:t xml:space="preserve">slanders in the form of remittances (as indicated by the Stage II hypothetical rates of return). Notwithstanding potential opposition to labour mobility by some national governments, ongoing uncertainty about APTC’s role in labour mobility has been detrimental. It has exposed APTC to criticism within Australia, and it has left students who wish to migrate without proper guidance. </w:t>
      </w:r>
      <w:r w:rsidR="00150634">
        <w:rPr>
          <w:rFonts w:eastAsia="Calibri" w:cs="Arial"/>
          <w:szCs w:val="22"/>
        </w:rPr>
        <w:t>Implication:</w:t>
      </w:r>
      <w:r w:rsidR="00150634" w:rsidRPr="001C30C6">
        <w:rPr>
          <w:rFonts w:eastAsia="Calibri" w:cs="Arial"/>
          <w:szCs w:val="22"/>
        </w:rPr>
        <w:t xml:space="preserve"> </w:t>
      </w:r>
      <w:r w:rsidRPr="001C30C6">
        <w:rPr>
          <w:rFonts w:eastAsia="Calibri" w:cs="Arial"/>
          <w:szCs w:val="22"/>
        </w:rPr>
        <w:t xml:space="preserve">APTC’s role in labour mobility should be clarified and, if appropriate, labour mobility targets should be introduced, taking into account the constraints that exist in relation to Australian migration policy and cultural mores. </w:t>
      </w:r>
    </w:p>
    <w:p w14:paraId="6C4369CF" w14:textId="6C7868D4" w:rsidR="001C30C6" w:rsidRPr="001C30C6" w:rsidRDefault="001C30C6" w:rsidP="000668BA">
      <w:pPr>
        <w:numPr>
          <w:ilvl w:val="0"/>
          <w:numId w:val="78"/>
        </w:numPr>
        <w:spacing w:after="200"/>
        <w:ind w:hanging="357"/>
        <w:contextualSpacing/>
        <w:rPr>
          <w:rFonts w:eastAsia="Calibri" w:cs="Arial"/>
          <w:szCs w:val="22"/>
        </w:rPr>
      </w:pPr>
      <w:r w:rsidRPr="001C30C6">
        <w:rPr>
          <w:rFonts w:eastAsia="Calibri" w:cs="Arial"/>
          <w:szCs w:val="22"/>
        </w:rPr>
        <w:t>APTC should, through its APTC</w:t>
      </w:r>
      <w:r w:rsidR="002D22DA">
        <w:rPr>
          <w:rFonts w:eastAsia="Calibri" w:cs="Arial"/>
          <w:szCs w:val="22"/>
        </w:rPr>
        <w:t>-</w:t>
      </w:r>
      <w:r w:rsidRPr="001C30C6">
        <w:rPr>
          <w:rFonts w:eastAsia="Calibri" w:cs="Arial"/>
          <w:szCs w:val="22"/>
        </w:rPr>
        <w:t>to</w:t>
      </w:r>
      <w:r w:rsidR="002D22DA">
        <w:rPr>
          <w:rFonts w:eastAsia="Calibri" w:cs="Arial"/>
          <w:szCs w:val="22"/>
        </w:rPr>
        <w:t>-</w:t>
      </w:r>
      <w:r w:rsidRPr="001C30C6">
        <w:rPr>
          <w:rFonts w:eastAsia="Calibri" w:cs="Arial"/>
          <w:szCs w:val="22"/>
        </w:rPr>
        <w:t xml:space="preserve">Work Tutors, assist graduates in hospitality who are unemployed or under-employed to work in Australia for up to six months in the accommodation trial of the Seasonal Worker Program.    </w:t>
      </w:r>
      <w:r w:rsidR="00A232A5">
        <w:rPr>
          <w:rFonts w:eastAsia="Calibri" w:cs="Arial"/>
          <w:szCs w:val="22"/>
        </w:rPr>
        <w:br/>
      </w:r>
    </w:p>
    <w:p w14:paraId="713F0AC7" w14:textId="6BBCEB3B" w:rsidR="001C30C6" w:rsidRPr="001C30C6" w:rsidRDefault="00E906B7" w:rsidP="000668BA">
      <w:pPr>
        <w:numPr>
          <w:ilvl w:val="0"/>
          <w:numId w:val="79"/>
        </w:numPr>
        <w:spacing w:after="200"/>
        <w:ind w:hanging="357"/>
        <w:contextualSpacing/>
        <w:rPr>
          <w:rFonts w:eastAsia="Calibri" w:cs="Arial"/>
          <w:szCs w:val="22"/>
        </w:rPr>
      </w:pPr>
      <w:r>
        <w:rPr>
          <w:rFonts w:eastAsia="Calibri" w:cs="Arial"/>
          <w:b/>
          <w:szCs w:val="22"/>
        </w:rPr>
        <w:t xml:space="preserve">Division of effort </w:t>
      </w:r>
      <w:r w:rsidR="0078688A">
        <w:rPr>
          <w:rFonts w:eastAsia="Calibri" w:cs="Arial"/>
          <w:b/>
          <w:szCs w:val="22"/>
        </w:rPr>
        <w:t>–</w:t>
      </w:r>
      <w:r>
        <w:rPr>
          <w:rFonts w:eastAsia="Calibri" w:cs="Arial"/>
          <w:b/>
          <w:szCs w:val="22"/>
        </w:rPr>
        <w:t xml:space="preserve"> </w:t>
      </w:r>
      <w:r w:rsidR="0078688A">
        <w:rPr>
          <w:rFonts w:eastAsia="Calibri" w:cs="Arial"/>
          <w:b/>
          <w:szCs w:val="22"/>
        </w:rPr>
        <w:t>c</w:t>
      </w:r>
      <w:r w:rsidR="001C30C6" w:rsidRPr="001C30C6">
        <w:rPr>
          <w:rFonts w:eastAsia="Calibri" w:cs="Arial"/>
          <w:b/>
          <w:szCs w:val="22"/>
        </w:rPr>
        <w:t>omplementarity rather than competition</w:t>
      </w:r>
      <w:r w:rsidR="001C30C6" w:rsidRPr="001C30C6">
        <w:rPr>
          <w:rFonts w:eastAsia="Calibri" w:cs="Arial"/>
          <w:szCs w:val="22"/>
        </w:rPr>
        <w:t>. Finding: APTC has succeeded in complementing rather than competing with national providers.</w:t>
      </w:r>
      <w:r w:rsidR="00150634" w:rsidRPr="00150634">
        <w:rPr>
          <w:rFonts w:eastAsia="Calibri" w:cs="Arial"/>
          <w:szCs w:val="22"/>
        </w:rPr>
        <w:t xml:space="preserve"> </w:t>
      </w:r>
      <w:r w:rsidR="00150634">
        <w:rPr>
          <w:rFonts w:eastAsia="Calibri" w:cs="Arial"/>
          <w:szCs w:val="22"/>
        </w:rPr>
        <w:t>Implication</w:t>
      </w:r>
      <w:r w:rsidR="001C30C6" w:rsidRPr="001C30C6">
        <w:rPr>
          <w:rFonts w:eastAsia="Calibri" w:cs="Arial"/>
          <w:szCs w:val="22"/>
        </w:rPr>
        <w:t xml:space="preserve">: APTC should continue to attract </w:t>
      </w:r>
      <w:r w:rsidR="00A232A5">
        <w:rPr>
          <w:rFonts w:eastAsia="Calibri" w:cs="Arial"/>
          <w:szCs w:val="22"/>
        </w:rPr>
        <w:t>thos</w:t>
      </w:r>
      <w:r w:rsidR="0078688A">
        <w:rPr>
          <w:rFonts w:eastAsia="Calibri" w:cs="Arial"/>
          <w:szCs w:val="22"/>
        </w:rPr>
        <w:t>e</w:t>
      </w:r>
      <w:r w:rsidR="00A232A5">
        <w:rPr>
          <w:rFonts w:eastAsia="Calibri" w:cs="Arial"/>
          <w:szCs w:val="22"/>
        </w:rPr>
        <w:t xml:space="preserve"> </w:t>
      </w:r>
      <w:r w:rsidR="001C30C6" w:rsidRPr="001C30C6">
        <w:rPr>
          <w:rFonts w:eastAsia="Calibri" w:cs="Arial"/>
          <w:szCs w:val="22"/>
        </w:rPr>
        <w:t>student</w:t>
      </w:r>
      <w:r w:rsidR="0078688A">
        <w:rPr>
          <w:rFonts w:eastAsia="Calibri" w:cs="Arial"/>
          <w:szCs w:val="22"/>
        </w:rPr>
        <w:t>s</w:t>
      </w:r>
      <w:r w:rsidR="001C30C6" w:rsidRPr="001C30C6">
        <w:rPr>
          <w:rFonts w:eastAsia="Calibri" w:cs="Arial"/>
          <w:szCs w:val="22"/>
        </w:rPr>
        <w:t xml:space="preserve"> not targeted by national providers and otherwise avoid competition with national providers.</w:t>
      </w:r>
      <w:r w:rsidR="00A232A5">
        <w:rPr>
          <w:rFonts w:eastAsia="Calibri" w:cs="Arial"/>
          <w:szCs w:val="22"/>
        </w:rPr>
        <w:br/>
      </w:r>
    </w:p>
    <w:p w14:paraId="1A8D79BE" w14:textId="03F326E6" w:rsidR="001C30C6" w:rsidRPr="001C30C6" w:rsidRDefault="001C30C6" w:rsidP="000668BA">
      <w:pPr>
        <w:numPr>
          <w:ilvl w:val="0"/>
          <w:numId w:val="79"/>
        </w:numPr>
        <w:spacing w:after="200"/>
        <w:ind w:hanging="357"/>
        <w:contextualSpacing/>
        <w:rPr>
          <w:rFonts w:eastAsia="Calibri" w:cs="Arial"/>
          <w:szCs w:val="22"/>
        </w:rPr>
      </w:pPr>
      <w:r w:rsidRPr="001C30C6">
        <w:rPr>
          <w:rFonts w:eastAsia="Calibri" w:cs="Arial"/>
          <w:b/>
          <w:szCs w:val="22"/>
        </w:rPr>
        <w:t>Contract adaptation to local requirements</w:t>
      </w:r>
      <w:r w:rsidRPr="001C30C6">
        <w:rPr>
          <w:rFonts w:eastAsia="Calibri" w:cs="Arial"/>
          <w:szCs w:val="22"/>
        </w:rPr>
        <w:t xml:space="preserve">. Finding: APTC operates </w:t>
      </w:r>
      <w:r w:rsidR="0078688A">
        <w:rPr>
          <w:rFonts w:eastAsia="Calibri" w:cs="Arial"/>
          <w:szCs w:val="22"/>
        </w:rPr>
        <w:t>in</w:t>
      </w:r>
      <w:r w:rsidRPr="001C30C6">
        <w:rPr>
          <w:rFonts w:eastAsia="Calibri" w:cs="Arial"/>
          <w:szCs w:val="22"/>
        </w:rPr>
        <w:t xml:space="preserve"> a unique and complex training environment </w:t>
      </w:r>
      <w:r w:rsidR="0078688A">
        <w:rPr>
          <w:rFonts w:eastAsia="Calibri" w:cs="Arial"/>
          <w:szCs w:val="22"/>
        </w:rPr>
        <w:t>which</w:t>
      </w:r>
      <w:r w:rsidRPr="001C30C6">
        <w:rPr>
          <w:rFonts w:eastAsia="Calibri" w:cs="Arial"/>
          <w:szCs w:val="22"/>
        </w:rPr>
        <w:t xml:space="preserve"> merit</w:t>
      </w:r>
      <w:r w:rsidR="0078688A">
        <w:rPr>
          <w:rFonts w:eastAsia="Calibri" w:cs="Arial"/>
          <w:szCs w:val="22"/>
        </w:rPr>
        <w:t>s</w:t>
      </w:r>
      <w:r w:rsidRPr="001C30C6">
        <w:rPr>
          <w:rFonts w:eastAsia="Calibri" w:cs="Arial"/>
          <w:szCs w:val="22"/>
        </w:rPr>
        <w:t xml:space="preserve"> purpose-designed working terms and conditions, not the application or adaptation of TAFE terms and conditions designed for Australian circumstances. </w:t>
      </w:r>
      <w:r w:rsidR="00150634">
        <w:rPr>
          <w:rFonts w:eastAsia="Calibri" w:cs="Arial"/>
          <w:szCs w:val="22"/>
        </w:rPr>
        <w:t xml:space="preserve">Implication: </w:t>
      </w:r>
      <w:r w:rsidRPr="001C30C6">
        <w:rPr>
          <w:rFonts w:eastAsia="Calibri" w:cs="Arial"/>
          <w:szCs w:val="22"/>
        </w:rPr>
        <w:t xml:space="preserve">APTC should have terms and conditions for trainers specifically designed to meet </w:t>
      </w:r>
      <w:r w:rsidR="0078688A">
        <w:rPr>
          <w:rFonts w:eastAsia="Calibri" w:cs="Arial"/>
          <w:szCs w:val="22"/>
        </w:rPr>
        <w:t>its own</w:t>
      </w:r>
      <w:r w:rsidRPr="001C30C6">
        <w:rPr>
          <w:rFonts w:eastAsia="Calibri" w:cs="Arial"/>
          <w:szCs w:val="22"/>
        </w:rPr>
        <w:t xml:space="preserve"> circumstances.</w:t>
      </w:r>
    </w:p>
    <w:p w14:paraId="04901C00" w14:textId="7BA07CE7" w:rsidR="00420056" w:rsidRDefault="00420056">
      <w:pPr>
        <w:spacing w:after="0"/>
        <w:rPr>
          <w:rFonts w:cs="Arial"/>
        </w:rPr>
      </w:pPr>
    </w:p>
    <w:p w14:paraId="2844B42E" w14:textId="2493C955" w:rsidR="003D355F" w:rsidRDefault="008108D4" w:rsidP="002028A6">
      <w:pPr>
        <w:pStyle w:val="Heading1"/>
      </w:pPr>
      <w:bookmarkStart w:id="1258" w:name="_Toc278448006"/>
      <w:bookmarkStart w:id="1259" w:name="_Toc278453479"/>
      <w:r>
        <w:t xml:space="preserve">5 </w:t>
      </w:r>
      <w:r w:rsidR="002750AF">
        <w:tab/>
      </w:r>
      <w:r w:rsidR="009B4045" w:rsidRPr="006A460D">
        <w:t>What would success look like in the long term for APTC?</w:t>
      </w:r>
      <w:r w:rsidR="009B4045" w:rsidRPr="006A460D">
        <w:rPr>
          <w:rFonts w:eastAsia="Calibri"/>
          <w:vertAlign w:val="superscript"/>
        </w:rPr>
        <w:footnoteReference w:id="93"/>
      </w:r>
      <w:bookmarkEnd w:id="1258"/>
      <w:bookmarkEnd w:id="1259"/>
    </w:p>
    <w:p w14:paraId="6EC11E20" w14:textId="706EB3C5" w:rsidR="009B4045" w:rsidRPr="006A460D" w:rsidRDefault="009B4045" w:rsidP="009B4045">
      <w:pPr>
        <w:rPr>
          <w:rFonts w:cs="Arial"/>
        </w:rPr>
      </w:pPr>
      <w:r w:rsidRPr="006A460D">
        <w:rPr>
          <w:rFonts w:cs="Arial"/>
        </w:rPr>
        <w:t>Essentially, th</w:t>
      </w:r>
      <w:r>
        <w:rPr>
          <w:rFonts w:cs="Arial"/>
        </w:rPr>
        <w:t>is</w:t>
      </w:r>
      <w:r w:rsidRPr="006A460D">
        <w:rPr>
          <w:rFonts w:cs="Arial"/>
        </w:rPr>
        <w:t xml:space="preserve"> question concerns the ‘end game</w:t>
      </w:r>
      <w:r w:rsidR="002063FC">
        <w:rPr>
          <w:rFonts w:cs="Arial"/>
        </w:rPr>
        <w:t>’.</w:t>
      </w:r>
      <w:r>
        <w:rPr>
          <w:rFonts w:cs="Arial"/>
        </w:rPr>
        <w:t xml:space="preserve"> T</w:t>
      </w:r>
      <w:r w:rsidRPr="006A460D">
        <w:rPr>
          <w:rFonts w:cs="Arial"/>
        </w:rPr>
        <w:t>he answer</w:t>
      </w:r>
      <w:r>
        <w:rPr>
          <w:rFonts w:cs="Arial"/>
        </w:rPr>
        <w:t>s</w:t>
      </w:r>
      <w:r w:rsidRPr="006A460D">
        <w:rPr>
          <w:rFonts w:cs="Arial"/>
        </w:rPr>
        <w:t xml:space="preserve"> </w:t>
      </w:r>
      <w:r>
        <w:rPr>
          <w:rFonts w:cs="Arial"/>
        </w:rPr>
        <w:t>depend on DFAT’s long</w:t>
      </w:r>
      <w:r w:rsidR="00543284">
        <w:rPr>
          <w:rFonts w:cs="Arial"/>
        </w:rPr>
        <w:t>-</w:t>
      </w:r>
      <w:r>
        <w:rPr>
          <w:rFonts w:cs="Arial"/>
        </w:rPr>
        <w:t xml:space="preserve">term vision for APTC. </w:t>
      </w:r>
      <w:r w:rsidRPr="006A460D">
        <w:rPr>
          <w:rFonts w:cs="Arial"/>
        </w:rPr>
        <w:t>Is DFAT’s objective that:</w:t>
      </w:r>
    </w:p>
    <w:p w14:paraId="01ADB487" w14:textId="5A40D094" w:rsidR="009B4045" w:rsidRDefault="009B4045" w:rsidP="000668BA">
      <w:pPr>
        <w:numPr>
          <w:ilvl w:val="0"/>
          <w:numId w:val="50"/>
        </w:numPr>
        <w:spacing w:after="0" w:line="259" w:lineRule="auto"/>
        <w:contextualSpacing/>
        <w:rPr>
          <w:rFonts w:cs="Arial"/>
        </w:rPr>
      </w:pPr>
      <w:r>
        <w:rPr>
          <w:rFonts w:cs="Arial"/>
        </w:rPr>
        <w:t xml:space="preserve">APTC should remain only as long as it fills its unique market niche, then </w:t>
      </w:r>
      <w:r w:rsidR="005117B2">
        <w:rPr>
          <w:rFonts w:cs="Arial"/>
        </w:rPr>
        <w:t xml:space="preserve">it </w:t>
      </w:r>
      <w:r>
        <w:rPr>
          <w:rFonts w:cs="Arial"/>
        </w:rPr>
        <w:t xml:space="preserve">can </w:t>
      </w:r>
      <w:r w:rsidR="005117B2">
        <w:rPr>
          <w:rFonts w:cs="Arial"/>
        </w:rPr>
        <w:t xml:space="preserve">be </w:t>
      </w:r>
      <w:r>
        <w:rPr>
          <w:rFonts w:cs="Arial"/>
        </w:rPr>
        <w:t>phase</w:t>
      </w:r>
      <w:r w:rsidR="005117B2">
        <w:rPr>
          <w:rFonts w:cs="Arial"/>
        </w:rPr>
        <w:t>d</w:t>
      </w:r>
      <w:r>
        <w:rPr>
          <w:rFonts w:cs="Arial"/>
        </w:rPr>
        <w:t xml:space="preserve"> out?</w:t>
      </w:r>
    </w:p>
    <w:p w14:paraId="7FF35F1A" w14:textId="77777777" w:rsidR="009B4045" w:rsidRPr="006A460D" w:rsidRDefault="009B4045" w:rsidP="000668BA">
      <w:pPr>
        <w:numPr>
          <w:ilvl w:val="0"/>
          <w:numId w:val="50"/>
        </w:numPr>
        <w:spacing w:after="0" w:line="259" w:lineRule="auto"/>
        <w:contextualSpacing/>
        <w:rPr>
          <w:rFonts w:cs="Arial"/>
        </w:rPr>
      </w:pPr>
      <w:r w:rsidRPr="006A460D">
        <w:rPr>
          <w:rFonts w:cs="Arial"/>
        </w:rPr>
        <w:t xml:space="preserve">a </w:t>
      </w:r>
      <w:r>
        <w:rPr>
          <w:rFonts w:cs="Arial"/>
        </w:rPr>
        <w:t xml:space="preserve">permanent </w:t>
      </w:r>
      <w:r w:rsidRPr="006A460D">
        <w:rPr>
          <w:rFonts w:cs="Arial"/>
        </w:rPr>
        <w:t>regional TVET system, owned and operated by PICs, can deliver Australia standard qualifications?</w:t>
      </w:r>
    </w:p>
    <w:p w14:paraId="36947444" w14:textId="77777777" w:rsidR="009B4045" w:rsidRPr="006A460D" w:rsidRDefault="009B4045" w:rsidP="000668BA">
      <w:pPr>
        <w:numPr>
          <w:ilvl w:val="0"/>
          <w:numId w:val="50"/>
        </w:numPr>
        <w:spacing w:after="0" w:line="259" w:lineRule="auto"/>
        <w:contextualSpacing/>
        <w:rPr>
          <w:rFonts w:cs="Arial"/>
        </w:rPr>
      </w:pPr>
      <w:r w:rsidRPr="006A460D">
        <w:rPr>
          <w:rFonts w:cs="Arial"/>
        </w:rPr>
        <w:t>the APTC brand survives as a beacon of high quality skills training as part of a wider regional post-secondary skills formation strategy?</w:t>
      </w:r>
    </w:p>
    <w:p w14:paraId="783D1D01" w14:textId="77777777" w:rsidR="009B4045" w:rsidRPr="006A460D" w:rsidRDefault="009B4045" w:rsidP="000668BA">
      <w:pPr>
        <w:numPr>
          <w:ilvl w:val="0"/>
          <w:numId w:val="50"/>
        </w:numPr>
        <w:spacing w:after="0" w:line="259" w:lineRule="auto"/>
        <w:contextualSpacing/>
        <w:rPr>
          <w:rFonts w:cs="Arial"/>
        </w:rPr>
      </w:pPr>
      <w:r w:rsidRPr="006A460D">
        <w:rPr>
          <w:rFonts w:cs="Arial"/>
        </w:rPr>
        <w:t xml:space="preserve">DFAT does not have to provide core funding anymore? </w:t>
      </w:r>
    </w:p>
    <w:p w14:paraId="5B8EBA6E" w14:textId="77777777" w:rsidR="009B4045" w:rsidRPr="006A460D" w:rsidRDefault="009B4045" w:rsidP="000668BA">
      <w:pPr>
        <w:numPr>
          <w:ilvl w:val="0"/>
          <w:numId w:val="50"/>
        </w:numPr>
        <w:spacing w:after="0" w:line="259" w:lineRule="auto"/>
        <w:contextualSpacing/>
        <w:rPr>
          <w:rFonts w:cs="Arial"/>
        </w:rPr>
      </w:pPr>
      <w:r w:rsidRPr="006A460D">
        <w:rPr>
          <w:rFonts w:cs="Arial"/>
        </w:rPr>
        <w:t>Australia’s reputation as a donor is enhanced and not damaged by a cessation of funding?</w:t>
      </w:r>
    </w:p>
    <w:p w14:paraId="0D92EC99" w14:textId="77777777" w:rsidR="003D355F" w:rsidRDefault="00D32582">
      <w:pPr>
        <w:rPr>
          <w:b/>
          <w:color w:val="76923C"/>
        </w:rPr>
      </w:pPr>
      <w:r>
        <w:rPr>
          <w:rFonts w:eastAsia="Calibri"/>
        </w:rPr>
        <w:br/>
      </w:r>
      <w:r w:rsidR="00546F37" w:rsidRPr="00546F37">
        <w:rPr>
          <w:rFonts w:eastAsia="Calibri"/>
        </w:rPr>
        <w:t>Increased</w:t>
      </w:r>
      <w:r w:rsidR="009B4045" w:rsidRPr="006A460D">
        <w:rPr>
          <w:rFonts w:eastAsia="Calibri"/>
        </w:rPr>
        <w:t xml:space="preserve"> resource mobilisation would seem to be an essential requirement for success. Figure 2 depicts this process showing the shift in funding arrangements and the different stages of country campus development. At some point in this process, Pacific-based income exceeds aid income. This likely will occur at different times for each campus.</w:t>
      </w:r>
    </w:p>
    <w:p w14:paraId="588B6CDE" w14:textId="278ED2BD" w:rsidR="009B4045" w:rsidRPr="006A460D" w:rsidRDefault="003F7B01" w:rsidP="009B4045">
      <w:pPr>
        <w:rPr>
          <w:rFonts w:cs="Arial"/>
          <w:b/>
          <w:color w:val="76923C"/>
        </w:rPr>
      </w:pPr>
      <w:r>
        <w:rPr>
          <w:rFonts w:cs="Arial"/>
          <w:b/>
          <w:color w:val="76923C"/>
        </w:rPr>
        <w:t>Figure 2: An indicative long-</w:t>
      </w:r>
      <w:r w:rsidR="009B4045" w:rsidRPr="006A460D">
        <w:rPr>
          <w:rFonts w:cs="Arial"/>
          <w:b/>
          <w:color w:val="76923C"/>
        </w:rPr>
        <w:t xml:space="preserve">term trajectory for APTC </w:t>
      </w:r>
    </w:p>
    <w:p w14:paraId="77DC5ED5" w14:textId="7BFB5C42" w:rsidR="009B4045" w:rsidRPr="003F7B01" w:rsidRDefault="0013776D" w:rsidP="009B4045">
      <w:pPr>
        <w:rPr>
          <w:rFonts w:cs="Arial"/>
          <w:sz w:val="16"/>
        </w:rPr>
      </w:pPr>
      <w:r w:rsidRPr="003F7B01">
        <w:rPr>
          <w:rFonts w:cs="Arial"/>
          <w:sz w:val="16"/>
        </w:rPr>
        <w:object w:dxaOrig="9581" w:dyaOrig="5391" w14:anchorId="330C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45pt;height:229.15pt" o:ole="" o:bordertopcolor="this" o:borderleftcolor="this" o:borderbottomcolor="this" o:borderrightcolor="this">
            <v:imagedata r:id="rId156" o:title=""/>
            <w10:bordertop type="single" width="4"/>
            <w10:borderleft type="single" width="4"/>
            <w10:borderbottom type="single" width="4"/>
            <w10:borderright type="single" width="4"/>
          </v:shape>
          <o:OLEObject Type="Embed" ProgID="PowerPoint.Slide.12" ShapeID="_x0000_i1025" DrawAspect="Content" ObjectID="_1503316884" r:id="rId157"/>
        </w:object>
      </w:r>
      <w:r w:rsidR="003F7B01" w:rsidRPr="003F7B01">
        <w:rPr>
          <w:rFonts w:cs="Arial"/>
          <w:sz w:val="16"/>
        </w:rPr>
        <w:t xml:space="preserve">Source: </w:t>
      </w:r>
      <w:r w:rsidR="009B4045" w:rsidRPr="003F7B01">
        <w:rPr>
          <w:rFonts w:cs="Arial"/>
          <w:sz w:val="16"/>
        </w:rPr>
        <w:t>Review team, with acknowledgement to APTC management.</w:t>
      </w:r>
    </w:p>
    <w:p w14:paraId="5C2EF794" w14:textId="77777777" w:rsidR="009B4045" w:rsidRPr="006A460D" w:rsidRDefault="009B4045" w:rsidP="009B4045">
      <w:pPr>
        <w:rPr>
          <w:rFonts w:cs="Arial"/>
        </w:rPr>
      </w:pPr>
    </w:p>
    <w:p w14:paraId="1D53D293" w14:textId="56C85AC2" w:rsidR="00420056" w:rsidRPr="00F41951" w:rsidRDefault="009B4045" w:rsidP="00F41951">
      <w:pPr>
        <w:rPr>
          <w:rFonts w:cs="Arial"/>
        </w:rPr>
      </w:pPr>
      <w:r>
        <w:rPr>
          <w:rFonts w:cs="Arial"/>
        </w:rPr>
        <w:t xml:space="preserve">Several alternatives can be conceived for how </w:t>
      </w:r>
      <w:r w:rsidRPr="006A460D">
        <w:rPr>
          <w:rFonts w:cs="Arial"/>
        </w:rPr>
        <w:t xml:space="preserve">APTC </w:t>
      </w:r>
      <w:r>
        <w:rPr>
          <w:rFonts w:cs="Arial"/>
        </w:rPr>
        <w:t>ends.</w:t>
      </w:r>
      <w:r w:rsidRPr="006A460D">
        <w:rPr>
          <w:rFonts w:cs="Arial"/>
        </w:rPr>
        <w:t xml:space="preserve"> Table 1 sets out some </w:t>
      </w:r>
      <w:r>
        <w:rPr>
          <w:rFonts w:cs="Arial"/>
        </w:rPr>
        <w:t xml:space="preserve">of the </w:t>
      </w:r>
      <w:r w:rsidR="002063FC">
        <w:rPr>
          <w:rFonts w:cs="Arial"/>
        </w:rPr>
        <w:t>long-</w:t>
      </w:r>
      <w:r w:rsidRPr="006A460D">
        <w:rPr>
          <w:rFonts w:cs="Arial"/>
        </w:rPr>
        <w:t>term structural options for APTC.</w:t>
      </w:r>
      <w:bookmarkStart w:id="1260" w:name="_Toc274146577"/>
      <w:r w:rsidR="00420056">
        <w:rPr>
          <w:rFonts w:eastAsia="Calibri"/>
        </w:rPr>
        <w:br w:type="page"/>
      </w:r>
    </w:p>
    <w:p w14:paraId="047DD3CE" w14:textId="736FA683" w:rsidR="009B4045" w:rsidRPr="006A460D" w:rsidRDefault="009B4045" w:rsidP="003F7B01">
      <w:pPr>
        <w:pStyle w:val="Tableheading"/>
        <w:rPr>
          <w:rFonts w:eastAsia="Calibri"/>
        </w:rPr>
      </w:pPr>
      <w:bookmarkStart w:id="1261" w:name="_Toc274916036"/>
      <w:bookmarkStart w:id="1262" w:name="_Toc278447015"/>
      <w:r w:rsidRPr="006A460D">
        <w:rPr>
          <w:rFonts w:eastAsia="Calibri"/>
        </w:rPr>
        <w:t>Table 1</w:t>
      </w:r>
      <w:r w:rsidR="003F7B01">
        <w:rPr>
          <w:rFonts w:eastAsia="Calibri"/>
        </w:rPr>
        <w:t>:</w:t>
      </w:r>
      <w:r w:rsidRPr="006A460D">
        <w:rPr>
          <w:rFonts w:eastAsia="Calibri"/>
        </w:rPr>
        <w:t xml:space="preserve"> Long</w:t>
      </w:r>
      <w:r w:rsidR="00C52FDE">
        <w:rPr>
          <w:rFonts w:eastAsia="Calibri"/>
        </w:rPr>
        <w:t>-</w:t>
      </w:r>
      <w:r w:rsidRPr="006A460D">
        <w:rPr>
          <w:rFonts w:eastAsia="Calibri"/>
        </w:rPr>
        <w:t>term structural options for APTC</w:t>
      </w:r>
      <w:bookmarkEnd w:id="1260"/>
      <w:bookmarkEnd w:id="1261"/>
      <w:bookmarkEnd w:id="1262"/>
    </w:p>
    <w:tbl>
      <w:tblPr>
        <w:tblStyle w:val="TableGrid1"/>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316"/>
        <w:gridCol w:w="1386"/>
        <w:gridCol w:w="1583"/>
        <w:gridCol w:w="1986"/>
      </w:tblGrid>
      <w:tr w:rsidR="009B4045" w:rsidRPr="003F7B01" w14:paraId="4061CF1A" w14:textId="77777777" w:rsidTr="00F344C5">
        <w:tc>
          <w:tcPr>
            <w:tcW w:w="2088" w:type="dxa"/>
            <w:shd w:val="clear" w:color="auto" w:fill="C5E0B3" w:themeFill="accent6" w:themeFillTint="66"/>
          </w:tcPr>
          <w:p w14:paraId="6A334526" w14:textId="77777777" w:rsidR="009B4045" w:rsidRPr="003F7B01" w:rsidRDefault="009B4045" w:rsidP="003F7B01">
            <w:pPr>
              <w:spacing w:before="40" w:after="40"/>
              <w:rPr>
                <w:rFonts w:cs="Arial"/>
                <w:b/>
                <w:sz w:val="18"/>
              </w:rPr>
            </w:pPr>
            <w:r w:rsidRPr="003F7B01">
              <w:rPr>
                <w:rFonts w:cs="Arial"/>
                <w:b/>
                <w:sz w:val="18"/>
              </w:rPr>
              <w:t>Option</w:t>
            </w:r>
          </w:p>
        </w:tc>
        <w:tc>
          <w:tcPr>
            <w:tcW w:w="1402" w:type="dxa"/>
            <w:shd w:val="clear" w:color="auto" w:fill="C5E0B3" w:themeFill="accent6" w:themeFillTint="66"/>
          </w:tcPr>
          <w:p w14:paraId="4BF0AF4D" w14:textId="77777777" w:rsidR="009B4045" w:rsidRPr="003F7B01" w:rsidRDefault="009B4045" w:rsidP="003F7B01">
            <w:pPr>
              <w:spacing w:before="40" w:after="40"/>
              <w:rPr>
                <w:rFonts w:cs="Arial"/>
                <w:b/>
                <w:sz w:val="18"/>
              </w:rPr>
            </w:pPr>
            <w:r w:rsidRPr="003F7B01">
              <w:rPr>
                <w:rFonts w:cs="Arial"/>
                <w:b/>
                <w:sz w:val="18"/>
              </w:rPr>
              <w:t>APTC ownership</w:t>
            </w:r>
          </w:p>
        </w:tc>
        <w:tc>
          <w:tcPr>
            <w:tcW w:w="1478" w:type="dxa"/>
            <w:shd w:val="clear" w:color="auto" w:fill="C5E0B3" w:themeFill="accent6" w:themeFillTint="66"/>
          </w:tcPr>
          <w:p w14:paraId="6B81F769" w14:textId="77777777" w:rsidR="009B4045" w:rsidRPr="003F7B01" w:rsidRDefault="009B4045" w:rsidP="003F7B01">
            <w:pPr>
              <w:spacing w:before="40" w:after="40"/>
              <w:rPr>
                <w:rFonts w:cs="Arial"/>
                <w:b/>
                <w:sz w:val="18"/>
              </w:rPr>
            </w:pPr>
            <w:r w:rsidRPr="003F7B01">
              <w:rPr>
                <w:rFonts w:cs="Arial"/>
                <w:b/>
                <w:sz w:val="18"/>
              </w:rPr>
              <w:t>APTC financing</w:t>
            </w:r>
          </w:p>
        </w:tc>
        <w:tc>
          <w:tcPr>
            <w:tcW w:w="1690" w:type="dxa"/>
            <w:shd w:val="clear" w:color="auto" w:fill="C5E0B3" w:themeFill="accent6" w:themeFillTint="66"/>
          </w:tcPr>
          <w:p w14:paraId="73FD5A32" w14:textId="77777777" w:rsidR="009B4045" w:rsidRPr="003F7B01" w:rsidRDefault="009B4045" w:rsidP="003F7B01">
            <w:pPr>
              <w:spacing w:before="40" w:after="40"/>
              <w:rPr>
                <w:rFonts w:cs="Arial"/>
                <w:b/>
                <w:sz w:val="18"/>
              </w:rPr>
            </w:pPr>
            <w:r w:rsidRPr="003F7B01">
              <w:rPr>
                <w:rFonts w:cs="Arial"/>
                <w:b/>
                <w:sz w:val="18"/>
              </w:rPr>
              <w:t>Advantages</w:t>
            </w:r>
          </w:p>
        </w:tc>
        <w:tc>
          <w:tcPr>
            <w:tcW w:w="2126" w:type="dxa"/>
            <w:shd w:val="clear" w:color="auto" w:fill="C5E0B3" w:themeFill="accent6" w:themeFillTint="66"/>
          </w:tcPr>
          <w:p w14:paraId="597A3576" w14:textId="77777777" w:rsidR="009B4045" w:rsidRPr="003F7B01" w:rsidRDefault="009B4045" w:rsidP="003F7B01">
            <w:pPr>
              <w:spacing w:before="40" w:after="40"/>
              <w:rPr>
                <w:rFonts w:cs="Arial"/>
                <w:b/>
                <w:sz w:val="18"/>
              </w:rPr>
            </w:pPr>
            <w:r w:rsidRPr="003F7B01">
              <w:rPr>
                <w:rFonts w:cs="Arial"/>
                <w:b/>
                <w:sz w:val="18"/>
              </w:rPr>
              <w:t>Disadvantages</w:t>
            </w:r>
          </w:p>
        </w:tc>
      </w:tr>
      <w:tr w:rsidR="00A670C1" w:rsidRPr="003F7B01" w14:paraId="0C898624" w14:textId="77777777" w:rsidTr="00F344C5">
        <w:tc>
          <w:tcPr>
            <w:tcW w:w="2088" w:type="dxa"/>
            <w:tcBorders>
              <w:bottom w:val="single" w:sz="4" w:space="0" w:color="A8D08D" w:themeColor="accent6" w:themeTint="99"/>
            </w:tcBorders>
          </w:tcPr>
          <w:p w14:paraId="35426C99" w14:textId="2C548140" w:rsidR="00A670C1" w:rsidRPr="004415DF" w:rsidRDefault="00A670C1" w:rsidP="003F7B01">
            <w:pPr>
              <w:spacing w:before="40" w:after="40"/>
              <w:rPr>
                <w:rFonts w:cs="Arial"/>
                <w:b/>
                <w:sz w:val="18"/>
                <w:szCs w:val="20"/>
              </w:rPr>
            </w:pPr>
            <w:r>
              <w:rPr>
                <w:rFonts w:cs="Arial"/>
                <w:b/>
                <w:sz w:val="18"/>
                <w:szCs w:val="20"/>
              </w:rPr>
              <w:t xml:space="preserve">1. Close APTC at </w:t>
            </w:r>
            <w:r w:rsidR="00F344C5">
              <w:rPr>
                <w:rFonts w:cs="Arial"/>
                <w:b/>
                <w:sz w:val="18"/>
                <w:szCs w:val="20"/>
              </w:rPr>
              <w:br/>
              <w:t xml:space="preserve">    </w:t>
            </w:r>
            <w:r>
              <w:rPr>
                <w:rFonts w:cs="Arial"/>
                <w:b/>
                <w:sz w:val="18"/>
                <w:szCs w:val="20"/>
              </w:rPr>
              <w:t xml:space="preserve">end of Stage II </w:t>
            </w:r>
            <w:r w:rsidR="00F344C5">
              <w:rPr>
                <w:rFonts w:cs="Arial"/>
                <w:b/>
                <w:sz w:val="18"/>
                <w:szCs w:val="20"/>
              </w:rPr>
              <w:br/>
              <w:t xml:space="preserve">    </w:t>
            </w:r>
            <w:r>
              <w:rPr>
                <w:rFonts w:cs="Arial"/>
                <w:b/>
                <w:sz w:val="18"/>
                <w:szCs w:val="20"/>
              </w:rPr>
              <w:t>(mid-2015)</w:t>
            </w:r>
          </w:p>
        </w:tc>
        <w:tc>
          <w:tcPr>
            <w:tcW w:w="1402" w:type="dxa"/>
            <w:tcBorders>
              <w:bottom w:val="single" w:sz="4" w:space="0" w:color="A8D08D" w:themeColor="accent6" w:themeTint="99"/>
            </w:tcBorders>
          </w:tcPr>
          <w:p w14:paraId="504D0AFD" w14:textId="4E323E33" w:rsidR="00A670C1" w:rsidRPr="003F7B01" w:rsidRDefault="00A670C1" w:rsidP="003F7B01">
            <w:pPr>
              <w:spacing w:before="40" w:after="40"/>
              <w:rPr>
                <w:rFonts w:cs="Arial"/>
                <w:sz w:val="18"/>
                <w:szCs w:val="20"/>
              </w:rPr>
            </w:pPr>
            <w:r>
              <w:rPr>
                <w:rFonts w:cs="Arial"/>
                <w:sz w:val="18"/>
                <w:szCs w:val="20"/>
              </w:rPr>
              <w:t>Would cease</w:t>
            </w:r>
          </w:p>
        </w:tc>
        <w:tc>
          <w:tcPr>
            <w:tcW w:w="1478" w:type="dxa"/>
            <w:tcBorders>
              <w:bottom w:val="single" w:sz="4" w:space="0" w:color="A8D08D" w:themeColor="accent6" w:themeTint="99"/>
            </w:tcBorders>
          </w:tcPr>
          <w:p w14:paraId="36AB6AD8" w14:textId="7C6BED64" w:rsidR="00A670C1" w:rsidRPr="003F7B01" w:rsidRDefault="00A670C1" w:rsidP="003F7B01">
            <w:pPr>
              <w:spacing w:before="40" w:after="40"/>
              <w:rPr>
                <w:rFonts w:cs="Arial"/>
                <w:sz w:val="18"/>
                <w:szCs w:val="20"/>
              </w:rPr>
            </w:pPr>
            <w:r>
              <w:rPr>
                <w:rFonts w:cs="Arial"/>
                <w:sz w:val="18"/>
                <w:szCs w:val="20"/>
              </w:rPr>
              <w:t>Would cease.</w:t>
            </w:r>
          </w:p>
        </w:tc>
        <w:tc>
          <w:tcPr>
            <w:tcW w:w="1690" w:type="dxa"/>
            <w:tcBorders>
              <w:bottom w:val="single" w:sz="4" w:space="0" w:color="A8D08D" w:themeColor="accent6" w:themeTint="99"/>
            </w:tcBorders>
          </w:tcPr>
          <w:p w14:paraId="692EBFA0" w14:textId="277B29D2" w:rsidR="00A670C1" w:rsidRPr="003F7B01" w:rsidRDefault="00A670C1" w:rsidP="005117B2">
            <w:pPr>
              <w:spacing w:before="40" w:after="40"/>
              <w:rPr>
                <w:rFonts w:cs="Arial"/>
                <w:sz w:val="18"/>
                <w:szCs w:val="20"/>
              </w:rPr>
            </w:pPr>
            <w:r>
              <w:rPr>
                <w:rFonts w:cs="Arial"/>
                <w:sz w:val="18"/>
                <w:szCs w:val="20"/>
              </w:rPr>
              <w:t xml:space="preserve">Financial savings to the Australian </w:t>
            </w:r>
            <w:r w:rsidR="005117B2">
              <w:rPr>
                <w:rFonts w:cs="Arial"/>
                <w:sz w:val="18"/>
                <w:szCs w:val="20"/>
              </w:rPr>
              <w:t>G</w:t>
            </w:r>
            <w:r>
              <w:rPr>
                <w:rFonts w:cs="Arial"/>
                <w:sz w:val="18"/>
                <w:szCs w:val="20"/>
              </w:rPr>
              <w:t>overnment</w:t>
            </w:r>
          </w:p>
        </w:tc>
        <w:tc>
          <w:tcPr>
            <w:tcW w:w="2126" w:type="dxa"/>
            <w:tcBorders>
              <w:bottom w:val="single" w:sz="4" w:space="0" w:color="A8D08D" w:themeColor="accent6" w:themeTint="99"/>
            </w:tcBorders>
          </w:tcPr>
          <w:p w14:paraId="417A5130" w14:textId="596D390B" w:rsidR="00A670C1" w:rsidRPr="003F7B01" w:rsidRDefault="00A670C1" w:rsidP="003F7B01">
            <w:pPr>
              <w:spacing w:before="40" w:after="40"/>
              <w:rPr>
                <w:rFonts w:cs="Arial"/>
                <w:sz w:val="18"/>
                <w:szCs w:val="20"/>
              </w:rPr>
            </w:pPr>
            <w:r>
              <w:rPr>
                <w:rFonts w:cs="Arial"/>
                <w:sz w:val="18"/>
                <w:szCs w:val="20"/>
              </w:rPr>
              <w:t>Loss of prestige, push back by employers, some governments, loss of skills formation, loss of opportunity for better living standards</w:t>
            </w:r>
          </w:p>
        </w:tc>
      </w:tr>
      <w:tr w:rsidR="009B4045" w:rsidRPr="003F7B01" w14:paraId="37A444D6" w14:textId="77777777" w:rsidTr="00F344C5">
        <w:tc>
          <w:tcPr>
            <w:tcW w:w="2088" w:type="dxa"/>
            <w:tcBorders>
              <w:top w:val="single" w:sz="4" w:space="0" w:color="A8D08D" w:themeColor="accent6" w:themeTint="99"/>
            </w:tcBorders>
          </w:tcPr>
          <w:p w14:paraId="0352ED1E" w14:textId="40EF30B8" w:rsidR="009B4045" w:rsidRPr="004415DF" w:rsidRDefault="00A670C1" w:rsidP="003F7B01">
            <w:pPr>
              <w:spacing w:before="40" w:after="40"/>
              <w:rPr>
                <w:rFonts w:cs="Arial"/>
                <w:b/>
                <w:sz w:val="18"/>
                <w:szCs w:val="20"/>
              </w:rPr>
            </w:pPr>
            <w:r>
              <w:rPr>
                <w:rFonts w:cs="Arial"/>
                <w:b/>
                <w:sz w:val="18"/>
                <w:szCs w:val="20"/>
              </w:rPr>
              <w:t>2</w:t>
            </w:r>
            <w:r w:rsidR="009B4045" w:rsidRPr="004415DF">
              <w:rPr>
                <w:rFonts w:cs="Arial"/>
                <w:b/>
                <w:sz w:val="18"/>
                <w:szCs w:val="20"/>
              </w:rPr>
              <w:t xml:space="preserve">. Variation on </w:t>
            </w:r>
            <w:r w:rsidR="00F344C5">
              <w:rPr>
                <w:rFonts w:cs="Arial"/>
                <w:b/>
                <w:sz w:val="18"/>
                <w:szCs w:val="20"/>
              </w:rPr>
              <w:br/>
              <w:t xml:space="preserve">    </w:t>
            </w:r>
            <w:r w:rsidR="009B4045" w:rsidRPr="004415DF">
              <w:rPr>
                <w:rFonts w:cs="Arial"/>
                <w:b/>
                <w:sz w:val="18"/>
                <w:szCs w:val="20"/>
              </w:rPr>
              <w:t xml:space="preserve">status quo  </w:t>
            </w:r>
          </w:p>
        </w:tc>
        <w:tc>
          <w:tcPr>
            <w:tcW w:w="1402" w:type="dxa"/>
            <w:tcBorders>
              <w:top w:val="single" w:sz="4" w:space="0" w:color="A8D08D" w:themeColor="accent6" w:themeTint="99"/>
            </w:tcBorders>
          </w:tcPr>
          <w:p w14:paraId="1F5F551E" w14:textId="77777777" w:rsidR="009B4045" w:rsidRPr="003F7B01" w:rsidRDefault="009B4045" w:rsidP="003F7B01">
            <w:pPr>
              <w:spacing w:before="40" w:after="40"/>
              <w:rPr>
                <w:rFonts w:cs="Arial"/>
                <w:sz w:val="18"/>
                <w:szCs w:val="20"/>
              </w:rPr>
            </w:pPr>
            <w:r w:rsidRPr="003F7B01">
              <w:rPr>
                <w:rFonts w:cs="Arial"/>
                <w:sz w:val="18"/>
                <w:szCs w:val="20"/>
              </w:rPr>
              <w:t>DFAT owns, one RTO implements, APTC delivers with more control</w:t>
            </w:r>
          </w:p>
        </w:tc>
        <w:tc>
          <w:tcPr>
            <w:tcW w:w="1478" w:type="dxa"/>
            <w:tcBorders>
              <w:top w:val="single" w:sz="4" w:space="0" w:color="A8D08D" w:themeColor="accent6" w:themeTint="99"/>
            </w:tcBorders>
          </w:tcPr>
          <w:p w14:paraId="275122BD" w14:textId="77777777" w:rsidR="009B4045" w:rsidRPr="003F7B01" w:rsidRDefault="009B4045" w:rsidP="003F7B01">
            <w:pPr>
              <w:spacing w:before="40" w:after="40"/>
              <w:rPr>
                <w:rFonts w:cs="Arial"/>
                <w:sz w:val="18"/>
                <w:szCs w:val="20"/>
              </w:rPr>
            </w:pPr>
            <w:r w:rsidRPr="003F7B01">
              <w:rPr>
                <w:rFonts w:cs="Arial"/>
                <w:sz w:val="18"/>
                <w:szCs w:val="20"/>
              </w:rPr>
              <w:t>Largely DFAT, but with increasing revenue from fee-for-service and students (via loans)</w:t>
            </w:r>
          </w:p>
        </w:tc>
        <w:tc>
          <w:tcPr>
            <w:tcW w:w="1690" w:type="dxa"/>
            <w:tcBorders>
              <w:top w:val="single" w:sz="4" w:space="0" w:color="A8D08D" w:themeColor="accent6" w:themeTint="99"/>
            </w:tcBorders>
          </w:tcPr>
          <w:p w14:paraId="6EAE7809" w14:textId="77777777" w:rsidR="009B4045" w:rsidRPr="003F7B01" w:rsidRDefault="009B4045" w:rsidP="003F7B01">
            <w:pPr>
              <w:spacing w:before="40" w:after="40"/>
              <w:rPr>
                <w:rFonts w:cs="Arial"/>
                <w:sz w:val="18"/>
                <w:szCs w:val="20"/>
              </w:rPr>
            </w:pPr>
            <w:r w:rsidRPr="003F7B01">
              <w:rPr>
                <w:rFonts w:cs="Arial"/>
                <w:sz w:val="18"/>
                <w:szCs w:val="20"/>
              </w:rPr>
              <w:t xml:space="preserve">Operates with strengths as at present, reaps benefits from lower costs from one RTO, staff nationalisation &amp; more external revenue </w:t>
            </w:r>
          </w:p>
        </w:tc>
        <w:tc>
          <w:tcPr>
            <w:tcW w:w="2126" w:type="dxa"/>
            <w:tcBorders>
              <w:top w:val="single" w:sz="4" w:space="0" w:color="A8D08D" w:themeColor="accent6" w:themeTint="99"/>
            </w:tcBorders>
          </w:tcPr>
          <w:p w14:paraId="363FE722" w14:textId="77777777" w:rsidR="009B4045" w:rsidRPr="003F7B01" w:rsidRDefault="009B4045" w:rsidP="003F7B01">
            <w:pPr>
              <w:spacing w:before="40" w:after="40"/>
              <w:rPr>
                <w:rFonts w:cs="Arial"/>
                <w:sz w:val="18"/>
                <w:szCs w:val="20"/>
              </w:rPr>
            </w:pPr>
            <w:r w:rsidRPr="003F7B01">
              <w:rPr>
                <w:rFonts w:cs="Arial"/>
                <w:sz w:val="18"/>
                <w:szCs w:val="20"/>
              </w:rPr>
              <w:t xml:space="preserve">Requires indefinitely heavy DFAT financing </w:t>
            </w:r>
          </w:p>
          <w:p w14:paraId="4C92D28D" w14:textId="77777777" w:rsidR="009B4045" w:rsidRPr="003F7B01" w:rsidRDefault="009B4045" w:rsidP="003F7B01">
            <w:pPr>
              <w:spacing w:before="40" w:after="40"/>
              <w:rPr>
                <w:rFonts w:cs="Arial"/>
                <w:sz w:val="18"/>
                <w:szCs w:val="20"/>
              </w:rPr>
            </w:pPr>
            <w:r w:rsidRPr="003F7B01">
              <w:rPr>
                <w:rFonts w:cs="Arial"/>
                <w:sz w:val="18"/>
                <w:szCs w:val="20"/>
              </w:rPr>
              <w:t xml:space="preserve">Ends with cessation of DFAT funding </w:t>
            </w:r>
          </w:p>
        </w:tc>
      </w:tr>
      <w:tr w:rsidR="009B4045" w:rsidRPr="003F7B01" w14:paraId="30190218" w14:textId="77777777" w:rsidTr="00F344C5">
        <w:tc>
          <w:tcPr>
            <w:tcW w:w="2088" w:type="dxa"/>
            <w:shd w:val="clear" w:color="auto" w:fill="E2EFD9" w:themeFill="accent6" w:themeFillTint="33"/>
          </w:tcPr>
          <w:p w14:paraId="33F1A8E0" w14:textId="464BB10C" w:rsidR="009B4045" w:rsidRPr="004415DF" w:rsidRDefault="00A670C1" w:rsidP="003F7B01">
            <w:pPr>
              <w:spacing w:before="40" w:after="40"/>
              <w:rPr>
                <w:rFonts w:cs="Arial"/>
                <w:b/>
                <w:sz w:val="18"/>
                <w:szCs w:val="20"/>
              </w:rPr>
            </w:pPr>
            <w:r>
              <w:rPr>
                <w:rFonts w:cs="Arial"/>
                <w:b/>
                <w:sz w:val="18"/>
                <w:szCs w:val="20"/>
              </w:rPr>
              <w:t>3</w:t>
            </w:r>
            <w:r w:rsidR="009B4045" w:rsidRPr="004415DF">
              <w:rPr>
                <w:rFonts w:cs="Arial"/>
                <w:b/>
                <w:sz w:val="18"/>
                <w:szCs w:val="20"/>
              </w:rPr>
              <w:t xml:space="preserve">. APTC becomes </w:t>
            </w:r>
            <w:r w:rsidR="00F344C5">
              <w:rPr>
                <w:rFonts w:cs="Arial"/>
                <w:b/>
                <w:sz w:val="18"/>
                <w:szCs w:val="20"/>
              </w:rPr>
              <w:br/>
              <w:t xml:space="preserve">    </w:t>
            </w:r>
            <w:r w:rsidR="009B4045" w:rsidRPr="004415DF">
              <w:rPr>
                <w:rFonts w:cs="Arial"/>
                <w:b/>
                <w:sz w:val="18"/>
                <w:szCs w:val="20"/>
              </w:rPr>
              <w:t xml:space="preserve">independent </w:t>
            </w:r>
            <w:r w:rsidR="00F344C5">
              <w:rPr>
                <w:rFonts w:cs="Arial"/>
                <w:b/>
                <w:sz w:val="18"/>
                <w:szCs w:val="20"/>
              </w:rPr>
              <w:br/>
              <w:t xml:space="preserve">    </w:t>
            </w:r>
            <w:r w:rsidR="009B4045" w:rsidRPr="004415DF">
              <w:rPr>
                <w:rFonts w:cs="Arial"/>
                <w:b/>
                <w:sz w:val="18"/>
                <w:szCs w:val="20"/>
              </w:rPr>
              <w:t xml:space="preserve">Technical College </w:t>
            </w:r>
            <w:r w:rsidR="00F344C5">
              <w:rPr>
                <w:rFonts w:cs="Arial"/>
                <w:b/>
                <w:sz w:val="18"/>
                <w:szCs w:val="20"/>
              </w:rPr>
              <w:br/>
              <w:t xml:space="preserve">    </w:t>
            </w:r>
            <w:r w:rsidR="009B4045" w:rsidRPr="004415DF">
              <w:rPr>
                <w:rFonts w:cs="Arial"/>
                <w:b/>
                <w:sz w:val="18"/>
                <w:szCs w:val="20"/>
              </w:rPr>
              <w:t xml:space="preserve">of the Pacific with </w:t>
            </w:r>
            <w:r w:rsidR="00F344C5">
              <w:rPr>
                <w:rFonts w:cs="Arial"/>
                <w:b/>
                <w:sz w:val="18"/>
                <w:szCs w:val="20"/>
              </w:rPr>
              <w:br/>
              <w:t xml:space="preserve">    </w:t>
            </w:r>
            <w:r w:rsidR="009B4045" w:rsidRPr="004415DF">
              <w:rPr>
                <w:rFonts w:cs="Arial"/>
                <w:b/>
                <w:sz w:val="18"/>
                <w:szCs w:val="20"/>
              </w:rPr>
              <w:t xml:space="preserve">its own regional </w:t>
            </w:r>
            <w:r w:rsidR="00F344C5">
              <w:rPr>
                <w:rFonts w:cs="Arial"/>
                <w:b/>
                <w:sz w:val="18"/>
                <w:szCs w:val="20"/>
              </w:rPr>
              <w:br/>
              <w:t xml:space="preserve">    </w:t>
            </w:r>
            <w:r w:rsidR="009B4045" w:rsidRPr="004415DF">
              <w:rPr>
                <w:rFonts w:cs="Arial"/>
                <w:b/>
                <w:sz w:val="18"/>
                <w:szCs w:val="20"/>
              </w:rPr>
              <w:t>administration</w:t>
            </w:r>
          </w:p>
        </w:tc>
        <w:tc>
          <w:tcPr>
            <w:tcW w:w="1402" w:type="dxa"/>
            <w:shd w:val="clear" w:color="auto" w:fill="E2EFD9" w:themeFill="accent6" w:themeFillTint="33"/>
          </w:tcPr>
          <w:p w14:paraId="58E858C3" w14:textId="77777777" w:rsidR="009B4045" w:rsidRPr="003F7B01" w:rsidRDefault="009B4045" w:rsidP="003F7B01">
            <w:pPr>
              <w:spacing w:before="40" w:after="40"/>
              <w:rPr>
                <w:rFonts w:cs="Arial"/>
                <w:sz w:val="18"/>
                <w:szCs w:val="20"/>
              </w:rPr>
            </w:pPr>
            <w:r w:rsidRPr="003F7B01">
              <w:rPr>
                <w:rFonts w:cs="Arial"/>
                <w:sz w:val="18"/>
                <w:szCs w:val="20"/>
              </w:rPr>
              <w:t>Participating Pacific governments</w:t>
            </w:r>
          </w:p>
        </w:tc>
        <w:tc>
          <w:tcPr>
            <w:tcW w:w="1478" w:type="dxa"/>
            <w:shd w:val="clear" w:color="auto" w:fill="E2EFD9" w:themeFill="accent6" w:themeFillTint="33"/>
          </w:tcPr>
          <w:p w14:paraId="64A2244D" w14:textId="77777777" w:rsidR="009B4045" w:rsidRPr="003F7B01" w:rsidRDefault="009B4045" w:rsidP="003F7B01">
            <w:pPr>
              <w:spacing w:before="40" w:after="40"/>
              <w:rPr>
                <w:rFonts w:cs="Arial"/>
                <w:sz w:val="18"/>
                <w:szCs w:val="20"/>
              </w:rPr>
            </w:pPr>
            <w:r w:rsidRPr="003F7B01">
              <w:rPr>
                <w:rFonts w:cs="Arial"/>
                <w:sz w:val="18"/>
                <w:szCs w:val="20"/>
              </w:rPr>
              <w:t>Pacific governments + substantial residual DFAT support</w:t>
            </w:r>
          </w:p>
        </w:tc>
        <w:tc>
          <w:tcPr>
            <w:tcW w:w="1690" w:type="dxa"/>
            <w:shd w:val="clear" w:color="auto" w:fill="E2EFD9" w:themeFill="accent6" w:themeFillTint="33"/>
          </w:tcPr>
          <w:p w14:paraId="3B579AA7" w14:textId="77777777" w:rsidR="009B4045" w:rsidRPr="003F7B01" w:rsidRDefault="009B4045" w:rsidP="003F7B01">
            <w:pPr>
              <w:spacing w:before="40" w:after="40"/>
              <w:rPr>
                <w:rFonts w:cs="Arial"/>
                <w:sz w:val="18"/>
                <w:szCs w:val="20"/>
              </w:rPr>
            </w:pPr>
            <w:r w:rsidRPr="003F7B01">
              <w:rPr>
                <w:rFonts w:cs="Arial"/>
                <w:sz w:val="18"/>
                <w:szCs w:val="20"/>
              </w:rPr>
              <w:t xml:space="preserve">Becomes analogous to USP, but as a </w:t>
            </w:r>
          </w:p>
          <w:p w14:paraId="2AD4DC19" w14:textId="77777777" w:rsidR="009B4045" w:rsidRPr="003F7B01" w:rsidRDefault="009B4045" w:rsidP="003F7B01">
            <w:pPr>
              <w:spacing w:before="40" w:after="40"/>
              <w:rPr>
                <w:rFonts w:cs="Arial"/>
                <w:sz w:val="18"/>
                <w:szCs w:val="20"/>
              </w:rPr>
            </w:pPr>
            <w:r w:rsidRPr="003F7B01">
              <w:rPr>
                <w:rFonts w:cs="Arial"/>
                <w:sz w:val="18"/>
                <w:szCs w:val="20"/>
              </w:rPr>
              <w:t>regional provider of high quality technical skills</w:t>
            </w:r>
          </w:p>
        </w:tc>
        <w:tc>
          <w:tcPr>
            <w:tcW w:w="2126" w:type="dxa"/>
            <w:shd w:val="clear" w:color="auto" w:fill="E2EFD9" w:themeFill="accent6" w:themeFillTint="33"/>
          </w:tcPr>
          <w:p w14:paraId="430C8658" w14:textId="77777777" w:rsidR="00265954" w:rsidRDefault="009B4045" w:rsidP="003F7B01">
            <w:pPr>
              <w:spacing w:before="40" w:after="40"/>
              <w:rPr>
                <w:rFonts w:cs="Arial"/>
                <w:sz w:val="18"/>
                <w:szCs w:val="20"/>
              </w:rPr>
            </w:pPr>
            <w:r w:rsidRPr="003F7B01">
              <w:rPr>
                <w:rFonts w:cs="Arial"/>
                <w:sz w:val="18"/>
                <w:szCs w:val="20"/>
              </w:rPr>
              <w:t xml:space="preserve">Pacific government interest &amp; financial support uncertain vis a vis support for their own NTIs </w:t>
            </w:r>
          </w:p>
          <w:p w14:paraId="528AC0F3" w14:textId="77777777" w:rsidR="009B4045" w:rsidRPr="003F7B01" w:rsidRDefault="009B4045" w:rsidP="003F7B01">
            <w:pPr>
              <w:spacing w:before="40" w:after="40"/>
              <w:rPr>
                <w:rFonts w:cs="Arial"/>
                <w:sz w:val="18"/>
                <w:szCs w:val="20"/>
              </w:rPr>
            </w:pPr>
            <w:r w:rsidRPr="003F7B01">
              <w:rPr>
                <w:rFonts w:cs="Arial"/>
                <w:sz w:val="18"/>
                <w:szCs w:val="20"/>
              </w:rPr>
              <w:t>Need to create new administration</w:t>
            </w:r>
          </w:p>
        </w:tc>
      </w:tr>
      <w:tr w:rsidR="009B4045" w:rsidRPr="003F7B01" w14:paraId="769B88F1" w14:textId="77777777" w:rsidTr="00F344C5">
        <w:tc>
          <w:tcPr>
            <w:tcW w:w="2088" w:type="dxa"/>
          </w:tcPr>
          <w:p w14:paraId="4A722810" w14:textId="5279B858" w:rsidR="009B4045" w:rsidRPr="004415DF" w:rsidRDefault="00A670C1" w:rsidP="003F7B01">
            <w:pPr>
              <w:spacing w:before="40" w:after="40"/>
              <w:rPr>
                <w:rFonts w:cs="Arial"/>
                <w:b/>
                <w:sz w:val="18"/>
                <w:szCs w:val="20"/>
              </w:rPr>
            </w:pPr>
            <w:r>
              <w:rPr>
                <w:rFonts w:cs="Arial"/>
                <w:b/>
                <w:sz w:val="18"/>
                <w:szCs w:val="20"/>
              </w:rPr>
              <w:t>4</w:t>
            </w:r>
            <w:r w:rsidR="009B4045" w:rsidRPr="004415DF">
              <w:rPr>
                <w:rFonts w:cs="Arial"/>
                <w:b/>
                <w:sz w:val="18"/>
                <w:szCs w:val="20"/>
              </w:rPr>
              <w:t xml:space="preserve">. APTC is taken </w:t>
            </w:r>
            <w:r w:rsidR="00F344C5">
              <w:rPr>
                <w:rFonts w:cs="Arial"/>
                <w:b/>
                <w:sz w:val="18"/>
                <w:szCs w:val="20"/>
              </w:rPr>
              <w:br/>
              <w:t xml:space="preserve">    </w:t>
            </w:r>
            <w:r w:rsidR="009B4045" w:rsidRPr="004415DF">
              <w:rPr>
                <w:rFonts w:cs="Arial"/>
                <w:b/>
                <w:sz w:val="18"/>
                <w:szCs w:val="20"/>
              </w:rPr>
              <w:t xml:space="preserve">over by an </w:t>
            </w:r>
            <w:r w:rsidR="00F344C5">
              <w:rPr>
                <w:rFonts w:cs="Arial"/>
                <w:b/>
                <w:sz w:val="18"/>
                <w:szCs w:val="20"/>
              </w:rPr>
              <w:br/>
              <w:t xml:space="preserve">    </w:t>
            </w:r>
            <w:r w:rsidR="009B4045" w:rsidRPr="004415DF">
              <w:rPr>
                <w:rFonts w:cs="Arial"/>
                <w:b/>
                <w:sz w:val="18"/>
                <w:szCs w:val="20"/>
              </w:rPr>
              <w:t xml:space="preserve">existing regional </w:t>
            </w:r>
            <w:r w:rsidR="00F344C5">
              <w:rPr>
                <w:rFonts w:cs="Arial"/>
                <w:b/>
                <w:sz w:val="18"/>
                <w:szCs w:val="20"/>
              </w:rPr>
              <w:br/>
              <w:t xml:space="preserve">    </w:t>
            </w:r>
            <w:r w:rsidR="009B4045" w:rsidRPr="004415DF">
              <w:rPr>
                <w:rFonts w:cs="Arial"/>
                <w:b/>
                <w:sz w:val="18"/>
                <w:szCs w:val="20"/>
              </w:rPr>
              <w:t>organisation</w:t>
            </w:r>
          </w:p>
        </w:tc>
        <w:tc>
          <w:tcPr>
            <w:tcW w:w="1402" w:type="dxa"/>
          </w:tcPr>
          <w:p w14:paraId="1877C362" w14:textId="14EC2F78" w:rsidR="009B4045" w:rsidRPr="003F7B01" w:rsidRDefault="001F264F" w:rsidP="001F264F">
            <w:pPr>
              <w:spacing w:before="40" w:after="40"/>
              <w:rPr>
                <w:rFonts w:cs="Arial"/>
                <w:sz w:val="18"/>
                <w:szCs w:val="20"/>
              </w:rPr>
            </w:pPr>
            <w:r>
              <w:rPr>
                <w:rFonts w:cs="Arial"/>
                <w:sz w:val="18"/>
                <w:szCs w:val="20"/>
              </w:rPr>
              <w:t xml:space="preserve">e.g. </w:t>
            </w:r>
            <w:r w:rsidR="009B4045" w:rsidRPr="003F7B01">
              <w:rPr>
                <w:rFonts w:cs="Arial"/>
                <w:sz w:val="18"/>
                <w:szCs w:val="20"/>
              </w:rPr>
              <w:t xml:space="preserve">USP </w:t>
            </w:r>
          </w:p>
        </w:tc>
        <w:tc>
          <w:tcPr>
            <w:tcW w:w="1478" w:type="dxa"/>
          </w:tcPr>
          <w:p w14:paraId="458F4AB6" w14:textId="43E5C704" w:rsidR="009B4045" w:rsidRPr="003F7B01" w:rsidRDefault="001F264F" w:rsidP="001F264F">
            <w:pPr>
              <w:spacing w:before="40" w:after="40"/>
              <w:rPr>
                <w:rFonts w:cs="Arial"/>
                <w:sz w:val="18"/>
                <w:szCs w:val="20"/>
              </w:rPr>
            </w:pPr>
            <w:r>
              <w:rPr>
                <w:rFonts w:cs="Arial"/>
                <w:sz w:val="18"/>
                <w:szCs w:val="20"/>
              </w:rPr>
              <w:t xml:space="preserve">e.g. </w:t>
            </w:r>
            <w:r w:rsidR="009B4045" w:rsidRPr="003F7B01">
              <w:rPr>
                <w:rFonts w:cs="Arial"/>
                <w:sz w:val="18"/>
                <w:szCs w:val="20"/>
              </w:rPr>
              <w:t xml:space="preserve">USP </w:t>
            </w:r>
          </w:p>
        </w:tc>
        <w:tc>
          <w:tcPr>
            <w:tcW w:w="1690" w:type="dxa"/>
          </w:tcPr>
          <w:p w14:paraId="2532063B" w14:textId="68D6DBAB" w:rsidR="009B4045" w:rsidRPr="003F7B01" w:rsidRDefault="009B4045" w:rsidP="003F7B01">
            <w:pPr>
              <w:spacing w:before="40" w:after="40"/>
              <w:rPr>
                <w:rFonts w:cs="Arial"/>
                <w:sz w:val="18"/>
                <w:szCs w:val="20"/>
              </w:rPr>
            </w:pPr>
            <w:r w:rsidRPr="003F7B01">
              <w:rPr>
                <w:rFonts w:cs="Arial"/>
                <w:sz w:val="18"/>
                <w:szCs w:val="20"/>
              </w:rPr>
              <w:t>Savi</w:t>
            </w:r>
            <w:r w:rsidR="002063FC">
              <w:rPr>
                <w:rFonts w:cs="Arial"/>
                <w:sz w:val="18"/>
                <w:szCs w:val="20"/>
              </w:rPr>
              <w:t>ngs on administrative overhead</w:t>
            </w:r>
          </w:p>
        </w:tc>
        <w:tc>
          <w:tcPr>
            <w:tcW w:w="2126" w:type="dxa"/>
          </w:tcPr>
          <w:p w14:paraId="0B25BE4F" w14:textId="77777777" w:rsidR="009B4045" w:rsidRPr="003F7B01" w:rsidRDefault="009B4045" w:rsidP="003F7B01">
            <w:pPr>
              <w:spacing w:before="40" w:after="40"/>
              <w:rPr>
                <w:rFonts w:cs="Arial"/>
                <w:sz w:val="18"/>
                <w:szCs w:val="20"/>
              </w:rPr>
            </w:pPr>
            <w:r w:rsidRPr="003F7B01">
              <w:rPr>
                <w:rFonts w:cs="Arial"/>
                <w:sz w:val="18"/>
                <w:szCs w:val="20"/>
              </w:rPr>
              <w:t>Still requires major DFAT funding</w:t>
            </w:r>
          </w:p>
          <w:p w14:paraId="42028B01" w14:textId="77777777" w:rsidR="009B4045" w:rsidRPr="003F7B01" w:rsidRDefault="009B4045" w:rsidP="003F7B01">
            <w:pPr>
              <w:spacing w:before="40" w:after="40"/>
              <w:rPr>
                <w:rFonts w:cs="Arial"/>
                <w:sz w:val="18"/>
                <w:szCs w:val="20"/>
              </w:rPr>
            </w:pPr>
            <w:r w:rsidRPr="003F7B01">
              <w:rPr>
                <w:rFonts w:cs="Arial"/>
                <w:sz w:val="18"/>
                <w:szCs w:val="20"/>
              </w:rPr>
              <w:t>Regional organisation may not give priority to technical skills or labour mobility</w:t>
            </w:r>
          </w:p>
        </w:tc>
      </w:tr>
      <w:tr w:rsidR="009B4045" w:rsidRPr="003F7B01" w14:paraId="1CE878AD" w14:textId="77777777" w:rsidTr="00F344C5">
        <w:tc>
          <w:tcPr>
            <w:tcW w:w="2088" w:type="dxa"/>
            <w:shd w:val="clear" w:color="auto" w:fill="E2EFD9" w:themeFill="accent6" w:themeFillTint="33"/>
          </w:tcPr>
          <w:p w14:paraId="47E16EC0" w14:textId="36581FC5" w:rsidR="009B4045" w:rsidRPr="004415DF" w:rsidRDefault="001B6328" w:rsidP="003F7B01">
            <w:pPr>
              <w:spacing w:before="40" w:after="40"/>
              <w:rPr>
                <w:rFonts w:cs="Arial"/>
                <w:b/>
                <w:sz w:val="18"/>
                <w:szCs w:val="20"/>
              </w:rPr>
            </w:pPr>
            <w:r>
              <w:rPr>
                <w:rFonts w:cs="Arial"/>
                <w:b/>
                <w:sz w:val="18"/>
                <w:szCs w:val="20"/>
              </w:rPr>
              <w:t>5</w:t>
            </w:r>
            <w:r w:rsidR="009B4045" w:rsidRPr="004415DF">
              <w:rPr>
                <w:rFonts w:cs="Arial"/>
                <w:b/>
                <w:sz w:val="18"/>
                <w:szCs w:val="20"/>
              </w:rPr>
              <w:t xml:space="preserve">. Devolution of </w:t>
            </w:r>
            <w:r w:rsidR="00F344C5">
              <w:rPr>
                <w:rFonts w:cs="Arial"/>
                <w:b/>
                <w:sz w:val="18"/>
                <w:szCs w:val="20"/>
              </w:rPr>
              <w:br/>
              <w:t xml:space="preserve">    </w:t>
            </w:r>
            <w:r w:rsidR="009B4045" w:rsidRPr="004415DF">
              <w:rPr>
                <w:rFonts w:cs="Arial"/>
                <w:b/>
                <w:sz w:val="18"/>
                <w:szCs w:val="20"/>
              </w:rPr>
              <w:t>A</w:t>
            </w:r>
            <w:r w:rsidR="00C3291E">
              <w:rPr>
                <w:rFonts w:cs="Arial"/>
                <w:b/>
                <w:sz w:val="18"/>
                <w:szCs w:val="20"/>
              </w:rPr>
              <w:t>P</w:t>
            </w:r>
            <w:r w:rsidR="009B4045" w:rsidRPr="004415DF">
              <w:rPr>
                <w:rFonts w:cs="Arial"/>
                <w:b/>
                <w:sz w:val="18"/>
                <w:szCs w:val="20"/>
              </w:rPr>
              <w:t xml:space="preserve">TC as legal </w:t>
            </w:r>
            <w:r w:rsidR="00F344C5">
              <w:rPr>
                <w:rFonts w:cs="Arial"/>
                <w:b/>
                <w:sz w:val="18"/>
                <w:szCs w:val="20"/>
              </w:rPr>
              <w:br/>
              <w:t xml:space="preserve">    </w:t>
            </w:r>
            <w:r w:rsidR="009B4045" w:rsidRPr="004415DF">
              <w:rPr>
                <w:rFonts w:cs="Arial"/>
                <w:b/>
                <w:sz w:val="18"/>
                <w:szCs w:val="20"/>
              </w:rPr>
              <w:t>entity</w:t>
            </w:r>
          </w:p>
        </w:tc>
        <w:tc>
          <w:tcPr>
            <w:tcW w:w="1402" w:type="dxa"/>
            <w:shd w:val="clear" w:color="auto" w:fill="E2EFD9" w:themeFill="accent6" w:themeFillTint="33"/>
          </w:tcPr>
          <w:p w14:paraId="2E62967D" w14:textId="77777777" w:rsidR="009B4045" w:rsidRPr="003F7B01" w:rsidRDefault="009B4045" w:rsidP="003F7B01">
            <w:pPr>
              <w:spacing w:before="40" w:after="40"/>
              <w:rPr>
                <w:rFonts w:cs="Arial"/>
                <w:sz w:val="18"/>
                <w:szCs w:val="20"/>
              </w:rPr>
            </w:pPr>
            <w:r w:rsidRPr="003F7B01">
              <w:rPr>
                <w:rFonts w:cs="Arial"/>
                <w:sz w:val="18"/>
                <w:szCs w:val="20"/>
              </w:rPr>
              <w:t>Third party owner, or jointly with APTC</w:t>
            </w:r>
          </w:p>
        </w:tc>
        <w:tc>
          <w:tcPr>
            <w:tcW w:w="1478" w:type="dxa"/>
            <w:shd w:val="clear" w:color="auto" w:fill="E2EFD9" w:themeFill="accent6" w:themeFillTint="33"/>
          </w:tcPr>
          <w:p w14:paraId="173411FA" w14:textId="77777777" w:rsidR="009B4045" w:rsidRPr="003F7B01" w:rsidRDefault="009B4045" w:rsidP="003F7B01">
            <w:pPr>
              <w:spacing w:before="40" w:after="40"/>
              <w:rPr>
                <w:rFonts w:cs="Arial"/>
                <w:sz w:val="18"/>
                <w:szCs w:val="20"/>
              </w:rPr>
            </w:pPr>
            <w:r w:rsidRPr="003F7B01">
              <w:rPr>
                <w:rFonts w:cs="Arial"/>
                <w:sz w:val="18"/>
                <w:szCs w:val="20"/>
              </w:rPr>
              <w:t xml:space="preserve">Third party owner </w:t>
            </w:r>
          </w:p>
        </w:tc>
        <w:tc>
          <w:tcPr>
            <w:tcW w:w="1690" w:type="dxa"/>
            <w:shd w:val="clear" w:color="auto" w:fill="E2EFD9" w:themeFill="accent6" w:themeFillTint="33"/>
          </w:tcPr>
          <w:p w14:paraId="43A2721F" w14:textId="77777777" w:rsidR="009B4045" w:rsidRPr="003F7B01" w:rsidRDefault="009B4045" w:rsidP="003F7B01">
            <w:pPr>
              <w:spacing w:before="40" w:after="40"/>
              <w:rPr>
                <w:rFonts w:cs="Arial"/>
                <w:sz w:val="18"/>
                <w:szCs w:val="20"/>
              </w:rPr>
            </w:pPr>
            <w:r w:rsidRPr="003F7B01">
              <w:rPr>
                <w:rFonts w:cs="Arial"/>
                <w:sz w:val="18"/>
                <w:szCs w:val="20"/>
              </w:rPr>
              <w:t>Relieves DFAT financial responsibility in the long term</w:t>
            </w:r>
          </w:p>
        </w:tc>
        <w:tc>
          <w:tcPr>
            <w:tcW w:w="2126" w:type="dxa"/>
            <w:shd w:val="clear" w:color="auto" w:fill="E2EFD9" w:themeFill="accent6" w:themeFillTint="33"/>
          </w:tcPr>
          <w:p w14:paraId="4A00E1FB" w14:textId="77777777" w:rsidR="009B4045" w:rsidRPr="003F7B01" w:rsidRDefault="009B4045" w:rsidP="003F7B01">
            <w:pPr>
              <w:spacing w:before="40" w:after="40"/>
              <w:rPr>
                <w:rFonts w:cs="Arial"/>
                <w:sz w:val="18"/>
                <w:szCs w:val="20"/>
              </w:rPr>
            </w:pPr>
            <w:r w:rsidRPr="003F7B01">
              <w:rPr>
                <w:rFonts w:cs="Arial"/>
                <w:sz w:val="18"/>
                <w:szCs w:val="20"/>
              </w:rPr>
              <w:t>Cannot become a RTO</w:t>
            </w:r>
          </w:p>
          <w:p w14:paraId="1EEA4868" w14:textId="591683CA" w:rsidR="009B4045" w:rsidRPr="003F7B01" w:rsidRDefault="009B4045" w:rsidP="003F7B01">
            <w:pPr>
              <w:spacing w:before="40" w:after="40"/>
              <w:rPr>
                <w:rFonts w:cs="Arial"/>
                <w:sz w:val="18"/>
                <w:szCs w:val="20"/>
              </w:rPr>
            </w:pPr>
            <w:r w:rsidRPr="003F7B01">
              <w:rPr>
                <w:rFonts w:cs="Arial"/>
                <w:sz w:val="18"/>
                <w:szCs w:val="20"/>
              </w:rPr>
              <w:t>Still require</w:t>
            </w:r>
            <w:r w:rsidR="001F264F">
              <w:rPr>
                <w:rFonts w:cs="Arial"/>
                <w:sz w:val="18"/>
                <w:szCs w:val="20"/>
              </w:rPr>
              <w:t>s</w:t>
            </w:r>
            <w:r w:rsidRPr="003F7B01">
              <w:rPr>
                <w:rFonts w:cs="Arial"/>
                <w:sz w:val="18"/>
                <w:szCs w:val="20"/>
              </w:rPr>
              <w:t xml:space="preserve"> DFAT med. term funding </w:t>
            </w:r>
          </w:p>
        </w:tc>
      </w:tr>
      <w:tr w:rsidR="009B4045" w:rsidRPr="003F7B01" w14:paraId="05A88CEC" w14:textId="77777777" w:rsidTr="00F344C5">
        <w:tc>
          <w:tcPr>
            <w:tcW w:w="2088" w:type="dxa"/>
          </w:tcPr>
          <w:p w14:paraId="1D6A55D9" w14:textId="1DF089FE" w:rsidR="009B4045" w:rsidRPr="004415DF" w:rsidRDefault="00C451A9" w:rsidP="00C3291E">
            <w:pPr>
              <w:spacing w:before="40" w:after="40"/>
              <w:rPr>
                <w:rFonts w:cs="Arial"/>
                <w:b/>
                <w:sz w:val="18"/>
                <w:szCs w:val="20"/>
              </w:rPr>
            </w:pPr>
            <w:r>
              <w:rPr>
                <w:rFonts w:cs="Arial"/>
                <w:b/>
                <w:sz w:val="18"/>
                <w:szCs w:val="20"/>
              </w:rPr>
              <w:t>6</w:t>
            </w:r>
            <w:r w:rsidR="009B4045" w:rsidRPr="004415DF">
              <w:rPr>
                <w:rFonts w:cs="Arial"/>
                <w:b/>
                <w:sz w:val="18"/>
                <w:szCs w:val="20"/>
              </w:rPr>
              <w:t xml:space="preserve">. Franchising </w:t>
            </w:r>
            <w:r w:rsidR="00F344C5">
              <w:rPr>
                <w:rFonts w:cs="Arial"/>
                <w:b/>
                <w:sz w:val="18"/>
                <w:szCs w:val="20"/>
              </w:rPr>
              <w:br/>
              <w:t xml:space="preserve">    </w:t>
            </w:r>
            <w:r w:rsidR="009B4045" w:rsidRPr="004415DF">
              <w:rPr>
                <w:rFonts w:cs="Arial"/>
                <w:b/>
                <w:sz w:val="18"/>
                <w:szCs w:val="20"/>
              </w:rPr>
              <w:t>A</w:t>
            </w:r>
            <w:r w:rsidR="00C3291E">
              <w:rPr>
                <w:rFonts w:cs="Arial"/>
                <w:b/>
                <w:sz w:val="18"/>
                <w:szCs w:val="20"/>
              </w:rPr>
              <w:t>P</w:t>
            </w:r>
            <w:r w:rsidR="009B4045" w:rsidRPr="004415DF">
              <w:rPr>
                <w:rFonts w:cs="Arial"/>
                <w:b/>
                <w:sz w:val="18"/>
                <w:szCs w:val="20"/>
              </w:rPr>
              <w:t xml:space="preserve">TC name and </w:t>
            </w:r>
            <w:r w:rsidR="00F344C5">
              <w:rPr>
                <w:rFonts w:cs="Arial"/>
                <w:b/>
                <w:sz w:val="18"/>
                <w:szCs w:val="20"/>
              </w:rPr>
              <w:br/>
              <w:t xml:space="preserve">    </w:t>
            </w:r>
            <w:r w:rsidR="009B4045" w:rsidRPr="004415DF">
              <w:rPr>
                <w:rFonts w:cs="Arial"/>
                <w:b/>
                <w:sz w:val="18"/>
                <w:szCs w:val="20"/>
              </w:rPr>
              <w:t>model</w:t>
            </w:r>
          </w:p>
        </w:tc>
        <w:tc>
          <w:tcPr>
            <w:tcW w:w="1402" w:type="dxa"/>
          </w:tcPr>
          <w:p w14:paraId="136C26DF" w14:textId="77777777" w:rsidR="009B4045" w:rsidRPr="003F7B01" w:rsidRDefault="009B4045" w:rsidP="003F7B01">
            <w:pPr>
              <w:spacing w:before="40" w:after="40"/>
              <w:rPr>
                <w:rFonts w:cs="Arial"/>
                <w:sz w:val="18"/>
                <w:szCs w:val="20"/>
              </w:rPr>
            </w:pPr>
            <w:r w:rsidRPr="003F7B01">
              <w:rPr>
                <w:rFonts w:cs="Arial"/>
                <w:sz w:val="18"/>
                <w:szCs w:val="20"/>
              </w:rPr>
              <w:t>DFAT</w:t>
            </w:r>
          </w:p>
        </w:tc>
        <w:tc>
          <w:tcPr>
            <w:tcW w:w="1478" w:type="dxa"/>
          </w:tcPr>
          <w:p w14:paraId="371C05F7" w14:textId="77777777" w:rsidR="009B4045" w:rsidRPr="003F7B01" w:rsidRDefault="009B4045" w:rsidP="003F7B01">
            <w:pPr>
              <w:spacing w:before="40" w:after="40"/>
              <w:rPr>
                <w:rFonts w:cs="Arial"/>
                <w:sz w:val="18"/>
                <w:szCs w:val="20"/>
              </w:rPr>
            </w:pPr>
            <w:r w:rsidRPr="003F7B01">
              <w:rPr>
                <w:rFonts w:cs="Arial"/>
                <w:sz w:val="18"/>
                <w:szCs w:val="20"/>
              </w:rPr>
              <w:t>Franchisee</w:t>
            </w:r>
          </w:p>
        </w:tc>
        <w:tc>
          <w:tcPr>
            <w:tcW w:w="1690" w:type="dxa"/>
          </w:tcPr>
          <w:p w14:paraId="491D9D1C" w14:textId="77777777" w:rsidR="009B4045" w:rsidRPr="003F7B01" w:rsidRDefault="009B4045" w:rsidP="003F7B01">
            <w:pPr>
              <w:spacing w:before="40" w:after="40"/>
              <w:rPr>
                <w:rFonts w:cs="Arial"/>
                <w:sz w:val="18"/>
                <w:szCs w:val="20"/>
              </w:rPr>
            </w:pPr>
            <w:r w:rsidRPr="003F7B01">
              <w:rPr>
                <w:rFonts w:cs="Arial"/>
                <w:sz w:val="18"/>
                <w:szCs w:val="20"/>
              </w:rPr>
              <w:t>Makes use of APTC brand to continue quality skills training</w:t>
            </w:r>
          </w:p>
          <w:p w14:paraId="102126D9" w14:textId="77777777" w:rsidR="009B4045" w:rsidRPr="003F7B01" w:rsidRDefault="009B4045" w:rsidP="003F7B01">
            <w:pPr>
              <w:spacing w:before="40" w:after="40"/>
              <w:rPr>
                <w:rFonts w:cs="Arial"/>
                <w:sz w:val="18"/>
                <w:szCs w:val="20"/>
              </w:rPr>
            </w:pPr>
            <w:r w:rsidRPr="003F7B01">
              <w:rPr>
                <w:rFonts w:cs="Arial"/>
                <w:sz w:val="18"/>
                <w:szCs w:val="20"/>
              </w:rPr>
              <w:t>Enables franchising to individual countries</w:t>
            </w:r>
          </w:p>
        </w:tc>
        <w:tc>
          <w:tcPr>
            <w:tcW w:w="2126" w:type="dxa"/>
          </w:tcPr>
          <w:p w14:paraId="62DC06FB" w14:textId="0898BC75" w:rsidR="009B4045" w:rsidRPr="003F7B01" w:rsidRDefault="009B4045" w:rsidP="003F7B01">
            <w:pPr>
              <w:spacing w:before="40" w:after="40"/>
              <w:rPr>
                <w:rFonts w:cs="Arial"/>
                <w:sz w:val="18"/>
                <w:szCs w:val="20"/>
              </w:rPr>
            </w:pPr>
            <w:r w:rsidRPr="003F7B01">
              <w:rPr>
                <w:rFonts w:cs="Arial"/>
                <w:sz w:val="18"/>
                <w:szCs w:val="20"/>
              </w:rPr>
              <w:t>Req</w:t>
            </w:r>
            <w:r w:rsidR="002063FC">
              <w:rPr>
                <w:rFonts w:cs="Arial"/>
                <w:sz w:val="18"/>
                <w:szCs w:val="20"/>
              </w:rPr>
              <w:t>uires APTC to be a legal entity</w:t>
            </w:r>
          </w:p>
          <w:p w14:paraId="2E04B535" w14:textId="77777777" w:rsidR="009B4045" w:rsidRPr="003F7B01" w:rsidRDefault="00F905B7" w:rsidP="003F7B01">
            <w:pPr>
              <w:spacing w:before="40" w:after="40"/>
              <w:rPr>
                <w:rFonts w:cs="Arial"/>
                <w:sz w:val="18"/>
                <w:szCs w:val="20"/>
              </w:rPr>
            </w:pPr>
            <w:r>
              <w:rPr>
                <w:rFonts w:cs="Arial"/>
                <w:sz w:val="18"/>
                <w:szCs w:val="20"/>
              </w:rPr>
              <w:t>D</w:t>
            </w:r>
            <w:r w:rsidRPr="003F7B01">
              <w:rPr>
                <w:rFonts w:cs="Arial"/>
                <w:sz w:val="18"/>
                <w:szCs w:val="20"/>
              </w:rPr>
              <w:t xml:space="preserve">ependent </w:t>
            </w:r>
            <w:r w:rsidR="009B4045" w:rsidRPr="003F7B01">
              <w:rPr>
                <w:rFonts w:cs="Arial"/>
                <w:sz w:val="18"/>
                <w:szCs w:val="20"/>
              </w:rPr>
              <w:t>on uncertain donor funding &amp; large enterprise &amp; donor demand for skills training</w:t>
            </w:r>
          </w:p>
        </w:tc>
      </w:tr>
      <w:tr w:rsidR="009B4045" w:rsidRPr="003F7B01" w14:paraId="6235D6A9" w14:textId="77777777" w:rsidTr="00F344C5">
        <w:tc>
          <w:tcPr>
            <w:tcW w:w="2088" w:type="dxa"/>
            <w:shd w:val="clear" w:color="auto" w:fill="E2EFD9" w:themeFill="accent6" w:themeFillTint="33"/>
          </w:tcPr>
          <w:p w14:paraId="2E32E4F8" w14:textId="0D338CF6" w:rsidR="009B4045" w:rsidRPr="004415DF" w:rsidRDefault="00C451A9" w:rsidP="003F7B01">
            <w:pPr>
              <w:spacing w:before="40" w:after="40"/>
              <w:rPr>
                <w:rFonts w:cs="Arial"/>
                <w:b/>
                <w:sz w:val="18"/>
                <w:szCs w:val="20"/>
              </w:rPr>
            </w:pPr>
            <w:r>
              <w:rPr>
                <w:rFonts w:cs="Arial"/>
                <w:b/>
                <w:sz w:val="18"/>
                <w:szCs w:val="20"/>
              </w:rPr>
              <w:t>7</w:t>
            </w:r>
            <w:r w:rsidR="009B4045" w:rsidRPr="004415DF">
              <w:rPr>
                <w:rFonts w:cs="Arial"/>
                <w:b/>
                <w:sz w:val="18"/>
                <w:szCs w:val="20"/>
              </w:rPr>
              <w:t>. Transfer</w:t>
            </w:r>
            <w:r w:rsidR="00F344C5">
              <w:rPr>
                <w:rFonts w:cs="Arial"/>
                <w:b/>
                <w:sz w:val="18"/>
                <w:szCs w:val="20"/>
              </w:rPr>
              <w:t xml:space="preserve"> –</w:t>
            </w:r>
            <w:r w:rsidR="009B4045" w:rsidRPr="004415DF">
              <w:rPr>
                <w:rFonts w:cs="Arial"/>
                <w:b/>
                <w:sz w:val="18"/>
                <w:szCs w:val="20"/>
              </w:rPr>
              <w:t xml:space="preserve"> </w:t>
            </w:r>
            <w:r w:rsidR="00F344C5">
              <w:rPr>
                <w:rFonts w:cs="Arial"/>
                <w:b/>
                <w:sz w:val="18"/>
                <w:szCs w:val="20"/>
              </w:rPr>
              <w:br/>
              <w:t xml:space="preserve">    </w:t>
            </w:r>
            <w:r w:rsidR="009B4045" w:rsidRPr="004415DF">
              <w:rPr>
                <w:rFonts w:cs="Arial"/>
                <w:b/>
                <w:sz w:val="18"/>
                <w:szCs w:val="20"/>
              </w:rPr>
              <w:t xml:space="preserve">APTC integrated </w:t>
            </w:r>
            <w:r w:rsidR="00F344C5">
              <w:rPr>
                <w:rFonts w:cs="Arial"/>
                <w:b/>
                <w:sz w:val="18"/>
                <w:szCs w:val="20"/>
              </w:rPr>
              <w:br/>
              <w:t xml:space="preserve">    </w:t>
            </w:r>
            <w:r w:rsidR="009B4045" w:rsidRPr="004415DF">
              <w:rPr>
                <w:rFonts w:cs="Arial"/>
                <w:b/>
                <w:sz w:val="18"/>
                <w:szCs w:val="20"/>
              </w:rPr>
              <w:t xml:space="preserve">fully into partner </w:t>
            </w:r>
            <w:r w:rsidR="00F344C5">
              <w:rPr>
                <w:rFonts w:cs="Arial"/>
                <w:b/>
                <w:sz w:val="18"/>
                <w:szCs w:val="20"/>
              </w:rPr>
              <w:br/>
              <w:t xml:space="preserve">    </w:t>
            </w:r>
            <w:r w:rsidR="009B4045" w:rsidRPr="004415DF">
              <w:rPr>
                <w:rFonts w:cs="Arial"/>
                <w:b/>
                <w:sz w:val="18"/>
                <w:szCs w:val="20"/>
              </w:rPr>
              <w:t xml:space="preserve">NTIs, country by </w:t>
            </w:r>
            <w:r w:rsidR="00F344C5">
              <w:rPr>
                <w:rFonts w:cs="Arial"/>
                <w:b/>
                <w:sz w:val="18"/>
                <w:szCs w:val="20"/>
              </w:rPr>
              <w:br/>
              <w:t xml:space="preserve">    </w:t>
            </w:r>
            <w:r w:rsidR="009B4045" w:rsidRPr="004415DF">
              <w:rPr>
                <w:rFonts w:cs="Arial"/>
                <w:b/>
                <w:sz w:val="18"/>
                <w:szCs w:val="20"/>
              </w:rPr>
              <w:t xml:space="preserve">country </w:t>
            </w:r>
          </w:p>
        </w:tc>
        <w:tc>
          <w:tcPr>
            <w:tcW w:w="1402" w:type="dxa"/>
            <w:shd w:val="clear" w:color="auto" w:fill="E2EFD9" w:themeFill="accent6" w:themeFillTint="33"/>
          </w:tcPr>
          <w:p w14:paraId="7186D083" w14:textId="77777777" w:rsidR="009B4045" w:rsidRPr="003F7B01" w:rsidRDefault="009B4045" w:rsidP="003F7B01">
            <w:pPr>
              <w:spacing w:before="40" w:after="40"/>
              <w:rPr>
                <w:rFonts w:cs="Arial"/>
                <w:sz w:val="18"/>
                <w:szCs w:val="20"/>
              </w:rPr>
            </w:pPr>
            <w:r w:rsidRPr="003F7B01">
              <w:rPr>
                <w:rFonts w:cs="Arial"/>
                <w:sz w:val="18"/>
                <w:szCs w:val="20"/>
              </w:rPr>
              <w:t>NTIs</w:t>
            </w:r>
          </w:p>
        </w:tc>
        <w:tc>
          <w:tcPr>
            <w:tcW w:w="1478" w:type="dxa"/>
            <w:shd w:val="clear" w:color="auto" w:fill="E2EFD9" w:themeFill="accent6" w:themeFillTint="33"/>
          </w:tcPr>
          <w:p w14:paraId="5BFA2A4C" w14:textId="77777777" w:rsidR="009B4045" w:rsidRPr="003F7B01" w:rsidRDefault="009B4045" w:rsidP="003F7B01">
            <w:pPr>
              <w:spacing w:before="40" w:after="40"/>
              <w:rPr>
                <w:rFonts w:cs="Arial"/>
                <w:sz w:val="18"/>
                <w:szCs w:val="20"/>
              </w:rPr>
            </w:pPr>
            <w:r w:rsidRPr="003F7B01">
              <w:rPr>
                <w:rFonts w:cs="Arial"/>
                <w:sz w:val="18"/>
                <w:szCs w:val="20"/>
              </w:rPr>
              <w:t>NTIs, with bilateral DFAT financing</w:t>
            </w:r>
          </w:p>
        </w:tc>
        <w:tc>
          <w:tcPr>
            <w:tcW w:w="1690" w:type="dxa"/>
            <w:shd w:val="clear" w:color="auto" w:fill="E2EFD9" w:themeFill="accent6" w:themeFillTint="33"/>
          </w:tcPr>
          <w:p w14:paraId="2735976D" w14:textId="77777777" w:rsidR="009B4045" w:rsidRPr="003F7B01" w:rsidRDefault="009B4045" w:rsidP="003F7B01">
            <w:pPr>
              <w:spacing w:before="40" w:after="40"/>
              <w:rPr>
                <w:rFonts w:cs="Arial"/>
                <w:sz w:val="18"/>
                <w:szCs w:val="20"/>
              </w:rPr>
            </w:pPr>
            <w:r w:rsidRPr="003F7B01">
              <w:rPr>
                <w:rFonts w:cs="Arial"/>
                <w:sz w:val="18"/>
                <w:szCs w:val="20"/>
              </w:rPr>
              <w:t>The option that best supports local capacity building &amp; integration with national TVET systems</w:t>
            </w:r>
          </w:p>
        </w:tc>
        <w:tc>
          <w:tcPr>
            <w:tcW w:w="2126" w:type="dxa"/>
            <w:shd w:val="clear" w:color="auto" w:fill="E2EFD9" w:themeFill="accent6" w:themeFillTint="33"/>
          </w:tcPr>
          <w:p w14:paraId="4DFF0710" w14:textId="77777777" w:rsidR="009B4045" w:rsidRPr="003F7B01" w:rsidRDefault="009B4045" w:rsidP="003F7B01">
            <w:pPr>
              <w:spacing w:before="40" w:after="40"/>
              <w:rPr>
                <w:rFonts w:cs="Arial"/>
                <w:sz w:val="18"/>
                <w:szCs w:val="20"/>
              </w:rPr>
            </w:pPr>
            <w:r w:rsidRPr="003F7B01">
              <w:rPr>
                <w:rFonts w:cs="Arial"/>
                <w:sz w:val="18"/>
                <w:szCs w:val="20"/>
              </w:rPr>
              <w:t xml:space="preserve">Assumes NTIs can manage the direct training </w:t>
            </w:r>
          </w:p>
          <w:p w14:paraId="4BBEE22E" w14:textId="77777777" w:rsidR="009B4045" w:rsidRPr="003F7B01" w:rsidRDefault="009B4045" w:rsidP="003F7B01">
            <w:pPr>
              <w:spacing w:before="40" w:after="40"/>
              <w:rPr>
                <w:rFonts w:cs="Arial"/>
                <w:sz w:val="18"/>
                <w:szCs w:val="20"/>
              </w:rPr>
            </w:pPr>
            <w:r w:rsidRPr="003F7B01">
              <w:rPr>
                <w:rFonts w:cs="Arial"/>
                <w:sz w:val="18"/>
                <w:szCs w:val="20"/>
              </w:rPr>
              <w:t>Breaks up the APTC as a regional body</w:t>
            </w:r>
          </w:p>
          <w:p w14:paraId="74F7D1BB" w14:textId="77777777" w:rsidR="009B4045" w:rsidRPr="003F7B01" w:rsidRDefault="009B4045" w:rsidP="003F7B01">
            <w:pPr>
              <w:spacing w:before="40" w:after="40"/>
              <w:rPr>
                <w:rFonts w:cs="Arial"/>
                <w:sz w:val="18"/>
                <w:szCs w:val="20"/>
              </w:rPr>
            </w:pPr>
            <w:r w:rsidRPr="003F7B01">
              <w:rPr>
                <w:rFonts w:cs="Arial"/>
                <w:sz w:val="18"/>
                <w:szCs w:val="20"/>
              </w:rPr>
              <w:t>APTC ceases to exist as separate entity</w:t>
            </w:r>
          </w:p>
        </w:tc>
      </w:tr>
      <w:tr w:rsidR="009B4045" w:rsidRPr="003F7B01" w14:paraId="636C3EF3" w14:textId="77777777" w:rsidTr="00F344C5">
        <w:trPr>
          <w:trHeight w:val="917"/>
        </w:trPr>
        <w:tc>
          <w:tcPr>
            <w:tcW w:w="2088" w:type="dxa"/>
            <w:tcBorders>
              <w:bottom w:val="single" w:sz="4" w:space="0" w:color="A8D08D" w:themeColor="accent6" w:themeTint="99"/>
            </w:tcBorders>
          </w:tcPr>
          <w:p w14:paraId="4679089B" w14:textId="1C23836D" w:rsidR="009B4045" w:rsidRPr="004415DF" w:rsidRDefault="00C451A9" w:rsidP="003F7B01">
            <w:pPr>
              <w:spacing w:before="40" w:after="40"/>
              <w:rPr>
                <w:rFonts w:cs="Arial"/>
                <w:b/>
                <w:sz w:val="18"/>
                <w:szCs w:val="20"/>
              </w:rPr>
            </w:pPr>
            <w:r>
              <w:rPr>
                <w:rFonts w:cs="Arial"/>
                <w:b/>
                <w:sz w:val="18"/>
                <w:szCs w:val="20"/>
              </w:rPr>
              <w:t>8</w:t>
            </w:r>
            <w:r w:rsidR="009B4045" w:rsidRPr="004415DF">
              <w:rPr>
                <w:rFonts w:cs="Arial"/>
                <w:b/>
                <w:sz w:val="18"/>
                <w:szCs w:val="20"/>
              </w:rPr>
              <w:t xml:space="preserve">. APTC focuses </w:t>
            </w:r>
            <w:r w:rsidR="00F344C5">
              <w:rPr>
                <w:rFonts w:cs="Arial"/>
                <w:b/>
                <w:sz w:val="18"/>
                <w:szCs w:val="20"/>
              </w:rPr>
              <w:br/>
              <w:t xml:space="preserve">    </w:t>
            </w:r>
            <w:r w:rsidR="009B4045" w:rsidRPr="004415DF">
              <w:rPr>
                <w:rFonts w:cs="Arial"/>
                <w:b/>
                <w:sz w:val="18"/>
                <w:szCs w:val="20"/>
              </w:rPr>
              <w:t xml:space="preserve">exclusively on </w:t>
            </w:r>
            <w:r w:rsidR="00F344C5">
              <w:rPr>
                <w:rFonts w:cs="Arial"/>
                <w:b/>
                <w:sz w:val="18"/>
                <w:szCs w:val="20"/>
              </w:rPr>
              <w:br/>
              <w:t xml:space="preserve">    </w:t>
            </w:r>
            <w:r w:rsidR="009B4045" w:rsidRPr="004415DF">
              <w:rPr>
                <w:rFonts w:cs="Arial"/>
                <w:b/>
                <w:sz w:val="18"/>
                <w:szCs w:val="20"/>
              </w:rPr>
              <w:t xml:space="preserve">technical support </w:t>
            </w:r>
            <w:r w:rsidR="00F344C5">
              <w:rPr>
                <w:rFonts w:cs="Arial"/>
                <w:b/>
                <w:sz w:val="18"/>
                <w:szCs w:val="20"/>
              </w:rPr>
              <w:br/>
              <w:t xml:space="preserve">    </w:t>
            </w:r>
            <w:r w:rsidR="009B4045" w:rsidRPr="004415DF">
              <w:rPr>
                <w:rFonts w:cs="Arial"/>
                <w:b/>
                <w:sz w:val="18"/>
                <w:szCs w:val="20"/>
              </w:rPr>
              <w:t xml:space="preserve">and ceases direct </w:t>
            </w:r>
            <w:r w:rsidR="00F344C5">
              <w:rPr>
                <w:rFonts w:cs="Arial"/>
                <w:b/>
                <w:sz w:val="18"/>
                <w:szCs w:val="20"/>
              </w:rPr>
              <w:br/>
              <w:t xml:space="preserve">    </w:t>
            </w:r>
            <w:r w:rsidR="009B4045" w:rsidRPr="004415DF">
              <w:rPr>
                <w:rFonts w:cs="Arial"/>
                <w:b/>
                <w:sz w:val="18"/>
                <w:szCs w:val="20"/>
              </w:rPr>
              <w:t>student training</w:t>
            </w:r>
          </w:p>
        </w:tc>
        <w:tc>
          <w:tcPr>
            <w:tcW w:w="1402" w:type="dxa"/>
            <w:tcBorders>
              <w:bottom w:val="single" w:sz="4" w:space="0" w:color="A8D08D" w:themeColor="accent6" w:themeTint="99"/>
            </w:tcBorders>
          </w:tcPr>
          <w:p w14:paraId="2C4BFBC6" w14:textId="77777777" w:rsidR="009B4045" w:rsidRPr="003F7B01" w:rsidRDefault="009B4045" w:rsidP="003F7B01">
            <w:pPr>
              <w:spacing w:before="40" w:after="40"/>
              <w:rPr>
                <w:rFonts w:cs="Arial"/>
                <w:sz w:val="18"/>
                <w:szCs w:val="20"/>
              </w:rPr>
            </w:pPr>
            <w:r w:rsidRPr="003F7B01">
              <w:rPr>
                <w:rFonts w:cs="Arial"/>
                <w:sz w:val="18"/>
                <w:szCs w:val="20"/>
              </w:rPr>
              <w:t>DFAT</w:t>
            </w:r>
          </w:p>
        </w:tc>
        <w:tc>
          <w:tcPr>
            <w:tcW w:w="1478" w:type="dxa"/>
            <w:tcBorders>
              <w:bottom w:val="single" w:sz="4" w:space="0" w:color="A8D08D" w:themeColor="accent6" w:themeTint="99"/>
            </w:tcBorders>
          </w:tcPr>
          <w:p w14:paraId="7A06B01F" w14:textId="77777777" w:rsidR="009B4045" w:rsidRPr="003F7B01" w:rsidRDefault="009B4045" w:rsidP="003F7B01">
            <w:pPr>
              <w:spacing w:before="40" w:after="40"/>
              <w:rPr>
                <w:rFonts w:cs="Arial"/>
                <w:sz w:val="18"/>
                <w:szCs w:val="20"/>
              </w:rPr>
            </w:pPr>
            <w:r w:rsidRPr="003F7B01">
              <w:rPr>
                <w:rFonts w:cs="Arial"/>
                <w:sz w:val="18"/>
                <w:szCs w:val="20"/>
              </w:rPr>
              <w:t>DFAT funding, at much smaller scale than present</w:t>
            </w:r>
          </w:p>
        </w:tc>
        <w:tc>
          <w:tcPr>
            <w:tcW w:w="1690" w:type="dxa"/>
            <w:tcBorders>
              <w:bottom w:val="single" w:sz="4" w:space="0" w:color="A8D08D" w:themeColor="accent6" w:themeTint="99"/>
            </w:tcBorders>
          </w:tcPr>
          <w:p w14:paraId="6D9F8341" w14:textId="77777777" w:rsidR="009B4045" w:rsidRPr="003F7B01" w:rsidRDefault="009B4045" w:rsidP="003F7B01">
            <w:pPr>
              <w:spacing w:before="40" w:after="40"/>
              <w:rPr>
                <w:rFonts w:cs="Arial"/>
                <w:sz w:val="18"/>
                <w:szCs w:val="20"/>
              </w:rPr>
            </w:pPr>
            <w:r w:rsidRPr="003F7B01">
              <w:rPr>
                <w:rFonts w:cs="Arial"/>
                <w:sz w:val="18"/>
                <w:szCs w:val="20"/>
              </w:rPr>
              <w:t>APTC continues for technical support to national TVET systems</w:t>
            </w:r>
          </w:p>
        </w:tc>
        <w:tc>
          <w:tcPr>
            <w:tcW w:w="2126" w:type="dxa"/>
            <w:tcBorders>
              <w:bottom w:val="single" w:sz="4" w:space="0" w:color="A8D08D" w:themeColor="accent6" w:themeTint="99"/>
            </w:tcBorders>
          </w:tcPr>
          <w:p w14:paraId="1B7B4755" w14:textId="77777777" w:rsidR="009B4045" w:rsidRPr="003F7B01" w:rsidRDefault="009B4045" w:rsidP="003F7B01">
            <w:pPr>
              <w:spacing w:before="40" w:after="40"/>
              <w:rPr>
                <w:rFonts w:cs="Arial"/>
                <w:sz w:val="18"/>
                <w:szCs w:val="20"/>
              </w:rPr>
            </w:pPr>
            <w:r w:rsidRPr="003F7B01">
              <w:rPr>
                <w:rFonts w:cs="Arial"/>
                <w:sz w:val="18"/>
                <w:szCs w:val="20"/>
              </w:rPr>
              <w:t xml:space="preserve">Assumes NTIs can manage the direct training </w:t>
            </w:r>
          </w:p>
        </w:tc>
      </w:tr>
    </w:tbl>
    <w:p w14:paraId="4AB7DD86" w14:textId="6682947E" w:rsidR="009B4045" w:rsidRPr="003F7B01" w:rsidRDefault="002063FC" w:rsidP="009B4045">
      <w:pPr>
        <w:rPr>
          <w:rFonts w:eastAsia="Calibri" w:cs="Arial"/>
          <w:sz w:val="16"/>
        </w:rPr>
      </w:pPr>
      <w:r>
        <w:rPr>
          <w:rFonts w:eastAsia="Calibri" w:cs="Arial"/>
          <w:sz w:val="16"/>
        </w:rPr>
        <w:br/>
      </w:r>
      <w:r w:rsidR="009B4045" w:rsidRPr="003F7B01">
        <w:rPr>
          <w:rFonts w:eastAsia="Calibri" w:cs="Arial"/>
          <w:sz w:val="16"/>
        </w:rPr>
        <w:t xml:space="preserve">Source: Evaluation team  </w:t>
      </w:r>
    </w:p>
    <w:p w14:paraId="4A9808D9" w14:textId="17B73BCF" w:rsidR="00BF7E2D" w:rsidRDefault="0033544B" w:rsidP="00BF7E2D">
      <w:pPr>
        <w:pStyle w:val="Heading2"/>
        <w:rPr>
          <w:rFonts w:eastAsia="Calibri"/>
        </w:rPr>
      </w:pPr>
      <w:r>
        <w:rPr>
          <w:rFonts w:eastAsia="Calibri"/>
        </w:rPr>
        <w:br w:type="page"/>
      </w:r>
      <w:bookmarkStart w:id="1263" w:name="_Toc278448007"/>
      <w:bookmarkStart w:id="1264" w:name="_Toc278453480"/>
      <w:r w:rsidR="00BF7E2D">
        <w:rPr>
          <w:rFonts w:eastAsia="Calibri"/>
        </w:rPr>
        <w:t>5.2</w:t>
      </w:r>
      <w:r w:rsidR="00BF7E2D">
        <w:rPr>
          <w:rFonts w:eastAsia="Calibri"/>
        </w:rPr>
        <w:tab/>
      </w:r>
      <w:r w:rsidR="008C0236">
        <w:rPr>
          <w:rFonts w:eastAsia="Calibri"/>
        </w:rPr>
        <w:t>L</w:t>
      </w:r>
      <w:r w:rsidR="00BF7E2D">
        <w:rPr>
          <w:rFonts w:eastAsia="Calibri"/>
        </w:rPr>
        <w:t>ong-term options for APTC’s future</w:t>
      </w:r>
      <w:bookmarkEnd w:id="1263"/>
      <w:bookmarkEnd w:id="1264"/>
    </w:p>
    <w:p w14:paraId="2081988B" w14:textId="35A1E85C" w:rsidR="00141F9E" w:rsidRDefault="001B6328" w:rsidP="0033544B">
      <w:pPr>
        <w:rPr>
          <w:rFonts w:eastAsia="Calibri" w:cs="Arial"/>
        </w:rPr>
      </w:pPr>
      <w:r w:rsidRPr="00546F37">
        <w:rPr>
          <w:rFonts w:eastAsia="Calibri" w:cs="Arial"/>
          <w:b/>
        </w:rPr>
        <w:t>Option 1:</w:t>
      </w:r>
      <w:r w:rsidRPr="006A460D">
        <w:rPr>
          <w:rFonts w:eastAsia="Calibri" w:cs="Arial"/>
        </w:rPr>
        <w:t xml:space="preserve"> </w:t>
      </w:r>
      <w:r w:rsidR="00141F9E">
        <w:rPr>
          <w:rFonts w:eastAsia="Calibri" w:cs="Arial"/>
        </w:rPr>
        <w:t xml:space="preserve">One </w:t>
      </w:r>
      <w:r w:rsidR="00A533B5">
        <w:rPr>
          <w:rFonts w:eastAsia="Calibri" w:cs="Arial"/>
        </w:rPr>
        <w:t>extreme</w:t>
      </w:r>
      <w:r w:rsidR="00E970DD">
        <w:rPr>
          <w:rFonts w:eastAsia="Calibri" w:cs="Arial"/>
        </w:rPr>
        <w:t xml:space="preserve"> </w:t>
      </w:r>
      <w:r w:rsidR="00141F9E">
        <w:rPr>
          <w:rFonts w:eastAsia="Calibri" w:cs="Arial"/>
        </w:rPr>
        <w:t xml:space="preserve">option would be to </w:t>
      </w:r>
      <w:r>
        <w:rPr>
          <w:rFonts w:eastAsia="Calibri" w:cs="Arial"/>
        </w:rPr>
        <w:t xml:space="preserve">conclude that the costs of APTC have </w:t>
      </w:r>
      <w:r w:rsidR="00E970DD">
        <w:rPr>
          <w:rFonts w:eastAsia="Calibri" w:cs="Arial"/>
        </w:rPr>
        <w:t xml:space="preserve">exceeded </w:t>
      </w:r>
      <w:r>
        <w:rPr>
          <w:rFonts w:eastAsia="Calibri" w:cs="Arial"/>
        </w:rPr>
        <w:t xml:space="preserve">its outputs, and </w:t>
      </w:r>
      <w:r w:rsidR="00141F9E">
        <w:rPr>
          <w:rFonts w:eastAsia="Calibri" w:cs="Arial"/>
        </w:rPr>
        <w:t>close APTC</w:t>
      </w:r>
      <w:r w:rsidR="001B1B44">
        <w:rPr>
          <w:rFonts w:eastAsia="Calibri" w:cs="Arial"/>
        </w:rPr>
        <w:t xml:space="preserve"> </w:t>
      </w:r>
      <w:r w:rsidR="00A533B5">
        <w:rPr>
          <w:rFonts w:eastAsia="Calibri" w:cs="Arial"/>
        </w:rPr>
        <w:t xml:space="preserve">in mid-2015 </w:t>
      </w:r>
      <w:r w:rsidR="001B1B44">
        <w:rPr>
          <w:rFonts w:eastAsia="Calibri" w:cs="Arial"/>
        </w:rPr>
        <w:t>at the end of Stage</w:t>
      </w:r>
      <w:r w:rsidR="00141F9E">
        <w:rPr>
          <w:rFonts w:eastAsia="Calibri" w:cs="Arial"/>
        </w:rPr>
        <w:t xml:space="preserve">. </w:t>
      </w:r>
      <w:r w:rsidR="00E970DD">
        <w:rPr>
          <w:rFonts w:eastAsia="Calibri" w:cs="Arial"/>
        </w:rPr>
        <w:t>In</w:t>
      </w:r>
      <w:r w:rsidR="00A533B5">
        <w:rPr>
          <w:rFonts w:eastAsia="Calibri" w:cs="Arial"/>
        </w:rPr>
        <w:t xml:space="preserve"> effect, there would be no long-</w:t>
      </w:r>
      <w:r w:rsidR="00E970DD">
        <w:rPr>
          <w:rFonts w:eastAsia="Calibri" w:cs="Arial"/>
        </w:rPr>
        <w:t xml:space="preserve">term future for APTC. </w:t>
      </w:r>
      <w:r w:rsidR="00141F9E">
        <w:rPr>
          <w:rFonts w:eastAsia="Calibri" w:cs="Arial"/>
        </w:rPr>
        <w:t xml:space="preserve">This would save money for the Australian </w:t>
      </w:r>
      <w:r w:rsidR="002944DD">
        <w:rPr>
          <w:rFonts w:eastAsia="Calibri" w:cs="Arial"/>
        </w:rPr>
        <w:t>G</w:t>
      </w:r>
      <w:r w:rsidR="00141F9E">
        <w:rPr>
          <w:rFonts w:eastAsia="Calibri" w:cs="Arial"/>
        </w:rPr>
        <w:t xml:space="preserve">overnment and the aid program that could be allocated to other priorities. </w:t>
      </w:r>
      <w:r w:rsidR="009E2D67">
        <w:rPr>
          <w:rFonts w:eastAsia="Calibri" w:cs="Arial"/>
        </w:rPr>
        <w:t>However, closure</w:t>
      </w:r>
      <w:r w:rsidR="00A670C1">
        <w:rPr>
          <w:rFonts w:eastAsia="Calibri" w:cs="Arial"/>
        </w:rPr>
        <w:t xml:space="preserve"> could </w:t>
      </w:r>
      <w:r w:rsidR="00E970DD">
        <w:rPr>
          <w:rFonts w:eastAsia="Calibri" w:cs="Arial"/>
        </w:rPr>
        <w:t xml:space="preserve">prompt </w:t>
      </w:r>
      <w:r w:rsidR="00A533B5">
        <w:rPr>
          <w:rFonts w:eastAsia="Calibri" w:cs="Arial"/>
        </w:rPr>
        <w:t>push</w:t>
      </w:r>
      <w:r w:rsidR="00A670C1" w:rsidRPr="00A670C1">
        <w:rPr>
          <w:rFonts w:eastAsia="Calibri" w:cs="Arial"/>
        </w:rPr>
        <w:t>back by employers</w:t>
      </w:r>
      <w:r w:rsidR="00A670C1">
        <w:rPr>
          <w:rFonts w:eastAsia="Calibri" w:cs="Arial"/>
        </w:rPr>
        <w:t xml:space="preserve"> who value APTC’s contributions to raising the domestic supply of skills. It would deprive NTIs </w:t>
      </w:r>
      <w:r w:rsidR="00A533B5">
        <w:rPr>
          <w:rFonts w:eastAsia="Calibri" w:cs="Arial"/>
        </w:rPr>
        <w:t xml:space="preserve">of </w:t>
      </w:r>
      <w:r w:rsidR="00A670C1">
        <w:rPr>
          <w:rFonts w:eastAsia="Calibri" w:cs="Arial"/>
        </w:rPr>
        <w:t xml:space="preserve">a source of support to build their standards and teaching capacities. Importantly, </w:t>
      </w:r>
      <w:r w:rsidR="00F80FAF">
        <w:rPr>
          <w:rFonts w:eastAsia="Calibri" w:cs="Arial"/>
        </w:rPr>
        <w:t xml:space="preserve">it would deprive thousands of low-income Pacific </w:t>
      </w:r>
      <w:r w:rsidR="007102BB">
        <w:rPr>
          <w:rFonts w:eastAsia="Calibri" w:cs="Arial"/>
        </w:rPr>
        <w:t>I</w:t>
      </w:r>
      <w:r w:rsidR="00F80FAF">
        <w:rPr>
          <w:rFonts w:eastAsia="Calibri" w:cs="Arial"/>
        </w:rPr>
        <w:t xml:space="preserve">slanders the opportunity </w:t>
      </w:r>
      <w:r w:rsidR="00A670C1" w:rsidRPr="00A670C1">
        <w:rPr>
          <w:rFonts w:eastAsia="Calibri" w:cs="Arial"/>
        </w:rPr>
        <w:t>for better living standards</w:t>
      </w:r>
      <w:r w:rsidR="00A670C1">
        <w:rPr>
          <w:rFonts w:eastAsia="Calibri" w:cs="Arial"/>
        </w:rPr>
        <w:t xml:space="preserve"> through higher occupational qualifications.</w:t>
      </w:r>
      <w:r w:rsidR="00A670C1" w:rsidRPr="00A670C1">
        <w:rPr>
          <w:rFonts w:eastAsia="Calibri" w:cs="Arial"/>
        </w:rPr>
        <w:t xml:space="preserve"> </w:t>
      </w:r>
      <w:r w:rsidR="00F80FAF">
        <w:rPr>
          <w:rFonts w:eastAsia="Calibri" w:cs="Arial"/>
        </w:rPr>
        <w:t>Finally, s</w:t>
      </w:r>
      <w:r w:rsidR="00F80FAF" w:rsidRPr="00F80FAF">
        <w:rPr>
          <w:rFonts w:eastAsia="Calibri" w:cs="Arial"/>
        </w:rPr>
        <w:t xml:space="preserve">uch a move could entail loss of prestige and would deprive Australia of the continued diplomatic benefits of a visible, successful assistance program, not to mention the enthusiastic support of students and graduates. </w:t>
      </w:r>
      <w:r w:rsidR="008C0236">
        <w:rPr>
          <w:rFonts w:eastAsia="Calibri" w:cs="Arial"/>
        </w:rPr>
        <w:t>The negative consequences would far outweigh the benefits.</w:t>
      </w:r>
      <w:r w:rsidR="00141F9E">
        <w:rPr>
          <w:rFonts w:eastAsia="Calibri" w:cs="Arial"/>
        </w:rPr>
        <w:t xml:space="preserve">  </w:t>
      </w:r>
    </w:p>
    <w:p w14:paraId="0ABA3114" w14:textId="33BEEDB5" w:rsidR="009B4045" w:rsidRPr="0033544B" w:rsidRDefault="00546F37" w:rsidP="0033544B">
      <w:pPr>
        <w:rPr>
          <w:rFonts w:eastAsia="Calibri" w:cs="Arial"/>
          <w:b/>
        </w:rPr>
      </w:pPr>
      <w:r w:rsidRPr="00546F37">
        <w:rPr>
          <w:rFonts w:eastAsia="Calibri" w:cs="Arial"/>
          <w:b/>
        </w:rPr>
        <w:t xml:space="preserve">Option </w:t>
      </w:r>
      <w:r w:rsidR="001B6328">
        <w:rPr>
          <w:rFonts w:eastAsia="Calibri" w:cs="Arial"/>
          <w:b/>
        </w:rPr>
        <w:t>2</w:t>
      </w:r>
      <w:r w:rsidRPr="00546F37">
        <w:rPr>
          <w:rFonts w:eastAsia="Calibri" w:cs="Arial"/>
          <w:b/>
        </w:rPr>
        <w:t>:</w:t>
      </w:r>
      <w:r w:rsidR="009B4045" w:rsidRPr="006A460D">
        <w:rPr>
          <w:rFonts w:eastAsia="Calibri" w:cs="Arial"/>
        </w:rPr>
        <w:t xml:space="preserve"> Variation on the stat</w:t>
      </w:r>
      <w:r w:rsidR="003F7B01">
        <w:rPr>
          <w:rFonts w:eastAsia="Calibri" w:cs="Arial"/>
        </w:rPr>
        <w:t xml:space="preserve">us quo. </w:t>
      </w:r>
      <w:r w:rsidR="009B4045" w:rsidRPr="006A460D">
        <w:rPr>
          <w:rFonts w:eastAsia="Calibri" w:cs="Arial"/>
        </w:rPr>
        <w:t>Th</w:t>
      </w:r>
      <w:r w:rsidR="009B4045">
        <w:rPr>
          <w:rFonts w:eastAsia="Calibri" w:cs="Arial"/>
        </w:rPr>
        <w:t xml:space="preserve">is assumes that nationalisation </w:t>
      </w:r>
      <w:r w:rsidR="009B4045" w:rsidRPr="006A460D">
        <w:rPr>
          <w:rFonts w:eastAsia="Calibri" w:cs="Arial"/>
        </w:rPr>
        <w:t>continues</w:t>
      </w:r>
      <w:r w:rsidR="009B4045">
        <w:rPr>
          <w:rFonts w:eastAsia="Calibri" w:cs="Arial"/>
        </w:rPr>
        <w:t xml:space="preserve"> and its targets are achieved,</w:t>
      </w:r>
      <w:r w:rsidR="009B4045" w:rsidRPr="006A460D">
        <w:rPr>
          <w:rFonts w:eastAsia="Calibri" w:cs="Arial"/>
        </w:rPr>
        <w:t xml:space="preserve"> the recommendations in this report on administrative changes are implemented (e.g. single contractor, uniform procedures, elimination of duplication</w:t>
      </w:r>
      <w:r w:rsidR="00AE5D72">
        <w:rPr>
          <w:rFonts w:eastAsia="Calibri" w:cs="Arial"/>
        </w:rPr>
        <w:t>,</w:t>
      </w:r>
      <w:r w:rsidR="00AE5D72" w:rsidRPr="00AE5D72">
        <w:rPr>
          <w:rFonts w:eastAsia="Calibri" w:cs="Arial"/>
        </w:rPr>
        <w:t xml:space="preserve"> separate employment arrangements</w:t>
      </w:r>
      <w:r w:rsidR="009B4045" w:rsidRPr="006A460D">
        <w:rPr>
          <w:rFonts w:eastAsia="Calibri" w:cs="Arial"/>
        </w:rPr>
        <w:t xml:space="preserve">), and that revenue </w:t>
      </w:r>
      <w:r w:rsidR="009B4045">
        <w:rPr>
          <w:rFonts w:eastAsia="Calibri" w:cs="Arial"/>
        </w:rPr>
        <w:t xml:space="preserve">increases </w:t>
      </w:r>
      <w:r w:rsidR="009B4045" w:rsidRPr="006A460D">
        <w:rPr>
          <w:rFonts w:eastAsia="Calibri" w:cs="Arial"/>
        </w:rPr>
        <w:t xml:space="preserve">through student loans and </w:t>
      </w:r>
      <w:r w:rsidR="009B4045">
        <w:rPr>
          <w:rFonts w:eastAsia="Calibri" w:cs="Arial"/>
        </w:rPr>
        <w:t xml:space="preserve">a much </w:t>
      </w:r>
      <w:r w:rsidR="009B4045" w:rsidRPr="006A460D">
        <w:rPr>
          <w:rFonts w:eastAsia="Calibri" w:cs="Arial"/>
        </w:rPr>
        <w:t xml:space="preserve">greater emphasis </w:t>
      </w:r>
      <w:r w:rsidR="009B4045">
        <w:rPr>
          <w:rFonts w:eastAsia="Calibri" w:cs="Arial"/>
        </w:rPr>
        <w:t xml:space="preserve">is placed </w:t>
      </w:r>
      <w:r w:rsidR="003F7B01">
        <w:rPr>
          <w:rFonts w:eastAsia="Calibri" w:cs="Arial"/>
        </w:rPr>
        <w:t xml:space="preserve">on fee for service. </w:t>
      </w:r>
      <w:r w:rsidR="009B4045" w:rsidRPr="006A460D">
        <w:rPr>
          <w:rFonts w:eastAsia="Calibri" w:cs="Arial"/>
        </w:rPr>
        <w:t>However, Australian aid would likely remain the</w:t>
      </w:r>
      <w:r w:rsidR="003F7B01">
        <w:rPr>
          <w:rFonts w:eastAsia="Calibri" w:cs="Arial"/>
        </w:rPr>
        <w:t xml:space="preserve"> dominant source of financing. </w:t>
      </w:r>
      <w:r w:rsidR="009B4045" w:rsidRPr="006A460D">
        <w:rPr>
          <w:rFonts w:eastAsia="Calibri" w:cs="Arial"/>
        </w:rPr>
        <w:t>When Australian aid ceases, the APTC would cease to exist.</w:t>
      </w:r>
      <w:r w:rsidR="00E27DCE">
        <w:rPr>
          <w:rFonts w:eastAsia="Calibri" w:cs="Arial"/>
        </w:rPr>
        <w:t xml:space="preserve"> This option </w:t>
      </w:r>
      <w:r w:rsidR="00D55294">
        <w:rPr>
          <w:rFonts w:eastAsia="Calibri" w:cs="Arial"/>
        </w:rPr>
        <w:t xml:space="preserve">carries several </w:t>
      </w:r>
      <w:r w:rsidR="00E27DCE">
        <w:rPr>
          <w:rFonts w:eastAsia="Calibri" w:cs="Arial"/>
        </w:rPr>
        <w:t>risks</w:t>
      </w:r>
      <w:r w:rsidR="00D55294">
        <w:rPr>
          <w:rFonts w:eastAsia="Calibri" w:cs="Arial"/>
        </w:rPr>
        <w:t>:</w:t>
      </w:r>
      <w:r w:rsidR="00E27DCE">
        <w:rPr>
          <w:rFonts w:eastAsia="Calibri" w:cs="Arial"/>
        </w:rPr>
        <w:t xml:space="preserve"> eventual aid fatigue</w:t>
      </w:r>
      <w:r w:rsidR="00D55294">
        <w:rPr>
          <w:rFonts w:eastAsia="Calibri" w:cs="Arial"/>
        </w:rPr>
        <w:t>;</w:t>
      </w:r>
      <w:r w:rsidR="00E27DCE">
        <w:rPr>
          <w:rFonts w:eastAsia="Calibri" w:cs="Arial"/>
        </w:rPr>
        <w:t xml:space="preserve"> APT</w:t>
      </w:r>
      <w:r w:rsidR="00A533B5">
        <w:rPr>
          <w:rFonts w:eastAsia="Calibri" w:cs="Arial"/>
        </w:rPr>
        <w:t>C becoming less relevant as NTI</w:t>
      </w:r>
      <w:r w:rsidR="00E27DCE">
        <w:rPr>
          <w:rFonts w:eastAsia="Calibri" w:cs="Arial"/>
        </w:rPr>
        <w:t>s become capable of delivering t</w:t>
      </w:r>
      <w:r w:rsidR="00D55294">
        <w:rPr>
          <w:rFonts w:eastAsia="Calibri" w:cs="Arial"/>
        </w:rPr>
        <w:t>he same kinds of qualifications;</w:t>
      </w:r>
      <w:r w:rsidR="00E27DCE">
        <w:rPr>
          <w:rFonts w:eastAsia="Calibri" w:cs="Arial"/>
        </w:rPr>
        <w:t xml:space="preserve"> </w:t>
      </w:r>
      <w:r w:rsidR="001B6328">
        <w:rPr>
          <w:rFonts w:eastAsia="Calibri" w:cs="Arial"/>
        </w:rPr>
        <w:t>as an independent organisation</w:t>
      </w:r>
      <w:r w:rsidR="007102BB">
        <w:rPr>
          <w:rFonts w:eastAsia="Calibri" w:cs="Arial"/>
        </w:rPr>
        <w:t>,</w:t>
      </w:r>
      <w:r w:rsidR="001B6328">
        <w:rPr>
          <w:rFonts w:eastAsia="Calibri" w:cs="Arial"/>
        </w:rPr>
        <w:t xml:space="preserve"> APTC may become isolated from </w:t>
      </w:r>
      <w:r w:rsidR="00E27DCE">
        <w:rPr>
          <w:rFonts w:eastAsia="Calibri" w:cs="Arial"/>
        </w:rPr>
        <w:t>national priorities.</w:t>
      </w:r>
      <w:r w:rsidR="001B6328">
        <w:rPr>
          <w:rFonts w:eastAsia="Calibri" w:cs="Arial"/>
        </w:rPr>
        <w:t xml:space="preserve">  </w:t>
      </w:r>
    </w:p>
    <w:p w14:paraId="23F9861D" w14:textId="0675387B" w:rsidR="009B4045" w:rsidRPr="006A460D" w:rsidRDefault="00546F37" w:rsidP="009B4045">
      <w:pPr>
        <w:rPr>
          <w:rFonts w:eastAsia="Calibri" w:cs="Arial"/>
        </w:rPr>
      </w:pPr>
      <w:r w:rsidRPr="00546F37">
        <w:rPr>
          <w:rFonts w:eastAsia="Calibri" w:cs="Arial"/>
          <w:b/>
        </w:rPr>
        <w:t xml:space="preserve">Option </w:t>
      </w:r>
      <w:r w:rsidR="001B6328">
        <w:rPr>
          <w:rFonts w:eastAsia="Calibri" w:cs="Arial"/>
          <w:b/>
        </w:rPr>
        <w:t>3</w:t>
      </w:r>
      <w:r w:rsidRPr="00546F37">
        <w:rPr>
          <w:rFonts w:eastAsia="Calibri" w:cs="Arial"/>
          <w:b/>
        </w:rPr>
        <w:t>:</w:t>
      </w:r>
      <w:r w:rsidR="009B4045" w:rsidRPr="006A460D">
        <w:rPr>
          <w:rFonts w:eastAsia="Calibri" w:cs="Arial"/>
        </w:rPr>
        <w:t xml:space="preserve"> APTC could become a new, independent regional organisation. Option </w:t>
      </w:r>
      <w:r w:rsidR="001B6328">
        <w:rPr>
          <w:rFonts w:eastAsia="Calibri" w:cs="Arial"/>
        </w:rPr>
        <w:t>3</w:t>
      </w:r>
      <w:r w:rsidR="009B4045" w:rsidRPr="006A460D">
        <w:rPr>
          <w:rFonts w:eastAsia="Calibri" w:cs="Arial"/>
        </w:rPr>
        <w:t xml:space="preserve"> entails transfer of </w:t>
      </w:r>
      <w:r w:rsidR="009B4045">
        <w:rPr>
          <w:rFonts w:eastAsia="Calibri" w:cs="Arial"/>
        </w:rPr>
        <w:t xml:space="preserve">APTC </w:t>
      </w:r>
      <w:r w:rsidR="009B4045" w:rsidRPr="006A460D">
        <w:rPr>
          <w:rFonts w:eastAsia="Calibri" w:cs="Arial"/>
        </w:rPr>
        <w:t xml:space="preserve">ownership </w:t>
      </w:r>
      <w:r w:rsidR="009B4045">
        <w:rPr>
          <w:rFonts w:eastAsia="Calibri" w:cs="Arial"/>
        </w:rPr>
        <w:t xml:space="preserve">to </w:t>
      </w:r>
      <w:r w:rsidR="009B4045" w:rsidRPr="006A460D">
        <w:rPr>
          <w:rFonts w:eastAsia="Calibri" w:cs="Arial"/>
        </w:rPr>
        <w:t>Pacific governments and creation of a new administrative structure. It would</w:t>
      </w:r>
      <w:r w:rsidR="009B4045">
        <w:rPr>
          <w:rFonts w:eastAsia="Calibri" w:cs="Arial"/>
        </w:rPr>
        <w:t>, in effect,</w:t>
      </w:r>
      <w:r w:rsidR="009B4045" w:rsidRPr="006A460D">
        <w:rPr>
          <w:rFonts w:eastAsia="Calibri" w:cs="Arial"/>
        </w:rPr>
        <w:t xml:space="preserve"> become similar to the USP, but focused on middle</w:t>
      </w:r>
      <w:r w:rsidR="00576CBD">
        <w:rPr>
          <w:rFonts w:eastAsia="Calibri" w:cs="Arial"/>
        </w:rPr>
        <w:t>-</w:t>
      </w:r>
      <w:r w:rsidR="009B4045" w:rsidRPr="006A460D">
        <w:rPr>
          <w:rFonts w:eastAsia="Calibri" w:cs="Arial"/>
        </w:rPr>
        <w:t xml:space="preserve">level TVET. Having its own purpose, governance and administration could ensure that </w:t>
      </w:r>
      <w:r w:rsidR="009B4045">
        <w:rPr>
          <w:rFonts w:eastAsia="Calibri" w:cs="Arial"/>
        </w:rPr>
        <w:t>skill</w:t>
      </w:r>
      <w:r w:rsidR="009B4045" w:rsidRPr="006A460D">
        <w:rPr>
          <w:rFonts w:eastAsia="Calibri" w:cs="Arial"/>
        </w:rPr>
        <w:t xml:space="preserve"> training has top priority and </w:t>
      </w:r>
      <w:r w:rsidR="009B4045">
        <w:rPr>
          <w:rFonts w:eastAsia="Calibri" w:cs="Arial"/>
        </w:rPr>
        <w:t xml:space="preserve">that </w:t>
      </w:r>
      <w:r w:rsidR="009B4045" w:rsidRPr="006A460D">
        <w:rPr>
          <w:rFonts w:eastAsia="Calibri" w:cs="Arial"/>
        </w:rPr>
        <w:t>a regional provider of high quality skills</w:t>
      </w:r>
      <w:r w:rsidR="009B4045">
        <w:rPr>
          <w:rFonts w:eastAsia="Calibri" w:cs="Arial"/>
        </w:rPr>
        <w:t xml:space="preserve"> endures</w:t>
      </w:r>
      <w:r w:rsidR="009B4045" w:rsidRPr="006A460D">
        <w:rPr>
          <w:rFonts w:eastAsia="Calibri" w:cs="Arial"/>
        </w:rPr>
        <w:t>.</w:t>
      </w:r>
      <w:r w:rsidR="009B4045">
        <w:rPr>
          <w:rFonts w:eastAsia="Calibri" w:cs="Arial"/>
        </w:rPr>
        <w:t xml:space="preserve"> However, </w:t>
      </w:r>
      <w:r w:rsidR="009B4045">
        <w:rPr>
          <w:rFonts w:cs="Arial"/>
        </w:rPr>
        <w:t>creation of a separate administration and perhaps infrastructure would be costly.</w:t>
      </w:r>
      <w:r w:rsidR="009B4045" w:rsidRPr="00BC0DAC">
        <w:rPr>
          <w:rFonts w:eastAsia="Calibri" w:cs="Arial"/>
        </w:rPr>
        <w:t xml:space="preserve"> </w:t>
      </w:r>
      <w:r w:rsidR="009B4045">
        <w:rPr>
          <w:rFonts w:eastAsia="Calibri" w:cs="Arial"/>
        </w:rPr>
        <w:t>Pressure on the new institution to maintain high quality skills training would come from having to meet the requirements of delivering Australian qualifications. There is a risk that the delivery of at least some</w:t>
      </w:r>
      <w:r w:rsidR="00895D8E">
        <w:rPr>
          <w:rFonts w:eastAsia="Calibri" w:cs="Arial"/>
        </w:rPr>
        <w:t>,</w:t>
      </w:r>
      <w:r w:rsidR="009B4045">
        <w:rPr>
          <w:rFonts w:eastAsia="Calibri" w:cs="Arial"/>
        </w:rPr>
        <w:t xml:space="preserve"> if not most</w:t>
      </w:r>
      <w:r w:rsidR="00895D8E">
        <w:rPr>
          <w:rFonts w:eastAsia="Calibri" w:cs="Arial"/>
        </w:rPr>
        <w:t>,</w:t>
      </w:r>
      <w:r w:rsidR="009B4045">
        <w:rPr>
          <w:rFonts w:eastAsia="Calibri" w:cs="Arial"/>
        </w:rPr>
        <w:t xml:space="preserve"> Australian qualifications would cease and that the labour mobility objective w</w:t>
      </w:r>
      <w:r w:rsidR="00C451A9">
        <w:rPr>
          <w:rFonts w:eastAsia="Calibri" w:cs="Arial"/>
        </w:rPr>
        <w:t>ould</w:t>
      </w:r>
      <w:r w:rsidR="009B4045">
        <w:rPr>
          <w:rFonts w:eastAsia="Calibri" w:cs="Arial"/>
        </w:rPr>
        <w:t xml:space="preserve"> not be promoted.</w:t>
      </w:r>
    </w:p>
    <w:p w14:paraId="369AC2B4" w14:textId="54BDDA35" w:rsidR="009B4045" w:rsidRPr="006A460D" w:rsidRDefault="00546F37" w:rsidP="009B4045">
      <w:pPr>
        <w:rPr>
          <w:rFonts w:eastAsia="Calibri" w:cs="Arial"/>
        </w:rPr>
      </w:pPr>
      <w:r w:rsidRPr="00546F37">
        <w:rPr>
          <w:rFonts w:eastAsia="Calibri" w:cs="Arial"/>
          <w:b/>
        </w:rPr>
        <w:t xml:space="preserve">Option </w:t>
      </w:r>
      <w:r w:rsidR="001B6328">
        <w:rPr>
          <w:rFonts w:eastAsia="Calibri" w:cs="Arial"/>
          <w:b/>
        </w:rPr>
        <w:t>4</w:t>
      </w:r>
      <w:r w:rsidRPr="00546F37">
        <w:rPr>
          <w:rFonts w:eastAsia="Calibri" w:cs="Arial"/>
          <w:b/>
        </w:rPr>
        <w:t>:</w:t>
      </w:r>
      <w:r w:rsidR="009B4045" w:rsidRPr="006A460D">
        <w:rPr>
          <w:rFonts w:eastAsia="Calibri" w:cs="Arial"/>
        </w:rPr>
        <w:t xml:space="preserve"> Under option </w:t>
      </w:r>
      <w:r w:rsidR="001B6328">
        <w:rPr>
          <w:rFonts w:eastAsia="Calibri" w:cs="Arial"/>
        </w:rPr>
        <w:t>4</w:t>
      </w:r>
      <w:r w:rsidR="00ED40AB">
        <w:rPr>
          <w:rFonts w:eastAsia="Calibri" w:cs="Arial"/>
        </w:rPr>
        <w:t>,</w:t>
      </w:r>
      <w:r w:rsidR="009B4045" w:rsidRPr="006A460D">
        <w:rPr>
          <w:rFonts w:eastAsia="Calibri" w:cs="Arial"/>
        </w:rPr>
        <w:t xml:space="preserve"> APTC would be subsumed into an existing regional organisation, such as USP</w:t>
      </w:r>
      <w:r w:rsidR="00F344C5">
        <w:rPr>
          <w:rFonts w:eastAsia="Calibri" w:cs="Arial"/>
        </w:rPr>
        <w:t>.</w:t>
      </w:r>
      <w:r w:rsidR="009B4045" w:rsidRPr="006A460D">
        <w:rPr>
          <w:rFonts w:eastAsia="Calibri" w:cs="Arial"/>
        </w:rPr>
        <w:t xml:space="preserve"> One advantage would be savings on overhead</w:t>
      </w:r>
      <w:r w:rsidR="00210422">
        <w:rPr>
          <w:rFonts w:eastAsia="Calibri" w:cs="Arial"/>
        </w:rPr>
        <w:t>s</w:t>
      </w:r>
      <w:r w:rsidR="009B4045" w:rsidRPr="006A460D">
        <w:rPr>
          <w:rFonts w:eastAsia="Calibri" w:cs="Arial"/>
        </w:rPr>
        <w:t xml:space="preserve">. This </w:t>
      </w:r>
      <w:r w:rsidR="009B4045">
        <w:rPr>
          <w:rFonts w:eastAsia="Calibri" w:cs="Arial"/>
        </w:rPr>
        <w:t xml:space="preserve">option </w:t>
      </w:r>
      <w:r w:rsidR="009B4045" w:rsidRPr="006A460D">
        <w:rPr>
          <w:rFonts w:eastAsia="Calibri" w:cs="Arial"/>
        </w:rPr>
        <w:t>would not require independent financing for APTC or the creation of a separate administration</w:t>
      </w:r>
      <w:r w:rsidR="009B4045">
        <w:rPr>
          <w:rFonts w:eastAsia="Calibri" w:cs="Arial"/>
        </w:rPr>
        <w:t>. T</w:t>
      </w:r>
      <w:r w:rsidR="009B4045" w:rsidRPr="006A460D">
        <w:rPr>
          <w:rFonts w:eastAsia="Calibri" w:cs="Arial"/>
        </w:rPr>
        <w:t xml:space="preserve">he existing organisation, suitably strengthened, could take over management of APTC’s programs. APTC would cease as an independent entity. Indirect funding would still be required by DFAT, as the regional organisation could not absorb the full costs. </w:t>
      </w:r>
      <w:r w:rsidR="009B4045">
        <w:rPr>
          <w:rFonts w:eastAsia="Calibri" w:cs="Arial"/>
        </w:rPr>
        <w:t>However, there is a risk that t</w:t>
      </w:r>
      <w:r w:rsidR="009B4045" w:rsidRPr="006A460D">
        <w:rPr>
          <w:rFonts w:eastAsia="Calibri" w:cs="Arial"/>
        </w:rPr>
        <w:t>he organisation m</w:t>
      </w:r>
      <w:r w:rsidR="00C451A9">
        <w:rPr>
          <w:rFonts w:eastAsia="Calibri" w:cs="Arial"/>
        </w:rPr>
        <w:t>ight</w:t>
      </w:r>
      <w:r w:rsidR="009B4045" w:rsidRPr="006A460D">
        <w:rPr>
          <w:rFonts w:eastAsia="Calibri" w:cs="Arial"/>
        </w:rPr>
        <w:t xml:space="preserve"> not give sufficient priority to TVET. USP, for example, has little background, infrastructure or expertise in program delivery to support such an integration. It also sees TVET </w:t>
      </w:r>
      <w:r w:rsidR="009B4045">
        <w:rPr>
          <w:rFonts w:eastAsia="Calibri" w:cs="Arial"/>
        </w:rPr>
        <w:t xml:space="preserve">solely </w:t>
      </w:r>
      <w:r w:rsidR="009B4045" w:rsidRPr="006A460D">
        <w:rPr>
          <w:rFonts w:eastAsia="Calibri" w:cs="Arial"/>
        </w:rPr>
        <w:t>as a fee-for-service activity, in order that it not compromise investment in the university academic program and research. Among the current USP Strategic Plan objectives</w:t>
      </w:r>
      <w:r w:rsidR="009B4045" w:rsidRPr="006A460D">
        <w:rPr>
          <w:rFonts w:eastAsia="Calibri" w:cs="Arial"/>
          <w:vertAlign w:val="superscript"/>
        </w:rPr>
        <w:footnoteReference w:id="94"/>
      </w:r>
      <w:r w:rsidR="009B4045" w:rsidRPr="006A460D">
        <w:rPr>
          <w:rFonts w:eastAsia="Calibri" w:cs="Arial"/>
        </w:rPr>
        <w:t>, TVET is number 20 out of 30. This set of circumstances may not augur well for a transfer of APTC’s operations.</w:t>
      </w:r>
    </w:p>
    <w:p w14:paraId="16CA333F" w14:textId="77777777" w:rsidR="004C3A93" w:rsidRDefault="004C3A93">
      <w:pPr>
        <w:spacing w:after="0"/>
        <w:rPr>
          <w:rFonts w:eastAsia="Calibri" w:cs="Arial"/>
          <w:b/>
        </w:rPr>
      </w:pPr>
      <w:r>
        <w:rPr>
          <w:rFonts w:eastAsia="Calibri" w:cs="Arial"/>
          <w:b/>
        </w:rPr>
        <w:br w:type="page"/>
      </w:r>
    </w:p>
    <w:p w14:paraId="6A2C47C2" w14:textId="5DA179CA" w:rsidR="009B4045" w:rsidRPr="006A460D" w:rsidRDefault="00546F37" w:rsidP="009B4045">
      <w:pPr>
        <w:rPr>
          <w:rFonts w:eastAsia="Calibri" w:cs="Arial"/>
        </w:rPr>
      </w:pPr>
      <w:r w:rsidRPr="00546F37">
        <w:rPr>
          <w:rFonts w:eastAsia="Calibri" w:cs="Arial"/>
          <w:b/>
        </w:rPr>
        <w:t xml:space="preserve">Option </w:t>
      </w:r>
      <w:r w:rsidR="001B6328">
        <w:rPr>
          <w:rFonts w:eastAsia="Calibri" w:cs="Arial"/>
          <w:b/>
        </w:rPr>
        <w:t>5</w:t>
      </w:r>
      <w:r w:rsidRPr="00546F37">
        <w:rPr>
          <w:rFonts w:eastAsia="Calibri" w:cs="Arial"/>
          <w:b/>
        </w:rPr>
        <w:t>:</w:t>
      </w:r>
      <w:r w:rsidR="009B4045" w:rsidRPr="006A460D">
        <w:rPr>
          <w:rFonts w:eastAsia="Calibri" w:cs="Arial"/>
        </w:rPr>
        <w:t xml:space="preserve"> APTC is made a legal entity and is transferred by the Australian </w:t>
      </w:r>
      <w:r w:rsidR="00C1607C">
        <w:rPr>
          <w:rFonts w:eastAsia="Calibri" w:cs="Arial"/>
        </w:rPr>
        <w:t>G</w:t>
      </w:r>
      <w:r w:rsidR="00C1607C" w:rsidRPr="006A460D">
        <w:rPr>
          <w:rFonts w:eastAsia="Calibri" w:cs="Arial"/>
        </w:rPr>
        <w:t xml:space="preserve">overnment </w:t>
      </w:r>
      <w:r w:rsidR="009B4045" w:rsidRPr="006A460D">
        <w:rPr>
          <w:rFonts w:eastAsia="Calibri" w:cs="Arial"/>
        </w:rPr>
        <w:t>to a third party. An ideal result would be the option for the Australian Government to be in a position to sell APTC as a going concern. This would be a concrete measure of APTC’s success. The advantage of the option is that DFAT could eventually reduce substantially</w:t>
      </w:r>
      <w:r w:rsidR="009B4045">
        <w:rPr>
          <w:rFonts w:eastAsia="Calibri" w:cs="Arial"/>
        </w:rPr>
        <w:t>,</w:t>
      </w:r>
      <w:r w:rsidR="009B4045" w:rsidRPr="006A460D">
        <w:rPr>
          <w:rFonts w:eastAsia="Calibri" w:cs="Arial"/>
        </w:rPr>
        <w:t xml:space="preserve"> if not eliminate</w:t>
      </w:r>
      <w:r w:rsidR="009B4045">
        <w:rPr>
          <w:rFonts w:eastAsia="Calibri" w:cs="Arial"/>
        </w:rPr>
        <w:t>,</w:t>
      </w:r>
      <w:r w:rsidR="009B4045" w:rsidRPr="006A460D">
        <w:rPr>
          <w:rFonts w:eastAsia="Calibri" w:cs="Arial"/>
        </w:rPr>
        <w:t xml:space="preserve"> its financing of the APTC. The Stage I mid-term review recommended consideration of establishing APTC as a separate legal entity. The advantages were described: </w:t>
      </w:r>
    </w:p>
    <w:p w14:paraId="3FC9CB8C" w14:textId="77777777" w:rsidR="009B4045" w:rsidRPr="006A460D" w:rsidRDefault="009B4045" w:rsidP="009B4045">
      <w:pPr>
        <w:ind w:left="720"/>
        <w:rPr>
          <w:rFonts w:eastAsia="Calibri" w:cs="Arial"/>
          <w:i/>
        </w:rPr>
      </w:pPr>
      <w:r w:rsidRPr="006A460D">
        <w:rPr>
          <w:rFonts w:eastAsia="Calibri" w:cs="Arial"/>
          <w:i/>
        </w:rPr>
        <w:t>As a legal entity, the APTC would have a business structure that allows it to operate with autonomy, within its rules of incorporation, in order to respond to the continuously changing needs of the labour markets of the Pacific and to enter into long-term partnerships.</w:t>
      </w:r>
      <w:r w:rsidRPr="006A460D">
        <w:rPr>
          <w:rFonts w:eastAsia="Calibri" w:cs="Arial"/>
          <w:i/>
          <w:vertAlign w:val="superscript"/>
        </w:rPr>
        <w:footnoteReference w:id="95"/>
      </w:r>
      <w:r w:rsidRPr="006A460D">
        <w:rPr>
          <w:rFonts w:eastAsia="Calibri" w:cs="Arial"/>
          <w:i/>
        </w:rPr>
        <w:t xml:space="preserve"> </w:t>
      </w:r>
    </w:p>
    <w:p w14:paraId="3B928D2E" w14:textId="61F67D8C" w:rsidR="009B4045" w:rsidRPr="006A460D" w:rsidRDefault="009B4045" w:rsidP="009B4045">
      <w:pPr>
        <w:rPr>
          <w:rFonts w:eastAsia="Calibri" w:cs="Arial"/>
          <w:lang w:val="en-GB"/>
        </w:rPr>
      </w:pPr>
      <w:r w:rsidRPr="006A460D">
        <w:rPr>
          <w:rFonts w:eastAsia="Calibri" w:cs="Arial"/>
        </w:rPr>
        <w:t xml:space="preserve">However, several potential disadvantages </w:t>
      </w:r>
      <w:r>
        <w:rPr>
          <w:rFonts w:eastAsia="Calibri" w:cs="Arial"/>
        </w:rPr>
        <w:t xml:space="preserve">characterise </w:t>
      </w:r>
      <w:r w:rsidRPr="006A460D">
        <w:rPr>
          <w:rFonts w:eastAsia="Calibri" w:cs="Arial"/>
        </w:rPr>
        <w:t xml:space="preserve">this proposal. </w:t>
      </w:r>
      <w:r>
        <w:rPr>
          <w:rFonts w:eastAsia="Calibri" w:cs="Arial"/>
        </w:rPr>
        <w:t xml:space="preserve">Under current regulations, </w:t>
      </w:r>
      <w:r w:rsidRPr="006A460D">
        <w:rPr>
          <w:rFonts w:eastAsia="Calibri" w:cs="Arial"/>
          <w:lang w:val="en-GB"/>
        </w:rPr>
        <w:t>registration with the Australian Quality Standards Agency would not be possible as a provider operating offshore. Australian RTO support for the APTC would still be required. There would need to be a move to an auspicing</w:t>
      </w:r>
      <w:r w:rsidRPr="006A460D">
        <w:rPr>
          <w:rFonts w:eastAsia="Calibri" w:cs="Arial"/>
          <w:vertAlign w:val="superscript"/>
          <w:lang w:val="en-GB"/>
        </w:rPr>
        <w:footnoteReference w:id="96"/>
      </w:r>
      <w:r w:rsidRPr="006A460D">
        <w:rPr>
          <w:rFonts w:eastAsia="Calibri" w:cs="Arial"/>
          <w:lang w:val="en-GB"/>
        </w:rPr>
        <w:t xml:space="preserve"> arrangement, which is subject to the possibility of reduced commitment or even revoking. There would also be less incentive for the auspicing RTO to make its best staff available to the APTC. Current financial benefits would be lost (e.g. no import tax, refund on Goods and Services Tax). A decision would need to be made on the country in which the legal entity is established</w:t>
      </w:r>
      <w:r w:rsidR="00CC7559">
        <w:rPr>
          <w:rFonts w:eastAsia="Calibri" w:cs="Arial"/>
          <w:lang w:val="en-GB"/>
        </w:rPr>
        <w:t>,</w:t>
      </w:r>
      <w:r w:rsidRPr="006A460D">
        <w:rPr>
          <w:rFonts w:eastAsia="Calibri" w:cs="Arial"/>
          <w:lang w:val="en-GB"/>
        </w:rPr>
        <w:t xml:space="preserve"> creating potential for tension. Establishment of a legal entity may reduce the prestige of the institution and be a disincentive for staff recruitment and retention. </w:t>
      </w:r>
      <w:r w:rsidRPr="006A460D">
        <w:rPr>
          <w:rFonts w:eastAsia="Calibri" w:cs="Arial"/>
        </w:rPr>
        <w:t xml:space="preserve">The feasibility of this option from a </w:t>
      </w:r>
      <w:r>
        <w:rPr>
          <w:rFonts w:eastAsia="Calibri" w:cs="Arial"/>
        </w:rPr>
        <w:t xml:space="preserve">strictly </w:t>
      </w:r>
      <w:r w:rsidRPr="006A460D">
        <w:rPr>
          <w:rFonts w:eastAsia="Calibri" w:cs="Arial"/>
        </w:rPr>
        <w:t>business view appears remote at present because APTC is a mone</w:t>
      </w:r>
      <w:r w:rsidR="00CC7559">
        <w:rPr>
          <w:rFonts w:eastAsia="Calibri" w:cs="Arial"/>
        </w:rPr>
        <w:t>y-</w:t>
      </w:r>
      <w:r w:rsidRPr="006A460D">
        <w:rPr>
          <w:rFonts w:eastAsia="Calibri" w:cs="Arial"/>
        </w:rPr>
        <w:t>losing operation.</w:t>
      </w:r>
    </w:p>
    <w:p w14:paraId="003EF6F4" w14:textId="23AC6E59" w:rsidR="009B4045" w:rsidRPr="006A460D" w:rsidRDefault="00546F37" w:rsidP="009B4045">
      <w:pPr>
        <w:rPr>
          <w:rFonts w:eastAsia="Calibri" w:cs="Arial"/>
        </w:rPr>
      </w:pPr>
      <w:r w:rsidRPr="00546F37">
        <w:rPr>
          <w:rFonts w:eastAsia="Calibri" w:cs="Arial"/>
          <w:b/>
        </w:rPr>
        <w:t xml:space="preserve">Option </w:t>
      </w:r>
      <w:r w:rsidR="001B6328">
        <w:rPr>
          <w:rFonts w:eastAsia="Calibri" w:cs="Arial"/>
          <w:b/>
        </w:rPr>
        <w:t>6</w:t>
      </w:r>
      <w:r w:rsidRPr="00546F37">
        <w:rPr>
          <w:rFonts w:eastAsia="Calibri" w:cs="Arial"/>
          <w:b/>
        </w:rPr>
        <w:t>:</w:t>
      </w:r>
      <w:r w:rsidR="009B4045" w:rsidRPr="006A460D">
        <w:rPr>
          <w:rFonts w:eastAsia="Calibri" w:cs="Arial"/>
        </w:rPr>
        <w:t xml:space="preserve"> Australia would retain ownership of APTC, but would franchise its operation to a third party, i.e. allow the name of APTC to be used for delivery of courses within agreed pa</w:t>
      </w:r>
      <w:r w:rsidR="003F7B01">
        <w:rPr>
          <w:rFonts w:eastAsia="Calibri" w:cs="Arial"/>
        </w:rPr>
        <w:t xml:space="preserve">rameters. </w:t>
      </w:r>
      <w:r w:rsidR="009B4045" w:rsidRPr="006A460D">
        <w:rPr>
          <w:rFonts w:eastAsia="Calibri" w:cs="Arial"/>
        </w:rPr>
        <w:t xml:space="preserve">DFAT would need to ensure the quality of program delivery. </w:t>
      </w:r>
      <w:r w:rsidR="009B4045">
        <w:rPr>
          <w:rFonts w:eastAsia="Calibri" w:cs="Arial"/>
        </w:rPr>
        <w:t>Another variation is for DFAT to sell the APTC as a franchise to a TAFE or private provider in Australia which</w:t>
      </w:r>
      <w:r w:rsidR="00CC7559">
        <w:rPr>
          <w:rFonts w:eastAsia="Calibri" w:cs="Arial"/>
        </w:rPr>
        <w:t>,</w:t>
      </w:r>
      <w:r w:rsidR="009B4045">
        <w:rPr>
          <w:rFonts w:eastAsia="Calibri" w:cs="Arial"/>
        </w:rPr>
        <w:t xml:space="preserve"> in turn</w:t>
      </w:r>
      <w:r w:rsidR="00CC7559">
        <w:rPr>
          <w:rFonts w:eastAsia="Calibri" w:cs="Arial"/>
        </w:rPr>
        <w:t>,</w:t>
      </w:r>
      <w:r w:rsidR="009B4045">
        <w:rPr>
          <w:rFonts w:eastAsia="Calibri" w:cs="Arial"/>
        </w:rPr>
        <w:t xml:space="preserve"> would license TVET providers in the Pacific to deliver Australian and Pacific qualifications. The pressure to maintain quality of program delivery would come from external audits by the </w:t>
      </w:r>
      <w:r w:rsidR="009B4045" w:rsidRPr="006A4B1F">
        <w:rPr>
          <w:rFonts w:eastAsia="Calibri" w:cs="Arial"/>
          <w:lang w:val="en-GB"/>
        </w:rPr>
        <w:t>Australian Quality Standa</w:t>
      </w:r>
      <w:r w:rsidR="009B4045">
        <w:rPr>
          <w:rFonts w:eastAsia="Calibri" w:cs="Arial"/>
          <w:lang w:val="en-GB"/>
        </w:rPr>
        <w:t xml:space="preserve">rds Agency which may require a policy change in its current focus of operations. </w:t>
      </w:r>
      <w:r w:rsidR="009B4045">
        <w:rPr>
          <w:rFonts w:eastAsia="Calibri" w:cs="Arial"/>
        </w:rPr>
        <w:t xml:space="preserve">Option </w:t>
      </w:r>
      <w:r w:rsidR="00C451A9">
        <w:rPr>
          <w:rFonts w:eastAsia="Calibri" w:cs="Arial"/>
        </w:rPr>
        <w:t>6</w:t>
      </w:r>
      <w:r w:rsidR="009B4045">
        <w:rPr>
          <w:rFonts w:eastAsia="Calibri" w:cs="Arial"/>
        </w:rPr>
        <w:t xml:space="preserve"> </w:t>
      </w:r>
      <w:r w:rsidR="009B4045" w:rsidRPr="006A460D">
        <w:rPr>
          <w:rFonts w:eastAsia="Calibri" w:cs="Arial"/>
        </w:rPr>
        <w:t xml:space="preserve">would also require that the APTC becomes a legal entity, with </w:t>
      </w:r>
      <w:r w:rsidR="009B4045">
        <w:rPr>
          <w:rFonts w:eastAsia="Calibri" w:cs="Arial"/>
        </w:rPr>
        <w:t xml:space="preserve">carries </w:t>
      </w:r>
      <w:r w:rsidR="009B4045" w:rsidRPr="006A460D">
        <w:rPr>
          <w:rFonts w:eastAsia="Calibri" w:cs="Arial"/>
        </w:rPr>
        <w:t>the sa</w:t>
      </w:r>
      <w:r w:rsidR="003F7B01">
        <w:rPr>
          <w:rFonts w:eastAsia="Calibri" w:cs="Arial"/>
        </w:rPr>
        <w:t xml:space="preserve">me risks as noted for option </w:t>
      </w:r>
      <w:r w:rsidR="00C451A9">
        <w:rPr>
          <w:rFonts w:eastAsia="Calibri" w:cs="Arial"/>
        </w:rPr>
        <w:t>5</w:t>
      </w:r>
      <w:r w:rsidR="003F7B01">
        <w:rPr>
          <w:rFonts w:eastAsia="Calibri" w:cs="Arial"/>
        </w:rPr>
        <w:t>.</w:t>
      </w:r>
      <w:r w:rsidR="009B4045" w:rsidRPr="006A460D">
        <w:rPr>
          <w:rFonts w:eastAsia="Calibri" w:cs="Arial"/>
        </w:rPr>
        <w:t xml:space="preserve"> There is also a question of what APTC legally owns that could be franchised. For example, the two current RTOs own the courses offered by APTC. </w:t>
      </w:r>
      <w:r w:rsidR="009B4045">
        <w:rPr>
          <w:rFonts w:eastAsia="Calibri" w:cs="Arial"/>
        </w:rPr>
        <w:t xml:space="preserve">The legal status of the systems, procedures and manuals developed by APTC would need to be confirmed. </w:t>
      </w:r>
    </w:p>
    <w:p w14:paraId="0A94AEEF" w14:textId="38F7FE60" w:rsidR="009B4045" w:rsidRPr="006A460D" w:rsidRDefault="00546F37" w:rsidP="009B4045">
      <w:pPr>
        <w:rPr>
          <w:rFonts w:eastAsia="Calibri" w:cs="Arial"/>
        </w:rPr>
      </w:pPr>
      <w:r w:rsidRPr="00546F37">
        <w:rPr>
          <w:rFonts w:eastAsia="Calibri" w:cs="Arial"/>
          <w:b/>
        </w:rPr>
        <w:t xml:space="preserve">Option </w:t>
      </w:r>
      <w:r w:rsidR="001B6328">
        <w:rPr>
          <w:rFonts w:eastAsia="Calibri" w:cs="Arial"/>
          <w:b/>
        </w:rPr>
        <w:t>7</w:t>
      </w:r>
      <w:r w:rsidRPr="00546F37">
        <w:rPr>
          <w:rFonts w:eastAsia="Calibri" w:cs="Arial"/>
          <w:b/>
        </w:rPr>
        <w:t>:</w:t>
      </w:r>
      <w:r w:rsidR="009B4045" w:rsidRPr="006A460D">
        <w:rPr>
          <w:rFonts w:eastAsia="Calibri" w:cs="Arial"/>
        </w:rPr>
        <w:t xml:space="preserve"> APTC is integrated, </w:t>
      </w:r>
      <w:r w:rsidR="003466D4">
        <w:rPr>
          <w:rFonts w:eastAsia="Calibri" w:cs="Arial"/>
        </w:rPr>
        <w:t>country-by-</w:t>
      </w:r>
      <w:r w:rsidR="009B4045">
        <w:rPr>
          <w:rFonts w:eastAsia="Calibri" w:cs="Arial"/>
        </w:rPr>
        <w:t xml:space="preserve">country, </w:t>
      </w:r>
      <w:r w:rsidR="009B4045" w:rsidRPr="006A460D">
        <w:rPr>
          <w:rFonts w:eastAsia="Calibri" w:cs="Arial"/>
        </w:rPr>
        <w:t xml:space="preserve">with national training institutions. During the field visits, when asked what </w:t>
      </w:r>
      <w:r w:rsidR="003466D4" w:rsidRPr="006A460D">
        <w:rPr>
          <w:rFonts w:eastAsia="Calibri" w:cs="Arial"/>
        </w:rPr>
        <w:t>long</w:t>
      </w:r>
      <w:r w:rsidR="003466D4">
        <w:rPr>
          <w:rFonts w:eastAsia="Calibri" w:cs="Arial"/>
        </w:rPr>
        <w:t>-</w:t>
      </w:r>
      <w:r w:rsidR="009B4045" w:rsidRPr="006A460D">
        <w:rPr>
          <w:rFonts w:eastAsia="Calibri" w:cs="Arial"/>
        </w:rPr>
        <w:t>term success would look like, the APTC CEO put the answer succinctly: ‘To be successful we need to put ourselves out of business.’</w:t>
      </w:r>
      <w:r w:rsidR="009B4045" w:rsidRPr="006A460D">
        <w:rPr>
          <w:rFonts w:eastAsia="Calibri" w:cs="Arial"/>
          <w:vertAlign w:val="superscript"/>
        </w:rPr>
        <w:footnoteReference w:id="97"/>
      </w:r>
      <w:r w:rsidR="003F7B01">
        <w:rPr>
          <w:rFonts w:eastAsia="Calibri" w:cs="Arial"/>
        </w:rPr>
        <w:t xml:space="preserve"> </w:t>
      </w:r>
      <w:r w:rsidR="009B4045" w:rsidRPr="006A460D">
        <w:rPr>
          <w:rFonts w:eastAsia="Calibri" w:cs="Arial"/>
        </w:rPr>
        <w:t>The ultimate aim would be for national training institutions to be strengthened to the point where they co</w:t>
      </w:r>
      <w:r w:rsidR="003F7B01">
        <w:rPr>
          <w:rFonts w:eastAsia="Calibri" w:cs="Arial"/>
        </w:rPr>
        <w:t xml:space="preserve">uld take over APTC’s delivery. </w:t>
      </w:r>
      <w:r w:rsidR="009B4045" w:rsidRPr="006A460D">
        <w:rPr>
          <w:rFonts w:eastAsia="Calibri" w:cs="Arial"/>
        </w:rPr>
        <w:t xml:space="preserve">This is clearly the best option from the viewpoint of national capacity building and integration with Pacific TVET systems. APTC would cease </w:t>
      </w:r>
      <w:r w:rsidR="003F7B01">
        <w:rPr>
          <w:rFonts w:eastAsia="Calibri" w:cs="Arial"/>
        </w:rPr>
        <w:t xml:space="preserve">to exist as a separate entity. </w:t>
      </w:r>
      <w:r w:rsidR="009B4045" w:rsidRPr="006A460D">
        <w:rPr>
          <w:rFonts w:eastAsia="Calibri" w:cs="Arial"/>
        </w:rPr>
        <w:t>This option would require careful part</w:t>
      </w:r>
      <w:r w:rsidR="009B4045">
        <w:rPr>
          <w:rFonts w:eastAsia="Calibri" w:cs="Arial"/>
        </w:rPr>
        <w:t xml:space="preserve">nering by APTC with key NTIs </w:t>
      </w:r>
      <w:r w:rsidR="009B4045" w:rsidRPr="006A460D">
        <w:rPr>
          <w:rFonts w:eastAsia="Calibri" w:cs="Arial"/>
        </w:rPr>
        <w:t xml:space="preserve">and clear strategies for building sufficient local capacities. Sustained DFAT financing would also be required, not only leading up to the transfer, but shifting </w:t>
      </w:r>
      <w:r w:rsidR="009B4045">
        <w:rPr>
          <w:rFonts w:eastAsia="Calibri" w:cs="Arial"/>
        </w:rPr>
        <w:t xml:space="preserve">after the transfer </w:t>
      </w:r>
      <w:r w:rsidR="009B4045" w:rsidRPr="006A460D">
        <w:rPr>
          <w:rFonts w:eastAsia="Calibri" w:cs="Arial"/>
        </w:rPr>
        <w:t>to bilateral assi</w:t>
      </w:r>
      <w:r w:rsidR="003F7B01">
        <w:rPr>
          <w:rFonts w:eastAsia="Calibri" w:cs="Arial"/>
        </w:rPr>
        <w:t xml:space="preserve">stance in each campus country. </w:t>
      </w:r>
      <w:r w:rsidR="009B4045" w:rsidRPr="006A460D">
        <w:rPr>
          <w:rFonts w:eastAsia="Calibri" w:cs="Arial"/>
        </w:rPr>
        <w:t xml:space="preserve">Separate arrangements would be needed for </w:t>
      </w:r>
      <w:r w:rsidR="009B4045">
        <w:rPr>
          <w:rFonts w:eastAsia="Calibri" w:cs="Arial"/>
        </w:rPr>
        <w:t>continuing to provide</w:t>
      </w:r>
      <w:r w:rsidR="009B4045" w:rsidRPr="006A460D">
        <w:rPr>
          <w:rFonts w:eastAsia="Calibri" w:cs="Arial"/>
        </w:rPr>
        <w:t xml:space="preserve"> training services to small island states.</w:t>
      </w:r>
      <w:r w:rsidR="00C451A9">
        <w:rPr>
          <w:rFonts w:eastAsia="Calibri" w:cs="Arial"/>
        </w:rPr>
        <w:t xml:space="preserve"> This option also carries risks. Partnering with key NTIs has met resistance in Fiji and Solomon Islands. These may be </w:t>
      </w:r>
      <w:r w:rsidR="00A533B5">
        <w:rPr>
          <w:rFonts w:eastAsia="Calibri" w:cs="Arial"/>
        </w:rPr>
        <w:t xml:space="preserve">difficult to </w:t>
      </w:r>
      <w:r w:rsidR="00C451A9">
        <w:rPr>
          <w:rFonts w:eastAsia="Calibri" w:cs="Arial"/>
        </w:rPr>
        <w:t xml:space="preserve">overcome, </w:t>
      </w:r>
      <w:r w:rsidR="00A533B5">
        <w:rPr>
          <w:rFonts w:eastAsia="Calibri" w:cs="Arial"/>
        </w:rPr>
        <w:t xml:space="preserve">and it </w:t>
      </w:r>
      <w:r w:rsidR="00C451A9">
        <w:rPr>
          <w:rFonts w:eastAsia="Calibri" w:cs="Arial"/>
        </w:rPr>
        <w:t>could happen elsewhere. Another risk is the length of time required for NTIs to be fully capable of taking over APTC training. One aid official in a major Pacific country estimated it could take 30 years for nati</w:t>
      </w:r>
      <w:r w:rsidR="00391586">
        <w:rPr>
          <w:rFonts w:eastAsia="Calibri" w:cs="Arial"/>
        </w:rPr>
        <w:t>onal training institutions to</w:t>
      </w:r>
      <w:r w:rsidR="00C451A9">
        <w:rPr>
          <w:rFonts w:eastAsia="Calibri" w:cs="Arial"/>
        </w:rPr>
        <w:t xml:space="preserve"> assume APTC functions. </w:t>
      </w:r>
    </w:p>
    <w:p w14:paraId="0507B476" w14:textId="3594B715" w:rsidR="009B4045" w:rsidRPr="006A460D" w:rsidRDefault="00546F37" w:rsidP="009B4045">
      <w:pPr>
        <w:rPr>
          <w:rFonts w:eastAsia="Calibri" w:cs="Arial"/>
        </w:rPr>
      </w:pPr>
      <w:r w:rsidRPr="00546F37">
        <w:rPr>
          <w:rFonts w:eastAsia="Calibri" w:cs="Arial"/>
          <w:b/>
        </w:rPr>
        <w:t xml:space="preserve">Option </w:t>
      </w:r>
      <w:r w:rsidR="001B6328">
        <w:rPr>
          <w:rFonts w:eastAsia="Calibri" w:cs="Arial"/>
          <w:b/>
        </w:rPr>
        <w:t>8</w:t>
      </w:r>
      <w:r w:rsidRPr="00546F37">
        <w:rPr>
          <w:rFonts w:eastAsia="Calibri" w:cs="Arial"/>
          <w:b/>
        </w:rPr>
        <w:t>:</w:t>
      </w:r>
      <w:r w:rsidR="009B4045" w:rsidRPr="006A460D">
        <w:rPr>
          <w:rFonts w:eastAsia="Calibri" w:cs="Arial"/>
        </w:rPr>
        <w:t xml:space="preserve"> APTC becomes a t</w:t>
      </w:r>
      <w:r w:rsidR="003F7B01">
        <w:rPr>
          <w:rFonts w:eastAsia="Calibri" w:cs="Arial"/>
        </w:rPr>
        <w:t xml:space="preserve">echnical support organisation. </w:t>
      </w:r>
      <w:r w:rsidR="009B4045" w:rsidRPr="006A460D">
        <w:rPr>
          <w:rFonts w:eastAsia="Calibri" w:cs="Arial"/>
        </w:rPr>
        <w:t xml:space="preserve">APTC’s role would change from a best practice provider of Australian qualifications to that of an enabler, or adviser, to Pacific </w:t>
      </w:r>
      <w:r w:rsidR="003F7B01">
        <w:rPr>
          <w:rFonts w:eastAsia="Calibri" w:cs="Arial"/>
        </w:rPr>
        <w:t xml:space="preserve">TVET institutions and systems. </w:t>
      </w:r>
      <w:r w:rsidR="00391586">
        <w:rPr>
          <w:rFonts w:eastAsia="Calibri" w:cs="Arial"/>
        </w:rPr>
        <w:t xml:space="preserve">As a support organisation, APTC would not need necessarily to be located in the Pacific, but would need to be in </w:t>
      </w:r>
      <w:r w:rsidR="007102BB">
        <w:rPr>
          <w:rFonts w:eastAsia="Calibri" w:cs="Arial"/>
        </w:rPr>
        <w:t xml:space="preserve">a </w:t>
      </w:r>
      <w:r w:rsidR="00391586">
        <w:rPr>
          <w:rFonts w:eastAsia="Calibri" w:cs="Arial"/>
        </w:rPr>
        <w:t xml:space="preserve">position to provide assistance as </w:t>
      </w:r>
      <w:r w:rsidR="00CC7559">
        <w:rPr>
          <w:rFonts w:eastAsia="Calibri" w:cs="Arial"/>
        </w:rPr>
        <w:t>required</w:t>
      </w:r>
      <w:r w:rsidR="00391586">
        <w:rPr>
          <w:rFonts w:eastAsia="Calibri" w:cs="Arial"/>
        </w:rPr>
        <w:t xml:space="preserve"> on short notice. </w:t>
      </w:r>
      <w:r w:rsidR="009B4045" w:rsidRPr="006A460D">
        <w:rPr>
          <w:rFonts w:eastAsia="Calibri" w:cs="Arial"/>
        </w:rPr>
        <w:t>Table 2 depicts the change of roles.</w:t>
      </w:r>
    </w:p>
    <w:p w14:paraId="13A2C61D" w14:textId="5F3B8A84" w:rsidR="003D355F" w:rsidRDefault="009B4045">
      <w:pPr>
        <w:pStyle w:val="Tableheading"/>
        <w:rPr>
          <w:rFonts w:eastAsia="Calibri"/>
        </w:rPr>
      </w:pPr>
      <w:bookmarkStart w:id="1265" w:name="_Toc274146578"/>
      <w:bookmarkStart w:id="1266" w:name="_Toc274916037"/>
      <w:bookmarkStart w:id="1267" w:name="_Toc278447016"/>
      <w:r w:rsidRPr="006A460D">
        <w:rPr>
          <w:rFonts w:eastAsia="Calibri"/>
        </w:rPr>
        <w:t>Table 2: The change of roles envisaged for APTC</w:t>
      </w:r>
      <w:bookmarkEnd w:id="1265"/>
      <w:bookmarkEnd w:id="1266"/>
      <w:bookmarkEnd w:id="1267"/>
    </w:p>
    <w:tbl>
      <w:tblPr>
        <w:tblStyle w:val="TableGrid2"/>
        <w:tblW w:w="8222" w:type="dxa"/>
        <w:tblInd w:w="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tblGrid>
      <w:tr w:rsidR="009B4045" w:rsidRPr="003F7B01" w14:paraId="481D3512" w14:textId="77777777" w:rsidTr="00F344C5">
        <w:tc>
          <w:tcPr>
            <w:tcW w:w="5000" w:type="pct"/>
            <w:gridSpan w:val="2"/>
            <w:shd w:val="clear" w:color="auto" w:fill="C5E0B3" w:themeFill="accent6" w:themeFillTint="66"/>
          </w:tcPr>
          <w:p w14:paraId="6696F40B" w14:textId="77777777" w:rsidR="009B4045" w:rsidRPr="003F7B01" w:rsidRDefault="009B4045" w:rsidP="003F7B01">
            <w:pPr>
              <w:spacing w:before="40" w:after="40"/>
              <w:jc w:val="center"/>
              <w:rPr>
                <w:rFonts w:cs="Arial"/>
                <w:b/>
                <w:sz w:val="18"/>
              </w:rPr>
            </w:pPr>
            <w:r w:rsidRPr="003F7B01">
              <w:rPr>
                <w:rFonts w:cs="Arial"/>
                <w:b/>
                <w:sz w:val="18"/>
              </w:rPr>
              <w:t>Role</w:t>
            </w:r>
          </w:p>
        </w:tc>
      </w:tr>
      <w:tr w:rsidR="009B4045" w:rsidRPr="003F7B01" w14:paraId="0AB02D6B" w14:textId="77777777" w:rsidTr="00F344C5">
        <w:tc>
          <w:tcPr>
            <w:tcW w:w="2500" w:type="pct"/>
            <w:tcBorders>
              <w:right w:val="single" w:sz="4" w:space="0" w:color="A8D08D" w:themeColor="accent6" w:themeTint="99"/>
            </w:tcBorders>
            <w:shd w:val="clear" w:color="auto" w:fill="E2EFD9" w:themeFill="accent6" w:themeFillTint="33"/>
          </w:tcPr>
          <w:p w14:paraId="2389BCAC" w14:textId="77777777" w:rsidR="009B4045" w:rsidRPr="003F7B01" w:rsidRDefault="009B4045" w:rsidP="003F7B01">
            <w:pPr>
              <w:spacing w:before="40" w:after="40"/>
              <w:rPr>
                <w:rFonts w:cs="Arial"/>
                <w:b/>
                <w:sz w:val="18"/>
              </w:rPr>
            </w:pPr>
            <w:r w:rsidRPr="003F7B01">
              <w:rPr>
                <w:rFonts w:cs="Arial"/>
                <w:b/>
                <w:sz w:val="18"/>
              </w:rPr>
              <w:t xml:space="preserve">From Provider </w:t>
            </w:r>
          </w:p>
        </w:tc>
        <w:tc>
          <w:tcPr>
            <w:tcW w:w="2500" w:type="pct"/>
            <w:tcBorders>
              <w:left w:val="single" w:sz="4" w:space="0" w:color="A8D08D" w:themeColor="accent6" w:themeTint="99"/>
            </w:tcBorders>
            <w:shd w:val="clear" w:color="auto" w:fill="E2EFD9" w:themeFill="accent6" w:themeFillTint="33"/>
          </w:tcPr>
          <w:p w14:paraId="7617D0BF" w14:textId="77777777" w:rsidR="009B4045" w:rsidRPr="003F7B01" w:rsidRDefault="009B4045" w:rsidP="003F7B01">
            <w:pPr>
              <w:spacing w:before="40" w:after="40"/>
              <w:rPr>
                <w:rFonts w:cs="Arial"/>
                <w:b/>
                <w:sz w:val="18"/>
              </w:rPr>
            </w:pPr>
            <w:r w:rsidRPr="003F7B01">
              <w:rPr>
                <w:rFonts w:cs="Arial"/>
                <w:b/>
                <w:sz w:val="18"/>
              </w:rPr>
              <w:t>To Adviser/Enabler</w:t>
            </w:r>
          </w:p>
        </w:tc>
      </w:tr>
      <w:tr w:rsidR="009B4045" w:rsidRPr="003F7B01" w14:paraId="4F78C601" w14:textId="77777777" w:rsidTr="00F344C5">
        <w:tc>
          <w:tcPr>
            <w:tcW w:w="2500" w:type="pct"/>
            <w:tcBorders>
              <w:right w:val="single" w:sz="4" w:space="0" w:color="A8D08D" w:themeColor="accent6" w:themeTint="99"/>
            </w:tcBorders>
          </w:tcPr>
          <w:p w14:paraId="23CB296E" w14:textId="77777777" w:rsidR="009B4045" w:rsidRPr="003F7B01" w:rsidRDefault="009B4045" w:rsidP="000668BA">
            <w:pPr>
              <w:numPr>
                <w:ilvl w:val="0"/>
                <w:numId w:val="47"/>
              </w:numPr>
              <w:spacing w:before="40" w:after="40"/>
              <w:rPr>
                <w:rFonts w:cs="Arial"/>
                <w:sz w:val="18"/>
              </w:rPr>
            </w:pPr>
            <w:r w:rsidRPr="003F7B01">
              <w:rPr>
                <w:rFonts w:cs="Arial"/>
                <w:sz w:val="18"/>
              </w:rPr>
              <w:t>Delivery of Australian qualifications to Australian standards at Certificate III and above</w:t>
            </w:r>
          </w:p>
          <w:p w14:paraId="44012658" w14:textId="2D0F994E" w:rsidR="009B4045" w:rsidRPr="003F7B01" w:rsidRDefault="009B4045" w:rsidP="000668BA">
            <w:pPr>
              <w:numPr>
                <w:ilvl w:val="0"/>
                <w:numId w:val="47"/>
              </w:numPr>
              <w:spacing w:before="40" w:after="40"/>
              <w:rPr>
                <w:rFonts w:cs="Arial"/>
                <w:sz w:val="18"/>
              </w:rPr>
            </w:pPr>
            <w:r w:rsidRPr="003F7B01">
              <w:rPr>
                <w:rFonts w:cs="Arial"/>
                <w:sz w:val="18"/>
              </w:rPr>
              <w:t>Focus on adult learner (existing worker/</w:t>
            </w:r>
            <w:r w:rsidR="00BA6A50">
              <w:rPr>
                <w:rFonts w:cs="Arial"/>
                <w:sz w:val="18"/>
              </w:rPr>
              <w:t xml:space="preserve"> </w:t>
            </w:r>
            <w:r w:rsidR="00BA6A50">
              <w:rPr>
                <w:rFonts w:cs="Arial"/>
                <w:sz w:val="18"/>
              </w:rPr>
              <w:br/>
            </w:r>
            <w:r w:rsidRPr="003F7B01">
              <w:rPr>
                <w:rFonts w:cs="Arial"/>
                <w:sz w:val="18"/>
              </w:rPr>
              <w:t>new entrant)</w:t>
            </w:r>
          </w:p>
          <w:p w14:paraId="7B28DF72" w14:textId="77777777" w:rsidR="009B4045" w:rsidRPr="003F7B01" w:rsidRDefault="009B4045" w:rsidP="000668BA">
            <w:pPr>
              <w:numPr>
                <w:ilvl w:val="0"/>
                <w:numId w:val="47"/>
              </w:numPr>
              <w:spacing w:before="40" w:after="40"/>
              <w:rPr>
                <w:rFonts w:cs="Arial"/>
                <w:sz w:val="18"/>
              </w:rPr>
            </w:pPr>
            <w:r w:rsidRPr="003F7B01">
              <w:rPr>
                <w:rFonts w:cs="Arial"/>
                <w:sz w:val="18"/>
              </w:rPr>
              <w:t>Scholarship program</w:t>
            </w:r>
          </w:p>
          <w:p w14:paraId="6A1124AD" w14:textId="77777777" w:rsidR="009B4045" w:rsidRPr="003F7B01" w:rsidRDefault="009B4045" w:rsidP="000668BA">
            <w:pPr>
              <w:numPr>
                <w:ilvl w:val="0"/>
                <w:numId w:val="47"/>
              </w:numPr>
              <w:spacing w:before="40" w:after="40"/>
              <w:rPr>
                <w:rFonts w:cs="Arial"/>
                <w:sz w:val="18"/>
              </w:rPr>
            </w:pPr>
            <w:r w:rsidRPr="003F7B01">
              <w:rPr>
                <w:rFonts w:cs="Arial"/>
                <w:sz w:val="18"/>
              </w:rPr>
              <w:t>Provision of facilities and equipment</w:t>
            </w:r>
          </w:p>
          <w:p w14:paraId="2EB90240" w14:textId="77777777" w:rsidR="009B4045" w:rsidRPr="003F7B01" w:rsidRDefault="009B4045" w:rsidP="000668BA">
            <w:pPr>
              <w:numPr>
                <w:ilvl w:val="0"/>
                <w:numId w:val="47"/>
              </w:numPr>
              <w:spacing w:before="40" w:after="40"/>
              <w:rPr>
                <w:rFonts w:cs="Arial"/>
                <w:sz w:val="18"/>
              </w:rPr>
            </w:pPr>
            <w:r w:rsidRPr="003F7B01">
              <w:rPr>
                <w:rFonts w:cs="Arial"/>
                <w:sz w:val="18"/>
              </w:rPr>
              <w:t>Capacity building to TVET partners</w:t>
            </w:r>
          </w:p>
          <w:p w14:paraId="0A981F54" w14:textId="77777777" w:rsidR="009B4045" w:rsidRPr="003F7B01" w:rsidRDefault="009B4045" w:rsidP="000668BA">
            <w:pPr>
              <w:numPr>
                <w:ilvl w:val="0"/>
                <w:numId w:val="47"/>
              </w:numPr>
              <w:spacing w:before="40" w:after="40"/>
              <w:rPr>
                <w:rFonts w:cs="Arial"/>
                <w:sz w:val="18"/>
              </w:rPr>
            </w:pPr>
            <w:r w:rsidRPr="003F7B01">
              <w:rPr>
                <w:rFonts w:cs="Arial"/>
                <w:sz w:val="18"/>
              </w:rPr>
              <w:t>Management of stand-alone regional institution – APTC</w:t>
            </w:r>
          </w:p>
          <w:p w14:paraId="08F69756" w14:textId="77777777" w:rsidR="009B4045" w:rsidRPr="003F7B01" w:rsidRDefault="009B4045" w:rsidP="000668BA">
            <w:pPr>
              <w:numPr>
                <w:ilvl w:val="0"/>
                <w:numId w:val="47"/>
              </w:numPr>
              <w:spacing w:before="40" w:after="40"/>
              <w:rPr>
                <w:rFonts w:cs="Arial"/>
                <w:sz w:val="18"/>
              </w:rPr>
            </w:pPr>
            <w:r w:rsidRPr="003F7B01">
              <w:rPr>
                <w:rFonts w:cs="Arial"/>
                <w:sz w:val="18"/>
              </w:rPr>
              <w:t>Industry consultation to meet training needs</w:t>
            </w:r>
          </w:p>
          <w:p w14:paraId="77186C18" w14:textId="77777777" w:rsidR="009B4045" w:rsidRPr="003F7B01" w:rsidRDefault="009B4045" w:rsidP="003F7B01">
            <w:pPr>
              <w:spacing w:before="40" w:after="40"/>
              <w:ind w:left="360"/>
              <w:rPr>
                <w:rFonts w:cs="Arial"/>
                <w:sz w:val="18"/>
              </w:rPr>
            </w:pPr>
          </w:p>
        </w:tc>
        <w:tc>
          <w:tcPr>
            <w:tcW w:w="2500" w:type="pct"/>
            <w:tcBorders>
              <w:left w:val="single" w:sz="4" w:space="0" w:color="A8D08D" w:themeColor="accent6" w:themeTint="99"/>
            </w:tcBorders>
          </w:tcPr>
          <w:p w14:paraId="7EF7DB36" w14:textId="77777777" w:rsidR="009B4045" w:rsidRPr="003F7B01" w:rsidRDefault="009B4045" w:rsidP="000668BA">
            <w:pPr>
              <w:numPr>
                <w:ilvl w:val="0"/>
                <w:numId w:val="47"/>
              </w:numPr>
              <w:spacing w:before="40" w:after="40"/>
              <w:rPr>
                <w:rFonts w:cs="Arial"/>
                <w:sz w:val="18"/>
              </w:rPr>
            </w:pPr>
            <w:r w:rsidRPr="003F7B01">
              <w:rPr>
                <w:rFonts w:cs="Arial"/>
                <w:sz w:val="18"/>
              </w:rPr>
              <w:t>Focus on capacity development (including teacher training; ongoing coaching and mentoring; leadership skills; ongoing professional development) to maintain quality of delivery and systems</w:t>
            </w:r>
          </w:p>
          <w:p w14:paraId="05A1A89F" w14:textId="77777777" w:rsidR="009B4045" w:rsidRPr="003F7B01" w:rsidRDefault="009B4045" w:rsidP="000668BA">
            <w:pPr>
              <w:numPr>
                <w:ilvl w:val="0"/>
                <w:numId w:val="47"/>
              </w:numPr>
              <w:spacing w:before="40" w:after="40"/>
              <w:rPr>
                <w:rFonts w:cs="Arial"/>
                <w:sz w:val="18"/>
              </w:rPr>
            </w:pPr>
            <w:r w:rsidRPr="003F7B01">
              <w:rPr>
                <w:rFonts w:cs="Arial"/>
                <w:sz w:val="18"/>
              </w:rPr>
              <w:t>Strong support for individual countries’ and regional qualifications frameworks and TVET quality systems</w:t>
            </w:r>
          </w:p>
          <w:p w14:paraId="25CE94EF" w14:textId="77777777" w:rsidR="009B4045" w:rsidRPr="003F7B01" w:rsidRDefault="009B4045" w:rsidP="000668BA">
            <w:pPr>
              <w:numPr>
                <w:ilvl w:val="0"/>
                <w:numId w:val="47"/>
              </w:numPr>
              <w:spacing w:before="40" w:after="40"/>
              <w:rPr>
                <w:rFonts w:cs="Arial"/>
                <w:sz w:val="18"/>
              </w:rPr>
            </w:pPr>
            <w:r w:rsidRPr="003F7B01">
              <w:rPr>
                <w:rFonts w:cs="Arial"/>
                <w:sz w:val="18"/>
              </w:rPr>
              <w:t>Increased use of M&amp;E capability to answer major questions about the value of TVET to individuals, enterprises and governments</w:t>
            </w:r>
          </w:p>
          <w:p w14:paraId="01345F02" w14:textId="77777777" w:rsidR="009B4045" w:rsidRPr="003F7B01" w:rsidRDefault="009B4045" w:rsidP="000668BA">
            <w:pPr>
              <w:numPr>
                <w:ilvl w:val="0"/>
                <w:numId w:val="47"/>
              </w:numPr>
              <w:spacing w:before="40" w:after="40"/>
              <w:rPr>
                <w:rFonts w:cs="Arial"/>
                <w:sz w:val="18"/>
              </w:rPr>
            </w:pPr>
            <w:r w:rsidRPr="003F7B01">
              <w:rPr>
                <w:rFonts w:cs="Arial"/>
                <w:sz w:val="18"/>
              </w:rPr>
              <w:t>Quality monitoring and evaluation at institutional level to inform prospective students and employers of the learning and employment outcomes achieved</w:t>
            </w:r>
          </w:p>
          <w:p w14:paraId="512D7C75" w14:textId="77777777" w:rsidR="009B4045" w:rsidRPr="003F7B01" w:rsidRDefault="009B4045" w:rsidP="000668BA">
            <w:pPr>
              <w:numPr>
                <w:ilvl w:val="0"/>
                <w:numId w:val="47"/>
              </w:numPr>
              <w:spacing w:before="40" w:after="40"/>
              <w:rPr>
                <w:rFonts w:cs="Arial"/>
                <w:sz w:val="18"/>
              </w:rPr>
            </w:pPr>
            <w:r w:rsidRPr="003F7B01">
              <w:rPr>
                <w:rFonts w:cs="Arial"/>
                <w:sz w:val="18"/>
              </w:rPr>
              <w:t>Develop systems to enable TVET providers to be more responsive to economic demand</w:t>
            </w:r>
          </w:p>
          <w:p w14:paraId="590C7F34" w14:textId="232C78D7" w:rsidR="009B4045" w:rsidRPr="003F7B01" w:rsidRDefault="009B4045" w:rsidP="00BA6A50">
            <w:pPr>
              <w:numPr>
                <w:ilvl w:val="0"/>
                <w:numId w:val="47"/>
              </w:numPr>
              <w:spacing w:before="40" w:after="40"/>
              <w:rPr>
                <w:rFonts w:cs="Arial"/>
                <w:sz w:val="18"/>
              </w:rPr>
            </w:pPr>
            <w:r w:rsidRPr="003F7B01">
              <w:rPr>
                <w:rFonts w:cs="Arial"/>
                <w:sz w:val="18"/>
              </w:rPr>
              <w:t>Support for an industry</w:t>
            </w:r>
            <w:r w:rsidR="00BA6A50">
              <w:rPr>
                <w:rFonts w:cs="Arial"/>
                <w:sz w:val="18"/>
              </w:rPr>
              <w:t>-</w:t>
            </w:r>
            <w:r w:rsidRPr="003F7B01">
              <w:rPr>
                <w:rFonts w:cs="Arial"/>
                <w:sz w:val="18"/>
              </w:rPr>
              <w:t>led system – lead in meeting emerging skill requirements</w:t>
            </w:r>
          </w:p>
        </w:tc>
      </w:tr>
      <w:tr w:rsidR="009B4045" w:rsidRPr="00EC4090" w14:paraId="5EB841E1" w14:textId="77777777" w:rsidTr="00F344C5">
        <w:tc>
          <w:tcPr>
            <w:tcW w:w="2500" w:type="pct"/>
            <w:tcBorders>
              <w:right w:val="single" w:sz="4" w:space="0" w:color="A8D08D" w:themeColor="accent6" w:themeTint="99"/>
            </w:tcBorders>
            <w:shd w:val="clear" w:color="auto" w:fill="E2EFD9" w:themeFill="accent6" w:themeFillTint="33"/>
          </w:tcPr>
          <w:p w14:paraId="67510594" w14:textId="77777777" w:rsidR="009B4045" w:rsidRPr="00EC4090" w:rsidRDefault="00546F37" w:rsidP="003F7B01">
            <w:pPr>
              <w:spacing w:before="40" w:after="40"/>
              <w:rPr>
                <w:rFonts w:cs="Arial"/>
                <w:b/>
                <w:sz w:val="18"/>
              </w:rPr>
            </w:pPr>
            <w:r w:rsidRPr="00546F37">
              <w:rPr>
                <w:rFonts w:cs="Arial"/>
                <w:b/>
                <w:sz w:val="18"/>
              </w:rPr>
              <w:t>Funded predominantly by Australian aid</w:t>
            </w:r>
          </w:p>
          <w:p w14:paraId="2A4FEA37" w14:textId="77777777" w:rsidR="009B4045" w:rsidRPr="00EC4090" w:rsidRDefault="00546F37" w:rsidP="003F7B01">
            <w:pPr>
              <w:spacing w:before="40" w:after="40"/>
              <w:rPr>
                <w:rFonts w:cs="Arial"/>
                <w:b/>
                <w:sz w:val="18"/>
              </w:rPr>
            </w:pPr>
            <w:r w:rsidRPr="00546F37">
              <w:rPr>
                <w:rFonts w:cs="Arial"/>
                <w:b/>
                <w:sz w:val="18"/>
              </w:rPr>
              <w:t>Some commercial activity / tuition fee contributions (enterprise or individual)</w:t>
            </w:r>
          </w:p>
        </w:tc>
        <w:tc>
          <w:tcPr>
            <w:tcW w:w="2500" w:type="pct"/>
            <w:tcBorders>
              <w:left w:val="single" w:sz="4" w:space="0" w:color="A8D08D" w:themeColor="accent6" w:themeTint="99"/>
            </w:tcBorders>
            <w:shd w:val="clear" w:color="auto" w:fill="E2EFD9" w:themeFill="accent6" w:themeFillTint="33"/>
          </w:tcPr>
          <w:p w14:paraId="56D90596" w14:textId="77777777" w:rsidR="009B4045" w:rsidRPr="00EC4090" w:rsidRDefault="00546F37" w:rsidP="003F7B01">
            <w:pPr>
              <w:spacing w:before="40" w:after="40"/>
              <w:rPr>
                <w:rFonts w:cs="Arial"/>
                <w:b/>
                <w:sz w:val="18"/>
              </w:rPr>
            </w:pPr>
            <w:r w:rsidRPr="00546F37">
              <w:rPr>
                <w:rFonts w:cs="Arial"/>
                <w:b/>
                <w:sz w:val="18"/>
              </w:rPr>
              <w:t>Funded by Pacific governments, donor aid, industry/enterprises and individual students (offered loans in lieu of scholarships)</w:t>
            </w:r>
          </w:p>
        </w:tc>
      </w:tr>
    </w:tbl>
    <w:p w14:paraId="3453BEB4" w14:textId="2601FABF" w:rsidR="00077DC5" w:rsidRPr="00077DC5" w:rsidRDefault="00BA6A50" w:rsidP="009B4045">
      <w:pPr>
        <w:spacing w:after="0" w:line="259" w:lineRule="auto"/>
        <w:rPr>
          <w:rFonts w:eastAsia="Calibri" w:cs="Arial"/>
          <w:sz w:val="18"/>
        </w:rPr>
      </w:pPr>
      <w:r>
        <w:rPr>
          <w:rFonts w:eastAsia="Calibri" w:cs="Arial"/>
          <w:sz w:val="18"/>
        </w:rPr>
        <w:br/>
      </w:r>
      <w:r w:rsidR="00077DC5" w:rsidRPr="00077DC5">
        <w:rPr>
          <w:rFonts w:eastAsia="Calibri" w:cs="Arial"/>
          <w:sz w:val="18"/>
        </w:rPr>
        <w:t xml:space="preserve">Note: </w:t>
      </w:r>
      <w:r w:rsidR="00077DC5" w:rsidRPr="00077DC5">
        <w:rPr>
          <w:rFonts w:cs="Arial"/>
          <w:sz w:val="18"/>
        </w:rPr>
        <w:t>With acknowledgement to APTC management</w:t>
      </w:r>
    </w:p>
    <w:p w14:paraId="5FAE5FCE" w14:textId="77777777" w:rsidR="00F344C5" w:rsidRDefault="00F344C5" w:rsidP="009B4045">
      <w:pPr>
        <w:rPr>
          <w:rFonts w:eastAsia="Calibri" w:cs="Arial"/>
        </w:rPr>
      </w:pPr>
    </w:p>
    <w:p w14:paraId="329C01E8" w14:textId="77777777" w:rsidR="00BA6A50" w:rsidRDefault="00BA6A50" w:rsidP="009B4045">
      <w:pPr>
        <w:rPr>
          <w:rFonts w:eastAsia="Calibri" w:cs="Arial"/>
        </w:rPr>
      </w:pPr>
    </w:p>
    <w:p w14:paraId="4A3035F4" w14:textId="77777777" w:rsidR="009B4045" w:rsidRPr="006A460D" w:rsidRDefault="009B4045" w:rsidP="009B4045">
      <w:pPr>
        <w:rPr>
          <w:rFonts w:eastAsia="Calibri" w:cs="Arial"/>
        </w:rPr>
      </w:pPr>
      <w:r w:rsidRPr="006A460D">
        <w:rPr>
          <w:rFonts w:eastAsia="Calibri" w:cs="Arial"/>
        </w:rPr>
        <w:t xml:space="preserve">These changes clearly would take time. They would also need to take into account the fact that there is no ‘one-size-fits-all’ for country campuses. </w:t>
      </w:r>
    </w:p>
    <w:p w14:paraId="3692BB84" w14:textId="5C5DD461" w:rsidR="009B4045" w:rsidRDefault="009B4045" w:rsidP="009B4045">
      <w:pPr>
        <w:rPr>
          <w:rFonts w:eastAsia="Calibri" w:cs="Arial"/>
        </w:rPr>
      </w:pPr>
      <w:r w:rsidRPr="006A460D">
        <w:rPr>
          <w:rFonts w:eastAsia="Calibri" w:cs="Arial"/>
        </w:rPr>
        <w:t xml:space="preserve">The options above have been presented separately, but they are not necessarily mutually exclusive. For example, option </w:t>
      </w:r>
      <w:r w:rsidR="001B6328">
        <w:rPr>
          <w:rFonts w:eastAsia="Calibri" w:cs="Arial"/>
        </w:rPr>
        <w:t>8</w:t>
      </w:r>
      <w:r w:rsidRPr="006A460D">
        <w:rPr>
          <w:rFonts w:eastAsia="Calibri" w:cs="Arial"/>
        </w:rPr>
        <w:t xml:space="preserve"> could be compatible with option </w:t>
      </w:r>
      <w:r w:rsidR="001B6328">
        <w:rPr>
          <w:rFonts w:eastAsia="Calibri" w:cs="Arial"/>
        </w:rPr>
        <w:t>7</w:t>
      </w:r>
      <w:r w:rsidRPr="006A460D">
        <w:rPr>
          <w:rFonts w:eastAsia="Calibri" w:cs="Arial"/>
        </w:rPr>
        <w:t xml:space="preserve">, or could be the end game for option </w:t>
      </w:r>
      <w:r w:rsidR="001B6328">
        <w:rPr>
          <w:rFonts w:eastAsia="Calibri" w:cs="Arial"/>
        </w:rPr>
        <w:t>2</w:t>
      </w:r>
      <w:r w:rsidRPr="006A460D">
        <w:rPr>
          <w:rFonts w:eastAsia="Calibri" w:cs="Arial"/>
        </w:rPr>
        <w:t xml:space="preserve">. </w:t>
      </w:r>
      <w:r>
        <w:rPr>
          <w:rFonts w:eastAsia="Calibri" w:cs="Arial"/>
        </w:rPr>
        <w:t xml:space="preserve">Option </w:t>
      </w:r>
      <w:r w:rsidR="001B6328">
        <w:rPr>
          <w:rFonts w:eastAsia="Calibri" w:cs="Arial"/>
        </w:rPr>
        <w:t>8</w:t>
      </w:r>
      <w:r>
        <w:rPr>
          <w:rFonts w:eastAsia="Calibri" w:cs="Arial"/>
        </w:rPr>
        <w:t xml:space="preserve"> could involve APTC being lodged in a regional organisation</w:t>
      </w:r>
      <w:r w:rsidR="00600F34">
        <w:rPr>
          <w:rFonts w:eastAsia="Calibri" w:cs="Arial"/>
        </w:rPr>
        <w:t xml:space="preserve">. </w:t>
      </w:r>
      <w:r>
        <w:rPr>
          <w:rFonts w:eastAsia="Calibri" w:cs="Arial"/>
        </w:rPr>
        <w:t xml:space="preserve"> </w:t>
      </w:r>
    </w:p>
    <w:p w14:paraId="738989C2" w14:textId="77777777" w:rsidR="00BA6A50" w:rsidRDefault="00BA6A50">
      <w:pPr>
        <w:spacing w:after="0"/>
        <w:rPr>
          <w:rFonts w:eastAsia="Calibri" w:cs="Arial"/>
        </w:rPr>
      </w:pPr>
      <w:r>
        <w:rPr>
          <w:rFonts w:eastAsia="Calibri" w:cs="Arial"/>
        </w:rPr>
        <w:br w:type="page"/>
      </w:r>
    </w:p>
    <w:p w14:paraId="363083AE" w14:textId="34FD4695" w:rsidR="009B4045" w:rsidRPr="006A460D" w:rsidRDefault="009B4045" w:rsidP="009B4045">
      <w:pPr>
        <w:rPr>
          <w:rFonts w:eastAsia="Calibri" w:cs="Arial"/>
        </w:rPr>
      </w:pPr>
      <w:r>
        <w:rPr>
          <w:rFonts w:eastAsia="Calibri" w:cs="Arial"/>
        </w:rPr>
        <w:t>Moreover, the options should not be seen as static. D</w:t>
      </w:r>
      <w:r w:rsidRPr="006A460D">
        <w:rPr>
          <w:rFonts w:eastAsia="Calibri" w:cs="Arial"/>
        </w:rPr>
        <w:t xml:space="preserve">evelopments </w:t>
      </w:r>
      <w:r>
        <w:rPr>
          <w:rFonts w:eastAsia="Calibri" w:cs="Arial"/>
        </w:rPr>
        <w:t xml:space="preserve">can </w:t>
      </w:r>
      <w:r w:rsidRPr="006A460D">
        <w:rPr>
          <w:rFonts w:eastAsia="Calibri" w:cs="Arial"/>
        </w:rPr>
        <w:t xml:space="preserve">change the viability of the options. The more APTC can reduce its costs and raise revenue, the more viable other options become. That is, </w:t>
      </w:r>
      <w:r w:rsidRPr="006A460D">
        <w:rPr>
          <w:rFonts w:cs="Arial"/>
        </w:rPr>
        <w:t xml:space="preserve">APTC’s reduced cost per student will affect all options not involving DFAT’s continuation of core funding. </w:t>
      </w:r>
      <w:r w:rsidRPr="006A460D">
        <w:rPr>
          <w:rFonts w:eastAsia="Calibri" w:cs="Arial"/>
        </w:rPr>
        <w:t>The interest of potential owners is likely to be very different in two years, if APTC has a clear vision, is operating as one RTO, with nationalisation targets achieved an</w:t>
      </w:r>
      <w:r w:rsidR="00BA6A50">
        <w:rPr>
          <w:rFonts w:eastAsia="Calibri" w:cs="Arial"/>
        </w:rPr>
        <w:t>d demonstrable sources for long-</w:t>
      </w:r>
      <w:r w:rsidRPr="006A460D">
        <w:rPr>
          <w:rFonts w:eastAsia="Calibri" w:cs="Arial"/>
        </w:rPr>
        <w:t xml:space="preserve">term revenue. </w:t>
      </w:r>
    </w:p>
    <w:p w14:paraId="7E38840C" w14:textId="155CB16E" w:rsidR="003F7B01" w:rsidRDefault="009B4045" w:rsidP="003F7B01">
      <w:pPr>
        <w:rPr>
          <w:rFonts w:eastAsia="Calibri"/>
        </w:rPr>
      </w:pPr>
      <w:r w:rsidRPr="006A460D">
        <w:rPr>
          <w:rFonts w:eastAsia="Calibri"/>
        </w:rPr>
        <w:t xml:space="preserve">Options </w:t>
      </w:r>
      <w:r w:rsidR="001B6328">
        <w:rPr>
          <w:rFonts w:eastAsia="Calibri"/>
        </w:rPr>
        <w:t>3</w:t>
      </w:r>
      <w:r w:rsidRPr="006A460D">
        <w:rPr>
          <w:rFonts w:eastAsia="Calibri"/>
        </w:rPr>
        <w:t xml:space="preserve"> </w:t>
      </w:r>
      <w:r w:rsidR="001B6328">
        <w:rPr>
          <w:rFonts w:eastAsia="Calibri"/>
        </w:rPr>
        <w:t>and 7</w:t>
      </w:r>
      <w:r w:rsidRPr="006A460D">
        <w:rPr>
          <w:rFonts w:eastAsia="Calibri"/>
        </w:rPr>
        <w:t xml:space="preserve"> should be seen as the preferable alternatives in a sequence of stages to an end point, depending on the outcome of DFAT consultations on options with Pacific governments, the selected sole RTO, relevant DFAT and other donor programs</w:t>
      </w:r>
      <w:r w:rsidR="00B13009">
        <w:rPr>
          <w:rFonts w:eastAsia="Calibri"/>
        </w:rPr>
        <w:t>,</w:t>
      </w:r>
      <w:r w:rsidRPr="006A460D">
        <w:rPr>
          <w:rFonts w:eastAsia="Calibri"/>
        </w:rPr>
        <w:t xml:space="preserve"> and large PNG and regional enterprises wanting to purchase skills training.   </w:t>
      </w:r>
    </w:p>
    <w:p w14:paraId="0A996784" w14:textId="4FE597D3" w:rsidR="006B0867" w:rsidRDefault="002050EB" w:rsidP="000859B4">
      <w:pPr>
        <w:pStyle w:val="Heading1"/>
        <w:sectPr w:rsidR="006B0867" w:rsidSect="00FF3EDE">
          <w:headerReference w:type="default" r:id="rId158"/>
          <w:type w:val="continuous"/>
          <w:pgSz w:w="11904" w:h="16834"/>
          <w:pgMar w:top="1440" w:right="1701" w:bottom="1440" w:left="1701" w:header="709" w:footer="709" w:gutter="0"/>
          <w:cols w:space="708"/>
          <w:docGrid w:linePitch="326"/>
        </w:sectPr>
      </w:pPr>
      <w:r w:rsidDel="002050EB">
        <w:t xml:space="preserve"> </w:t>
      </w:r>
    </w:p>
    <w:p w14:paraId="548EFAA0" w14:textId="3F430EBE" w:rsidR="00236AF0" w:rsidRDefault="00236AF0">
      <w:pPr>
        <w:spacing w:after="0"/>
      </w:pPr>
      <w:r>
        <w:br w:type="page"/>
      </w:r>
    </w:p>
    <w:p w14:paraId="0C319C74" w14:textId="77777777" w:rsidR="003D355F" w:rsidRDefault="009118BD" w:rsidP="002028A6">
      <w:pPr>
        <w:pStyle w:val="Heading1"/>
      </w:pPr>
      <w:bookmarkStart w:id="1268" w:name="_Toc278448008"/>
      <w:bookmarkStart w:id="1269" w:name="_Toc278453481"/>
      <w:r>
        <w:t>REFERENCES</w:t>
      </w:r>
      <w:bookmarkEnd w:id="1268"/>
      <w:bookmarkEnd w:id="1269"/>
    </w:p>
    <w:p w14:paraId="664BB6D3" w14:textId="77777777" w:rsidR="00484DA9" w:rsidRDefault="00484DA9" w:rsidP="009118BD">
      <w:pPr>
        <w:pStyle w:val="FootnoteText"/>
        <w:spacing w:after="120"/>
        <w:rPr>
          <w:rFonts w:cs="Arial"/>
          <w:b/>
          <w:sz w:val="22"/>
          <w:szCs w:val="22"/>
          <w:lang w:eastAsia="zh-CN"/>
        </w:rPr>
      </w:pPr>
    </w:p>
    <w:p w14:paraId="6848D3F9" w14:textId="35FE683F" w:rsidR="004D519C" w:rsidRDefault="004D519C" w:rsidP="00013F99">
      <w:pPr>
        <w:spacing w:before="120"/>
        <w:rPr>
          <w:rFonts w:cs="Arial"/>
        </w:rPr>
      </w:pPr>
      <w:r>
        <w:rPr>
          <w:rFonts w:cs="Arial"/>
        </w:rPr>
        <w:t xml:space="preserve">ADB and PIFS. 2008. </w:t>
      </w:r>
      <w:r>
        <w:rPr>
          <w:rFonts w:cs="Arial"/>
          <w:i/>
        </w:rPr>
        <w:t xml:space="preserve">Skilling the Pacific: Technical and Vocational Education and Training in the Pacific. </w:t>
      </w:r>
      <w:r w:rsidRPr="000859B4">
        <w:rPr>
          <w:rFonts w:cs="Arial"/>
        </w:rPr>
        <w:t>Manila, Philippines</w:t>
      </w:r>
    </w:p>
    <w:p w14:paraId="7A00299E" w14:textId="17B3FD96" w:rsidR="008B6A2D" w:rsidRDefault="008B6A2D" w:rsidP="00013F99">
      <w:pPr>
        <w:spacing w:before="120"/>
        <w:rPr>
          <w:rFonts w:cs="Arial"/>
        </w:rPr>
      </w:pPr>
      <w:r>
        <w:rPr>
          <w:rFonts w:cs="Arial"/>
        </w:rPr>
        <w:t>Alampi, Amanda</w:t>
      </w:r>
      <w:r w:rsidRPr="00B13009">
        <w:rPr>
          <w:rFonts w:cs="Arial"/>
        </w:rPr>
        <w:t xml:space="preserve"> </w:t>
      </w:r>
      <w:r w:rsidR="00B13009">
        <w:rPr>
          <w:rFonts w:cs="Arial"/>
        </w:rPr>
        <w:t>et</w:t>
      </w:r>
      <w:r w:rsidRPr="00B13009">
        <w:rPr>
          <w:rFonts w:cs="Arial"/>
        </w:rPr>
        <w:t xml:space="preserve"> al.</w:t>
      </w:r>
      <w:r>
        <w:rPr>
          <w:rFonts w:cs="Arial"/>
          <w:i/>
        </w:rPr>
        <w:t xml:space="preserve"> </w:t>
      </w:r>
      <w:r>
        <w:rPr>
          <w:rFonts w:cs="Arial"/>
        </w:rPr>
        <w:t xml:space="preserve">2013. </w:t>
      </w:r>
      <w:r>
        <w:rPr>
          <w:rFonts w:cs="Arial"/>
          <w:i/>
        </w:rPr>
        <w:t xml:space="preserve">Beyond Skill Visibility: A New Framework for Migration and Development Policy. </w:t>
      </w:r>
      <w:r w:rsidR="006B3033" w:rsidRPr="000859B4">
        <w:rPr>
          <w:rFonts w:cs="Arial"/>
        </w:rPr>
        <w:t>WagnerSchool of Public Service</w:t>
      </w:r>
      <w:r w:rsidR="006B3033">
        <w:rPr>
          <w:rFonts w:cs="Arial"/>
        </w:rPr>
        <w:t>,</w:t>
      </w:r>
      <w:r w:rsidR="006B3033" w:rsidRPr="000859B4">
        <w:rPr>
          <w:rFonts w:cs="Arial"/>
        </w:rPr>
        <w:t xml:space="preserve"> </w:t>
      </w:r>
      <w:r>
        <w:rPr>
          <w:rFonts w:cs="Arial"/>
        </w:rPr>
        <w:t>N</w:t>
      </w:r>
      <w:r w:rsidR="006B3033">
        <w:rPr>
          <w:rFonts w:cs="Arial"/>
        </w:rPr>
        <w:t xml:space="preserve">ew York University </w:t>
      </w:r>
    </w:p>
    <w:p w14:paraId="01B1AEB3" w14:textId="73498E7A" w:rsidR="00013F99" w:rsidRPr="0000642F" w:rsidRDefault="00546F37" w:rsidP="00013F99">
      <w:pPr>
        <w:spacing w:before="120"/>
        <w:rPr>
          <w:rFonts w:cs="Arial"/>
        </w:rPr>
      </w:pPr>
      <w:r w:rsidRPr="00546F37">
        <w:rPr>
          <w:rFonts w:cs="Arial"/>
        </w:rPr>
        <w:t>APTC. (2007). Final report to AusAID for the APTC coordination and country program design</w:t>
      </w:r>
    </w:p>
    <w:p w14:paraId="1887A7AD" w14:textId="77777777" w:rsidR="009118BD" w:rsidRPr="0000642F" w:rsidRDefault="009118BD" w:rsidP="009118BD">
      <w:pPr>
        <w:pStyle w:val="FootnoteText"/>
        <w:spacing w:after="120"/>
        <w:rPr>
          <w:rFonts w:cs="Arial"/>
          <w:sz w:val="22"/>
          <w:szCs w:val="22"/>
          <w:lang w:eastAsia="zh-CN"/>
        </w:rPr>
      </w:pPr>
      <w:r w:rsidRPr="0000642F">
        <w:rPr>
          <w:rFonts w:cs="Arial"/>
          <w:sz w:val="22"/>
          <w:szCs w:val="22"/>
          <w:lang w:eastAsia="zh-CN"/>
        </w:rPr>
        <w:t>APTC. (2010)</w:t>
      </w:r>
      <w:r w:rsidR="008B7F8F" w:rsidRPr="0000642F">
        <w:rPr>
          <w:rFonts w:cs="Arial"/>
          <w:sz w:val="22"/>
          <w:szCs w:val="22"/>
          <w:lang w:eastAsia="zh-CN"/>
        </w:rPr>
        <w:t>.</w:t>
      </w:r>
      <w:r w:rsidRPr="0000642F">
        <w:rPr>
          <w:rFonts w:cs="Arial"/>
          <w:sz w:val="22"/>
          <w:szCs w:val="22"/>
          <w:lang w:eastAsia="zh-CN"/>
        </w:rPr>
        <w:t xml:space="preserve"> Australia</w:t>
      </w:r>
      <w:r w:rsidR="00546F37" w:rsidRPr="00546F37">
        <w:rPr>
          <w:rFonts w:cs="Arial"/>
          <w:sz w:val="22"/>
          <w:szCs w:val="22"/>
          <w:lang w:eastAsia="zh-CN"/>
        </w:rPr>
        <w:t xml:space="preserve">–Pacific Technical College Stage II: 2011–2015, design document </w:t>
      </w:r>
    </w:p>
    <w:p w14:paraId="2738567E" w14:textId="77777777" w:rsidR="009118BD" w:rsidRPr="0000642F" w:rsidRDefault="00546F37" w:rsidP="009118BD">
      <w:pPr>
        <w:rPr>
          <w:rFonts w:cs="Arial"/>
          <w:lang w:eastAsia="zh-CN"/>
        </w:rPr>
      </w:pPr>
      <w:r w:rsidRPr="00546F37">
        <w:rPr>
          <w:rFonts w:cs="Arial"/>
          <w:lang w:eastAsia="zh-CN"/>
        </w:rPr>
        <w:t xml:space="preserve">APTC. (2011). 2011 Annual Report </w:t>
      </w:r>
    </w:p>
    <w:p w14:paraId="375AE48F" w14:textId="77777777" w:rsidR="00041271" w:rsidRPr="0000642F" w:rsidRDefault="00546F37" w:rsidP="00041271">
      <w:pPr>
        <w:spacing w:before="120"/>
        <w:rPr>
          <w:rFonts w:cs="Arial"/>
        </w:rPr>
      </w:pPr>
      <w:r w:rsidRPr="00546F37">
        <w:rPr>
          <w:rFonts w:cs="Arial"/>
        </w:rPr>
        <w:t>APTC. (2012a). APTC financial delegations and authorisations. QP-FI-005</w:t>
      </w:r>
    </w:p>
    <w:p w14:paraId="34FF120C" w14:textId="77777777" w:rsidR="00041271" w:rsidRPr="0000642F" w:rsidRDefault="00546F37" w:rsidP="00041271">
      <w:pPr>
        <w:spacing w:before="120"/>
        <w:rPr>
          <w:rFonts w:cs="Arial"/>
        </w:rPr>
      </w:pPr>
      <w:r w:rsidRPr="00546F37">
        <w:rPr>
          <w:rFonts w:cs="Arial"/>
        </w:rPr>
        <w:t>APTC. (2012b). APTC instrument of financial delegation and authority. QP-CS-142</w:t>
      </w:r>
    </w:p>
    <w:p w14:paraId="386436DE" w14:textId="77777777" w:rsidR="00041271" w:rsidRPr="0000642F" w:rsidRDefault="00546F37" w:rsidP="00041271">
      <w:pPr>
        <w:spacing w:before="120"/>
        <w:rPr>
          <w:rFonts w:cs="Arial"/>
        </w:rPr>
      </w:pPr>
      <w:r w:rsidRPr="00546F37">
        <w:rPr>
          <w:rFonts w:cs="Arial"/>
        </w:rPr>
        <w:t>APTC. (2012c). APTC procurement. QP-FI-010</w:t>
      </w:r>
    </w:p>
    <w:p w14:paraId="7799BAB0" w14:textId="77777777" w:rsidR="00041271" w:rsidRPr="0000642F" w:rsidRDefault="00546F37" w:rsidP="00041271">
      <w:pPr>
        <w:spacing w:before="120"/>
        <w:rPr>
          <w:rFonts w:cs="Arial"/>
        </w:rPr>
      </w:pPr>
      <w:r w:rsidRPr="00546F37">
        <w:rPr>
          <w:rFonts w:cs="Arial"/>
        </w:rPr>
        <w:t>APTC. (2013a). APTC nationalisation strategy. Printed document undated</w:t>
      </w:r>
    </w:p>
    <w:p w14:paraId="5F9BDC2F" w14:textId="77777777" w:rsidR="009118BD" w:rsidRPr="0000642F" w:rsidRDefault="009118BD" w:rsidP="009118BD">
      <w:pPr>
        <w:rPr>
          <w:rFonts w:cs="Arial"/>
          <w:lang w:eastAsia="zh-CN"/>
        </w:rPr>
      </w:pPr>
      <w:r w:rsidRPr="0000642F">
        <w:rPr>
          <w:rFonts w:cs="Arial"/>
          <w:lang w:val="en-US"/>
        </w:rPr>
        <w:t>APTC. (2013</w:t>
      </w:r>
      <w:r w:rsidR="0001263D" w:rsidRPr="0000642F">
        <w:rPr>
          <w:rFonts w:cs="Arial"/>
          <w:lang w:val="en-US"/>
        </w:rPr>
        <w:t>b</w:t>
      </w:r>
      <w:r w:rsidRPr="0000642F">
        <w:rPr>
          <w:rFonts w:cs="Arial"/>
          <w:lang w:val="en-US"/>
        </w:rPr>
        <w:t>)</w:t>
      </w:r>
      <w:r w:rsidR="00546F37" w:rsidRPr="00546F37">
        <w:rPr>
          <w:rFonts w:cs="Arial"/>
          <w:lang w:val="en-US"/>
        </w:rPr>
        <w:t>. 2012</w:t>
      </w:r>
      <w:r w:rsidR="00546F37" w:rsidRPr="00546F37">
        <w:rPr>
          <w:rFonts w:cs="Arial"/>
          <w:szCs w:val="22"/>
          <w:lang w:eastAsia="zh-CN"/>
        </w:rPr>
        <w:t>–</w:t>
      </w:r>
      <w:r w:rsidR="00546F37" w:rsidRPr="00546F37">
        <w:rPr>
          <w:rFonts w:cs="Arial"/>
          <w:lang w:val="en-US"/>
        </w:rPr>
        <w:t>13 Annual report and plan</w:t>
      </w:r>
    </w:p>
    <w:p w14:paraId="795AE6CA" w14:textId="77777777" w:rsidR="009118BD" w:rsidRPr="0000642F" w:rsidRDefault="00546F37" w:rsidP="009118BD">
      <w:pPr>
        <w:rPr>
          <w:rFonts w:cs="Arial"/>
          <w:lang w:val="en-US"/>
        </w:rPr>
      </w:pPr>
      <w:r w:rsidRPr="00546F37">
        <w:rPr>
          <w:rFonts w:cs="Arial"/>
          <w:lang w:val="en-US"/>
        </w:rPr>
        <w:t>APTC. (2014a). 2013</w:t>
      </w:r>
      <w:r w:rsidRPr="00546F37">
        <w:rPr>
          <w:rFonts w:cs="Arial"/>
          <w:szCs w:val="22"/>
          <w:lang w:eastAsia="zh-CN"/>
        </w:rPr>
        <w:t>–</w:t>
      </w:r>
      <w:r w:rsidRPr="00546F37">
        <w:rPr>
          <w:rFonts w:cs="Arial"/>
          <w:lang w:val="en-US"/>
        </w:rPr>
        <w:t>14 Annual report and plan</w:t>
      </w:r>
    </w:p>
    <w:p w14:paraId="2F54CCEB" w14:textId="77777777" w:rsidR="009118BD" w:rsidRPr="0000642F" w:rsidRDefault="00546F37" w:rsidP="009118BD">
      <w:pPr>
        <w:rPr>
          <w:rFonts w:cs="Arial"/>
          <w:lang w:eastAsia="zh-CN"/>
        </w:rPr>
      </w:pPr>
      <w:r w:rsidRPr="00546F37">
        <w:rPr>
          <w:rFonts w:cs="Arial"/>
        </w:rPr>
        <w:t xml:space="preserve">APTC. (2014b). Audit report: TAE40110 Certificate IV in Training and Assessment, Samoa </w:t>
      </w:r>
    </w:p>
    <w:p w14:paraId="63461ED2" w14:textId="77777777" w:rsidR="009118BD" w:rsidRPr="0000642F" w:rsidRDefault="00546F37" w:rsidP="009118BD">
      <w:pPr>
        <w:pStyle w:val="FootnoteText"/>
        <w:spacing w:after="120"/>
        <w:rPr>
          <w:rFonts w:cs="Arial"/>
          <w:sz w:val="22"/>
          <w:szCs w:val="22"/>
        </w:rPr>
      </w:pPr>
      <w:r w:rsidRPr="00546F37">
        <w:rPr>
          <w:rFonts w:cs="Arial"/>
          <w:sz w:val="22"/>
          <w:szCs w:val="22"/>
        </w:rPr>
        <w:t>APTC. (2014c). Environmental Scan 2014</w:t>
      </w:r>
    </w:p>
    <w:p w14:paraId="14195B1F" w14:textId="77777777" w:rsidR="009118BD" w:rsidRPr="0000642F" w:rsidRDefault="00546F37" w:rsidP="009118BD">
      <w:pPr>
        <w:pStyle w:val="FootnoteText"/>
        <w:spacing w:after="120"/>
        <w:rPr>
          <w:rFonts w:cs="Arial"/>
          <w:sz w:val="22"/>
          <w:szCs w:val="22"/>
        </w:rPr>
      </w:pPr>
      <w:r w:rsidRPr="00546F37">
        <w:rPr>
          <w:rFonts w:cs="Arial"/>
          <w:sz w:val="22"/>
          <w:szCs w:val="22"/>
        </w:rPr>
        <w:t>APTC. (2014d). Impact Case Study: A Beacon of Light</w:t>
      </w:r>
    </w:p>
    <w:p w14:paraId="2BC97F44" w14:textId="77777777" w:rsidR="009118BD" w:rsidRPr="0000642F" w:rsidRDefault="00546F37" w:rsidP="009118BD">
      <w:pPr>
        <w:pStyle w:val="FootnoteText"/>
        <w:spacing w:after="120"/>
        <w:rPr>
          <w:rFonts w:cs="Arial"/>
          <w:sz w:val="22"/>
          <w:szCs w:val="22"/>
        </w:rPr>
      </w:pPr>
      <w:r w:rsidRPr="00546F37">
        <w:rPr>
          <w:rFonts w:cs="Arial"/>
          <w:sz w:val="22"/>
          <w:szCs w:val="22"/>
        </w:rPr>
        <w:t>APTC. (2014e). Industry Partnerships List 16.07.14</w:t>
      </w:r>
    </w:p>
    <w:p w14:paraId="6C2426B9" w14:textId="77777777" w:rsidR="009118BD" w:rsidRPr="0000642F" w:rsidRDefault="00546F37" w:rsidP="009118BD">
      <w:pPr>
        <w:pStyle w:val="FootnoteText"/>
        <w:spacing w:after="120"/>
        <w:rPr>
          <w:rFonts w:cs="Arial"/>
          <w:sz w:val="22"/>
          <w:szCs w:val="22"/>
        </w:rPr>
      </w:pPr>
      <w:r w:rsidRPr="00546F37">
        <w:rPr>
          <w:rFonts w:cs="Arial"/>
          <w:sz w:val="22"/>
          <w:szCs w:val="22"/>
        </w:rPr>
        <w:t>APTC. (2014f). HR Report to the Consortium Board, May 2014</w:t>
      </w:r>
    </w:p>
    <w:p w14:paraId="41EE6AF0" w14:textId="77777777" w:rsidR="009118BD" w:rsidRPr="0000642F" w:rsidRDefault="00546F37" w:rsidP="009118BD">
      <w:pPr>
        <w:rPr>
          <w:rFonts w:cs="Arial"/>
          <w:lang w:eastAsia="zh-CN"/>
        </w:rPr>
      </w:pPr>
      <w:r w:rsidRPr="00546F37">
        <w:rPr>
          <w:rFonts w:cs="Arial"/>
          <w:lang w:eastAsia="zh-CN"/>
        </w:rPr>
        <w:t xml:space="preserve">APTC. (2014g) Nationalisation </w:t>
      </w:r>
      <w:r w:rsidR="0027681F">
        <w:rPr>
          <w:rFonts w:cs="Arial"/>
          <w:lang w:eastAsia="zh-CN"/>
        </w:rPr>
        <w:t>S</w:t>
      </w:r>
      <w:r w:rsidRPr="00546F37">
        <w:rPr>
          <w:rFonts w:cs="Arial"/>
          <w:lang w:eastAsia="zh-CN"/>
        </w:rPr>
        <w:t>trategy (version 7)</w:t>
      </w:r>
    </w:p>
    <w:p w14:paraId="72894A08" w14:textId="65078E28" w:rsidR="00331E4F" w:rsidRPr="00AA5CE8" w:rsidRDefault="00546F37" w:rsidP="00331E4F">
      <w:pPr>
        <w:rPr>
          <w:rFonts w:cs="Arial"/>
        </w:rPr>
      </w:pPr>
      <w:r w:rsidRPr="00546F37">
        <w:rPr>
          <w:rFonts w:cs="Arial"/>
          <w:lang w:eastAsia="zh-CN"/>
        </w:rPr>
        <w:t xml:space="preserve">APTC. (2014h). News article APTC launches pilot program in aged care. </w:t>
      </w:r>
      <w:r w:rsidR="0089756F">
        <w:rPr>
          <w:rFonts w:cs="Arial"/>
          <w:lang w:eastAsia="zh-CN"/>
        </w:rPr>
        <w:br/>
      </w:r>
      <w:r w:rsidRPr="00546F37">
        <w:rPr>
          <w:rFonts w:cs="Arial"/>
          <w:lang w:eastAsia="zh-CN"/>
        </w:rPr>
        <w:t xml:space="preserve">Retrieved from </w:t>
      </w:r>
      <w:hyperlink r:id="rId159" w:history="1">
        <w:r w:rsidRPr="00546F37">
          <w:rPr>
            <w:rStyle w:val="Hyperlink"/>
            <w:color w:val="auto"/>
            <w:u w:val="none"/>
            <w:lang w:eastAsia="zh-CN"/>
          </w:rPr>
          <w:t>http://www.aptc.edu.au/index.php/april-2012/407-aptc-launches-pilot-program-in-aged-care</w:t>
        </w:r>
      </w:hyperlink>
    </w:p>
    <w:p w14:paraId="17EA14BD" w14:textId="77777777" w:rsidR="009118BD" w:rsidRPr="0000642F" w:rsidRDefault="009118BD" w:rsidP="009118BD">
      <w:pPr>
        <w:rPr>
          <w:rFonts w:cs="Arial"/>
        </w:rPr>
      </w:pPr>
      <w:r w:rsidRPr="0000642F">
        <w:rPr>
          <w:rFonts w:cs="Arial"/>
        </w:rPr>
        <w:t xml:space="preserve">APTC. (2014i). Scholarship </w:t>
      </w:r>
      <w:r w:rsidR="0027681F">
        <w:rPr>
          <w:rFonts w:cs="Arial"/>
        </w:rPr>
        <w:t>P</w:t>
      </w:r>
      <w:r w:rsidR="0027681F" w:rsidRPr="0000642F">
        <w:rPr>
          <w:rFonts w:cs="Arial"/>
        </w:rPr>
        <w:t xml:space="preserve">olicy </w:t>
      </w:r>
      <w:r w:rsidRPr="0000642F">
        <w:rPr>
          <w:rFonts w:cs="Arial"/>
        </w:rPr>
        <w:t>(draft –</w:t>
      </w:r>
      <w:r w:rsidR="00260EDA" w:rsidRPr="0000642F">
        <w:rPr>
          <w:rFonts w:cs="Arial"/>
        </w:rPr>
        <w:t xml:space="preserve"> </w:t>
      </w:r>
      <w:r w:rsidRPr="0000642F">
        <w:rPr>
          <w:rFonts w:cs="Arial"/>
        </w:rPr>
        <w:t>uncontrolled document)</w:t>
      </w:r>
    </w:p>
    <w:p w14:paraId="0A2A45A5" w14:textId="77777777" w:rsidR="009118BD" w:rsidRPr="0000642F" w:rsidRDefault="00546F37" w:rsidP="009118BD">
      <w:pPr>
        <w:pStyle w:val="FootnoteText"/>
        <w:spacing w:after="120"/>
        <w:rPr>
          <w:rFonts w:cs="Arial"/>
          <w:sz w:val="22"/>
          <w:szCs w:val="22"/>
          <w:lang w:eastAsia="zh-CN"/>
        </w:rPr>
      </w:pPr>
      <w:r w:rsidRPr="00546F37">
        <w:rPr>
          <w:rFonts w:cs="Arial"/>
          <w:sz w:val="22"/>
          <w:szCs w:val="22"/>
          <w:lang w:eastAsia="zh-CN"/>
        </w:rPr>
        <w:t>APTC. (2014j). Summary of Labour Market Analysis Processes</w:t>
      </w:r>
    </w:p>
    <w:p w14:paraId="12BE7A26" w14:textId="29CB71FC" w:rsidR="009118BD" w:rsidRPr="0000642F" w:rsidRDefault="009118BD" w:rsidP="009118BD">
      <w:pPr>
        <w:spacing w:before="120"/>
        <w:rPr>
          <w:rFonts w:cs="Arial"/>
          <w:lang w:eastAsia="zh-CN"/>
        </w:rPr>
      </w:pPr>
      <w:r w:rsidRPr="0000642F">
        <w:rPr>
          <w:rFonts w:cs="Arial"/>
          <w:lang w:eastAsia="zh-CN"/>
        </w:rPr>
        <w:t>APTC</w:t>
      </w:r>
      <w:r w:rsidR="00331E4F" w:rsidRPr="0000642F">
        <w:rPr>
          <w:rFonts w:cs="Arial"/>
          <w:lang w:eastAsia="zh-CN"/>
        </w:rPr>
        <w:t>.</w:t>
      </w:r>
      <w:r w:rsidRPr="0000642F">
        <w:rPr>
          <w:rFonts w:cs="Arial"/>
          <w:lang w:eastAsia="zh-CN"/>
        </w:rPr>
        <w:t xml:space="preserve"> (2014</w:t>
      </w:r>
      <w:r w:rsidR="00546F37" w:rsidRPr="00546F37">
        <w:rPr>
          <w:rFonts w:cs="Arial"/>
          <w:lang w:eastAsia="zh-CN"/>
        </w:rPr>
        <w:t>k). Response for review team re reintegration plan and APTC</w:t>
      </w:r>
      <w:r w:rsidR="0089756F">
        <w:rPr>
          <w:rFonts w:cs="Arial"/>
          <w:lang w:eastAsia="zh-CN"/>
        </w:rPr>
        <w:t>-</w:t>
      </w:r>
      <w:r w:rsidR="00546F37" w:rsidRPr="00546F37">
        <w:rPr>
          <w:rFonts w:cs="Arial"/>
          <w:lang w:eastAsia="zh-CN"/>
        </w:rPr>
        <w:t>to</w:t>
      </w:r>
      <w:r w:rsidR="0089756F">
        <w:rPr>
          <w:rFonts w:cs="Arial"/>
          <w:lang w:eastAsia="zh-CN"/>
        </w:rPr>
        <w:t>-</w:t>
      </w:r>
      <w:r w:rsidR="00546F37" w:rsidRPr="00546F37">
        <w:rPr>
          <w:rFonts w:cs="Arial"/>
          <w:lang w:eastAsia="zh-CN"/>
        </w:rPr>
        <w:t>Work Review, 17 July</w:t>
      </w:r>
    </w:p>
    <w:p w14:paraId="3060C7EA" w14:textId="77777777" w:rsidR="009118BD" w:rsidRPr="0000642F" w:rsidRDefault="00546F37" w:rsidP="009118BD">
      <w:pPr>
        <w:spacing w:before="120"/>
        <w:rPr>
          <w:rFonts w:cs="Arial"/>
        </w:rPr>
      </w:pPr>
      <w:r w:rsidRPr="00546F37">
        <w:rPr>
          <w:rFonts w:cs="Arial"/>
        </w:rPr>
        <w:t>APTC. (2014l). APTC business development strategy</w:t>
      </w:r>
    </w:p>
    <w:p w14:paraId="0BE23A1F" w14:textId="77777777" w:rsidR="009118BD" w:rsidRPr="0000642F" w:rsidRDefault="00546F37" w:rsidP="009118BD">
      <w:pPr>
        <w:spacing w:before="120"/>
        <w:rPr>
          <w:rFonts w:cs="Arial"/>
        </w:rPr>
      </w:pPr>
      <w:r w:rsidRPr="00546F37">
        <w:rPr>
          <w:rFonts w:cs="Arial"/>
        </w:rPr>
        <w:t>APTC. (2014m). APTC contact list</w:t>
      </w:r>
    </w:p>
    <w:p w14:paraId="00DC7023" w14:textId="469BD662" w:rsidR="009118BD" w:rsidRPr="0000642F" w:rsidRDefault="00546F37" w:rsidP="009118BD">
      <w:pPr>
        <w:spacing w:before="120"/>
        <w:rPr>
          <w:rFonts w:cs="Arial"/>
        </w:rPr>
      </w:pPr>
      <w:r w:rsidRPr="00546F37">
        <w:rPr>
          <w:rFonts w:cs="Arial"/>
        </w:rPr>
        <w:t xml:space="preserve">APTC. (2014n). APTC managing contractor consortium planning meeting, Fiji, </w:t>
      </w:r>
      <w:r w:rsidRPr="00546F37">
        <w:rPr>
          <w:rFonts w:cs="Arial"/>
        </w:rPr>
        <w:br/>
        <w:t>11</w:t>
      </w:r>
      <w:r w:rsidR="006E1EED" w:rsidRPr="0000642F">
        <w:rPr>
          <w:rFonts w:cs="Arial"/>
        </w:rPr>
        <w:t>–</w:t>
      </w:r>
      <w:r w:rsidRPr="00546F37">
        <w:rPr>
          <w:rFonts w:cs="Arial"/>
        </w:rPr>
        <w:t>14 March 2014</w:t>
      </w:r>
    </w:p>
    <w:p w14:paraId="23C69D06" w14:textId="77777777" w:rsidR="009118BD" w:rsidRPr="0000642F" w:rsidRDefault="00546F37" w:rsidP="009118BD">
      <w:pPr>
        <w:spacing w:before="120"/>
        <w:rPr>
          <w:rFonts w:cs="Arial"/>
        </w:rPr>
      </w:pPr>
      <w:r w:rsidRPr="00546F37">
        <w:rPr>
          <w:rFonts w:cs="Arial"/>
        </w:rPr>
        <w:t>APTC. (2014o). APTC national staff salaries, version 6 (2013). Information updated by Geoff Cooper, Manager Human Resources, APTC</w:t>
      </w:r>
    </w:p>
    <w:p w14:paraId="1582AC66" w14:textId="7AD815B3" w:rsidR="009118BD" w:rsidRPr="0046607A" w:rsidRDefault="00546F37" w:rsidP="009118BD">
      <w:pPr>
        <w:spacing w:before="120"/>
        <w:rPr>
          <w:rFonts w:cs="Arial"/>
        </w:rPr>
      </w:pPr>
      <w:r w:rsidRPr="00546F37">
        <w:rPr>
          <w:rFonts w:cs="Arial"/>
        </w:rPr>
        <w:t xml:space="preserve">APTC. (Updated periodically). Course fees. Retrieved from </w:t>
      </w:r>
      <w:hyperlink r:id="rId160" w:history="1">
        <w:r w:rsidR="009118BD" w:rsidRPr="0046607A">
          <w:rPr>
            <w:rStyle w:val="Hyperlink"/>
            <w:color w:val="auto"/>
            <w:u w:val="none"/>
          </w:rPr>
          <w:t>http://www.aptc.edu.au/index.php/course-fees</w:t>
        </w:r>
      </w:hyperlink>
    </w:p>
    <w:p w14:paraId="2C773F38" w14:textId="1737B84F" w:rsidR="004B1DE7" w:rsidRDefault="004B1DE7" w:rsidP="009118BD">
      <w:pPr>
        <w:spacing w:before="120"/>
        <w:rPr>
          <w:rFonts w:cs="Arial"/>
        </w:rPr>
      </w:pPr>
      <w:r>
        <w:rPr>
          <w:rFonts w:cs="Arial"/>
        </w:rPr>
        <w:t xml:space="preserve">AusAid. (2011) </w:t>
      </w:r>
      <w:r>
        <w:rPr>
          <w:rFonts w:cs="Arial"/>
          <w:i/>
        </w:rPr>
        <w:t xml:space="preserve">Pacific Education and Skills Development Agenda: Guidance on education and skills development across the Pacific. </w:t>
      </w:r>
      <w:r w:rsidRPr="000859B4">
        <w:rPr>
          <w:rFonts w:cs="Arial"/>
        </w:rPr>
        <w:t>Canberra.</w:t>
      </w:r>
      <w:r>
        <w:rPr>
          <w:rFonts w:cs="Arial"/>
        </w:rPr>
        <w:t xml:space="preserve"> Retrieved from: </w:t>
      </w:r>
      <w:r w:rsidRPr="004B1DE7">
        <w:rPr>
          <w:rFonts w:cs="Arial"/>
        </w:rPr>
        <w:t>http://aid.dfat.gov.au/Publications/Documents/pesda-2011.pdf</w:t>
      </w:r>
    </w:p>
    <w:p w14:paraId="511C9364" w14:textId="12FB342F" w:rsidR="009118BD" w:rsidRPr="0000642F" w:rsidRDefault="009118BD" w:rsidP="009118BD">
      <w:pPr>
        <w:spacing w:before="120"/>
        <w:rPr>
          <w:rFonts w:cs="Arial"/>
        </w:rPr>
      </w:pPr>
      <w:r w:rsidRPr="0000642F">
        <w:rPr>
          <w:rFonts w:cs="Arial"/>
        </w:rPr>
        <w:t>AusAID. (2011). Scope of Services</w:t>
      </w:r>
      <w:r w:rsidR="000C1245" w:rsidRPr="0000642F">
        <w:rPr>
          <w:rFonts w:cs="Arial"/>
        </w:rPr>
        <w:t xml:space="preserve"> </w:t>
      </w:r>
      <w:r w:rsidR="00546F37" w:rsidRPr="00546F37">
        <w:rPr>
          <w:rFonts w:cs="Arial"/>
        </w:rPr>
        <w:t>– Schedule 1. APTC DD Annex F. 1 June</w:t>
      </w:r>
    </w:p>
    <w:p w14:paraId="504F4CB7" w14:textId="77777777" w:rsidR="009118BD" w:rsidRPr="0000642F" w:rsidRDefault="00546F37" w:rsidP="009118BD">
      <w:pPr>
        <w:spacing w:before="120"/>
        <w:rPr>
          <w:rFonts w:cs="Arial"/>
          <w:lang w:eastAsia="zh-CN"/>
        </w:rPr>
      </w:pPr>
      <w:r w:rsidRPr="00546F37">
        <w:rPr>
          <w:rFonts w:cs="Arial"/>
          <w:lang w:eastAsia="zh-CN"/>
        </w:rPr>
        <w:t xml:space="preserve">AusAID (2006). Australia–Pacific Technical College (APTC) Concept Paper. Annex A to Scope of Services, Request for Tender, 24 May    </w:t>
      </w:r>
    </w:p>
    <w:p w14:paraId="0D3EE180" w14:textId="6B6E28D6" w:rsidR="009118BD" w:rsidRPr="0000642F" w:rsidRDefault="0068333A" w:rsidP="009118BD">
      <w:pPr>
        <w:spacing w:before="120"/>
        <w:rPr>
          <w:rFonts w:cs="Arial"/>
        </w:rPr>
      </w:pPr>
      <w:hyperlink r:id="rId161" w:history="1">
        <w:r w:rsidR="00546F37" w:rsidRPr="00546F37">
          <w:rPr>
            <w:rFonts w:cs="Arial"/>
          </w:rPr>
          <w:t>Australian Bureau of Statistics. (2011). Census of population and housing. Tables on migrants from Pacific to Australia provided by ABS to Richard Curtain, member of independent review team</w:t>
        </w:r>
      </w:hyperlink>
      <w:r w:rsidR="00C7598A">
        <w:rPr>
          <w:rFonts w:cs="Arial"/>
        </w:rPr>
        <w:t xml:space="preserve"> </w:t>
      </w:r>
    </w:p>
    <w:p w14:paraId="405D96E2" w14:textId="5206D6E0" w:rsidR="009118BD" w:rsidRPr="00C7598A" w:rsidRDefault="00EA0B4D" w:rsidP="009118BD">
      <w:pPr>
        <w:spacing w:before="120"/>
        <w:rPr>
          <w:rFonts w:cs="Arial"/>
        </w:rPr>
      </w:pPr>
      <w:r>
        <w:fldChar w:fldCharType="begin"/>
      </w:r>
      <w:r>
        <w:instrText xml:space="preserve"> HYPERLINK </w:instrText>
      </w:r>
      <w:r>
        <w:fldChar w:fldCharType="separate"/>
      </w:r>
      <w:r>
        <w:rPr>
          <w:b/>
          <w:bCs/>
          <w:lang w:val="en-US"/>
        </w:rPr>
        <w:t>Error! Hyperlink reference not valid.</w:t>
      </w:r>
      <w:r>
        <w:rPr>
          <w:rStyle w:val="Hyperlink"/>
          <w:rFonts w:cs="Arial"/>
          <w:color w:val="auto"/>
          <w:u w:val="none"/>
        </w:rPr>
        <w:fldChar w:fldCharType="end"/>
      </w:r>
    </w:p>
    <w:p w14:paraId="61723C75" w14:textId="77777777" w:rsidR="009118BD" w:rsidRPr="00C7598A" w:rsidRDefault="00546F37" w:rsidP="009118BD">
      <w:pPr>
        <w:spacing w:before="120"/>
        <w:rPr>
          <w:rFonts w:cs="Arial"/>
          <w:lang w:eastAsia="zh-CN"/>
        </w:rPr>
      </w:pPr>
      <w:r w:rsidRPr="00C7598A">
        <w:rPr>
          <w:rFonts w:cs="Arial"/>
          <w:lang w:eastAsia="zh-CN"/>
        </w:rPr>
        <w:t>Australian Chamber of Commerce and Industry (ACCI) (2007). ACCI Review, November/December, Number 153</w:t>
      </w:r>
    </w:p>
    <w:p w14:paraId="768644F8" w14:textId="0FB5F9A4" w:rsidR="009118BD" w:rsidRPr="00C7598A" w:rsidRDefault="00EA0B4D" w:rsidP="009118BD">
      <w:pPr>
        <w:rPr>
          <w:rFonts w:cs="Arial"/>
        </w:rPr>
      </w:pPr>
      <w:r>
        <w:fldChar w:fldCharType="begin"/>
      </w:r>
      <w:r>
        <w:instrText xml:space="preserve"> HYPERLINK </w:instrText>
      </w:r>
      <w:r>
        <w:fldChar w:fldCharType="separate"/>
      </w:r>
      <w:r>
        <w:rPr>
          <w:b/>
          <w:bCs/>
          <w:lang w:val="en-US"/>
        </w:rPr>
        <w:t>Error! Hyperlink reference not valid.</w:t>
      </w:r>
      <w:r>
        <w:rPr>
          <w:rStyle w:val="Hyperlink"/>
          <w:rFonts w:cs="Arial"/>
          <w:color w:val="auto"/>
          <w:u w:val="none"/>
        </w:rPr>
        <w:fldChar w:fldCharType="end"/>
      </w:r>
    </w:p>
    <w:p w14:paraId="1810D096" w14:textId="77777777" w:rsidR="009118BD" w:rsidRPr="0000642F" w:rsidRDefault="00546F37" w:rsidP="009118BD">
      <w:pPr>
        <w:rPr>
          <w:rFonts w:cs="Arial"/>
        </w:rPr>
      </w:pPr>
      <w:r w:rsidRPr="00546F37">
        <w:rPr>
          <w:rFonts w:cs="Arial"/>
        </w:rPr>
        <w:t xml:space="preserve">Australian Government Department of Foreign Affairs and Trade. (2014). Australian aid, promoting prosperity, reducing poverty, enhancing stability. Retrieved from  http://aid.dfat.gov.au/aidpolicy/Pages/home.aspx </w:t>
      </w:r>
    </w:p>
    <w:p w14:paraId="581ED2F2" w14:textId="77777777" w:rsidR="009118BD" w:rsidRPr="00BE34BA" w:rsidRDefault="00546F37" w:rsidP="009118BD">
      <w:pPr>
        <w:rPr>
          <w:rFonts w:cs="Arial"/>
        </w:rPr>
      </w:pPr>
      <w:r w:rsidRPr="00546F37">
        <w:rPr>
          <w:rFonts w:cs="Arial"/>
        </w:rPr>
        <w:t xml:space="preserve">Australian Government Department of Immigration and Border Protection. (2014) Information on Temporary Work (Skilled) visa (subclass 457). Retrieved from </w:t>
      </w:r>
      <w:hyperlink r:id="rId162" w:history="1">
        <w:r w:rsidRPr="00BE34BA">
          <w:rPr>
            <w:rStyle w:val="Hyperlink"/>
            <w:color w:val="auto"/>
            <w:u w:val="none"/>
            <w:lang w:eastAsia="zh-CN"/>
          </w:rPr>
          <w:t>http://www.immi.gov.au/Visas/Pages/457.aspx</w:t>
        </w:r>
      </w:hyperlink>
    </w:p>
    <w:p w14:paraId="318F808E" w14:textId="77777777" w:rsidR="009118BD" w:rsidRPr="00F45F99" w:rsidRDefault="00546F37" w:rsidP="009118BD">
      <w:pPr>
        <w:rPr>
          <w:rFonts w:cs="Arial"/>
        </w:rPr>
      </w:pPr>
      <w:r w:rsidRPr="00546F37">
        <w:rPr>
          <w:rFonts w:cs="Arial"/>
        </w:rPr>
        <w:t xml:space="preserve">Australian Government Productivity Commission. (2011).Vocational education and training workforce. Retrieved from  </w:t>
      </w:r>
      <w:hyperlink r:id="rId163" w:history="1">
        <w:r w:rsidRPr="00546F37">
          <w:rPr>
            <w:rStyle w:val="Hyperlink"/>
            <w:color w:val="auto"/>
            <w:u w:val="none"/>
          </w:rPr>
          <w:t>http://www.pc.gov.au/__data/assets/pdf_file/0009/108369/vocational-workforce.pdf</w:t>
        </w:r>
      </w:hyperlink>
    </w:p>
    <w:p w14:paraId="69439DFA" w14:textId="77777777" w:rsidR="009118BD" w:rsidRPr="00F45F99" w:rsidRDefault="00546F37" w:rsidP="009118BD">
      <w:pPr>
        <w:rPr>
          <w:rFonts w:cs="Arial"/>
        </w:rPr>
      </w:pPr>
      <w:r w:rsidRPr="00546F37">
        <w:rPr>
          <w:rFonts w:cs="Arial"/>
        </w:rPr>
        <w:t xml:space="preserve">Australian Skills Quality Authority. (2012). </w:t>
      </w:r>
      <w:r w:rsidRPr="00546F37">
        <w:rPr>
          <w:rFonts w:cs="Arial"/>
          <w:bCs/>
          <w:lang w:eastAsia="en-AU"/>
        </w:rPr>
        <w:t>Standards for NVR Registered Training Organisations. Retrieved from</w:t>
      </w:r>
      <w:r w:rsidRPr="00546F37">
        <w:rPr>
          <w:rFonts w:cs="Arial"/>
        </w:rPr>
        <w:t xml:space="preserve"> </w:t>
      </w:r>
      <w:hyperlink r:id="rId164" w:history="1">
        <w:r w:rsidRPr="00546F37">
          <w:rPr>
            <w:rStyle w:val="Hyperlink"/>
            <w:color w:val="auto"/>
            <w:u w:val="none"/>
          </w:rPr>
          <w:t>http://www.asqa.gov.au/about-asqa/national-vet-regulation/standards-for-nvr-registered-training-organisations.html</w:t>
        </w:r>
      </w:hyperlink>
      <w:r w:rsidRPr="00546F37">
        <w:rPr>
          <w:rFonts w:cs="Arial"/>
        </w:rPr>
        <w:t xml:space="preserve"> </w:t>
      </w:r>
    </w:p>
    <w:p w14:paraId="62106A37" w14:textId="77777777" w:rsidR="009118BD" w:rsidRPr="0000642F" w:rsidRDefault="0068333A" w:rsidP="009118BD">
      <w:pPr>
        <w:spacing w:before="120"/>
        <w:rPr>
          <w:rFonts w:cs="Arial"/>
        </w:rPr>
      </w:pPr>
      <w:hyperlink r:id="rId165" w:history="1">
        <w:r w:rsidR="00546F37" w:rsidRPr="00546F37">
          <w:rPr>
            <w:rFonts w:cs="Arial"/>
          </w:rPr>
          <w:t xml:space="preserve">Australian Tax Office. (2014). Australia tax rates for the 2013/2104 tax year. Retrieved from http://www.superguide.com.au/how-super-works/income-tax-rates. </w:t>
        </w:r>
      </w:hyperlink>
    </w:p>
    <w:p w14:paraId="4BBD2167" w14:textId="5D404B21" w:rsidR="009118BD" w:rsidRPr="0000642F" w:rsidRDefault="00546F37" w:rsidP="009118BD">
      <w:pPr>
        <w:rPr>
          <w:rFonts w:cs="Arial"/>
          <w:lang w:eastAsia="zh-CN"/>
        </w:rPr>
      </w:pPr>
      <w:r w:rsidRPr="00546F37">
        <w:rPr>
          <w:rFonts w:cs="Arial"/>
          <w:lang w:eastAsia="zh-CN"/>
        </w:rPr>
        <w:t xml:space="preserve">Bateman, A. (2014). Review of the nationalisation strategy: report to APTC. </w:t>
      </w:r>
      <w:r w:rsidR="003E73E1">
        <w:rPr>
          <w:rFonts w:cs="Arial"/>
          <w:lang w:eastAsia="zh-CN"/>
        </w:rPr>
        <w:br/>
      </w:r>
      <w:r w:rsidRPr="00546F37">
        <w:rPr>
          <w:rFonts w:cs="Arial"/>
          <w:lang w:eastAsia="zh-CN"/>
        </w:rPr>
        <w:t>Bateman and Giles Pty Ltd</w:t>
      </w:r>
    </w:p>
    <w:p w14:paraId="31B740B7" w14:textId="77777777" w:rsidR="009118BD" w:rsidRPr="0000642F" w:rsidRDefault="00546F37" w:rsidP="009118BD">
      <w:pPr>
        <w:spacing w:before="120"/>
        <w:rPr>
          <w:rFonts w:cs="Arial"/>
        </w:rPr>
      </w:pPr>
      <w:r w:rsidRPr="00546F37">
        <w:rPr>
          <w:rFonts w:cs="Arial"/>
        </w:rPr>
        <w:t>Bateman, A., Brown, J., &amp; Uera M. (2013). Tonga Country Report: research into the financing of TVET in the Pacific. Australian Council for Educational Research and Austraining</w:t>
      </w:r>
    </w:p>
    <w:p w14:paraId="5E3A6D38" w14:textId="77777777" w:rsidR="009118BD" w:rsidRPr="0000642F" w:rsidRDefault="00546F37" w:rsidP="009118BD">
      <w:pPr>
        <w:spacing w:before="120"/>
        <w:rPr>
          <w:rFonts w:cs="Arial"/>
        </w:rPr>
      </w:pPr>
      <w:r w:rsidRPr="00546F37">
        <w:rPr>
          <w:rFonts w:cs="Arial"/>
        </w:rPr>
        <w:t>Bateman, A., Cassity, E., &amp; Fangalasuu, J. (2013). Solomon Islands Country Report: research into the financing of TVET in the Pacific. Australian Council for Educational Research and Austraining</w:t>
      </w:r>
    </w:p>
    <w:p w14:paraId="027CD4CA" w14:textId="068F2AE7" w:rsidR="009118BD" w:rsidRPr="0000642F" w:rsidRDefault="00546F37" w:rsidP="009118BD">
      <w:pPr>
        <w:spacing w:before="120"/>
        <w:rPr>
          <w:rFonts w:cs="Arial"/>
          <w:lang w:eastAsia="zh-CN"/>
        </w:rPr>
      </w:pPr>
      <w:r w:rsidRPr="00546F37">
        <w:rPr>
          <w:rFonts w:cs="Arial"/>
          <w:lang w:eastAsia="zh-CN"/>
        </w:rPr>
        <w:t xml:space="preserve">Bedford, R; &amp; Hugo, G. (2012). Population Movement in The Pacific: A Perspective on Future Prospects. Labour &amp; Immigration Research Centre, Department of Labour, </w:t>
      </w:r>
      <w:r w:rsidR="003E73E1">
        <w:rPr>
          <w:rFonts w:cs="Arial"/>
          <w:lang w:eastAsia="zh-CN"/>
        </w:rPr>
        <w:br/>
      </w:r>
      <w:r w:rsidRPr="00546F37">
        <w:rPr>
          <w:rFonts w:cs="Arial"/>
          <w:lang w:eastAsia="zh-CN"/>
        </w:rPr>
        <w:t>New Zealand</w:t>
      </w:r>
    </w:p>
    <w:p w14:paraId="09FBFBE3" w14:textId="77777777" w:rsidR="009118BD" w:rsidRPr="0000642F" w:rsidRDefault="00546F37" w:rsidP="009118BD">
      <w:pPr>
        <w:spacing w:before="120"/>
        <w:rPr>
          <w:rFonts w:cs="Arial"/>
        </w:rPr>
      </w:pPr>
      <w:r w:rsidRPr="00546F37">
        <w:rPr>
          <w:rFonts w:cs="Arial"/>
        </w:rPr>
        <w:t>Box Hill Institute, Gordon Institute, &amp; MDI International. (2008). Activity design document for the Australia–Pacific Technical College, Phase II detailed design School of Health and Community Services (Children's Services and Community Welfare)</w:t>
      </w:r>
    </w:p>
    <w:p w14:paraId="22FAF748" w14:textId="77777777" w:rsidR="009118BD" w:rsidRPr="0000642F" w:rsidRDefault="00546F37" w:rsidP="009118BD">
      <w:pPr>
        <w:spacing w:before="120"/>
        <w:rPr>
          <w:rFonts w:cs="Arial"/>
          <w:lang w:eastAsia="zh-CN"/>
        </w:rPr>
      </w:pPr>
      <w:r w:rsidRPr="00546F37">
        <w:rPr>
          <w:rFonts w:cs="Arial"/>
          <w:lang w:eastAsia="zh-CN"/>
        </w:rPr>
        <w:t>Clemens, M.A; Graham C. &amp; Howes, S. (2014). Skill development and regional mobility: Lessons from the Australia–Pacific Technical College. Discussion Paper 34, Development Policy Centre, The Australian National University, May</w:t>
      </w:r>
    </w:p>
    <w:p w14:paraId="10ED3807" w14:textId="77777777" w:rsidR="007C5C7C" w:rsidRDefault="00546F37" w:rsidP="009118BD">
      <w:pPr>
        <w:spacing w:before="120"/>
        <w:rPr>
          <w:rFonts w:cs="Arial"/>
        </w:rPr>
      </w:pPr>
      <w:r w:rsidRPr="00546F37">
        <w:rPr>
          <w:rFonts w:cs="Arial"/>
        </w:rPr>
        <w:t xml:space="preserve">Commonwealth of Australia. (2008). Commonwealth </w:t>
      </w:r>
      <w:r w:rsidR="007C5C7C">
        <w:rPr>
          <w:rFonts w:cs="Arial"/>
        </w:rPr>
        <w:t>P</w:t>
      </w:r>
      <w:r w:rsidRPr="00546F37">
        <w:rPr>
          <w:rFonts w:cs="Arial"/>
        </w:rPr>
        <w:t xml:space="preserve">rocurement </w:t>
      </w:r>
      <w:r w:rsidR="007C5C7C">
        <w:rPr>
          <w:rFonts w:cs="Arial"/>
        </w:rPr>
        <w:t>G</w:t>
      </w:r>
      <w:r w:rsidRPr="00546F37">
        <w:rPr>
          <w:rFonts w:cs="Arial"/>
        </w:rPr>
        <w:t xml:space="preserve">uidelines. Financial management guidance No. 1 </w:t>
      </w:r>
    </w:p>
    <w:p w14:paraId="778B1595" w14:textId="115AB485" w:rsidR="009118BD" w:rsidRPr="0000642F" w:rsidRDefault="00546F37" w:rsidP="009118BD">
      <w:pPr>
        <w:spacing w:before="120"/>
        <w:rPr>
          <w:rFonts w:cs="Arial"/>
          <w:lang w:eastAsia="zh-CN"/>
        </w:rPr>
      </w:pPr>
      <w:r w:rsidRPr="00546F37">
        <w:rPr>
          <w:rFonts w:cs="Arial"/>
          <w:lang w:eastAsia="zh-CN"/>
        </w:rPr>
        <w:t>Cully, M. (2011). Skilled migration selection policies: recent Australian reforms. Migration Policy Practice Vol. 1, 1, pp</w:t>
      </w:r>
      <w:r w:rsidR="007102BB">
        <w:rPr>
          <w:rFonts w:cs="Arial"/>
          <w:lang w:eastAsia="zh-CN"/>
        </w:rPr>
        <w:t>.</w:t>
      </w:r>
      <w:r w:rsidRPr="00546F37">
        <w:rPr>
          <w:rFonts w:cs="Arial"/>
          <w:lang w:eastAsia="zh-CN"/>
        </w:rPr>
        <w:t xml:space="preserve"> 4</w:t>
      </w:r>
      <w:r w:rsidR="007102BB">
        <w:rPr>
          <w:rFonts w:cs="Arial"/>
          <w:lang w:eastAsia="zh-CN"/>
        </w:rPr>
        <w:t>–</w:t>
      </w:r>
      <w:r w:rsidRPr="00546F37">
        <w:rPr>
          <w:rFonts w:cs="Arial"/>
          <w:lang w:eastAsia="zh-CN"/>
        </w:rPr>
        <w:t>7</w:t>
      </w:r>
    </w:p>
    <w:p w14:paraId="4B342987" w14:textId="5FCC1560" w:rsidR="004A7DB6" w:rsidRDefault="004A7DB6" w:rsidP="009118BD">
      <w:pPr>
        <w:spacing w:before="120"/>
        <w:rPr>
          <w:rFonts w:cs="Arial"/>
          <w:lang w:eastAsia="zh-CN"/>
        </w:rPr>
      </w:pPr>
      <w:r w:rsidRPr="004A7DB6">
        <w:rPr>
          <w:rFonts w:cs="Arial"/>
          <w:lang w:eastAsia="zh-CN"/>
        </w:rPr>
        <w:t xml:space="preserve">Curtain, </w:t>
      </w:r>
      <w:r w:rsidR="006B3033">
        <w:rPr>
          <w:rFonts w:cs="Arial"/>
          <w:lang w:eastAsia="zh-CN"/>
        </w:rPr>
        <w:t>R</w:t>
      </w:r>
      <w:r>
        <w:rPr>
          <w:rFonts w:cs="Arial"/>
          <w:lang w:eastAsia="zh-CN"/>
        </w:rPr>
        <w:t>. (</w:t>
      </w:r>
      <w:r w:rsidRPr="004A7DB6">
        <w:rPr>
          <w:rFonts w:cs="Arial"/>
          <w:lang w:eastAsia="zh-CN"/>
        </w:rPr>
        <w:t>2014</w:t>
      </w:r>
      <w:r>
        <w:rPr>
          <w:rFonts w:cs="Arial"/>
          <w:lang w:eastAsia="zh-CN"/>
        </w:rPr>
        <w:t>)</w:t>
      </w:r>
      <w:r w:rsidR="007102BB">
        <w:rPr>
          <w:rFonts w:cs="Arial"/>
          <w:lang w:eastAsia="zh-CN"/>
        </w:rPr>
        <w:t>.</w:t>
      </w:r>
      <w:r w:rsidRPr="004A7DB6">
        <w:rPr>
          <w:rFonts w:cs="Arial"/>
          <w:lang w:eastAsia="zh-CN"/>
        </w:rPr>
        <w:t xml:space="preserve"> </w:t>
      </w:r>
      <w:r w:rsidRPr="000859B4">
        <w:rPr>
          <w:rFonts w:cs="Arial"/>
          <w:i/>
          <w:lang w:eastAsia="zh-CN"/>
        </w:rPr>
        <w:t>Labour mobility between the Pacific and Australia. Development Policy Centre</w:t>
      </w:r>
      <w:r w:rsidRPr="004A7DB6">
        <w:rPr>
          <w:rFonts w:cs="Arial"/>
          <w:lang w:eastAsia="zh-CN"/>
        </w:rPr>
        <w:t>, A</w:t>
      </w:r>
      <w:r>
        <w:rPr>
          <w:rFonts w:cs="Arial"/>
          <w:lang w:eastAsia="zh-CN"/>
        </w:rPr>
        <w:t xml:space="preserve">ustralia </w:t>
      </w:r>
      <w:r w:rsidRPr="004A7DB6">
        <w:rPr>
          <w:rFonts w:cs="Arial"/>
          <w:lang w:eastAsia="zh-CN"/>
        </w:rPr>
        <w:t>N</w:t>
      </w:r>
      <w:r>
        <w:rPr>
          <w:rFonts w:cs="Arial"/>
          <w:lang w:eastAsia="zh-CN"/>
        </w:rPr>
        <w:t xml:space="preserve">ational </w:t>
      </w:r>
      <w:r w:rsidRPr="004A7DB6">
        <w:rPr>
          <w:rFonts w:cs="Arial"/>
          <w:lang w:eastAsia="zh-CN"/>
        </w:rPr>
        <w:t>U</w:t>
      </w:r>
      <w:r>
        <w:rPr>
          <w:rFonts w:cs="Arial"/>
          <w:lang w:eastAsia="zh-CN"/>
        </w:rPr>
        <w:t>niversity</w:t>
      </w:r>
    </w:p>
    <w:p w14:paraId="2DC7DDB1" w14:textId="77777777" w:rsidR="009118BD" w:rsidRPr="0000642F" w:rsidRDefault="00546F37" w:rsidP="009118BD">
      <w:pPr>
        <w:spacing w:before="120"/>
        <w:rPr>
          <w:rFonts w:cs="Arial"/>
          <w:lang w:eastAsia="zh-CN"/>
        </w:rPr>
      </w:pPr>
      <w:r w:rsidRPr="00546F37">
        <w:rPr>
          <w:rFonts w:cs="Arial"/>
          <w:lang w:eastAsia="zh-CN"/>
        </w:rPr>
        <w:t>Department of Immigration &amp; Border Protection (2014). Trends in the subclass 457 Temporary Work (Skilled) visa program, quarter ending 31 March 2014</w:t>
      </w:r>
      <w:r w:rsidR="009118BD" w:rsidRPr="0000642F">
        <w:rPr>
          <w:rFonts w:cs="Arial"/>
          <w:lang w:eastAsia="zh-CN"/>
        </w:rPr>
        <w:t>. Australian Government, Canberra</w:t>
      </w:r>
    </w:p>
    <w:p w14:paraId="6790A863" w14:textId="77777777" w:rsidR="009118BD" w:rsidRPr="00700088" w:rsidRDefault="00546F37" w:rsidP="009118BD">
      <w:pPr>
        <w:spacing w:before="120"/>
        <w:rPr>
          <w:rFonts w:cs="Arial"/>
          <w:shd w:val="clear" w:color="auto" w:fill="FFFFFF"/>
          <w:lang w:eastAsia="zh-CN"/>
        </w:rPr>
      </w:pPr>
      <w:r w:rsidRPr="00546F37">
        <w:rPr>
          <w:rFonts w:cs="Arial"/>
          <w:lang w:eastAsia="zh-CN"/>
        </w:rPr>
        <w:t>Department of Immigration &amp; Citizenship (2010). How New Migrants Fare: Analysis of the Continuous Survey of Australia's Migrants</w:t>
      </w:r>
      <w:r w:rsidR="009118BD" w:rsidRPr="0000642F">
        <w:rPr>
          <w:rFonts w:cs="Arial"/>
          <w:lang w:eastAsia="zh-CN"/>
        </w:rPr>
        <w:t xml:space="preserve">. Australian Government, Canberra. </w:t>
      </w:r>
      <w:r w:rsidR="009118BD" w:rsidRPr="00700088">
        <w:rPr>
          <w:rFonts w:cs="Arial"/>
          <w:lang w:eastAsia="zh-CN"/>
        </w:rPr>
        <w:t xml:space="preserve">Retrieved from </w:t>
      </w:r>
      <w:hyperlink r:id="rId166" w:history="1">
        <w:r w:rsidRPr="00546F37">
          <w:rPr>
            <w:rFonts w:cs="Arial"/>
            <w:shd w:val="clear" w:color="auto" w:fill="FFFFFF"/>
            <w:lang w:eastAsia="zh-CN"/>
          </w:rPr>
          <w:t>www.immi.gov.au/media/publications/research/</w:t>
        </w:r>
      </w:hyperlink>
      <w:r w:rsidRPr="00546F37">
        <w:rPr>
          <w:rFonts w:cs="Arial"/>
          <w:shd w:val="clear" w:color="auto" w:fill="FFFFFF"/>
          <w:lang w:eastAsia="zh-CN"/>
        </w:rPr>
        <w:t xml:space="preserve"> </w:t>
      </w:r>
    </w:p>
    <w:p w14:paraId="3398DD0B" w14:textId="77777777" w:rsidR="009118BD" w:rsidRPr="0000642F" w:rsidRDefault="009118BD" w:rsidP="009118BD">
      <w:pPr>
        <w:rPr>
          <w:rFonts w:eastAsia="Calibri" w:cs="Arial"/>
        </w:rPr>
      </w:pPr>
      <w:r w:rsidRPr="0000642F">
        <w:rPr>
          <w:rFonts w:cs="Arial"/>
        </w:rPr>
        <w:t>Dornan, M; &amp; Newton Cain, T; (2013)</w:t>
      </w:r>
      <w:r w:rsidR="003E4793" w:rsidRPr="0000642F">
        <w:rPr>
          <w:rFonts w:cs="Arial"/>
        </w:rPr>
        <w:t>.</w:t>
      </w:r>
      <w:r w:rsidRPr="0000642F">
        <w:rPr>
          <w:rFonts w:cs="Arial"/>
        </w:rPr>
        <w:t xml:space="preserve"> </w:t>
      </w:r>
      <w:r w:rsidRPr="0000642F">
        <w:rPr>
          <w:rFonts w:eastAsia="Calibri" w:cs="Arial"/>
        </w:rPr>
        <w:t>Regional Service Delivery among Small Island Developing States of the Pacific: An Assessment. Asia and the Pacific Policy Studies (APPS) Working Paper Series 04/2013, The Australian National University, October</w:t>
      </w:r>
    </w:p>
    <w:p w14:paraId="0A64CB3D" w14:textId="77777777" w:rsidR="009118BD" w:rsidRPr="0000642F" w:rsidRDefault="00546F37" w:rsidP="009118BD">
      <w:pPr>
        <w:spacing w:before="120"/>
        <w:rPr>
          <w:rFonts w:cs="Arial"/>
          <w:lang w:eastAsia="zh-CN"/>
        </w:rPr>
      </w:pPr>
      <w:r w:rsidRPr="00546F37">
        <w:rPr>
          <w:rFonts w:cs="Arial"/>
          <w:lang w:eastAsia="zh-CN"/>
        </w:rPr>
        <w:t>Education Resources Facility (ERF). (2014). Evaluation Plan: Independent Evaluation of the Australia–Pacific Technical College (APTC). 2 June</w:t>
      </w:r>
    </w:p>
    <w:p w14:paraId="57D58746" w14:textId="77777777" w:rsidR="009118BD" w:rsidRPr="0000642F" w:rsidRDefault="00546F37" w:rsidP="009118BD">
      <w:pPr>
        <w:spacing w:before="120"/>
        <w:rPr>
          <w:rFonts w:cs="Arial"/>
          <w:lang w:eastAsia="zh-CN"/>
        </w:rPr>
      </w:pPr>
      <w:r w:rsidRPr="00546F37">
        <w:rPr>
          <w:rFonts w:cs="Arial"/>
          <w:lang w:eastAsia="zh-CN"/>
        </w:rPr>
        <w:t>Filer, C; Andrew, M; Carr, P; Imbun, B; &amp; Sagir, B. (2013). Papua New Guinea Draft Chapter for World Development Report Companion Volume on 'Jobs'</w:t>
      </w:r>
      <w:r w:rsidR="009118BD" w:rsidRPr="0000642F">
        <w:rPr>
          <w:rFonts w:cs="Arial"/>
          <w:lang w:eastAsia="zh-CN"/>
        </w:rPr>
        <w:t>, 21 June</w:t>
      </w:r>
    </w:p>
    <w:p w14:paraId="35B37766" w14:textId="77777777" w:rsidR="009118BD" w:rsidRPr="0000642F" w:rsidRDefault="00546F37" w:rsidP="009118BD">
      <w:pPr>
        <w:rPr>
          <w:rFonts w:eastAsia="Calibri" w:cs="Arial"/>
        </w:rPr>
      </w:pPr>
      <w:r w:rsidRPr="00546F37">
        <w:rPr>
          <w:rFonts w:eastAsia="Calibri" w:cs="Arial"/>
        </w:rPr>
        <w:t>Fourth High Level Forum on Aid Effectiveness. (2011). Busan partnership for effective development co-operation, Busan, Republic of Korea, 29 November–1 December</w:t>
      </w:r>
    </w:p>
    <w:p w14:paraId="40F85E45" w14:textId="3D6D8156" w:rsidR="009118BD" w:rsidRPr="0000642F" w:rsidRDefault="00546F37" w:rsidP="009118BD">
      <w:pPr>
        <w:spacing w:before="120"/>
        <w:rPr>
          <w:rFonts w:cs="Arial"/>
          <w:lang w:eastAsia="zh-CN"/>
        </w:rPr>
      </w:pPr>
      <w:r w:rsidRPr="00546F37">
        <w:rPr>
          <w:rFonts w:cs="Arial"/>
          <w:lang w:eastAsia="zh-CN"/>
        </w:rPr>
        <w:t xml:space="preserve">Hawthorne, L. (2011). </w:t>
      </w:r>
      <w:r w:rsidRPr="00546F37">
        <w:rPr>
          <w:rFonts w:cs="Arial"/>
          <w:i/>
          <w:lang w:eastAsia="zh-CN"/>
        </w:rPr>
        <w:t xml:space="preserve">Competing for Skills: Migration Policies and Trends in </w:t>
      </w:r>
      <w:r w:rsidR="003E73E1">
        <w:rPr>
          <w:rFonts w:cs="Arial"/>
          <w:i/>
          <w:lang w:eastAsia="zh-CN"/>
        </w:rPr>
        <w:br/>
      </w:r>
      <w:r w:rsidRPr="00546F37">
        <w:rPr>
          <w:rFonts w:cs="Arial"/>
          <w:i/>
          <w:lang w:eastAsia="zh-CN"/>
        </w:rPr>
        <w:t>New Zealand and Australia</w:t>
      </w:r>
      <w:r w:rsidRPr="00546F37">
        <w:rPr>
          <w:rFonts w:cs="Arial"/>
          <w:lang w:eastAsia="zh-CN"/>
        </w:rPr>
        <w:t>. Department of Labour, New Zealand Government, Wellington, New Zealand</w:t>
      </w:r>
    </w:p>
    <w:p w14:paraId="13454B38" w14:textId="77777777" w:rsidR="009118BD" w:rsidRPr="0000642F" w:rsidRDefault="00546F37" w:rsidP="009118BD">
      <w:pPr>
        <w:pStyle w:val="FootnoteText"/>
        <w:spacing w:after="120"/>
        <w:rPr>
          <w:rFonts w:cs="Arial"/>
          <w:sz w:val="22"/>
          <w:szCs w:val="22"/>
        </w:rPr>
      </w:pPr>
      <w:r w:rsidRPr="00546F37">
        <w:rPr>
          <w:rFonts w:cs="Arial"/>
          <w:sz w:val="22"/>
          <w:szCs w:val="22"/>
        </w:rPr>
        <w:t>Horne, R., Ngangan, K., &amp; Tavil-Melachon, S. (2013). Papua New Guinea: Report on Phase 1 and Proposed Plan for Phase 2: research into the financing of TVET in the Pacific. Australian Council for Educational Research and Austraining</w:t>
      </w:r>
    </w:p>
    <w:p w14:paraId="64636820" w14:textId="77777777" w:rsidR="009118BD" w:rsidRPr="00306A47" w:rsidRDefault="00546F37" w:rsidP="009118BD">
      <w:pPr>
        <w:pStyle w:val="FootnoteText"/>
        <w:spacing w:after="120"/>
        <w:rPr>
          <w:rFonts w:cs="Arial"/>
          <w:sz w:val="22"/>
          <w:szCs w:val="22"/>
        </w:rPr>
      </w:pPr>
      <w:r w:rsidRPr="00546F37">
        <w:rPr>
          <w:rFonts w:cs="Arial"/>
          <w:sz w:val="22"/>
          <w:szCs w:val="22"/>
        </w:rPr>
        <w:t xml:space="preserve">International Average Salary Income Database. (Updated periodically). Australia average salaries and expenditures, 2005. Retrieved from </w:t>
      </w:r>
      <w:hyperlink r:id="rId167" w:history="1">
        <w:r w:rsidRPr="00546F37">
          <w:rPr>
            <w:rStyle w:val="Hyperlink"/>
            <w:color w:val="auto"/>
            <w:sz w:val="22"/>
            <w:szCs w:val="22"/>
            <w:u w:val="none"/>
          </w:rPr>
          <w:t>http://www.worldsalaries.org/australia.shtml</w:t>
        </w:r>
      </w:hyperlink>
      <w:r w:rsidRPr="00546F37">
        <w:rPr>
          <w:rFonts w:cs="Arial"/>
          <w:sz w:val="22"/>
          <w:szCs w:val="22"/>
        </w:rPr>
        <w:t>.</w:t>
      </w:r>
    </w:p>
    <w:p w14:paraId="549E8A16" w14:textId="77777777" w:rsidR="009118BD" w:rsidRPr="0000642F" w:rsidRDefault="00546F37" w:rsidP="009118BD">
      <w:pPr>
        <w:pStyle w:val="FootnoteText"/>
        <w:spacing w:after="120"/>
        <w:rPr>
          <w:rFonts w:cs="Arial"/>
          <w:sz w:val="22"/>
          <w:szCs w:val="22"/>
        </w:rPr>
      </w:pPr>
      <w:r w:rsidRPr="00546F37">
        <w:rPr>
          <w:rFonts w:cs="Arial"/>
          <w:sz w:val="22"/>
          <w:szCs w:val="22"/>
        </w:rPr>
        <w:t>Maglen, L., Wall, M.W., &amp; Rokvunisei, M. (2013). Fiji Country Report: research into the financing of TVET in the Pacific. Australian Council for Educational Research and Austraining</w:t>
      </w:r>
    </w:p>
    <w:p w14:paraId="61244E80" w14:textId="77777777" w:rsidR="009118BD" w:rsidRPr="0000642F" w:rsidRDefault="00546F37" w:rsidP="009118BD">
      <w:pPr>
        <w:pStyle w:val="FootnoteText"/>
        <w:spacing w:after="120"/>
        <w:rPr>
          <w:rFonts w:cs="Arial"/>
          <w:sz w:val="22"/>
          <w:szCs w:val="22"/>
        </w:rPr>
      </w:pPr>
      <w:r w:rsidRPr="00546F37">
        <w:rPr>
          <w:rFonts w:cs="Arial"/>
          <w:sz w:val="22"/>
          <w:szCs w:val="22"/>
        </w:rPr>
        <w:t>Maglen, L., Brown, J., &amp; Lene S.P.T. (2013). Samoa country report: research into the financing of TVET in the Pacific. Australian Council for Educational Research and Austraining</w:t>
      </w:r>
    </w:p>
    <w:p w14:paraId="48E45C8A" w14:textId="2D079A88" w:rsidR="009118BD" w:rsidRPr="0000642F" w:rsidRDefault="00546F37" w:rsidP="009118BD">
      <w:pPr>
        <w:pStyle w:val="FootnoteText"/>
        <w:spacing w:after="120"/>
        <w:rPr>
          <w:rFonts w:cs="Arial"/>
          <w:sz w:val="22"/>
          <w:szCs w:val="22"/>
        </w:rPr>
      </w:pPr>
      <w:r w:rsidRPr="00546F37">
        <w:rPr>
          <w:rFonts w:cs="Arial"/>
          <w:sz w:val="22"/>
          <w:szCs w:val="22"/>
        </w:rPr>
        <w:t xml:space="preserve">Maxumise (Fiji) Ltd. (2013). APTC 2013 salary and structure review for the </w:t>
      </w:r>
      <w:r w:rsidR="003E73E1">
        <w:rPr>
          <w:rFonts w:cs="Arial"/>
          <w:sz w:val="22"/>
          <w:szCs w:val="22"/>
        </w:rPr>
        <w:br/>
      </w:r>
      <w:r w:rsidRPr="00546F37">
        <w:rPr>
          <w:rFonts w:cs="Arial"/>
          <w:sz w:val="22"/>
          <w:szCs w:val="22"/>
        </w:rPr>
        <w:t>Pacific Region</w:t>
      </w:r>
    </w:p>
    <w:p w14:paraId="7BBF0461" w14:textId="17C02887" w:rsidR="009118BD" w:rsidRPr="0000642F" w:rsidRDefault="00546F37" w:rsidP="009118BD">
      <w:pPr>
        <w:pStyle w:val="FootnoteText"/>
        <w:spacing w:after="120"/>
        <w:rPr>
          <w:rFonts w:cs="Arial"/>
          <w:sz w:val="22"/>
          <w:szCs w:val="22"/>
        </w:rPr>
      </w:pPr>
      <w:r w:rsidRPr="00546F37">
        <w:rPr>
          <w:rFonts w:cs="Arial"/>
          <w:sz w:val="22"/>
          <w:szCs w:val="22"/>
        </w:rPr>
        <w:t xml:space="preserve">Mckay, R. (2014). Results measurement at the APTC: a VfM perspective. </w:t>
      </w:r>
      <w:r w:rsidR="003E73E1">
        <w:rPr>
          <w:rFonts w:cs="Arial"/>
          <w:sz w:val="22"/>
          <w:szCs w:val="22"/>
        </w:rPr>
        <w:br/>
      </w:r>
      <w:r w:rsidRPr="00546F37">
        <w:rPr>
          <w:rFonts w:cs="Arial"/>
          <w:sz w:val="22"/>
          <w:szCs w:val="22"/>
        </w:rPr>
        <w:t>Effective Development Group, GRM International</w:t>
      </w:r>
    </w:p>
    <w:p w14:paraId="6A17ECCE" w14:textId="41DF83B5" w:rsidR="009118BD" w:rsidRPr="0000642F" w:rsidRDefault="00546F37" w:rsidP="009118BD">
      <w:pPr>
        <w:pStyle w:val="FootnoteText"/>
        <w:spacing w:after="120"/>
        <w:rPr>
          <w:rFonts w:cs="Arial"/>
          <w:sz w:val="22"/>
          <w:szCs w:val="22"/>
        </w:rPr>
      </w:pPr>
      <w:r w:rsidRPr="00546F37">
        <w:rPr>
          <w:rFonts w:cs="Arial"/>
          <w:sz w:val="22"/>
          <w:szCs w:val="22"/>
        </w:rPr>
        <w:t xml:space="preserve">Mitchell, J. (2009). Advanced VET practitioners. John Mitchell and Associates, </w:t>
      </w:r>
      <w:r w:rsidR="003E73E1">
        <w:rPr>
          <w:rFonts w:cs="Arial"/>
          <w:sz w:val="22"/>
          <w:szCs w:val="22"/>
        </w:rPr>
        <w:br/>
      </w:r>
      <w:r w:rsidRPr="00546F37">
        <w:rPr>
          <w:rFonts w:cs="Arial"/>
          <w:sz w:val="22"/>
          <w:szCs w:val="22"/>
        </w:rPr>
        <w:t xml:space="preserve">NSW Australia </w:t>
      </w:r>
    </w:p>
    <w:p w14:paraId="68522AA7" w14:textId="611ED3C8" w:rsidR="00B71880" w:rsidRDefault="003E73E1" w:rsidP="009118BD">
      <w:pPr>
        <w:spacing w:before="120"/>
        <w:rPr>
          <w:lang w:val="en-US"/>
        </w:rPr>
      </w:pPr>
      <w:r>
        <w:rPr>
          <w:lang w:val="en-US"/>
        </w:rPr>
        <w:t>NCVER.</w:t>
      </w:r>
      <w:r w:rsidR="00B71880">
        <w:rPr>
          <w:lang w:val="en-US"/>
        </w:rPr>
        <w:t xml:space="preserve"> 2014. </w:t>
      </w:r>
      <w:r w:rsidR="00B71880" w:rsidRPr="000859B4">
        <w:rPr>
          <w:i/>
          <w:lang w:val="en-US"/>
        </w:rPr>
        <w:t xml:space="preserve">Australian </w:t>
      </w:r>
      <w:r w:rsidR="007102BB">
        <w:rPr>
          <w:i/>
          <w:lang w:val="en-US"/>
        </w:rPr>
        <w:t>V</w:t>
      </w:r>
      <w:r w:rsidR="00B71880" w:rsidRPr="000859B4">
        <w:rPr>
          <w:i/>
          <w:lang w:val="en-US"/>
        </w:rPr>
        <w:t xml:space="preserve">ocational </w:t>
      </w:r>
      <w:r w:rsidR="007102BB">
        <w:rPr>
          <w:i/>
          <w:lang w:val="en-US"/>
        </w:rPr>
        <w:t>E</w:t>
      </w:r>
      <w:r w:rsidR="00B71880" w:rsidRPr="000859B4">
        <w:rPr>
          <w:i/>
          <w:lang w:val="en-US"/>
        </w:rPr>
        <w:t xml:space="preserve">ducation and </w:t>
      </w:r>
      <w:r w:rsidR="007102BB">
        <w:rPr>
          <w:i/>
          <w:lang w:val="en-US"/>
        </w:rPr>
        <w:t>T</w:t>
      </w:r>
      <w:r w:rsidR="00B71880" w:rsidRPr="000859B4">
        <w:rPr>
          <w:i/>
          <w:lang w:val="en-US"/>
        </w:rPr>
        <w:t xml:space="preserve">raining </w:t>
      </w:r>
      <w:r w:rsidR="007102BB">
        <w:rPr>
          <w:i/>
          <w:lang w:val="en-US"/>
        </w:rPr>
        <w:t>S</w:t>
      </w:r>
      <w:r w:rsidR="00B71880" w:rsidRPr="000859B4">
        <w:rPr>
          <w:i/>
          <w:lang w:val="en-US"/>
        </w:rPr>
        <w:t>tatistics</w:t>
      </w:r>
      <w:r w:rsidR="007102BB">
        <w:rPr>
          <w:i/>
          <w:lang w:val="en-US"/>
        </w:rPr>
        <w:t xml:space="preserve"> – </w:t>
      </w:r>
      <w:r w:rsidR="00FA584E">
        <w:rPr>
          <w:i/>
          <w:lang w:val="en-US"/>
        </w:rPr>
        <w:br/>
      </w:r>
      <w:r w:rsidR="00B71880" w:rsidRPr="000859B4">
        <w:rPr>
          <w:i/>
          <w:lang w:val="en-US"/>
        </w:rPr>
        <w:t xml:space="preserve">The </w:t>
      </w:r>
      <w:r w:rsidR="004341DF">
        <w:rPr>
          <w:i/>
          <w:lang w:val="en-US"/>
        </w:rPr>
        <w:t>L</w:t>
      </w:r>
      <w:r w:rsidR="00B71880" w:rsidRPr="000859B4">
        <w:rPr>
          <w:i/>
          <w:lang w:val="en-US"/>
        </w:rPr>
        <w:t xml:space="preserve">ikelihood of </w:t>
      </w:r>
      <w:r w:rsidR="004341DF">
        <w:rPr>
          <w:i/>
          <w:lang w:val="en-US"/>
        </w:rPr>
        <w:t>C</w:t>
      </w:r>
      <w:r w:rsidR="00B71880" w:rsidRPr="000859B4">
        <w:rPr>
          <w:i/>
          <w:lang w:val="en-US"/>
        </w:rPr>
        <w:t xml:space="preserve">ompleting a VET </w:t>
      </w:r>
      <w:r w:rsidR="004341DF">
        <w:rPr>
          <w:i/>
          <w:lang w:val="en-US"/>
        </w:rPr>
        <w:t>Q</w:t>
      </w:r>
      <w:r w:rsidR="00B71880" w:rsidRPr="000859B4">
        <w:rPr>
          <w:i/>
          <w:lang w:val="en-US"/>
        </w:rPr>
        <w:t>ualification</w:t>
      </w:r>
      <w:r w:rsidR="004341DF">
        <w:rPr>
          <w:i/>
          <w:lang w:val="en-US"/>
        </w:rPr>
        <w:t xml:space="preserve"> </w:t>
      </w:r>
      <w:r w:rsidR="00B71880" w:rsidRPr="000859B4">
        <w:rPr>
          <w:i/>
          <w:lang w:val="en-US"/>
        </w:rPr>
        <w:t>2009</w:t>
      </w:r>
      <w:r w:rsidR="004341DF">
        <w:rPr>
          <w:i/>
          <w:lang w:val="en-US"/>
        </w:rPr>
        <w:t>–</w:t>
      </w:r>
      <w:r w:rsidR="00BB1AF6" w:rsidRPr="000859B4">
        <w:rPr>
          <w:i/>
          <w:lang w:val="en-US"/>
        </w:rPr>
        <w:t>2012</w:t>
      </w:r>
      <w:r w:rsidR="00BB1AF6">
        <w:rPr>
          <w:lang w:val="en-US"/>
        </w:rPr>
        <w:t>. Department of Industry, Australian Government</w:t>
      </w:r>
    </w:p>
    <w:p w14:paraId="32E48682" w14:textId="333B2D4D" w:rsidR="009118BD" w:rsidRPr="00B8694B" w:rsidRDefault="00546F37" w:rsidP="009118BD">
      <w:pPr>
        <w:spacing w:before="120"/>
        <w:rPr>
          <w:rFonts w:cs="Arial"/>
          <w:lang w:eastAsia="zh-CN"/>
        </w:rPr>
      </w:pPr>
      <w:r w:rsidRPr="00546F37">
        <w:rPr>
          <w:rFonts w:cs="Arial"/>
          <w:lang w:eastAsia="zh-CN"/>
        </w:rPr>
        <w:t xml:space="preserve">OECD. (2014). </w:t>
      </w:r>
      <w:r w:rsidRPr="00546F37">
        <w:rPr>
          <w:rFonts w:cs="Arial"/>
          <w:i/>
          <w:lang w:eastAsia="zh-CN"/>
        </w:rPr>
        <w:t>Recruiting Immigrant Workers: New Zealand 2014</w:t>
      </w:r>
      <w:r w:rsidRPr="00546F37">
        <w:rPr>
          <w:rFonts w:cs="Arial"/>
          <w:lang w:eastAsia="zh-CN"/>
        </w:rPr>
        <w:t xml:space="preserve">. OECD Publishing, Paris. </w:t>
      </w:r>
      <w:hyperlink r:id="rId168" w:history="1">
        <w:r w:rsidRPr="00546F37">
          <w:rPr>
            <w:rFonts w:cs="Arial"/>
            <w:lang w:eastAsia="zh-CN"/>
          </w:rPr>
          <w:t>http://dx.doi.org/10.1787/9789264215658-en</w:t>
        </w:r>
      </w:hyperlink>
      <w:r w:rsidRPr="00546F37">
        <w:rPr>
          <w:rFonts w:cs="Arial"/>
          <w:lang w:eastAsia="zh-CN"/>
        </w:rPr>
        <w:t xml:space="preserve"> </w:t>
      </w:r>
    </w:p>
    <w:p w14:paraId="040903BE" w14:textId="67A3D6EB" w:rsidR="009118BD" w:rsidRPr="0000642F" w:rsidRDefault="00546F37" w:rsidP="009E2607">
      <w:pPr>
        <w:rPr>
          <w:rFonts w:cs="Arial"/>
          <w:lang w:val="en-US" w:eastAsia="sv-SE"/>
        </w:rPr>
      </w:pPr>
      <w:r w:rsidRPr="00546F37">
        <w:rPr>
          <w:rFonts w:cs="Arial"/>
          <w:lang w:val="sv-SE" w:eastAsia="sv-SE"/>
        </w:rPr>
        <w:t>Pacific Islands Forum, Forum Communiqué 25–27 October 2005</w:t>
      </w:r>
      <w:r w:rsidR="009118BD" w:rsidRPr="0000642F">
        <w:rPr>
          <w:rFonts w:cs="Arial"/>
          <w:lang w:val="sv-SE" w:eastAsia="sv-SE"/>
        </w:rPr>
        <w:t xml:space="preserve">, </w:t>
      </w:r>
      <w:r w:rsidR="009C07CF" w:rsidRPr="0000642F">
        <w:rPr>
          <w:rFonts w:cs="Arial"/>
          <w:lang w:val="sv-SE" w:eastAsia="sv-SE"/>
        </w:rPr>
        <w:t>36</w:t>
      </w:r>
      <w:r w:rsidR="00FA584E">
        <w:rPr>
          <w:rFonts w:cs="Arial"/>
          <w:lang w:val="sv-SE" w:eastAsia="sv-SE"/>
        </w:rPr>
        <w:t xml:space="preserve">th </w:t>
      </w:r>
      <w:r w:rsidR="009118BD" w:rsidRPr="0000642F">
        <w:rPr>
          <w:rFonts w:cs="Arial"/>
          <w:lang w:val="sv-SE" w:eastAsia="sv-SE"/>
        </w:rPr>
        <w:t>Pacific Islands Forum, PIFS(05)12</w:t>
      </w:r>
    </w:p>
    <w:p w14:paraId="78CC81F3" w14:textId="05B7E7D3" w:rsidR="004B1DE7" w:rsidRPr="000859B4" w:rsidRDefault="004B1DE7" w:rsidP="00C7146D">
      <w:pPr>
        <w:rPr>
          <w:rFonts w:cs="Arial"/>
          <w:lang w:val="sv-SE" w:eastAsia="sv-SE"/>
        </w:rPr>
      </w:pPr>
      <w:r>
        <w:rPr>
          <w:rFonts w:cs="Arial"/>
          <w:lang w:val="sv-SE" w:eastAsia="sv-SE"/>
        </w:rPr>
        <w:t xml:space="preserve">Pacific Islands Forum Secretariat. (2012) </w:t>
      </w:r>
      <w:r>
        <w:rPr>
          <w:rFonts w:cs="Arial"/>
          <w:i/>
          <w:lang w:val="sv-SE" w:eastAsia="sv-SE"/>
        </w:rPr>
        <w:t xml:space="preserve">A Regional Framework for Technical and Vocational Education and Training (TVET) Development in the Pacific Island Countries: 2012-2015. </w:t>
      </w:r>
      <w:r w:rsidRPr="00740B8B">
        <w:rPr>
          <w:rFonts w:cs="Arial"/>
          <w:lang w:val="sv-SE" w:eastAsia="sv-SE"/>
        </w:rPr>
        <w:t>Suva</w:t>
      </w:r>
      <w:r>
        <w:rPr>
          <w:rFonts w:cs="Arial"/>
          <w:lang w:val="sv-SE" w:eastAsia="sv-SE"/>
        </w:rPr>
        <w:t>: SPC</w:t>
      </w:r>
      <w:r w:rsidRPr="00740B8B">
        <w:rPr>
          <w:rFonts w:cs="Arial"/>
          <w:lang w:val="sv-SE" w:eastAsia="sv-SE"/>
        </w:rPr>
        <w:t>.</w:t>
      </w:r>
      <w:r>
        <w:rPr>
          <w:rFonts w:cs="Arial"/>
          <w:i/>
          <w:lang w:val="sv-SE" w:eastAsia="sv-SE"/>
        </w:rPr>
        <w:t xml:space="preserve"> </w:t>
      </w:r>
      <w:r>
        <w:rPr>
          <w:rFonts w:cs="Arial"/>
          <w:lang w:val="sv-SE" w:eastAsia="sv-SE"/>
        </w:rPr>
        <w:t>Retrieved from</w:t>
      </w:r>
      <w:r w:rsidR="00394F85">
        <w:rPr>
          <w:rFonts w:cs="Arial"/>
          <w:lang w:val="sv-SE" w:eastAsia="sv-SE"/>
        </w:rPr>
        <w:t>:</w:t>
      </w:r>
      <w:r>
        <w:rPr>
          <w:rFonts w:cs="Arial"/>
          <w:lang w:val="sv-SE" w:eastAsia="sv-SE"/>
        </w:rPr>
        <w:t xml:space="preserve"> h</w:t>
      </w:r>
      <w:r w:rsidRPr="000859B4">
        <w:rPr>
          <w:rFonts w:cs="Arial"/>
          <w:lang w:val="sv-SE" w:eastAsia="sv-SE"/>
        </w:rPr>
        <w:t>ttp://www.forumsec.org/resources/uploads/</w:t>
      </w:r>
      <w:r w:rsidR="00394F85">
        <w:rPr>
          <w:rFonts w:cs="Arial"/>
          <w:lang w:val="sv-SE" w:eastAsia="sv-SE"/>
        </w:rPr>
        <w:br/>
      </w:r>
      <w:r w:rsidRPr="000859B4">
        <w:rPr>
          <w:rFonts w:cs="Arial"/>
          <w:lang w:val="sv-SE" w:eastAsia="sv-SE"/>
        </w:rPr>
        <w:t>attachments/documents/2012FEdMM.08_Paper1.pdf</w:t>
      </w:r>
    </w:p>
    <w:p w14:paraId="633B7B43" w14:textId="29104B4B" w:rsidR="004B1DE7" w:rsidRDefault="004B1DE7" w:rsidP="00CD7E8A">
      <w:pPr>
        <w:rPr>
          <w:rFonts w:cs="Arial"/>
          <w:lang w:val="sv-SE" w:eastAsia="sv-SE"/>
        </w:rPr>
      </w:pPr>
      <w:r>
        <w:rPr>
          <w:rFonts w:cs="Arial"/>
          <w:lang w:val="sv-SE" w:eastAsia="sv-SE"/>
        </w:rPr>
        <w:t xml:space="preserve">Pacific Islands Forum Secretariat. (2009). </w:t>
      </w:r>
      <w:r>
        <w:rPr>
          <w:rFonts w:cs="Arial"/>
          <w:i/>
          <w:lang w:val="sv-SE" w:eastAsia="sv-SE"/>
        </w:rPr>
        <w:t xml:space="preserve">Pacific Education Development Framework (PEDF). </w:t>
      </w:r>
      <w:r>
        <w:rPr>
          <w:rFonts w:cs="Arial"/>
          <w:lang w:val="sv-SE" w:eastAsia="sv-SE"/>
        </w:rPr>
        <w:t>Suva: PIFS</w:t>
      </w:r>
      <w:r w:rsidR="008660CD">
        <w:rPr>
          <w:rFonts w:cs="Arial"/>
          <w:lang w:val="sv-SE" w:eastAsia="sv-SE"/>
        </w:rPr>
        <w:t>. Retrieved from</w:t>
      </w:r>
      <w:r w:rsidR="009237ED">
        <w:rPr>
          <w:rFonts w:cs="Arial"/>
          <w:lang w:val="sv-SE" w:eastAsia="sv-SE"/>
        </w:rPr>
        <w:t>:</w:t>
      </w:r>
      <w:r w:rsidR="008660CD">
        <w:rPr>
          <w:rFonts w:cs="Arial"/>
          <w:lang w:val="sv-SE" w:eastAsia="sv-SE"/>
        </w:rPr>
        <w:t xml:space="preserve"> </w:t>
      </w:r>
      <w:hyperlink r:id="rId169" w:history="1">
        <w:r w:rsidR="00FA584E" w:rsidRPr="00FA584E">
          <w:rPr>
            <w:rStyle w:val="Hyperlink"/>
            <w:rFonts w:cs="Arial"/>
            <w:color w:val="auto"/>
            <w:u w:val="none"/>
            <w:lang w:val="sv-SE" w:eastAsia="sv-SE"/>
          </w:rPr>
          <w:t>http://www.forumsec.org/resources/uploads/embeds/file/Pacific%20Education%20</w:t>
        </w:r>
      </w:hyperlink>
      <w:r w:rsidR="00FA584E" w:rsidRPr="00FA584E">
        <w:rPr>
          <w:rFonts w:cs="Arial"/>
          <w:lang w:val="sv-SE" w:eastAsia="sv-SE"/>
        </w:rPr>
        <w:br/>
      </w:r>
      <w:r w:rsidR="008660CD" w:rsidRPr="008660CD">
        <w:rPr>
          <w:rFonts w:cs="Arial"/>
          <w:lang w:val="sv-SE" w:eastAsia="sv-SE"/>
        </w:rPr>
        <w:t>Development%20Framework%202009-2015(1).pdf</w:t>
      </w:r>
    </w:p>
    <w:p w14:paraId="27543B3D" w14:textId="77777777" w:rsidR="009118BD" w:rsidRPr="00B8694B" w:rsidRDefault="00546F37" w:rsidP="009118BD">
      <w:pPr>
        <w:rPr>
          <w:rFonts w:cs="Arial"/>
          <w:lang w:eastAsia="zh-CN"/>
        </w:rPr>
      </w:pPr>
      <w:r w:rsidRPr="00546F37">
        <w:rPr>
          <w:rFonts w:cs="Arial"/>
        </w:rPr>
        <w:t xml:space="preserve">Pacific Media Assistance Scheme. (2013). Regional state of media and communication report. Retrieved from </w:t>
      </w:r>
      <w:hyperlink r:id="rId170" w:history="1">
        <w:r w:rsidRPr="00546F37">
          <w:rPr>
            <w:rStyle w:val="Hyperlink"/>
            <w:color w:val="auto"/>
            <w:u w:val="none"/>
          </w:rPr>
          <w:t>http://www.pacmas.org/wp-content/uploads/2013/10/PACMAS-REGIONAL-REPORT_FINAL.pdf</w:t>
        </w:r>
      </w:hyperlink>
    </w:p>
    <w:p w14:paraId="657164C1" w14:textId="77777777" w:rsidR="009118BD" w:rsidRPr="0000642F" w:rsidRDefault="00546F37" w:rsidP="009118BD">
      <w:pPr>
        <w:spacing w:before="120"/>
        <w:rPr>
          <w:rFonts w:cs="Arial"/>
          <w:lang w:eastAsia="zh-CN"/>
        </w:rPr>
      </w:pPr>
      <w:r w:rsidRPr="00546F37">
        <w:rPr>
          <w:rFonts w:cs="Arial"/>
          <w:lang w:eastAsia="zh-CN"/>
        </w:rPr>
        <w:t>Phillips, J. (2013). Temporary skilled migration and the 457 visa, Flagpost</w:t>
      </w:r>
      <w:r w:rsidR="009118BD" w:rsidRPr="0000642F">
        <w:rPr>
          <w:rFonts w:cs="Arial"/>
          <w:lang w:eastAsia="zh-CN"/>
        </w:rPr>
        <w:t>, information and research from the parliamentary library, posted 13/03/2013</w:t>
      </w:r>
    </w:p>
    <w:p w14:paraId="4A3338E6" w14:textId="71254E97" w:rsidR="009118BD" w:rsidRPr="0000642F" w:rsidRDefault="009118BD" w:rsidP="009118BD">
      <w:pPr>
        <w:spacing w:before="120"/>
        <w:rPr>
          <w:rFonts w:cs="Arial"/>
          <w:lang w:eastAsia="zh-CN"/>
        </w:rPr>
      </w:pPr>
      <w:r w:rsidRPr="0000642F">
        <w:rPr>
          <w:rFonts w:cs="Arial"/>
          <w:lang w:eastAsia="zh-CN"/>
        </w:rPr>
        <w:t>Phillips, J; &amp; Spinks, H. (2012). Skilled migration: temporary and permanen</w:t>
      </w:r>
      <w:r w:rsidR="00546F37" w:rsidRPr="00546F37">
        <w:rPr>
          <w:rFonts w:cs="Arial"/>
          <w:lang w:eastAsia="zh-CN"/>
        </w:rPr>
        <w:t>t flows to Australia. Background Note,</w:t>
      </w:r>
      <w:r w:rsidRPr="0000642F">
        <w:rPr>
          <w:rFonts w:cs="Arial"/>
          <w:lang w:eastAsia="zh-CN"/>
        </w:rPr>
        <w:t xml:space="preserve"> Parliamentary Library, Social Policy Section, </w:t>
      </w:r>
      <w:r w:rsidR="00FA584E">
        <w:rPr>
          <w:rFonts w:cs="Arial"/>
          <w:lang w:eastAsia="zh-CN"/>
        </w:rPr>
        <w:br/>
      </w:r>
      <w:r w:rsidRPr="0000642F">
        <w:rPr>
          <w:rFonts w:cs="Arial"/>
          <w:lang w:eastAsia="zh-CN"/>
        </w:rPr>
        <w:t>Parliament of Australia, 6 Dec</w:t>
      </w:r>
      <w:r w:rsidR="00186288" w:rsidRPr="0000642F">
        <w:rPr>
          <w:rFonts w:cs="Arial"/>
          <w:lang w:eastAsia="zh-CN"/>
        </w:rPr>
        <w:t>ember</w:t>
      </w:r>
    </w:p>
    <w:p w14:paraId="2A1AA1E7" w14:textId="77777777" w:rsidR="009118BD" w:rsidRPr="0000642F" w:rsidRDefault="00546F37" w:rsidP="009118BD">
      <w:pPr>
        <w:spacing w:before="120"/>
        <w:rPr>
          <w:rFonts w:cs="Arial"/>
          <w:lang w:eastAsia="zh-CN"/>
        </w:rPr>
      </w:pPr>
      <w:r w:rsidRPr="00546F37">
        <w:rPr>
          <w:rFonts w:cs="Arial"/>
          <w:lang w:eastAsia="zh-CN"/>
        </w:rPr>
        <w:t>Powell, M. (2012). ‘Skills Development and Technical and Vocational Education’ Current Issues in Education, commissioned by the Education Thematic Group in AusAID through the Education Resource Facility, Canberra</w:t>
      </w:r>
    </w:p>
    <w:p w14:paraId="5AC1E64B" w14:textId="20AE34CA" w:rsidR="009118BD" w:rsidRPr="0000642F" w:rsidRDefault="00546F37" w:rsidP="009118BD">
      <w:pPr>
        <w:rPr>
          <w:rFonts w:eastAsia="Calibri" w:cs="Arial"/>
        </w:rPr>
      </w:pPr>
      <w:r w:rsidRPr="00546F37">
        <w:rPr>
          <w:rFonts w:eastAsia="Calibri" w:cs="Arial"/>
        </w:rPr>
        <w:t xml:space="preserve">Schofield, K., Tan, H., Bryant, C. &amp; Catchlove, J. (2009). APTC </w:t>
      </w:r>
      <w:r w:rsidR="00FA584E">
        <w:rPr>
          <w:rFonts w:eastAsia="Calibri" w:cs="Arial"/>
        </w:rPr>
        <w:t>M</w:t>
      </w:r>
      <w:r w:rsidRPr="00546F37">
        <w:rPr>
          <w:rFonts w:eastAsia="Calibri" w:cs="Arial"/>
        </w:rPr>
        <w:t>id-</w:t>
      </w:r>
      <w:r w:rsidR="00FA584E">
        <w:rPr>
          <w:rFonts w:eastAsia="Calibri" w:cs="Arial"/>
        </w:rPr>
        <w:t>Term R</w:t>
      </w:r>
      <w:r w:rsidRPr="00546F37">
        <w:rPr>
          <w:rFonts w:eastAsia="Calibri" w:cs="Arial"/>
        </w:rPr>
        <w:t xml:space="preserve">eview – </w:t>
      </w:r>
      <w:r w:rsidR="00FA584E">
        <w:rPr>
          <w:rFonts w:eastAsia="Calibri" w:cs="Arial"/>
        </w:rPr>
        <w:br/>
      </w:r>
      <w:r w:rsidRPr="00546F37">
        <w:rPr>
          <w:rFonts w:eastAsia="Calibri" w:cs="Arial"/>
        </w:rPr>
        <w:t>final report. Prepared for AusAID, Australian High Commission, Suva, Fiji</w:t>
      </w:r>
    </w:p>
    <w:p w14:paraId="5BACC11B" w14:textId="0E882399" w:rsidR="009118BD" w:rsidRPr="0000642F" w:rsidRDefault="00546F37" w:rsidP="009118BD">
      <w:pPr>
        <w:rPr>
          <w:rFonts w:eastAsia="Calibri" w:cs="Arial"/>
        </w:rPr>
      </w:pPr>
      <w:r w:rsidRPr="00546F37">
        <w:rPr>
          <w:rFonts w:cs="Arial"/>
        </w:rPr>
        <w:t xml:space="preserve">Swanton, T., &amp; Ong, A. (2013). </w:t>
      </w:r>
      <w:r w:rsidRPr="004D0563">
        <w:rPr>
          <w:rFonts w:cs="Arial"/>
          <w:i/>
        </w:rPr>
        <w:t xml:space="preserve">APTC </w:t>
      </w:r>
      <w:r w:rsidR="004D0563" w:rsidRPr="004D0563">
        <w:rPr>
          <w:rFonts w:cs="Arial"/>
          <w:i/>
        </w:rPr>
        <w:t>G</w:t>
      </w:r>
      <w:r w:rsidRPr="004D0563">
        <w:rPr>
          <w:rFonts w:cs="Arial"/>
          <w:i/>
        </w:rPr>
        <w:t xml:space="preserve">raduates </w:t>
      </w:r>
      <w:r w:rsidR="004D0563" w:rsidRPr="004D0563">
        <w:rPr>
          <w:rFonts w:cs="Arial"/>
          <w:i/>
        </w:rPr>
        <w:t>D</w:t>
      </w:r>
      <w:r w:rsidRPr="004D0563">
        <w:rPr>
          <w:rFonts w:cs="Arial"/>
          <w:i/>
        </w:rPr>
        <w:t xml:space="preserve">own the </w:t>
      </w:r>
      <w:r w:rsidR="004D0563" w:rsidRPr="004D0563">
        <w:rPr>
          <w:rFonts w:cs="Arial"/>
          <w:i/>
        </w:rPr>
        <w:t>T</w:t>
      </w:r>
      <w:r w:rsidRPr="004D0563">
        <w:rPr>
          <w:rFonts w:cs="Arial"/>
          <w:i/>
        </w:rPr>
        <w:t>rack</w:t>
      </w:r>
      <w:r w:rsidRPr="00546F37">
        <w:rPr>
          <w:rFonts w:cs="Arial"/>
        </w:rPr>
        <w:t>. National Centre for Vocational Education Research Consultancy</w:t>
      </w:r>
      <w:r w:rsidR="004D0563">
        <w:rPr>
          <w:rFonts w:cs="Arial"/>
        </w:rPr>
        <w:t xml:space="preserve"> (NCVER),</w:t>
      </w:r>
      <w:r w:rsidRPr="00546F37">
        <w:rPr>
          <w:rFonts w:eastAsia="Calibri" w:cs="Arial"/>
        </w:rPr>
        <w:t xml:space="preserve"> University of the South Pacific. (2013) USP Strategic Plan 2013</w:t>
      </w:r>
      <w:r w:rsidR="004D0563">
        <w:rPr>
          <w:rFonts w:eastAsia="Calibri" w:cs="Arial"/>
        </w:rPr>
        <w:t>–20</w:t>
      </w:r>
      <w:r w:rsidRPr="00546F37">
        <w:rPr>
          <w:rFonts w:eastAsia="Calibri" w:cs="Arial"/>
        </w:rPr>
        <w:t>18. Suva, Fiji</w:t>
      </w:r>
    </w:p>
    <w:p w14:paraId="0D791E4D" w14:textId="77777777" w:rsidR="009118BD" w:rsidRPr="0000642F" w:rsidRDefault="00546F37" w:rsidP="009118BD">
      <w:pPr>
        <w:spacing w:before="120"/>
        <w:rPr>
          <w:rFonts w:cs="Arial"/>
          <w:lang w:eastAsia="zh-CN"/>
        </w:rPr>
      </w:pPr>
      <w:r w:rsidRPr="00546F37">
        <w:rPr>
          <w:rFonts w:cs="Arial"/>
          <w:lang w:eastAsia="zh-CN"/>
        </w:rPr>
        <w:t>Woods, J</w:t>
      </w:r>
      <w:r w:rsidR="00A8600A">
        <w:rPr>
          <w:rFonts w:cs="Arial"/>
          <w:lang w:eastAsia="zh-CN"/>
        </w:rPr>
        <w:t>.</w:t>
      </w:r>
      <w:r w:rsidRPr="00546F37">
        <w:rPr>
          <w:rFonts w:cs="Arial"/>
          <w:lang w:eastAsia="zh-CN"/>
        </w:rPr>
        <w:t xml:space="preserve"> &amp; O’Leary, C. (2006). Conceptual Framework for an Optimal Labour Market Information System: Final Report. Upjohn Institute Technical Report No. 07-022. Kalamazoo, MI: W. E. Upjohn Institute for Employment Research</w:t>
      </w:r>
    </w:p>
    <w:p w14:paraId="7A8C1C41" w14:textId="17CA6B2B" w:rsidR="009118BD" w:rsidRPr="0000642F" w:rsidRDefault="0068333A" w:rsidP="009118BD">
      <w:pPr>
        <w:spacing w:before="120"/>
        <w:rPr>
          <w:rFonts w:cs="Arial"/>
          <w:lang w:eastAsia="zh-CN"/>
        </w:rPr>
      </w:pPr>
      <w:hyperlink r:id="rId171" w:history="1">
        <w:r w:rsidR="00546F37" w:rsidRPr="00546F37">
          <w:rPr>
            <w:rFonts w:cs="Arial"/>
          </w:rPr>
          <w:t xml:space="preserve">World Bank. (2014). Online database of development indicators updated on </w:t>
        </w:r>
        <w:r w:rsidR="004D0563">
          <w:rPr>
            <w:rFonts w:cs="Arial"/>
          </w:rPr>
          <w:br/>
        </w:r>
        <w:r w:rsidR="00546F37" w:rsidRPr="00546F37">
          <w:rPr>
            <w:rFonts w:cs="Arial"/>
          </w:rPr>
          <w:t>1 July 2014. Retrieved from</w:t>
        </w:r>
        <w:r w:rsidR="003F539A">
          <w:rPr>
            <w:rFonts w:cs="Arial"/>
          </w:rPr>
          <w:t>:</w:t>
        </w:r>
        <w:r w:rsidR="00546F37" w:rsidRPr="00546F37">
          <w:rPr>
            <w:rFonts w:cs="Arial"/>
          </w:rPr>
          <w:t xml:space="preserve"> http://en.wikipedia.org/wiki/List_of_countries_by_GDP_(PPP)_per_capita. </w:t>
        </w:r>
      </w:hyperlink>
    </w:p>
    <w:p w14:paraId="6C24D0DD" w14:textId="77777777" w:rsidR="009118BD" w:rsidRDefault="009118BD" w:rsidP="009118BD"/>
    <w:p w14:paraId="5B6D93D0" w14:textId="77777777" w:rsidR="001C3482" w:rsidRPr="00140ED7" w:rsidRDefault="00546F37" w:rsidP="001C3482">
      <w:pPr>
        <w:pStyle w:val="FootnoteText"/>
        <w:spacing w:before="20" w:after="20"/>
        <w:rPr>
          <w:rFonts w:cs="Arial"/>
          <w:sz w:val="22"/>
          <w:szCs w:val="22"/>
          <w:lang w:val="en-GB" w:eastAsia="zh-CN"/>
        </w:rPr>
      </w:pPr>
      <w:r w:rsidRPr="00546F37">
        <w:rPr>
          <w:rFonts w:cs="Arial"/>
          <w:sz w:val="22"/>
          <w:szCs w:val="22"/>
          <w:lang w:val="en-GB" w:eastAsia="zh-CN"/>
        </w:rPr>
        <w:t>Note:</w:t>
      </w:r>
      <w:r w:rsidR="001C3482" w:rsidRPr="001C3482">
        <w:rPr>
          <w:rFonts w:cs="Arial"/>
          <w:sz w:val="22"/>
          <w:szCs w:val="22"/>
          <w:lang w:val="en-GB" w:eastAsia="zh-CN"/>
        </w:rPr>
        <w:t xml:space="preserve"> The Memoranda/Letters of Agreement with the five campus countries and three non-campus countries are also referenced in Annex 6, Attachment 2.</w:t>
      </w:r>
    </w:p>
    <w:p w14:paraId="15CC7133" w14:textId="77777777" w:rsidR="001C3482" w:rsidRPr="009118BD" w:rsidRDefault="001C3482" w:rsidP="009118BD"/>
    <w:sectPr w:rsidR="001C3482" w:rsidRPr="009118BD" w:rsidSect="00FF3EDE">
      <w:headerReference w:type="default" r:id="rId172"/>
      <w:type w:val="continuous"/>
      <w:pgSz w:w="11904" w:h="16834"/>
      <w:pgMar w:top="1440" w:right="1701" w:bottom="1440"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8A4F0" w14:textId="77777777" w:rsidR="00325FEF" w:rsidRDefault="00325FEF" w:rsidP="00620740">
      <w:r>
        <w:separator/>
      </w:r>
    </w:p>
  </w:endnote>
  <w:endnote w:type="continuationSeparator" w:id="0">
    <w:p w14:paraId="0E3185F7" w14:textId="77777777" w:rsidR="00325FEF" w:rsidRDefault="00325FEF" w:rsidP="00620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CFBE7" w14:textId="6CFA63C3" w:rsidR="00325FEF" w:rsidRPr="000B198F" w:rsidRDefault="00325FEF" w:rsidP="006C41DC">
    <w:pPr>
      <w:pStyle w:val="Footer"/>
      <w:pBdr>
        <w:top w:val="single" w:sz="8" w:space="1" w:color="9BBB59"/>
      </w:pBdr>
    </w:pPr>
    <w:r>
      <w:t xml:space="preserve">Page </w:t>
    </w:r>
    <w:r>
      <w:fldChar w:fldCharType="begin"/>
    </w:r>
    <w:r>
      <w:instrText xml:space="preserve"> PAGE   \* MERGEFORMAT </w:instrText>
    </w:r>
    <w:r>
      <w:fldChar w:fldCharType="separate"/>
    </w:r>
    <w:r w:rsidR="0068333A">
      <w:rPr>
        <w:noProof/>
      </w:rPr>
      <w:t>35</w:t>
    </w:r>
    <w:r>
      <w:rPr>
        <w:noProof/>
      </w:rPr>
      <w:fldChar w:fldCharType="end"/>
    </w:r>
    <w:r>
      <w:rPr>
        <w:noProof/>
      </w:rPr>
      <w:t xml:space="preserve"> of </w:t>
    </w:r>
    <w:r>
      <w:rPr>
        <w:rStyle w:val="PageNumber"/>
      </w:rPr>
      <w:fldChar w:fldCharType="begin"/>
    </w:r>
    <w:r>
      <w:rPr>
        <w:rStyle w:val="PageNumber"/>
      </w:rPr>
      <w:instrText xml:space="preserve"> NUMPAGES </w:instrText>
    </w:r>
    <w:r>
      <w:rPr>
        <w:rStyle w:val="PageNumber"/>
      </w:rPr>
      <w:fldChar w:fldCharType="separate"/>
    </w:r>
    <w:r w:rsidR="0068333A">
      <w:rPr>
        <w:rStyle w:val="PageNumber"/>
        <w:noProof/>
      </w:rPr>
      <w:t>35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BED87" w14:textId="77777777" w:rsidR="00325FEF" w:rsidRDefault="00325FEF" w:rsidP="00620740">
    <w:pPr>
      <w:pStyle w:val="Header"/>
      <w:pBdr>
        <w:bottom w:val="single" w:sz="36" w:space="1" w:color="78A200"/>
      </w:pBdr>
      <w:tabs>
        <w:tab w:val="left" w:pos="5239"/>
      </w:tabs>
    </w:pPr>
    <w:r>
      <w:tab/>
    </w:r>
    <w:r>
      <w:tab/>
    </w:r>
    <w:r>
      <w:tab/>
    </w:r>
  </w:p>
  <w:p w14:paraId="14C420EC" w14:textId="77777777" w:rsidR="00325FEF" w:rsidRDefault="00325FEF" w:rsidP="00620740">
    <w:pPr>
      <w:pStyle w:val="Foote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85237" w14:textId="77777777" w:rsidR="00325FEF" w:rsidRPr="003149F3" w:rsidRDefault="00325FEF" w:rsidP="000913FE">
    <w:pPr>
      <w:pStyle w:val="Footer"/>
      <w:pBdr>
        <w:top w:val="single" w:sz="8" w:space="1" w:color="9BBB59"/>
      </w:pBdr>
      <w:rPr>
        <w:b w:val="0"/>
        <w:szCs w:val="16"/>
      </w:rPr>
    </w:pPr>
    <w:r w:rsidRPr="003149F3">
      <w:rPr>
        <w:szCs w:val="16"/>
      </w:rPr>
      <w:t xml:space="preserve">Page </w:t>
    </w:r>
    <w:r w:rsidRPr="003149F3">
      <w:rPr>
        <w:szCs w:val="16"/>
      </w:rPr>
      <w:fldChar w:fldCharType="begin"/>
    </w:r>
    <w:r w:rsidRPr="003149F3">
      <w:rPr>
        <w:szCs w:val="16"/>
      </w:rPr>
      <w:instrText xml:space="preserve"> PAGE   \* MERGEFORMAT </w:instrText>
    </w:r>
    <w:r w:rsidRPr="003149F3">
      <w:rPr>
        <w:szCs w:val="16"/>
      </w:rPr>
      <w:fldChar w:fldCharType="separate"/>
    </w:r>
    <w:r w:rsidR="00EA0B4D">
      <w:rPr>
        <w:noProof/>
        <w:szCs w:val="16"/>
      </w:rPr>
      <w:t>242</w:t>
    </w:r>
    <w:r w:rsidRPr="003149F3">
      <w:rPr>
        <w:noProof/>
        <w:szCs w:val="16"/>
      </w:rPr>
      <w:fldChar w:fldCharType="end"/>
    </w:r>
    <w:r w:rsidRPr="003149F3">
      <w:rPr>
        <w:szCs w:val="16"/>
      </w:rPr>
      <w:t xml:space="preserve"> of </w:t>
    </w:r>
    <w:r w:rsidRPr="003149F3">
      <w:rPr>
        <w:rStyle w:val="PageNumber"/>
        <w:b w:val="0"/>
        <w:szCs w:val="16"/>
      </w:rPr>
      <w:fldChar w:fldCharType="begin"/>
    </w:r>
    <w:r w:rsidRPr="003149F3">
      <w:rPr>
        <w:rStyle w:val="PageNumber"/>
        <w:szCs w:val="16"/>
      </w:rPr>
      <w:instrText xml:space="preserve"> NUMPAGES </w:instrText>
    </w:r>
    <w:r w:rsidRPr="003149F3">
      <w:rPr>
        <w:rStyle w:val="PageNumber"/>
        <w:b w:val="0"/>
        <w:szCs w:val="16"/>
      </w:rPr>
      <w:fldChar w:fldCharType="separate"/>
    </w:r>
    <w:r w:rsidR="00EA0B4D">
      <w:rPr>
        <w:rStyle w:val="PageNumber"/>
        <w:noProof/>
        <w:szCs w:val="16"/>
      </w:rPr>
      <w:t>242</w:t>
    </w:r>
    <w:r w:rsidRPr="003149F3">
      <w:rPr>
        <w:rStyle w:val="PageNumber"/>
        <w:b w:val="0"/>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8D341" w14:textId="77777777" w:rsidR="00325FEF" w:rsidRDefault="00325FEF" w:rsidP="00620740">
    <w:pPr>
      <w:pStyle w:val="Header"/>
      <w:pBdr>
        <w:bottom w:val="single" w:sz="8" w:space="1" w:color="78A200"/>
      </w:pBdr>
      <w:tabs>
        <w:tab w:val="left" w:pos="5239"/>
      </w:tabs>
    </w:pPr>
    <w:r>
      <w:tab/>
    </w:r>
    <w:r>
      <w:tab/>
    </w:r>
    <w:r>
      <w:tab/>
    </w:r>
  </w:p>
  <w:p w14:paraId="5EED0488" w14:textId="77777777" w:rsidR="00325FEF" w:rsidRDefault="00325FEF" w:rsidP="00620740">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41298" w14:textId="77777777" w:rsidR="00325FEF" w:rsidRDefault="00325FEF" w:rsidP="00620740">
      <w:r>
        <w:separator/>
      </w:r>
    </w:p>
  </w:footnote>
  <w:footnote w:type="continuationSeparator" w:id="0">
    <w:p w14:paraId="3BB20C7C" w14:textId="77777777" w:rsidR="00325FEF" w:rsidRDefault="00325FEF" w:rsidP="00620740">
      <w:r>
        <w:continuationSeparator/>
      </w:r>
    </w:p>
  </w:footnote>
  <w:footnote w:id="1">
    <w:p w14:paraId="7F7FB356" w14:textId="37F1994A" w:rsidR="00325FEF" w:rsidRPr="000859B4" w:rsidRDefault="00325FEF" w:rsidP="001F3BF7">
      <w:pPr>
        <w:spacing w:after="40"/>
        <w:rPr>
          <w:rFonts w:cs="Arial"/>
          <w:sz w:val="16"/>
          <w:szCs w:val="20"/>
        </w:rPr>
      </w:pPr>
      <w:r w:rsidRPr="00725A30">
        <w:rPr>
          <w:rStyle w:val="FootnoteReference"/>
          <w:rFonts w:cs="Arial"/>
          <w:sz w:val="20"/>
          <w:szCs w:val="20"/>
          <w:lang w:val="en-AU"/>
        </w:rPr>
        <w:footnoteRef/>
      </w:r>
      <w:r w:rsidRPr="00725A30">
        <w:rPr>
          <w:rFonts w:cs="Arial"/>
          <w:sz w:val="20"/>
          <w:szCs w:val="20"/>
        </w:rPr>
        <w:t xml:space="preserve"> </w:t>
      </w:r>
      <w:r w:rsidRPr="000859B4">
        <w:rPr>
          <w:rFonts w:cs="Arial"/>
          <w:sz w:val="16"/>
          <w:szCs w:val="20"/>
        </w:rPr>
        <w:t>APTC is acknowledged in the Kiribati Development Plan 2012–2015. Specifically, the Kiribati Development Plan 2012 states on p</w:t>
      </w:r>
      <w:r>
        <w:rPr>
          <w:rFonts w:cs="Arial"/>
          <w:sz w:val="16"/>
          <w:szCs w:val="20"/>
        </w:rPr>
        <w:t>.</w:t>
      </w:r>
      <w:r w:rsidRPr="000859B4">
        <w:rPr>
          <w:rFonts w:cs="Arial"/>
          <w:sz w:val="16"/>
          <w:szCs w:val="20"/>
        </w:rPr>
        <w:t xml:space="preserve"> 22: ‘Plans are under way to raise the quality of standards at the KIT by twinning with the Australia</w:t>
      </w:r>
      <w:r>
        <w:rPr>
          <w:rFonts w:cs="Arial"/>
          <w:sz w:val="16"/>
          <w:szCs w:val="20"/>
        </w:rPr>
        <w:t>–</w:t>
      </w:r>
      <w:r w:rsidRPr="000859B4">
        <w:rPr>
          <w:rFonts w:cs="Arial"/>
          <w:sz w:val="16"/>
          <w:szCs w:val="20"/>
        </w:rPr>
        <w:t>Pacific Technical College’.</w:t>
      </w:r>
    </w:p>
  </w:footnote>
  <w:footnote w:id="2">
    <w:p w14:paraId="610FF070" w14:textId="7AA04159" w:rsidR="00325FEF" w:rsidRPr="000859B4" w:rsidRDefault="00325FEF" w:rsidP="001F3BF7">
      <w:pPr>
        <w:pStyle w:val="FootnoteText"/>
        <w:rPr>
          <w:rFonts w:cs="Arial"/>
          <w:sz w:val="20"/>
          <w:lang w:val="en-AU"/>
        </w:rPr>
      </w:pPr>
      <w:r w:rsidRPr="000859B4">
        <w:rPr>
          <w:rStyle w:val="FootnoteReference"/>
          <w:rFonts w:cs="Arial"/>
          <w:sz w:val="20"/>
          <w:szCs w:val="20"/>
          <w:lang w:val="en-AU"/>
        </w:rPr>
        <w:footnoteRef/>
      </w:r>
      <w:r w:rsidRPr="000859B4">
        <w:rPr>
          <w:rFonts w:cs="Arial"/>
          <w:sz w:val="20"/>
          <w:lang w:val="en-AU"/>
        </w:rPr>
        <w:t xml:space="preserve"> </w:t>
      </w:r>
      <w:r w:rsidRPr="000859B4">
        <w:rPr>
          <w:rFonts w:cs="Arial"/>
          <w:lang w:val="en-AU"/>
        </w:rPr>
        <w:t>In Samoa’s Strategy for the Development of Samoa 2012–2016, in commenting on tourism development, the publication cites: ‘A sector workforce plan is in its initial implementation stage but has ensured that the linkages across the sector and with the training institutions including the Australia</w:t>
      </w:r>
      <w:r>
        <w:rPr>
          <w:rFonts w:cs="Arial"/>
          <w:lang w:val="en-AU"/>
        </w:rPr>
        <w:t>–</w:t>
      </w:r>
      <w:r w:rsidRPr="000859B4">
        <w:rPr>
          <w:rFonts w:cs="Arial"/>
          <w:lang w:val="en-AU"/>
        </w:rPr>
        <w:t>Pacific Technical College (APTC)…’</w:t>
      </w:r>
    </w:p>
  </w:footnote>
  <w:footnote w:id="3">
    <w:p w14:paraId="3B87DED1" w14:textId="38F4DB45" w:rsidR="00325FEF" w:rsidRPr="000859B4" w:rsidRDefault="00325FEF" w:rsidP="00C571B5">
      <w:pPr>
        <w:pStyle w:val="FootnoteText"/>
        <w:rPr>
          <w:rFonts w:cs="Arial"/>
          <w:szCs w:val="16"/>
          <w:lang w:val="en-AU"/>
        </w:rPr>
      </w:pPr>
      <w:r w:rsidRPr="000859B4">
        <w:rPr>
          <w:rStyle w:val="FootnoteReference"/>
          <w:rFonts w:cs="Arial"/>
          <w:sz w:val="20"/>
          <w:szCs w:val="20"/>
          <w:lang w:val="en-AU"/>
        </w:rPr>
        <w:footnoteRef/>
      </w:r>
      <w:r w:rsidRPr="000859B4">
        <w:rPr>
          <w:rFonts w:cs="Arial"/>
          <w:sz w:val="20"/>
          <w:lang w:val="en-AU"/>
        </w:rPr>
        <w:t xml:space="preserve"> </w:t>
      </w:r>
      <w:r w:rsidRPr="000859B4">
        <w:rPr>
          <w:rFonts w:cs="Arial"/>
          <w:szCs w:val="16"/>
          <w:lang w:val="en-AU"/>
        </w:rPr>
        <w:t>Clemens, M.A; Graham C. &amp; Howes, S. (2014). Skill development and regional mobility: Lessons from the Australia–Pacific Technical College</w:t>
      </w:r>
    </w:p>
  </w:footnote>
  <w:footnote w:id="4">
    <w:p w14:paraId="667BC181" w14:textId="77777777" w:rsidR="00325FEF" w:rsidRPr="000859B4" w:rsidRDefault="00325FEF" w:rsidP="00C571B5">
      <w:pPr>
        <w:pStyle w:val="FootnoteText"/>
        <w:rPr>
          <w:rFonts w:cs="Arial"/>
          <w:sz w:val="20"/>
          <w:lang w:val="en-AU"/>
        </w:rPr>
      </w:pPr>
      <w:r w:rsidRPr="000859B4">
        <w:rPr>
          <w:rStyle w:val="FootnoteReference"/>
          <w:rFonts w:cs="Arial"/>
          <w:sz w:val="20"/>
          <w:szCs w:val="20"/>
          <w:lang w:val="en-AU"/>
        </w:rPr>
        <w:footnoteRef/>
      </w:r>
      <w:r w:rsidRPr="000859B4">
        <w:rPr>
          <w:rFonts w:cs="Arial"/>
          <w:sz w:val="20"/>
          <w:lang w:val="en-AU"/>
        </w:rPr>
        <w:t xml:space="preserve"> </w:t>
      </w:r>
      <w:r w:rsidRPr="000859B4">
        <w:rPr>
          <w:rFonts w:cs="Arial"/>
          <w:lang w:val="en-AU"/>
        </w:rPr>
        <w:t xml:space="preserve">APTC Future Options concept paper </w:t>
      </w:r>
    </w:p>
  </w:footnote>
  <w:footnote w:id="5">
    <w:p w14:paraId="34BB59F1" w14:textId="77777777" w:rsidR="00325FEF" w:rsidRPr="000859B4" w:rsidRDefault="00325FEF" w:rsidP="00253003">
      <w:pPr>
        <w:pStyle w:val="FootnoteText"/>
        <w:spacing w:after="0"/>
        <w:rPr>
          <w:rFonts w:cs="Arial"/>
          <w:lang w:val="en-AU"/>
        </w:rPr>
      </w:pPr>
      <w:r w:rsidRPr="000859B4">
        <w:rPr>
          <w:rStyle w:val="FootnoteReference"/>
          <w:rFonts w:cs="Arial"/>
          <w:sz w:val="20"/>
          <w:szCs w:val="20"/>
          <w:lang w:val="en-AU"/>
        </w:rPr>
        <w:footnoteRef/>
      </w:r>
      <w:r w:rsidRPr="000859B4">
        <w:rPr>
          <w:rFonts w:cs="Arial"/>
          <w:sz w:val="20"/>
          <w:lang w:val="en-AU"/>
        </w:rPr>
        <w:t xml:space="preserve"> </w:t>
      </w:r>
      <w:r w:rsidRPr="000859B4">
        <w:rPr>
          <w:rFonts w:cs="Arial"/>
          <w:lang w:val="en-AU"/>
        </w:rPr>
        <w:t>Adapted from DFAT (2013) DFAT</w:t>
      </w:r>
      <w:r w:rsidRPr="000859B4">
        <w:rPr>
          <w:rFonts w:cs="Arial"/>
          <w:i/>
          <w:lang w:val="en-AU"/>
        </w:rPr>
        <w:t xml:space="preserve"> Monitoring and Evaluation Standards</w:t>
      </w:r>
      <w:r w:rsidRPr="000859B4">
        <w:rPr>
          <w:rFonts w:cs="Arial"/>
          <w:lang w:val="en-AU"/>
        </w:rPr>
        <w:t xml:space="preserve"> –  DFAT, Canberra, Australia</w:t>
      </w:r>
    </w:p>
  </w:footnote>
  <w:footnote w:id="6">
    <w:p w14:paraId="1276317E" w14:textId="77777777" w:rsidR="00325FEF" w:rsidRPr="000859B4" w:rsidRDefault="00325FEF" w:rsidP="00253003">
      <w:pPr>
        <w:pStyle w:val="FootnoteText"/>
        <w:spacing w:after="0"/>
        <w:rPr>
          <w:rFonts w:cs="Arial"/>
          <w:lang w:val="en-AU"/>
        </w:rPr>
      </w:pPr>
      <w:r w:rsidRPr="000859B4">
        <w:rPr>
          <w:rStyle w:val="FootnoteReference"/>
          <w:rFonts w:cs="Arial"/>
          <w:sz w:val="20"/>
          <w:szCs w:val="20"/>
          <w:lang w:val="en-AU"/>
        </w:rPr>
        <w:footnoteRef/>
      </w:r>
      <w:r w:rsidRPr="000859B4">
        <w:rPr>
          <w:rFonts w:cs="Arial"/>
          <w:sz w:val="20"/>
          <w:lang w:val="en-AU"/>
        </w:rPr>
        <w:t xml:space="preserve"> </w:t>
      </w:r>
      <w:r w:rsidRPr="000859B4">
        <w:rPr>
          <w:rFonts w:cs="Arial"/>
          <w:lang w:val="en-AU"/>
        </w:rPr>
        <w:t xml:space="preserve">Adapted from DFAT (2013) </w:t>
      </w:r>
      <w:r w:rsidRPr="000859B4">
        <w:rPr>
          <w:rFonts w:cs="Arial"/>
          <w:i/>
          <w:lang w:val="en-AU"/>
        </w:rPr>
        <w:t>Monitoring and Evaluation Standards</w:t>
      </w:r>
      <w:r w:rsidRPr="000859B4">
        <w:rPr>
          <w:rFonts w:cs="Arial"/>
          <w:lang w:val="en-AU"/>
        </w:rPr>
        <w:t xml:space="preserve"> – DFAT, Canberra, Australia</w:t>
      </w:r>
    </w:p>
  </w:footnote>
  <w:footnote w:id="7">
    <w:p w14:paraId="5B55786D" w14:textId="7391C88D" w:rsidR="00325FEF" w:rsidRPr="000859B4" w:rsidRDefault="00325FEF" w:rsidP="00632608">
      <w:pPr>
        <w:pStyle w:val="FootnoteText"/>
        <w:rPr>
          <w:rFonts w:cs="Arial"/>
          <w:sz w:val="20"/>
          <w:lang w:val="en-AU"/>
        </w:rPr>
      </w:pPr>
      <w:r w:rsidRPr="000859B4">
        <w:rPr>
          <w:rStyle w:val="FootnoteReference"/>
          <w:rFonts w:cs="Arial"/>
          <w:sz w:val="20"/>
          <w:szCs w:val="20"/>
          <w:lang w:val="en-AU"/>
        </w:rPr>
        <w:footnoteRef/>
      </w:r>
      <w:r w:rsidRPr="000859B4">
        <w:rPr>
          <w:rFonts w:cs="Arial"/>
          <w:sz w:val="20"/>
          <w:lang w:val="en-AU"/>
        </w:rPr>
        <w:t xml:space="preserve"> </w:t>
      </w:r>
      <w:r w:rsidRPr="000859B4">
        <w:rPr>
          <w:rFonts w:cs="Arial"/>
          <w:lang w:val="en-AU"/>
        </w:rPr>
        <w:t>Source: ERF, Evaluation Plan: Independent Evaluation of the Australia–Pacific Technical College, 2 June 2014</w:t>
      </w:r>
    </w:p>
  </w:footnote>
  <w:footnote w:id="8">
    <w:p w14:paraId="78F9DCA3" w14:textId="59D56ADA" w:rsidR="00325FEF" w:rsidRPr="00725A30" w:rsidRDefault="00325FEF" w:rsidP="00632608">
      <w:pPr>
        <w:pStyle w:val="FootnoteText"/>
        <w:rPr>
          <w:rFonts w:cs="Arial"/>
          <w:sz w:val="20"/>
          <w:lang w:val="en-AU"/>
        </w:rPr>
      </w:pPr>
      <w:r w:rsidRPr="00725A30">
        <w:rPr>
          <w:rStyle w:val="FootnoteReference"/>
          <w:rFonts w:cs="Arial"/>
          <w:sz w:val="20"/>
          <w:szCs w:val="20"/>
          <w:lang w:val="en-AU"/>
        </w:rPr>
        <w:footnoteRef/>
      </w:r>
      <w:r w:rsidRPr="00725A30">
        <w:rPr>
          <w:rFonts w:cs="Arial"/>
          <w:sz w:val="20"/>
          <w:lang w:val="en-AU"/>
        </w:rPr>
        <w:t xml:space="preserve"> </w:t>
      </w:r>
      <w:r w:rsidRPr="00725A30">
        <w:rPr>
          <w:rFonts w:cs="Arial"/>
          <w:lang w:val="en-AU"/>
        </w:rPr>
        <w:t xml:space="preserve">APTC Objective 1: </w:t>
      </w:r>
      <w:r>
        <w:rPr>
          <w:rFonts w:cs="Arial"/>
          <w:lang w:val="en-AU"/>
        </w:rPr>
        <w:t>S</w:t>
      </w:r>
      <w:r w:rsidRPr="00725A30">
        <w:rPr>
          <w:rFonts w:cs="Arial"/>
          <w:lang w:val="en-AU"/>
        </w:rPr>
        <w:t>upport skills development in the Pacific in response to national, regional and international labour market requirements</w:t>
      </w:r>
    </w:p>
  </w:footnote>
  <w:footnote w:id="9">
    <w:p w14:paraId="249260C3" w14:textId="4870E836" w:rsidR="00325FEF" w:rsidRPr="00725A30" w:rsidRDefault="00325FEF" w:rsidP="00E83BC1">
      <w:pPr>
        <w:pStyle w:val="FootnoteText"/>
        <w:rPr>
          <w:rFonts w:cs="Arial"/>
          <w:lang w:val="en-AU"/>
        </w:rPr>
      </w:pPr>
      <w:r w:rsidRPr="00725A30">
        <w:rPr>
          <w:rStyle w:val="FootnoteReference"/>
          <w:rFonts w:cs="Arial"/>
          <w:sz w:val="20"/>
          <w:szCs w:val="20"/>
          <w:lang w:val="en-AU"/>
        </w:rPr>
        <w:footnoteRef/>
      </w:r>
      <w:r w:rsidRPr="00725A30">
        <w:rPr>
          <w:rFonts w:cs="Arial"/>
          <w:sz w:val="20"/>
          <w:lang w:val="en-AU"/>
        </w:rPr>
        <w:t xml:space="preserve"> </w:t>
      </w:r>
      <w:r w:rsidRPr="00725A30">
        <w:rPr>
          <w:rFonts w:cs="Arial"/>
          <w:lang w:val="en-AU"/>
        </w:rPr>
        <w:t xml:space="preserve">APTC Objective 2: </w:t>
      </w:r>
      <w:r>
        <w:rPr>
          <w:rFonts w:cs="Arial"/>
          <w:lang w:val="en-AU"/>
        </w:rPr>
        <w:t>P</w:t>
      </w:r>
      <w:r w:rsidRPr="00725A30">
        <w:rPr>
          <w:rFonts w:cs="Arial"/>
          <w:lang w:val="en-AU"/>
        </w:rPr>
        <w:t>rovide quality, demand-driven training that will present opportunities for Pacific Islanders to access international labour markets</w:t>
      </w:r>
    </w:p>
  </w:footnote>
  <w:footnote w:id="10">
    <w:p w14:paraId="1E96E2F2" w14:textId="7504E074" w:rsidR="00325FEF" w:rsidRPr="000859B4" w:rsidRDefault="00325FEF" w:rsidP="00E83BC1">
      <w:pPr>
        <w:pStyle w:val="FootnoteText"/>
        <w:rPr>
          <w:rFonts w:cs="Arial"/>
          <w:sz w:val="20"/>
          <w:lang w:val="en-AU"/>
        </w:rPr>
      </w:pPr>
      <w:r w:rsidRPr="000859B4">
        <w:rPr>
          <w:rStyle w:val="FootnoteReference"/>
          <w:rFonts w:cs="Arial"/>
          <w:sz w:val="20"/>
          <w:szCs w:val="20"/>
          <w:lang w:val="en-AU"/>
        </w:rPr>
        <w:footnoteRef/>
      </w:r>
      <w:r w:rsidRPr="000859B4">
        <w:rPr>
          <w:rFonts w:cs="Arial"/>
          <w:sz w:val="20"/>
          <w:lang w:val="en-AU"/>
        </w:rPr>
        <w:t xml:space="preserve"> ’</w:t>
      </w:r>
      <w:r w:rsidRPr="000859B4">
        <w:rPr>
          <w:rFonts w:cs="Arial"/>
          <w:lang w:val="en-AU"/>
        </w:rPr>
        <w:t>There is a clear strategic role for the APTC in supporting Pacific regionalism and regional market integration, including trade in services (labour mobility) both through regional service delivery and through skills development.’ Stage II Design, p.</w:t>
      </w:r>
      <w:r>
        <w:rPr>
          <w:rFonts w:cs="Arial"/>
          <w:lang w:val="en-AU"/>
        </w:rPr>
        <w:t xml:space="preserve"> </w:t>
      </w:r>
      <w:r w:rsidRPr="000859B4">
        <w:rPr>
          <w:rFonts w:cs="Arial"/>
          <w:lang w:val="en-AU"/>
        </w:rPr>
        <w:t>i. See also MTR Rec. 15c.</w:t>
      </w:r>
    </w:p>
  </w:footnote>
  <w:footnote w:id="11">
    <w:p w14:paraId="1D8D2A0B" w14:textId="0323E607" w:rsidR="00325FEF" w:rsidRPr="000859B4" w:rsidRDefault="00325FEF" w:rsidP="00C90197">
      <w:pPr>
        <w:pStyle w:val="FootnoteText"/>
        <w:rPr>
          <w:rFonts w:cs="Arial"/>
          <w:sz w:val="20"/>
          <w:lang w:val="en-AU"/>
        </w:rPr>
      </w:pPr>
      <w:r w:rsidRPr="000859B4">
        <w:rPr>
          <w:rStyle w:val="FootnoteReference"/>
          <w:rFonts w:cs="Arial"/>
          <w:sz w:val="20"/>
          <w:szCs w:val="20"/>
          <w:lang w:val="en-AU"/>
        </w:rPr>
        <w:footnoteRef/>
      </w:r>
      <w:r w:rsidRPr="000859B4">
        <w:rPr>
          <w:rFonts w:cs="Arial"/>
          <w:sz w:val="20"/>
          <w:lang w:val="en-AU"/>
        </w:rPr>
        <w:t xml:space="preserve"> </w:t>
      </w:r>
      <w:r w:rsidRPr="000859B4">
        <w:rPr>
          <w:rFonts w:cs="Arial"/>
          <w:lang w:val="en-AU"/>
        </w:rPr>
        <w:t xml:space="preserve">APTC Objective 3: </w:t>
      </w:r>
      <w:r>
        <w:rPr>
          <w:rFonts w:cs="Arial"/>
          <w:lang w:val="en-AU"/>
        </w:rPr>
        <w:t>I</w:t>
      </w:r>
      <w:r w:rsidRPr="000859B4">
        <w:rPr>
          <w:rFonts w:cs="Arial"/>
          <w:lang w:val="en-AU"/>
        </w:rPr>
        <w:t>ncrease productivity of individuals and organisations in the targeted industries and sectors</w:t>
      </w:r>
    </w:p>
  </w:footnote>
  <w:footnote w:id="12">
    <w:p w14:paraId="4B92B074" w14:textId="77777777" w:rsidR="00325FEF" w:rsidRPr="000859B4" w:rsidRDefault="00325FEF" w:rsidP="00C90197">
      <w:pPr>
        <w:pStyle w:val="FootnoteText"/>
        <w:rPr>
          <w:rFonts w:cs="Arial"/>
          <w:sz w:val="20"/>
          <w:lang w:val="en-AU"/>
        </w:rPr>
      </w:pPr>
      <w:r w:rsidRPr="000859B4">
        <w:rPr>
          <w:rStyle w:val="FootnoteReference"/>
          <w:rFonts w:cs="Arial"/>
          <w:sz w:val="20"/>
          <w:szCs w:val="20"/>
          <w:lang w:val="en-AU"/>
        </w:rPr>
        <w:footnoteRef/>
      </w:r>
      <w:r w:rsidRPr="000859B4">
        <w:rPr>
          <w:rFonts w:cs="Arial"/>
          <w:sz w:val="20"/>
          <w:lang w:val="en-AU"/>
        </w:rPr>
        <w:t xml:space="preserve"> </w:t>
      </w:r>
      <w:r w:rsidRPr="000859B4">
        <w:rPr>
          <w:rFonts w:cs="Arial"/>
          <w:lang w:val="en-AU"/>
        </w:rPr>
        <w:t>APTC Stage II Design, section 3.6.2 and Annex H, 25 November 2010</w:t>
      </w:r>
    </w:p>
  </w:footnote>
  <w:footnote w:id="13">
    <w:p w14:paraId="1BEC42D6" w14:textId="3DC7863C" w:rsidR="00325FEF" w:rsidRPr="000859B4" w:rsidRDefault="00325FEF" w:rsidP="003B11ED">
      <w:pPr>
        <w:pStyle w:val="FootnoteText"/>
        <w:rPr>
          <w:lang w:val="en-AU"/>
        </w:rPr>
      </w:pPr>
      <w:r w:rsidRPr="000859B4">
        <w:rPr>
          <w:rStyle w:val="FootnoteReference"/>
          <w:lang w:val="en-AU"/>
        </w:rPr>
        <w:footnoteRef/>
      </w:r>
      <w:r w:rsidRPr="000859B4">
        <w:rPr>
          <w:lang w:val="en-AU"/>
        </w:rPr>
        <w:t xml:space="preserve"> The number of qualifications offered in any one semester would be about one third fewer</w:t>
      </w:r>
    </w:p>
  </w:footnote>
  <w:footnote w:id="14">
    <w:p w14:paraId="55881E6B" w14:textId="7725667B" w:rsidR="00325FEF" w:rsidRPr="000859B4" w:rsidRDefault="00325FEF" w:rsidP="003B11ED">
      <w:pPr>
        <w:pStyle w:val="FootnoteText"/>
        <w:rPr>
          <w:lang w:val="en-AU"/>
        </w:rPr>
      </w:pPr>
      <w:r w:rsidRPr="000859B4">
        <w:rPr>
          <w:rStyle w:val="FootnoteReference"/>
          <w:lang w:val="en-AU"/>
        </w:rPr>
        <w:footnoteRef/>
      </w:r>
      <w:r w:rsidRPr="000859B4">
        <w:rPr>
          <w:lang w:val="en-AU"/>
        </w:rPr>
        <w:t xml:space="preserve"> The 2013–14 Annual Report and Plan stated ‘Industry funding has been particularly strong in Fiji with 83% of Stage II non-scholarship funding provided by industry, and in Vanuatu industry funding accounts for approximately 35% of the non-scholarship funding for APTC students’. (p.</w:t>
      </w:r>
      <w:r>
        <w:rPr>
          <w:lang w:val="en-AU"/>
        </w:rPr>
        <w:t xml:space="preserve"> </w:t>
      </w:r>
      <w:r w:rsidRPr="000859B4">
        <w:rPr>
          <w:lang w:val="en-AU"/>
        </w:rPr>
        <w:t>30)</w:t>
      </w:r>
    </w:p>
  </w:footnote>
  <w:footnote w:id="15">
    <w:p w14:paraId="6203C543" w14:textId="7A0A3672" w:rsidR="00325FEF" w:rsidRPr="000859B4" w:rsidRDefault="00325FEF" w:rsidP="003B11ED">
      <w:pPr>
        <w:pStyle w:val="FootnoteText"/>
        <w:rPr>
          <w:lang w:val="en-AU"/>
        </w:rPr>
      </w:pPr>
      <w:r w:rsidRPr="000859B4">
        <w:rPr>
          <w:rStyle w:val="FootnoteReference"/>
          <w:lang w:val="en-AU"/>
        </w:rPr>
        <w:footnoteRef/>
      </w:r>
      <w:r w:rsidRPr="000859B4">
        <w:rPr>
          <w:lang w:val="en-AU"/>
        </w:rPr>
        <w:t xml:space="preserve"> As a comparison, completion rates in Australia were just 40% for Certificate III and 44% for Certificate IV and Diploma qualifications from 2009–2012. Source: NCVER. ’The likelihood of completing a VET qualification, 2009-12’, NCVER Statistical report, 7 August 2014</w:t>
      </w:r>
    </w:p>
  </w:footnote>
  <w:footnote w:id="16">
    <w:p w14:paraId="45B385BD" w14:textId="6C86AD5B" w:rsidR="00325FEF" w:rsidRPr="00725A30" w:rsidRDefault="00325FEF" w:rsidP="000859B4">
      <w:pPr>
        <w:spacing w:after="40"/>
        <w:rPr>
          <w:rFonts w:cs="Arial"/>
          <w:sz w:val="16"/>
          <w:szCs w:val="16"/>
        </w:rPr>
      </w:pPr>
      <w:r w:rsidRPr="00725A30">
        <w:rPr>
          <w:rStyle w:val="FootnoteReference"/>
          <w:lang w:val="en-AU"/>
        </w:rPr>
        <w:footnoteRef/>
      </w:r>
      <w:r w:rsidRPr="00725A30">
        <w:t xml:space="preserve"> </w:t>
      </w:r>
      <w:r w:rsidRPr="00725A30">
        <w:rPr>
          <w:rFonts w:cs="Arial"/>
          <w:sz w:val="16"/>
          <w:szCs w:val="16"/>
        </w:rPr>
        <w:t xml:space="preserve">This section should be read in conjunction with Annex </w:t>
      </w:r>
      <w:r>
        <w:rPr>
          <w:rFonts w:cs="Arial"/>
          <w:sz w:val="16"/>
          <w:szCs w:val="16"/>
        </w:rPr>
        <w:t xml:space="preserve">4 </w:t>
      </w:r>
      <w:r w:rsidRPr="00725A30">
        <w:rPr>
          <w:rFonts w:cs="Arial"/>
          <w:sz w:val="16"/>
          <w:szCs w:val="16"/>
        </w:rPr>
        <w:t xml:space="preserve">which provides comprehensive quantitative information relevant to APTC’s capacity, only some aspects of which are in this section. </w:t>
      </w:r>
    </w:p>
  </w:footnote>
  <w:footnote w:id="17">
    <w:p w14:paraId="131E7ACE" w14:textId="77777777" w:rsidR="00325FEF" w:rsidRPr="000859B4" w:rsidRDefault="00325FEF" w:rsidP="00684B07">
      <w:pPr>
        <w:pStyle w:val="FootnoteText"/>
        <w:rPr>
          <w:rFonts w:cs="Arial"/>
          <w:szCs w:val="16"/>
          <w:lang w:val="en-AU"/>
        </w:rPr>
      </w:pPr>
      <w:r w:rsidRPr="000859B4">
        <w:rPr>
          <w:rStyle w:val="FootnoteReference"/>
          <w:lang w:val="en-AU"/>
        </w:rPr>
        <w:footnoteRef/>
      </w:r>
      <w:r w:rsidRPr="000859B4">
        <w:rPr>
          <w:lang w:val="en-AU"/>
        </w:rPr>
        <w:t xml:space="preserve"> </w:t>
      </w:r>
      <w:r w:rsidRPr="000859B4">
        <w:rPr>
          <w:rFonts w:cs="Arial"/>
          <w:szCs w:val="16"/>
          <w:lang w:val="en-AU"/>
        </w:rPr>
        <w:t>APTC Nationalisation Strategy, version 7</w:t>
      </w:r>
    </w:p>
  </w:footnote>
  <w:footnote w:id="18">
    <w:p w14:paraId="1359EDD5" w14:textId="77777777" w:rsidR="00325FEF" w:rsidRPr="000859B4" w:rsidRDefault="00325FEF" w:rsidP="00684B07">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Source: APTC HR Report to the Consortium Board, May 2014</w:t>
      </w:r>
    </w:p>
  </w:footnote>
  <w:footnote w:id="19">
    <w:p w14:paraId="7C05B24E" w14:textId="3ABA783D" w:rsidR="00325FEF" w:rsidRPr="000859B4" w:rsidRDefault="00325FEF" w:rsidP="00B776E0">
      <w:pPr>
        <w:pStyle w:val="FootnoteText"/>
        <w:rPr>
          <w:rFonts w:cs="Arial"/>
          <w:szCs w:val="16"/>
          <w:lang w:val="en-AU"/>
        </w:rPr>
      </w:pPr>
      <w:r w:rsidRPr="000859B4">
        <w:rPr>
          <w:rStyle w:val="FootnoteReference"/>
          <w:lang w:val="en-AU"/>
        </w:rPr>
        <w:footnoteRef/>
      </w:r>
      <w:r w:rsidRPr="000859B4">
        <w:rPr>
          <w:lang w:val="en-AU"/>
        </w:rPr>
        <w:t xml:space="preserve"> </w:t>
      </w:r>
      <w:r w:rsidRPr="000859B4">
        <w:rPr>
          <w:rFonts w:cs="Arial"/>
          <w:szCs w:val="16"/>
          <w:lang w:val="en-AU"/>
        </w:rPr>
        <w:t>Australian Government Productivity Commission. (2011). Vocational education and training workforce</w:t>
      </w:r>
      <w:r>
        <w:rPr>
          <w:rFonts w:cs="Arial"/>
          <w:szCs w:val="16"/>
          <w:lang w:val="en-AU"/>
        </w:rPr>
        <w:t>, p.</w:t>
      </w:r>
      <w:r w:rsidRPr="000859B4">
        <w:rPr>
          <w:rFonts w:cs="Arial"/>
          <w:szCs w:val="16"/>
          <w:lang w:val="en-AU"/>
        </w:rPr>
        <w:t xml:space="preserve"> 347. </w:t>
      </w:r>
      <w:r>
        <w:rPr>
          <w:rFonts w:cs="Arial"/>
          <w:szCs w:val="16"/>
          <w:lang w:val="en-AU"/>
        </w:rPr>
        <w:br/>
      </w:r>
      <w:r w:rsidRPr="000859B4">
        <w:rPr>
          <w:rFonts w:cs="Arial"/>
          <w:szCs w:val="16"/>
          <w:lang w:val="en-AU"/>
        </w:rPr>
        <w:t>The report cited the proportion in non-TAFE VET providers as 48 per cent.</w:t>
      </w:r>
    </w:p>
  </w:footnote>
  <w:footnote w:id="20">
    <w:p w14:paraId="019667CE" w14:textId="77777777" w:rsidR="00325FEF" w:rsidRPr="00725A30" w:rsidRDefault="00325FEF" w:rsidP="00943289">
      <w:pPr>
        <w:spacing w:after="40"/>
        <w:contextualSpacing/>
        <w:rPr>
          <w:rFonts w:cs="Arial"/>
          <w:sz w:val="16"/>
          <w:szCs w:val="16"/>
        </w:rPr>
      </w:pPr>
      <w:r w:rsidRPr="00725A30">
        <w:rPr>
          <w:rStyle w:val="FootnoteReference"/>
          <w:rFonts w:cs="Arial"/>
          <w:sz w:val="16"/>
          <w:lang w:val="en-AU"/>
        </w:rPr>
        <w:footnoteRef/>
      </w:r>
      <w:r w:rsidRPr="00725A30">
        <w:rPr>
          <w:rFonts w:cs="Arial"/>
          <w:sz w:val="16"/>
          <w:szCs w:val="16"/>
        </w:rPr>
        <w:t xml:space="preserve"> Standard 15.4 of the Australian </w:t>
      </w:r>
      <w:r w:rsidRPr="00725A30">
        <w:rPr>
          <w:rFonts w:cs="Arial"/>
          <w:bCs/>
          <w:sz w:val="16"/>
          <w:szCs w:val="16"/>
          <w:lang w:eastAsia="en-AU"/>
        </w:rPr>
        <w:t>Standards for NVR Registered Training Organisations</w:t>
      </w:r>
      <w:r w:rsidRPr="00725A30">
        <w:rPr>
          <w:rFonts w:cs="Arial"/>
          <w:b/>
          <w:bCs/>
          <w:sz w:val="16"/>
          <w:szCs w:val="16"/>
          <w:lang w:eastAsia="en-AU"/>
        </w:rPr>
        <w:t xml:space="preserve"> </w:t>
      </w:r>
      <w:r w:rsidRPr="00725A30">
        <w:rPr>
          <w:rFonts w:cs="Arial"/>
          <w:bCs/>
          <w:sz w:val="16"/>
          <w:szCs w:val="16"/>
          <w:lang w:eastAsia="en-AU"/>
        </w:rPr>
        <w:t xml:space="preserve">2012 </w:t>
      </w:r>
      <w:r w:rsidRPr="00725A30">
        <w:rPr>
          <w:rFonts w:cs="Arial"/>
          <w:sz w:val="16"/>
          <w:szCs w:val="16"/>
        </w:rPr>
        <w:t>states that:</w:t>
      </w:r>
    </w:p>
    <w:p w14:paraId="0218FAEB" w14:textId="77777777" w:rsidR="00325FEF" w:rsidRPr="00725A30" w:rsidRDefault="00325FEF" w:rsidP="00943289">
      <w:pPr>
        <w:spacing w:after="40"/>
        <w:rPr>
          <w:rFonts w:cs="Arial"/>
          <w:sz w:val="16"/>
          <w:szCs w:val="16"/>
          <w:lang w:eastAsia="en-AU"/>
        </w:rPr>
      </w:pPr>
      <w:r w:rsidRPr="00725A30">
        <w:rPr>
          <w:rFonts w:cs="Arial"/>
          <w:sz w:val="16"/>
          <w:szCs w:val="16"/>
          <w:lang w:eastAsia="en-AU"/>
        </w:rPr>
        <w:t xml:space="preserve">Training and assessment is delivered by trainers and assessors who: </w:t>
      </w:r>
    </w:p>
    <w:p w14:paraId="135EBBE1" w14:textId="77777777" w:rsidR="00325FEF" w:rsidRPr="00725A30" w:rsidRDefault="00325FEF" w:rsidP="00943289">
      <w:pPr>
        <w:spacing w:after="40"/>
        <w:ind w:left="709" w:hanging="709"/>
        <w:outlineLvl w:val="2"/>
        <w:rPr>
          <w:rFonts w:cs="Arial"/>
          <w:b/>
          <w:bCs/>
          <w:sz w:val="16"/>
          <w:szCs w:val="16"/>
          <w:lang w:eastAsia="en-AU"/>
        </w:rPr>
      </w:pPr>
      <w:r w:rsidRPr="00725A30">
        <w:rPr>
          <w:rFonts w:cs="Arial"/>
          <w:sz w:val="16"/>
          <w:szCs w:val="16"/>
          <w:lang w:eastAsia="en-AU"/>
        </w:rPr>
        <w:t xml:space="preserve">(a) </w:t>
      </w:r>
      <w:r w:rsidRPr="00725A30">
        <w:rPr>
          <w:rFonts w:cs="Arial"/>
          <w:sz w:val="16"/>
          <w:szCs w:val="16"/>
          <w:lang w:eastAsia="en-AU"/>
        </w:rPr>
        <w:tab/>
        <w:t>have the necessary training and assessment competencies as determined by the National Skills Standards Council or its successors (Certificate IV in Training and Education); and</w:t>
      </w:r>
    </w:p>
    <w:p w14:paraId="345A4FAF" w14:textId="77777777" w:rsidR="00325FEF" w:rsidRPr="00725A30" w:rsidRDefault="00325FEF" w:rsidP="00943289">
      <w:pPr>
        <w:spacing w:after="40"/>
        <w:ind w:left="709" w:hanging="709"/>
        <w:outlineLvl w:val="2"/>
        <w:rPr>
          <w:rFonts w:cs="Arial"/>
          <w:b/>
          <w:bCs/>
          <w:sz w:val="16"/>
          <w:szCs w:val="16"/>
          <w:lang w:eastAsia="en-AU"/>
        </w:rPr>
      </w:pPr>
      <w:r w:rsidRPr="00725A30">
        <w:rPr>
          <w:rFonts w:cs="Arial"/>
          <w:sz w:val="16"/>
          <w:szCs w:val="16"/>
          <w:lang w:eastAsia="en-AU"/>
        </w:rPr>
        <w:t xml:space="preserve">(b) </w:t>
      </w:r>
      <w:r w:rsidRPr="00725A30">
        <w:rPr>
          <w:rFonts w:cs="Arial"/>
          <w:sz w:val="16"/>
          <w:szCs w:val="16"/>
          <w:lang w:eastAsia="en-AU"/>
        </w:rPr>
        <w:tab/>
        <w:t>have the relevant vocational competencies at least to the level being delivered or assessed; and</w:t>
      </w:r>
    </w:p>
    <w:p w14:paraId="07AFCCD3" w14:textId="77777777" w:rsidR="00325FEF" w:rsidRPr="00725A30" w:rsidRDefault="00325FEF" w:rsidP="00943289">
      <w:pPr>
        <w:spacing w:after="40"/>
        <w:ind w:left="709" w:hanging="709"/>
        <w:outlineLvl w:val="2"/>
        <w:rPr>
          <w:rFonts w:cs="Arial"/>
          <w:b/>
          <w:bCs/>
          <w:sz w:val="16"/>
          <w:szCs w:val="16"/>
          <w:lang w:eastAsia="en-AU"/>
        </w:rPr>
      </w:pPr>
      <w:r w:rsidRPr="00725A30">
        <w:rPr>
          <w:rFonts w:cs="Arial"/>
          <w:sz w:val="16"/>
          <w:szCs w:val="16"/>
          <w:lang w:eastAsia="en-AU"/>
        </w:rPr>
        <w:t>(c)</w:t>
      </w:r>
      <w:r w:rsidRPr="00725A30">
        <w:rPr>
          <w:rFonts w:cs="Arial"/>
          <w:sz w:val="16"/>
          <w:szCs w:val="16"/>
          <w:lang w:eastAsia="en-AU"/>
        </w:rPr>
        <w:tab/>
        <w:t>can demonstrate current industry skills directly relevant to the training/assessment being undertaken; and</w:t>
      </w:r>
    </w:p>
    <w:p w14:paraId="7E51671E" w14:textId="77777777" w:rsidR="00325FEF" w:rsidRPr="00725A30" w:rsidRDefault="00325FEF" w:rsidP="00943289">
      <w:pPr>
        <w:spacing w:after="40"/>
        <w:ind w:left="709" w:hanging="709"/>
        <w:rPr>
          <w:rFonts w:cs="Arial"/>
          <w:sz w:val="16"/>
          <w:szCs w:val="16"/>
        </w:rPr>
      </w:pPr>
      <w:r w:rsidRPr="00725A30">
        <w:rPr>
          <w:rFonts w:cs="Arial"/>
          <w:sz w:val="16"/>
          <w:szCs w:val="16"/>
          <w:lang w:eastAsia="en-AU"/>
        </w:rPr>
        <w:t xml:space="preserve">(d) </w:t>
      </w:r>
      <w:r w:rsidRPr="00725A30">
        <w:rPr>
          <w:rFonts w:cs="Arial"/>
          <w:sz w:val="16"/>
          <w:szCs w:val="16"/>
          <w:lang w:eastAsia="en-AU"/>
        </w:rPr>
        <w:tab/>
        <w:t>continue to develop their vocational education and training (VET) knowledge and skills as well as their industry currency and trainer/assessor competence.</w:t>
      </w:r>
    </w:p>
  </w:footnote>
  <w:footnote w:id="21">
    <w:p w14:paraId="13EDF5C1" w14:textId="2A758EA1" w:rsidR="00325FEF" w:rsidRPr="000859B4" w:rsidRDefault="00325FEF" w:rsidP="00943289">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Australian researcher John Mitchell identifies 16 core skills for the new VET practitioner and 14 for the advanced VET practitioner (Mitchell, J. (2009). Advanced VET practitioners. John Mitchell and Associates, NSW Australia)</w:t>
      </w:r>
    </w:p>
  </w:footnote>
  <w:footnote w:id="22">
    <w:p w14:paraId="2AF9B51F" w14:textId="77777777" w:rsidR="00325FEF" w:rsidRPr="00725A30" w:rsidRDefault="00325FEF" w:rsidP="00943289">
      <w:pPr>
        <w:spacing w:after="40"/>
        <w:rPr>
          <w:rFonts w:cs="Arial"/>
          <w:sz w:val="16"/>
          <w:szCs w:val="16"/>
        </w:rPr>
      </w:pPr>
      <w:r w:rsidRPr="00725A30">
        <w:rPr>
          <w:rStyle w:val="FootnoteReference"/>
          <w:lang w:val="en-AU"/>
        </w:rPr>
        <w:footnoteRef/>
      </w:r>
      <w:r w:rsidRPr="00725A30">
        <w:t xml:space="preserve"> </w:t>
      </w:r>
      <w:r w:rsidRPr="00725A30">
        <w:rPr>
          <w:rFonts w:cs="Arial"/>
          <w:sz w:val="16"/>
          <w:szCs w:val="16"/>
        </w:rPr>
        <w:t>APTC Audit Report: TAE40110 Certificate IV in Training and Assessment, Samoa, 12/08/14</w:t>
      </w:r>
    </w:p>
  </w:footnote>
  <w:footnote w:id="23">
    <w:p w14:paraId="48A62F18" w14:textId="7AED805D" w:rsidR="00325FEF" w:rsidRPr="000859B4" w:rsidRDefault="00325FEF" w:rsidP="00943289">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For example, the APTC contracted an expert consultant to review the Nationalisation Strategy: Bateman, A. (2014). Review of the nationalisation strategy: report to APTC</w:t>
      </w:r>
    </w:p>
  </w:footnote>
  <w:footnote w:id="24">
    <w:p w14:paraId="4443AE14" w14:textId="77777777" w:rsidR="00325FEF" w:rsidRPr="00725A30" w:rsidRDefault="00325FEF" w:rsidP="00F94740">
      <w:pPr>
        <w:spacing w:after="40"/>
      </w:pPr>
      <w:r w:rsidRPr="00725A30">
        <w:rPr>
          <w:rStyle w:val="FootnoteReference"/>
          <w:lang w:val="en-AU"/>
        </w:rPr>
        <w:footnoteRef/>
      </w:r>
      <w:r w:rsidRPr="00725A30">
        <w:t xml:space="preserve"> </w:t>
      </w:r>
      <w:r w:rsidRPr="00725A30">
        <w:rPr>
          <w:rFonts w:cs="Arial"/>
          <w:sz w:val="16"/>
          <w:szCs w:val="16"/>
        </w:rPr>
        <w:t>In the other non-campus countries namely the Cook Islands, Federated States of Micronesia (FSM), Republic of the Marshall Islands (RMI), Nauru, Niue and Tuvalu, the partnership arrangements focus on scholarship provision.</w:t>
      </w:r>
    </w:p>
  </w:footnote>
  <w:footnote w:id="25">
    <w:p w14:paraId="737A2129" w14:textId="77777777" w:rsidR="00325FEF" w:rsidRPr="000859B4" w:rsidRDefault="00325FEF">
      <w:pPr>
        <w:pStyle w:val="FootnoteText"/>
        <w:rPr>
          <w:rFonts w:cs="Arial"/>
          <w:szCs w:val="16"/>
          <w:lang w:val="en-AU"/>
        </w:rPr>
      </w:pPr>
      <w:r w:rsidRPr="000859B4">
        <w:rPr>
          <w:rStyle w:val="FootnoteReference"/>
          <w:lang w:val="en-AU"/>
        </w:rPr>
        <w:footnoteRef/>
      </w:r>
      <w:r w:rsidRPr="000859B4">
        <w:rPr>
          <w:lang w:val="en-AU"/>
        </w:rPr>
        <w:t xml:space="preserve"> ‘</w:t>
      </w:r>
      <w:r w:rsidRPr="000859B4">
        <w:rPr>
          <w:rFonts w:cs="Arial"/>
          <w:szCs w:val="16"/>
          <w:lang w:val="en-AU"/>
        </w:rPr>
        <w:t>Dual badging’ refers to the issuing of certificates/testamurs with two institution logos and/or common seals – in this case both the APTC and USP. It can only occur when the two institutions concerned agree to the equivalence of the qualification.</w:t>
      </w:r>
    </w:p>
  </w:footnote>
  <w:footnote w:id="26">
    <w:p w14:paraId="2F571150" w14:textId="028CEADD" w:rsidR="00325FEF" w:rsidRPr="000859B4" w:rsidRDefault="00325FEF">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APTC. (2014). Scholarship Policy. (draft – uncontrolled document), p.</w:t>
      </w:r>
      <w:r>
        <w:rPr>
          <w:rFonts w:cs="Arial"/>
          <w:szCs w:val="16"/>
          <w:lang w:val="en-AU"/>
        </w:rPr>
        <w:t xml:space="preserve"> </w:t>
      </w:r>
      <w:r w:rsidRPr="000859B4">
        <w:rPr>
          <w:rFonts w:cs="Arial"/>
          <w:szCs w:val="16"/>
          <w:lang w:val="en-AU"/>
        </w:rPr>
        <w:t>6</w:t>
      </w:r>
    </w:p>
  </w:footnote>
  <w:footnote w:id="27">
    <w:p w14:paraId="5D4B01AC" w14:textId="77777777" w:rsidR="00325FEF" w:rsidRPr="00725A30" w:rsidRDefault="00325FEF" w:rsidP="00A13A00">
      <w:pPr>
        <w:pStyle w:val="FootnoteText"/>
        <w:rPr>
          <w:rFonts w:cs="Arial"/>
          <w:szCs w:val="16"/>
          <w:lang w:val="en-AU"/>
        </w:rPr>
      </w:pPr>
      <w:r w:rsidRPr="00725A30">
        <w:rPr>
          <w:rStyle w:val="FootnoteReference"/>
          <w:lang w:val="en-AU"/>
        </w:rPr>
        <w:footnoteRef/>
      </w:r>
      <w:r w:rsidRPr="00725A30">
        <w:rPr>
          <w:lang w:val="en-AU"/>
        </w:rPr>
        <w:t xml:space="preserve"> </w:t>
      </w:r>
      <w:r w:rsidRPr="00725A30">
        <w:rPr>
          <w:rFonts w:cs="Arial"/>
          <w:szCs w:val="16"/>
          <w:lang w:val="en-AU"/>
        </w:rPr>
        <w:t xml:space="preserve">Some countries, such as Fiji, have little interest in Pacific qualifications and intend to align instead with those of an advanced country, such as New Zealand. </w:t>
      </w:r>
    </w:p>
  </w:footnote>
  <w:footnote w:id="28">
    <w:p w14:paraId="279FAA90" w14:textId="77777777" w:rsidR="00325FEF" w:rsidRPr="000859B4" w:rsidRDefault="00325FEF" w:rsidP="00FD521D">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APTC Environmental Scan 2014</w:t>
      </w:r>
    </w:p>
  </w:footnote>
  <w:footnote w:id="29">
    <w:p w14:paraId="335F11A8" w14:textId="58D7B596" w:rsidR="00325FEF" w:rsidRPr="000859B4" w:rsidRDefault="00325FEF" w:rsidP="00FD521D">
      <w:pPr>
        <w:pStyle w:val="FootnoteText"/>
        <w:rPr>
          <w:rFonts w:cs="Arial"/>
          <w:szCs w:val="16"/>
          <w:lang w:val="en-AU" w:eastAsia="zh-CN"/>
        </w:rPr>
      </w:pPr>
      <w:r w:rsidRPr="000859B4">
        <w:rPr>
          <w:rStyle w:val="FootnoteReference"/>
          <w:rFonts w:cs="Arial"/>
          <w:lang w:val="en-AU" w:eastAsia="zh-CN"/>
        </w:rPr>
        <w:footnoteRef/>
      </w:r>
      <w:r w:rsidRPr="000859B4">
        <w:rPr>
          <w:rFonts w:cs="Arial"/>
          <w:szCs w:val="16"/>
          <w:lang w:val="en-AU" w:eastAsia="zh-CN"/>
        </w:rPr>
        <w:t xml:space="preserve"> </w:t>
      </w:r>
      <w:r>
        <w:rPr>
          <w:rFonts w:cs="Arial"/>
          <w:szCs w:val="16"/>
          <w:lang w:val="en-AU" w:eastAsia="zh-CN"/>
        </w:rPr>
        <w:t>APTC</w:t>
      </w:r>
      <w:r w:rsidRPr="000859B4">
        <w:rPr>
          <w:rFonts w:cs="Arial"/>
          <w:szCs w:val="16"/>
          <w:lang w:val="en-AU" w:eastAsia="zh-CN"/>
        </w:rPr>
        <w:t xml:space="preserve"> Stage II: 2011–2015, Design Document, 25 November 2010, p</w:t>
      </w:r>
      <w:r>
        <w:rPr>
          <w:rFonts w:cs="Arial"/>
          <w:szCs w:val="16"/>
          <w:lang w:val="en-AU" w:eastAsia="zh-CN"/>
        </w:rPr>
        <w:t>.</w:t>
      </w:r>
      <w:r w:rsidRPr="000859B4">
        <w:rPr>
          <w:rFonts w:cs="Arial"/>
          <w:szCs w:val="16"/>
          <w:lang w:val="en-AU" w:eastAsia="zh-CN"/>
        </w:rPr>
        <w:t xml:space="preserve"> 11</w:t>
      </w:r>
    </w:p>
  </w:footnote>
  <w:footnote w:id="30">
    <w:p w14:paraId="61352E79" w14:textId="665E1421" w:rsidR="00325FEF" w:rsidRPr="000859B4" w:rsidRDefault="00325FEF" w:rsidP="00FD521D">
      <w:pPr>
        <w:pStyle w:val="FootnoteText"/>
        <w:rPr>
          <w:rFonts w:cs="Arial"/>
          <w:szCs w:val="16"/>
          <w:lang w:val="en-AU" w:eastAsia="zh-CN"/>
        </w:rPr>
      </w:pPr>
      <w:r w:rsidRPr="000859B4">
        <w:rPr>
          <w:rStyle w:val="FootnoteReference"/>
          <w:rFonts w:cs="Arial"/>
          <w:lang w:val="en-AU" w:eastAsia="zh-CN"/>
        </w:rPr>
        <w:footnoteRef/>
      </w:r>
      <w:r w:rsidRPr="000859B4">
        <w:rPr>
          <w:rFonts w:cs="Arial"/>
          <w:szCs w:val="16"/>
          <w:lang w:val="en-AU" w:eastAsia="zh-CN"/>
        </w:rPr>
        <w:t xml:space="preserve"> The APTC Annual Report for 2011, p</w:t>
      </w:r>
      <w:r>
        <w:rPr>
          <w:rFonts w:cs="Arial"/>
          <w:szCs w:val="16"/>
          <w:lang w:val="en-AU" w:eastAsia="zh-CN"/>
        </w:rPr>
        <w:t>.</w:t>
      </w:r>
      <w:r w:rsidRPr="000859B4">
        <w:rPr>
          <w:rFonts w:cs="Arial"/>
          <w:szCs w:val="16"/>
          <w:lang w:val="en-AU" w:eastAsia="zh-CN"/>
        </w:rPr>
        <w:t xml:space="preserve"> 51 noted: ‘Harmonisation with the AusAID Vanuatu TVET Sector Strengthening Program which is currently supporting the development of island bungalows and tour guiding in Malekula and Santo will generate demand for places in APTC hospitality and tourism courses. In Fiji an additional commercial cookery program was added S2/2011 due to demand from an industry client at Port Denarau.’</w:t>
      </w:r>
    </w:p>
  </w:footnote>
  <w:footnote w:id="31">
    <w:p w14:paraId="5044CCFF" w14:textId="0916F863" w:rsidR="00325FEF" w:rsidRPr="000859B4" w:rsidRDefault="00325FEF" w:rsidP="00FD521D">
      <w:pPr>
        <w:pStyle w:val="FootnoteText"/>
        <w:rPr>
          <w:rFonts w:cs="Arial"/>
          <w:szCs w:val="16"/>
          <w:lang w:val="en-AU" w:eastAsia="zh-CN"/>
        </w:rPr>
      </w:pPr>
      <w:r w:rsidRPr="000859B4">
        <w:rPr>
          <w:rStyle w:val="FootnoteReference"/>
          <w:rFonts w:cs="Arial"/>
          <w:lang w:val="en-AU" w:eastAsia="zh-CN"/>
        </w:rPr>
        <w:footnoteRef/>
      </w:r>
      <w:r w:rsidRPr="000859B4">
        <w:rPr>
          <w:rFonts w:cs="Arial"/>
          <w:szCs w:val="16"/>
          <w:lang w:val="en-AU" w:eastAsia="zh-CN"/>
        </w:rPr>
        <w:t xml:space="preserve"> The Diploma in Children’s Services may also have been withdrawn because the requirements for facilities identified in the training package could not be met.</w:t>
      </w:r>
    </w:p>
  </w:footnote>
  <w:footnote w:id="32">
    <w:p w14:paraId="7A7921D5" w14:textId="77777777" w:rsidR="00325FEF" w:rsidRPr="000859B4" w:rsidRDefault="00325FEF" w:rsidP="00FD521D">
      <w:pPr>
        <w:pStyle w:val="FootnoteText"/>
        <w:rPr>
          <w:rFonts w:cs="Arial"/>
          <w:szCs w:val="16"/>
          <w:lang w:val="en-AU" w:eastAsia="zh-CN"/>
        </w:rPr>
      </w:pPr>
      <w:r w:rsidRPr="000859B4">
        <w:rPr>
          <w:rFonts w:cs="Arial"/>
          <w:sz w:val="20"/>
          <w:szCs w:val="16"/>
          <w:vertAlign w:val="superscript"/>
          <w:lang w:val="en-AU" w:eastAsia="zh-CN"/>
        </w:rPr>
        <w:footnoteRef/>
      </w:r>
      <w:r w:rsidRPr="000859B4">
        <w:rPr>
          <w:rFonts w:cs="Arial"/>
          <w:sz w:val="20"/>
          <w:szCs w:val="16"/>
          <w:vertAlign w:val="superscript"/>
          <w:lang w:val="en-AU" w:eastAsia="zh-CN"/>
        </w:rPr>
        <w:t xml:space="preserve"> </w:t>
      </w:r>
      <w:r w:rsidRPr="000859B4">
        <w:rPr>
          <w:rFonts w:cs="Arial"/>
          <w:szCs w:val="16"/>
          <w:lang w:val="en-AU" w:eastAsia="zh-CN"/>
        </w:rPr>
        <w:t>APTC, 2014, Summary of Labour Market Analysis Processes</w:t>
      </w:r>
    </w:p>
  </w:footnote>
  <w:footnote w:id="33">
    <w:p w14:paraId="1413E85C" w14:textId="7C52D1EB" w:rsidR="00325FEF" w:rsidRPr="000859B4" w:rsidRDefault="00325FEF" w:rsidP="00FD521D">
      <w:pPr>
        <w:pStyle w:val="FootnoteText"/>
        <w:rPr>
          <w:rFonts w:cs="Arial"/>
          <w:szCs w:val="16"/>
          <w:lang w:val="en-AU" w:eastAsia="zh-CN"/>
        </w:rPr>
      </w:pPr>
      <w:r w:rsidRPr="000859B4">
        <w:rPr>
          <w:rStyle w:val="FootnoteReference"/>
          <w:rFonts w:cs="Arial"/>
          <w:lang w:val="en-AU" w:eastAsia="zh-CN"/>
        </w:rPr>
        <w:footnoteRef/>
      </w:r>
      <w:r w:rsidRPr="000859B4">
        <w:rPr>
          <w:rFonts w:cs="Arial"/>
          <w:szCs w:val="16"/>
          <w:lang w:val="en-AU" w:eastAsia="zh-CN"/>
        </w:rPr>
        <w:t xml:space="preserve">  APTC Environmental Scan 2014, pp</w:t>
      </w:r>
      <w:r>
        <w:rPr>
          <w:rFonts w:cs="Arial"/>
          <w:szCs w:val="16"/>
          <w:lang w:val="en-AU" w:eastAsia="zh-CN"/>
        </w:rPr>
        <w:t>.</w:t>
      </w:r>
      <w:r w:rsidRPr="000859B4">
        <w:rPr>
          <w:rFonts w:cs="Arial"/>
          <w:szCs w:val="16"/>
          <w:lang w:val="en-AU" w:eastAsia="zh-CN"/>
        </w:rPr>
        <w:t xml:space="preserve"> 30</w:t>
      </w:r>
      <w:r>
        <w:rPr>
          <w:rFonts w:cs="Arial"/>
          <w:szCs w:val="16"/>
          <w:lang w:val="en-AU" w:eastAsia="zh-CN"/>
        </w:rPr>
        <w:t>–</w:t>
      </w:r>
      <w:r w:rsidRPr="000859B4">
        <w:rPr>
          <w:rFonts w:cs="Arial"/>
          <w:szCs w:val="16"/>
          <w:lang w:val="en-AU" w:eastAsia="zh-CN"/>
        </w:rPr>
        <w:t>33</w:t>
      </w:r>
    </w:p>
  </w:footnote>
  <w:footnote w:id="34">
    <w:p w14:paraId="5AC5CE30" w14:textId="77777777" w:rsidR="00325FEF" w:rsidRPr="000859B4" w:rsidRDefault="00325FEF" w:rsidP="00FD521D">
      <w:pPr>
        <w:pStyle w:val="FootnoteText"/>
        <w:rPr>
          <w:rFonts w:cs="Arial"/>
          <w:szCs w:val="16"/>
          <w:lang w:val="en-AU" w:eastAsia="zh-CN"/>
        </w:rPr>
      </w:pPr>
      <w:r w:rsidRPr="000859B4">
        <w:rPr>
          <w:rStyle w:val="FootnoteReference"/>
          <w:rFonts w:cs="Arial"/>
          <w:lang w:val="en-AU" w:eastAsia="zh-CN"/>
        </w:rPr>
        <w:footnoteRef/>
      </w:r>
      <w:r w:rsidRPr="000859B4">
        <w:rPr>
          <w:rFonts w:cs="Arial"/>
          <w:szCs w:val="16"/>
          <w:lang w:val="en-AU" w:eastAsia="zh-CN"/>
        </w:rPr>
        <w:t xml:space="preserve"> </w:t>
      </w:r>
      <w:hyperlink r:id="rId1" w:history="1">
        <w:r w:rsidRPr="000859B4">
          <w:rPr>
            <w:rStyle w:val="Hyperlink"/>
            <w:rFonts w:cs="Arial"/>
            <w:color w:val="auto"/>
            <w:szCs w:val="16"/>
            <w:u w:val="none"/>
            <w:lang w:val="en-AU" w:eastAsia="zh-CN"/>
          </w:rPr>
          <w:t>http://www.immi.gov.au/Visas/Pages/457.aspx</w:t>
        </w:r>
      </w:hyperlink>
      <w:r w:rsidRPr="000859B4">
        <w:rPr>
          <w:rFonts w:cs="Arial"/>
          <w:szCs w:val="16"/>
          <w:lang w:val="en-AU" w:eastAsia="zh-CN"/>
        </w:rPr>
        <w:t xml:space="preserve"> </w:t>
      </w:r>
    </w:p>
  </w:footnote>
  <w:footnote w:id="35">
    <w:p w14:paraId="7183ED30" w14:textId="77777777" w:rsidR="00325FEF" w:rsidRPr="000859B4" w:rsidRDefault="00325FEF" w:rsidP="00FD521D">
      <w:pPr>
        <w:pStyle w:val="FootnoteText"/>
        <w:rPr>
          <w:rFonts w:cs="Arial"/>
          <w:szCs w:val="16"/>
          <w:lang w:val="en-AU" w:eastAsia="zh-CN"/>
        </w:rPr>
      </w:pPr>
      <w:r w:rsidRPr="000859B4">
        <w:rPr>
          <w:rStyle w:val="FootnoteReference"/>
          <w:rFonts w:cs="Arial"/>
          <w:lang w:val="en-AU" w:eastAsia="zh-CN"/>
        </w:rPr>
        <w:footnoteRef/>
      </w:r>
      <w:r w:rsidRPr="000859B4">
        <w:rPr>
          <w:rFonts w:cs="Arial"/>
          <w:szCs w:val="16"/>
          <w:lang w:val="en-AU" w:eastAsia="zh-CN"/>
        </w:rPr>
        <w:t xml:space="preserve"> See ‘APTC launches pilot program in Aged Care’ </w:t>
      </w:r>
      <w:hyperlink r:id="rId2" w:history="1">
        <w:r w:rsidRPr="000859B4">
          <w:rPr>
            <w:rStyle w:val="Hyperlink"/>
            <w:rFonts w:cs="Arial"/>
            <w:color w:val="auto"/>
            <w:szCs w:val="16"/>
            <w:u w:val="none"/>
            <w:lang w:val="en-AU" w:eastAsia="zh-CN"/>
          </w:rPr>
          <w:t>http://www.aptc.edu.au/index.php/april-2012/407-aptc-launches-pilot-program-in-aged-care</w:t>
        </w:r>
      </w:hyperlink>
      <w:r w:rsidRPr="000859B4">
        <w:rPr>
          <w:rFonts w:cs="Arial"/>
          <w:szCs w:val="16"/>
          <w:lang w:val="en-AU" w:eastAsia="zh-CN"/>
        </w:rPr>
        <w:t xml:space="preserve"> </w:t>
      </w:r>
    </w:p>
  </w:footnote>
  <w:footnote w:id="36">
    <w:p w14:paraId="4AA40777" w14:textId="3C4E36CA" w:rsidR="00325FEF" w:rsidRPr="000859B4" w:rsidRDefault="00325FEF">
      <w:pPr>
        <w:pStyle w:val="FootnoteText"/>
        <w:rPr>
          <w:lang w:val="en-AU"/>
        </w:rPr>
      </w:pPr>
      <w:r w:rsidRPr="000859B4">
        <w:rPr>
          <w:rStyle w:val="FootnoteReference"/>
          <w:lang w:val="en-AU"/>
        </w:rPr>
        <w:footnoteRef/>
      </w:r>
      <w:r w:rsidRPr="000859B4">
        <w:rPr>
          <w:lang w:val="en-AU"/>
        </w:rPr>
        <w:t xml:space="preserve"> One of APTC’s targets is AUD500,000 profit on commercial activity for Stage 2. As of early November 2014, APTC management projected a profit from FFS of $484,000 without any additional income beyond one newly approved project. This is 97 per cent of the 30 June 2015 target. (Communication from Denise O’Brien, 3 November 2014)</w:t>
      </w:r>
    </w:p>
  </w:footnote>
  <w:footnote w:id="37">
    <w:p w14:paraId="6D2F3DE6" w14:textId="77777777" w:rsidR="00325FEF" w:rsidRPr="000859B4" w:rsidRDefault="00325FEF" w:rsidP="00FD521D">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APTC Industry Partnerships List 2014, prepared for the evaluation team, July 2014</w:t>
      </w:r>
    </w:p>
  </w:footnote>
  <w:footnote w:id="38">
    <w:p w14:paraId="48669D4F" w14:textId="1F98BC7A" w:rsidR="00325FEF" w:rsidRPr="000859B4" w:rsidRDefault="00325FEF" w:rsidP="0052555C">
      <w:pPr>
        <w:pStyle w:val="FootnoteText"/>
        <w:rPr>
          <w:rFonts w:cs="Arial"/>
          <w:szCs w:val="16"/>
          <w:lang w:val="en-AU"/>
        </w:rPr>
      </w:pPr>
      <w:r w:rsidRPr="000859B4">
        <w:rPr>
          <w:rStyle w:val="FootnoteReference"/>
          <w:lang w:val="en-AU"/>
        </w:rPr>
        <w:footnoteRef/>
      </w:r>
      <w:r w:rsidRPr="000859B4">
        <w:rPr>
          <w:lang w:val="en-AU"/>
        </w:rPr>
        <w:t xml:space="preserve"> </w:t>
      </w:r>
      <w:r w:rsidRPr="000859B4">
        <w:rPr>
          <w:rFonts w:cs="Arial"/>
          <w:szCs w:val="16"/>
          <w:lang w:val="en-AU"/>
        </w:rPr>
        <w:t>APTC Impact Case Study: A Beacon of Light</w:t>
      </w:r>
    </w:p>
  </w:footnote>
  <w:footnote w:id="39">
    <w:p w14:paraId="23ADCA2D" w14:textId="77777777" w:rsidR="00325FEF" w:rsidRPr="000859B4" w:rsidRDefault="00325FEF" w:rsidP="0052555C">
      <w:pPr>
        <w:pStyle w:val="FootnoteText"/>
        <w:rPr>
          <w:rFonts w:cs="Arial"/>
          <w:szCs w:val="16"/>
          <w:lang w:val="en-AU"/>
        </w:rPr>
      </w:pPr>
      <w:r w:rsidRPr="000859B4">
        <w:rPr>
          <w:rStyle w:val="FootnoteReference"/>
          <w:lang w:val="en-AU"/>
        </w:rPr>
        <w:footnoteRef/>
      </w:r>
      <w:r w:rsidRPr="000859B4">
        <w:rPr>
          <w:lang w:val="en-AU"/>
        </w:rPr>
        <w:t xml:space="preserve"> </w:t>
      </w:r>
      <w:r w:rsidRPr="000859B4">
        <w:rPr>
          <w:rFonts w:cs="Arial"/>
          <w:szCs w:val="16"/>
          <w:lang w:val="en-AU"/>
        </w:rPr>
        <w:t>APTC 2013–14 Annual Report and Plan: p. 8</w:t>
      </w:r>
    </w:p>
  </w:footnote>
  <w:footnote w:id="40">
    <w:p w14:paraId="5D31D818" w14:textId="77777777" w:rsidR="00325FEF" w:rsidRPr="000859B4" w:rsidRDefault="00325FEF" w:rsidP="00B776E0">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Students classified as from the capital city, Port Vila, Vanuatu may actually live in a rural area.</w:t>
      </w:r>
    </w:p>
  </w:footnote>
  <w:footnote w:id="41">
    <w:p w14:paraId="3ACC690A" w14:textId="1D15E3F5" w:rsidR="00325FEF" w:rsidRPr="000859B4" w:rsidRDefault="00325FEF">
      <w:pPr>
        <w:pStyle w:val="FootnoteText"/>
        <w:rPr>
          <w:lang w:val="en-AU"/>
        </w:rPr>
      </w:pPr>
      <w:r w:rsidRPr="000859B4">
        <w:rPr>
          <w:rStyle w:val="FootnoteReference"/>
          <w:lang w:val="en-AU"/>
        </w:rPr>
        <w:footnoteRef/>
      </w:r>
      <w:r w:rsidRPr="000859B4">
        <w:rPr>
          <w:lang w:val="en-AU"/>
        </w:rPr>
        <w:t xml:space="preserve"> In 2012 enrolment at the PNG campus averaged only 38 students per semester, compared with an average of 165 students in </w:t>
      </w:r>
      <w:r w:rsidRPr="00725A30">
        <w:rPr>
          <w:lang w:val="en-AU"/>
        </w:rPr>
        <w:t xml:space="preserve">all </w:t>
      </w:r>
      <w:r w:rsidRPr="000859B4">
        <w:rPr>
          <w:lang w:val="en-AU"/>
        </w:rPr>
        <w:t xml:space="preserve">semesters </w:t>
      </w:r>
      <w:r w:rsidRPr="00725A30">
        <w:rPr>
          <w:lang w:val="en-AU"/>
        </w:rPr>
        <w:t>since 2012.</w:t>
      </w:r>
      <w:r w:rsidRPr="000859B4">
        <w:rPr>
          <w:lang w:val="en-AU"/>
        </w:rPr>
        <w:t xml:space="preserve"> </w:t>
      </w:r>
    </w:p>
  </w:footnote>
  <w:footnote w:id="42">
    <w:p w14:paraId="5C3BEFF4" w14:textId="77777777" w:rsidR="00325FEF" w:rsidRPr="000859B4" w:rsidRDefault="00325FEF" w:rsidP="0052555C">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APTC 2012–13 Annual Report and Plan: p. 34</w:t>
      </w:r>
    </w:p>
  </w:footnote>
  <w:footnote w:id="43">
    <w:p w14:paraId="02713850" w14:textId="77777777" w:rsidR="00325FEF" w:rsidRPr="000859B4" w:rsidRDefault="00325FEF" w:rsidP="0052555C">
      <w:pPr>
        <w:pStyle w:val="FootnoteText"/>
        <w:rPr>
          <w:rFonts w:cs="Arial"/>
          <w:szCs w:val="16"/>
          <w:lang w:val="en-AU"/>
        </w:rPr>
      </w:pPr>
      <w:r w:rsidRPr="000859B4">
        <w:rPr>
          <w:rStyle w:val="FootnoteReference"/>
          <w:rFonts w:cs="Arial"/>
          <w:lang w:val="en-AU"/>
        </w:rPr>
        <w:footnoteRef/>
      </w:r>
      <w:r w:rsidRPr="000859B4">
        <w:rPr>
          <w:rFonts w:cs="Arial"/>
          <w:szCs w:val="16"/>
          <w:lang w:val="en-AU"/>
        </w:rPr>
        <w:t>Ibid: p. 21</w:t>
      </w:r>
    </w:p>
  </w:footnote>
  <w:footnote w:id="44">
    <w:p w14:paraId="0698CBA2" w14:textId="77777777" w:rsidR="00325FEF" w:rsidRPr="000859B4" w:rsidRDefault="00325FEF" w:rsidP="0029400E">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Ibid: p. 8</w:t>
      </w:r>
    </w:p>
  </w:footnote>
  <w:footnote w:id="45">
    <w:p w14:paraId="4A946312" w14:textId="39804F8B" w:rsidR="00325FEF" w:rsidRPr="000859B4" w:rsidRDefault="00325FEF" w:rsidP="0027238D">
      <w:pPr>
        <w:pStyle w:val="FootnoteText"/>
        <w:rPr>
          <w:lang w:val="en-AU"/>
        </w:rPr>
      </w:pPr>
      <w:r w:rsidRPr="000859B4">
        <w:rPr>
          <w:rStyle w:val="FootnoteReference"/>
          <w:lang w:val="en-AU"/>
        </w:rPr>
        <w:footnoteRef/>
      </w:r>
      <w:r w:rsidRPr="000859B4">
        <w:rPr>
          <w:lang w:val="en-AU"/>
        </w:rPr>
        <w:t xml:space="preserve"> NCVER, 2013</w:t>
      </w:r>
      <w:r>
        <w:rPr>
          <w:lang w:val="en-AU"/>
        </w:rPr>
        <w:t xml:space="preserve">, </w:t>
      </w:r>
      <w:r w:rsidRPr="000859B4">
        <w:rPr>
          <w:lang w:val="en-AU"/>
        </w:rPr>
        <w:t>APTC Graduates Down the Track, p.</w:t>
      </w:r>
      <w:r>
        <w:rPr>
          <w:lang w:val="en-AU"/>
        </w:rPr>
        <w:t xml:space="preserve"> </w:t>
      </w:r>
      <w:r w:rsidRPr="000859B4">
        <w:rPr>
          <w:lang w:val="en-AU"/>
        </w:rPr>
        <w:t>17 and Appendix B, Table B1</w:t>
      </w:r>
    </w:p>
  </w:footnote>
  <w:footnote w:id="46">
    <w:p w14:paraId="1A1E698E" w14:textId="77777777" w:rsidR="00325FEF" w:rsidRPr="0004731C" w:rsidRDefault="00325FEF" w:rsidP="00D43B2F">
      <w:pPr>
        <w:pStyle w:val="FootnoteText"/>
        <w:rPr>
          <w:lang w:val="en-US"/>
        </w:rPr>
      </w:pPr>
      <w:r>
        <w:rPr>
          <w:rStyle w:val="FootnoteReference"/>
        </w:rPr>
        <w:footnoteRef/>
      </w:r>
      <w:r w:rsidRPr="0007405C">
        <w:t>It has to be kept in mind that APTC upgrades those already in the labour force, either existing workers or NIEs. The apparently low proportion of enrolments may reflect the low proportion of persons with disabilities in APTC-type occupations in the labour force.</w:t>
      </w:r>
      <w:r>
        <w:t xml:space="preserve"> </w:t>
      </w:r>
    </w:p>
  </w:footnote>
  <w:footnote w:id="47">
    <w:p w14:paraId="13EB6B7E" w14:textId="14654549" w:rsidR="00325FEF" w:rsidRPr="000859B4" w:rsidRDefault="00325FEF" w:rsidP="00100794">
      <w:pPr>
        <w:pStyle w:val="FootnoteText"/>
        <w:rPr>
          <w:lang w:val="en-AU"/>
        </w:rPr>
      </w:pPr>
      <w:r w:rsidRPr="000859B4">
        <w:rPr>
          <w:rStyle w:val="FootnoteReference"/>
          <w:lang w:val="en-AU"/>
        </w:rPr>
        <w:footnoteRef/>
      </w:r>
      <w:r w:rsidRPr="000859B4">
        <w:rPr>
          <w:lang w:val="en-AU"/>
        </w:rPr>
        <w:t xml:space="preserve"> Ibid., Table B1, and p.</w:t>
      </w:r>
      <w:r>
        <w:rPr>
          <w:lang w:val="en-AU"/>
        </w:rPr>
        <w:t xml:space="preserve"> 20</w:t>
      </w:r>
    </w:p>
  </w:footnote>
  <w:footnote w:id="48">
    <w:p w14:paraId="67EC16FE" w14:textId="77777777" w:rsidR="00325FEF" w:rsidRPr="000859B4" w:rsidRDefault="00325FEF" w:rsidP="0052555C">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APTC. (2010) Stage II Scope of Services: p. 3</w:t>
      </w:r>
    </w:p>
  </w:footnote>
  <w:footnote w:id="49">
    <w:p w14:paraId="673B0003" w14:textId="77777777" w:rsidR="00325FEF" w:rsidRPr="000859B4" w:rsidRDefault="00325FEF" w:rsidP="00F7315C">
      <w:pPr>
        <w:pStyle w:val="FootnoteText"/>
        <w:rPr>
          <w:rFonts w:cs="Arial"/>
          <w:szCs w:val="16"/>
          <w:lang w:val="en-AU"/>
        </w:rPr>
      </w:pPr>
      <w:r w:rsidRPr="000859B4">
        <w:rPr>
          <w:rStyle w:val="FootnoteReference"/>
          <w:lang w:val="en-AU"/>
        </w:rPr>
        <w:footnoteRef/>
      </w:r>
      <w:r w:rsidRPr="000859B4">
        <w:rPr>
          <w:lang w:val="en-AU"/>
        </w:rPr>
        <w:t xml:space="preserve"> </w:t>
      </w:r>
      <w:r w:rsidRPr="000859B4">
        <w:rPr>
          <w:rFonts w:cs="Arial"/>
          <w:szCs w:val="16"/>
          <w:lang w:val="en-AU"/>
        </w:rPr>
        <w:t>Schofield, K., Tan, H., Bryant, C. and Catchlove, J. (2009). APTC Mid-Term Review – Final Report. Prepared for AusAID, Australian High Commission, Suva, Fiji: xix</w:t>
      </w:r>
    </w:p>
  </w:footnote>
  <w:footnote w:id="50">
    <w:p w14:paraId="5D7C68F3" w14:textId="77777777" w:rsidR="00325FEF" w:rsidRPr="000859B4" w:rsidRDefault="00325FEF" w:rsidP="00A42505">
      <w:pPr>
        <w:pStyle w:val="FootnoteText"/>
        <w:rPr>
          <w:rFonts w:cs="Arial"/>
          <w:szCs w:val="16"/>
          <w:lang w:val="en-AU"/>
        </w:rPr>
      </w:pPr>
      <w:r w:rsidRPr="000859B4">
        <w:rPr>
          <w:rStyle w:val="FootnoteReference"/>
          <w:lang w:val="en-AU"/>
        </w:rPr>
        <w:footnoteRef/>
      </w:r>
      <w:r w:rsidRPr="000859B4">
        <w:rPr>
          <w:lang w:val="en-AU"/>
        </w:rPr>
        <w:t xml:space="preserve"> </w:t>
      </w:r>
      <w:r w:rsidRPr="000859B4">
        <w:rPr>
          <w:rFonts w:cs="Arial"/>
          <w:szCs w:val="16"/>
          <w:lang w:val="en-AU"/>
        </w:rPr>
        <w:t>Expatriate trainers can be moved more easily to other campus countries than national trainers.</w:t>
      </w:r>
    </w:p>
  </w:footnote>
  <w:footnote w:id="51">
    <w:p w14:paraId="08D327C5" w14:textId="47495144" w:rsidR="00325FEF" w:rsidRPr="00725A30" w:rsidRDefault="00325FEF" w:rsidP="002A4907">
      <w:pPr>
        <w:pStyle w:val="FootnoteText"/>
        <w:rPr>
          <w:lang w:val="en-AU"/>
        </w:rPr>
      </w:pPr>
      <w:r w:rsidRPr="000859B4">
        <w:rPr>
          <w:rStyle w:val="FootnoteReference"/>
          <w:lang w:val="en-AU"/>
        </w:rPr>
        <w:footnoteRef/>
      </w:r>
      <w:r w:rsidRPr="000859B4">
        <w:rPr>
          <w:lang w:val="en-AU"/>
        </w:rPr>
        <w:t xml:space="preserve"> The main source of information on APTC migrants is a database compiled by APTC based on data on graduates who have migrated. As well as information on country migrated to, and reason for migrating, the APTC database also has data on country of origin, sex, age, qualification, year of graduation, vocational skill </w:t>
      </w:r>
      <w:r>
        <w:rPr>
          <w:lang w:val="en-AU"/>
        </w:rPr>
        <w:t>and</w:t>
      </w:r>
      <w:r w:rsidRPr="000859B4">
        <w:rPr>
          <w:lang w:val="en-AU"/>
        </w:rPr>
        <w:t xml:space="preserve"> knowledge and language, literacy </w:t>
      </w:r>
      <w:r>
        <w:rPr>
          <w:lang w:val="en-AU"/>
        </w:rPr>
        <w:t>and</w:t>
      </w:r>
      <w:r w:rsidRPr="000859B4">
        <w:rPr>
          <w:lang w:val="en-AU"/>
        </w:rPr>
        <w:t xml:space="preserve"> numeracy test scores, whether employed before APTC and whether awarded a scholarship.</w:t>
      </w:r>
    </w:p>
  </w:footnote>
  <w:footnote w:id="52">
    <w:p w14:paraId="27A95CDA" w14:textId="77777777" w:rsidR="00325FEF" w:rsidRPr="00725A30" w:rsidRDefault="00325FEF" w:rsidP="002A4907">
      <w:pPr>
        <w:pStyle w:val="FootnoteText"/>
        <w:rPr>
          <w:lang w:val="en-AU"/>
        </w:rPr>
      </w:pPr>
      <w:r w:rsidRPr="000859B4">
        <w:rPr>
          <w:rStyle w:val="FootnoteReference"/>
          <w:sz w:val="16"/>
          <w:lang w:val="en-AU"/>
        </w:rPr>
        <w:footnoteRef/>
      </w:r>
      <w:r w:rsidRPr="000859B4">
        <w:rPr>
          <w:lang w:val="en-AU"/>
        </w:rPr>
        <w:t xml:space="preserve"> The proportion of graduates from Stage I in eligible occupations and the required qualification level is 49 per cent. In Stage II it is 42 per cent.</w:t>
      </w:r>
    </w:p>
  </w:footnote>
  <w:footnote w:id="53">
    <w:p w14:paraId="0B346EEE" w14:textId="5EBC8827" w:rsidR="00325FEF" w:rsidRPr="00725A30" w:rsidRDefault="00325FEF" w:rsidP="00E04778">
      <w:pPr>
        <w:pStyle w:val="FootnoteText"/>
        <w:rPr>
          <w:lang w:val="en-AU"/>
        </w:rPr>
      </w:pPr>
      <w:r w:rsidRPr="000859B4">
        <w:rPr>
          <w:rStyle w:val="FootnoteReference"/>
          <w:lang w:val="en-AU"/>
        </w:rPr>
        <w:footnoteRef/>
      </w:r>
      <w:r w:rsidRPr="000859B4">
        <w:rPr>
          <w:lang w:val="en-AU"/>
        </w:rPr>
        <w:t xml:space="preserve"> The 2011 Australian Census shows that Samoa has the largest number of residents in Australia originally from the Pacific who identify as being Samoan numbering 55,846, followed by Tonga with 25,095 and Fiji with 23,768. Residents who identify as being from </w:t>
      </w:r>
      <w:r>
        <w:rPr>
          <w:lang w:val="en-AU"/>
        </w:rPr>
        <w:t>PNG</w:t>
      </w:r>
      <w:r w:rsidRPr="000859B4">
        <w:rPr>
          <w:lang w:val="en-AU"/>
        </w:rPr>
        <w:t xml:space="preserve"> number 15,462, Solomon Islands 1401 and Vanuatu 706. (See Richard Curtain, 2014, Labour mobility between the Pacific and Australia, Development Policy Centre, ANU, 4 June, Table 5, p</w:t>
      </w:r>
      <w:r>
        <w:rPr>
          <w:lang w:val="en-AU"/>
        </w:rPr>
        <w:t>.</w:t>
      </w:r>
      <w:r w:rsidRPr="000859B4">
        <w:rPr>
          <w:lang w:val="en-AU"/>
        </w:rPr>
        <w:t xml:space="preserve"> 6)</w:t>
      </w:r>
    </w:p>
  </w:footnote>
  <w:footnote w:id="54">
    <w:p w14:paraId="02561921" w14:textId="77777777" w:rsidR="00325FEF" w:rsidRPr="00725A30" w:rsidRDefault="00325FEF" w:rsidP="00E04778">
      <w:pPr>
        <w:pStyle w:val="FootnoteText"/>
        <w:rPr>
          <w:lang w:val="en-AU"/>
        </w:rPr>
      </w:pPr>
      <w:r w:rsidRPr="000859B4">
        <w:rPr>
          <w:rStyle w:val="FootnoteReference"/>
          <w:lang w:val="en-AU"/>
        </w:rPr>
        <w:footnoteRef/>
      </w:r>
      <w:r w:rsidRPr="000859B4">
        <w:rPr>
          <w:lang w:val="en-AU"/>
        </w:rPr>
        <w:t xml:space="preserve"> </w:t>
      </w:r>
      <w:r w:rsidRPr="00725A30">
        <w:rPr>
          <w:lang w:val="en-AU"/>
        </w:rPr>
        <w:t>As noted in the footnote above.</w:t>
      </w:r>
    </w:p>
  </w:footnote>
  <w:footnote w:id="55">
    <w:p w14:paraId="275BD816" w14:textId="4C32838E" w:rsidR="00325FEF" w:rsidRPr="00725A30" w:rsidRDefault="00325FEF" w:rsidP="009B4045">
      <w:pPr>
        <w:pStyle w:val="FootnoteText"/>
        <w:rPr>
          <w:lang w:val="en-AU"/>
        </w:rPr>
      </w:pPr>
      <w:r w:rsidRPr="000859B4">
        <w:rPr>
          <w:rStyle w:val="FootnoteReference"/>
          <w:lang w:val="en-AU"/>
        </w:rPr>
        <w:footnoteRef/>
      </w:r>
      <w:r w:rsidRPr="000859B4">
        <w:rPr>
          <w:lang w:val="en-AU"/>
        </w:rPr>
        <w:t xml:space="preserve"> The Australian Department of Employment collects data on and publishes lists of skill shortages at the national and state and territory levels. However, this research does not quantify the extent of skill shortages because of the limited sample sizes of the surveys used in the analysis. There is a substantial overlap between the Department of Immigration &amp; Border Protection's Consolidated Sponsored Occupation List and the Department of Employment's Indicative Skill Shortage Ratings. However, there are some skilled occupations in shortage that are not eligible for skilled migration visas. Examples relevant to the APTC qualifications are motor mechanic and child care worker.</w:t>
      </w:r>
    </w:p>
  </w:footnote>
  <w:footnote w:id="56">
    <w:p w14:paraId="097D8303" w14:textId="77777777" w:rsidR="00325FEF" w:rsidRPr="00725A30" w:rsidRDefault="00325FEF" w:rsidP="009B4045">
      <w:pPr>
        <w:pStyle w:val="FootnoteText"/>
        <w:rPr>
          <w:lang w:val="en-AU"/>
        </w:rPr>
      </w:pPr>
      <w:r w:rsidRPr="000859B4">
        <w:rPr>
          <w:rStyle w:val="FootnoteReference"/>
          <w:lang w:val="en-AU"/>
        </w:rPr>
        <w:footnoteRef/>
      </w:r>
      <w:r w:rsidRPr="000859B4">
        <w:rPr>
          <w:lang w:val="en-AU"/>
        </w:rPr>
        <w:t xml:space="preserve"> Exemptions to this language requirement are granted to passport holders from Canada, United States of America, United Kingdom, Republic of Ireland and New Zealand. Exemptions are also granted to applicants who can provide evidence that they have completed at least five consecutive years of full-time study in a secondary and/or higher education institution where the instruction was delivered in English.</w:t>
      </w:r>
    </w:p>
  </w:footnote>
  <w:footnote w:id="57">
    <w:p w14:paraId="2F17B45A" w14:textId="77777777" w:rsidR="00325FEF" w:rsidRPr="000859B4" w:rsidRDefault="00325FEF" w:rsidP="009B4045">
      <w:pPr>
        <w:pStyle w:val="FootnoteText"/>
        <w:rPr>
          <w:lang w:val="en-AU"/>
        </w:rPr>
      </w:pPr>
      <w:r w:rsidRPr="000859B4">
        <w:rPr>
          <w:rStyle w:val="FootnoteReference"/>
          <w:lang w:val="en-AU"/>
        </w:rPr>
        <w:footnoteRef/>
      </w:r>
      <w:r w:rsidRPr="000859B4">
        <w:rPr>
          <w:lang w:val="en-AU"/>
        </w:rPr>
        <w:t xml:space="preserve"> Data from the PNG at the required level of detail are not available.</w:t>
      </w:r>
    </w:p>
  </w:footnote>
  <w:footnote w:id="58">
    <w:p w14:paraId="1C631AA7" w14:textId="7064C45B" w:rsidR="00325FEF" w:rsidRPr="000859B4" w:rsidRDefault="00325FEF" w:rsidP="00D152FD">
      <w:pPr>
        <w:pStyle w:val="FootnoteText"/>
        <w:rPr>
          <w:lang w:val="en-AU"/>
        </w:rPr>
      </w:pPr>
      <w:r w:rsidRPr="000859B4">
        <w:rPr>
          <w:rStyle w:val="FootnoteReference"/>
          <w:lang w:val="en-AU"/>
        </w:rPr>
        <w:footnoteRef/>
      </w:r>
      <w:r w:rsidRPr="000859B4">
        <w:rPr>
          <w:lang w:val="en-AU"/>
        </w:rPr>
        <w:t xml:space="preserve"> Feedback from representatives of the Electricity Power Corporation (EPC) in Samoa was later confirmed by the APTC country manager for Samoa who provided an AP</w:t>
      </w:r>
      <w:r>
        <w:rPr>
          <w:lang w:val="en-AU"/>
        </w:rPr>
        <w:t xml:space="preserve">TC Impact Case Study entitled: </w:t>
      </w:r>
      <w:r w:rsidRPr="001007B9">
        <w:rPr>
          <w:i/>
          <w:lang w:val="en-AU"/>
        </w:rPr>
        <w:t>Industry Capability Development Training for Business Success: Investment in employee training and development is paying off for Samoa's Electricity Power Corporation</w:t>
      </w:r>
      <w:r w:rsidRPr="000859B4">
        <w:rPr>
          <w:lang w:val="en-AU"/>
        </w:rPr>
        <w:t>. The case study noted:</w:t>
      </w:r>
      <w:r>
        <w:rPr>
          <w:lang w:val="en-AU"/>
        </w:rPr>
        <w:t xml:space="preserve"> </w:t>
      </w:r>
      <w:r w:rsidRPr="000859B4">
        <w:rPr>
          <w:lang w:val="en-AU"/>
        </w:rPr>
        <w:t xml:space="preserve">”Investing in employees' training has direct financial benefits for EPC by enabling local employees to perform at a higher level, therefore reducing the reliance on overseas consultants for regular maintenance activity. 'For the future of EPC we want to lessen the cost of relying on experts coming from overseas. That is a high cost and we don't want that, we want our own staff to do that', says [Douglas Tomane, EPC Training and Development Officer]”. The case study noted that five APTC graduates had gone to New Zealand for degree level studies [in engineering]. </w:t>
      </w:r>
    </w:p>
    <w:p w14:paraId="210237C3" w14:textId="0BD0858C" w:rsidR="00325FEF" w:rsidRPr="000859B4" w:rsidRDefault="00325FEF" w:rsidP="00D152FD">
      <w:pPr>
        <w:pStyle w:val="FootnoteText"/>
        <w:rPr>
          <w:lang w:val="en-AU"/>
        </w:rPr>
      </w:pPr>
      <w:r w:rsidRPr="000859B4">
        <w:rPr>
          <w:lang w:val="en-AU"/>
        </w:rPr>
        <w:t>Feedback from an employer in Vanuatu noted that: ”We have been able to drop two expatriate staff, which has been a significant saving to the payroll.</w:t>
      </w:r>
      <w:r w:rsidRPr="00725A30">
        <w:rPr>
          <w:lang w:val="en-AU"/>
        </w:rPr>
        <w:t>”</w:t>
      </w:r>
    </w:p>
  </w:footnote>
  <w:footnote w:id="59">
    <w:p w14:paraId="093793A6" w14:textId="77777777" w:rsidR="00325FEF" w:rsidRPr="000859B4" w:rsidRDefault="00325FEF" w:rsidP="000913FE">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w:t>
      </w:r>
      <w:r w:rsidRPr="00725A30">
        <w:rPr>
          <w:rFonts w:cs="Arial"/>
          <w:szCs w:val="16"/>
          <w:lang w:val="en-AU"/>
        </w:rPr>
        <w:t>Actually, the review team’s unit cost estimate for the eight years of Stages I and II is a bit lower than this.</w:t>
      </w:r>
    </w:p>
  </w:footnote>
  <w:footnote w:id="60">
    <w:p w14:paraId="3427FADB" w14:textId="77777777" w:rsidR="00325FEF" w:rsidRPr="000859B4" w:rsidRDefault="00325FEF" w:rsidP="00622527">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www.microsoft.com/en-us/dynamics/erp-nav-overview.aspx</w:t>
      </w:r>
    </w:p>
  </w:footnote>
  <w:footnote w:id="61">
    <w:p w14:paraId="7CCF7C32" w14:textId="77777777" w:rsidR="00325FEF" w:rsidRPr="000859B4" w:rsidRDefault="00325FEF" w:rsidP="00EE2799">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www.microsoft.com/en-us/dynamics/crm.aspx</w:t>
      </w:r>
    </w:p>
  </w:footnote>
  <w:footnote w:id="62">
    <w:p w14:paraId="4789D105" w14:textId="77777777" w:rsidR="00325FEF" w:rsidRPr="00725A30" w:rsidRDefault="00325FEF">
      <w:pPr>
        <w:pStyle w:val="FootnoteText"/>
        <w:rPr>
          <w:rFonts w:cs="Arial"/>
          <w:szCs w:val="16"/>
          <w:lang w:val="en-AU"/>
        </w:rPr>
      </w:pPr>
      <w:r w:rsidRPr="00725A30">
        <w:rPr>
          <w:rStyle w:val="FootnoteReference"/>
          <w:rFonts w:cs="Arial"/>
          <w:lang w:val="en-AU"/>
        </w:rPr>
        <w:footnoteRef/>
      </w:r>
      <w:r w:rsidRPr="00725A30">
        <w:rPr>
          <w:rFonts w:cs="Arial"/>
          <w:szCs w:val="16"/>
          <w:lang w:val="en-AU"/>
        </w:rPr>
        <w:t xml:space="preserve"> www.oracle.com/us/products/applications/peoplesoft-enterprise/campus-solutions/overview/index.html</w:t>
      </w:r>
    </w:p>
  </w:footnote>
  <w:footnote w:id="63">
    <w:p w14:paraId="2D05B1DC" w14:textId="77777777" w:rsidR="00325FEF" w:rsidRPr="000859B4" w:rsidRDefault="00325FEF">
      <w:pPr>
        <w:pStyle w:val="FootnoteText"/>
        <w:rPr>
          <w:rFonts w:cs="Arial"/>
          <w:szCs w:val="16"/>
          <w:lang w:val="en-AU"/>
        </w:rPr>
      </w:pPr>
      <w:r w:rsidRPr="000859B4">
        <w:rPr>
          <w:rStyle w:val="FootnoteReference"/>
          <w:rFonts w:cs="Arial"/>
          <w:lang w:val="en-AU"/>
        </w:rPr>
        <w:footnoteRef/>
      </w:r>
      <w:r w:rsidRPr="000859B4">
        <w:rPr>
          <w:rFonts w:cs="Arial"/>
          <w:szCs w:val="16"/>
          <w:lang w:val="en-AU"/>
        </w:rPr>
        <w:t xml:space="preserve"> www.smartcorp.com/</w:t>
      </w:r>
    </w:p>
  </w:footnote>
  <w:footnote w:id="64">
    <w:p w14:paraId="4E851B17" w14:textId="77777777" w:rsidR="00325FEF" w:rsidRPr="000859B4" w:rsidRDefault="00325FEF">
      <w:pPr>
        <w:pStyle w:val="FootnoteText"/>
        <w:rPr>
          <w:rFonts w:cs="Arial"/>
          <w:lang w:val="en-AU"/>
        </w:rPr>
      </w:pPr>
      <w:r w:rsidRPr="000859B4">
        <w:rPr>
          <w:rStyle w:val="FootnoteReference"/>
          <w:rFonts w:cs="Arial"/>
          <w:lang w:val="en-AU"/>
        </w:rPr>
        <w:footnoteRef/>
      </w:r>
      <w:r w:rsidRPr="000859B4">
        <w:rPr>
          <w:rFonts w:cs="Arial"/>
          <w:lang w:val="en-AU"/>
        </w:rPr>
        <w:t xml:space="preserve"> </w:t>
      </w:r>
      <w:r w:rsidRPr="00725A30">
        <w:rPr>
          <w:rFonts w:cs="Arial"/>
          <w:lang w:val="en-AU"/>
        </w:rPr>
        <w:t>TAFEQEC’s, for example, must tie into TAFEQ’s larger system, given that it is just one of several institutes under the TAFEQ parental umbrella.</w:t>
      </w:r>
    </w:p>
  </w:footnote>
  <w:footnote w:id="65">
    <w:p w14:paraId="636D16D9" w14:textId="77777777" w:rsidR="00325FEF" w:rsidRPr="000859B4" w:rsidRDefault="00325FEF">
      <w:pPr>
        <w:pStyle w:val="FootnoteText"/>
        <w:rPr>
          <w:rFonts w:cs="Arial"/>
          <w:lang w:val="en-AU"/>
        </w:rPr>
      </w:pPr>
      <w:r w:rsidRPr="000859B4">
        <w:rPr>
          <w:rStyle w:val="FootnoteReference"/>
          <w:rFonts w:cs="Arial"/>
          <w:lang w:val="en-AU"/>
        </w:rPr>
        <w:footnoteRef/>
      </w:r>
      <w:r w:rsidRPr="000859B4">
        <w:rPr>
          <w:rFonts w:cs="Arial"/>
          <w:lang w:val="en-AU"/>
        </w:rPr>
        <w:t xml:space="preserve"> </w:t>
      </w:r>
      <w:r w:rsidRPr="000859B4">
        <w:rPr>
          <w:rFonts w:cs="Arial"/>
          <w:shd w:val="clear" w:color="auto" w:fill="FFFFFF"/>
          <w:lang w:val="en-AU"/>
        </w:rPr>
        <w:t>www.get</w:t>
      </w:r>
      <w:r w:rsidRPr="000859B4">
        <w:rPr>
          <w:rFonts w:cs="Arial"/>
          <w:bCs/>
          <w:shd w:val="clear" w:color="auto" w:fill="FFFFFF"/>
          <w:lang w:val="en-AU"/>
        </w:rPr>
        <w:t>flow</w:t>
      </w:r>
      <w:r w:rsidRPr="000859B4">
        <w:rPr>
          <w:rFonts w:cs="Arial"/>
          <w:shd w:val="clear" w:color="auto" w:fill="FFFFFF"/>
          <w:lang w:val="en-AU"/>
        </w:rPr>
        <w:t>.com/</w:t>
      </w:r>
    </w:p>
  </w:footnote>
  <w:footnote w:id="66">
    <w:p w14:paraId="6B126656" w14:textId="77777777" w:rsidR="00325FEF" w:rsidRPr="000859B4" w:rsidRDefault="00325FEF" w:rsidP="00CC25A9">
      <w:pPr>
        <w:pStyle w:val="FootnoteText"/>
        <w:rPr>
          <w:rFonts w:cs="Arial"/>
          <w:lang w:val="en-AU"/>
        </w:rPr>
      </w:pPr>
      <w:r w:rsidRPr="000859B4">
        <w:rPr>
          <w:rStyle w:val="FootnoteReference"/>
          <w:rFonts w:cs="Arial"/>
          <w:lang w:val="en-AU"/>
        </w:rPr>
        <w:footnoteRef/>
      </w:r>
      <w:r w:rsidRPr="000859B4">
        <w:rPr>
          <w:rFonts w:cs="Arial"/>
          <w:lang w:val="en-AU"/>
        </w:rPr>
        <w:t xml:space="preserve"> www.bluesoftware.com/</w:t>
      </w:r>
    </w:p>
  </w:footnote>
  <w:footnote w:id="67">
    <w:p w14:paraId="3BECD379" w14:textId="101E5CA7" w:rsidR="00325FEF" w:rsidRPr="000859B4" w:rsidRDefault="00325FEF" w:rsidP="00CC25A9">
      <w:pPr>
        <w:pStyle w:val="FootnoteText"/>
        <w:rPr>
          <w:rFonts w:cs="Arial"/>
          <w:lang w:val="en-AU"/>
        </w:rPr>
      </w:pPr>
      <w:r w:rsidRPr="000859B4">
        <w:rPr>
          <w:rStyle w:val="FootnoteReference"/>
          <w:rFonts w:cs="Arial"/>
          <w:lang w:val="en-AU"/>
        </w:rPr>
        <w:footnoteRef/>
      </w:r>
      <w:r w:rsidRPr="000859B4">
        <w:rPr>
          <w:rFonts w:cs="Arial"/>
          <w:lang w:val="en-AU"/>
        </w:rPr>
        <w:t xml:space="preserve"> The PAF is divided into five areas: starting with marketing, reputation and image, followed by partnerships, quality learning, student and scholarship management and management and governance. (Schedule 1, Scope of Services, APTC DD Annex F.)</w:t>
      </w:r>
    </w:p>
  </w:footnote>
  <w:footnote w:id="68">
    <w:p w14:paraId="0779A7E5" w14:textId="5F78C403" w:rsidR="00325FEF" w:rsidRPr="000859B4" w:rsidRDefault="00325FEF" w:rsidP="000913FE">
      <w:pPr>
        <w:pStyle w:val="FootnoteText"/>
        <w:rPr>
          <w:rFonts w:cs="Arial"/>
          <w:lang w:val="en-AU"/>
        </w:rPr>
      </w:pPr>
      <w:r w:rsidRPr="000859B4">
        <w:rPr>
          <w:rStyle w:val="FootnoteReference"/>
          <w:rFonts w:cs="Arial"/>
          <w:lang w:val="en-AU"/>
        </w:rPr>
        <w:footnoteRef/>
      </w:r>
      <w:r w:rsidRPr="000859B4">
        <w:rPr>
          <w:rFonts w:cs="Arial"/>
          <w:lang w:val="en-AU"/>
        </w:rPr>
        <w:t xml:space="preserve"> The field work and analysis for this independent review were conducted between June and September of 2014. All of the financial and educational data reported in the review reflect actual values for the seven years from July 2007</w:t>
      </w:r>
      <w:r>
        <w:rPr>
          <w:rFonts w:cs="Arial"/>
          <w:lang w:val="en-AU"/>
        </w:rPr>
        <w:t>–</w:t>
      </w:r>
      <w:r w:rsidRPr="000859B4">
        <w:rPr>
          <w:rFonts w:cs="Arial"/>
          <w:lang w:val="en-AU"/>
        </w:rPr>
        <w:t>June 2014, whereas all later data (from July 2014) are projected figures.</w:t>
      </w:r>
    </w:p>
  </w:footnote>
  <w:footnote w:id="69">
    <w:p w14:paraId="0816960D" w14:textId="5EB7A16C" w:rsidR="00325FEF" w:rsidRPr="000859B4" w:rsidRDefault="00325FEF" w:rsidP="009864DB">
      <w:pPr>
        <w:pStyle w:val="FootnoteText"/>
        <w:rPr>
          <w:lang w:val="en-AU"/>
        </w:rPr>
      </w:pPr>
      <w:r w:rsidRPr="000859B4">
        <w:rPr>
          <w:rStyle w:val="FootnoteReference"/>
          <w:lang w:val="en-AU"/>
        </w:rPr>
        <w:footnoteRef/>
      </w:r>
      <w:r w:rsidRPr="000859B4">
        <w:rPr>
          <w:lang w:val="en-AU"/>
        </w:rPr>
        <w:t xml:space="preserve"> The review team acknowledges a mistake in the dollar figure shown for </w:t>
      </w:r>
      <w:r w:rsidRPr="000859B4">
        <w:rPr>
          <w:i/>
          <w:lang w:val="en-AU"/>
        </w:rPr>
        <w:t>Stage II management fees</w:t>
      </w:r>
      <w:r w:rsidRPr="000859B4">
        <w:rPr>
          <w:lang w:val="en-AU"/>
        </w:rPr>
        <w:t xml:space="preserve">. The amount should be $20.7 million and not $20.1 million (see Figure 3, below). This mistake resulted in a comparable underestimation of </w:t>
      </w:r>
      <w:r w:rsidRPr="000859B4">
        <w:rPr>
          <w:i/>
          <w:lang w:val="en-AU"/>
        </w:rPr>
        <w:t>Stage II total costs</w:t>
      </w:r>
      <w:r w:rsidRPr="000859B4">
        <w:rPr>
          <w:lang w:val="en-AU"/>
        </w:rPr>
        <w:t>. The total should be $144,036,546 and not $143,417,171</w:t>
      </w:r>
      <w:r>
        <w:rPr>
          <w:lang w:val="en-AU"/>
        </w:rPr>
        <w:t xml:space="preserve"> (</w:t>
      </w:r>
      <w:r w:rsidRPr="000859B4">
        <w:rPr>
          <w:lang w:val="en-AU"/>
        </w:rPr>
        <w:t xml:space="preserve">the figure that appears throughout this independent </w:t>
      </w:r>
      <w:r w:rsidRPr="00AF07B6">
        <w:rPr>
          <w:lang w:val="en-AU"/>
        </w:rPr>
        <w:t>review</w:t>
      </w:r>
      <w:r>
        <w:rPr>
          <w:lang w:val="en-AU"/>
        </w:rPr>
        <w:t xml:space="preserve">), </w:t>
      </w:r>
      <w:r w:rsidRPr="00AF07B6">
        <w:rPr>
          <w:lang w:val="en-AU"/>
        </w:rPr>
        <w:t>a 0.4 per cent difference</w:t>
      </w:r>
      <w:r>
        <w:rPr>
          <w:lang w:val="en-AU"/>
        </w:rPr>
        <w:t>.</w:t>
      </w:r>
      <w:r w:rsidRPr="000859B4">
        <w:rPr>
          <w:lang w:val="en-AU"/>
        </w:rPr>
        <w:t xml:space="preserve"> The review team apologises for the mistake, which may have been a clerical error, or it may have been based on an earlier set of cost figures used for the analysis. The lower total cost figure has resulted in unit cost estimates slightly lower, and economic rate of return estimates slightly higher than they would be if the higher total cost figure were used in a re-estimation of all of the quantitative results. Given the relatively small size of the difference between the two dollar figures, the conclusions and recommendations based on these different results would be the same.</w:t>
      </w:r>
    </w:p>
  </w:footnote>
  <w:footnote w:id="70">
    <w:p w14:paraId="612AB4FC" w14:textId="6727BB63" w:rsidR="00325FEF" w:rsidRPr="000859B4" w:rsidRDefault="00325FEF" w:rsidP="000913FE">
      <w:pPr>
        <w:pStyle w:val="FootnoteText"/>
        <w:rPr>
          <w:rFonts w:cs="Arial"/>
          <w:lang w:val="en-AU"/>
        </w:rPr>
      </w:pPr>
      <w:r w:rsidRPr="000859B4">
        <w:rPr>
          <w:rStyle w:val="FootnoteReference"/>
          <w:rFonts w:cs="Arial"/>
          <w:sz w:val="16"/>
          <w:lang w:val="en-AU"/>
        </w:rPr>
        <w:footnoteRef/>
      </w:r>
      <w:r w:rsidRPr="000859B4">
        <w:rPr>
          <w:rFonts w:cs="Arial"/>
          <w:lang w:val="en-AU"/>
        </w:rPr>
        <w:t xml:space="preserve"> Scholarships, for students given them, cover transportation and accommodation costs</w:t>
      </w:r>
      <w:r>
        <w:rPr>
          <w:rFonts w:cs="Arial"/>
          <w:lang w:val="en-AU"/>
        </w:rPr>
        <w:t>.</w:t>
      </w:r>
      <w:r w:rsidRPr="000859B4">
        <w:rPr>
          <w:rFonts w:cs="Arial"/>
          <w:lang w:val="en-AU"/>
        </w:rPr>
        <w:t xml:space="preserve"> </w:t>
      </w:r>
      <w:r>
        <w:rPr>
          <w:rFonts w:cs="Arial"/>
          <w:lang w:val="en-AU"/>
        </w:rPr>
        <w:t>S</w:t>
      </w:r>
      <w:r w:rsidRPr="000859B4">
        <w:rPr>
          <w:rFonts w:cs="Arial"/>
          <w:lang w:val="en-AU"/>
        </w:rPr>
        <w:t>cholarship students do not pay the nominal tuition fees paid by a very few students (about 3 per cent to date) or by the employers of some students (20 per cent to date).</w:t>
      </w:r>
    </w:p>
  </w:footnote>
  <w:footnote w:id="71">
    <w:p w14:paraId="3E6E1B9C" w14:textId="77777777" w:rsidR="00325FEF" w:rsidRPr="000859B4" w:rsidRDefault="00325FEF" w:rsidP="000913FE">
      <w:pPr>
        <w:pStyle w:val="FootnoteText"/>
        <w:rPr>
          <w:rFonts w:cs="Arial"/>
          <w:lang w:val="en-AU"/>
        </w:rPr>
      </w:pPr>
      <w:r w:rsidRPr="0068339D">
        <w:rPr>
          <w:rStyle w:val="FootnoteReference"/>
          <w:rFonts w:cs="Arial"/>
          <w:szCs w:val="22"/>
          <w:lang w:val="en-AU"/>
        </w:rPr>
        <w:footnoteRef/>
      </w:r>
      <w:r w:rsidRPr="0068339D">
        <w:rPr>
          <w:rFonts w:cs="Arial"/>
          <w:sz w:val="22"/>
          <w:szCs w:val="22"/>
          <w:lang w:val="en-AU"/>
        </w:rPr>
        <w:t xml:space="preserve"> </w:t>
      </w:r>
      <w:r w:rsidRPr="000859B4">
        <w:rPr>
          <w:rFonts w:cs="Arial"/>
          <w:lang w:val="en-AU"/>
        </w:rPr>
        <w:t>This is the range for Stage II. Course durations were longer in Stage I – between 5 and 22 months. This reduction in completion times is another explanation for lower unit costs in Stage II. (It should be noted that course durations include the time spent in work placement in addition to the time spent in APTC workshops and classrooms. This affects completion times for students in STT courses especially.)</w:t>
      </w:r>
    </w:p>
  </w:footnote>
  <w:footnote w:id="72">
    <w:p w14:paraId="34103872" w14:textId="3EC6EFC6" w:rsidR="00325FEF" w:rsidRPr="000859B4" w:rsidRDefault="00325FEF" w:rsidP="00B71880">
      <w:pPr>
        <w:pStyle w:val="FootnoteText"/>
        <w:rPr>
          <w:lang w:val="en-AU"/>
        </w:rPr>
      </w:pPr>
      <w:r w:rsidRPr="000859B4">
        <w:rPr>
          <w:rStyle w:val="FootnoteReference"/>
          <w:lang w:val="en-AU"/>
        </w:rPr>
        <w:footnoteRef/>
      </w:r>
      <w:r w:rsidRPr="000859B4">
        <w:rPr>
          <w:lang w:val="en-AU"/>
        </w:rPr>
        <w:t xml:space="preserve"> The evaluation team also looked into comparing APTC with TAFEs in Australia with respect to cost per graduate. As stated in an NCVER report, completion rates for VET programs in Australia by qualification level were</w:t>
      </w:r>
      <w:r>
        <w:rPr>
          <w:lang w:val="en-AU"/>
        </w:rPr>
        <w:t>: D</w:t>
      </w:r>
      <w:r w:rsidRPr="000859B4">
        <w:rPr>
          <w:lang w:val="en-AU"/>
        </w:rPr>
        <w:t xml:space="preserve">iploma and above (44.3%), </w:t>
      </w:r>
      <w:r>
        <w:rPr>
          <w:lang w:val="en-AU"/>
        </w:rPr>
        <w:t>C</w:t>
      </w:r>
      <w:r w:rsidRPr="000859B4">
        <w:rPr>
          <w:lang w:val="en-AU"/>
        </w:rPr>
        <w:t xml:space="preserve">ertificate IV (44.3%), and </w:t>
      </w:r>
      <w:r>
        <w:rPr>
          <w:lang w:val="en-AU"/>
        </w:rPr>
        <w:t>Certificate III (40.0%)</w:t>
      </w:r>
      <w:r w:rsidRPr="000859B4">
        <w:rPr>
          <w:lang w:val="en-AU"/>
        </w:rPr>
        <w:t xml:space="preserve"> (NCVER 2014, Australian vocational education and training statistics – the likelihood of completing a VET qualification 2009</w:t>
      </w:r>
      <w:r>
        <w:rPr>
          <w:lang w:val="en-AU"/>
        </w:rPr>
        <w:t>–20</w:t>
      </w:r>
      <w:r w:rsidRPr="000859B4">
        <w:rPr>
          <w:lang w:val="en-AU"/>
        </w:rPr>
        <w:t>12, p.</w:t>
      </w:r>
      <w:r>
        <w:rPr>
          <w:lang w:val="en-AU"/>
        </w:rPr>
        <w:t xml:space="preserve"> </w:t>
      </w:r>
      <w:r w:rsidRPr="000859B4">
        <w:rPr>
          <w:lang w:val="en-AU"/>
        </w:rPr>
        <w:t>2). Since APTC completion rates have been higher, a comparison of costs per graduate would narrow the difference between APTC and Australian institutions. A completely fair comparison could not be done, however, because it was unclear whether the Australian data included students in VET institutions who are studying for less than full qualifications and because the team did not have details for comparative purposes of the specific qualifications pursued by students in the two places. An in-depth examination in the future of the Australian findings on completion rates would prove useful for refining the assessment of value for money of the APTC investment.</w:t>
      </w:r>
    </w:p>
  </w:footnote>
  <w:footnote w:id="73">
    <w:p w14:paraId="21261760" w14:textId="78C4F420" w:rsidR="00325FEF" w:rsidRPr="00725A30" w:rsidRDefault="00325FEF" w:rsidP="000913FE">
      <w:pPr>
        <w:spacing w:before="120"/>
        <w:rPr>
          <w:rFonts w:cs="Arial"/>
          <w:sz w:val="16"/>
          <w:szCs w:val="20"/>
        </w:rPr>
      </w:pPr>
      <w:r w:rsidRPr="00725A30">
        <w:rPr>
          <w:rStyle w:val="FootnoteReference"/>
          <w:rFonts w:cs="Arial"/>
          <w:sz w:val="20"/>
          <w:szCs w:val="20"/>
          <w:lang w:val="en-AU"/>
        </w:rPr>
        <w:footnoteRef/>
      </w:r>
      <w:r w:rsidRPr="00725A30">
        <w:rPr>
          <w:rFonts w:cs="Arial"/>
          <w:sz w:val="20"/>
          <w:szCs w:val="20"/>
        </w:rPr>
        <w:t xml:space="preserve"> </w:t>
      </w:r>
      <w:r w:rsidRPr="00725A30">
        <w:rPr>
          <w:rFonts w:cs="Arial"/>
          <w:sz w:val="16"/>
          <w:szCs w:val="20"/>
        </w:rPr>
        <w:t>The current structure of DFAT payments to APTC involves seven ‘companies’, all with bank accounts in appropriate locations and currencies. Five of the companies are the APTC offices in the five campus countries (with bank accounts denominated in FJD, PGK, WST, SBD and VUV). The sixth is the office in Australia, representing the consortium members – TAFEQ; TAFEQ East Coast (comprising the recent merger between Sunshine Coast Institute and Wide Bay Institute, with TAFEQ serving as the parent RTO); BHIT; and GRM. The seventh company is a ‘consolidating company’ into which DFAT makes payments in AUD to reimburse expenses incurred and claimed by the other six companies.</w:t>
      </w:r>
    </w:p>
  </w:footnote>
  <w:footnote w:id="74">
    <w:p w14:paraId="4D5B8056" w14:textId="77777777" w:rsidR="00325FEF" w:rsidRPr="000859B4" w:rsidRDefault="00325FEF" w:rsidP="000913FE">
      <w:pPr>
        <w:pStyle w:val="FootnoteText"/>
        <w:rPr>
          <w:rFonts w:cs="Arial"/>
          <w:lang w:val="en-AU"/>
        </w:rPr>
      </w:pPr>
      <w:r w:rsidRPr="000859B4">
        <w:rPr>
          <w:rStyle w:val="FootnoteReference"/>
          <w:rFonts w:cs="Arial"/>
          <w:lang w:val="en-AU"/>
        </w:rPr>
        <w:footnoteRef/>
      </w:r>
      <w:r w:rsidRPr="000859B4">
        <w:rPr>
          <w:rFonts w:cs="Arial"/>
          <w:lang w:val="en-AU"/>
        </w:rPr>
        <w:t xml:space="preserve"> The bulk of APTC’s overhead is made up of the </w:t>
      </w:r>
      <w:r w:rsidRPr="00725A30">
        <w:rPr>
          <w:rFonts w:cs="Arial"/>
          <w:lang w:val="en-AU"/>
        </w:rPr>
        <w:t>management fees paid to TAFEQ, the Stage II contractor (42 per cent), expenditures on APTC by consortium members in Australia (17 per cent), and costs incurred by CSS, the corporate headquarters in Nadi (33 per cent). Allocating only two-thirds of total costs to direct training activities contributes to APTC’s high unit costs, and planning for any third round of APTC funding should include measures to increase this percentage and reduce the share going to overhead. These measures would probably need to include a reduction in the negotiated management fees paid to whichever Australian RTO wins the contract for the next round, a streamlining of the complicated consortium arrangement used to manage Stage II (which has involved a division of responsibilities among two Australian RTOs and a development management firm), and the nationalisation of more staff, especially management staff, in CSS.</w:t>
      </w:r>
    </w:p>
  </w:footnote>
  <w:footnote w:id="75">
    <w:p w14:paraId="2866C069" w14:textId="77777777" w:rsidR="00325FEF" w:rsidRPr="000859B4" w:rsidRDefault="00325FEF" w:rsidP="00CC61D1">
      <w:pPr>
        <w:pStyle w:val="FootnoteText"/>
        <w:rPr>
          <w:rFonts w:cs="Arial"/>
          <w:lang w:val="en-AU"/>
        </w:rPr>
      </w:pPr>
      <w:r w:rsidRPr="000859B4">
        <w:rPr>
          <w:rStyle w:val="FootnoteReference"/>
          <w:lang w:val="en-AU"/>
        </w:rPr>
        <w:footnoteRef/>
      </w:r>
      <w:r w:rsidRPr="000859B4">
        <w:rPr>
          <w:rFonts w:cs="Arial"/>
          <w:lang w:val="en-AU"/>
        </w:rPr>
        <w:t xml:space="preserve"> Communication from APTC CEO 19 September 2014</w:t>
      </w:r>
    </w:p>
  </w:footnote>
  <w:footnote w:id="76">
    <w:p w14:paraId="1078B8AC" w14:textId="77777777" w:rsidR="00325FEF" w:rsidRPr="000859B4" w:rsidRDefault="00325FEF" w:rsidP="000913FE">
      <w:pPr>
        <w:pStyle w:val="FootnoteText"/>
        <w:rPr>
          <w:rFonts w:cs="Arial"/>
          <w:lang w:val="en-AU"/>
        </w:rPr>
      </w:pPr>
      <w:r w:rsidRPr="000859B4">
        <w:rPr>
          <w:rStyle w:val="FootnoteReference"/>
          <w:rFonts w:cs="Arial"/>
          <w:lang w:val="en-AU"/>
        </w:rPr>
        <w:footnoteRef/>
      </w:r>
      <w:r w:rsidRPr="000859B4">
        <w:rPr>
          <w:rFonts w:cs="Arial"/>
          <w:lang w:val="en-AU"/>
        </w:rPr>
        <w:t xml:space="preserve"> Since 2007, PNG students have accounted for approximately 22 per cent of all APTC students, with Fiji, Samoa, the Solomons, and Vanuatu accounting for about 30, 12, 10, and 16 per cent, respectively, and the small island states together accounting for 10 per cent.</w:t>
      </w:r>
    </w:p>
  </w:footnote>
  <w:footnote w:id="77">
    <w:p w14:paraId="02516AEA" w14:textId="77777777" w:rsidR="00325FEF" w:rsidRPr="000859B4" w:rsidRDefault="00325FEF" w:rsidP="000913FE">
      <w:pPr>
        <w:pStyle w:val="FootnoteText"/>
        <w:rPr>
          <w:rFonts w:cs="Arial"/>
          <w:lang w:val="en-AU"/>
        </w:rPr>
      </w:pPr>
      <w:r w:rsidRPr="000859B4">
        <w:rPr>
          <w:rStyle w:val="FootnoteReference"/>
          <w:rFonts w:cs="Arial"/>
          <w:lang w:val="en-AU"/>
        </w:rPr>
        <w:footnoteRef/>
      </w:r>
      <w:r w:rsidRPr="000859B4">
        <w:rPr>
          <w:rFonts w:cs="Arial"/>
          <w:lang w:val="en-AU"/>
        </w:rPr>
        <w:t xml:space="preserve"> </w:t>
      </w:r>
      <w:r w:rsidRPr="00725A30">
        <w:rPr>
          <w:rFonts w:cs="Arial"/>
          <w:lang w:val="en-AU"/>
        </w:rPr>
        <w:t>There are, of course, counter-arguments. Mentioned already would be the increased travel and living expenses for students who could no longer study in their own countries. Also, the option of studying part-time that these students now have would essentially be eliminated.</w:t>
      </w:r>
    </w:p>
  </w:footnote>
  <w:footnote w:id="78">
    <w:p w14:paraId="087F50FA" w14:textId="5F22FD13" w:rsidR="00325FEF" w:rsidRPr="000859B4" w:rsidRDefault="00325FEF" w:rsidP="000913FE">
      <w:pPr>
        <w:pStyle w:val="FootnoteText"/>
        <w:rPr>
          <w:rFonts w:cs="Arial"/>
          <w:lang w:val="en-AU"/>
        </w:rPr>
      </w:pPr>
      <w:r w:rsidRPr="000859B4">
        <w:rPr>
          <w:rStyle w:val="FootnoteReference"/>
          <w:rFonts w:cs="Arial"/>
          <w:lang w:val="en-AU"/>
        </w:rPr>
        <w:footnoteRef/>
      </w:r>
      <w:r w:rsidRPr="000859B4">
        <w:rPr>
          <w:rFonts w:cs="Arial"/>
          <w:lang w:val="en-AU"/>
        </w:rPr>
        <w:t xml:space="preserve"> </w:t>
      </w:r>
      <w:r w:rsidRPr="00725A30">
        <w:rPr>
          <w:rFonts w:cs="Arial"/>
          <w:lang w:val="en-AU"/>
        </w:rPr>
        <w:t>It should be noted that the dollar amounts in Figure 27 are ‘real costs’, meaning that DFAT would need to allocate more than $13.2 million in the last year of any new four-year funding cycle in order to cover price inflation.</w:t>
      </w:r>
    </w:p>
  </w:footnote>
  <w:footnote w:id="79">
    <w:p w14:paraId="1752429E" w14:textId="77777777" w:rsidR="00325FEF" w:rsidRPr="000859B4" w:rsidRDefault="00325FEF" w:rsidP="000913FE">
      <w:pPr>
        <w:pStyle w:val="FootnoteText"/>
        <w:rPr>
          <w:rFonts w:cs="Arial"/>
          <w:lang w:val="en-AU"/>
        </w:rPr>
      </w:pPr>
      <w:r w:rsidRPr="000859B4">
        <w:rPr>
          <w:rStyle w:val="FootnoteReference"/>
          <w:rFonts w:cs="Arial"/>
          <w:lang w:val="en-AU"/>
        </w:rPr>
        <w:footnoteRef/>
      </w:r>
      <w:r w:rsidRPr="000859B4">
        <w:rPr>
          <w:rFonts w:cs="Arial"/>
          <w:lang w:val="en-AU"/>
        </w:rPr>
        <w:t xml:space="preserve"> Extending the assumed working life by seven years (retirement at age 62) was tried, and it was found to increase the base case ERR of model 1 from 6.4 per cent to 6.9 per cent.</w:t>
      </w:r>
    </w:p>
  </w:footnote>
  <w:footnote w:id="80">
    <w:p w14:paraId="49D26FEB" w14:textId="74B5DAD4" w:rsidR="00325FEF" w:rsidRPr="00725A30" w:rsidRDefault="00325FEF" w:rsidP="000913FE">
      <w:pPr>
        <w:spacing w:after="0"/>
        <w:rPr>
          <w:rFonts w:cs="Arial"/>
        </w:rPr>
      </w:pPr>
      <w:r w:rsidRPr="00725A30">
        <w:rPr>
          <w:rStyle w:val="FootnoteReference"/>
          <w:rFonts w:cs="Arial"/>
          <w:sz w:val="20"/>
          <w:szCs w:val="20"/>
          <w:lang w:val="en-AU"/>
        </w:rPr>
        <w:footnoteRef/>
      </w:r>
      <w:r w:rsidRPr="00725A30">
        <w:rPr>
          <w:rFonts w:cs="Arial"/>
          <w:sz w:val="20"/>
          <w:szCs w:val="20"/>
        </w:rPr>
        <w:t xml:space="preserve"> </w:t>
      </w:r>
      <w:r w:rsidRPr="00725A30">
        <w:rPr>
          <w:rFonts w:cs="Arial"/>
          <w:sz w:val="16"/>
          <w:szCs w:val="20"/>
        </w:rPr>
        <w:t>The review team made an assumption about how to deal with graduates who worked and earned wages prior to APTC training but had not yet started working and earning again following graduation. Most of the graduates responding to the questionnaire in the focus group meetings had graduated quite recently (within the past two years). With their upgraded skills, many may decide to engage in an extended search for better (higher paying) jobs than they had before, rather than returning quickly to their old jobs (if still on offer) or to comparable jobs. It would be a mistake to interpret a positive wage prior to training and a zero wage shortly after training as a ‘negative benefit’ of the training. In estimating the average pre- and post-training earnings differential of APTC graduates, it was decided to treat cases such as the one just described as amounting to a ‘zero benefit’. If anything, assuming that many individuals such as this will soon again find jobs, this is probably an underestimation of the benefit they will receive from their APTC training.</w:t>
      </w:r>
    </w:p>
  </w:footnote>
  <w:footnote w:id="81">
    <w:p w14:paraId="153801FE" w14:textId="60E9E03A" w:rsidR="00325FEF" w:rsidRPr="000859B4" w:rsidRDefault="00325FEF" w:rsidP="009864DB">
      <w:pPr>
        <w:pStyle w:val="FootnoteText"/>
        <w:rPr>
          <w:lang w:val="en-AU"/>
        </w:rPr>
      </w:pPr>
      <w:r w:rsidRPr="000859B4">
        <w:rPr>
          <w:rStyle w:val="FootnoteReference"/>
          <w:lang w:val="en-AU"/>
        </w:rPr>
        <w:footnoteRef/>
      </w:r>
      <w:r w:rsidRPr="000859B4">
        <w:rPr>
          <w:lang w:val="en-AU"/>
        </w:rPr>
        <w:t xml:space="preserve"> To the extent that APTC graduates can replace high-cost foreign workers employed by industry and governments in the PICs, the savings in the salaries paid constitute another benefit accruing to the APTC investment. There is anecdotal evidence (e.g., assertions from employers who met with the review team) that some replacement of foreign workers by APTC graduates has occurred (see Chapter 4 and Annex 8), but the review team was unable to obtain reliable quantitative data on the extent to which it has occurred, so this benefit is not taken explicitly into account in the ERR analysis.</w:t>
      </w:r>
    </w:p>
  </w:footnote>
  <w:footnote w:id="82">
    <w:p w14:paraId="291C74BC" w14:textId="77777777" w:rsidR="00325FEF" w:rsidRPr="000859B4" w:rsidRDefault="00325FEF" w:rsidP="00681C5C">
      <w:pPr>
        <w:pStyle w:val="FootnoteText"/>
        <w:rPr>
          <w:rFonts w:cs="Arial"/>
          <w:lang w:val="en-AU"/>
        </w:rPr>
      </w:pPr>
      <w:r w:rsidRPr="000859B4">
        <w:rPr>
          <w:rStyle w:val="FootnoteReference"/>
          <w:rFonts w:cs="Arial"/>
          <w:lang w:val="en-AU"/>
        </w:rPr>
        <w:footnoteRef/>
      </w:r>
      <w:r w:rsidRPr="000859B4">
        <w:rPr>
          <w:rFonts w:cs="Arial"/>
          <w:lang w:val="en-AU"/>
        </w:rPr>
        <w:t xml:space="preserve"> Results provided to review team by Marty Rollings, Manager Quality, Performance and Research, APTC, Nadi.</w:t>
      </w:r>
    </w:p>
  </w:footnote>
  <w:footnote w:id="83">
    <w:p w14:paraId="43B710BC" w14:textId="77777777" w:rsidR="00325FEF" w:rsidRPr="000859B4" w:rsidRDefault="00325FEF" w:rsidP="000913FE">
      <w:pPr>
        <w:pStyle w:val="FootnoteText"/>
        <w:rPr>
          <w:rFonts w:cs="Arial"/>
          <w:lang w:val="en-AU"/>
        </w:rPr>
      </w:pPr>
      <w:r w:rsidRPr="000859B4">
        <w:rPr>
          <w:rStyle w:val="FootnoteReference"/>
          <w:rFonts w:cs="Arial"/>
          <w:lang w:val="en-AU"/>
        </w:rPr>
        <w:footnoteRef/>
      </w:r>
      <w:r w:rsidRPr="000859B4">
        <w:rPr>
          <w:rFonts w:cs="Arial"/>
          <w:lang w:val="en-AU"/>
        </w:rPr>
        <w:t xml:space="preserve"> This statement excludes Palau, a PIC outlier, whose GDP per capita of nearly $11,000 is more than double that of Fiji and Tonga. Even in Palau, however, GDP per capita would be less than half the estimated unit cost of APTC graduates in 2019 ($23,400).</w:t>
      </w:r>
    </w:p>
  </w:footnote>
  <w:footnote w:id="84">
    <w:p w14:paraId="6109DE3A" w14:textId="77777777" w:rsidR="00325FEF" w:rsidRPr="00725A30" w:rsidRDefault="00325FEF" w:rsidP="000913FE">
      <w:pPr>
        <w:spacing w:before="120"/>
      </w:pPr>
      <w:r w:rsidRPr="00725A30">
        <w:rPr>
          <w:rStyle w:val="FootnoteReference"/>
          <w:rFonts w:cs="Arial"/>
          <w:sz w:val="20"/>
          <w:szCs w:val="20"/>
          <w:lang w:val="en-AU"/>
        </w:rPr>
        <w:footnoteRef/>
      </w:r>
      <w:r w:rsidRPr="00725A30">
        <w:rPr>
          <w:rFonts w:cs="Arial"/>
          <w:sz w:val="20"/>
          <w:szCs w:val="20"/>
        </w:rPr>
        <w:t xml:space="preserve"> </w:t>
      </w:r>
      <w:r w:rsidRPr="00725A30">
        <w:rPr>
          <w:rFonts w:cs="Arial"/>
          <w:sz w:val="16"/>
          <w:szCs w:val="20"/>
        </w:rPr>
        <w:t>This charge confirms that APTC is subject to attack from both sides on the issue of migration. Some argue that Australia has made it too difficult for graduates with Australian qualifications to enter the country for work, while others say that APTC paves the way for a skills drain that would be detrimental to the Pacific economies.</w:t>
      </w:r>
    </w:p>
  </w:footnote>
  <w:footnote w:id="85">
    <w:p w14:paraId="1198C84A" w14:textId="5053EC4D" w:rsidR="00325FEF" w:rsidRPr="000859B4" w:rsidRDefault="00325FEF" w:rsidP="005F0A36">
      <w:pPr>
        <w:pStyle w:val="FootnoteText"/>
        <w:rPr>
          <w:lang w:val="en-AU"/>
        </w:rPr>
      </w:pPr>
      <w:r w:rsidRPr="000859B4">
        <w:rPr>
          <w:rStyle w:val="FootnoteReference"/>
          <w:lang w:val="en-AU"/>
        </w:rPr>
        <w:footnoteRef/>
      </w:r>
      <w:r w:rsidRPr="000859B4">
        <w:rPr>
          <w:lang w:val="en-AU"/>
        </w:rPr>
        <w:t xml:space="preserve"> One of the four peer reviewers, who happens to be from one of the 14 P</w:t>
      </w:r>
      <w:r w:rsidRPr="00725A30">
        <w:rPr>
          <w:lang w:val="en-AU"/>
        </w:rPr>
        <w:t xml:space="preserve">ICs served by APTC, claims that, </w:t>
      </w:r>
      <w:r w:rsidRPr="000859B4">
        <w:rPr>
          <w:lang w:val="en-AU"/>
        </w:rPr>
        <w:t>despite poverty in the region, many families would be willing to pay tuition fees if they had reason to believe that the APTC credential would lead to international labour migration. Given, however, the low rates of migration on the part of APTC graduates to date, few families seem willing to incur any direct costs of APTC training.</w:t>
      </w:r>
    </w:p>
  </w:footnote>
  <w:footnote w:id="86">
    <w:p w14:paraId="529F406B" w14:textId="77777777" w:rsidR="00325FEF" w:rsidRPr="000859B4" w:rsidRDefault="00325FEF" w:rsidP="000913FE">
      <w:pPr>
        <w:pStyle w:val="FootnoteText"/>
        <w:rPr>
          <w:rFonts w:cs="Arial"/>
          <w:lang w:val="en-AU"/>
        </w:rPr>
      </w:pPr>
      <w:r w:rsidRPr="000859B4">
        <w:rPr>
          <w:rStyle w:val="FootnoteReference"/>
          <w:rFonts w:cs="Arial"/>
          <w:lang w:val="en-AU"/>
        </w:rPr>
        <w:footnoteRef/>
      </w:r>
      <w:r w:rsidRPr="000859B4">
        <w:rPr>
          <w:rFonts w:cs="Arial"/>
          <w:lang w:val="en-AU"/>
        </w:rPr>
        <w:t xml:space="preserve"> </w:t>
      </w:r>
      <w:r w:rsidRPr="00725A30">
        <w:rPr>
          <w:rFonts w:cs="Arial"/>
          <w:lang w:val="en-AU"/>
        </w:rPr>
        <w:t>Australia should know about income-contingent loan schemes, having practically invented the concept (with the Higher Education Contribution Scheme) and having promoted the approach in a number of developing countries.</w:t>
      </w:r>
    </w:p>
  </w:footnote>
  <w:footnote w:id="87">
    <w:p w14:paraId="4277318C" w14:textId="77777777" w:rsidR="00325FEF" w:rsidRPr="000859B4" w:rsidRDefault="00325FEF" w:rsidP="000913FE">
      <w:pPr>
        <w:pStyle w:val="FootnoteText"/>
        <w:rPr>
          <w:rFonts w:cs="Arial"/>
          <w:lang w:val="en-AU"/>
        </w:rPr>
      </w:pPr>
      <w:r w:rsidRPr="000859B4">
        <w:rPr>
          <w:rStyle w:val="FootnoteReference"/>
          <w:rFonts w:cs="Arial"/>
          <w:lang w:val="en-AU"/>
        </w:rPr>
        <w:footnoteRef/>
      </w:r>
      <w:r w:rsidRPr="000859B4">
        <w:rPr>
          <w:rFonts w:cs="Arial"/>
          <w:lang w:val="en-AU"/>
        </w:rPr>
        <w:t xml:space="preserve"> For the above insights on tuition fees, fee-for-service activities and other revenue generating activities, the team acknowledges the help of Denise O’Brien and Jennie Dehn, APTC’s CEO and Director of Corporate Services.</w:t>
      </w:r>
    </w:p>
  </w:footnote>
  <w:footnote w:id="88">
    <w:p w14:paraId="32776BE4" w14:textId="4F6871BC" w:rsidR="00325FEF" w:rsidRPr="000859B4" w:rsidRDefault="00325FEF" w:rsidP="009B4045">
      <w:pPr>
        <w:pStyle w:val="FootnoteText"/>
        <w:rPr>
          <w:rFonts w:cs="Arial"/>
          <w:lang w:val="en-AU"/>
        </w:rPr>
      </w:pPr>
      <w:r w:rsidRPr="000859B4">
        <w:rPr>
          <w:rStyle w:val="FootnoteReference"/>
          <w:sz w:val="20"/>
          <w:szCs w:val="20"/>
          <w:lang w:val="en-AU"/>
        </w:rPr>
        <w:footnoteRef/>
      </w:r>
      <w:r w:rsidRPr="000859B4">
        <w:rPr>
          <w:rFonts w:cs="Arial"/>
          <w:lang w:val="en-AU"/>
        </w:rPr>
        <w:t xml:space="preserve"> Australian Government Department of Foreign Affairs and Trade. (2014). Australian </w:t>
      </w:r>
      <w:r w:rsidR="000B1393">
        <w:rPr>
          <w:rFonts w:cs="Arial"/>
          <w:lang w:val="en-AU"/>
        </w:rPr>
        <w:t>A</w:t>
      </w:r>
      <w:r w:rsidRPr="000859B4">
        <w:rPr>
          <w:rFonts w:cs="Arial"/>
          <w:lang w:val="en-AU"/>
        </w:rPr>
        <w:t xml:space="preserve">id, </w:t>
      </w:r>
      <w:r w:rsidR="000B1393">
        <w:rPr>
          <w:rFonts w:cs="Arial"/>
          <w:lang w:val="en-AU"/>
        </w:rPr>
        <w:t>P</w:t>
      </w:r>
      <w:r w:rsidRPr="000859B4">
        <w:rPr>
          <w:rFonts w:cs="Arial"/>
          <w:lang w:val="en-AU"/>
        </w:rPr>
        <w:t xml:space="preserve">romoting </w:t>
      </w:r>
      <w:r w:rsidR="000B1393">
        <w:rPr>
          <w:rFonts w:cs="Arial"/>
          <w:lang w:val="en-AU"/>
        </w:rPr>
        <w:t>P</w:t>
      </w:r>
      <w:r w:rsidRPr="000859B4">
        <w:rPr>
          <w:rFonts w:cs="Arial"/>
          <w:lang w:val="en-AU"/>
        </w:rPr>
        <w:t xml:space="preserve">rosperity, </w:t>
      </w:r>
      <w:r w:rsidR="000B1393">
        <w:rPr>
          <w:rFonts w:cs="Arial"/>
          <w:lang w:val="en-AU"/>
        </w:rPr>
        <w:t>R</w:t>
      </w:r>
      <w:r w:rsidRPr="000859B4">
        <w:rPr>
          <w:rFonts w:cs="Arial"/>
          <w:lang w:val="en-AU"/>
        </w:rPr>
        <w:t xml:space="preserve">educing </w:t>
      </w:r>
      <w:r w:rsidR="000B1393">
        <w:rPr>
          <w:rFonts w:cs="Arial"/>
          <w:lang w:val="en-AU"/>
        </w:rPr>
        <w:t>P</w:t>
      </w:r>
      <w:r w:rsidRPr="000859B4">
        <w:rPr>
          <w:rFonts w:cs="Arial"/>
          <w:lang w:val="en-AU"/>
        </w:rPr>
        <w:t xml:space="preserve">overty, </w:t>
      </w:r>
      <w:r w:rsidR="000B1393">
        <w:rPr>
          <w:rFonts w:cs="Arial"/>
          <w:lang w:val="en-AU"/>
        </w:rPr>
        <w:t>E</w:t>
      </w:r>
      <w:r w:rsidRPr="000859B4">
        <w:rPr>
          <w:rFonts w:cs="Arial"/>
          <w:lang w:val="en-AU"/>
        </w:rPr>
        <w:t xml:space="preserve">nhancing </w:t>
      </w:r>
      <w:r w:rsidR="000B1393">
        <w:rPr>
          <w:rFonts w:cs="Arial"/>
          <w:lang w:val="en-AU"/>
        </w:rPr>
        <w:t>Stability. Retrieved from</w:t>
      </w:r>
      <w:r w:rsidRPr="000859B4">
        <w:rPr>
          <w:rFonts w:cs="Arial"/>
          <w:lang w:val="en-AU"/>
        </w:rPr>
        <w:t xml:space="preserve"> </w:t>
      </w:r>
      <w:hyperlink r:id="rId3" w:history="1">
        <w:r w:rsidRPr="000859B4">
          <w:rPr>
            <w:rStyle w:val="Hyperlink1"/>
            <w:rFonts w:cs="Arial"/>
            <w:color w:val="auto"/>
            <w:u w:val="none"/>
            <w:lang w:val="en-AU"/>
          </w:rPr>
          <w:t>http://aid.dfat.gov.au/aidpolicy/Pages/home.aspx</w:t>
        </w:r>
      </w:hyperlink>
      <w:r w:rsidRPr="000859B4">
        <w:rPr>
          <w:rFonts w:cs="Arial"/>
          <w:lang w:val="en-AU"/>
        </w:rPr>
        <w:t xml:space="preserve"> </w:t>
      </w:r>
    </w:p>
  </w:footnote>
  <w:footnote w:id="89">
    <w:p w14:paraId="2A72D728" w14:textId="5C53AF99" w:rsidR="00325FEF" w:rsidRPr="000859B4" w:rsidRDefault="00325FEF">
      <w:pPr>
        <w:pStyle w:val="FootnoteText"/>
        <w:rPr>
          <w:rFonts w:cs="Arial"/>
          <w:lang w:val="en-AU"/>
        </w:rPr>
      </w:pPr>
      <w:r w:rsidRPr="000859B4">
        <w:rPr>
          <w:rStyle w:val="FootnoteReference"/>
          <w:sz w:val="20"/>
          <w:szCs w:val="20"/>
          <w:lang w:val="en-AU"/>
        </w:rPr>
        <w:footnoteRef/>
      </w:r>
      <w:r w:rsidRPr="000859B4">
        <w:rPr>
          <w:rFonts w:cs="Arial"/>
          <w:lang w:val="en-AU"/>
        </w:rPr>
        <w:t xml:space="preserve"> Ibid</w:t>
      </w:r>
      <w:r>
        <w:rPr>
          <w:rFonts w:cs="Arial"/>
          <w:lang w:val="en-AU"/>
        </w:rPr>
        <w:t xml:space="preserve">., p. </w:t>
      </w:r>
      <w:r w:rsidRPr="000859B4">
        <w:rPr>
          <w:rFonts w:cs="Arial"/>
          <w:lang w:val="en-AU"/>
        </w:rPr>
        <w:t>5</w:t>
      </w:r>
    </w:p>
  </w:footnote>
  <w:footnote w:id="90">
    <w:p w14:paraId="12B4DE65" w14:textId="1184576D" w:rsidR="00325FEF" w:rsidRPr="000859B4" w:rsidRDefault="00325FEF">
      <w:pPr>
        <w:pStyle w:val="FootnoteText"/>
        <w:rPr>
          <w:rFonts w:cs="Arial"/>
          <w:lang w:val="en-AU"/>
        </w:rPr>
      </w:pPr>
      <w:r w:rsidRPr="000859B4">
        <w:rPr>
          <w:rStyle w:val="FootnoteReference"/>
          <w:sz w:val="20"/>
          <w:szCs w:val="20"/>
          <w:lang w:val="en-AU"/>
        </w:rPr>
        <w:footnoteRef/>
      </w:r>
      <w:r w:rsidRPr="000859B4">
        <w:rPr>
          <w:rFonts w:cs="Arial"/>
          <w:lang w:val="en-AU"/>
        </w:rPr>
        <w:t xml:space="preserve"> Ibid</w:t>
      </w:r>
      <w:r>
        <w:rPr>
          <w:rFonts w:cs="Arial"/>
          <w:lang w:val="en-AU"/>
        </w:rPr>
        <w:t>., p.</w:t>
      </w:r>
      <w:r w:rsidRPr="000859B4">
        <w:rPr>
          <w:rFonts w:cs="Arial"/>
          <w:lang w:val="en-AU"/>
        </w:rPr>
        <w:t xml:space="preserve"> 7</w:t>
      </w:r>
    </w:p>
  </w:footnote>
  <w:footnote w:id="91">
    <w:p w14:paraId="3FC47965" w14:textId="1D1AB815" w:rsidR="00325FEF" w:rsidRPr="000859B4" w:rsidRDefault="00325FEF">
      <w:pPr>
        <w:pStyle w:val="FootnoteText"/>
        <w:rPr>
          <w:rFonts w:cs="Arial"/>
          <w:lang w:val="en-AU"/>
        </w:rPr>
      </w:pPr>
      <w:r w:rsidRPr="000859B4">
        <w:rPr>
          <w:rStyle w:val="FootnoteReference"/>
          <w:sz w:val="20"/>
          <w:szCs w:val="20"/>
          <w:lang w:val="en-AU"/>
        </w:rPr>
        <w:footnoteRef/>
      </w:r>
      <w:r w:rsidRPr="000859B4">
        <w:rPr>
          <w:rFonts w:cs="Arial"/>
          <w:lang w:val="en-AU"/>
        </w:rPr>
        <w:t xml:space="preserve"> Ibid</w:t>
      </w:r>
      <w:r>
        <w:rPr>
          <w:rFonts w:cs="Arial"/>
          <w:lang w:val="en-AU"/>
        </w:rPr>
        <w:t xml:space="preserve">., p. </w:t>
      </w:r>
      <w:r w:rsidRPr="000859B4">
        <w:rPr>
          <w:rFonts w:cs="Arial"/>
          <w:lang w:val="en-AU"/>
        </w:rPr>
        <w:t>19</w:t>
      </w:r>
    </w:p>
  </w:footnote>
  <w:footnote w:id="92">
    <w:p w14:paraId="6F71F413" w14:textId="6A4847F0" w:rsidR="00325FEF" w:rsidRPr="000859B4" w:rsidRDefault="00325FEF" w:rsidP="009B4045">
      <w:pPr>
        <w:pStyle w:val="FootnoteText"/>
        <w:rPr>
          <w:rFonts w:cs="Arial"/>
          <w:lang w:val="en-AU"/>
        </w:rPr>
      </w:pPr>
      <w:r w:rsidRPr="000859B4">
        <w:rPr>
          <w:rStyle w:val="FootnoteReference"/>
          <w:sz w:val="20"/>
          <w:szCs w:val="20"/>
          <w:lang w:val="en-AU"/>
        </w:rPr>
        <w:footnoteRef/>
      </w:r>
      <w:r w:rsidRPr="000859B4">
        <w:rPr>
          <w:rFonts w:cs="Arial"/>
          <w:lang w:val="en-AU"/>
        </w:rPr>
        <w:t xml:space="preserve"> Busan </w:t>
      </w:r>
      <w:r w:rsidR="004331A2">
        <w:rPr>
          <w:rFonts w:cs="Arial"/>
          <w:lang w:val="en-AU"/>
        </w:rPr>
        <w:t>P</w:t>
      </w:r>
      <w:r w:rsidRPr="000859B4">
        <w:rPr>
          <w:rFonts w:cs="Arial"/>
          <w:lang w:val="en-AU"/>
        </w:rPr>
        <w:t xml:space="preserve">artnership for </w:t>
      </w:r>
      <w:r w:rsidR="004331A2">
        <w:rPr>
          <w:rFonts w:cs="Arial"/>
          <w:lang w:val="en-AU"/>
        </w:rPr>
        <w:t>E</w:t>
      </w:r>
      <w:r w:rsidRPr="000859B4">
        <w:rPr>
          <w:rFonts w:cs="Arial"/>
          <w:lang w:val="en-AU"/>
        </w:rPr>
        <w:t xml:space="preserve">ffective </w:t>
      </w:r>
      <w:r w:rsidR="004331A2">
        <w:rPr>
          <w:rFonts w:cs="Arial"/>
          <w:lang w:val="en-AU"/>
        </w:rPr>
        <w:t>D</w:t>
      </w:r>
      <w:r w:rsidRPr="000859B4">
        <w:rPr>
          <w:rFonts w:cs="Arial"/>
          <w:lang w:val="en-AU"/>
        </w:rPr>
        <w:t xml:space="preserve">evelopment </w:t>
      </w:r>
      <w:r w:rsidR="004331A2">
        <w:rPr>
          <w:rFonts w:cs="Arial"/>
          <w:lang w:val="en-AU"/>
        </w:rPr>
        <w:t>C</w:t>
      </w:r>
      <w:r w:rsidRPr="000859B4">
        <w:rPr>
          <w:rFonts w:cs="Arial"/>
          <w:lang w:val="en-AU"/>
        </w:rPr>
        <w:t xml:space="preserve">o-operation, </w:t>
      </w:r>
      <w:r w:rsidR="004331A2">
        <w:rPr>
          <w:rFonts w:cs="Arial"/>
          <w:lang w:val="en-AU"/>
        </w:rPr>
        <w:t>F</w:t>
      </w:r>
      <w:r w:rsidRPr="000859B4">
        <w:rPr>
          <w:rFonts w:cs="Arial"/>
          <w:lang w:val="en-AU"/>
        </w:rPr>
        <w:t xml:space="preserve">ourth </w:t>
      </w:r>
      <w:r w:rsidR="004331A2">
        <w:rPr>
          <w:rFonts w:cs="Arial"/>
          <w:lang w:val="en-AU"/>
        </w:rPr>
        <w:t>H</w:t>
      </w:r>
      <w:r w:rsidRPr="000859B4">
        <w:rPr>
          <w:rFonts w:cs="Arial"/>
          <w:lang w:val="en-AU"/>
        </w:rPr>
        <w:t xml:space="preserve">igh </w:t>
      </w:r>
      <w:r w:rsidR="004331A2">
        <w:rPr>
          <w:rFonts w:cs="Arial"/>
          <w:lang w:val="en-AU"/>
        </w:rPr>
        <w:t>L</w:t>
      </w:r>
      <w:r w:rsidRPr="000859B4">
        <w:rPr>
          <w:rFonts w:cs="Arial"/>
          <w:lang w:val="en-AU"/>
        </w:rPr>
        <w:t xml:space="preserve">evel </w:t>
      </w:r>
      <w:r w:rsidR="004331A2">
        <w:rPr>
          <w:rFonts w:cs="Arial"/>
          <w:lang w:val="en-AU"/>
        </w:rPr>
        <w:t>F</w:t>
      </w:r>
      <w:r w:rsidRPr="000859B4">
        <w:rPr>
          <w:rFonts w:cs="Arial"/>
          <w:lang w:val="en-AU"/>
        </w:rPr>
        <w:t xml:space="preserve">orum on </w:t>
      </w:r>
      <w:r w:rsidR="004331A2">
        <w:rPr>
          <w:rFonts w:cs="Arial"/>
          <w:lang w:val="en-AU"/>
        </w:rPr>
        <w:t>A</w:t>
      </w:r>
      <w:r w:rsidRPr="000859B4">
        <w:rPr>
          <w:rFonts w:cs="Arial"/>
          <w:lang w:val="en-AU"/>
        </w:rPr>
        <w:t xml:space="preserve">id </w:t>
      </w:r>
      <w:r w:rsidR="004331A2">
        <w:rPr>
          <w:rFonts w:cs="Arial"/>
          <w:lang w:val="en-AU"/>
        </w:rPr>
        <w:t>E</w:t>
      </w:r>
      <w:r w:rsidRPr="000859B4">
        <w:rPr>
          <w:rFonts w:cs="Arial"/>
          <w:lang w:val="en-AU"/>
        </w:rPr>
        <w:t>ffectiveness, Busan, Republic of Korea, 29 November</w:t>
      </w:r>
      <w:r>
        <w:rPr>
          <w:rFonts w:cs="Arial"/>
          <w:lang w:val="en-AU"/>
        </w:rPr>
        <w:t>–</w:t>
      </w:r>
      <w:r w:rsidRPr="000859B4">
        <w:rPr>
          <w:rFonts w:cs="Arial"/>
          <w:lang w:val="en-AU"/>
        </w:rPr>
        <w:t>1</w:t>
      </w:r>
      <w:r>
        <w:rPr>
          <w:rFonts w:cs="Arial"/>
          <w:lang w:val="en-AU"/>
        </w:rPr>
        <w:t xml:space="preserve"> </w:t>
      </w:r>
      <w:r w:rsidRPr="000859B4">
        <w:rPr>
          <w:rFonts w:cs="Arial"/>
          <w:lang w:val="en-AU"/>
        </w:rPr>
        <w:t>December, 2011</w:t>
      </w:r>
    </w:p>
  </w:footnote>
  <w:footnote w:id="93">
    <w:p w14:paraId="01AD7BAF" w14:textId="77777777" w:rsidR="00325FEF" w:rsidRPr="000859B4" w:rsidRDefault="00325FEF" w:rsidP="009B4045">
      <w:pPr>
        <w:pStyle w:val="FootnoteText"/>
        <w:rPr>
          <w:rFonts w:cs="Arial"/>
          <w:lang w:val="en-AU"/>
        </w:rPr>
      </w:pPr>
      <w:r w:rsidRPr="000859B4">
        <w:rPr>
          <w:rStyle w:val="FootnoteReference"/>
          <w:sz w:val="20"/>
          <w:szCs w:val="20"/>
          <w:lang w:val="en-AU"/>
        </w:rPr>
        <w:footnoteRef/>
      </w:r>
      <w:r w:rsidRPr="000859B4">
        <w:rPr>
          <w:rFonts w:cs="Arial"/>
          <w:lang w:val="en-AU"/>
        </w:rPr>
        <w:t xml:space="preserve"> The review team acknowledges with thanks the contribution of senior APTC staff to this section.</w:t>
      </w:r>
    </w:p>
  </w:footnote>
  <w:footnote w:id="94">
    <w:p w14:paraId="6B53DA27" w14:textId="77777777" w:rsidR="00325FEF" w:rsidRPr="000859B4" w:rsidRDefault="00325FEF" w:rsidP="007E5A16">
      <w:pPr>
        <w:pStyle w:val="FootnoteText"/>
        <w:rPr>
          <w:rFonts w:cs="Arial"/>
          <w:lang w:val="en-AU"/>
        </w:rPr>
      </w:pPr>
      <w:r w:rsidRPr="000859B4">
        <w:rPr>
          <w:rStyle w:val="FootnoteReference"/>
          <w:sz w:val="20"/>
          <w:szCs w:val="20"/>
          <w:lang w:val="en-AU"/>
        </w:rPr>
        <w:footnoteRef/>
      </w:r>
      <w:r w:rsidRPr="000859B4">
        <w:rPr>
          <w:rFonts w:cs="Arial"/>
          <w:lang w:val="en-AU"/>
        </w:rPr>
        <w:t xml:space="preserve"> USP Strategic Plan 2013–18, p. 27</w:t>
      </w:r>
    </w:p>
  </w:footnote>
  <w:footnote w:id="95">
    <w:p w14:paraId="0AE4E85B" w14:textId="267FE350" w:rsidR="00325FEF" w:rsidRPr="000859B4" w:rsidRDefault="00325FEF" w:rsidP="003F7B01">
      <w:pPr>
        <w:pStyle w:val="FootnoteText"/>
        <w:rPr>
          <w:rFonts w:cs="Arial"/>
          <w:lang w:val="en-AU"/>
        </w:rPr>
      </w:pPr>
      <w:r w:rsidRPr="000859B4">
        <w:rPr>
          <w:rStyle w:val="FootnoteReference"/>
          <w:sz w:val="20"/>
          <w:szCs w:val="20"/>
          <w:lang w:val="en-AU"/>
        </w:rPr>
        <w:footnoteRef/>
      </w:r>
      <w:r w:rsidRPr="000859B4">
        <w:rPr>
          <w:rFonts w:cs="Arial"/>
          <w:lang w:val="en-AU"/>
        </w:rPr>
        <w:t xml:space="preserve"> Schofield, K., Tan, H., Bryant, C. and Catchlove, J. (2009). APTC </w:t>
      </w:r>
      <w:r w:rsidR="004C3A93">
        <w:rPr>
          <w:rFonts w:cs="Arial"/>
          <w:lang w:val="en-AU"/>
        </w:rPr>
        <w:t>M</w:t>
      </w:r>
      <w:r w:rsidRPr="000859B4">
        <w:rPr>
          <w:rFonts w:cs="Arial"/>
          <w:lang w:val="en-AU"/>
        </w:rPr>
        <w:t>id-</w:t>
      </w:r>
      <w:r w:rsidR="004C3A93">
        <w:rPr>
          <w:rFonts w:cs="Arial"/>
          <w:lang w:val="en-AU"/>
        </w:rPr>
        <w:t>T</w:t>
      </w:r>
      <w:r w:rsidRPr="000859B4">
        <w:rPr>
          <w:rFonts w:cs="Arial"/>
          <w:lang w:val="en-AU"/>
        </w:rPr>
        <w:t xml:space="preserve">erm </w:t>
      </w:r>
      <w:r w:rsidR="004C3A93">
        <w:rPr>
          <w:rFonts w:cs="Arial"/>
          <w:lang w:val="en-AU"/>
        </w:rPr>
        <w:t>R</w:t>
      </w:r>
      <w:r w:rsidRPr="000859B4">
        <w:rPr>
          <w:rFonts w:cs="Arial"/>
          <w:lang w:val="en-AU"/>
        </w:rPr>
        <w:t>eview – final report. Prepared for AusAID, Australian High Co</w:t>
      </w:r>
      <w:r w:rsidR="004C3A93">
        <w:rPr>
          <w:rFonts w:cs="Arial"/>
          <w:lang w:val="en-AU"/>
        </w:rPr>
        <w:t xml:space="preserve">mmission, Suva, Fiji, p. </w:t>
      </w:r>
      <w:r w:rsidRPr="000859B4">
        <w:rPr>
          <w:rFonts w:cs="Arial"/>
          <w:lang w:val="en-AU"/>
        </w:rPr>
        <w:t>51</w:t>
      </w:r>
    </w:p>
  </w:footnote>
  <w:footnote w:id="96">
    <w:p w14:paraId="0AB2AAFA" w14:textId="77777777" w:rsidR="00325FEF" w:rsidRPr="000859B4" w:rsidRDefault="00325FEF" w:rsidP="003F7B01">
      <w:pPr>
        <w:pStyle w:val="FootnoteText"/>
        <w:rPr>
          <w:rFonts w:cs="Arial"/>
          <w:lang w:val="en-AU"/>
        </w:rPr>
      </w:pPr>
      <w:r w:rsidRPr="000859B4">
        <w:rPr>
          <w:rStyle w:val="FootnoteReference"/>
          <w:sz w:val="20"/>
          <w:szCs w:val="20"/>
          <w:lang w:val="en-AU"/>
        </w:rPr>
        <w:footnoteRef/>
      </w:r>
      <w:r w:rsidRPr="000859B4">
        <w:rPr>
          <w:rFonts w:cs="Arial"/>
          <w:lang w:val="en-AU"/>
        </w:rPr>
        <w:t xml:space="preserve"> The process by which a registered training organisation authorises another organisation to deliver training and/or conduct assessment.</w:t>
      </w:r>
    </w:p>
  </w:footnote>
  <w:footnote w:id="97">
    <w:p w14:paraId="0355E9FA" w14:textId="22C32212" w:rsidR="00325FEF" w:rsidRPr="000859B4" w:rsidRDefault="00325FEF" w:rsidP="003F7B01">
      <w:pPr>
        <w:pStyle w:val="FootnoteText"/>
        <w:rPr>
          <w:rFonts w:cs="Arial"/>
          <w:lang w:val="en-AU"/>
        </w:rPr>
      </w:pPr>
      <w:r w:rsidRPr="000859B4">
        <w:rPr>
          <w:rStyle w:val="FootnoteReference"/>
          <w:sz w:val="20"/>
          <w:szCs w:val="20"/>
          <w:lang w:val="en-AU"/>
        </w:rPr>
        <w:footnoteRef/>
      </w:r>
      <w:r w:rsidRPr="000859B4">
        <w:rPr>
          <w:rFonts w:cs="Arial"/>
          <w:lang w:val="en-AU"/>
        </w:rPr>
        <w:t xml:space="preserve"> Evaluation team int</w:t>
      </w:r>
      <w:r w:rsidR="004C3A93">
        <w:rPr>
          <w:rFonts w:cs="Arial"/>
          <w:lang w:val="en-AU"/>
        </w:rPr>
        <w:t>erview with APTC CEO, 20/8/2014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5D513" w14:textId="7FD21CEF" w:rsidR="00325FEF" w:rsidRPr="00117013" w:rsidRDefault="00325FEF" w:rsidP="00205707">
    <w:pPr>
      <w:pStyle w:val="Header"/>
      <w:pBdr>
        <w:bottom w:val="single" w:sz="8" w:space="1" w:color="9BBB59"/>
      </w:pBdr>
      <w:jc w:val="right"/>
      <w:rPr>
        <w:i/>
        <w:color w:val="9BBB59"/>
        <w:sz w:val="18"/>
      </w:rPr>
    </w:pPr>
    <w:r w:rsidRPr="003501EC">
      <w:rPr>
        <w:i/>
        <w:color w:val="9BBB59"/>
        <w:sz w:val="16"/>
      </w:rPr>
      <w:t>APTC Annexes</w:t>
    </w:r>
  </w:p>
  <w:p w14:paraId="3DDC3469" w14:textId="77777777" w:rsidR="00325FEF" w:rsidRDefault="00325FE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4B463" w14:textId="636D98D5" w:rsidR="00325FEF" w:rsidRPr="00961461" w:rsidRDefault="00325FEF" w:rsidP="000913FE">
    <w:pPr>
      <w:pStyle w:val="Header"/>
      <w:pBdr>
        <w:bottom w:val="single" w:sz="8" w:space="1" w:color="9BBB59"/>
      </w:pBdr>
      <w:jc w:val="right"/>
      <w:rPr>
        <w:b w:val="0"/>
        <w:i/>
        <w:color w:val="9BBB59"/>
        <w:sz w:val="18"/>
      </w:rPr>
    </w:pPr>
    <w:r w:rsidRPr="00961461">
      <w:rPr>
        <w:i/>
        <w:color w:val="9BBB59"/>
        <w:sz w:val="16"/>
      </w:rPr>
      <w:t xml:space="preserve">Annex </w:t>
    </w:r>
    <w:r>
      <w:rPr>
        <w:i/>
        <w:color w:val="9BBB59"/>
        <w:sz w:val="16"/>
      </w:rPr>
      <w:t>8: Impact on graduates and employers</w:t>
    </w:r>
  </w:p>
  <w:p w14:paraId="4A692077" w14:textId="77777777" w:rsidR="00325FEF" w:rsidRDefault="00325FE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755ED" w14:textId="547D0F71" w:rsidR="00325FEF" w:rsidRPr="00117013" w:rsidRDefault="00325FEF" w:rsidP="00205707">
    <w:pPr>
      <w:pStyle w:val="Header"/>
      <w:pBdr>
        <w:bottom w:val="single" w:sz="8" w:space="1" w:color="9BBB59"/>
      </w:pBdr>
      <w:jc w:val="right"/>
      <w:rPr>
        <w:i/>
        <w:color w:val="9BBB59"/>
        <w:sz w:val="18"/>
      </w:rPr>
    </w:pPr>
    <w:r>
      <w:rPr>
        <w:i/>
        <w:color w:val="9BBB59"/>
        <w:sz w:val="16"/>
      </w:rPr>
      <w:t>Annex 8: impact on graduates and employers</w:t>
    </w:r>
  </w:p>
  <w:p w14:paraId="561842E8" w14:textId="77777777" w:rsidR="00325FEF" w:rsidRDefault="00325F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B4DBA" w14:textId="08F1174C" w:rsidR="00325FEF" w:rsidRPr="00117013" w:rsidRDefault="00325FEF" w:rsidP="00205707">
    <w:pPr>
      <w:pStyle w:val="Header"/>
      <w:pBdr>
        <w:bottom w:val="single" w:sz="8" w:space="1" w:color="9BBB59"/>
      </w:pBdr>
      <w:jc w:val="right"/>
      <w:rPr>
        <w:i/>
        <w:color w:val="9BBB59"/>
        <w:sz w:val="18"/>
      </w:rPr>
    </w:pPr>
    <w:r>
      <w:rPr>
        <w:i/>
        <w:color w:val="9BBB59"/>
        <w:sz w:val="16"/>
      </w:rPr>
      <w:t>Annex 9: Value for money</w:t>
    </w:r>
  </w:p>
  <w:p w14:paraId="4A51AEDA" w14:textId="77777777" w:rsidR="00325FEF" w:rsidRDefault="00325FE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4982E" w14:textId="77777777" w:rsidR="00325FEF" w:rsidRPr="00961461" w:rsidRDefault="00325FEF" w:rsidP="000913FE">
    <w:pPr>
      <w:pStyle w:val="Header"/>
      <w:pBdr>
        <w:bottom w:val="single" w:sz="8" w:space="1" w:color="9BBB59"/>
      </w:pBdr>
      <w:jc w:val="right"/>
      <w:rPr>
        <w:b w:val="0"/>
        <w:i/>
        <w:color w:val="9BBB59"/>
        <w:sz w:val="18"/>
      </w:rPr>
    </w:pPr>
    <w:r w:rsidRPr="00961461">
      <w:rPr>
        <w:i/>
        <w:color w:val="9BBB59"/>
        <w:sz w:val="16"/>
      </w:rPr>
      <w:t>Annex 9: Value for money</w:t>
    </w:r>
  </w:p>
  <w:p w14:paraId="383F1220" w14:textId="77777777" w:rsidR="00325FEF" w:rsidRDefault="00325FE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2275E" w14:textId="77777777" w:rsidR="00325FEF" w:rsidRDefault="00325FEF" w:rsidP="00620740">
    <w:pPr>
      <w:pStyle w:val="Header"/>
      <w:pBdr>
        <w:bottom w:val="single" w:sz="8" w:space="1" w:color="78A200"/>
      </w:pBdr>
      <w:tabs>
        <w:tab w:val="left" w:pos="5239"/>
      </w:tabs>
    </w:pPr>
    <w:r>
      <w:tab/>
    </w:r>
    <w:r>
      <w:tab/>
    </w:r>
    <w:r>
      <w:tab/>
    </w:r>
  </w:p>
  <w:p w14:paraId="4D2D306B" w14:textId="77777777" w:rsidR="00325FEF" w:rsidRDefault="00325FE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B588D" w14:textId="26F5D138" w:rsidR="00325FEF" w:rsidRPr="00A023AF" w:rsidRDefault="00325FEF" w:rsidP="000913FE">
    <w:pPr>
      <w:pStyle w:val="Header"/>
      <w:pBdr>
        <w:bottom w:val="single" w:sz="8" w:space="1" w:color="9BBB59"/>
      </w:pBdr>
      <w:jc w:val="right"/>
      <w:rPr>
        <w:b w:val="0"/>
        <w:bCs/>
        <w:i/>
        <w:iCs/>
        <w:sz w:val="18"/>
        <w:szCs w:val="16"/>
      </w:rPr>
    </w:pPr>
    <w:r w:rsidRPr="00A023AF">
      <w:rPr>
        <w:bCs/>
        <w:i/>
        <w:iCs/>
        <w:sz w:val="16"/>
        <w:szCs w:val="16"/>
      </w:rPr>
      <w:t>Annex 10: Future of the APTC</w:t>
    </w:r>
  </w:p>
  <w:p w14:paraId="4A8101BF" w14:textId="77777777" w:rsidR="00325FEF" w:rsidRDefault="00325FE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95742" w14:textId="3F0C1ABC" w:rsidR="00325FEF" w:rsidRPr="00961461" w:rsidRDefault="00325FEF" w:rsidP="000913FE">
    <w:pPr>
      <w:pStyle w:val="Header"/>
      <w:pBdr>
        <w:bottom w:val="single" w:sz="8" w:space="1" w:color="9BBB59"/>
      </w:pBdr>
      <w:jc w:val="right"/>
      <w:rPr>
        <w:b w:val="0"/>
        <w:i/>
        <w:color w:val="9BBB59"/>
        <w:sz w:val="18"/>
      </w:rPr>
    </w:pPr>
    <w:r>
      <w:rPr>
        <w:i/>
        <w:color w:val="9BBB59"/>
        <w:sz w:val="16"/>
      </w:rPr>
      <w:t>References</w:t>
    </w:r>
  </w:p>
  <w:p w14:paraId="4EB53766" w14:textId="77777777" w:rsidR="00325FEF" w:rsidRDefault="00325F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EDC0E" w14:textId="77777777" w:rsidR="00325FEF" w:rsidRDefault="00325FEF" w:rsidP="00620740">
    <w:pPr>
      <w:pStyle w:val="Header"/>
      <w:pBdr>
        <w:bottom w:val="single" w:sz="36" w:space="1" w:color="78A200"/>
      </w:pBdr>
      <w:tabs>
        <w:tab w:val="left" w:pos="5239"/>
      </w:tabs>
    </w:pPr>
    <w:r>
      <w:tab/>
    </w:r>
    <w:r>
      <w:tab/>
    </w:r>
    <w:r>
      <w:tab/>
    </w:r>
  </w:p>
  <w:p w14:paraId="75DCB09E" w14:textId="77777777" w:rsidR="00325FEF" w:rsidRDefault="00325F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934AC" w14:textId="0D7F8627" w:rsidR="00325FEF" w:rsidRPr="00D22D3E" w:rsidRDefault="00325FEF" w:rsidP="00205707">
    <w:pPr>
      <w:pStyle w:val="Header"/>
      <w:pBdr>
        <w:bottom w:val="single" w:sz="8" w:space="1" w:color="9BBB59"/>
      </w:pBdr>
      <w:jc w:val="right"/>
      <w:rPr>
        <w:bCs/>
        <w:i/>
        <w:iCs/>
        <w:sz w:val="18"/>
        <w:szCs w:val="16"/>
      </w:rPr>
    </w:pPr>
    <w:r w:rsidRPr="00D22D3E">
      <w:rPr>
        <w:bCs/>
        <w:i/>
        <w:iCs/>
        <w:sz w:val="16"/>
        <w:szCs w:val="16"/>
      </w:rPr>
      <w:t>Annex 1: Terms of Reference</w:t>
    </w:r>
  </w:p>
  <w:p w14:paraId="21768839" w14:textId="77777777" w:rsidR="00325FEF" w:rsidRDefault="00325F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D97D5" w14:textId="098A8F3E" w:rsidR="00325FEF" w:rsidRPr="00117013" w:rsidRDefault="00325FEF" w:rsidP="00205707">
    <w:pPr>
      <w:pStyle w:val="Header"/>
      <w:pBdr>
        <w:bottom w:val="single" w:sz="8" w:space="1" w:color="9BBB59"/>
      </w:pBdr>
      <w:jc w:val="right"/>
      <w:rPr>
        <w:i/>
        <w:color w:val="9BBB59"/>
        <w:sz w:val="18"/>
      </w:rPr>
    </w:pPr>
    <w:r>
      <w:rPr>
        <w:i/>
        <w:color w:val="9BBB59"/>
        <w:sz w:val="16"/>
      </w:rPr>
      <w:t>Annex 2: People and orqanisations met</w:t>
    </w:r>
  </w:p>
  <w:p w14:paraId="33968FBC" w14:textId="77777777" w:rsidR="00325FEF" w:rsidRDefault="00325F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C9C27" w14:textId="359F35BB" w:rsidR="00325FEF" w:rsidRPr="00117013" w:rsidRDefault="00325FEF" w:rsidP="00205707">
    <w:pPr>
      <w:pStyle w:val="Header"/>
      <w:pBdr>
        <w:bottom w:val="single" w:sz="8" w:space="1" w:color="9BBB59"/>
      </w:pBdr>
      <w:jc w:val="right"/>
      <w:rPr>
        <w:i/>
        <w:color w:val="9BBB59"/>
        <w:sz w:val="18"/>
      </w:rPr>
    </w:pPr>
    <w:r>
      <w:rPr>
        <w:i/>
        <w:color w:val="9BBB59"/>
        <w:sz w:val="16"/>
      </w:rPr>
      <w:t>Annex 3: Evaluation plan</w:t>
    </w:r>
  </w:p>
  <w:p w14:paraId="303F42A9" w14:textId="77777777" w:rsidR="00325FEF" w:rsidRDefault="00325F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E0C46" w14:textId="2CC53C06" w:rsidR="00325FEF" w:rsidRPr="00117013" w:rsidRDefault="00325FEF" w:rsidP="00205707">
    <w:pPr>
      <w:pStyle w:val="Header"/>
      <w:pBdr>
        <w:bottom w:val="single" w:sz="8" w:space="1" w:color="9BBB59"/>
      </w:pBdr>
      <w:jc w:val="right"/>
      <w:rPr>
        <w:i/>
        <w:color w:val="9BBB59"/>
        <w:sz w:val="18"/>
      </w:rPr>
    </w:pPr>
    <w:r>
      <w:rPr>
        <w:i/>
        <w:color w:val="9BBB59"/>
        <w:sz w:val="16"/>
      </w:rPr>
      <w:t>Annex 4: APTC statistical profile</w:t>
    </w:r>
  </w:p>
  <w:p w14:paraId="5F099898" w14:textId="77777777" w:rsidR="00325FEF" w:rsidRDefault="00325FE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AB34E" w14:textId="6CF4EB4D" w:rsidR="00325FEF" w:rsidRPr="00117013" w:rsidRDefault="00325FEF" w:rsidP="00205707">
    <w:pPr>
      <w:pStyle w:val="Header"/>
      <w:pBdr>
        <w:bottom w:val="single" w:sz="8" w:space="1" w:color="9BBB59"/>
      </w:pBdr>
      <w:jc w:val="right"/>
      <w:rPr>
        <w:i/>
        <w:color w:val="9BBB59"/>
        <w:sz w:val="18"/>
      </w:rPr>
    </w:pPr>
    <w:r>
      <w:rPr>
        <w:i/>
        <w:color w:val="9BBB59"/>
        <w:sz w:val="16"/>
      </w:rPr>
      <w:t>Annex 5: Questionnaire results</w:t>
    </w:r>
  </w:p>
  <w:p w14:paraId="4B5DB8A9" w14:textId="77777777" w:rsidR="00325FEF" w:rsidRDefault="00325F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263DB" w14:textId="5D757D05" w:rsidR="00325FEF" w:rsidRPr="00117013" w:rsidRDefault="00325FEF" w:rsidP="00205707">
    <w:pPr>
      <w:pStyle w:val="Header"/>
      <w:pBdr>
        <w:bottom w:val="single" w:sz="8" w:space="1" w:color="9BBB59"/>
      </w:pBdr>
      <w:jc w:val="right"/>
      <w:rPr>
        <w:i/>
        <w:color w:val="9BBB59"/>
        <w:sz w:val="18"/>
      </w:rPr>
    </w:pPr>
    <w:r>
      <w:rPr>
        <w:i/>
        <w:color w:val="9BBB59"/>
        <w:sz w:val="16"/>
      </w:rPr>
      <w:t>Annex 6: TVET capacity</w:t>
    </w:r>
  </w:p>
  <w:p w14:paraId="549D931D" w14:textId="77777777" w:rsidR="00325FEF" w:rsidRDefault="00325F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1FC51" w14:textId="0962BAF9" w:rsidR="00325FEF" w:rsidRPr="00117013" w:rsidRDefault="00325FEF" w:rsidP="00205707">
    <w:pPr>
      <w:pStyle w:val="Header"/>
      <w:pBdr>
        <w:bottom w:val="single" w:sz="8" w:space="1" w:color="9BBB59"/>
      </w:pBdr>
      <w:jc w:val="right"/>
      <w:rPr>
        <w:i/>
        <w:color w:val="9BBB59"/>
        <w:sz w:val="18"/>
      </w:rPr>
    </w:pPr>
    <w:r>
      <w:rPr>
        <w:i/>
        <w:color w:val="9BBB59"/>
        <w:sz w:val="16"/>
      </w:rPr>
      <w:t>Annex 7: Labour mobility</w:t>
    </w:r>
  </w:p>
  <w:p w14:paraId="0829848C" w14:textId="77777777" w:rsidR="00325FEF" w:rsidRDefault="00325F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0511"/>
    <w:multiLevelType w:val="singleLevel"/>
    <w:tmpl w:val="0E9CE21A"/>
    <w:name w:val="Bullet 5"/>
    <w:lvl w:ilvl="0">
      <w:start w:val="1"/>
      <w:numFmt w:val="lowerLetter"/>
      <w:lvlText w:val="%1"/>
      <w:lvlJc w:val="left"/>
      <w:pPr>
        <w:tabs>
          <w:tab w:val="num" w:pos="0"/>
        </w:tabs>
        <w:ind w:left="0" w:firstLine="0"/>
      </w:pPr>
    </w:lvl>
  </w:abstractNum>
  <w:abstractNum w:abstractNumId="1">
    <w:nsid w:val="04B374CF"/>
    <w:multiLevelType w:val="hybridMultilevel"/>
    <w:tmpl w:val="E5DE0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2D4AB6"/>
    <w:multiLevelType w:val="hybridMultilevel"/>
    <w:tmpl w:val="3E86FA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5DB3F6B"/>
    <w:multiLevelType w:val="singleLevel"/>
    <w:tmpl w:val="655E4100"/>
    <w:name w:val="Bullet 12"/>
    <w:lvl w:ilvl="0">
      <w:start w:val="1"/>
      <w:numFmt w:val="lowerLetter"/>
      <w:lvlText w:val="%1"/>
      <w:lvlJc w:val="left"/>
      <w:pPr>
        <w:tabs>
          <w:tab w:val="num" w:pos="0"/>
        </w:tabs>
        <w:ind w:left="0" w:firstLine="0"/>
      </w:pPr>
    </w:lvl>
  </w:abstractNum>
  <w:abstractNum w:abstractNumId="4">
    <w:nsid w:val="06104889"/>
    <w:multiLevelType w:val="singleLevel"/>
    <w:tmpl w:val="CDC6A05C"/>
    <w:lvl w:ilvl="0">
      <w:start w:val="1"/>
      <w:numFmt w:val="bullet"/>
      <w:pStyle w:val="ListBullet"/>
      <w:lvlText w:val=""/>
      <w:lvlJc w:val="left"/>
      <w:pPr>
        <w:tabs>
          <w:tab w:val="num" w:pos="360"/>
        </w:tabs>
        <w:ind w:left="360" w:hanging="360"/>
      </w:pPr>
      <w:rPr>
        <w:rFonts w:ascii="Symbol" w:hAnsi="Symbol" w:hint="default"/>
        <w:b/>
        <w:i w:val="0"/>
        <w:vertAlign w:val="baseline"/>
      </w:rPr>
    </w:lvl>
  </w:abstractNum>
  <w:abstractNum w:abstractNumId="5">
    <w:nsid w:val="06D54FBB"/>
    <w:multiLevelType w:val="hybridMultilevel"/>
    <w:tmpl w:val="25B4D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271455"/>
    <w:multiLevelType w:val="hybridMultilevel"/>
    <w:tmpl w:val="8E3E80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Aria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Arial"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07CF524B"/>
    <w:multiLevelType w:val="hybridMultilevel"/>
    <w:tmpl w:val="A12231B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86F3FF7"/>
    <w:multiLevelType w:val="hybridMultilevel"/>
    <w:tmpl w:val="6226B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96467ED"/>
    <w:multiLevelType w:val="hybridMultilevel"/>
    <w:tmpl w:val="6A7A6A7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C891F66"/>
    <w:multiLevelType w:val="hybridMultilevel"/>
    <w:tmpl w:val="6A362342"/>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CC63D49"/>
    <w:multiLevelType w:val="hybridMultilevel"/>
    <w:tmpl w:val="909C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4A7E38"/>
    <w:multiLevelType w:val="hybridMultilevel"/>
    <w:tmpl w:val="8D58E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DE37DE2"/>
    <w:multiLevelType w:val="singleLevel"/>
    <w:tmpl w:val="3AE4955E"/>
    <w:name w:val="Bullet 14"/>
    <w:lvl w:ilvl="0">
      <w:numFmt w:val="bullet"/>
      <w:lvlText w:val="o"/>
      <w:lvlJc w:val="left"/>
      <w:pPr>
        <w:tabs>
          <w:tab w:val="num" w:pos="0"/>
        </w:tabs>
        <w:ind w:left="0" w:firstLine="0"/>
      </w:pPr>
      <w:rPr>
        <w:rFonts w:ascii="Courier New" w:hAnsi="Courier New"/>
      </w:rPr>
    </w:lvl>
  </w:abstractNum>
  <w:abstractNum w:abstractNumId="14">
    <w:nsid w:val="0EED5EE0"/>
    <w:multiLevelType w:val="hybridMultilevel"/>
    <w:tmpl w:val="1ECE2DC2"/>
    <w:lvl w:ilvl="0" w:tplc="0409000F">
      <w:start w:val="1"/>
      <w:numFmt w:val="decimal"/>
      <w:lvlText w:val="%1."/>
      <w:lvlJc w:val="left"/>
      <w:pPr>
        <w:ind w:left="72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0F7E0D34"/>
    <w:multiLevelType w:val="hybridMultilevel"/>
    <w:tmpl w:val="7BB66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FFF6C83"/>
    <w:multiLevelType w:val="hybridMultilevel"/>
    <w:tmpl w:val="3A206FEE"/>
    <w:lvl w:ilvl="0" w:tplc="4F50061A">
      <w:start w:val="1"/>
      <w:numFmt w:val="bullet"/>
      <w:pStyle w:val="ListParagraph"/>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3D7116"/>
    <w:multiLevelType w:val="hybridMultilevel"/>
    <w:tmpl w:val="ABA68034"/>
    <w:lvl w:ilvl="0" w:tplc="04090015">
      <w:start w:val="1"/>
      <w:numFmt w:val="upperLetter"/>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8">
    <w:nsid w:val="13F42384"/>
    <w:multiLevelType w:val="hybridMultilevel"/>
    <w:tmpl w:val="BA5E2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49725A3"/>
    <w:multiLevelType w:val="hybridMultilevel"/>
    <w:tmpl w:val="45869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5982191"/>
    <w:multiLevelType w:val="hybridMultilevel"/>
    <w:tmpl w:val="92A2B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8DB3999"/>
    <w:multiLevelType w:val="singleLevel"/>
    <w:tmpl w:val="B538AAF0"/>
    <w:name w:val="Bullet 7"/>
    <w:lvl w:ilvl="0">
      <w:start w:val="1"/>
      <w:numFmt w:val="decimal"/>
      <w:lvlText w:val="%1"/>
      <w:lvlJc w:val="left"/>
      <w:pPr>
        <w:tabs>
          <w:tab w:val="num" w:pos="0"/>
        </w:tabs>
        <w:ind w:left="0" w:firstLine="0"/>
      </w:pPr>
    </w:lvl>
  </w:abstractNum>
  <w:abstractNum w:abstractNumId="22">
    <w:nsid w:val="19337F78"/>
    <w:multiLevelType w:val="singleLevel"/>
    <w:tmpl w:val="F1B65346"/>
    <w:name w:val="Bullet 11"/>
    <w:lvl w:ilvl="0">
      <w:start w:val="1"/>
      <w:numFmt w:val="decimal"/>
      <w:lvlText w:val="%1"/>
      <w:lvlJc w:val="left"/>
      <w:pPr>
        <w:tabs>
          <w:tab w:val="num" w:pos="0"/>
        </w:tabs>
        <w:ind w:left="0" w:firstLine="0"/>
      </w:pPr>
    </w:lvl>
  </w:abstractNum>
  <w:abstractNum w:abstractNumId="23">
    <w:nsid w:val="1DC24499"/>
    <w:multiLevelType w:val="hybridMultilevel"/>
    <w:tmpl w:val="D3BE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E794E62"/>
    <w:multiLevelType w:val="hybridMultilevel"/>
    <w:tmpl w:val="0298EF1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1EB37162"/>
    <w:multiLevelType w:val="hybridMultilevel"/>
    <w:tmpl w:val="2578EBE0"/>
    <w:lvl w:ilvl="0" w:tplc="04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0191BE8"/>
    <w:multiLevelType w:val="hybridMultilevel"/>
    <w:tmpl w:val="AF248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3CB5489"/>
    <w:multiLevelType w:val="hybridMultilevel"/>
    <w:tmpl w:val="BB788078"/>
    <w:lvl w:ilvl="0" w:tplc="613820D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42D7B61"/>
    <w:multiLevelType w:val="hybridMultilevel"/>
    <w:tmpl w:val="1A9AD50C"/>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E6025CDC">
      <w:start w:val="33"/>
      <w:numFmt w:val="decimal"/>
      <w:lvlText w:val="%5"/>
      <w:lvlJc w:val="left"/>
      <w:pPr>
        <w:ind w:left="3240" w:hanging="360"/>
      </w:pPr>
      <w:rPr>
        <w:rFont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6955F8B"/>
    <w:multiLevelType w:val="hybridMultilevel"/>
    <w:tmpl w:val="4A7843C2"/>
    <w:lvl w:ilvl="0" w:tplc="0C090001">
      <w:start w:val="1"/>
      <w:numFmt w:val="bullet"/>
      <w:lvlText w:val=""/>
      <w:lvlJc w:val="left"/>
      <w:pPr>
        <w:ind w:left="360" w:hanging="360"/>
      </w:pPr>
      <w:rPr>
        <w:rFonts w:ascii="Symbol" w:hAnsi="Symbol" w:hint="default"/>
      </w:rPr>
    </w:lvl>
    <w:lvl w:ilvl="1" w:tplc="179ADBDE">
      <w:numFmt w:val="bullet"/>
      <w:lvlText w:val="-"/>
      <w:lvlJc w:val="left"/>
      <w:pPr>
        <w:ind w:left="1080" w:hanging="360"/>
      </w:pPr>
      <w:rPr>
        <w:rFonts w:ascii="Calibri" w:eastAsiaTheme="minorHAnsi" w:hAnsi="Calibri" w:cstheme="minorBidi" w:hint="default"/>
      </w:rPr>
    </w:lvl>
    <w:lvl w:ilvl="2" w:tplc="179ADBDE">
      <w:numFmt w:val="bullet"/>
      <w:lvlText w:val="-"/>
      <w:lvlJc w:val="left"/>
      <w:pPr>
        <w:ind w:left="1800" w:hanging="360"/>
      </w:pPr>
      <w:rPr>
        <w:rFonts w:ascii="Calibri" w:eastAsiaTheme="minorHAnsi" w:hAnsi="Calibri"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26D04322"/>
    <w:multiLevelType w:val="singleLevel"/>
    <w:tmpl w:val="61345BFC"/>
    <w:name w:val="Bullet 17"/>
    <w:lvl w:ilvl="0">
      <w:numFmt w:val="bullet"/>
      <w:lvlText w:val=""/>
      <w:lvlJc w:val="left"/>
      <w:pPr>
        <w:tabs>
          <w:tab w:val="num" w:pos="0"/>
        </w:tabs>
        <w:ind w:left="0" w:firstLine="0"/>
      </w:pPr>
      <w:rPr>
        <w:rFonts w:ascii="Symbol" w:hAnsi="Symbol" w:cs="Arial"/>
      </w:rPr>
    </w:lvl>
  </w:abstractNum>
  <w:abstractNum w:abstractNumId="31">
    <w:nsid w:val="28EC10CF"/>
    <w:multiLevelType w:val="hybridMultilevel"/>
    <w:tmpl w:val="E1645446"/>
    <w:lvl w:ilvl="0" w:tplc="04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Arial" w:hint="default"/>
      </w:rPr>
    </w:lvl>
    <w:lvl w:ilvl="2" w:tplc="8D2EC040">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95904B2"/>
    <w:multiLevelType w:val="multilevel"/>
    <w:tmpl w:val="78EA18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299C0554"/>
    <w:multiLevelType w:val="hybridMultilevel"/>
    <w:tmpl w:val="4D5E7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ACE4DCE"/>
    <w:multiLevelType w:val="multilevel"/>
    <w:tmpl w:val="78EA18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2B3C4A3F"/>
    <w:multiLevelType w:val="hybridMultilevel"/>
    <w:tmpl w:val="B616145C"/>
    <w:lvl w:ilvl="0" w:tplc="24EA805E">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BBD2AA4"/>
    <w:multiLevelType w:val="hybridMultilevel"/>
    <w:tmpl w:val="AAECC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BEF2D76"/>
    <w:multiLevelType w:val="singleLevel"/>
    <w:tmpl w:val="641AD6AE"/>
    <w:name w:val="Bullet 1"/>
    <w:lvl w:ilvl="0">
      <w:numFmt w:val="bullet"/>
      <w:pStyle w:val="Dotpoint1"/>
      <w:lvlText w:val=""/>
      <w:lvlJc w:val="left"/>
      <w:pPr>
        <w:ind w:left="0" w:firstLine="0"/>
      </w:pPr>
      <w:rPr>
        <w:rFonts w:ascii="Wingdings" w:eastAsia="Wingdings" w:hAnsi="Wingdings" w:cs="Arial"/>
      </w:rPr>
    </w:lvl>
  </w:abstractNum>
  <w:abstractNum w:abstractNumId="38">
    <w:nsid w:val="2ECD211E"/>
    <w:multiLevelType w:val="hybridMultilevel"/>
    <w:tmpl w:val="4CA01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30C53A8A"/>
    <w:multiLevelType w:val="hybridMultilevel"/>
    <w:tmpl w:val="E0F82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176473D"/>
    <w:multiLevelType w:val="multilevel"/>
    <w:tmpl w:val="78A6F510"/>
    <w:lvl w:ilvl="0">
      <w:start w:val="1"/>
      <w:numFmt w:val="decimal"/>
      <w:lvlText w:val="%1)"/>
      <w:lvlJc w:val="left"/>
      <w:pPr>
        <w:ind w:left="423" w:firstLine="0"/>
      </w:pPr>
    </w:lvl>
    <w:lvl w:ilvl="1">
      <w:start w:val="1"/>
      <w:numFmt w:val="lowerLetter"/>
      <w:lvlText w:val="%2."/>
      <w:lvlJc w:val="left"/>
      <w:pPr>
        <w:ind w:left="1143" w:firstLine="0"/>
      </w:pPr>
    </w:lvl>
    <w:lvl w:ilvl="2">
      <w:start w:val="1"/>
      <w:numFmt w:val="lowerRoman"/>
      <w:lvlText w:val="%3."/>
      <w:lvlJc w:val="left"/>
      <w:pPr>
        <w:ind w:left="2043" w:firstLine="0"/>
      </w:pPr>
    </w:lvl>
    <w:lvl w:ilvl="3">
      <w:start w:val="1"/>
      <w:numFmt w:val="decimal"/>
      <w:lvlText w:val="%4."/>
      <w:lvlJc w:val="left"/>
      <w:pPr>
        <w:ind w:left="2583" w:firstLine="0"/>
      </w:pPr>
    </w:lvl>
    <w:lvl w:ilvl="4">
      <w:start w:val="1"/>
      <w:numFmt w:val="lowerLetter"/>
      <w:lvlText w:val="%5."/>
      <w:lvlJc w:val="left"/>
      <w:pPr>
        <w:ind w:left="3303" w:firstLine="0"/>
      </w:pPr>
    </w:lvl>
    <w:lvl w:ilvl="5">
      <w:start w:val="1"/>
      <w:numFmt w:val="lowerRoman"/>
      <w:lvlText w:val="%6."/>
      <w:lvlJc w:val="left"/>
      <w:pPr>
        <w:ind w:left="4203" w:firstLine="0"/>
      </w:pPr>
    </w:lvl>
    <w:lvl w:ilvl="6">
      <w:start w:val="1"/>
      <w:numFmt w:val="decimal"/>
      <w:lvlText w:val="%7."/>
      <w:lvlJc w:val="left"/>
      <w:pPr>
        <w:ind w:left="4743" w:firstLine="0"/>
      </w:pPr>
    </w:lvl>
    <w:lvl w:ilvl="7">
      <w:start w:val="1"/>
      <w:numFmt w:val="lowerLetter"/>
      <w:lvlText w:val="%8."/>
      <w:lvlJc w:val="left"/>
      <w:pPr>
        <w:ind w:left="5463" w:firstLine="0"/>
      </w:pPr>
    </w:lvl>
    <w:lvl w:ilvl="8">
      <w:start w:val="1"/>
      <w:numFmt w:val="lowerRoman"/>
      <w:lvlText w:val="%9."/>
      <w:lvlJc w:val="left"/>
      <w:pPr>
        <w:ind w:left="6363" w:firstLine="0"/>
      </w:pPr>
    </w:lvl>
  </w:abstractNum>
  <w:abstractNum w:abstractNumId="41">
    <w:nsid w:val="31CE7698"/>
    <w:multiLevelType w:val="singleLevel"/>
    <w:tmpl w:val="CD08469A"/>
    <w:name w:val="Bullet 8"/>
    <w:lvl w:ilvl="0">
      <w:start w:val="1"/>
      <w:numFmt w:val="decimal"/>
      <w:lvlText w:val="%1"/>
      <w:lvlJc w:val="left"/>
      <w:pPr>
        <w:tabs>
          <w:tab w:val="num" w:pos="0"/>
        </w:tabs>
        <w:ind w:left="0" w:firstLine="0"/>
      </w:pPr>
      <w:rPr>
        <w:b/>
      </w:rPr>
    </w:lvl>
  </w:abstractNum>
  <w:abstractNum w:abstractNumId="42">
    <w:nsid w:val="34D211AF"/>
    <w:multiLevelType w:val="hybridMultilevel"/>
    <w:tmpl w:val="92EC1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350534E7"/>
    <w:multiLevelType w:val="singleLevel"/>
    <w:tmpl w:val="A044DF8E"/>
    <w:name w:val="Bullet 2"/>
    <w:lvl w:ilvl="0">
      <w:numFmt w:val="bullet"/>
      <w:lvlText w:val=""/>
      <w:lvlJc w:val="left"/>
      <w:pPr>
        <w:tabs>
          <w:tab w:val="num" w:pos="0"/>
        </w:tabs>
        <w:ind w:left="0" w:firstLine="0"/>
      </w:pPr>
      <w:rPr>
        <w:rFonts w:ascii="Wingdings" w:eastAsia="Wingdings" w:hAnsi="Wingdings" w:cs="Arial"/>
      </w:rPr>
    </w:lvl>
  </w:abstractNum>
  <w:abstractNum w:abstractNumId="44">
    <w:nsid w:val="35C871BC"/>
    <w:multiLevelType w:val="multilevel"/>
    <w:tmpl w:val="264ED458"/>
    <w:name w:val="Numbered list 3"/>
    <w:lvl w:ilvl="0">
      <w:numFmt w:val="bullet"/>
      <w:lvlText w:val=""/>
      <w:lvlJc w:val="left"/>
      <w:pPr>
        <w:ind w:left="1080" w:firstLine="0"/>
      </w:pPr>
      <w:rPr>
        <w:rFonts w:ascii="Symbol" w:hAnsi="Symbol"/>
      </w:rPr>
    </w:lvl>
    <w:lvl w:ilvl="1">
      <w:numFmt w:val="bullet"/>
      <w:lvlText w:val="o"/>
      <w:lvlJc w:val="left"/>
      <w:pPr>
        <w:ind w:left="1800" w:firstLine="0"/>
      </w:pPr>
      <w:rPr>
        <w:rFonts w:ascii="Courier New" w:hAnsi="Courier New"/>
      </w:rPr>
    </w:lvl>
    <w:lvl w:ilvl="2">
      <w:numFmt w:val="bullet"/>
      <w:lvlText w:val=""/>
      <w:lvlJc w:val="left"/>
      <w:pPr>
        <w:ind w:left="2520" w:firstLine="0"/>
      </w:pPr>
      <w:rPr>
        <w:rFonts w:ascii="Wingdings" w:eastAsia="Wingdings" w:hAnsi="Wingdings" w:cs="Arial"/>
      </w:rPr>
    </w:lvl>
    <w:lvl w:ilvl="3">
      <w:numFmt w:val="bullet"/>
      <w:lvlText w:val=""/>
      <w:lvlJc w:val="left"/>
      <w:pPr>
        <w:ind w:left="3240" w:firstLine="0"/>
      </w:pPr>
      <w:rPr>
        <w:rFonts w:ascii="Symbol" w:hAnsi="Symbol"/>
      </w:rPr>
    </w:lvl>
    <w:lvl w:ilvl="4">
      <w:numFmt w:val="bullet"/>
      <w:lvlText w:val="o"/>
      <w:lvlJc w:val="left"/>
      <w:pPr>
        <w:ind w:left="3960" w:firstLine="0"/>
      </w:pPr>
      <w:rPr>
        <w:rFonts w:ascii="Courier New" w:hAnsi="Courier New"/>
      </w:rPr>
    </w:lvl>
    <w:lvl w:ilvl="5">
      <w:numFmt w:val="bullet"/>
      <w:lvlText w:val=""/>
      <w:lvlJc w:val="left"/>
      <w:pPr>
        <w:ind w:left="4680" w:firstLine="0"/>
      </w:pPr>
      <w:rPr>
        <w:rFonts w:ascii="Wingdings" w:eastAsia="Wingdings" w:hAnsi="Wingdings" w:cs="Arial"/>
      </w:rPr>
    </w:lvl>
    <w:lvl w:ilvl="6">
      <w:numFmt w:val="bullet"/>
      <w:lvlText w:val=""/>
      <w:lvlJc w:val="left"/>
      <w:pPr>
        <w:ind w:left="5400" w:firstLine="0"/>
      </w:pPr>
      <w:rPr>
        <w:rFonts w:ascii="Symbol" w:hAnsi="Symbol"/>
      </w:rPr>
    </w:lvl>
    <w:lvl w:ilvl="7">
      <w:numFmt w:val="bullet"/>
      <w:lvlText w:val="o"/>
      <w:lvlJc w:val="left"/>
      <w:pPr>
        <w:ind w:left="6120" w:firstLine="0"/>
      </w:pPr>
      <w:rPr>
        <w:rFonts w:ascii="Courier New" w:hAnsi="Courier New"/>
      </w:rPr>
    </w:lvl>
    <w:lvl w:ilvl="8">
      <w:numFmt w:val="bullet"/>
      <w:lvlText w:val=""/>
      <w:lvlJc w:val="left"/>
      <w:pPr>
        <w:ind w:left="6840" w:firstLine="0"/>
      </w:pPr>
      <w:rPr>
        <w:rFonts w:ascii="Wingdings" w:eastAsia="Wingdings" w:hAnsi="Wingdings" w:cs="Arial"/>
      </w:rPr>
    </w:lvl>
  </w:abstractNum>
  <w:abstractNum w:abstractNumId="45">
    <w:nsid w:val="36C433E3"/>
    <w:multiLevelType w:val="hybridMultilevel"/>
    <w:tmpl w:val="8524286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7E22264"/>
    <w:multiLevelType w:val="hybridMultilevel"/>
    <w:tmpl w:val="D4D6CA22"/>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19C61FA4">
      <w:start w:val="22"/>
      <w:numFmt w:val="decimal"/>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381F3857"/>
    <w:multiLevelType w:val="multilevel"/>
    <w:tmpl w:val="9F4EE3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8">
    <w:nsid w:val="39CF7097"/>
    <w:multiLevelType w:val="hybridMultilevel"/>
    <w:tmpl w:val="3B78C76A"/>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A4C34A6"/>
    <w:multiLevelType w:val="hybridMultilevel"/>
    <w:tmpl w:val="053C4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B317C99"/>
    <w:multiLevelType w:val="hybridMultilevel"/>
    <w:tmpl w:val="D9CC11FE"/>
    <w:lvl w:ilvl="0" w:tplc="A8404F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D35647D"/>
    <w:multiLevelType w:val="hybridMultilevel"/>
    <w:tmpl w:val="9A2C16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3D3738F4"/>
    <w:multiLevelType w:val="hybridMultilevel"/>
    <w:tmpl w:val="88E2D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DE54184"/>
    <w:multiLevelType w:val="hybridMultilevel"/>
    <w:tmpl w:val="3EA49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3E9F18D2"/>
    <w:multiLevelType w:val="hybridMultilevel"/>
    <w:tmpl w:val="EC62E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1E22DFB"/>
    <w:multiLevelType w:val="hybridMultilevel"/>
    <w:tmpl w:val="807CB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3F41A5E"/>
    <w:multiLevelType w:val="hybridMultilevel"/>
    <w:tmpl w:val="2480955C"/>
    <w:lvl w:ilvl="0" w:tplc="8E386644">
      <w:start w:val="1"/>
      <w:numFmt w:val="decimal"/>
      <w:pStyle w:val="Numberedstyle"/>
      <w:lvlText w:val="%1."/>
      <w:lvlJc w:val="left"/>
      <w:pPr>
        <w:tabs>
          <w:tab w:val="num" w:pos="851"/>
        </w:tabs>
        <w:ind w:left="851" w:hanging="284"/>
      </w:pPr>
      <w:rPr>
        <w:rFonts w:hint="default"/>
        <w:b/>
        <w:i w:val="0"/>
      </w:rPr>
    </w:lvl>
    <w:lvl w:ilvl="1" w:tplc="08090003" w:tentative="1">
      <w:start w:val="1"/>
      <w:numFmt w:val="bullet"/>
      <w:lvlText w:val="o"/>
      <w:lvlJc w:val="left"/>
      <w:pPr>
        <w:ind w:left="1648" w:hanging="360"/>
      </w:pPr>
      <w:rPr>
        <w:rFonts w:ascii="Courier New" w:hAnsi="Courier New" w:cs="Aria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Arial"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Arial" w:hint="default"/>
      </w:rPr>
    </w:lvl>
    <w:lvl w:ilvl="8" w:tplc="08090005" w:tentative="1">
      <w:start w:val="1"/>
      <w:numFmt w:val="bullet"/>
      <w:lvlText w:val=""/>
      <w:lvlJc w:val="left"/>
      <w:pPr>
        <w:ind w:left="6688" w:hanging="360"/>
      </w:pPr>
      <w:rPr>
        <w:rFonts w:ascii="Wingdings" w:hAnsi="Wingdings" w:hint="default"/>
      </w:rPr>
    </w:lvl>
  </w:abstractNum>
  <w:abstractNum w:abstractNumId="57">
    <w:nsid w:val="466428EE"/>
    <w:multiLevelType w:val="hybridMultilevel"/>
    <w:tmpl w:val="7370255E"/>
    <w:lvl w:ilvl="0" w:tplc="7B2CC48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46D81473"/>
    <w:multiLevelType w:val="singleLevel"/>
    <w:tmpl w:val="5056886E"/>
    <w:lvl w:ilvl="0">
      <w:numFmt w:val="bullet"/>
      <w:lvlText w:val=""/>
      <w:lvlJc w:val="left"/>
      <w:pPr>
        <w:ind w:left="0" w:firstLine="0"/>
      </w:pPr>
      <w:rPr>
        <w:rFonts w:ascii="Wingdings" w:eastAsia="Wingdings" w:hAnsi="Wingdings" w:cs="Arial"/>
      </w:rPr>
    </w:lvl>
  </w:abstractNum>
  <w:abstractNum w:abstractNumId="59">
    <w:nsid w:val="4A8A499B"/>
    <w:multiLevelType w:val="hybridMultilevel"/>
    <w:tmpl w:val="C3B21A02"/>
    <w:lvl w:ilvl="0" w:tplc="05A4A74E">
      <w:start w:val="1"/>
      <w:numFmt w:val="bullet"/>
      <w:lvlText w:val=""/>
      <w:lvlJc w:val="left"/>
      <w:pPr>
        <w:ind w:left="720" w:hanging="360"/>
      </w:pPr>
      <w:rPr>
        <w:rFonts w:ascii="Symbol" w:hAnsi="Symbol" w:hint="default"/>
      </w:rPr>
    </w:lvl>
    <w:lvl w:ilvl="1" w:tplc="EC7AB5A8" w:tentative="1">
      <w:start w:val="1"/>
      <w:numFmt w:val="bullet"/>
      <w:lvlText w:val="o"/>
      <w:lvlJc w:val="left"/>
      <w:pPr>
        <w:ind w:left="1440" w:hanging="360"/>
      </w:pPr>
      <w:rPr>
        <w:rFonts w:ascii="Courier New" w:hAnsi="Courier New" w:cs="Arial" w:hint="default"/>
      </w:rPr>
    </w:lvl>
    <w:lvl w:ilvl="2" w:tplc="6020316A" w:tentative="1">
      <w:start w:val="1"/>
      <w:numFmt w:val="bullet"/>
      <w:lvlText w:val=""/>
      <w:lvlJc w:val="left"/>
      <w:pPr>
        <w:ind w:left="2160" w:hanging="360"/>
      </w:pPr>
      <w:rPr>
        <w:rFonts w:ascii="Wingdings" w:hAnsi="Wingdings" w:hint="default"/>
      </w:rPr>
    </w:lvl>
    <w:lvl w:ilvl="3" w:tplc="04769D5C" w:tentative="1">
      <w:start w:val="1"/>
      <w:numFmt w:val="bullet"/>
      <w:lvlText w:val=""/>
      <w:lvlJc w:val="left"/>
      <w:pPr>
        <w:ind w:left="2880" w:hanging="360"/>
      </w:pPr>
      <w:rPr>
        <w:rFonts w:ascii="Symbol" w:hAnsi="Symbol" w:hint="default"/>
      </w:rPr>
    </w:lvl>
    <w:lvl w:ilvl="4" w:tplc="7188DF02" w:tentative="1">
      <w:start w:val="1"/>
      <w:numFmt w:val="bullet"/>
      <w:lvlText w:val="o"/>
      <w:lvlJc w:val="left"/>
      <w:pPr>
        <w:ind w:left="3600" w:hanging="360"/>
      </w:pPr>
      <w:rPr>
        <w:rFonts w:ascii="Courier New" w:hAnsi="Courier New" w:cs="Arial" w:hint="default"/>
      </w:rPr>
    </w:lvl>
    <w:lvl w:ilvl="5" w:tplc="E84C4CB6" w:tentative="1">
      <w:start w:val="1"/>
      <w:numFmt w:val="bullet"/>
      <w:lvlText w:val=""/>
      <w:lvlJc w:val="left"/>
      <w:pPr>
        <w:ind w:left="4320" w:hanging="360"/>
      </w:pPr>
      <w:rPr>
        <w:rFonts w:ascii="Wingdings" w:hAnsi="Wingdings" w:hint="default"/>
      </w:rPr>
    </w:lvl>
    <w:lvl w:ilvl="6" w:tplc="48FED0E0" w:tentative="1">
      <w:start w:val="1"/>
      <w:numFmt w:val="bullet"/>
      <w:lvlText w:val=""/>
      <w:lvlJc w:val="left"/>
      <w:pPr>
        <w:ind w:left="5040" w:hanging="360"/>
      </w:pPr>
      <w:rPr>
        <w:rFonts w:ascii="Symbol" w:hAnsi="Symbol" w:hint="default"/>
      </w:rPr>
    </w:lvl>
    <w:lvl w:ilvl="7" w:tplc="CB2C161E" w:tentative="1">
      <w:start w:val="1"/>
      <w:numFmt w:val="bullet"/>
      <w:lvlText w:val="o"/>
      <w:lvlJc w:val="left"/>
      <w:pPr>
        <w:ind w:left="5760" w:hanging="360"/>
      </w:pPr>
      <w:rPr>
        <w:rFonts w:ascii="Courier New" w:hAnsi="Courier New" w:cs="Arial" w:hint="default"/>
      </w:rPr>
    </w:lvl>
    <w:lvl w:ilvl="8" w:tplc="DA8CE0CA" w:tentative="1">
      <w:start w:val="1"/>
      <w:numFmt w:val="bullet"/>
      <w:lvlText w:val=""/>
      <w:lvlJc w:val="left"/>
      <w:pPr>
        <w:ind w:left="6480" w:hanging="360"/>
      </w:pPr>
      <w:rPr>
        <w:rFonts w:ascii="Wingdings" w:hAnsi="Wingdings" w:hint="default"/>
      </w:rPr>
    </w:lvl>
  </w:abstractNum>
  <w:abstractNum w:abstractNumId="60">
    <w:nsid w:val="4AD21754"/>
    <w:multiLevelType w:val="hybridMultilevel"/>
    <w:tmpl w:val="63761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D673BE5"/>
    <w:multiLevelType w:val="hybridMultilevel"/>
    <w:tmpl w:val="F1E232E8"/>
    <w:name w:val="Bullet 10"/>
    <w:lvl w:ilvl="0" w:tplc="117AD5F6">
      <w:start w:val="1"/>
      <w:numFmt w:val="bullet"/>
      <w:lvlText w:val=""/>
      <w:lvlJc w:val="left"/>
      <w:pPr>
        <w:ind w:left="720" w:hanging="360"/>
      </w:pPr>
      <w:rPr>
        <w:rFonts w:ascii="Symbol" w:hAnsi="Symbol" w:hint="default"/>
      </w:rPr>
    </w:lvl>
    <w:lvl w:ilvl="1" w:tplc="CCFA41EC" w:tentative="1">
      <w:start w:val="1"/>
      <w:numFmt w:val="bullet"/>
      <w:lvlText w:val="o"/>
      <w:lvlJc w:val="left"/>
      <w:pPr>
        <w:ind w:left="1440" w:hanging="360"/>
      </w:pPr>
      <w:rPr>
        <w:rFonts w:ascii="Courier New" w:hAnsi="Courier New" w:cs="Arial" w:hint="default"/>
      </w:rPr>
    </w:lvl>
    <w:lvl w:ilvl="2" w:tplc="67BAB380" w:tentative="1">
      <w:start w:val="1"/>
      <w:numFmt w:val="bullet"/>
      <w:lvlText w:val=""/>
      <w:lvlJc w:val="left"/>
      <w:pPr>
        <w:ind w:left="2160" w:hanging="360"/>
      </w:pPr>
      <w:rPr>
        <w:rFonts w:ascii="Wingdings" w:hAnsi="Wingdings" w:hint="default"/>
      </w:rPr>
    </w:lvl>
    <w:lvl w:ilvl="3" w:tplc="A53C8416" w:tentative="1">
      <w:start w:val="1"/>
      <w:numFmt w:val="bullet"/>
      <w:lvlText w:val=""/>
      <w:lvlJc w:val="left"/>
      <w:pPr>
        <w:ind w:left="2880" w:hanging="360"/>
      </w:pPr>
      <w:rPr>
        <w:rFonts w:ascii="Symbol" w:hAnsi="Symbol" w:hint="default"/>
      </w:rPr>
    </w:lvl>
    <w:lvl w:ilvl="4" w:tplc="AA306FA8" w:tentative="1">
      <w:start w:val="1"/>
      <w:numFmt w:val="bullet"/>
      <w:lvlText w:val="o"/>
      <w:lvlJc w:val="left"/>
      <w:pPr>
        <w:ind w:left="3600" w:hanging="360"/>
      </w:pPr>
      <w:rPr>
        <w:rFonts w:ascii="Courier New" w:hAnsi="Courier New" w:cs="Arial" w:hint="default"/>
      </w:rPr>
    </w:lvl>
    <w:lvl w:ilvl="5" w:tplc="EDA69398" w:tentative="1">
      <w:start w:val="1"/>
      <w:numFmt w:val="bullet"/>
      <w:lvlText w:val=""/>
      <w:lvlJc w:val="left"/>
      <w:pPr>
        <w:ind w:left="4320" w:hanging="360"/>
      </w:pPr>
      <w:rPr>
        <w:rFonts w:ascii="Wingdings" w:hAnsi="Wingdings" w:hint="default"/>
      </w:rPr>
    </w:lvl>
    <w:lvl w:ilvl="6" w:tplc="A28ECE86" w:tentative="1">
      <w:start w:val="1"/>
      <w:numFmt w:val="bullet"/>
      <w:lvlText w:val=""/>
      <w:lvlJc w:val="left"/>
      <w:pPr>
        <w:ind w:left="5040" w:hanging="360"/>
      </w:pPr>
      <w:rPr>
        <w:rFonts w:ascii="Symbol" w:hAnsi="Symbol" w:hint="default"/>
      </w:rPr>
    </w:lvl>
    <w:lvl w:ilvl="7" w:tplc="A030E7F6" w:tentative="1">
      <w:start w:val="1"/>
      <w:numFmt w:val="bullet"/>
      <w:lvlText w:val="o"/>
      <w:lvlJc w:val="left"/>
      <w:pPr>
        <w:ind w:left="5760" w:hanging="360"/>
      </w:pPr>
      <w:rPr>
        <w:rFonts w:ascii="Courier New" w:hAnsi="Courier New" w:cs="Arial" w:hint="default"/>
      </w:rPr>
    </w:lvl>
    <w:lvl w:ilvl="8" w:tplc="7DFA59D6" w:tentative="1">
      <w:start w:val="1"/>
      <w:numFmt w:val="bullet"/>
      <w:lvlText w:val=""/>
      <w:lvlJc w:val="left"/>
      <w:pPr>
        <w:ind w:left="6480" w:hanging="360"/>
      </w:pPr>
      <w:rPr>
        <w:rFonts w:ascii="Wingdings" w:hAnsi="Wingdings" w:hint="default"/>
      </w:rPr>
    </w:lvl>
  </w:abstractNum>
  <w:abstractNum w:abstractNumId="62">
    <w:nsid w:val="4F356C71"/>
    <w:multiLevelType w:val="hybridMultilevel"/>
    <w:tmpl w:val="738E83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4FC503A9"/>
    <w:multiLevelType w:val="hybridMultilevel"/>
    <w:tmpl w:val="82185C84"/>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Arial"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Arial"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Arial" w:hint="default"/>
      </w:rPr>
    </w:lvl>
    <w:lvl w:ilvl="8" w:tplc="08090005" w:tentative="1">
      <w:start w:val="1"/>
      <w:numFmt w:val="bullet"/>
      <w:lvlText w:val=""/>
      <w:lvlJc w:val="left"/>
      <w:pPr>
        <w:ind w:left="7410" w:hanging="360"/>
      </w:pPr>
      <w:rPr>
        <w:rFonts w:ascii="Wingdings" w:hAnsi="Wingdings" w:hint="default"/>
      </w:rPr>
    </w:lvl>
  </w:abstractNum>
  <w:abstractNum w:abstractNumId="64">
    <w:nsid w:val="4FC61DD7"/>
    <w:multiLevelType w:val="hybridMultilevel"/>
    <w:tmpl w:val="07D61AB8"/>
    <w:name w:val="Numbered list 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0481398"/>
    <w:multiLevelType w:val="hybridMultilevel"/>
    <w:tmpl w:val="226A99F0"/>
    <w:lvl w:ilvl="0" w:tplc="0C090001">
      <w:start w:val="1"/>
      <w:numFmt w:val="decimal"/>
      <w:lvlText w:val="%1."/>
      <w:lvlJc w:val="left"/>
      <w:pPr>
        <w:ind w:left="720" w:hanging="360"/>
      </w:pPr>
      <w:rPr>
        <w:rFonts w:hint="default"/>
      </w:rPr>
    </w:lvl>
    <w:lvl w:ilvl="1" w:tplc="0C090003">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3617DDD"/>
    <w:multiLevelType w:val="hybridMultilevel"/>
    <w:tmpl w:val="AFF60570"/>
    <w:lvl w:ilvl="0" w:tplc="63BA4A2E">
      <w:start w:val="1"/>
      <w:numFmt w:val="bullet"/>
      <w:lvlText w:val=""/>
      <w:lvlJc w:val="left"/>
      <w:pPr>
        <w:ind w:left="1800" w:hanging="360"/>
      </w:pPr>
      <w:rPr>
        <w:rFonts w:ascii="Symbol" w:hAnsi="Symbol" w:hint="default"/>
      </w:rPr>
    </w:lvl>
    <w:lvl w:ilvl="1" w:tplc="192646E0" w:tentative="1">
      <w:start w:val="1"/>
      <w:numFmt w:val="bullet"/>
      <w:lvlText w:val="o"/>
      <w:lvlJc w:val="left"/>
      <w:pPr>
        <w:ind w:left="2520" w:hanging="360"/>
      </w:pPr>
      <w:rPr>
        <w:rFonts w:ascii="Courier New" w:hAnsi="Courier New" w:cs="Arial" w:hint="default"/>
      </w:rPr>
    </w:lvl>
    <w:lvl w:ilvl="2" w:tplc="8CD69114" w:tentative="1">
      <w:start w:val="1"/>
      <w:numFmt w:val="bullet"/>
      <w:lvlText w:val=""/>
      <w:lvlJc w:val="left"/>
      <w:pPr>
        <w:ind w:left="3240" w:hanging="360"/>
      </w:pPr>
      <w:rPr>
        <w:rFonts w:ascii="Wingdings" w:hAnsi="Wingdings" w:hint="default"/>
      </w:rPr>
    </w:lvl>
    <w:lvl w:ilvl="3" w:tplc="3E7EE4C0" w:tentative="1">
      <w:start w:val="1"/>
      <w:numFmt w:val="bullet"/>
      <w:lvlText w:val=""/>
      <w:lvlJc w:val="left"/>
      <w:pPr>
        <w:ind w:left="3960" w:hanging="360"/>
      </w:pPr>
      <w:rPr>
        <w:rFonts w:ascii="Symbol" w:hAnsi="Symbol" w:hint="default"/>
      </w:rPr>
    </w:lvl>
    <w:lvl w:ilvl="4" w:tplc="193ECDCE" w:tentative="1">
      <w:start w:val="1"/>
      <w:numFmt w:val="bullet"/>
      <w:lvlText w:val="o"/>
      <w:lvlJc w:val="left"/>
      <w:pPr>
        <w:ind w:left="4680" w:hanging="360"/>
      </w:pPr>
      <w:rPr>
        <w:rFonts w:ascii="Courier New" w:hAnsi="Courier New" w:cs="Arial" w:hint="default"/>
      </w:rPr>
    </w:lvl>
    <w:lvl w:ilvl="5" w:tplc="D8B2E4C0" w:tentative="1">
      <w:start w:val="1"/>
      <w:numFmt w:val="bullet"/>
      <w:lvlText w:val=""/>
      <w:lvlJc w:val="left"/>
      <w:pPr>
        <w:ind w:left="5400" w:hanging="360"/>
      </w:pPr>
      <w:rPr>
        <w:rFonts w:ascii="Wingdings" w:hAnsi="Wingdings" w:hint="default"/>
      </w:rPr>
    </w:lvl>
    <w:lvl w:ilvl="6" w:tplc="496ACB94" w:tentative="1">
      <w:start w:val="1"/>
      <w:numFmt w:val="bullet"/>
      <w:lvlText w:val=""/>
      <w:lvlJc w:val="left"/>
      <w:pPr>
        <w:ind w:left="6120" w:hanging="360"/>
      </w:pPr>
      <w:rPr>
        <w:rFonts w:ascii="Symbol" w:hAnsi="Symbol" w:hint="default"/>
      </w:rPr>
    </w:lvl>
    <w:lvl w:ilvl="7" w:tplc="6374C15E" w:tentative="1">
      <w:start w:val="1"/>
      <w:numFmt w:val="bullet"/>
      <w:lvlText w:val="o"/>
      <w:lvlJc w:val="left"/>
      <w:pPr>
        <w:ind w:left="6840" w:hanging="360"/>
      </w:pPr>
      <w:rPr>
        <w:rFonts w:ascii="Courier New" w:hAnsi="Courier New" w:cs="Arial" w:hint="default"/>
      </w:rPr>
    </w:lvl>
    <w:lvl w:ilvl="8" w:tplc="E0B03E28" w:tentative="1">
      <w:start w:val="1"/>
      <w:numFmt w:val="bullet"/>
      <w:lvlText w:val=""/>
      <w:lvlJc w:val="left"/>
      <w:pPr>
        <w:ind w:left="7560" w:hanging="360"/>
      </w:pPr>
      <w:rPr>
        <w:rFonts w:ascii="Wingdings" w:hAnsi="Wingdings" w:hint="default"/>
      </w:rPr>
    </w:lvl>
  </w:abstractNum>
  <w:abstractNum w:abstractNumId="67">
    <w:nsid w:val="589F1ED4"/>
    <w:multiLevelType w:val="hybridMultilevel"/>
    <w:tmpl w:val="AC3AD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1EC5D74"/>
    <w:multiLevelType w:val="hybridMultilevel"/>
    <w:tmpl w:val="D91A367A"/>
    <w:name w:val="Bullet 6"/>
    <w:lvl w:ilvl="0" w:tplc="48AE9666">
      <w:start w:val="1"/>
      <w:numFmt w:val="bullet"/>
      <w:lvlText w:val=""/>
      <w:lvlJc w:val="left"/>
      <w:pPr>
        <w:ind w:left="720" w:hanging="360"/>
      </w:pPr>
      <w:rPr>
        <w:rFonts w:ascii="Symbol" w:hAnsi="Symbol" w:hint="default"/>
        <w:color w:val="auto"/>
      </w:rPr>
    </w:lvl>
    <w:lvl w:ilvl="1" w:tplc="9A52B052" w:tentative="1">
      <w:start w:val="1"/>
      <w:numFmt w:val="bullet"/>
      <w:lvlText w:val="o"/>
      <w:lvlJc w:val="left"/>
      <w:pPr>
        <w:ind w:left="1440" w:hanging="360"/>
      </w:pPr>
      <w:rPr>
        <w:rFonts w:ascii="Courier New" w:hAnsi="Courier New" w:hint="default"/>
      </w:rPr>
    </w:lvl>
    <w:lvl w:ilvl="2" w:tplc="C16846E6" w:tentative="1">
      <w:start w:val="1"/>
      <w:numFmt w:val="bullet"/>
      <w:lvlText w:val=""/>
      <w:lvlJc w:val="left"/>
      <w:pPr>
        <w:ind w:left="2160" w:hanging="360"/>
      </w:pPr>
      <w:rPr>
        <w:rFonts w:ascii="Wingdings" w:hAnsi="Wingdings" w:hint="default"/>
      </w:rPr>
    </w:lvl>
    <w:lvl w:ilvl="3" w:tplc="3F2855E4" w:tentative="1">
      <w:start w:val="1"/>
      <w:numFmt w:val="bullet"/>
      <w:lvlText w:val=""/>
      <w:lvlJc w:val="left"/>
      <w:pPr>
        <w:ind w:left="2880" w:hanging="360"/>
      </w:pPr>
      <w:rPr>
        <w:rFonts w:ascii="Symbol" w:hAnsi="Symbol" w:hint="default"/>
      </w:rPr>
    </w:lvl>
    <w:lvl w:ilvl="4" w:tplc="91AE2EDC" w:tentative="1">
      <w:start w:val="1"/>
      <w:numFmt w:val="bullet"/>
      <w:lvlText w:val="o"/>
      <w:lvlJc w:val="left"/>
      <w:pPr>
        <w:ind w:left="3600" w:hanging="360"/>
      </w:pPr>
      <w:rPr>
        <w:rFonts w:ascii="Courier New" w:hAnsi="Courier New" w:hint="default"/>
      </w:rPr>
    </w:lvl>
    <w:lvl w:ilvl="5" w:tplc="2794B276" w:tentative="1">
      <w:start w:val="1"/>
      <w:numFmt w:val="bullet"/>
      <w:lvlText w:val=""/>
      <w:lvlJc w:val="left"/>
      <w:pPr>
        <w:ind w:left="4320" w:hanging="360"/>
      </w:pPr>
      <w:rPr>
        <w:rFonts w:ascii="Wingdings" w:hAnsi="Wingdings" w:hint="default"/>
      </w:rPr>
    </w:lvl>
    <w:lvl w:ilvl="6" w:tplc="F8E0504E" w:tentative="1">
      <w:start w:val="1"/>
      <w:numFmt w:val="bullet"/>
      <w:lvlText w:val=""/>
      <w:lvlJc w:val="left"/>
      <w:pPr>
        <w:ind w:left="5040" w:hanging="360"/>
      </w:pPr>
      <w:rPr>
        <w:rFonts w:ascii="Symbol" w:hAnsi="Symbol" w:hint="default"/>
      </w:rPr>
    </w:lvl>
    <w:lvl w:ilvl="7" w:tplc="1B6EADB2" w:tentative="1">
      <w:start w:val="1"/>
      <w:numFmt w:val="bullet"/>
      <w:lvlText w:val="o"/>
      <w:lvlJc w:val="left"/>
      <w:pPr>
        <w:ind w:left="5760" w:hanging="360"/>
      </w:pPr>
      <w:rPr>
        <w:rFonts w:ascii="Courier New" w:hAnsi="Courier New" w:hint="default"/>
      </w:rPr>
    </w:lvl>
    <w:lvl w:ilvl="8" w:tplc="3072E202" w:tentative="1">
      <w:start w:val="1"/>
      <w:numFmt w:val="bullet"/>
      <w:lvlText w:val=""/>
      <w:lvlJc w:val="left"/>
      <w:pPr>
        <w:ind w:left="6480" w:hanging="360"/>
      </w:pPr>
      <w:rPr>
        <w:rFonts w:ascii="Wingdings" w:hAnsi="Wingdings" w:hint="default"/>
      </w:rPr>
    </w:lvl>
  </w:abstractNum>
  <w:abstractNum w:abstractNumId="69">
    <w:nsid w:val="64597AEF"/>
    <w:multiLevelType w:val="hybridMultilevel"/>
    <w:tmpl w:val="D522F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4DD3FDE"/>
    <w:multiLevelType w:val="multilevel"/>
    <w:tmpl w:val="AFDE7204"/>
    <w:name w:val="Bullet 3"/>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Arial"/>
      </w:rPr>
    </w:lvl>
    <w:lvl w:ilvl="2">
      <w:numFmt w:val="bullet"/>
      <w:lvlText w:val=""/>
      <w:lvlJc w:val="left"/>
      <w:pPr>
        <w:ind w:left="1800" w:firstLine="0"/>
      </w:pPr>
      <w:rPr>
        <w:rFonts w:ascii="Wingdings" w:eastAsia="Wingdings" w:hAnsi="Wingdings" w:cs="Arial"/>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Arial"/>
      </w:rPr>
    </w:lvl>
    <w:lvl w:ilvl="5">
      <w:numFmt w:val="bullet"/>
      <w:lvlText w:val=""/>
      <w:lvlJc w:val="left"/>
      <w:pPr>
        <w:ind w:left="3960" w:firstLine="0"/>
      </w:pPr>
      <w:rPr>
        <w:rFonts w:ascii="Wingdings" w:eastAsia="Wingdings" w:hAnsi="Wingdings" w:cs="Arial"/>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Arial"/>
      </w:rPr>
    </w:lvl>
    <w:lvl w:ilvl="8">
      <w:numFmt w:val="bullet"/>
      <w:lvlText w:val=""/>
      <w:lvlJc w:val="left"/>
      <w:pPr>
        <w:ind w:left="6120" w:firstLine="0"/>
      </w:pPr>
      <w:rPr>
        <w:rFonts w:ascii="Wingdings" w:eastAsia="Wingdings" w:hAnsi="Wingdings" w:cs="Arial"/>
      </w:rPr>
    </w:lvl>
  </w:abstractNum>
  <w:abstractNum w:abstractNumId="71">
    <w:nsid w:val="662D2130"/>
    <w:multiLevelType w:val="hybridMultilevel"/>
    <w:tmpl w:val="72828670"/>
    <w:name w:val="Numbered list 2"/>
    <w:lvl w:ilvl="0" w:tplc="DEC845BA">
      <w:start w:val="1"/>
      <w:numFmt w:val="bullet"/>
      <w:lvlText w:val=""/>
      <w:lvlJc w:val="left"/>
      <w:pPr>
        <w:ind w:left="2880" w:hanging="360"/>
      </w:pPr>
      <w:rPr>
        <w:rFonts w:ascii="Wingdings" w:hAnsi="Wingdings" w:hint="default"/>
      </w:rPr>
    </w:lvl>
    <w:lvl w:ilvl="1" w:tplc="5570097C">
      <w:start w:val="1"/>
      <w:numFmt w:val="bullet"/>
      <w:lvlText w:val="o"/>
      <w:lvlJc w:val="left"/>
      <w:pPr>
        <w:ind w:left="3600" w:hanging="360"/>
      </w:pPr>
      <w:rPr>
        <w:rFonts w:ascii="Courier New" w:hAnsi="Courier New" w:cs="Arial" w:hint="default"/>
      </w:rPr>
    </w:lvl>
    <w:lvl w:ilvl="2" w:tplc="52A6352A" w:tentative="1">
      <w:start w:val="1"/>
      <w:numFmt w:val="bullet"/>
      <w:lvlText w:val=""/>
      <w:lvlJc w:val="left"/>
      <w:pPr>
        <w:ind w:left="4320" w:hanging="360"/>
      </w:pPr>
      <w:rPr>
        <w:rFonts w:ascii="Wingdings" w:hAnsi="Wingdings" w:hint="default"/>
      </w:rPr>
    </w:lvl>
    <w:lvl w:ilvl="3" w:tplc="FE800F3C" w:tentative="1">
      <w:start w:val="1"/>
      <w:numFmt w:val="bullet"/>
      <w:lvlText w:val=""/>
      <w:lvlJc w:val="left"/>
      <w:pPr>
        <w:ind w:left="5040" w:hanging="360"/>
      </w:pPr>
      <w:rPr>
        <w:rFonts w:ascii="Symbol" w:hAnsi="Symbol" w:hint="default"/>
      </w:rPr>
    </w:lvl>
    <w:lvl w:ilvl="4" w:tplc="B16AAEF6" w:tentative="1">
      <w:start w:val="1"/>
      <w:numFmt w:val="bullet"/>
      <w:lvlText w:val="o"/>
      <w:lvlJc w:val="left"/>
      <w:pPr>
        <w:ind w:left="5760" w:hanging="360"/>
      </w:pPr>
      <w:rPr>
        <w:rFonts w:ascii="Courier New" w:hAnsi="Courier New" w:cs="Arial" w:hint="default"/>
      </w:rPr>
    </w:lvl>
    <w:lvl w:ilvl="5" w:tplc="84C6FEF8" w:tentative="1">
      <w:start w:val="1"/>
      <w:numFmt w:val="bullet"/>
      <w:lvlText w:val=""/>
      <w:lvlJc w:val="left"/>
      <w:pPr>
        <w:ind w:left="6480" w:hanging="360"/>
      </w:pPr>
      <w:rPr>
        <w:rFonts w:ascii="Wingdings" w:hAnsi="Wingdings" w:hint="default"/>
      </w:rPr>
    </w:lvl>
    <w:lvl w:ilvl="6" w:tplc="127A223E" w:tentative="1">
      <w:start w:val="1"/>
      <w:numFmt w:val="bullet"/>
      <w:lvlText w:val=""/>
      <w:lvlJc w:val="left"/>
      <w:pPr>
        <w:ind w:left="7200" w:hanging="360"/>
      </w:pPr>
      <w:rPr>
        <w:rFonts w:ascii="Symbol" w:hAnsi="Symbol" w:hint="default"/>
      </w:rPr>
    </w:lvl>
    <w:lvl w:ilvl="7" w:tplc="ECD0A6EA" w:tentative="1">
      <w:start w:val="1"/>
      <w:numFmt w:val="bullet"/>
      <w:lvlText w:val="o"/>
      <w:lvlJc w:val="left"/>
      <w:pPr>
        <w:ind w:left="7920" w:hanging="360"/>
      </w:pPr>
      <w:rPr>
        <w:rFonts w:ascii="Courier New" w:hAnsi="Courier New" w:cs="Arial" w:hint="default"/>
      </w:rPr>
    </w:lvl>
    <w:lvl w:ilvl="8" w:tplc="E45E838C" w:tentative="1">
      <w:start w:val="1"/>
      <w:numFmt w:val="bullet"/>
      <w:lvlText w:val=""/>
      <w:lvlJc w:val="left"/>
      <w:pPr>
        <w:ind w:left="8640" w:hanging="360"/>
      </w:pPr>
      <w:rPr>
        <w:rFonts w:ascii="Wingdings" w:hAnsi="Wingdings" w:hint="default"/>
      </w:rPr>
    </w:lvl>
  </w:abstractNum>
  <w:abstractNum w:abstractNumId="72">
    <w:nsid w:val="67BB4819"/>
    <w:multiLevelType w:val="multilevel"/>
    <w:tmpl w:val="691024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681942B7"/>
    <w:multiLevelType w:val="hybridMultilevel"/>
    <w:tmpl w:val="A82E9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A672EBE"/>
    <w:multiLevelType w:val="hybridMultilevel"/>
    <w:tmpl w:val="E3827A62"/>
    <w:name w:val="Numbered list 1"/>
    <w:lvl w:ilvl="0" w:tplc="8EA6EB12">
      <w:start w:val="1"/>
      <w:numFmt w:val="upperLetter"/>
      <w:lvlText w:val="%1."/>
      <w:lvlJc w:val="left"/>
      <w:pPr>
        <w:ind w:left="360" w:hanging="360"/>
      </w:pPr>
      <w:rPr>
        <w:rFonts w:hint="default"/>
      </w:rPr>
    </w:lvl>
    <w:lvl w:ilvl="1" w:tplc="976ECEFE">
      <w:start w:val="1"/>
      <w:numFmt w:val="decimal"/>
      <w:lvlText w:val="%2."/>
      <w:lvlJc w:val="left"/>
      <w:pPr>
        <w:ind w:left="1080" w:hanging="360"/>
      </w:pPr>
      <w:rPr>
        <w:rFonts w:hint="default"/>
      </w:rPr>
    </w:lvl>
    <w:lvl w:ilvl="2" w:tplc="88E2EF12">
      <w:start w:val="1"/>
      <w:numFmt w:val="bullet"/>
      <w:lvlText w:val=""/>
      <w:lvlJc w:val="left"/>
      <w:pPr>
        <w:ind w:left="1800" w:hanging="360"/>
      </w:pPr>
      <w:rPr>
        <w:rFonts w:ascii="Symbol" w:hAnsi="Symbol" w:hint="default"/>
      </w:rPr>
    </w:lvl>
    <w:lvl w:ilvl="3" w:tplc="1FBE2FA4">
      <w:start w:val="1"/>
      <w:numFmt w:val="bullet"/>
      <w:lvlText w:val=""/>
      <w:lvlJc w:val="left"/>
      <w:pPr>
        <w:ind w:left="2520" w:hanging="360"/>
      </w:pPr>
      <w:rPr>
        <w:rFonts w:ascii="Symbol" w:hAnsi="Symbol" w:hint="default"/>
      </w:rPr>
    </w:lvl>
    <w:lvl w:ilvl="4" w:tplc="FD5A2CD8" w:tentative="1">
      <w:start w:val="1"/>
      <w:numFmt w:val="bullet"/>
      <w:lvlText w:val="o"/>
      <w:lvlJc w:val="left"/>
      <w:pPr>
        <w:ind w:left="3240" w:hanging="360"/>
      </w:pPr>
      <w:rPr>
        <w:rFonts w:ascii="Courier New" w:hAnsi="Courier New" w:cs="Arial" w:hint="default"/>
      </w:rPr>
    </w:lvl>
    <w:lvl w:ilvl="5" w:tplc="AC608108" w:tentative="1">
      <w:start w:val="1"/>
      <w:numFmt w:val="bullet"/>
      <w:lvlText w:val=""/>
      <w:lvlJc w:val="left"/>
      <w:pPr>
        <w:ind w:left="3960" w:hanging="360"/>
      </w:pPr>
      <w:rPr>
        <w:rFonts w:ascii="Wingdings" w:hAnsi="Wingdings" w:hint="default"/>
      </w:rPr>
    </w:lvl>
    <w:lvl w:ilvl="6" w:tplc="9B86D8E8" w:tentative="1">
      <w:start w:val="1"/>
      <w:numFmt w:val="bullet"/>
      <w:lvlText w:val=""/>
      <w:lvlJc w:val="left"/>
      <w:pPr>
        <w:ind w:left="4680" w:hanging="360"/>
      </w:pPr>
      <w:rPr>
        <w:rFonts w:ascii="Symbol" w:hAnsi="Symbol" w:hint="default"/>
      </w:rPr>
    </w:lvl>
    <w:lvl w:ilvl="7" w:tplc="BB1CA890" w:tentative="1">
      <w:start w:val="1"/>
      <w:numFmt w:val="bullet"/>
      <w:lvlText w:val="o"/>
      <w:lvlJc w:val="left"/>
      <w:pPr>
        <w:ind w:left="5400" w:hanging="360"/>
      </w:pPr>
      <w:rPr>
        <w:rFonts w:ascii="Courier New" w:hAnsi="Courier New" w:cs="Arial" w:hint="default"/>
      </w:rPr>
    </w:lvl>
    <w:lvl w:ilvl="8" w:tplc="0B806B12" w:tentative="1">
      <w:start w:val="1"/>
      <w:numFmt w:val="bullet"/>
      <w:lvlText w:val=""/>
      <w:lvlJc w:val="left"/>
      <w:pPr>
        <w:ind w:left="6120" w:hanging="360"/>
      </w:pPr>
      <w:rPr>
        <w:rFonts w:ascii="Wingdings" w:hAnsi="Wingdings" w:hint="default"/>
      </w:rPr>
    </w:lvl>
  </w:abstractNum>
  <w:abstractNum w:abstractNumId="75">
    <w:nsid w:val="6B015A9C"/>
    <w:multiLevelType w:val="hybridMultilevel"/>
    <w:tmpl w:val="DC16C1CA"/>
    <w:lvl w:ilvl="0" w:tplc="0409000F">
      <w:start w:val="1"/>
      <w:numFmt w:val="bullet"/>
      <w:pStyle w:val="ColorfulList-Accent11"/>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76">
    <w:nsid w:val="6BCF3D3C"/>
    <w:multiLevelType w:val="hybridMultilevel"/>
    <w:tmpl w:val="0486FD8C"/>
    <w:lvl w:ilvl="0" w:tplc="04090015">
      <w:start w:val="1"/>
      <w:numFmt w:val="decimal"/>
      <w:lvlText w:val="%1."/>
      <w:lvlJc w:val="left"/>
      <w:pPr>
        <w:ind w:left="1080" w:hanging="360"/>
      </w:pPr>
    </w:lvl>
    <w:lvl w:ilvl="1" w:tplc="0409000F">
      <w:start w:val="1"/>
      <w:numFmt w:val="lowerLetter"/>
      <w:lvlText w:val="%2."/>
      <w:lvlJc w:val="left"/>
      <w:pPr>
        <w:ind w:left="1800" w:hanging="360"/>
      </w:pPr>
    </w:lvl>
    <w:lvl w:ilvl="2" w:tplc="08090001"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77">
    <w:nsid w:val="6EF03F67"/>
    <w:multiLevelType w:val="hybridMultilevel"/>
    <w:tmpl w:val="AC60521E"/>
    <w:name w:val="Bullet 4"/>
    <w:lvl w:ilvl="0" w:tplc="FFEA5010">
      <w:start w:val="4"/>
      <w:numFmt w:val="bullet"/>
      <w:lvlText w:val="–"/>
      <w:lvlJc w:val="left"/>
      <w:pPr>
        <w:ind w:left="927" w:hanging="360"/>
      </w:pPr>
      <w:rPr>
        <w:rFonts w:ascii="Times New Roman" w:eastAsia="Times New Roman" w:hAnsi="Times New Roman" w:hint="default"/>
      </w:rPr>
    </w:lvl>
    <w:lvl w:ilvl="1" w:tplc="C87E3B14">
      <w:start w:val="1"/>
      <w:numFmt w:val="bullet"/>
      <w:lvlText w:val="o"/>
      <w:lvlJc w:val="left"/>
      <w:pPr>
        <w:ind w:left="1647" w:hanging="360"/>
      </w:pPr>
      <w:rPr>
        <w:rFonts w:ascii="Courier New" w:hAnsi="Courier New" w:cs="Arial" w:hint="default"/>
      </w:rPr>
    </w:lvl>
    <w:lvl w:ilvl="2" w:tplc="FC9ED3B8">
      <w:start w:val="1"/>
      <w:numFmt w:val="bullet"/>
      <w:lvlText w:val=""/>
      <w:lvlJc w:val="left"/>
      <w:pPr>
        <w:ind w:left="2367" w:hanging="360"/>
      </w:pPr>
      <w:rPr>
        <w:rFonts w:ascii="Wingdings" w:hAnsi="Wingdings" w:cs="Arial" w:hint="default"/>
      </w:rPr>
    </w:lvl>
    <w:lvl w:ilvl="3" w:tplc="D100A852">
      <w:start w:val="1"/>
      <w:numFmt w:val="bullet"/>
      <w:lvlText w:val=""/>
      <w:lvlJc w:val="left"/>
      <w:pPr>
        <w:ind w:left="3087" w:hanging="360"/>
      </w:pPr>
      <w:rPr>
        <w:rFonts w:ascii="Symbol" w:hAnsi="Symbol" w:cs="Arial" w:hint="default"/>
      </w:rPr>
    </w:lvl>
    <w:lvl w:ilvl="4" w:tplc="DA72DA3A">
      <w:start w:val="1"/>
      <w:numFmt w:val="bullet"/>
      <w:lvlText w:val="o"/>
      <w:lvlJc w:val="left"/>
      <w:pPr>
        <w:ind w:left="3807" w:hanging="360"/>
      </w:pPr>
      <w:rPr>
        <w:rFonts w:ascii="Courier New" w:hAnsi="Courier New" w:cs="Arial" w:hint="default"/>
      </w:rPr>
    </w:lvl>
    <w:lvl w:ilvl="5" w:tplc="740EC444">
      <w:start w:val="1"/>
      <w:numFmt w:val="bullet"/>
      <w:lvlText w:val=""/>
      <w:lvlJc w:val="left"/>
      <w:pPr>
        <w:ind w:left="4527" w:hanging="360"/>
      </w:pPr>
      <w:rPr>
        <w:rFonts w:ascii="Wingdings" w:hAnsi="Wingdings" w:cs="Arial" w:hint="default"/>
      </w:rPr>
    </w:lvl>
    <w:lvl w:ilvl="6" w:tplc="FD6E0F46">
      <w:start w:val="1"/>
      <w:numFmt w:val="bullet"/>
      <w:lvlText w:val=""/>
      <w:lvlJc w:val="left"/>
      <w:pPr>
        <w:ind w:left="5247" w:hanging="360"/>
      </w:pPr>
      <w:rPr>
        <w:rFonts w:ascii="Symbol" w:hAnsi="Symbol" w:cs="Arial" w:hint="default"/>
      </w:rPr>
    </w:lvl>
    <w:lvl w:ilvl="7" w:tplc="32B6C594">
      <w:start w:val="1"/>
      <w:numFmt w:val="bullet"/>
      <w:lvlText w:val="o"/>
      <w:lvlJc w:val="left"/>
      <w:pPr>
        <w:ind w:left="5967" w:hanging="360"/>
      </w:pPr>
      <w:rPr>
        <w:rFonts w:ascii="Courier New" w:hAnsi="Courier New" w:cs="Arial" w:hint="default"/>
      </w:rPr>
    </w:lvl>
    <w:lvl w:ilvl="8" w:tplc="349800B4">
      <w:start w:val="1"/>
      <w:numFmt w:val="bullet"/>
      <w:lvlText w:val=""/>
      <w:lvlJc w:val="left"/>
      <w:pPr>
        <w:ind w:left="6687" w:hanging="360"/>
      </w:pPr>
      <w:rPr>
        <w:rFonts w:ascii="Wingdings" w:hAnsi="Wingdings" w:cs="Arial" w:hint="default"/>
      </w:rPr>
    </w:lvl>
  </w:abstractNum>
  <w:abstractNum w:abstractNumId="78">
    <w:nsid w:val="6F09796C"/>
    <w:multiLevelType w:val="hybridMultilevel"/>
    <w:tmpl w:val="6000782A"/>
    <w:name w:val="Bullet 15"/>
    <w:lvl w:ilvl="0" w:tplc="88B89DEC">
      <w:start w:val="1"/>
      <w:numFmt w:val="upperLetter"/>
      <w:lvlText w:val="%1."/>
      <w:lvlJc w:val="left"/>
      <w:pPr>
        <w:ind w:left="360" w:hanging="360"/>
      </w:pPr>
      <w:rPr>
        <w:rFonts w:hint="default"/>
      </w:rPr>
    </w:lvl>
    <w:lvl w:ilvl="1" w:tplc="F2DECFAC">
      <w:start w:val="1"/>
      <w:numFmt w:val="decimal"/>
      <w:lvlText w:val="%2."/>
      <w:lvlJc w:val="left"/>
      <w:pPr>
        <w:ind w:left="1080" w:hanging="360"/>
      </w:pPr>
      <w:rPr>
        <w:rFonts w:hint="default"/>
      </w:rPr>
    </w:lvl>
    <w:lvl w:ilvl="2" w:tplc="93187176">
      <w:start w:val="1"/>
      <w:numFmt w:val="bullet"/>
      <w:lvlText w:val=""/>
      <w:lvlJc w:val="left"/>
      <w:pPr>
        <w:ind w:left="1800" w:hanging="360"/>
      </w:pPr>
      <w:rPr>
        <w:rFonts w:ascii="Wingdings" w:hAnsi="Wingdings" w:hint="default"/>
      </w:rPr>
    </w:lvl>
    <w:lvl w:ilvl="3" w:tplc="2CF2CF38">
      <w:start w:val="1"/>
      <w:numFmt w:val="bullet"/>
      <w:lvlText w:val=""/>
      <w:lvlJc w:val="left"/>
      <w:pPr>
        <w:ind w:left="2520" w:hanging="360"/>
      </w:pPr>
      <w:rPr>
        <w:rFonts w:ascii="Symbol" w:hAnsi="Symbol" w:hint="default"/>
      </w:rPr>
    </w:lvl>
    <w:lvl w:ilvl="4" w:tplc="32846566" w:tentative="1">
      <w:start w:val="1"/>
      <w:numFmt w:val="bullet"/>
      <w:lvlText w:val="o"/>
      <w:lvlJc w:val="left"/>
      <w:pPr>
        <w:ind w:left="3240" w:hanging="360"/>
      </w:pPr>
      <w:rPr>
        <w:rFonts w:ascii="Courier New" w:hAnsi="Courier New" w:cs="Arial" w:hint="default"/>
      </w:rPr>
    </w:lvl>
    <w:lvl w:ilvl="5" w:tplc="7F486B92" w:tentative="1">
      <w:start w:val="1"/>
      <w:numFmt w:val="bullet"/>
      <w:lvlText w:val=""/>
      <w:lvlJc w:val="left"/>
      <w:pPr>
        <w:ind w:left="3960" w:hanging="360"/>
      </w:pPr>
      <w:rPr>
        <w:rFonts w:ascii="Wingdings" w:hAnsi="Wingdings" w:hint="default"/>
      </w:rPr>
    </w:lvl>
    <w:lvl w:ilvl="6" w:tplc="37C612A2" w:tentative="1">
      <w:start w:val="1"/>
      <w:numFmt w:val="bullet"/>
      <w:lvlText w:val=""/>
      <w:lvlJc w:val="left"/>
      <w:pPr>
        <w:ind w:left="4680" w:hanging="360"/>
      </w:pPr>
      <w:rPr>
        <w:rFonts w:ascii="Symbol" w:hAnsi="Symbol" w:hint="default"/>
      </w:rPr>
    </w:lvl>
    <w:lvl w:ilvl="7" w:tplc="45E28680" w:tentative="1">
      <w:start w:val="1"/>
      <w:numFmt w:val="bullet"/>
      <w:lvlText w:val="o"/>
      <w:lvlJc w:val="left"/>
      <w:pPr>
        <w:ind w:left="5400" w:hanging="360"/>
      </w:pPr>
      <w:rPr>
        <w:rFonts w:ascii="Courier New" w:hAnsi="Courier New" w:cs="Arial" w:hint="default"/>
      </w:rPr>
    </w:lvl>
    <w:lvl w:ilvl="8" w:tplc="4E94E75A" w:tentative="1">
      <w:start w:val="1"/>
      <w:numFmt w:val="bullet"/>
      <w:lvlText w:val=""/>
      <w:lvlJc w:val="left"/>
      <w:pPr>
        <w:ind w:left="6120" w:hanging="360"/>
      </w:pPr>
      <w:rPr>
        <w:rFonts w:ascii="Wingdings" w:hAnsi="Wingdings" w:hint="default"/>
      </w:rPr>
    </w:lvl>
  </w:abstractNum>
  <w:abstractNum w:abstractNumId="79">
    <w:nsid w:val="70937A0B"/>
    <w:multiLevelType w:val="hybridMultilevel"/>
    <w:tmpl w:val="7DA6D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1017350"/>
    <w:multiLevelType w:val="hybridMultilevel"/>
    <w:tmpl w:val="307A2B20"/>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1">
    <w:nsid w:val="71A11082"/>
    <w:multiLevelType w:val="hybridMultilevel"/>
    <w:tmpl w:val="05D0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1A87D95"/>
    <w:multiLevelType w:val="hybridMultilevel"/>
    <w:tmpl w:val="0B2E40AC"/>
    <w:lvl w:ilvl="0" w:tplc="04090015">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53B1E5B"/>
    <w:multiLevelType w:val="hybridMultilevel"/>
    <w:tmpl w:val="A08EDD26"/>
    <w:name w:val="Bullet 13"/>
    <w:lvl w:ilvl="0" w:tplc="66289F2E">
      <w:start w:val="1"/>
      <w:numFmt w:val="lowerLetter"/>
      <w:lvlText w:val="%1."/>
      <w:lvlJc w:val="left"/>
      <w:pPr>
        <w:ind w:left="720" w:hanging="360"/>
      </w:pPr>
    </w:lvl>
    <w:lvl w:ilvl="1" w:tplc="2840928E" w:tentative="1">
      <w:start w:val="1"/>
      <w:numFmt w:val="lowerLetter"/>
      <w:lvlText w:val="%2."/>
      <w:lvlJc w:val="left"/>
      <w:pPr>
        <w:ind w:left="1440" w:hanging="360"/>
      </w:pPr>
    </w:lvl>
    <w:lvl w:ilvl="2" w:tplc="B400E092" w:tentative="1">
      <w:start w:val="1"/>
      <w:numFmt w:val="lowerRoman"/>
      <w:lvlText w:val="%3."/>
      <w:lvlJc w:val="right"/>
      <w:pPr>
        <w:ind w:left="2160" w:hanging="180"/>
      </w:pPr>
    </w:lvl>
    <w:lvl w:ilvl="3" w:tplc="EE98BC08" w:tentative="1">
      <w:start w:val="1"/>
      <w:numFmt w:val="decimal"/>
      <w:lvlText w:val="%4."/>
      <w:lvlJc w:val="left"/>
      <w:pPr>
        <w:ind w:left="2880" w:hanging="360"/>
      </w:pPr>
    </w:lvl>
    <w:lvl w:ilvl="4" w:tplc="326258EA" w:tentative="1">
      <w:start w:val="1"/>
      <w:numFmt w:val="lowerLetter"/>
      <w:lvlText w:val="%5."/>
      <w:lvlJc w:val="left"/>
      <w:pPr>
        <w:ind w:left="3600" w:hanging="360"/>
      </w:pPr>
    </w:lvl>
    <w:lvl w:ilvl="5" w:tplc="744636A4" w:tentative="1">
      <w:start w:val="1"/>
      <w:numFmt w:val="lowerRoman"/>
      <w:lvlText w:val="%6."/>
      <w:lvlJc w:val="right"/>
      <w:pPr>
        <w:ind w:left="4320" w:hanging="180"/>
      </w:pPr>
    </w:lvl>
    <w:lvl w:ilvl="6" w:tplc="80A0E2D4" w:tentative="1">
      <w:start w:val="1"/>
      <w:numFmt w:val="decimal"/>
      <w:lvlText w:val="%7."/>
      <w:lvlJc w:val="left"/>
      <w:pPr>
        <w:ind w:left="5040" w:hanging="360"/>
      </w:pPr>
    </w:lvl>
    <w:lvl w:ilvl="7" w:tplc="7E54C098" w:tentative="1">
      <w:start w:val="1"/>
      <w:numFmt w:val="lowerLetter"/>
      <w:lvlText w:val="%8."/>
      <w:lvlJc w:val="left"/>
      <w:pPr>
        <w:ind w:left="5760" w:hanging="360"/>
      </w:pPr>
    </w:lvl>
    <w:lvl w:ilvl="8" w:tplc="24E02C18" w:tentative="1">
      <w:start w:val="1"/>
      <w:numFmt w:val="lowerRoman"/>
      <w:lvlText w:val="%9."/>
      <w:lvlJc w:val="right"/>
      <w:pPr>
        <w:ind w:left="6480" w:hanging="180"/>
      </w:pPr>
    </w:lvl>
  </w:abstractNum>
  <w:abstractNum w:abstractNumId="84">
    <w:nsid w:val="753E27F1"/>
    <w:multiLevelType w:val="hybridMultilevel"/>
    <w:tmpl w:val="0BE8170C"/>
    <w:name w:val="Bullet 16"/>
    <w:lvl w:ilvl="0" w:tplc="D632BA78">
      <w:start w:val="1"/>
      <w:numFmt w:val="bullet"/>
      <w:lvlText w:val=""/>
      <w:lvlJc w:val="left"/>
      <w:pPr>
        <w:ind w:left="720" w:hanging="360"/>
      </w:pPr>
      <w:rPr>
        <w:rFonts w:ascii="Symbol" w:hAnsi="Symbol" w:hint="default"/>
      </w:rPr>
    </w:lvl>
    <w:lvl w:ilvl="1" w:tplc="20B65F1C" w:tentative="1">
      <w:start w:val="1"/>
      <w:numFmt w:val="bullet"/>
      <w:lvlText w:val="o"/>
      <w:lvlJc w:val="left"/>
      <w:pPr>
        <w:ind w:left="1440" w:hanging="360"/>
      </w:pPr>
      <w:rPr>
        <w:rFonts w:ascii="Courier New" w:hAnsi="Courier New" w:cs="Arial" w:hint="default"/>
      </w:rPr>
    </w:lvl>
    <w:lvl w:ilvl="2" w:tplc="30EC131E" w:tentative="1">
      <w:start w:val="1"/>
      <w:numFmt w:val="bullet"/>
      <w:lvlText w:val=""/>
      <w:lvlJc w:val="left"/>
      <w:pPr>
        <w:ind w:left="2160" w:hanging="360"/>
      </w:pPr>
      <w:rPr>
        <w:rFonts w:ascii="Wingdings" w:hAnsi="Wingdings" w:hint="default"/>
      </w:rPr>
    </w:lvl>
    <w:lvl w:ilvl="3" w:tplc="B0C61CBA" w:tentative="1">
      <w:start w:val="1"/>
      <w:numFmt w:val="bullet"/>
      <w:lvlText w:val=""/>
      <w:lvlJc w:val="left"/>
      <w:pPr>
        <w:ind w:left="2880" w:hanging="360"/>
      </w:pPr>
      <w:rPr>
        <w:rFonts w:ascii="Symbol" w:hAnsi="Symbol" w:hint="default"/>
      </w:rPr>
    </w:lvl>
    <w:lvl w:ilvl="4" w:tplc="68DE9846" w:tentative="1">
      <w:start w:val="1"/>
      <w:numFmt w:val="bullet"/>
      <w:lvlText w:val="o"/>
      <w:lvlJc w:val="left"/>
      <w:pPr>
        <w:ind w:left="3600" w:hanging="360"/>
      </w:pPr>
      <w:rPr>
        <w:rFonts w:ascii="Courier New" w:hAnsi="Courier New" w:cs="Arial" w:hint="default"/>
      </w:rPr>
    </w:lvl>
    <w:lvl w:ilvl="5" w:tplc="417C94EA" w:tentative="1">
      <w:start w:val="1"/>
      <w:numFmt w:val="bullet"/>
      <w:lvlText w:val=""/>
      <w:lvlJc w:val="left"/>
      <w:pPr>
        <w:ind w:left="4320" w:hanging="360"/>
      </w:pPr>
      <w:rPr>
        <w:rFonts w:ascii="Wingdings" w:hAnsi="Wingdings" w:hint="default"/>
      </w:rPr>
    </w:lvl>
    <w:lvl w:ilvl="6" w:tplc="413862FA" w:tentative="1">
      <w:start w:val="1"/>
      <w:numFmt w:val="bullet"/>
      <w:lvlText w:val=""/>
      <w:lvlJc w:val="left"/>
      <w:pPr>
        <w:ind w:left="5040" w:hanging="360"/>
      </w:pPr>
      <w:rPr>
        <w:rFonts w:ascii="Symbol" w:hAnsi="Symbol" w:hint="default"/>
      </w:rPr>
    </w:lvl>
    <w:lvl w:ilvl="7" w:tplc="7804BED0" w:tentative="1">
      <w:start w:val="1"/>
      <w:numFmt w:val="bullet"/>
      <w:lvlText w:val="o"/>
      <w:lvlJc w:val="left"/>
      <w:pPr>
        <w:ind w:left="5760" w:hanging="360"/>
      </w:pPr>
      <w:rPr>
        <w:rFonts w:ascii="Courier New" w:hAnsi="Courier New" w:cs="Arial" w:hint="default"/>
      </w:rPr>
    </w:lvl>
    <w:lvl w:ilvl="8" w:tplc="DA6018E4" w:tentative="1">
      <w:start w:val="1"/>
      <w:numFmt w:val="bullet"/>
      <w:lvlText w:val=""/>
      <w:lvlJc w:val="left"/>
      <w:pPr>
        <w:ind w:left="6480" w:hanging="360"/>
      </w:pPr>
      <w:rPr>
        <w:rFonts w:ascii="Wingdings" w:hAnsi="Wingdings" w:hint="default"/>
      </w:rPr>
    </w:lvl>
  </w:abstractNum>
  <w:abstractNum w:abstractNumId="85">
    <w:nsid w:val="76584DA9"/>
    <w:multiLevelType w:val="hybridMultilevel"/>
    <w:tmpl w:val="1324B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6E758DE"/>
    <w:multiLevelType w:val="hybridMultilevel"/>
    <w:tmpl w:val="F7C2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7F004DE"/>
    <w:multiLevelType w:val="hybridMultilevel"/>
    <w:tmpl w:val="1FFC4B2E"/>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97D7CB4"/>
    <w:multiLevelType w:val="hybridMultilevel"/>
    <w:tmpl w:val="B5D2DF6A"/>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Arial" w:hint="default"/>
      </w:rPr>
    </w:lvl>
    <w:lvl w:ilvl="2" w:tplc="0409001B">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Arial"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Arial" w:hint="default"/>
      </w:rPr>
    </w:lvl>
    <w:lvl w:ilvl="8" w:tplc="0409001B" w:tentative="1">
      <w:start w:val="1"/>
      <w:numFmt w:val="bullet"/>
      <w:lvlText w:val=""/>
      <w:lvlJc w:val="left"/>
      <w:pPr>
        <w:ind w:left="7200" w:hanging="360"/>
      </w:pPr>
      <w:rPr>
        <w:rFonts w:ascii="Wingdings" w:hAnsi="Wingdings" w:hint="default"/>
      </w:rPr>
    </w:lvl>
  </w:abstractNum>
  <w:abstractNum w:abstractNumId="89">
    <w:nsid w:val="79C60576"/>
    <w:multiLevelType w:val="hybridMultilevel"/>
    <w:tmpl w:val="681A1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DF155F2"/>
    <w:multiLevelType w:val="hybridMultilevel"/>
    <w:tmpl w:val="F4504CBA"/>
    <w:name w:val="Bullet 9"/>
    <w:lvl w:ilvl="0" w:tplc="67A2251A">
      <w:start w:val="1"/>
      <w:numFmt w:val="decimal"/>
      <w:lvlText w:val="%1."/>
      <w:lvlJc w:val="left"/>
      <w:pPr>
        <w:ind w:left="1080" w:hanging="360"/>
      </w:pPr>
      <w:rPr>
        <w:rFonts w:hint="default"/>
      </w:rPr>
    </w:lvl>
    <w:lvl w:ilvl="1" w:tplc="CD86133E" w:tentative="1">
      <w:start w:val="1"/>
      <w:numFmt w:val="lowerLetter"/>
      <w:lvlText w:val="%2."/>
      <w:lvlJc w:val="left"/>
      <w:pPr>
        <w:ind w:left="1440" w:hanging="360"/>
      </w:pPr>
    </w:lvl>
    <w:lvl w:ilvl="2" w:tplc="9570919E" w:tentative="1">
      <w:start w:val="1"/>
      <w:numFmt w:val="lowerRoman"/>
      <w:lvlText w:val="%3."/>
      <w:lvlJc w:val="right"/>
      <w:pPr>
        <w:ind w:left="2160" w:hanging="180"/>
      </w:pPr>
    </w:lvl>
    <w:lvl w:ilvl="3" w:tplc="FF04C8DA" w:tentative="1">
      <w:start w:val="1"/>
      <w:numFmt w:val="decimal"/>
      <w:lvlText w:val="%4."/>
      <w:lvlJc w:val="left"/>
      <w:pPr>
        <w:ind w:left="2880" w:hanging="360"/>
      </w:pPr>
    </w:lvl>
    <w:lvl w:ilvl="4" w:tplc="DEF646C2" w:tentative="1">
      <w:start w:val="1"/>
      <w:numFmt w:val="lowerLetter"/>
      <w:lvlText w:val="%5."/>
      <w:lvlJc w:val="left"/>
      <w:pPr>
        <w:ind w:left="3600" w:hanging="360"/>
      </w:pPr>
    </w:lvl>
    <w:lvl w:ilvl="5" w:tplc="FB4C1A96" w:tentative="1">
      <w:start w:val="1"/>
      <w:numFmt w:val="lowerRoman"/>
      <w:lvlText w:val="%6."/>
      <w:lvlJc w:val="right"/>
      <w:pPr>
        <w:ind w:left="4320" w:hanging="180"/>
      </w:pPr>
    </w:lvl>
    <w:lvl w:ilvl="6" w:tplc="428671FC" w:tentative="1">
      <w:start w:val="1"/>
      <w:numFmt w:val="decimal"/>
      <w:lvlText w:val="%7."/>
      <w:lvlJc w:val="left"/>
      <w:pPr>
        <w:ind w:left="5040" w:hanging="360"/>
      </w:pPr>
    </w:lvl>
    <w:lvl w:ilvl="7" w:tplc="2968F1DC" w:tentative="1">
      <w:start w:val="1"/>
      <w:numFmt w:val="lowerLetter"/>
      <w:lvlText w:val="%8."/>
      <w:lvlJc w:val="left"/>
      <w:pPr>
        <w:ind w:left="5760" w:hanging="360"/>
      </w:pPr>
    </w:lvl>
    <w:lvl w:ilvl="8" w:tplc="03C025F0" w:tentative="1">
      <w:start w:val="1"/>
      <w:numFmt w:val="lowerRoman"/>
      <w:lvlText w:val="%9."/>
      <w:lvlJc w:val="right"/>
      <w:pPr>
        <w:ind w:left="6480" w:hanging="180"/>
      </w:pPr>
    </w:lvl>
  </w:abstractNum>
  <w:abstractNum w:abstractNumId="91">
    <w:nsid w:val="7EF56339"/>
    <w:multiLevelType w:val="hybridMultilevel"/>
    <w:tmpl w:val="A8122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F5369D5"/>
    <w:multiLevelType w:val="multilevel"/>
    <w:tmpl w:val="F642C3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6"/>
  </w:num>
  <w:num w:numId="2">
    <w:abstractNumId w:val="75"/>
  </w:num>
  <w:num w:numId="3">
    <w:abstractNumId w:val="23"/>
  </w:num>
  <w:num w:numId="4">
    <w:abstractNumId w:val="4"/>
  </w:num>
  <w:num w:numId="5">
    <w:abstractNumId w:val="24"/>
  </w:num>
  <w:num w:numId="6">
    <w:abstractNumId w:val="78"/>
  </w:num>
  <w:num w:numId="7">
    <w:abstractNumId w:val="25"/>
  </w:num>
  <w:num w:numId="8">
    <w:abstractNumId w:val="76"/>
  </w:num>
  <w:num w:numId="9">
    <w:abstractNumId w:val="46"/>
  </w:num>
  <w:num w:numId="10">
    <w:abstractNumId w:val="66"/>
  </w:num>
  <w:num w:numId="11">
    <w:abstractNumId w:val="28"/>
  </w:num>
  <w:num w:numId="12">
    <w:abstractNumId w:val="74"/>
  </w:num>
  <w:num w:numId="13">
    <w:abstractNumId w:val="10"/>
  </w:num>
  <w:num w:numId="14">
    <w:abstractNumId w:val="90"/>
  </w:num>
  <w:num w:numId="15">
    <w:abstractNumId w:val="27"/>
  </w:num>
  <w:num w:numId="16">
    <w:abstractNumId w:val="17"/>
  </w:num>
  <w:num w:numId="17">
    <w:abstractNumId w:val="65"/>
  </w:num>
  <w:num w:numId="18">
    <w:abstractNumId w:val="14"/>
  </w:num>
  <w:num w:numId="19">
    <w:abstractNumId w:val="31"/>
  </w:num>
  <w:num w:numId="20">
    <w:abstractNumId w:val="45"/>
  </w:num>
  <w:num w:numId="21">
    <w:abstractNumId w:val="35"/>
  </w:num>
  <w:num w:numId="22">
    <w:abstractNumId w:val="6"/>
  </w:num>
  <w:num w:numId="23">
    <w:abstractNumId w:val="49"/>
  </w:num>
  <w:num w:numId="24">
    <w:abstractNumId w:val="88"/>
  </w:num>
  <w:num w:numId="25">
    <w:abstractNumId w:val="85"/>
  </w:num>
  <w:num w:numId="26">
    <w:abstractNumId w:val="7"/>
  </w:num>
  <w:num w:numId="27">
    <w:abstractNumId w:val="29"/>
  </w:num>
  <w:num w:numId="28">
    <w:abstractNumId w:val="59"/>
  </w:num>
  <w:num w:numId="29">
    <w:abstractNumId w:val="12"/>
  </w:num>
  <w:num w:numId="30">
    <w:abstractNumId w:val="2"/>
  </w:num>
  <w:num w:numId="31">
    <w:abstractNumId w:val="57"/>
  </w:num>
  <w:num w:numId="32">
    <w:abstractNumId w:val="51"/>
  </w:num>
  <w:num w:numId="33">
    <w:abstractNumId w:val="39"/>
  </w:num>
  <w:num w:numId="34">
    <w:abstractNumId w:val="81"/>
  </w:num>
  <w:num w:numId="35">
    <w:abstractNumId w:val="53"/>
  </w:num>
  <w:num w:numId="36">
    <w:abstractNumId w:val="82"/>
  </w:num>
  <w:num w:numId="37">
    <w:abstractNumId w:val="64"/>
  </w:num>
  <w:num w:numId="38">
    <w:abstractNumId w:val="52"/>
  </w:num>
  <w:num w:numId="39">
    <w:abstractNumId w:val="36"/>
  </w:num>
  <w:num w:numId="40">
    <w:abstractNumId w:val="47"/>
  </w:num>
  <w:num w:numId="41">
    <w:abstractNumId w:val="54"/>
  </w:num>
  <w:num w:numId="42">
    <w:abstractNumId w:val="63"/>
  </w:num>
  <w:num w:numId="43">
    <w:abstractNumId w:val="37"/>
  </w:num>
  <w:num w:numId="44">
    <w:abstractNumId w:val="33"/>
  </w:num>
  <w:num w:numId="45">
    <w:abstractNumId w:val="5"/>
  </w:num>
  <w:num w:numId="46">
    <w:abstractNumId w:val="15"/>
  </w:num>
  <w:num w:numId="47">
    <w:abstractNumId w:val="42"/>
  </w:num>
  <w:num w:numId="48">
    <w:abstractNumId w:val="26"/>
  </w:num>
  <w:num w:numId="49">
    <w:abstractNumId w:val="84"/>
  </w:num>
  <w:num w:numId="50">
    <w:abstractNumId w:val="91"/>
  </w:num>
  <w:num w:numId="51">
    <w:abstractNumId w:val="19"/>
  </w:num>
  <w:num w:numId="52">
    <w:abstractNumId w:val="18"/>
  </w:num>
  <w:num w:numId="53">
    <w:abstractNumId w:val="86"/>
  </w:num>
  <w:num w:numId="54">
    <w:abstractNumId w:val="8"/>
  </w:num>
  <w:num w:numId="55">
    <w:abstractNumId w:val="70"/>
  </w:num>
  <w:num w:numId="56">
    <w:abstractNumId w:val="58"/>
  </w:num>
  <w:num w:numId="57">
    <w:abstractNumId w:val="40"/>
  </w:num>
  <w:num w:numId="58">
    <w:abstractNumId w:val="16"/>
  </w:num>
  <w:num w:numId="59">
    <w:abstractNumId w:val="68"/>
  </w:num>
  <w:num w:numId="6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num>
  <w:num w:numId="66">
    <w:abstractNumId w:val="72"/>
  </w:num>
  <w:num w:numId="67">
    <w:abstractNumId w:val="87"/>
  </w:num>
  <w:num w:numId="68">
    <w:abstractNumId w:val="34"/>
  </w:num>
  <w:num w:numId="69">
    <w:abstractNumId w:val="32"/>
  </w:num>
  <w:num w:numId="70">
    <w:abstractNumId w:val="80"/>
  </w:num>
  <w:num w:numId="71">
    <w:abstractNumId w:val="73"/>
  </w:num>
  <w:num w:numId="72">
    <w:abstractNumId w:val="1"/>
  </w:num>
  <w:num w:numId="73">
    <w:abstractNumId w:val="60"/>
  </w:num>
  <w:num w:numId="74">
    <w:abstractNumId w:val="69"/>
  </w:num>
  <w:num w:numId="75">
    <w:abstractNumId w:val="89"/>
  </w:num>
  <w:num w:numId="76">
    <w:abstractNumId w:val="20"/>
  </w:num>
  <w:num w:numId="77">
    <w:abstractNumId w:val="79"/>
  </w:num>
  <w:num w:numId="78">
    <w:abstractNumId w:val="55"/>
  </w:num>
  <w:num w:numId="79">
    <w:abstractNumId w:val="62"/>
  </w:num>
  <w:num w:numId="80">
    <w:abstractNumId w:val="38"/>
  </w:num>
  <w:num w:numId="81">
    <w:abstractNumId w:val="50"/>
  </w:num>
  <w:num w:numId="82">
    <w:abstractNumId w:val="11"/>
  </w:num>
  <w:num w:numId="83">
    <w:abstractNumId w:val="67"/>
  </w:num>
  <w:num w:numId="84">
    <w:abstractNumId w:val="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embedSystemFonts/>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ttachedTemplate r:id="rId1"/>
  <w:defaultTabStop w:val="720"/>
  <w:doNotHyphenateCaps/>
  <w:drawingGridHorizontalSpacing w:val="120"/>
  <w:displayHorizontalDrawingGridEvery w:val="2"/>
  <w:characterSpacingControl w:val="doNotCompress"/>
  <w:doNotValidateAgainstSchema/>
  <w:doNotDemarcateInvalidXml/>
  <w:hdrShapeDefaults>
    <o:shapedefaults v:ext="edit" spidmax="10241" style="mso-position-horizontal-relative:margin;mso-position-vertical-relative:margin;mso-width-relative:margin;mso-height-relative:margin" o:allowincell="f" fillcolor="none [671]" strokecolor="none [3204]">
      <v:fill color="none [671]"/>
      <v:stroke color="none [3204]"/>
      <v:shadow on="t" type="perspective" color="none [2412]" opacity=".5" origin="-.5,-.5" offset="51pt,-10pt" offset2="114pt,-8pt" matrix=".75,,,.75"/>
      <v:textbox inset="18pt,18pt,18pt,18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585"/>
    <w:rsid w:val="00000091"/>
    <w:rsid w:val="000003FA"/>
    <w:rsid w:val="000006E8"/>
    <w:rsid w:val="00001053"/>
    <w:rsid w:val="00002130"/>
    <w:rsid w:val="000029A4"/>
    <w:rsid w:val="00005CC3"/>
    <w:rsid w:val="0000642F"/>
    <w:rsid w:val="00007ED4"/>
    <w:rsid w:val="00011A29"/>
    <w:rsid w:val="00011B9B"/>
    <w:rsid w:val="0001263D"/>
    <w:rsid w:val="00012ED6"/>
    <w:rsid w:val="0001376E"/>
    <w:rsid w:val="000139A1"/>
    <w:rsid w:val="00013E31"/>
    <w:rsid w:val="00013E94"/>
    <w:rsid w:val="00013F99"/>
    <w:rsid w:val="00014F62"/>
    <w:rsid w:val="0001530F"/>
    <w:rsid w:val="0001533E"/>
    <w:rsid w:val="000164AF"/>
    <w:rsid w:val="00016FC6"/>
    <w:rsid w:val="0001738F"/>
    <w:rsid w:val="00020DAC"/>
    <w:rsid w:val="000225ED"/>
    <w:rsid w:val="0002414D"/>
    <w:rsid w:val="0002545E"/>
    <w:rsid w:val="00025BA7"/>
    <w:rsid w:val="00025FDD"/>
    <w:rsid w:val="00026410"/>
    <w:rsid w:val="00026E78"/>
    <w:rsid w:val="00031284"/>
    <w:rsid w:val="00032654"/>
    <w:rsid w:val="00032E71"/>
    <w:rsid w:val="000335A7"/>
    <w:rsid w:val="0003379B"/>
    <w:rsid w:val="00034544"/>
    <w:rsid w:val="00034C10"/>
    <w:rsid w:val="000351AA"/>
    <w:rsid w:val="0003547D"/>
    <w:rsid w:val="00035CFE"/>
    <w:rsid w:val="00037059"/>
    <w:rsid w:val="00037CD2"/>
    <w:rsid w:val="0004000E"/>
    <w:rsid w:val="0004094F"/>
    <w:rsid w:val="00041271"/>
    <w:rsid w:val="00042FA1"/>
    <w:rsid w:val="00044C98"/>
    <w:rsid w:val="00045D3B"/>
    <w:rsid w:val="000471BD"/>
    <w:rsid w:val="00047739"/>
    <w:rsid w:val="00047C31"/>
    <w:rsid w:val="00051A60"/>
    <w:rsid w:val="00051E50"/>
    <w:rsid w:val="00052666"/>
    <w:rsid w:val="000564D6"/>
    <w:rsid w:val="0005658E"/>
    <w:rsid w:val="0005660C"/>
    <w:rsid w:val="00056FD1"/>
    <w:rsid w:val="0006000B"/>
    <w:rsid w:val="00060597"/>
    <w:rsid w:val="00061019"/>
    <w:rsid w:val="00065837"/>
    <w:rsid w:val="000663BF"/>
    <w:rsid w:val="000668BA"/>
    <w:rsid w:val="00066CD0"/>
    <w:rsid w:val="00067923"/>
    <w:rsid w:val="00070CED"/>
    <w:rsid w:val="00071034"/>
    <w:rsid w:val="0007152B"/>
    <w:rsid w:val="00072E9F"/>
    <w:rsid w:val="00073ABD"/>
    <w:rsid w:val="00073DBD"/>
    <w:rsid w:val="00073E34"/>
    <w:rsid w:val="00074D48"/>
    <w:rsid w:val="00075FBC"/>
    <w:rsid w:val="00077A42"/>
    <w:rsid w:val="00077DC5"/>
    <w:rsid w:val="00077FB1"/>
    <w:rsid w:val="0008360A"/>
    <w:rsid w:val="000859B4"/>
    <w:rsid w:val="000859FA"/>
    <w:rsid w:val="0008603A"/>
    <w:rsid w:val="0008617B"/>
    <w:rsid w:val="000862EA"/>
    <w:rsid w:val="00090ACF"/>
    <w:rsid w:val="00090F10"/>
    <w:rsid w:val="000913FE"/>
    <w:rsid w:val="000932A6"/>
    <w:rsid w:val="00093304"/>
    <w:rsid w:val="00093AA2"/>
    <w:rsid w:val="00094443"/>
    <w:rsid w:val="000946EC"/>
    <w:rsid w:val="00094B68"/>
    <w:rsid w:val="00095C26"/>
    <w:rsid w:val="000966FB"/>
    <w:rsid w:val="00096C7E"/>
    <w:rsid w:val="00096D18"/>
    <w:rsid w:val="000973FE"/>
    <w:rsid w:val="00097871"/>
    <w:rsid w:val="000A1271"/>
    <w:rsid w:val="000A1A06"/>
    <w:rsid w:val="000A2426"/>
    <w:rsid w:val="000A3A38"/>
    <w:rsid w:val="000A437C"/>
    <w:rsid w:val="000A4D4C"/>
    <w:rsid w:val="000A56F9"/>
    <w:rsid w:val="000A5752"/>
    <w:rsid w:val="000A58E4"/>
    <w:rsid w:val="000A66E0"/>
    <w:rsid w:val="000A70ED"/>
    <w:rsid w:val="000A7BDB"/>
    <w:rsid w:val="000B076F"/>
    <w:rsid w:val="000B1393"/>
    <w:rsid w:val="000B2683"/>
    <w:rsid w:val="000B2C82"/>
    <w:rsid w:val="000B340F"/>
    <w:rsid w:val="000B3B5F"/>
    <w:rsid w:val="000B3CF4"/>
    <w:rsid w:val="000B4116"/>
    <w:rsid w:val="000B444F"/>
    <w:rsid w:val="000B5114"/>
    <w:rsid w:val="000B5240"/>
    <w:rsid w:val="000B65F0"/>
    <w:rsid w:val="000B7362"/>
    <w:rsid w:val="000C0286"/>
    <w:rsid w:val="000C0309"/>
    <w:rsid w:val="000C0476"/>
    <w:rsid w:val="000C0A24"/>
    <w:rsid w:val="000C1245"/>
    <w:rsid w:val="000C1AB6"/>
    <w:rsid w:val="000C277F"/>
    <w:rsid w:val="000C2A04"/>
    <w:rsid w:val="000C55C3"/>
    <w:rsid w:val="000C561B"/>
    <w:rsid w:val="000D080C"/>
    <w:rsid w:val="000D1C3B"/>
    <w:rsid w:val="000D217B"/>
    <w:rsid w:val="000D21EB"/>
    <w:rsid w:val="000D3920"/>
    <w:rsid w:val="000D3C5B"/>
    <w:rsid w:val="000D4807"/>
    <w:rsid w:val="000D4A59"/>
    <w:rsid w:val="000D4B15"/>
    <w:rsid w:val="000D75F8"/>
    <w:rsid w:val="000D7856"/>
    <w:rsid w:val="000E064D"/>
    <w:rsid w:val="000E0B61"/>
    <w:rsid w:val="000E1B75"/>
    <w:rsid w:val="000E2515"/>
    <w:rsid w:val="000E416E"/>
    <w:rsid w:val="000E6B27"/>
    <w:rsid w:val="000E7024"/>
    <w:rsid w:val="000E768F"/>
    <w:rsid w:val="000E7A75"/>
    <w:rsid w:val="000E7C22"/>
    <w:rsid w:val="000F0E6E"/>
    <w:rsid w:val="000F2294"/>
    <w:rsid w:val="000F308D"/>
    <w:rsid w:val="000F42F3"/>
    <w:rsid w:val="000F692E"/>
    <w:rsid w:val="000F6F22"/>
    <w:rsid w:val="00100470"/>
    <w:rsid w:val="00100794"/>
    <w:rsid w:val="001007B9"/>
    <w:rsid w:val="00101E84"/>
    <w:rsid w:val="00102552"/>
    <w:rsid w:val="00103536"/>
    <w:rsid w:val="00105075"/>
    <w:rsid w:val="00106843"/>
    <w:rsid w:val="00106AAA"/>
    <w:rsid w:val="00106FC0"/>
    <w:rsid w:val="001079D2"/>
    <w:rsid w:val="00110A8E"/>
    <w:rsid w:val="00110DCF"/>
    <w:rsid w:val="001124D6"/>
    <w:rsid w:val="0011250F"/>
    <w:rsid w:val="0011350C"/>
    <w:rsid w:val="001152FB"/>
    <w:rsid w:val="00115309"/>
    <w:rsid w:val="00116A7E"/>
    <w:rsid w:val="00116AB3"/>
    <w:rsid w:val="00116F9C"/>
    <w:rsid w:val="00117013"/>
    <w:rsid w:val="00117484"/>
    <w:rsid w:val="00120DB1"/>
    <w:rsid w:val="00121572"/>
    <w:rsid w:val="0012306B"/>
    <w:rsid w:val="001233A8"/>
    <w:rsid w:val="00123830"/>
    <w:rsid w:val="00124874"/>
    <w:rsid w:val="00124992"/>
    <w:rsid w:val="00124AC3"/>
    <w:rsid w:val="00124B95"/>
    <w:rsid w:val="0012570A"/>
    <w:rsid w:val="00125C37"/>
    <w:rsid w:val="00125CCB"/>
    <w:rsid w:val="00126023"/>
    <w:rsid w:val="001269E9"/>
    <w:rsid w:val="00126D89"/>
    <w:rsid w:val="001309AC"/>
    <w:rsid w:val="0013187A"/>
    <w:rsid w:val="0013221B"/>
    <w:rsid w:val="00132B76"/>
    <w:rsid w:val="001332C7"/>
    <w:rsid w:val="00133B41"/>
    <w:rsid w:val="001347C3"/>
    <w:rsid w:val="001360BF"/>
    <w:rsid w:val="00136527"/>
    <w:rsid w:val="0013776D"/>
    <w:rsid w:val="0014080F"/>
    <w:rsid w:val="00140FD2"/>
    <w:rsid w:val="00141F9E"/>
    <w:rsid w:val="00143EFE"/>
    <w:rsid w:val="001444F7"/>
    <w:rsid w:val="001445C7"/>
    <w:rsid w:val="00145616"/>
    <w:rsid w:val="00145A61"/>
    <w:rsid w:val="00145B39"/>
    <w:rsid w:val="00146727"/>
    <w:rsid w:val="00146770"/>
    <w:rsid w:val="00150634"/>
    <w:rsid w:val="00150D4B"/>
    <w:rsid w:val="00151BA0"/>
    <w:rsid w:val="001525D5"/>
    <w:rsid w:val="00152BFB"/>
    <w:rsid w:val="00155718"/>
    <w:rsid w:val="00156DB9"/>
    <w:rsid w:val="00156E00"/>
    <w:rsid w:val="00157115"/>
    <w:rsid w:val="00157C57"/>
    <w:rsid w:val="0016005A"/>
    <w:rsid w:val="00160FD3"/>
    <w:rsid w:val="00161033"/>
    <w:rsid w:val="001623F8"/>
    <w:rsid w:val="00164692"/>
    <w:rsid w:val="00166A83"/>
    <w:rsid w:val="00166C00"/>
    <w:rsid w:val="00167920"/>
    <w:rsid w:val="001679A6"/>
    <w:rsid w:val="0017072A"/>
    <w:rsid w:val="001717BF"/>
    <w:rsid w:val="00172A39"/>
    <w:rsid w:val="00175031"/>
    <w:rsid w:val="001751A1"/>
    <w:rsid w:val="00175438"/>
    <w:rsid w:val="00181926"/>
    <w:rsid w:val="00181BB0"/>
    <w:rsid w:val="00181DB4"/>
    <w:rsid w:val="00182E49"/>
    <w:rsid w:val="00182F2A"/>
    <w:rsid w:val="001840F7"/>
    <w:rsid w:val="00185B0D"/>
    <w:rsid w:val="00186288"/>
    <w:rsid w:val="001876D8"/>
    <w:rsid w:val="0018793F"/>
    <w:rsid w:val="00193A78"/>
    <w:rsid w:val="00193EE4"/>
    <w:rsid w:val="001945B5"/>
    <w:rsid w:val="00194E10"/>
    <w:rsid w:val="001968BE"/>
    <w:rsid w:val="0019692C"/>
    <w:rsid w:val="001A0525"/>
    <w:rsid w:val="001A0B56"/>
    <w:rsid w:val="001A0E2A"/>
    <w:rsid w:val="001A1290"/>
    <w:rsid w:val="001A137A"/>
    <w:rsid w:val="001A41BD"/>
    <w:rsid w:val="001A469C"/>
    <w:rsid w:val="001A5A17"/>
    <w:rsid w:val="001A6E90"/>
    <w:rsid w:val="001A6F05"/>
    <w:rsid w:val="001A6F89"/>
    <w:rsid w:val="001A75AA"/>
    <w:rsid w:val="001A7703"/>
    <w:rsid w:val="001B079C"/>
    <w:rsid w:val="001B123C"/>
    <w:rsid w:val="001B1B44"/>
    <w:rsid w:val="001B1DE3"/>
    <w:rsid w:val="001B3DA7"/>
    <w:rsid w:val="001B4CF4"/>
    <w:rsid w:val="001B60C5"/>
    <w:rsid w:val="001B61DE"/>
    <w:rsid w:val="001B6328"/>
    <w:rsid w:val="001B6FF5"/>
    <w:rsid w:val="001B74FC"/>
    <w:rsid w:val="001B7D1D"/>
    <w:rsid w:val="001C0275"/>
    <w:rsid w:val="001C0319"/>
    <w:rsid w:val="001C10E9"/>
    <w:rsid w:val="001C1576"/>
    <w:rsid w:val="001C2BF1"/>
    <w:rsid w:val="001C30C6"/>
    <w:rsid w:val="001C3482"/>
    <w:rsid w:val="001C4779"/>
    <w:rsid w:val="001C63FB"/>
    <w:rsid w:val="001C74AD"/>
    <w:rsid w:val="001C7C5F"/>
    <w:rsid w:val="001C7EEE"/>
    <w:rsid w:val="001D08B2"/>
    <w:rsid w:val="001D1BDC"/>
    <w:rsid w:val="001D1CC2"/>
    <w:rsid w:val="001D26B0"/>
    <w:rsid w:val="001D2ABE"/>
    <w:rsid w:val="001D323B"/>
    <w:rsid w:val="001D3CD9"/>
    <w:rsid w:val="001D49C4"/>
    <w:rsid w:val="001D4DB8"/>
    <w:rsid w:val="001D58F1"/>
    <w:rsid w:val="001D6036"/>
    <w:rsid w:val="001D634D"/>
    <w:rsid w:val="001D657C"/>
    <w:rsid w:val="001E06A3"/>
    <w:rsid w:val="001E1AEA"/>
    <w:rsid w:val="001E2449"/>
    <w:rsid w:val="001E389E"/>
    <w:rsid w:val="001E4AA1"/>
    <w:rsid w:val="001E6DB4"/>
    <w:rsid w:val="001E6FCA"/>
    <w:rsid w:val="001F0078"/>
    <w:rsid w:val="001F0271"/>
    <w:rsid w:val="001F0B4C"/>
    <w:rsid w:val="001F258B"/>
    <w:rsid w:val="001F264F"/>
    <w:rsid w:val="001F3BF7"/>
    <w:rsid w:val="001F42F3"/>
    <w:rsid w:val="001F437C"/>
    <w:rsid w:val="001F569F"/>
    <w:rsid w:val="001F5811"/>
    <w:rsid w:val="001F5944"/>
    <w:rsid w:val="001F60F2"/>
    <w:rsid w:val="001F6C6E"/>
    <w:rsid w:val="001F75FC"/>
    <w:rsid w:val="001F76DA"/>
    <w:rsid w:val="001F7B58"/>
    <w:rsid w:val="002003D9"/>
    <w:rsid w:val="002015B3"/>
    <w:rsid w:val="00202213"/>
    <w:rsid w:val="002022B7"/>
    <w:rsid w:val="002028A6"/>
    <w:rsid w:val="0020325D"/>
    <w:rsid w:val="00203674"/>
    <w:rsid w:val="0020389B"/>
    <w:rsid w:val="00203BD8"/>
    <w:rsid w:val="002050E5"/>
    <w:rsid w:val="002050EB"/>
    <w:rsid w:val="00205707"/>
    <w:rsid w:val="002063FC"/>
    <w:rsid w:val="00210422"/>
    <w:rsid w:val="00210DDD"/>
    <w:rsid w:val="00210E15"/>
    <w:rsid w:val="002124F6"/>
    <w:rsid w:val="00212A74"/>
    <w:rsid w:val="002154D9"/>
    <w:rsid w:val="002159E2"/>
    <w:rsid w:val="002162C3"/>
    <w:rsid w:val="0022031F"/>
    <w:rsid w:val="002205DB"/>
    <w:rsid w:val="00223410"/>
    <w:rsid w:val="0022384D"/>
    <w:rsid w:val="00223EFC"/>
    <w:rsid w:val="00225BCE"/>
    <w:rsid w:val="002279AF"/>
    <w:rsid w:val="002279DB"/>
    <w:rsid w:val="00227E3A"/>
    <w:rsid w:val="00227FC3"/>
    <w:rsid w:val="002302F3"/>
    <w:rsid w:val="00231247"/>
    <w:rsid w:val="002315AC"/>
    <w:rsid w:val="00231E8A"/>
    <w:rsid w:val="002329AF"/>
    <w:rsid w:val="00232C69"/>
    <w:rsid w:val="0023484A"/>
    <w:rsid w:val="00236AF0"/>
    <w:rsid w:val="002370AA"/>
    <w:rsid w:val="002407B5"/>
    <w:rsid w:val="00241316"/>
    <w:rsid w:val="00241816"/>
    <w:rsid w:val="00241EED"/>
    <w:rsid w:val="00243362"/>
    <w:rsid w:val="00243757"/>
    <w:rsid w:val="00244FC1"/>
    <w:rsid w:val="002454C7"/>
    <w:rsid w:val="00245A4F"/>
    <w:rsid w:val="00246100"/>
    <w:rsid w:val="00246BA9"/>
    <w:rsid w:val="00247438"/>
    <w:rsid w:val="00247597"/>
    <w:rsid w:val="002500BE"/>
    <w:rsid w:val="00250370"/>
    <w:rsid w:val="00250E05"/>
    <w:rsid w:val="0025101C"/>
    <w:rsid w:val="002514D3"/>
    <w:rsid w:val="00253003"/>
    <w:rsid w:val="0025366B"/>
    <w:rsid w:val="00257167"/>
    <w:rsid w:val="00260692"/>
    <w:rsid w:val="00260880"/>
    <w:rsid w:val="00260EDA"/>
    <w:rsid w:val="002614C5"/>
    <w:rsid w:val="002633E8"/>
    <w:rsid w:val="00263DD5"/>
    <w:rsid w:val="0026411D"/>
    <w:rsid w:val="00264C24"/>
    <w:rsid w:val="00265954"/>
    <w:rsid w:val="0026675E"/>
    <w:rsid w:val="00266E5B"/>
    <w:rsid w:val="002716E6"/>
    <w:rsid w:val="00272011"/>
    <w:rsid w:val="0027238D"/>
    <w:rsid w:val="00273BCC"/>
    <w:rsid w:val="0027413A"/>
    <w:rsid w:val="002750AF"/>
    <w:rsid w:val="00275474"/>
    <w:rsid w:val="0027681F"/>
    <w:rsid w:val="0027701E"/>
    <w:rsid w:val="00281643"/>
    <w:rsid w:val="00281C39"/>
    <w:rsid w:val="002822E5"/>
    <w:rsid w:val="00282B41"/>
    <w:rsid w:val="00283642"/>
    <w:rsid w:val="00285B7C"/>
    <w:rsid w:val="002872E5"/>
    <w:rsid w:val="002876A0"/>
    <w:rsid w:val="00287FE6"/>
    <w:rsid w:val="0029040A"/>
    <w:rsid w:val="00290A0A"/>
    <w:rsid w:val="00292D50"/>
    <w:rsid w:val="00293E2A"/>
    <w:rsid w:val="0029400E"/>
    <w:rsid w:val="002944DD"/>
    <w:rsid w:val="00294658"/>
    <w:rsid w:val="002951AF"/>
    <w:rsid w:val="0029558D"/>
    <w:rsid w:val="00296D5E"/>
    <w:rsid w:val="00296F4A"/>
    <w:rsid w:val="00297298"/>
    <w:rsid w:val="00297618"/>
    <w:rsid w:val="00297A67"/>
    <w:rsid w:val="00297B0A"/>
    <w:rsid w:val="002A0859"/>
    <w:rsid w:val="002A1967"/>
    <w:rsid w:val="002A235C"/>
    <w:rsid w:val="002A23D3"/>
    <w:rsid w:val="002A2E9A"/>
    <w:rsid w:val="002A4142"/>
    <w:rsid w:val="002A4907"/>
    <w:rsid w:val="002A5752"/>
    <w:rsid w:val="002A5F3D"/>
    <w:rsid w:val="002A761F"/>
    <w:rsid w:val="002B01F7"/>
    <w:rsid w:val="002B1168"/>
    <w:rsid w:val="002B34FF"/>
    <w:rsid w:val="002B51D1"/>
    <w:rsid w:val="002B573A"/>
    <w:rsid w:val="002B580A"/>
    <w:rsid w:val="002B59A3"/>
    <w:rsid w:val="002B6E43"/>
    <w:rsid w:val="002C2711"/>
    <w:rsid w:val="002C401D"/>
    <w:rsid w:val="002C48D4"/>
    <w:rsid w:val="002C5C96"/>
    <w:rsid w:val="002C667E"/>
    <w:rsid w:val="002C6D78"/>
    <w:rsid w:val="002C7CBD"/>
    <w:rsid w:val="002D024D"/>
    <w:rsid w:val="002D046F"/>
    <w:rsid w:val="002D22DA"/>
    <w:rsid w:val="002D31C8"/>
    <w:rsid w:val="002D41B5"/>
    <w:rsid w:val="002D4233"/>
    <w:rsid w:val="002D6486"/>
    <w:rsid w:val="002D6934"/>
    <w:rsid w:val="002D6E43"/>
    <w:rsid w:val="002D7DC8"/>
    <w:rsid w:val="002E1413"/>
    <w:rsid w:val="002E1658"/>
    <w:rsid w:val="002E2759"/>
    <w:rsid w:val="002E2925"/>
    <w:rsid w:val="002E2E63"/>
    <w:rsid w:val="002E4052"/>
    <w:rsid w:val="002E46EF"/>
    <w:rsid w:val="002E52B6"/>
    <w:rsid w:val="002E6A88"/>
    <w:rsid w:val="002E7F21"/>
    <w:rsid w:val="002F047A"/>
    <w:rsid w:val="002F2EEA"/>
    <w:rsid w:val="002F38D1"/>
    <w:rsid w:val="002F5BC4"/>
    <w:rsid w:val="002F605D"/>
    <w:rsid w:val="002F6A41"/>
    <w:rsid w:val="003019E5"/>
    <w:rsid w:val="00301C7B"/>
    <w:rsid w:val="00302696"/>
    <w:rsid w:val="003046E6"/>
    <w:rsid w:val="00306A47"/>
    <w:rsid w:val="0030707C"/>
    <w:rsid w:val="00307934"/>
    <w:rsid w:val="00307BE7"/>
    <w:rsid w:val="00307D32"/>
    <w:rsid w:val="00311655"/>
    <w:rsid w:val="00313304"/>
    <w:rsid w:val="003141D1"/>
    <w:rsid w:val="003149F3"/>
    <w:rsid w:val="0031701A"/>
    <w:rsid w:val="003172FD"/>
    <w:rsid w:val="003177B8"/>
    <w:rsid w:val="003202E6"/>
    <w:rsid w:val="00321F7F"/>
    <w:rsid w:val="003222C7"/>
    <w:rsid w:val="00323020"/>
    <w:rsid w:val="003237F1"/>
    <w:rsid w:val="00323906"/>
    <w:rsid w:val="00324298"/>
    <w:rsid w:val="003253A9"/>
    <w:rsid w:val="003255C0"/>
    <w:rsid w:val="00325FEF"/>
    <w:rsid w:val="003272C3"/>
    <w:rsid w:val="003275E5"/>
    <w:rsid w:val="00327DE9"/>
    <w:rsid w:val="00330A5D"/>
    <w:rsid w:val="00331946"/>
    <w:rsid w:val="003319A9"/>
    <w:rsid w:val="00331A5C"/>
    <w:rsid w:val="00331E4F"/>
    <w:rsid w:val="003327A2"/>
    <w:rsid w:val="003329A4"/>
    <w:rsid w:val="00333120"/>
    <w:rsid w:val="00333B98"/>
    <w:rsid w:val="00333CF9"/>
    <w:rsid w:val="00334CA6"/>
    <w:rsid w:val="0033544B"/>
    <w:rsid w:val="00335539"/>
    <w:rsid w:val="00335AEC"/>
    <w:rsid w:val="00336BB7"/>
    <w:rsid w:val="00337330"/>
    <w:rsid w:val="0033789E"/>
    <w:rsid w:val="00342291"/>
    <w:rsid w:val="003445E1"/>
    <w:rsid w:val="00344EC0"/>
    <w:rsid w:val="00344FE2"/>
    <w:rsid w:val="00345833"/>
    <w:rsid w:val="003466D4"/>
    <w:rsid w:val="00346C73"/>
    <w:rsid w:val="00346E06"/>
    <w:rsid w:val="003501EC"/>
    <w:rsid w:val="00351D4C"/>
    <w:rsid w:val="00352052"/>
    <w:rsid w:val="0035237E"/>
    <w:rsid w:val="0035309B"/>
    <w:rsid w:val="0035367C"/>
    <w:rsid w:val="003538AC"/>
    <w:rsid w:val="00354941"/>
    <w:rsid w:val="00355098"/>
    <w:rsid w:val="00355B67"/>
    <w:rsid w:val="0035612B"/>
    <w:rsid w:val="00356B6B"/>
    <w:rsid w:val="00356DD2"/>
    <w:rsid w:val="00361541"/>
    <w:rsid w:val="00362EFB"/>
    <w:rsid w:val="00363DC1"/>
    <w:rsid w:val="00364E8A"/>
    <w:rsid w:val="00365A7C"/>
    <w:rsid w:val="003668DA"/>
    <w:rsid w:val="003674FF"/>
    <w:rsid w:val="00371919"/>
    <w:rsid w:val="003720CD"/>
    <w:rsid w:val="00372B0B"/>
    <w:rsid w:val="00372DC9"/>
    <w:rsid w:val="003731E4"/>
    <w:rsid w:val="00375EA8"/>
    <w:rsid w:val="00381FEF"/>
    <w:rsid w:val="0038315A"/>
    <w:rsid w:val="0038347F"/>
    <w:rsid w:val="003840B1"/>
    <w:rsid w:val="00386DD7"/>
    <w:rsid w:val="00386E3E"/>
    <w:rsid w:val="00386F5C"/>
    <w:rsid w:val="00387BEE"/>
    <w:rsid w:val="00387C81"/>
    <w:rsid w:val="0039153D"/>
    <w:rsid w:val="00391586"/>
    <w:rsid w:val="0039164B"/>
    <w:rsid w:val="0039174D"/>
    <w:rsid w:val="00392633"/>
    <w:rsid w:val="003945B7"/>
    <w:rsid w:val="00394872"/>
    <w:rsid w:val="00394AB9"/>
    <w:rsid w:val="00394F85"/>
    <w:rsid w:val="00395FC0"/>
    <w:rsid w:val="0039701B"/>
    <w:rsid w:val="003974C9"/>
    <w:rsid w:val="003A01BA"/>
    <w:rsid w:val="003A112C"/>
    <w:rsid w:val="003A11D2"/>
    <w:rsid w:val="003A1C67"/>
    <w:rsid w:val="003A2667"/>
    <w:rsid w:val="003A2E3D"/>
    <w:rsid w:val="003A3057"/>
    <w:rsid w:val="003A35EA"/>
    <w:rsid w:val="003A3D71"/>
    <w:rsid w:val="003A462F"/>
    <w:rsid w:val="003A4957"/>
    <w:rsid w:val="003A618E"/>
    <w:rsid w:val="003A686C"/>
    <w:rsid w:val="003A6F09"/>
    <w:rsid w:val="003A781E"/>
    <w:rsid w:val="003B0806"/>
    <w:rsid w:val="003B11ED"/>
    <w:rsid w:val="003B173A"/>
    <w:rsid w:val="003B2AEF"/>
    <w:rsid w:val="003B311F"/>
    <w:rsid w:val="003B3F6F"/>
    <w:rsid w:val="003B487A"/>
    <w:rsid w:val="003B536E"/>
    <w:rsid w:val="003B55A0"/>
    <w:rsid w:val="003B741D"/>
    <w:rsid w:val="003C04D5"/>
    <w:rsid w:val="003C0FD1"/>
    <w:rsid w:val="003C1318"/>
    <w:rsid w:val="003C13A6"/>
    <w:rsid w:val="003C1413"/>
    <w:rsid w:val="003C3401"/>
    <w:rsid w:val="003C34AE"/>
    <w:rsid w:val="003C47B2"/>
    <w:rsid w:val="003C4863"/>
    <w:rsid w:val="003C6923"/>
    <w:rsid w:val="003C6A5C"/>
    <w:rsid w:val="003C7B7E"/>
    <w:rsid w:val="003D0672"/>
    <w:rsid w:val="003D0C2A"/>
    <w:rsid w:val="003D121B"/>
    <w:rsid w:val="003D20A3"/>
    <w:rsid w:val="003D241C"/>
    <w:rsid w:val="003D355F"/>
    <w:rsid w:val="003D4FEB"/>
    <w:rsid w:val="003D53FB"/>
    <w:rsid w:val="003D69CA"/>
    <w:rsid w:val="003D6AD1"/>
    <w:rsid w:val="003D6C54"/>
    <w:rsid w:val="003E124E"/>
    <w:rsid w:val="003E37D0"/>
    <w:rsid w:val="003E441F"/>
    <w:rsid w:val="003E4793"/>
    <w:rsid w:val="003E4DC0"/>
    <w:rsid w:val="003E73E1"/>
    <w:rsid w:val="003E75B3"/>
    <w:rsid w:val="003F101B"/>
    <w:rsid w:val="003F13E3"/>
    <w:rsid w:val="003F1620"/>
    <w:rsid w:val="003F1E5F"/>
    <w:rsid w:val="003F1F9D"/>
    <w:rsid w:val="003F3F67"/>
    <w:rsid w:val="003F4BF8"/>
    <w:rsid w:val="003F50A0"/>
    <w:rsid w:val="003F539A"/>
    <w:rsid w:val="003F5DA7"/>
    <w:rsid w:val="003F6141"/>
    <w:rsid w:val="003F63FB"/>
    <w:rsid w:val="003F67B5"/>
    <w:rsid w:val="003F6A77"/>
    <w:rsid w:val="003F6C87"/>
    <w:rsid w:val="003F7084"/>
    <w:rsid w:val="003F798E"/>
    <w:rsid w:val="003F7B01"/>
    <w:rsid w:val="0040055E"/>
    <w:rsid w:val="004021CC"/>
    <w:rsid w:val="004047FA"/>
    <w:rsid w:val="00404A9D"/>
    <w:rsid w:val="00404B77"/>
    <w:rsid w:val="00406153"/>
    <w:rsid w:val="00407190"/>
    <w:rsid w:val="0041031C"/>
    <w:rsid w:val="00411BCF"/>
    <w:rsid w:val="00411D8E"/>
    <w:rsid w:val="00413CE5"/>
    <w:rsid w:val="00414057"/>
    <w:rsid w:val="00415408"/>
    <w:rsid w:val="00417C0D"/>
    <w:rsid w:val="00420056"/>
    <w:rsid w:val="004220B8"/>
    <w:rsid w:val="004226FD"/>
    <w:rsid w:val="00423E3A"/>
    <w:rsid w:val="00424962"/>
    <w:rsid w:val="00424F06"/>
    <w:rsid w:val="00425100"/>
    <w:rsid w:val="0042584A"/>
    <w:rsid w:val="00425A36"/>
    <w:rsid w:val="00426983"/>
    <w:rsid w:val="0042786B"/>
    <w:rsid w:val="0043125F"/>
    <w:rsid w:val="00431546"/>
    <w:rsid w:val="00431B44"/>
    <w:rsid w:val="00431B7D"/>
    <w:rsid w:val="00431E02"/>
    <w:rsid w:val="004331A2"/>
    <w:rsid w:val="004334B5"/>
    <w:rsid w:val="004340CD"/>
    <w:rsid w:val="004341DF"/>
    <w:rsid w:val="00434B20"/>
    <w:rsid w:val="00434E07"/>
    <w:rsid w:val="004351EB"/>
    <w:rsid w:val="00437401"/>
    <w:rsid w:val="0043742E"/>
    <w:rsid w:val="004407FC"/>
    <w:rsid w:val="004410CB"/>
    <w:rsid w:val="004415DF"/>
    <w:rsid w:val="00441936"/>
    <w:rsid w:val="00443720"/>
    <w:rsid w:val="00444D2F"/>
    <w:rsid w:val="004450A4"/>
    <w:rsid w:val="00445885"/>
    <w:rsid w:val="00446BC1"/>
    <w:rsid w:val="0045077E"/>
    <w:rsid w:val="004508A0"/>
    <w:rsid w:val="0045165A"/>
    <w:rsid w:val="004519F5"/>
    <w:rsid w:val="004539F0"/>
    <w:rsid w:val="00454521"/>
    <w:rsid w:val="00454850"/>
    <w:rsid w:val="00455E91"/>
    <w:rsid w:val="00456239"/>
    <w:rsid w:val="004571F3"/>
    <w:rsid w:val="0046027F"/>
    <w:rsid w:val="00460C15"/>
    <w:rsid w:val="004614E1"/>
    <w:rsid w:val="00462B62"/>
    <w:rsid w:val="00462F70"/>
    <w:rsid w:val="00463181"/>
    <w:rsid w:val="00463C1D"/>
    <w:rsid w:val="00464521"/>
    <w:rsid w:val="0046454A"/>
    <w:rsid w:val="004649BC"/>
    <w:rsid w:val="0046607A"/>
    <w:rsid w:val="00466A6D"/>
    <w:rsid w:val="00470192"/>
    <w:rsid w:val="00470851"/>
    <w:rsid w:val="00471DB9"/>
    <w:rsid w:val="00481BB4"/>
    <w:rsid w:val="004823E3"/>
    <w:rsid w:val="0048309C"/>
    <w:rsid w:val="004833EB"/>
    <w:rsid w:val="00483A3A"/>
    <w:rsid w:val="00484DA9"/>
    <w:rsid w:val="00486A51"/>
    <w:rsid w:val="004901AB"/>
    <w:rsid w:val="004915D3"/>
    <w:rsid w:val="004927DF"/>
    <w:rsid w:val="0049293B"/>
    <w:rsid w:val="0049316F"/>
    <w:rsid w:val="0049371F"/>
    <w:rsid w:val="004941D6"/>
    <w:rsid w:val="00494983"/>
    <w:rsid w:val="00495B91"/>
    <w:rsid w:val="00496647"/>
    <w:rsid w:val="00497CFB"/>
    <w:rsid w:val="00497D72"/>
    <w:rsid w:val="004A01AF"/>
    <w:rsid w:val="004A0375"/>
    <w:rsid w:val="004A1887"/>
    <w:rsid w:val="004A1ECE"/>
    <w:rsid w:val="004A2931"/>
    <w:rsid w:val="004A3AF6"/>
    <w:rsid w:val="004A50D0"/>
    <w:rsid w:val="004A52AF"/>
    <w:rsid w:val="004A5634"/>
    <w:rsid w:val="004A6B83"/>
    <w:rsid w:val="004A7A0E"/>
    <w:rsid w:val="004A7DB6"/>
    <w:rsid w:val="004B00DC"/>
    <w:rsid w:val="004B1DE7"/>
    <w:rsid w:val="004B30B1"/>
    <w:rsid w:val="004B3A5F"/>
    <w:rsid w:val="004B3C98"/>
    <w:rsid w:val="004B4F8C"/>
    <w:rsid w:val="004B6CFA"/>
    <w:rsid w:val="004C018A"/>
    <w:rsid w:val="004C0DFC"/>
    <w:rsid w:val="004C145F"/>
    <w:rsid w:val="004C17F7"/>
    <w:rsid w:val="004C2444"/>
    <w:rsid w:val="004C324C"/>
    <w:rsid w:val="004C3A93"/>
    <w:rsid w:val="004C3B45"/>
    <w:rsid w:val="004C403B"/>
    <w:rsid w:val="004C4B81"/>
    <w:rsid w:val="004C57B4"/>
    <w:rsid w:val="004C7CE2"/>
    <w:rsid w:val="004D0563"/>
    <w:rsid w:val="004D06E4"/>
    <w:rsid w:val="004D2282"/>
    <w:rsid w:val="004D30B9"/>
    <w:rsid w:val="004D376B"/>
    <w:rsid w:val="004D3C65"/>
    <w:rsid w:val="004D4688"/>
    <w:rsid w:val="004D519C"/>
    <w:rsid w:val="004D5C19"/>
    <w:rsid w:val="004D5CB3"/>
    <w:rsid w:val="004D6C94"/>
    <w:rsid w:val="004D75CE"/>
    <w:rsid w:val="004E1D39"/>
    <w:rsid w:val="004E1F42"/>
    <w:rsid w:val="004E2921"/>
    <w:rsid w:val="004E487D"/>
    <w:rsid w:val="004E52A6"/>
    <w:rsid w:val="004E5482"/>
    <w:rsid w:val="004E618D"/>
    <w:rsid w:val="004F21B6"/>
    <w:rsid w:val="004F4A3B"/>
    <w:rsid w:val="004F67B4"/>
    <w:rsid w:val="004F74D7"/>
    <w:rsid w:val="00500C01"/>
    <w:rsid w:val="0050144F"/>
    <w:rsid w:val="005017A4"/>
    <w:rsid w:val="00501A1A"/>
    <w:rsid w:val="00502337"/>
    <w:rsid w:val="005026C1"/>
    <w:rsid w:val="005030FE"/>
    <w:rsid w:val="00503E30"/>
    <w:rsid w:val="005061C5"/>
    <w:rsid w:val="00506A16"/>
    <w:rsid w:val="00506B59"/>
    <w:rsid w:val="00507ABB"/>
    <w:rsid w:val="005108CD"/>
    <w:rsid w:val="005117B2"/>
    <w:rsid w:val="00512A34"/>
    <w:rsid w:val="005135BD"/>
    <w:rsid w:val="00513659"/>
    <w:rsid w:val="00513969"/>
    <w:rsid w:val="005143BD"/>
    <w:rsid w:val="00514474"/>
    <w:rsid w:val="00515819"/>
    <w:rsid w:val="00516917"/>
    <w:rsid w:val="00517203"/>
    <w:rsid w:val="00517274"/>
    <w:rsid w:val="00517984"/>
    <w:rsid w:val="00517D20"/>
    <w:rsid w:val="00520B8C"/>
    <w:rsid w:val="005219C1"/>
    <w:rsid w:val="00523043"/>
    <w:rsid w:val="005246E7"/>
    <w:rsid w:val="00524974"/>
    <w:rsid w:val="00525299"/>
    <w:rsid w:val="0052555C"/>
    <w:rsid w:val="0052587E"/>
    <w:rsid w:val="00525FA2"/>
    <w:rsid w:val="00526487"/>
    <w:rsid w:val="00526568"/>
    <w:rsid w:val="00527F9D"/>
    <w:rsid w:val="00530DDC"/>
    <w:rsid w:val="00530EA7"/>
    <w:rsid w:val="00530F7A"/>
    <w:rsid w:val="00531113"/>
    <w:rsid w:val="0053152B"/>
    <w:rsid w:val="005316A2"/>
    <w:rsid w:val="00532B9D"/>
    <w:rsid w:val="00534EF9"/>
    <w:rsid w:val="005356F6"/>
    <w:rsid w:val="00537208"/>
    <w:rsid w:val="005372FE"/>
    <w:rsid w:val="00537554"/>
    <w:rsid w:val="00537F51"/>
    <w:rsid w:val="00542507"/>
    <w:rsid w:val="00543284"/>
    <w:rsid w:val="00543F20"/>
    <w:rsid w:val="00543F34"/>
    <w:rsid w:val="00544113"/>
    <w:rsid w:val="0054411C"/>
    <w:rsid w:val="00544C69"/>
    <w:rsid w:val="00545FA2"/>
    <w:rsid w:val="00546F37"/>
    <w:rsid w:val="00550CFA"/>
    <w:rsid w:val="00551F89"/>
    <w:rsid w:val="0055221F"/>
    <w:rsid w:val="00552506"/>
    <w:rsid w:val="00553A9C"/>
    <w:rsid w:val="00553DF2"/>
    <w:rsid w:val="005541C8"/>
    <w:rsid w:val="005545B5"/>
    <w:rsid w:val="005546FD"/>
    <w:rsid w:val="00554743"/>
    <w:rsid w:val="00554D84"/>
    <w:rsid w:val="00555497"/>
    <w:rsid w:val="00555FA7"/>
    <w:rsid w:val="00556CAC"/>
    <w:rsid w:val="00556D99"/>
    <w:rsid w:val="00560A71"/>
    <w:rsid w:val="005618D8"/>
    <w:rsid w:val="00563167"/>
    <w:rsid w:val="00563D3E"/>
    <w:rsid w:val="00564303"/>
    <w:rsid w:val="005655A3"/>
    <w:rsid w:val="005659EF"/>
    <w:rsid w:val="005666F7"/>
    <w:rsid w:val="00567335"/>
    <w:rsid w:val="00567AA0"/>
    <w:rsid w:val="00567B25"/>
    <w:rsid w:val="00567DBE"/>
    <w:rsid w:val="00570AEC"/>
    <w:rsid w:val="00573229"/>
    <w:rsid w:val="005744AA"/>
    <w:rsid w:val="00574DD3"/>
    <w:rsid w:val="00576CBD"/>
    <w:rsid w:val="00576FEB"/>
    <w:rsid w:val="00577878"/>
    <w:rsid w:val="00577AC3"/>
    <w:rsid w:val="00577D2F"/>
    <w:rsid w:val="00580170"/>
    <w:rsid w:val="0058128F"/>
    <w:rsid w:val="005814DB"/>
    <w:rsid w:val="005825A6"/>
    <w:rsid w:val="005830AA"/>
    <w:rsid w:val="00583187"/>
    <w:rsid w:val="005834A0"/>
    <w:rsid w:val="00583A30"/>
    <w:rsid w:val="005860C9"/>
    <w:rsid w:val="005860FC"/>
    <w:rsid w:val="0058612C"/>
    <w:rsid w:val="00586909"/>
    <w:rsid w:val="00586EBE"/>
    <w:rsid w:val="005902BA"/>
    <w:rsid w:val="005904E4"/>
    <w:rsid w:val="005906E1"/>
    <w:rsid w:val="00591D3D"/>
    <w:rsid w:val="005929DD"/>
    <w:rsid w:val="00592D16"/>
    <w:rsid w:val="00594A70"/>
    <w:rsid w:val="0059723E"/>
    <w:rsid w:val="005974F9"/>
    <w:rsid w:val="00597FFE"/>
    <w:rsid w:val="005A2C0D"/>
    <w:rsid w:val="005A3A64"/>
    <w:rsid w:val="005A4B4D"/>
    <w:rsid w:val="005A4C2B"/>
    <w:rsid w:val="005A5B3F"/>
    <w:rsid w:val="005A71A2"/>
    <w:rsid w:val="005B17A3"/>
    <w:rsid w:val="005B1A67"/>
    <w:rsid w:val="005B2227"/>
    <w:rsid w:val="005B2A11"/>
    <w:rsid w:val="005B2DFA"/>
    <w:rsid w:val="005B53BE"/>
    <w:rsid w:val="005B7A3A"/>
    <w:rsid w:val="005B7C55"/>
    <w:rsid w:val="005C09FF"/>
    <w:rsid w:val="005C0CCF"/>
    <w:rsid w:val="005C1094"/>
    <w:rsid w:val="005C38B5"/>
    <w:rsid w:val="005C6009"/>
    <w:rsid w:val="005C6854"/>
    <w:rsid w:val="005C6BF3"/>
    <w:rsid w:val="005C70F2"/>
    <w:rsid w:val="005C74BD"/>
    <w:rsid w:val="005D1494"/>
    <w:rsid w:val="005D3377"/>
    <w:rsid w:val="005D34FD"/>
    <w:rsid w:val="005D3968"/>
    <w:rsid w:val="005D413F"/>
    <w:rsid w:val="005D45AF"/>
    <w:rsid w:val="005D4A3D"/>
    <w:rsid w:val="005D72B6"/>
    <w:rsid w:val="005D783C"/>
    <w:rsid w:val="005E069F"/>
    <w:rsid w:val="005E6497"/>
    <w:rsid w:val="005E6A0B"/>
    <w:rsid w:val="005E7320"/>
    <w:rsid w:val="005E739D"/>
    <w:rsid w:val="005E7846"/>
    <w:rsid w:val="005E7DA3"/>
    <w:rsid w:val="005F0031"/>
    <w:rsid w:val="005F0A36"/>
    <w:rsid w:val="005F1D47"/>
    <w:rsid w:val="005F25DD"/>
    <w:rsid w:val="005F29EF"/>
    <w:rsid w:val="005F2FE7"/>
    <w:rsid w:val="005F3A09"/>
    <w:rsid w:val="005F45C2"/>
    <w:rsid w:val="005F51B6"/>
    <w:rsid w:val="005F5B14"/>
    <w:rsid w:val="005F66A4"/>
    <w:rsid w:val="005F6E54"/>
    <w:rsid w:val="005F77A1"/>
    <w:rsid w:val="00600305"/>
    <w:rsid w:val="00600F34"/>
    <w:rsid w:val="006017AD"/>
    <w:rsid w:val="0060242B"/>
    <w:rsid w:val="00604092"/>
    <w:rsid w:val="00604E49"/>
    <w:rsid w:val="00605EB4"/>
    <w:rsid w:val="00605F05"/>
    <w:rsid w:val="0060619F"/>
    <w:rsid w:val="0060654C"/>
    <w:rsid w:val="00606F54"/>
    <w:rsid w:val="006126DA"/>
    <w:rsid w:val="00612EC9"/>
    <w:rsid w:val="006133DB"/>
    <w:rsid w:val="00613729"/>
    <w:rsid w:val="00614BBC"/>
    <w:rsid w:val="00614F4A"/>
    <w:rsid w:val="006150DF"/>
    <w:rsid w:val="006162F2"/>
    <w:rsid w:val="00616F77"/>
    <w:rsid w:val="006175D0"/>
    <w:rsid w:val="006179A9"/>
    <w:rsid w:val="00620740"/>
    <w:rsid w:val="00620C64"/>
    <w:rsid w:val="00620DD0"/>
    <w:rsid w:val="00621D41"/>
    <w:rsid w:val="006222FF"/>
    <w:rsid w:val="00622527"/>
    <w:rsid w:val="006228F8"/>
    <w:rsid w:val="00622BA9"/>
    <w:rsid w:val="006230FD"/>
    <w:rsid w:val="00623542"/>
    <w:rsid w:val="00625FDA"/>
    <w:rsid w:val="00626744"/>
    <w:rsid w:val="006270FD"/>
    <w:rsid w:val="00630099"/>
    <w:rsid w:val="00631770"/>
    <w:rsid w:val="00631C49"/>
    <w:rsid w:val="00632608"/>
    <w:rsid w:val="00632F24"/>
    <w:rsid w:val="006340CF"/>
    <w:rsid w:val="00634511"/>
    <w:rsid w:val="00635780"/>
    <w:rsid w:val="00635D1F"/>
    <w:rsid w:val="006360E3"/>
    <w:rsid w:val="006361CD"/>
    <w:rsid w:val="00636C74"/>
    <w:rsid w:val="0063749A"/>
    <w:rsid w:val="00641B86"/>
    <w:rsid w:val="00641D6F"/>
    <w:rsid w:val="0064287F"/>
    <w:rsid w:val="006429C6"/>
    <w:rsid w:val="00643CBD"/>
    <w:rsid w:val="006447FA"/>
    <w:rsid w:val="006457AC"/>
    <w:rsid w:val="00645E32"/>
    <w:rsid w:val="00647AE2"/>
    <w:rsid w:val="006503AA"/>
    <w:rsid w:val="00651B0B"/>
    <w:rsid w:val="00651C0D"/>
    <w:rsid w:val="00651DA0"/>
    <w:rsid w:val="006523A6"/>
    <w:rsid w:val="006528B9"/>
    <w:rsid w:val="00654898"/>
    <w:rsid w:val="00654F28"/>
    <w:rsid w:val="0065508B"/>
    <w:rsid w:val="00656FA4"/>
    <w:rsid w:val="0066058F"/>
    <w:rsid w:val="00660697"/>
    <w:rsid w:val="00660FD5"/>
    <w:rsid w:val="00661774"/>
    <w:rsid w:val="00661806"/>
    <w:rsid w:val="006646EF"/>
    <w:rsid w:val="00665845"/>
    <w:rsid w:val="00665C11"/>
    <w:rsid w:val="00666F48"/>
    <w:rsid w:val="00670444"/>
    <w:rsid w:val="0067104A"/>
    <w:rsid w:val="006711A5"/>
    <w:rsid w:val="006714AE"/>
    <w:rsid w:val="006715C7"/>
    <w:rsid w:val="00673445"/>
    <w:rsid w:val="006735B8"/>
    <w:rsid w:val="00673AB0"/>
    <w:rsid w:val="006743FB"/>
    <w:rsid w:val="006749DE"/>
    <w:rsid w:val="006752E8"/>
    <w:rsid w:val="00676422"/>
    <w:rsid w:val="006764A3"/>
    <w:rsid w:val="00680626"/>
    <w:rsid w:val="00681873"/>
    <w:rsid w:val="00681C5C"/>
    <w:rsid w:val="0068215F"/>
    <w:rsid w:val="00682F91"/>
    <w:rsid w:val="0068333A"/>
    <w:rsid w:val="0068339D"/>
    <w:rsid w:val="006837C7"/>
    <w:rsid w:val="00684B07"/>
    <w:rsid w:val="0068506C"/>
    <w:rsid w:val="00685623"/>
    <w:rsid w:val="0068678F"/>
    <w:rsid w:val="00687C0A"/>
    <w:rsid w:val="006900F1"/>
    <w:rsid w:val="006921A5"/>
    <w:rsid w:val="00693A80"/>
    <w:rsid w:val="006953F7"/>
    <w:rsid w:val="0069557C"/>
    <w:rsid w:val="00695FA5"/>
    <w:rsid w:val="006A1F53"/>
    <w:rsid w:val="006A201D"/>
    <w:rsid w:val="006A5326"/>
    <w:rsid w:val="006A5588"/>
    <w:rsid w:val="006A64C1"/>
    <w:rsid w:val="006A759A"/>
    <w:rsid w:val="006B0867"/>
    <w:rsid w:val="006B0901"/>
    <w:rsid w:val="006B1393"/>
    <w:rsid w:val="006B2872"/>
    <w:rsid w:val="006B3033"/>
    <w:rsid w:val="006B42C1"/>
    <w:rsid w:val="006B5D0E"/>
    <w:rsid w:val="006B6112"/>
    <w:rsid w:val="006B6DE5"/>
    <w:rsid w:val="006C1230"/>
    <w:rsid w:val="006C13CA"/>
    <w:rsid w:val="006C1DC2"/>
    <w:rsid w:val="006C2B75"/>
    <w:rsid w:val="006C38BE"/>
    <w:rsid w:val="006C41DC"/>
    <w:rsid w:val="006C53EE"/>
    <w:rsid w:val="006C5E0B"/>
    <w:rsid w:val="006C69ED"/>
    <w:rsid w:val="006C7B47"/>
    <w:rsid w:val="006C7D41"/>
    <w:rsid w:val="006D1FCA"/>
    <w:rsid w:val="006D27CB"/>
    <w:rsid w:val="006D3324"/>
    <w:rsid w:val="006D3E4A"/>
    <w:rsid w:val="006D4366"/>
    <w:rsid w:val="006D5366"/>
    <w:rsid w:val="006D6149"/>
    <w:rsid w:val="006D6710"/>
    <w:rsid w:val="006D7312"/>
    <w:rsid w:val="006E113D"/>
    <w:rsid w:val="006E1470"/>
    <w:rsid w:val="006E1733"/>
    <w:rsid w:val="006E1EED"/>
    <w:rsid w:val="006E2257"/>
    <w:rsid w:val="006E232B"/>
    <w:rsid w:val="006E3983"/>
    <w:rsid w:val="006E40AD"/>
    <w:rsid w:val="006E4E5D"/>
    <w:rsid w:val="006E4EE1"/>
    <w:rsid w:val="006E5F1E"/>
    <w:rsid w:val="006E6D91"/>
    <w:rsid w:val="006F08CB"/>
    <w:rsid w:val="006F0A30"/>
    <w:rsid w:val="006F1B51"/>
    <w:rsid w:val="006F45A8"/>
    <w:rsid w:val="006F5AEF"/>
    <w:rsid w:val="006F6079"/>
    <w:rsid w:val="00700088"/>
    <w:rsid w:val="007006B7"/>
    <w:rsid w:val="0070102D"/>
    <w:rsid w:val="00703168"/>
    <w:rsid w:val="00703F94"/>
    <w:rsid w:val="007066E0"/>
    <w:rsid w:val="00706DCD"/>
    <w:rsid w:val="00707B37"/>
    <w:rsid w:val="007102BB"/>
    <w:rsid w:val="00710D93"/>
    <w:rsid w:val="007115CC"/>
    <w:rsid w:val="00711E17"/>
    <w:rsid w:val="00712369"/>
    <w:rsid w:val="00712915"/>
    <w:rsid w:val="007134AA"/>
    <w:rsid w:val="00714939"/>
    <w:rsid w:val="00714A30"/>
    <w:rsid w:val="00715214"/>
    <w:rsid w:val="00715D65"/>
    <w:rsid w:val="00715FBA"/>
    <w:rsid w:val="00716473"/>
    <w:rsid w:val="00717456"/>
    <w:rsid w:val="00717F15"/>
    <w:rsid w:val="00717F85"/>
    <w:rsid w:val="00721AA5"/>
    <w:rsid w:val="00721BD5"/>
    <w:rsid w:val="007223C4"/>
    <w:rsid w:val="00722F40"/>
    <w:rsid w:val="00723301"/>
    <w:rsid w:val="007234DD"/>
    <w:rsid w:val="00723A7D"/>
    <w:rsid w:val="00723BCF"/>
    <w:rsid w:val="00725A30"/>
    <w:rsid w:val="00725EEE"/>
    <w:rsid w:val="00726736"/>
    <w:rsid w:val="007270C4"/>
    <w:rsid w:val="00731A29"/>
    <w:rsid w:val="00731D45"/>
    <w:rsid w:val="00731F6A"/>
    <w:rsid w:val="007324D7"/>
    <w:rsid w:val="00732A3B"/>
    <w:rsid w:val="0073321E"/>
    <w:rsid w:val="00733676"/>
    <w:rsid w:val="00734705"/>
    <w:rsid w:val="007356AB"/>
    <w:rsid w:val="00735D29"/>
    <w:rsid w:val="007406C2"/>
    <w:rsid w:val="00740723"/>
    <w:rsid w:val="00742250"/>
    <w:rsid w:val="007431AC"/>
    <w:rsid w:val="00743CA6"/>
    <w:rsid w:val="007444E3"/>
    <w:rsid w:val="0074747F"/>
    <w:rsid w:val="007478D8"/>
    <w:rsid w:val="00747E61"/>
    <w:rsid w:val="0075120F"/>
    <w:rsid w:val="00751B10"/>
    <w:rsid w:val="00753CE9"/>
    <w:rsid w:val="00753DD8"/>
    <w:rsid w:val="00754C2C"/>
    <w:rsid w:val="007555D4"/>
    <w:rsid w:val="00755FC4"/>
    <w:rsid w:val="007571E8"/>
    <w:rsid w:val="00762792"/>
    <w:rsid w:val="00763443"/>
    <w:rsid w:val="007638BF"/>
    <w:rsid w:val="00764B40"/>
    <w:rsid w:val="007653DF"/>
    <w:rsid w:val="007668A4"/>
    <w:rsid w:val="00766A74"/>
    <w:rsid w:val="00766A80"/>
    <w:rsid w:val="00766B4D"/>
    <w:rsid w:val="00771877"/>
    <w:rsid w:val="0077247E"/>
    <w:rsid w:val="007739A7"/>
    <w:rsid w:val="0077406D"/>
    <w:rsid w:val="007741DE"/>
    <w:rsid w:val="00776D16"/>
    <w:rsid w:val="0077763E"/>
    <w:rsid w:val="00777777"/>
    <w:rsid w:val="00782385"/>
    <w:rsid w:val="00782B7E"/>
    <w:rsid w:val="0078505C"/>
    <w:rsid w:val="00785CF9"/>
    <w:rsid w:val="0078688A"/>
    <w:rsid w:val="00787B9B"/>
    <w:rsid w:val="007903CA"/>
    <w:rsid w:val="00790A6A"/>
    <w:rsid w:val="00790E89"/>
    <w:rsid w:val="00791563"/>
    <w:rsid w:val="0079234D"/>
    <w:rsid w:val="0079296F"/>
    <w:rsid w:val="007929D8"/>
    <w:rsid w:val="007931BB"/>
    <w:rsid w:val="00793D9A"/>
    <w:rsid w:val="00795CBF"/>
    <w:rsid w:val="00795EC7"/>
    <w:rsid w:val="0079786F"/>
    <w:rsid w:val="00797E00"/>
    <w:rsid w:val="007A21AC"/>
    <w:rsid w:val="007A26CF"/>
    <w:rsid w:val="007A2AE4"/>
    <w:rsid w:val="007A4A48"/>
    <w:rsid w:val="007A7302"/>
    <w:rsid w:val="007A759D"/>
    <w:rsid w:val="007A78DE"/>
    <w:rsid w:val="007A7B44"/>
    <w:rsid w:val="007B0D5C"/>
    <w:rsid w:val="007B2D44"/>
    <w:rsid w:val="007B2EC4"/>
    <w:rsid w:val="007B4BBE"/>
    <w:rsid w:val="007B5774"/>
    <w:rsid w:val="007B5775"/>
    <w:rsid w:val="007B63C9"/>
    <w:rsid w:val="007B6825"/>
    <w:rsid w:val="007C04DD"/>
    <w:rsid w:val="007C07A4"/>
    <w:rsid w:val="007C0DE1"/>
    <w:rsid w:val="007C0F90"/>
    <w:rsid w:val="007C1540"/>
    <w:rsid w:val="007C1BD9"/>
    <w:rsid w:val="007C223C"/>
    <w:rsid w:val="007C35FC"/>
    <w:rsid w:val="007C4840"/>
    <w:rsid w:val="007C5A97"/>
    <w:rsid w:val="007C5C7C"/>
    <w:rsid w:val="007C5D9D"/>
    <w:rsid w:val="007C61AC"/>
    <w:rsid w:val="007C6771"/>
    <w:rsid w:val="007C6F52"/>
    <w:rsid w:val="007C761E"/>
    <w:rsid w:val="007C76FE"/>
    <w:rsid w:val="007C7AF9"/>
    <w:rsid w:val="007D1A0E"/>
    <w:rsid w:val="007D296B"/>
    <w:rsid w:val="007D3158"/>
    <w:rsid w:val="007D4420"/>
    <w:rsid w:val="007D54CC"/>
    <w:rsid w:val="007D6BB9"/>
    <w:rsid w:val="007E08C6"/>
    <w:rsid w:val="007E0EEE"/>
    <w:rsid w:val="007E0F11"/>
    <w:rsid w:val="007E136E"/>
    <w:rsid w:val="007E2FB6"/>
    <w:rsid w:val="007E3E15"/>
    <w:rsid w:val="007E4377"/>
    <w:rsid w:val="007E4DB7"/>
    <w:rsid w:val="007E5A16"/>
    <w:rsid w:val="007E606A"/>
    <w:rsid w:val="007E64DB"/>
    <w:rsid w:val="007E66A0"/>
    <w:rsid w:val="007E66AD"/>
    <w:rsid w:val="007E6E0B"/>
    <w:rsid w:val="007E7C87"/>
    <w:rsid w:val="007F2C75"/>
    <w:rsid w:val="007F3AB5"/>
    <w:rsid w:val="007F4082"/>
    <w:rsid w:val="007F6D12"/>
    <w:rsid w:val="007F7644"/>
    <w:rsid w:val="007F7C8F"/>
    <w:rsid w:val="007F7F8E"/>
    <w:rsid w:val="008016C8"/>
    <w:rsid w:val="008017B7"/>
    <w:rsid w:val="00801CD9"/>
    <w:rsid w:val="008021C5"/>
    <w:rsid w:val="0080315B"/>
    <w:rsid w:val="008033AC"/>
    <w:rsid w:val="00805825"/>
    <w:rsid w:val="008059D7"/>
    <w:rsid w:val="00805F94"/>
    <w:rsid w:val="0080790E"/>
    <w:rsid w:val="00807A23"/>
    <w:rsid w:val="00807B01"/>
    <w:rsid w:val="00807EC7"/>
    <w:rsid w:val="008108D4"/>
    <w:rsid w:val="0081181C"/>
    <w:rsid w:val="00813796"/>
    <w:rsid w:val="00816DCE"/>
    <w:rsid w:val="00817BC6"/>
    <w:rsid w:val="00821833"/>
    <w:rsid w:val="00821945"/>
    <w:rsid w:val="0082305B"/>
    <w:rsid w:val="00824394"/>
    <w:rsid w:val="00824456"/>
    <w:rsid w:val="00825E99"/>
    <w:rsid w:val="0083012C"/>
    <w:rsid w:val="00830473"/>
    <w:rsid w:val="00831749"/>
    <w:rsid w:val="00831DCA"/>
    <w:rsid w:val="00832EE9"/>
    <w:rsid w:val="00833217"/>
    <w:rsid w:val="008332FA"/>
    <w:rsid w:val="008335AD"/>
    <w:rsid w:val="00834CAE"/>
    <w:rsid w:val="00835D6C"/>
    <w:rsid w:val="008365EB"/>
    <w:rsid w:val="00837707"/>
    <w:rsid w:val="0084061B"/>
    <w:rsid w:val="0084231B"/>
    <w:rsid w:val="00842825"/>
    <w:rsid w:val="00842952"/>
    <w:rsid w:val="00842C33"/>
    <w:rsid w:val="008433AE"/>
    <w:rsid w:val="00846217"/>
    <w:rsid w:val="00846636"/>
    <w:rsid w:val="00846EFF"/>
    <w:rsid w:val="008525AC"/>
    <w:rsid w:val="008547DF"/>
    <w:rsid w:val="00855243"/>
    <w:rsid w:val="00855F9C"/>
    <w:rsid w:val="0085610B"/>
    <w:rsid w:val="00857DCC"/>
    <w:rsid w:val="008611BF"/>
    <w:rsid w:val="00861266"/>
    <w:rsid w:val="00861AD2"/>
    <w:rsid w:val="00862980"/>
    <w:rsid w:val="008638BB"/>
    <w:rsid w:val="00864141"/>
    <w:rsid w:val="008644A8"/>
    <w:rsid w:val="008645F0"/>
    <w:rsid w:val="00864914"/>
    <w:rsid w:val="00864EB6"/>
    <w:rsid w:val="008657B7"/>
    <w:rsid w:val="008657BE"/>
    <w:rsid w:val="008660CD"/>
    <w:rsid w:val="00866132"/>
    <w:rsid w:val="00866E65"/>
    <w:rsid w:val="00867E78"/>
    <w:rsid w:val="00871548"/>
    <w:rsid w:val="00871DC7"/>
    <w:rsid w:val="008736CE"/>
    <w:rsid w:val="00873767"/>
    <w:rsid w:val="008759CF"/>
    <w:rsid w:val="00875F61"/>
    <w:rsid w:val="00877275"/>
    <w:rsid w:val="008778D2"/>
    <w:rsid w:val="00882F88"/>
    <w:rsid w:val="008840B2"/>
    <w:rsid w:val="0088459C"/>
    <w:rsid w:val="008847E8"/>
    <w:rsid w:val="00884C20"/>
    <w:rsid w:val="008866FA"/>
    <w:rsid w:val="00886A0A"/>
    <w:rsid w:val="00886E82"/>
    <w:rsid w:val="0088747B"/>
    <w:rsid w:val="00890C65"/>
    <w:rsid w:val="00890D21"/>
    <w:rsid w:val="00891AB3"/>
    <w:rsid w:val="00892460"/>
    <w:rsid w:val="00892604"/>
    <w:rsid w:val="00893182"/>
    <w:rsid w:val="0089448B"/>
    <w:rsid w:val="008955BB"/>
    <w:rsid w:val="008955C0"/>
    <w:rsid w:val="00895D8E"/>
    <w:rsid w:val="008972FE"/>
    <w:rsid w:val="0089756F"/>
    <w:rsid w:val="008A0540"/>
    <w:rsid w:val="008A0834"/>
    <w:rsid w:val="008A37EE"/>
    <w:rsid w:val="008A3D25"/>
    <w:rsid w:val="008A3E19"/>
    <w:rsid w:val="008A405D"/>
    <w:rsid w:val="008A476D"/>
    <w:rsid w:val="008A60C8"/>
    <w:rsid w:val="008A6F83"/>
    <w:rsid w:val="008B0EF4"/>
    <w:rsid w:val="008B1AE8"/>
    <w:rsid w:val="008B3D1E"/>
    <w:rsid w:val="008B685B"/>
    <w:rsid w:val="008B6A2D"/>
    <w:rsid w:val="008B6C7E"/>
    <w:rsid w:val="008B6CA2"/>
    <w:rsid w:val="008B71BD"/>
    <w:rsid w:val="008B7680"/>
    <w:rsid w:val="008B7F8F"/>
    <w:rsid w:val="008C0236"/>
    <w:rsid w:val="008C0E56"/>
    <w:rsid w:val="008C1A58"/>
    <w:rsid w:val="008C2AC7"/>
    <w:rsid w:val="008C383D"/>
    <w:rsid w:val="008C453D"/>
    <w:rsid w:val="008C4F1B"/>
    <w:rsid w:val="008C6F37"/>
    <w:rsid w:val="008C7025"/>
    <w:rsid w:val="008D0C55"/>
    <w:rsid w:val="008D11F7"/>
    <w:rsid w:val="008D1423"/>
    <w:rsid w:val="008D2EB7"/>
    <w:rsid w:val="008D391B"/>
    <w:rsid w:val="008D5996"/>
    <w:rsid w:val="008E040D"/>
    <w:rsid w:val="008E1B3F"/>
    <w:rsid w:val="008E1FAA"/>
    <w:rsid w:val="008E2457"/>
    <w:rsid w:val="008E3168"/>
    <w:rsid w:val="008E42D2"/>
    <w:rsid w:val="008E7579"/>
    <w:rsid w:val="008E78BF"/>
    <w:rsid w:val="008E7BA9"/>
    <w:rsid w:val="008F00FD"/>
    <w:rsid w:val="008F0936"/>
    <w:rsid w:val="008F0B2F"/>
    <w:rsid w:val="008F0CA6"/>
    <w:rsid w:val="008F1919"/>
    <w:rsid w:val="008F3ACB"/>
    <w:rsid w:val="008F5C05"/>
    <w:rsid w:val="008F71CD"/>
    <w:rsid w:val="008F7AD6"/>
    <w:rsid w:val="00900F04"/>
    <w:rsid w:val="009012D3"/>
    <w:rsid w:val="0090259C"/>
    <w:rsid w:val="009026A9"/>
    <w:rsid w:val="00902A97"/>
    <w:rsid w:val="0090316E"/>
    <w:rsid w:val="0090366E"/>
    <w:rsid w:val="00903A6E"/>
    <w:rsid w:val="00905833"/>
    <w:rsid w:val="009064F7"/>
    <w:rsid w:val="0090772C"/>
    <w:rsid w:val="009104E2"/>
    <w:rsid w:val="009118BD"/>
    <w:rsid w:val="00911C18"/>
    <w:rsid w:val="00913A50"/>
    <w:rsid w:val="00914003"/>
    <w:rsid w:val="0091426A"/>
    <w:rsid w:val="00914521"/>
    <w:rsid w:val="00914A19"/>
    <w:rsid w:val="00914E51"/>
    <w:rsid w:val="00915063"/>
    <w:rsid w:val="00916C6D"/>
    <w:rsid w:val="00920EC7"/>
    <w:rsid w:val="00921ECC"/>
    <w:rsid w:val="00922EA1"/>
    <w:rsid w:val="009237ED"/>
    <w:rsid w:val="00924D04"/>
    <w:rsid w:val="0092518E"/>
    <w:rsid w:val="009257B3"/>
    <w:rsid w:val="00926775"/>
    <w:rsid w:val="00926968"/>
    <w:rsid w:val="00926B5E"/>
    <w:rsid w:val="00926CD3"/>
    <w:rsid w:val="00927576"/>
    <w:rsid w:val="009310D8"/>
    <w:rsid w:val="009312A9"/>
    <w:rsid w:val="00932EF6"/>
    <w:rsid w:val="00933B3D"/>
    <w:rsid w:val="00934DBA"/>
    <w:rsid w:val="00934EDA"/>
    <w:rsid w:val="009368F5"/>
    <w:rsid w:val="00937585"/>
    <w:rsid w:val="00937783"/>
    <w:rsid w:val="00937E4A"/>
    <w:rsid w:val="00937F72"/>
    <w:rsid w:val="00940DD4"/>
    <w:rsid w:val="00940E60"/>
    <w:rsid w:val="00941231"/>
    <w:rsid w:val="009419AC"/>
    <w:rsid w:val="00941AAE"/>
    <w:rsid w:val="00942D54"/>
    <w:rsid w:val="00942E79"/>
    <w:rsid w:val="00943289"/>
    <w:rsid w:val="00943DC5"/>
    <w:rsid w:val="009441E0"/>
    <w:rsid w:val="00944790"/>
    <w:rsid w:val="00946806"/>
    <w:rsid w:val="009471F3"/>
    <w:rsid w:val="00947643"/>
    <w:rsid w:val="00950268"/>
    <w:rsid w:val="00952BE7"/>
    <w:rsid w:val="00954881"/>
    <w:rsid w:val="00955660"/>
    <w:rsid w:val="00955D5F"/>
    <w:rsid w:val="00957413"/>
    <w:rsid w:val="00957F24"/>
    <w:rsid w:val="0096072A"/>
    <w:rsid w:val="009609EF"/>
    <w:rsid w:val="00961135"/>
    <w:rsid w:val="009611FE"/>
    <w:rsid w:val="0096121A"/>
    <w:rsid w:val="00962132"/>
    <w:rsid w:val="00962859"/>
    <w:rsid w:val="00964E49"/>
    <w:rsid w:val="00965FA7"/>
    <w:rsid w:val="009666A1"/>
    <w:rsid w:val="009669FA"/>
    <w:rsid w:val="0096738D"/>
    <w:rsid w:val="009676C1"/>
    <w:rsid w:val="0097001D"/>
    <w:rsid w:val="00970EB6"/>
    <w:rsid w:val="009710DD"/>
    <w:rsid w:val="00972815"/>
    <w:rsid w:val="00972925"/>
    <w:rsid w:val="00972EF3"/>
    <w:rsid w:val="00973C44"/>
    <w:rsid w:val="009749EB"/>
    <w:rsid w:val="00974AC9"/>
    <w:rsid w:val="00974D77"/>
    <w:rsid w:val="00975B59"/>
    <w:rsid w:val="00975EB2"/>
    <w:rsid w:val="009770A2"/>
    <w:rsid w:val="009775EB"/>
    <w:rsid w:val="00977E23"/>
    <w:rsid w:val="00980BED"/>
    <w:rsid w:val="0098126D"/>
    <w:rsid w:val="00984B0F"/>
    <w:rsid w:val="00984C01"/>
    <w:rsid w:val="009856B2"/>
    <w:rsid w:val="00985789"/>
    <w:rsid w:val="00986026"/>
    <w:rsid w:val="009864DB"/>
    <w:rsid w:val="00986A31"/>
    <w:rsid w:val="00986C0C"/>
    <w:rsid w:val="00987337"/>
    <w:rsid w:val="009906C2"/>
    <w:rsid w:val="00990AE3"/>
    <w:rsid w:val="00991116"/>
    <w:rsid w:val="0099146E"/>
    <w:rsid w:val="00991AAB"/>
    <w:rsid w:val="00993373"/>
    <w:rsid w:val="00993E7C"/>
    <w:rsid w:val="00994F16"/>
    <w:rsid w:val="009956AB"/>
    <w:rsid w:val="009956AC"/>
    <w:rsid w:val="00995BB5"/>
    <w:rsid w:val="0099760D"/>
    <w:rsid w:val="00997C30"/>
    <w:rsid w:val="00997F06"/>
    <w:rsid w:val="009A0220"/>
    <w:rsid w:val="009A14A6"/>
    <w:rsid w:val="009A25D2"/>
    <w:rsid w:val="009A336A"/>
    <w:rsid w:val="009A344D"/>
    <w:rsid w:val="009A3F8D"/>
    <w:rsid w:val="009A4360"/>
    <w:rsid w:val="009A45F3"/>
    <w:rsid w:val="009A4F16"/>
    <w:rsid w:val="009A63BD"/>
    <w:rsid w:val="009A7B3F"/>
    <w:rsid w:val="009A7C45"/>
    <w:rsid w:val="009A7F29"/>
    <w:rsid w:val="009B07AC"/>
    <w:rsid w:val="009B1541"/>
    <w:rsid w:val="009B21E6"/>
    <w:rsid w:val="009B2C0E"/>
    <w:rsid w:val="009B4045"/>
    <w:rsid w:val="009B715D"/>
    <w:rsid w:val="009C071D"/>
    <w:rsid w:val="009C07CF"/>
    <w:rsid w:val="009C1D51"/>
    <w:rsid w:val="009C1E93"/>
    <w:rsid w:val="009C2032"/>
    <w:rsid w:val="009C3C97"/>
    <w:rsid w:val="009C62CF"/>
    <w:rsid w:val="009C66DB"/>
    <w:rsid w:val="009C7D0C"/>
    <w:rsid w:val="009D0EF4"/>
    <w:rsid w:val="009D0F97"/>
    <w:rsid w:val="009D1865"/>
    <w:rsid w:val="009D5F10"/>
    <w:rsid w:val="009D61FC"/>
    <w:rsid w:val="009D6B8F"/>
    <w:rsid w:val="009D6B97"/>
    <w:rsid w:val="009E0F90"/>
    <w:rsid w:val="009E1F3D"/>
    <w:rsid w:val="009E2607"/>
    <w:rsid w:val="009E2D67"/>
    <w:rsid w:val="009E3953"/>
    <w:rsid w:val="009E552E"/>
    <w:rsid w:val="009E58D1"/>
    <w:rsid w:val="009E7086"/>
    <w:rsid w:val="009E757C"/>
    <w:rsid w:val="009E762B"/>
    <w:rsid w:val="009F1139"/>
    <w:rsid w:val="009F15F8"/>
    <w:rsid w:val="009F1B02"/>
    <w:rsid w:val="009F1B35"/>
    <w:rsid w:val="009F1E97"/>
    <w:rsid w:val="009F28D3"/>
    <w:rsid w:val="009F3DAA"/>
    <w:rsid w:val="009F46CD"/>
    <w:rsid w:val="009F4EA5"/>
    <w:rsid w:val="009F5792"/>
    <w:rsid w:val="009F5F37"/>
    <w:rsid w:val="009F5FDF"/>
    <w:rsid w:val="009F606B"/>
    <w:rsid w:val="009F6CE4"/>
    <w:rsid w:val="009F7229"/>
    <w:rsid w:val="009F7BF8"/>
    <w:rsid w:val="00A018CD"/>
    <w:rsid w:val="00A023AF"/>
    <w:rsid w:val="00A024AF"/>
    <w:rsid w:val="00A038B5"/>
    <w:rsid w:val="00A03D30"/>
    <w:rsid w:val="00A05C65"/>
    <w:rsid w:val="00A072C3"/>
    <w:rsid w:val="00A07A52"/>
    <w:rsid w:val="00A07AAF"/>
    <w:rsid w:val="00A103F0"/>
    <w:rsid w:val="00A10D81"/>
    <w:rsid w:val="00A11A59"/>
    <w:rsid w:val="00A128AC"/>
    <w:rsid w:val="00A13A00"/>
    <w:rsid w:val="00A13DEA"/>
    <w:rsid w:val="00A13F0F"/>
    <w:rsid w:val="00A144A7"/>
    <w:rsid w:val="00A162BF"/>
    <w:rsid w:val="00A17652"/>
    <w:rsid w:val="00A2038B"/>
    <w:rsid w:val="00A20989"/>
    <w:rsid w:val="00A2267C"/>
    <w:rsid w:val="00A22F52"/>
    <w:rsid w:val="00A2304C"/>
    <w:rsid w:val="00A232A5"/>
    <w:rsid w:val="00A23A35"/>
    <w:rsid w:val="00A24C9D"/>
    <w:rsid w:val="00A25C93"/>
    <w:rsid w:val="00A26664"/>
    <w:rsid w:val="00A26EFA"/>
    <w:rsid w:val="00A26FCA"/>
    <w:rsid w:val="00A2793E"/>
    <w:rsid w:val="00A32658"/>
    <w:rsid w:val="00A34691"/>
    <w:rsid w:val="00A35259"/>
    <w:rsid w:val="00A36D87"/>
    <w:rsid w:val="00A3777E"/>
    <w:rsid w:val="00A37C0A"/>
    <w:rsid w:val="00A4047D"/>
    <w:rsid w:val="00A41C8A"/>
    <w:rsid w:val="00A420ED"/>
    <w:rsid w:val="00A42505"/>
    <w:rsid w:val="00A425DE"/>
    <w:rsid w:val="00A43A41"/>
    <w:rsid w:val="00A44BA1"/>
    <w:rsid w:val="00A452E0"/>
    <w:rsid w:val="00A4654B"/>
    <w:rsid w:val="00A46F28"/>
    <w:rsid w:val="00A470D7"/>
    <w:rsid w:val="00A479D1"/>
    <w:rsid w:val="00A51DF8"/>
    <w:rsid w:val="00A527A2"/>
    <w:rsid w:val="00A5329F"/>
    <w:rsid w:val="00A533B5"/>
    <w:rsid w:val="00A53E98"/>
    <w:rsid w:val="00A55FAC"/>
    <w:rsid w:val="00A575A5"/>
    <w:rsid w:val="00A6003D"/>
    <w:rsid w:val="00A608FC"/>
    <w:rsid w:val="00A60DF4"/>
    <w:rsid w:val="00A61F58"/>
    <w:rsid w:val="00A6239B"/>
    <w:rsid w:val="00A6318E"/>
    <w:rsid w:val="00A670C1"/>
    <w:rsid w:val="00A704AE"/>
    <w:rsid w:val="00A711B7"/>
    <w:rsid w:val="00A714F9"/>
    <w:rsid w:val="00A718C7"/>
    <w:rsid w:val="00A718DC"/>
    <w:rsid w:val="00A71DF0"/>
    <w:rsid w:val="00A75A54"/>
    <w:rsid w:val="00A75D39"/>
    <w:rsid w:val="00A7622E"/>
    <w:rsid w:val="00A76E0F"/>
    <w:rsid w:val="00A76ED7"/>
    <w:rsid w:val="00A771C5"/>
    <w:rsid w:val="00A77F3D"/>
    <w:rsid w:val="00A80A6A"/>
    <w:rsid w:val="00A80EBF"/>
    <w:rsid w:val="00A814C0"/>
    <w:rsid w:val="00A81D68"/>
    <w:rsid w:val="00A81F91"/>
    <w:rsid w:val="00A820B3"/>
    <w:rsid w:val="00A833B6"/>
    <w:rsid w:val="00A84D13"/>
    <w:rsid w:val="00A854F9"/>
    <w:rsid w:val="00A8600A"/>
    <w:rsid w:val="00A863B7"/>
    <w:rsid w:val="00A87C0B"/>
    <w:rsid w:val="00A87D12"/>
    <w:rsid w:val="00A9057C"/>
    <w:rsid w:val="00A91060"/>
    <w:rsid w:val="00A9162A"/>
    <w:rsid w:val="00A91CEF"/>
    <w:rsid w:val="00A92B9C"/>
    <w:rsid w:val="00A93971"/>
    <w:rsid w:val="00A94BC9"/>
    <w:rsid w:val="00A96116"/>
    <w:rsid w:val="00A96D23"/>
    <w:rsid w:val="00AA1607"/>
    <w:rsid w:val="00AA332A"/>
    <w:rsid w:val="00AA34C6"/>
    <w:rsid w:val="00AA4D20"/>
    <w:rsid w:val="00AA5CE8"/>
    <w:rsid w:val="00AA7298"/>
    <w:rsid w:val="00AA7AA3"/>
    <w:rsid w:val="00AA7D1E"/>
    <w:rsid w:val="00AB0732"/>
    <w:rsid w:val="00AB0B48"/>
    <w:rsid w:val="00AB1A8D"/>
    <w:rsid w:val="00AB1D64"/>
    <w:rsid w:val="00AB336D"/>
    <w:rsid w:val="00AB3B8E"/>
    <w:rsid w:val="00AB5F08"/>
    <w:rsid w:val="00AB7D28"/>
    <w:rsid w:val="00AB7DA3"/>
    <w:rsid w:val="00AC0C74"/>
    <w:rsid w:val="00AC17D4"/>
    <w:rsid w:val="00AC255B"/>
    <w:rsid w:val="00AC26C9"/>
    <w:rsid w:val="00AC4690"/>
    <w:rsid w:val="00AC5C54"/>
    <w:rsid w:val="00AC5D94"/>
    <w:rsid w:val="00AC648D"/>
    <w:rsid w:val="00AC7834"/>
    <w:rsid w:val="00AD0E6C"/>
    <w:rsid w:val="00AD133F"/>
    <w:rsid w:val="00AD1BBE"/>
    <w:rsid w:val="00AD3742"/>
    <w:rsid w:val="00AD3C4A"/>
    <w:rsid w:val="00AD568D"/>
    <w:rsid w:val="00AD58D7"/>
    <w:rsid w:val="00AD5E44"/>
    <w:rsid w:val="00AD61D8"/>
    <w:rsid w:val="00AD6CAE"/>
    <w:rsid w:val="00AE0C8D"/>
    <w:rsid w:val="00AE0CDF"/>
    <w:rsid w:val="00AE1E4D"/>
    <w:rsid w:val="00AE1FD8"/>
    <w:rsid w:val="00AE2139"/>
    <w:rsid w:val="00AE2222"/>
    <w:rsid w:val="00AE2E28"/>
    <w:rsid w:val="00AE3A79"/>
    <w:rsid w:val="00AE3DCF"/>
    <w:rsid w:val="00AE4AFC"/>
    <w:rsid w:val="00AE5B5E"/>
    <w:rsid w:val="00AE5D72"/>
    <w:rsid w:val="00AE6265"/>
    <w:rsid w:val="00AF051C"/>
    <w:rsid w:val="00AF08E0"/>
    <w:rsid w:val="00AF29C0"/>
    <w:rsid w:val="00AF2C9C"/>
    <w:rsid w:val="00AF3738"/>
    <w:rsid w:val="00AF4BB5"/>
    <w:rsid w:val="00AF4C03"/>
    <w:rsid w:val="00B00815"/>
    <w:rsid w:val="00B00F27"/>
    <w:rsid w:val="00B0103B"/>
    <w:rsid w:val="00B0113E"/>
    <w:rsid w:val="00B0168C"/>
    <w:rsid w:val="00B01D59"/>
    <w:rsid w:val="00B0345F"/>
    <w:rsid w:val="00B03C73"/>
    <w:rsid w:val="00B0541E"/>
    <w:rsid w:val="00B057EC"/>
    <w:rsid w:val="00B05BDE"/>
    <w:rsid w:val="00B07925"/>
    <w:rsid w:val="00B07B3F"/>
    <w:rsid w:val="00B118FB"/>
    <w:rsid w:val="00B13009"/>
    <w:rsid w:val="00B1313C"/>
    <w:rsid w:val="00B13BA9"/>
    <w:rsid w:val="00B148A3"/>
    <w:rsid w:val="00B15351"/>
    <w:rsid w:val="00B16179"/>
    <w:rsid w:val="00B16B35"/>
    <w:rsid w:val="00B16C7D"/>
    <w:rsid w:val="00B17EA4"/>
    <w:rsid w:val="00B20114"/>
    <w:rsid w:val="00B203F8"/>
    <w:rsid w:val="00B236B5"/>
    <w:rsid w:val="00B25869"/>
    <w:rsid w:val="00B261FF"/>
    <w:rsid w:val="00B26371"/>
    <w:rsid w:val="00B26A32"/>
    <w:rsid w:val="00B2710D"/>
    <w:rsid w:val="00B27C17"/>
    <w:rsid w:val="00B3013C"/>
    <w:rsid w:val="00B30B3D"/>
    <w:rsid w:val="00B30CC0"/>
    <w:rsid w:val="00B32332"/>
    <w:rsid w:val="00B32B42"/>
    <w:rsid w:val="00B32FA0"/>
    <w:rsid w:val="00B346BE"/>
    <w:rsid w:val="00B35F29"/>
    <w:rsid w:val="00B363D7"/>
    <w:rsid w:val="00B367F1"/>
    <w:rsid w:val="00B404C7"/>
    <w:rsid w:val="00B430EF"/>
    <w:rsid w:val="00B443C1"/>
    <w:rsid w:val="00B44ADE"/>
    <w:rsid w:val="00B44C71"/>
    <w:rsid w:val="00B44E94"/>
    <w:rsid w:val="00B47CBE"/>
    <w:rsid w:val="00B47F72"/>
    <w:rsid w:val="00B51E74"/>
    <w:rsid w:val="00B521B9"/>
    <w:rsid w:val="00B52BED"/>
    <w:rsid w:val="00B53724"/>
    <w:rsid w:val="00B540B7"/>
    <w:rsid w:val="00B5511D"/>
    <w:rsid w:val="00B56473"/>
    <w:rsid w:val="00B57231"/>
    <w:rsid w:val="00B57444"/>
    <w:rsid w:val="00B578A0"/>
    <w:rsid w:val="00B62DDD"/>
    <w:rsid w:val="00B6314E"/>
    <w:rsid w:val="00B64D00"/>
    <w:rsid w:val="00B66FC3"/>
    <w:rsid w:val="00B702F7"/>
    <w:rsid w:val="00B716AA"/>
    <w:rsid w:val="00B71880"/>
    <w:rsid w:val="00B7213F"/>
    <w:rsid w:val="00B72BBA"/>
    <w:rsid w:val="00B72E3A"/>
    <w:rsid w:val="00B734FA"/>
    <w:rsid w:val="00B74881"/>
    <w:rsid w:val="00B7531F"/>
    <w:rsid w:val="00B75C5C"/>
    <w:rsid w:val="00B776E0"/>
    <w:rsid w:val="00B812B3"/>
    <w:rsid w:val="00B82AFB"/>
    <w:rsid w:val="00B83405"/>
    <w:rsid w:val="00B83DBA"/>
    <w:rsid w:val="00B8694B"/>
    <w:rsid w:val="00B86A74"/>
    <w:rsid w:val="00B87822"/>
    <w:rsid w:val="00B909C1"/>
    <w:rsid w:val="00B91540"/>
    <w:rsid w:val="00B91CB5"/>
    <w:rsid w:val="00B91E10"/>
    <w:rsid w:val="00B92333"/>
    <w:rsid w:val="00B93D52"/>
    <w:rsid w:val="00B9403D"/>
    <w:rsid w:val="00B96109"/>
    <w:rsid w:val="00B9729E"/>
    <w:rsid w:val="00B97C2E"/>
    <w:rsid w:val="00BA12C8"/>
    <w:rsid w:val="00BA13F5"/>
    <w:rsid w:val="00BA1DD9"/>
    <w:rsid w:val="00BA2C47"/>
    <w:rsid w:val="00BA3175"/>
    <w:rsid w:val="00BA3AEB"/>
    <w:rsid w:val="00BA3B75"/>
    <w:rsid w:val="00BA44AC"/>
    <w:rsid w:val="00BA6A50"/>
    <w:rsid w:val="00BA7A45"/>
    <w:rsid w:val="00BB0716"/>
    <w:rsid w:val="00BB1234"/>
    <w:rsid w:val="00BB1AF6"/>
    <w:rsid w:val="00BB1C3A"/>
    <w:rsid w:val="00BB2B8A"/>
    <w:rsid w:val="00BB39A7"/>
    <w:rsid w:val="00BB5C84"/>
    <w:rsid w:val="00BB5D16"/>
    <w:rsid w:val="00BB6C23"/>
    <w:rsid w:val="00BB7B59"/>
    <w:rsid w:val="00BC1685"/>
    <w:rsid w:val="00BC2032"/>
    <w:rsid w:val="00BC249F"/>
    <w:rsid w:val="00BC5FD3"/>
    <w:rsid w:val="00BC664D"/>
    <w:rsid w:val="00BD047A"/>
    <w:rsid w:val="00BD0510"/>
    <w:rsid w:val="00BD2928"/>
    <w:rsid w:val="00BD3C00"/>
    <w:rsid w:val="00BD5D1F"/>
    <w:rsid w:val="00BD68B2"/>
    <w:rsid w:val="00BD71E0"/>
    <w:rsid w:val="00BD7828"/>
    <w:rsid w:val="00BD7916"/>
    <w:rsid w:val="00BD7C22"/>
    <w:rsid w:val="00BE1AD1"/>
    <w:rsid w:val="00BE26C9"/>
    <w:rsid w:val="00BE34BA"/>
    <w:rsid w:val="00BE4073"/>
    <w:rsid w:val="00BE58BE"/>
    <w:rsid w:val="00BE595F"/>
    <w:rsid w:val="00BE6BBE"/>
    <w:rsid w:val="00BE6D05"/>
    <w:rsid w:val="00BF0A8D"/>
    <w:rsid w:val="00BF1345"/>
    <w:rsid w:val="00BF19B3"/>
    <w:rsid w:val="00BF1A95"/>
    <w:rsid w:val="00BF2895"/>
    <w:rsid w:val="00BF3F15"/>
    <w:rsid w:val="00BF443F"/>
    <w:rsid w:val="00BF4EC3"/>
    <w:rsid w:val="00BF54B5"/>
    <w:rsid w:val="00BF5538"/>
    <w:rsid w:val="00BF7E2D"/>
    <w:rsid w:val="00C0004C"/>
    <w:rsid w:val="00C0022B"/>
    <w:rsid w:val="00C00EA2"/>
    <w:rsid w:val="00C0110A"/>
    <w:rsid w:val="00C01873"/>
    <w:rsid w:val="00C0213A"/>
    <w:rsid w:val="00C02F57"/>
    <w:rsid w:val="00C050F8"/>
    <w:rsid w:val="00C05A04"/>
    <w:rsid w:val="00C0631E"/>
    <w:rsid w:val="00C063AA"/>
    <w:rsid w:val="00C07E62"/>
    <w:rsid w:val="00C1248E"/>
    <w:rsid w:val="00C12644"/>
    <w:rsid w:val="00C13035"/>
    <w:rsid w:val="00C130D7"/>
    <w:rsid w:val="00C13157"/>
    <w:rsid w:val="00C13BE5"/>
    <w:rsid w:val="00C149EE"/>
    <w:rsid w:val="00C1607C"/>
    <w:rsid w:val="00C177E9"/>
    <w:rsid w:val="00C22369"/>
    <w:rsid w:val="00C2289E"/>
    <w:rsid w:val="00C22EFC"/>
    <w:rsid w:val="00C22F85"/>
    <w:rsid w:val="00C23929"/>
    <w:rsid w:val="00C25058"/>
    <w:rsid w:val="00C25848"/>
    <w:rsid w:val="00C25FE0"/>
    <w:rsid w:val="00C26C6E"/>
    <w:rsid w:val="00C27005"/>
    <w:rsid w:val="00C3040B"/>
    <w:rsid w:val="00C3198C"/>
    <w:rsid w:val="00C3214A"/>
    <w:rsid w:val="00C324C8"/>
    <w:rsid w:val="00C3291E"/>
    <w:rsid w:val="00C3405A"/>
    <w:rsid w:val="00C3510E"/>
    <w:rsid w:val="00C36127"/>
    <w:rsid w:val="00C3651A"/>
    <w:rsid w:val="00C37B11"/>
    <w:rsid w:val="00C40325"/>
    <w:rsid w:val="00C40525"/>
    <w:rsid w:val="00C41098"/>
    <w:rsid w:val="00C4184C"/>
    <w:rsid w:val="00C4202A"/>
    <w:rsid w:val="00C42650"/>
    <w:rsid w:val="00C42D3B"/>
    <w:rsid w:val="00C451A9"/>
    <w:rsid w:val="00C4635D"/>
    <w:rsid w:val="00C46570"/>
    <w:rsid w:val="00C46B9A"/>
    <w:rsid w:val="00C47585"/>
    <w:rsid w:val="00C5142A"/>
    <w:rsid w:val="00C5146B"/>
    <w:rsid w:val="00C52FDE"/>
    <w:rsid w:val="00C56D52"/>
    <w:rsid w:val="00C571B5"/>
    <w:rsid w:val="00C57E50"/>
    <w:rsid w:val="00C609BB"/>
    <w:rsid w:val="00C60B0C"/>
    <w:rsid w:val="00C60F87"/>
    <w:rsid w:val="00C6136A"/>
    <w:rsid w:val="00C622E0"/>
    <w:rsid w:val="00C628AA"/>
    <w:rsid w:val="00C64435"/>
    <w:rsid w:val="00C66C86"/>
    <w:rsid w:val="00C7146D"/>
    <w:rsid w:val="00C714D7"/>
    <w:rsid w:val="00C71A20"/>
    <w:rsid w:val="00C728AA"/>
    <w:rsid w:val="00C72AC8"/>
    <w:rsid w:val="00C73FC9"/>
    <w:rsid w:val="00C746FE"/>
    <w:rsid w:val="00C74A1A"/>
    <w:rsid w:val="00C7529A"/>
    <w:rsid w:val="00C7598A"/>
    <w:rsid w:val="00C75BB9"/>
    <w:rsid w:val="00C76480"/>
    <w:rsid w:val="00C77B9D"/>
    <w:rsid w:val="00C80E0E"/>
    <w:rsid w:val="00C82A40"/>
    <w:rsid w:val="00C83484"/>
    <w:rsid w:val="00C8523A"/>
    <w:rsid w:val="00C873D6"/>
    <w:rsid w:val="00C87852"/>
    <w:rsid w:val="00C8789E"/>
    <w:rsid w:val="00C87F20"/>
    <w:rsid w:val="00C90197"/>
    <w:rsid w:val="00C917CB"/>
    <w:rsid w:val="00C92299"/>
    <w:rsid w:val="00C928A9"/>
    <w:rsid w:val="00C94DC3"/>
    <w:rsid w:val="00C94FC3"/>
    <w:rsid w:val="00C951F4"/>
    <w:rsid w:val="00C95400"/>
    <w:rsid w:val="00C95812"/>
    <w:rsid w:val="00C96256"/>
    <w:rsid w:val="00C96296"/>
    <w:rsid w:val="00C969CB"/>
    <w:rsid w:val="00C976E4"/>
    <w:rsid w:val="00CA05CD"/>
    <w:rsid w:val="00CA135F"/>
    <w:rsid w:val="00CA17E1"/>
    <w:rsid w:val="00CA3307"/>
    <w:rsid w:val="00CA341D"/>
    <w:rsid w:val="00CA341F"/>
    <w:rsid w:val="00CA7EF3"/>
    <w:rsid w:val="00CB0B1E"/>
    <w:rsid w:val="00CB0E84"/>
    <w:rsid w:val="00CB108D"/>
    <w:rsid w:val="00CB1418"/>
    <w:rsid w:val="00CB1ABD"/>
    <w:rsid w:val="00CB3BBD"/>
    <w:rsid w:val="00CB7172"/>
    <w:rsid w:val="00CC0997"/>
    <w:rsid w:val="00CC1B19"/>
    <w:rsid w:val="00CC25A9"/>
    <w:rsid w:val="00CC4148"/>
    <w:rsid w:val="00CC61D1"/>
    <w:rsid w:val="00CC74E0"/>
    <w:rsid w:val="00CC7559"/>
    <w:rsid w:val="00CD0F48"/>
    <w:rsid w:val="00CD11DB"/>
    <w:rsid w:val="00CD2D4F"/>
    <w:rsid w:val="00CD2ED1"/>
    <w:rsid w:val="00CD3BB0"/>
    <w:rsid w:val="00CD4ABF"/>
    <w:rsid w:val="00CD61D7"/>
    <w:rsid w:val="00CD7E8A"/>
    <w:rsid w:val="00CE06AB"/>
    <w:rsid w:val="00CE123B"/>
    <w:rsid w:val="00CE42F8"/>
    <w:rsid w:val="00CE5DE7"/>
    <w:rsid w:val="00CE661E"/>
    <w:rsid w:val="00CE6E64"/>
    <w:rsid w:val="00CE7B56"/>
    <w:rsid w:val="00CE7D48"/>
    <w:rsid w:val="00CE7DA1"/>
    <w:rsid w:val="00CE7E3B"/>
    <w:rsid w:val="00CF0750"/>
    <w:rsid w:val="00CF1DCE"/>
    <w:rsid w:val="00CF28BC"/>
    <w:rsid w:val="00CF296A"/>
    <w:rsid w:val="00CF3BC0"/>
    <w:rsid w:val="00CF3EE9"/>
    <w:rsid w:val="00CF41E7"/>
    <w:rsid w:val="00CF54D0"/>
    <w:rsid w:val="00CF57B7"/>
    <w:rsid w:val="00CF5CF4"/>
    <w:rsid w:val="00CF6C69"/>
    <w:rsid w:val="00CF79C4"/>
    <w:rsid w:val="00D03816"/>
    <w:rsid w:val="00D04676"/>
    <w:rsid w:val="00D0576F"/>
    <w:rsid w:val="00D059A3"/>
    <w:rsid w:val="00D05BFC"/>
    <w:rsid w:val="00D05D09"/>
    <w:rsid w:val="00D0660F"/>
    <w:rsid w:val="00D101F7"/>
    <w:rsid w:val="00D1030E"/>
    <w:rsid w:val="00D10685"/>
    <w:rsid w:val="00D109E5"/>
    <w:rsid w:val="00D10AE6"/>
    <w:rsid w:val="00D11285"/>
    <w:rsid w:val="00D11B70"/>
    <w:rsid w:val="00D11CCE"/>
    <w:rsid w:val="00D123B4"/>
    <w:rsid w:val="00D12948"/>
    <w:rsid w:val="00D12BE6"/>
    <w:rsid w:val="00D12D79"/>
    <w:rsid w:val="00D14EA1"/>
    <w:rsid w:val="00D152FD"/>
    <w:rsid w:val="00D1686C"/>
    <w:rsid w:val="00D2194F"/>
    <w:rsid w:val="00D21BCB"/>
    <w:rsid w:val="00D226C4"/>
    <w:rsid w:val="00D22D3E"/>
    <w:rsid w:val="00D23049"/>
    <w:rsid w:val="00D25446"/>
    <w:rsid w:val="00D30750"/>
    <w:rsid w:val="00D30EF8"/>
    <w:rsid w:val="00D31BD8"/>
    <w:rsid w:val="00D31C7B"/>
    <w:rsid w:val="00D32582"/>
    <w:rsid w:val="00D3309F"/>
    <w:rsid w:val="00D33130"/>
    <w:rsid w:val="00D3330F"/>
    <w:rsid w:val="00D33DE4"/>
    <w:rsid w:val="00D3442D"/>
    <w:rsid w:val="00D3459B"/>
    <w:rsid w:val="00D360AE"/>
    <w:rsid w:val="00D36238"/>
    <w:rsid w:val="00D3635C"/>
    <w:rsid w:val="00D36A20"/>
    <w:rsid w:val="00D37BB4"/>
    <w:rsid w:val="00D421C4"/>
    <w:rsid w:val="00D43194"/>
    <w:rsid w:val="00D432F1"/>
    <w:rsid w:val="00D43B2F"/>
    <w:rsid w:val="00D43B9E"/>
    <w:rsid w:val="00D44157"/>
    <w:rsid w:val="00D450F0"/>
    <w:rsid w:val="00D452AE"/>
    <w:rsid w:val="00D4644C"/>
    <w:rsid w:val="00D4645C"/>
    <w:rsid w:val="00D46A79"/>
    <w:rsid w:val="00D501F0"/>
    <w:rsid w:val="00D504F0"/>
    <w:rsid w:val="00D508BA"/>
    <w:rsid w:val="00D524BB"/>
    <w:rsid w:val="00D52C26"/>
    <w:rsid w:val="00D53710"/>
    <w:rsid w:val="00D54285"/>
    <w:rsid w:val="00D54982"/>
    <w:rsid w:val="00D54CE6"/>
    <w:rsid w:val="00D55294"/>
    <w:rsid w:val="00D55DF6"/>
    <w:rsid w:val="00D56278"/>
    <w:rsid w:val="00D56BFA"/>
    <w:rsid w:val="00D57A87"/>
    <w:rsid w:val="00D57D0F"/>
    <w:rsid w:val="00D60F1C"/>
    <w:rsid w:val="00D61911"/>
    <w:rsid w:val="00D624B4"/>
    <w:rsid w:val="00D641E5"/>
    <w:rsid w:val="00D64CE8"/>
    <w:rsid w:val="00D66CAB"/>
    <w:rsid w:val="00D66E89"/>
    <w:rsid w:val="00D67367"/>
    <w:rsid w:val="00D673AB"/>
    <w:rsid w:val="00D71012"/>
    <w:rsid w:val="00D711EE"/>
    <w:rsid w:val="00D71510"/>
    <w:rsid w:val="00D7200F"/>
    <w:rsid w:val="00D735B4"/>
    <w:rsid w:val="00D74C64"/>
    <w:rsid w:val="00D74CDF"/>
    <w:rsid w:val="00D75519"/>
    <w:rsid w:val="00D7587D"/>
    <w:rsid w:val="00D7641E"/>
    <w:rsid w:val="00D77414"/>
    <w:rsid w:val="00D80DA8"/>
    <w:rsid w:val="00D80DFB"/>
    <w:rsid w:val="00D81667"/>
    <w:rsid w:val="00D82239"/>
    <w:rsid w:val="00D8266C"/>
    <w:rsid w:val="00D82E04"/>
    <w:rsid w:val="00D84059"/>
    <w:rsid w:val="00D840FA"/>
    <w:rsid w:val="00D8659B"/>
    <w:rsid w:val="00D8797F"/>
    <w:rsid w:val="00D90654"/>
    <w:rsid w:val="00D92060"/>
    <w:rsid w:val="00D934AA"/>
    <w:rsid w:val="00D93E69"/>
    <w:rsid w:val="00D95432"/>
    <w:rsid w:val="00D97505"/>
    <w:rsid w:val="00D97BF7"/>
    <w:rsid w:val="00DA261D"/>
    <w:rsid w:val="00DA3683"/>
    <w:rsid w:val="00DA3F5A"/>
    <w:rsid w:val="00DA48E5"/>
    <w:rsid w:val="00DA493E"/>
    <w:rsid w:val="00DA4EF4"/>
    <w:rsid w:val="00DA591E"/>
    <w:rsid w:val="00DA72D6"/>
    <w:rsid w:val="00DA730C"/>
    <w:rsid w:val="00DB1F90"/>
    <w:rsid w:val="00DB2075"/>
    <w:rsid w:val="00DB2928"/>
    <w:rsid w:val="00DB3BF5"/>
    <w:rsid w:val="00DB5145"/>
    <w:rsid w:val="00DB6026"/>
    <w:rsid w:val="00DB64CC"/>
    <w:rsid w:val="00DC04D8"/>
    <w:rsid w:val="00DC0976"/>
    <w:rsid w:val="00DC0BAF"/>
    <w:rsid w:val="00DC0C55"/>
    <w:rsid w:val="00DC15A3"/>
    <w:rsid w:val="00DC1AC4"/>
    <w:rsid w:val="00DC1BB4"/>
    <w:rsid w:val="00DC209A"/>
    <w:rsid w:val="00DC20FB"/>
    <w:rsid w:val="00DC367C"/>
    <w:rsid w:val="00DC5C7D"/>
    <w:rsid w:val="00DC62D4"/>
    <w:rsid w:val="00DC661A"/>
    <w:rsid w:val="00DC70DC"/>
    <w:rsid w:val="00DD059C"/>
    <w:rsid w:val="00DD0EC4"/>
    <w:rsid w:val="00DD2AD0"/>
    <w:rsid w:val="00DD3E0A"/>
    <w:rsid w:val="00DD4BBA"/>
    <w:rsid w:val="00DD55FC"/>
    <w:rsid w:val="00DD615E"/>
    <w:rsid w:val="00DD6E3C"/>
    <w:rsid w:val="00DD705B"/>
    <w:rsid w:val="00DD7230"/>
    <w:rsid w:val="00DE3207"/>
    <w:rsid w:val="00DE4DC9"/>
    <w:rsid w:val="00DE5562"/>
    <w:rsid w:val="00DE761D"/>
    <w:rsid w:val="00DF0174"/>
    <w:rsid w:val="00DF061C"/>
    <w:rsid w:val="00DF1699"/>
    <w:rsid w:val="00DF21B2"/>
    <w:rsid w:val="00DF36B1"/>
    <w:rsid w:val="00DF375E"/>
    <w:rsid w:val="00DF5C8D"/>
    <w:rsid w:val="00DF6655"/>
    <w:rsid w:val="00DF68B6"/>
    <w:rsid w:val="00DF7B88"/>
    <w:rsid w:val="00E00896"/>
    <w:rsid w:val="00E01D18"/>
    <w:rsid w:val="00E02C21"/>
    <w:rsid w:val="00E04778"/>
    <w:rsid w:val="00E04E83"/>
    <w:rsid w:val="00E05009"/>
    <w:rsid w:val="00E06236"/>
    <w:rsid w:val="00E0666B"/>
    <w:rsid w:val="00E06A50"/>
    <w:rsid w:val="00E1253D"/>
    <w:rsid w:val="00E14621"/>
    <w:rsid w:val="00E147FD"/>
    <w:rsid w:val="00E15085"/>
    <w:rsid w:val="00E15C00"/>
    <w:rsid w:val="00E1775E"/>
    <w:rsid w:val="00E208AC"/>
    <w:rsid w:val="00E20EFB"/>
    <w:rsid w:val="00E225E5"/>
    <w:rsid w:val="00E22610"/>
    <w:rsid w:val="00E22643"/>
    <w:rsid w:val="00E2308F"/>
    <w:rsid w:val="00E2341C"/>
    <w:rsid w:val="00E253D6"/>
    <w:rsid w:val="00E267A2"/>
    <w:rsid w:val="00E268E6"/>
    <w:rsid w:val="00E26B48"/>
    <w:rsid w:val="00E27881"/>
    <w:rsid w:val="00E27DCE"/>
    <w:rsid w:val="00E31797"/>
    <w:rsid w:val="00E34EC6"/>
    <w:rsid w:val="00E361F7"/>
    <w:rsid w:val="00E364A7"/>
    <w:rsid w:val="00E37733"/>
    <w:rsid w:val="00E378DA"/>
    <w:rsid w:val="00E409BB"/>
    <w:rsid w:val="00E412FC"/>
    <w:rsid w:val="00E41E42"/>
    <w:rsid w:val="00E42662"/>
    <w:rsid w:val="00E4427B"/>
    <w:rsid w:val="00E4430F"/>
    <w:rsid w:val="00E443D1"/>
    <w:rsid w:val="00E44AD3"/>
    <w:rsid w:val="00E44DC4"/>
    <w:rsid w:val="00E4666B"/>
    <w:rsid w:val="00E46EEE"/>
    <w:rsid w:val="00E4764C"/>
    <w:rsid w:val="00E50CF4"/>
    <w:rsid w:val="00E52AE2"/>
    <w:rsid w:val="00E57A95"/>
    <w:rsid w:val="00E57AC8"/>
    <w:rsid w:val="00E60745"/>
    <w:rsid w:val="00E62044"/>
    <w:rsid w:val="00E62BD7"/>
    <w:rsid w:val="00E62F49"/>
    <w:rsid w:val="00E639D6"/>
    <w:rsid w:val="00E64229"/>
    <w:rsid w:val="00E643F1"/>
    <w:rsid w:val="00E654D2"/>
    <w:rsid w:val="00E658A4"/>
    <w:rsid w:val="00E65E4D"/>
    <w:rsid w:val="00E67162"/>
    <w:rsid w:val="00E67B74"/>
    <w:rsid w:val="00E67E4C"/>
    <w:rsid w:val="00E722A5"/>
    <w:rsid w:val="00E723EF"/>
    <w:rsid w:val="00E73084"/>
    <w:rsid w:val="00E73130"/>
    <w:rsid w:val="00E7383A"/>
    <w:rsid w:val="00E74721"/>
    <w:rsid w:val="00E74BB4"/>
    <w:rsid w:val="00E7510E"/>
    <w:rsid w:val="00E75263"/>
    <w:rsid w:val="00E75687"/>
    <w:rsid w:val="00E75AA8"/>
    <w:rsid w:val="00E75D13"/>
    <w:rsid w:val="00E7676D"/>
    <w:rsid w:val="00E76903"/>
    <w:rsid w:val="00E76E93"/>
    <w:rsid w:val="00E77FCF"/>
    <w:rsid w:val="00E80308"/>
    <w:rsid w:val="00E80F10"/>
    <w:rsid w:val="00E82A6A"/>
    <w:rsid w:val="00E82FEC"/>
    <w:rsid w:val="00E83922"/>
    <w:rsid w:val="00E83BC1"/>
    <w:rsid w:val="00E843A4"/>
    <w:rsid w:val="00E84CB3"/>
    <w:rsid w:val="00E87B62"/>
    <w:rsid w:val="00E902EA"/>
    <w:rsid w:val="00E906B7"/>
    <w:rsid w:val="00E907B9"/>
    <w:rsid w:val="00E91749"/>
    <w:rsid w:val="00E91C6C"/>
    <w:rsid w:val="00E95EC0"/>
    <w:rsid w:val="00E970DD"/>
    <w:rsid w:val="00E97C9E"/>
    <w:rsid w:val="00EA0B4D"/>
    <w:rsid w:val="00EA15D0"/>
    <w:rsid w:val="00EA1ECA"/>
    <w:rsid w:val="00EA1FDD"/>
    <w:rsid w:val="00EA4F67"/>
    <w:rsid w:val="00EA509C"/>
    <w:rsid w:val="00EA619F"/>
    <w:rsid w:val="00EB0838"/>
    <w:rsid w:val="00EB2D93"/>
    <w:rsid w:val="00EB2E5A"/>
    <w:rsid w:val="00EB48CE"/>
    <w:rsid w:val="00EB48F0"/>
    <w:rsid w:val="00EB4D26"/>
    <w:rsid w:val="00EB5606"/>
    <w:rsid w:val="00EC03CD"/>
    <w:rsid w:val="00EC0C1F"/>
    <w:rsid w:val="00EC1B81"/>
    <w:rsid w:val="00EC3F19"/>
    <w:rsid w:val="00EC4090"/>
    <w:rsid w:val="00EC4BD7"/>
    <w:rsid w:val="00EC7A3A"/>
    <w:rsid w:val="00ED0DF6"/>
    <w:rsid w:val="00ED1217"/>
    <w:rsid w:val="00ED271A"/>
    <w:rsid w:val="00ED2C95"/>
    <w:rsid w:val="00ED3350"/>
    <w:rsid w:val="00ED40AB"/>
    <w:rsid w:val="00ED540D"/>
    <w:rsid w:val="00ED6323"/>
    <w:rsid w:val="00ED6D7D"/>
    <w:rsid w:val="00ED70C8"/>
    <w:rsid w:val="00EE0216"/>
    <w:rsid w:val="00EE1356"/>
    <w:rsid w:val="00EE2799"/>
    <w:rsid w:val="00EE2DC3"/>
    <w:rsid w:val="00EE5E6E"/>
    <w:rsid w:val="00EE5EA7"/>
    <w:rsid w:val="00EE7D2D"/>
    <w:rsid w:val="00EF22B4"/>
    <w:rsid w:val="00EF2736"/>
    <w:rsid w:val="00EF307E"/>
    <w:rsid w:val="00EF3280"/>
    <w:rsid w:val="00EF32F6"/>
    <w:rsid w:val="00EF35C2"/>
    <w:rsid w:val="00EF5268"/>
    <w:rsid w:val="00EF61CA"/>
    <w:rsid w:val="00EF7E8E"/>
    <w:rsid w:val="00F008CE"/>
    <w:rsid w:val="00F00B44"/>
    <w:rsid w:val="00F00B85"/>
    <w:rsid w:val="00F0180D"/>
    <w:rsid w:val="00F01899"/>
    <w:rsid w:val="00F019C8"/>
    <w:rsid w:val="00F023E9"/>
    <w:rsid w:val="00F03548"/>
    <w:rsid w:val="00F0626F"/>
    <w:rsid w:val="00F0743A"/>
    <w:rsid w:val="00F101E9"/>
    <w:rsid w:val="00F10A99"/>
    <w:rsid w:val="00F12258"/>
    <w:rsid w:val="00F12546"/>
    <w:rsid w:val="00F12938"/>
    <w:rsid w:val="00F13E9B"/>
    <w:rsid w:val="00F15884"/>
    <w:rsid w:val="00F15A7F"/>
    <w:rsid w:val="00F15B03"/>
    <w:rsid w:val="00F15BCC"/>
    <w:rsid w:val="00F165DC"/>
    <w:rsid w:val="00F1671C"/>
    <w:rsid w:val="00F206A9"/>
    <w:rsid w:val="00F207A0"/>
    <w:rsid w:val="00F21F65"/>
    <w:rsid w:val="00F2231D"/>
    <w:rsid w:val="00F2611D"/>
    <w:rsid w:val="00F27BE0"/>
    <w:rsid w:val="00F3124E"/>
    <w:rsid w:val="00F34350"/>
    <w:rsid w:val="00F344C5"/>
    <w:rsid w:val="00F352D6"/>
    <w:rsid w:val="00F37C65"/>
    <w:rsid w:val="00F404E5"/>
    <w:rsid w:val="00F40D37"/>
    <w:rsid w:val="00F41951"/>
    <w:rsid w:val="00F42168"/>
    <w:rsid w:val="00F440CA"/>
    <w:rsid w:val="00F444F6"/>
    <w:rsid w:val="00F45065"/>
    <w:rsid w:val="00F45F99"/>
    <w:rsid w:val="00F464FA"/>
    <w:rsid w:val="00F500BA"/>
    <w:rsid w:val="00F502EB"/>
    <w:rsid w:val="00F5077E"/>
    <w:rsid w:val="00F50799"/>
    <w:rsid w:val="00F5199D"/>
    <w:rsid w:val="00F52562"/>
    <w:rsid w:val="00F52876"/>
    <w:rsid w:val="00F52E95"/>
    <w:rsid w:val="00F538E5"/>
    <w:rsid w:val="00F53FA8"/>
    <w:rsid w:val="00F54CEC"/>
    <w:rsid w:val="00F5522C"/>
    <w:rsid w:val="00F554D4"/>
    <w:rsid w:val="00F56C04"/>
    <w:rsid w:val="00F56E34"/>
    <w:rsid w:val="00F57259"/>
    <w:rsid w:val="00F60C3F"/>
    <w:rsid w:val="00F61606"/>
    <w:rsid w:val="00F62199"/>
    <w:rsid w:val="00F63065"/>
    <w:rsid w:val="00F6517D"/>
    <w:rsid w:val="00F65B45"/>
    <w:rsid w:val="00F67169"/>
    <w:rsid w:val="00F672A7"/>
    <w:rsid w:val="00F7000A"/>
    <w:rsid w:val="00F70625"/>
    <w:rsid w:val="00F71C80"/>
    <w:rsid w:val="00F72173"/>
    <w:rsid w:val="00F72A4F"/>
    <w:rsid w:val="00F7315C"/>
    <w:rsid w:val="00F76880"/>
    <w:rsid w:val="00F770CA"/>
    <w:rsid w:val="00F77844"/>
    <w:rsid w:val="00F77E4C"/>
    <w:rsid w:val="00F80782"/>
    <w:rsid w:val="00F80A5A"/>
    <w:rsid w:val="00F80B76"/>
    <w:rsid w:val="00F80FAF"/>
    <w:rsid w:val="00F81CA6"/>
    <w:rsid w:val="00F82391"/>
    <w:rsid w:val="00F82530"/>
    <w:rsid w:val="00F83312"/>
    <w:rsid w:val="00F83DE1"/>
    <w:rsid w:val="00F84643"/>
    <w:rsid w:val="00F86102"/>
    <w:rsid w:val="00F868A0"/>
    <w:rsid w:val="00F86C43"/>
    <w:rsid w:val="00F905B7"/>
    <w:rsid w:val="00F90916"/>
    <w:rsid w:val="00F90B35"/>
    <w:rsid w:val="00F90ED3"/>
    <w:rsid w:val="00F91703"/>
    <w:rsid w:val="00F91E8B"/>
    <w:rsid w:val="00F94740"/>
    <w:rsid w:val="00F94CBA"/>
    <w:rsid w:val="00F94E28"/>
    <w:rsid w:val="00F96122"/>
    <w:rsid w:val="00FA028E"/>
    <w:rsid w:val="00FA0A95"/>
    <w:rsid w:val="00FA14DF"/>
    <w:rsid w:val="00FA241D"/>
    <w:rsid w:val="00FA3F61"/>
    <w:rsid w:val="00FA456F"/>
    <w:rsid w:val="00FA584E"/>
    <w:rsid w:val="00FA646A"/>
    <w:rsid w:val="00FA6EC0"/>
    <w:rsid w:val="00FB0452"/>
    <w:rsid w:val="00FB104D"/>
    <w:rsid w:val="00FB18E4"/>
    <w:rsid w:val="00FB18E6"/>
    <w:rsid w:val="00FB22EC"/>
    <w:rsid w:val="00FB3CF0"/>
    <w:rsid w:val="00FB5428"/>
    <w:rsid w:val="00FB5570"/>
    <w:rsid w:val="00FB6AF0"/>
    <w:rsid w:val="00FB74CA"/>
    <w:rsid w:val="00FC0A14"/>
    <w:rsid w:val="00FC22E6"/>
    <w:rsid w:val="00FC289E"/>
    <w:rsid w:val="00FC3504"/>
    <w:rsid w:val="00FC3B06"/>
    <w:rsid w:val="00FC4084"/>
    <w:rsid w:val="00FC4B5D"/>
    <w:rsid w:val="00FC519B"/>
    <w:rsid w:val="00FC548F"/>
    <w:rsid w:val="00FC596B"/>
    <w:rsid w:val="00FC5D67"/>
    <w:rsid w:val="00FC6826"/>
    <w:rsid w:val="00FC6A66"/>
    <w:rsid w:val="00FC6B6D"/>
    <w:rsid w:val="00FC6E16"/>
    <w:rsid w:val="00FC742A"/>
    <w:rsid w:val="00FC7BFD"/>
    <w:rsid w:val="00FC7F7E"/>
    <w:rsid w:val="00FD0A29"/>
    <w:rsid w:val="00FD3B66"/>
    <w:rsid w:val="00FD40BB"/>
    <w:rsid w:val="00FD447D"/>
    <w:rsid w:val="00FD4C7C"/>
    <w:rsid w:val="00FD521D"/>
    <w:rsid w:val="00FD5245"/>
    <w:rsid w:val="00FD526A"/>
    <w:rsid w:val="00FD6596"/>
    <w:rsid w:val="00FE15A5"/>
    <w:rsid w:val="00FE167E"/>
    <w:rsid w:val="00FE173B"/>
    <w:rsid w:val="00FE1E2C"/>
    <w:rsid w:val="00FE2117"/>
    <w:rsid w:val="00FE290F"/>
    <w:rsid w:val="00FE3224"/>
    <w:rsid w:val="00FE3858"/>
    <w:rsid w:val="00FE3F97"/>
    <w:rsid w:val="00FE4214"/>
    <w:rsid w:val="00FE6DA2"/>
    <w:rsid w:val="00FE6ED3"/>
    <w:rsid w:val="00FF047F"/>
    <w:rsid w:val="00FF0BDD"/>
    <w:rsid w:val="00FF1220"/>
    <w:rsid w:val="00FF1913"/>
    <w:rsid w:val="00FF2722"/>
    <w:rsid w:val="00FF3EDE"/>
    <w:rsid w:val="00FF489F"/>
    <w:rsid w:val="00FF4A8C"/>
    <w:rsid w:val="00FF51CD"/>
    <w:rsid w:val="00FF5431"/>
    <w:rsid w:val="00FF57D4"/>
    <w:rsid w:val="00FF628B"/>
    <w:rsid w:val="00FF6548"/>
    <w:rsid w:val="00FF6970"/>
    <w:rsid w:val="00FF700A"/>
    <w:rsid w:val="00FF7803"/>
    <w:rsid w:val="00FF7874"/>
    <w:rsid w:val="00FF7C3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style="mso-position-horizontal-relative:margin;mso-position-vertical-relative:margin;mso-width-relative:margin;mso-height-relative:margin" o:allowincell="f" fillcolor="none [671]" strokecolor="none [3204]">
      <v:fill color="none [671]"/>
      <v:stroke color="none [3204]"/>
      <v:shadow on="t" type="perspective" color="none [2412]" opacity=".5" origin="-.5,-.5" offset="51pt,-10pt" offset2="114pt,-8pt" matrix=".75,,,.75"/>
      <v:textbox inset="18pt,18pt,18pt,18pt"/>
    </o:shapedefaults>
    <o:shapelayout v:ext="edit">
      <o:idmap v:ext="edit" data="1"/>
    </o:shapelayout>
  </w:shapeDefaults>
  <w:decimalSymbol w:val="."/>
  <w:listSeparator w:val=","/>
  <w14:docId w14:val="192A0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0" w:defQFormat="0" w:count="267">
    <w:lsdException w:name="Normal" w:semiHidden="0"/>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99" w:unhideWhenUsed="1" w:qFormat="1"/>
    <w:lsdException w:name="annotation text" w:unhideWhenUsed="1"/>
    <w:lsdException w:name="header" w:unhideWhenUsed="1"/>
    <w:lsdException w:name="footer" w:uiPriority="99" w:unhideWhenUsed="1"/>
    <w:lsdException w:name="index heading" w:unhideWhenUsed="1"/>
    <w:lsdException w:name="caption" w:unhideWhenUsed="1"/>
    <w:lsdException w:name="table of figures" w:uiPriority="99"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rsid w:val="00247438"/>
    <w:pPr>
      <w:spacing w:after="120"/>
    </w:pPr>
    <w:rPr>
      <w:rFonts w:ascii="Arial" w:hAnsi="Arial"/>
      <w:sz w:val="22"/>
      <w:lang w:eastAsia="en-US"/>
    </w:rPr>
  </w:style>
  <w:style w:type="paragraph" w:styleId="Heading1">
    <w:name w:val="heading 1"/>
    <w:basedOn w:val="Normal"/>
    <w:next w:val="Normal"/>
    <w:link w:val="Heading1Char"/>
    <w:uiPriority w:val="9"/>
    <w:qFormat/>
    <w:rsid w:val="002028A6"/>
    <w:pPr>
      <w:keepNext/>
      <w:keepLines/>
      <w:spacing w:before="120"/>
      <w:ind w:left="851" w:hanging="851"/>
      <w:outlineLvl w:val="0"/>
    </w:pPr>
    <w:rPr>
      <w:rFonts w:cs="Arial"/>
      <w:b/>
      <w:bCs/>
      <w:color w:val="76923C"/>
      <w:sz w:val="24"/>
      <w:szCs w:val="28"/>
    </w:rPr>
  </w:style>
  <w:style w:type="paragraph" w:styleId="Heading2">
    <w:name w:val="heading 2"/>
    <w:basedOn w:val="Heading1"/>
    <w:next w:val="Normal"/>
    <w:link w:val="Heading2Char"/>
    <w:uiPriority w:val="9"/>
    <w:qFormat/>
    <w:rsid w:val="002028A6"/>
    <w:pPr>
      <w:tabs>
        <w:tab w:val="left" w:pos="851"/>
      </w:tabs>
      <w:ind w:left="0" w:firstLine="0"/>
      <w:outlineLvl w:val="1"/>
    </w:pPr>
    <w:rPr>
      <w:sz w:val="22"/>
    </w:rPr>
  </w:style>
  <w:style w:type="paragraph" w:styleId="Heading3">
    <w:name w:val="heading 3"/>
    <w:basedOn w:val="Heading2"/>
    <w:next w:val="Normal"/>
    <w:link w:val="Heading3Char"/>
    <w:uiPriority w:val="9"/>
    <w:qFormat/>
    <w:rsid w:val="000B198F"/>
    <w:pPr>
      <w:numPr>
        <w:ilvl w:val="2"/>
      </w:numPr>
      <w:tabs>
        <w:tab w:val="left" w:pos="284"/>
      </w:tabs>
      <w:ind w:left="851" w:hanging="851"/>
      <w:outlineLvl w:val="2"/>
    </w:pPr>
  </w:style>
  <w:style w:type="paragraph" w:styleId="Heading4">
    <w:name w:val="heading 4"/>
    <w:basedOn w:val="Heading3"/>
    <w:next w:val="Normal"/>
    <w:link w:val="Heading4Char"/>
    <w:uiPriority w:val="99"/>
    <w:qFormat/>
    <w:rsid w:val="000B198F"/>
    <w:pPr>
      <w:numPr>
        <w:ilvl w:val="3"/>
      </w:numPr>
      <w:ind w:left="851" w:hanging="851"/>
      <w:outlineLvl w:val="3"/>
    </w:pPr>
    <w:rPr>
      <w:rFonts w:cs="Cambria"/>
      <w:iCs/>
      <w:sz w:val="20"/>
    </w:rPr>
  </w:style>
  <w:style w:type="paragraph" w:styleId="Heading5">
    <w:name w:val="heading 5"/>
    <w:basedOn w:val="Normal"/>
    <w:next w:val="Normal"/>
    <w:link w:val="Heading5Char"/>
    <w:qFormat/>
    <w:rsid w:val="0031701A"/>
    <w:pPr>
      <w:keepNext/>
      <w:keepLines/>
      <w:spacing w:before="200" w:after="0"/>
      <w:outlineLvl w:val="4"/>
    </w:pPr>
    <w:rPr>
      <w:rFonts w:ascii="Cambria" w:hAnsi="Cambria"/>
      <w:color w:val="3B491E"/>
    </w:rPr>
  </w:style>
  <w:style w:type="paragraph" w:styleId="Heading6">
    <w:name w:val="heading 6"/>
    <w:basedOn w:val="Normal"/>
    <w:next w:val="Normal"/>
    <w:link w:val="Heading6Char"/>
    <w:qFormat/>
    <w:rsid w:val="0031701A"/>
    <w:pPr>
      <w:keepNext/>
      <w:keepLines/>
      <w:spacing w:before="200" w:after="0"/>
      <w:outlineLvl w:val="5"/>
    </w:pPr>
    <w:rPr>
      <w:rFonts w:ascii="Cambria" w:hAnsi="Cambria"/>
      <w:i/>
      <w:iCs/>
      <w:color w:val="3B491E"/>
    </w:rPr>
  </w:style>
  <w:style w:type="paragraph" w:styleId="Heading7">
    <w:name w:val="heading 7"/>
    <w:basedOn w:val="Normal"/>
    <w:next w:val="Normal"/>
    <w:link w:val="Heading7Char"/>
    <w:qFormat/>
    <w:rsid w:val="0031701A"/>
    <w:pPr>
      <w:keepNext/>
      <w:keepLines/>
      <w:spacing w:before="200" w:after="0"/>
      <w:outlineLvl w:val="6"/>
    </w:pPr>
    <w:rPr>
      <w:rFonts w:ascii="Cambria" w:hAnsi="Cambria"/>
      <w:i/>
      <w:iCs/>
      <w:color w:val="404040"/>
      <w:sz w:val="20"/>
    </w:rPr>
  </w:style>
  <w:style w:type="paragraph" w:styleId="Heading8">
    <w:name w:val="heading 8"/>
    <w:basedOn w:val="Normal"/>
    <w:next w:val="Normal"/>
    <w:link w:val="Heading8Char"/>
    <w:qFormat/>
    <w:rsid w:val="0031701A"/>
    <w:pPr>
      <w:keepNext/>
      <w:keepLines/>
      <w:spacing w:before="200" w:after="0"/>
      <w:outlineLvl w:val="7"/>
    </w:pPr>
    <w:rPr>
      <w:rFonts w:ascii="Cambria" w:hAnsi="Cambria"/>
      <w:color w:val="363636"/>
      <w:sz w:val="20"/>
      <w:szCs w:val="20"/>
    </w:rPr>
  </w:style>
  <w:style w:type="paragraph" w:styleId="Heading9">
    <w:name w:val="heading 9"/>
    <w:basedOn w:val="Normal"/>
    <w:next w:val="Normal"/>
    <w:link w:val="Heading9Char"/>
    <w:qFormat/>
    <w:rsid w:val="0031701A"/>
    <w:pPr>
      <w:keepNext/>
      <w:keepLines/>
      <w:spacing w:before="200" w:after="0"/>
      <w:outlineLvl w:val="8"/>
    </w:pPr>
    <w:rPr>
      <w:rFonts w:ascii="Cambria" w:hAnsi="Cambria"/>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qFormat/>
    <w:rsid w:val="006410B5"/>
    <w:rPr>
      <w:rFonts w:ascii="Tahoma" w:hAnsi="Tahoma" w:cs="Tahoma"/>
      <w:sz w:val="16"/>
      <w:szCs w:val="16"/>
    </w:rPr>
  </w:style>
  <w:style w:type="character" w:customStyle="1" w:styleId="BalloonTextChar">
    <w:name w:val="Balloon Text Char"/>
    <w:basedOn w:val="DefaultParagraphFont"/>
    <w:uiPriority w:val="99"/>
    <w:semiHidden/>
    <w:rsid w:val="002518C5"/>
    <w:rPr>
      <w:rFonts w:ascii="Lucida Grande" w:hAnsi="Lucida Grande"/>
      <w:sz w:val="18"/>
      <w:szCs w:val="18"/>
    </w:rPr>
  </w:style>
  <w:style w:type="character" w:customStyle="1" w:styleId="BalloonTextChar13">
    <w:name w:val="Balloon Text Char13"/>
    <w:basedOn w:val="DefaultParagraphFont"/>
    <w:uiPriority w:val="99"/>
    <w:semiHidden/>
    <w:rsid w:val="002518C5"/>
    <w:rPr>
      <w:rFonts w:ascii="Lucida Grande" w:hAnsi="Lucida Grande"/>
      <w:sz w:val="18"/>
      <w:szCs w:val="18"/>
    </w:rPr>
  </w:style>
  <w:style w:type="character" w:customStyle="1" w:styleId="BalloonTextChar12">
    <w:name w:val="Balloon Text Char12"/>
    <w:basedOn w:val="DefaultParagraphFont"/>
    <w:uiPriority w:val="99"/>
    <w:semiHidden/>
    <w:rsid w:val="0011160A"/>
    <w:rPr>
      <w:rFonts w:ascii="Lucida Grande" w:hAnsi="Lucida Grande"/>
      <w:sz w:val="18"/>
      <w:szCs w:val="18"/>
    </w:rPr>
  </w:style>
  <w:style w:type="character" w:customStyle="1" w:styleId="BalloonTextChar11">
    <w:name w:val="Balloon Text Char11"/>
    <w:basedOn w:val="DefaultParagraphFont"/>
    <w:uiPriority w:val="99"/>
    <w:semiHidden/>
    <w:rsid w:val="0011160A"/>
    <w:rPr>
      <w:rFonts w:ascii="Lucida Grande" w:hAnsi="Lucida Grande"/>
      <w:sz w:val="18"/>
      <w:szCs w:val="18"/>
    </w:rPr>
  </w:style>
  <w:style w:type="character" w:customStyle="1" w:styleId="BalloonTextChar10">
    <w:name w:val="Balloon Text Char10"/>
    <w:basedOn w:val="DefaultParagraphFont"/>
    <w:uiPriority w:val="99"/>
    <w:semiHidden/>
    <w:rsid w:val="0011160A"/>
    <w:rPr>
      <w:rFonts w:ascii="Lucida Grande" w:hAnsi="Lucida Grande"/>
      <w:sz w:val="18"/>
      <w:szCs w:val="18"/>
    </w:rPr>
  </w:style>
  <w:style w:type="character" w:customStyle="1" w:styleId="BalloonTextChar9">
    <w:name w:val="Balloon Text Char9"/>
    <w:basedOn w:val="DefaultParagraphFont"/>
    <w:uiPriority w:val="99"/>
    <w:semiHidden/>
    <w:rsid w:val="0011160A"/>
    <w:rPr>
      <w:rFonts w:ascii="Lucida Grande" w:hAnsi="Lucida Grande"/>
      <w:sz w:val="18"/>
      <w:szCs w:val="18"/>
    </w:rPr>
  </w:style>
  <w:style w:type="character" w:customStyle="1" w:styleId="BalloonTextChar8">
    <w:name w:val="Balloon Text Char8"/>
    <w:basedOn w:val="DefaultParagraphFont"/>
    <w:uiPriority w:val="99"/>
    <w:semiHidden/>
    <w:rsid w:val="00D974F7"/>
    <w:rPr>
      <w:rFonts w:ascii="Lucida Grande" w:hAnsi="Lucida Grande"/>
      <w:sz w:val="18"/>
      <w:szCs w:val="18"/>
    </w:rPr>
  </w:style>
  <w:style w:type="character" w:customStyle="1" w:styleId="BalloonTextChar7">
    <w:name w:val="Balloon Text Char7"/>
    <w:basedOn w:val="DefaultParagraphFont"/>
    <w:uiPriority w:val="99"/>
    <w:semiHidden/>
    <w:rsid w:val="00D974F7"/>
    <w:rPr>
      <w:rFonts w:ascii="Lucida Grande" w:hAnsi="Lucida Grande"/>
      <w:sz w:val="18"/>
      <w:szCs w:val="18"/>
    </w:rPr>
  </w:style>
  <w:style w:type="character" w:customStyle="1" w:styleId="BalloonTextChar6">
    <w:name w:val="Balloon Text Char6"/>
    <w:basedOn w:val="DefaultParagraphFont"/>
    <w:uiPriority w:val="99"/>
    <w:semiHidden/>
    <w:rsid w:val="00D974F7"/>
    <w:rPr>
      <w:rFonts w:ascii="Lucida Grande" w:hAnsi="Lucida Grande"/>
      <w:sz w:val="18"/>
      <w:szCs w:val="18"/>
    </w:rPr>
  </w:style>
  <w:style w:type="character" w:customStyle="1" w:styleId="BalloonTextChar5">
    <w:name w:val="Balloon Text Char5"/>
    <w:basedOn w:val="DefaultParagraphFont"/>
    <w:uiPriority w:val="99"/>
    <w:semiHidden/>
    <w:rsid w:val="00D974F7"/>
    <w:rPr>
      <w:rFonts w:ascii="Lucida Grande" w:hAnsi="Lucida Grande"/>
      <w:sz w:val="18"/>
      <w:szCs w:val="18"/>
    </w:rPr>
  </w:style>
  <w:style w:type="character" w:customStyle="1" w:styleId="BalloonTextChar4">
    <w:name w:val="Balloon Text Char4"/>
    <w:basedOn w:val="DefaultParagraphFont"/>
    <w:uiPriority w:val="99"/>
    <w:semiHidden/>
    <w:rsid w:val="00975F5B"/>
    <w:rPr>
      <w:rFonts w:ascii="Lucida Grande" w:hAnsi="Lucida Grande"/>
      <w:sz w:val="18"/>
      <w:szCs w:val="18"/>
    </w:rPr>
  </w:style>
  <w:style w:type="character" w:customStyle="1" w:styleId="BalloonTextChar3">
    <w:name w:val="Balloon Text Char3"/>
    <w:basedOn w:val="DefaultParagraphFont"/>
    <w:uiPriority w:val="99"/>
    <w:semiHidden/>
    <w:rsid w:val="00652F60"/>
    <w:rPr>
      <w:rFonts w:ascii="Lucida Grande" w:hAnsi="Lucida Grande"/>
      <w:sz w:val="18"/>
      <w:szCs w:val="18"/>
    </w:rPr>
  </w:style>
  <w:style w:type="character" w:customStyle="1" w:styleId="BalloonTextChar2">
    <w:name w:val="Balloon Text Char2"/>
    <w:basedOn w:val="DefaultParagraphFont"/>
    <w:uiPriority w:val="99"/>
    <w:semiHidden/>
    <w:rsid w:val="0054406F"/>
    <w:rPr>
      <w:rFonts w:ascii="Lucida Grande" w:hAnsi="Lucida Grande"/>
      <w:sz w:val="18"/>
      <w:szCs w:val="18"/>
    </w:rPr>
  </w:style>
  <w:style w:type="character" w:customStyle="1" w:styleId="Heading1Char">
    <w:name w:val="Heading 1 Char"/>
    <w:basedOn w:val="DefaultParagraphFont"/>
    <w:link w:val="Heading1"/>
    <w:uiPriority w:val="9"/>
    <w:locked/>
    <w:rsid w:val="002028A6"/>
    <w:rPr>
      <w:rFonts w:ascii="Arial" w:hAnsi="Arial" w:cs="Arial"/>
      <w:b/>
      <w:bCs/>
      <w:color w:val="76923C"/>
      <w:szCs w:val="28"/>
      <w:lang w:eastAsia="en-US"/>
    </w:rPr>
  </w:style>
  <w:style w:type="character" w:customStyle="1" w:styleId="Heading2Char">
    <w:name w:val="Heading 2 Char"/>
    <w:basedOn w:val="DefaultParagraphFont"/>
    <w:link w:val="Heading2"/>
    <w:uiPriority w:val="9"/>
    <w:locked/>
    <w:rsid w:val="002028A6"/>
    <w:rPr>
      <w:rFonts w:ascii="Arial" w:hAnsi="Arial" w:cs="Arial"/>
      <w:b/>
      <w:bCs/>
      <w:color w:val="76923C"/>
      <w:sz w:val="22"/>
      <w:szCs w:val="28"/>
      <w:lang w:eastAsia="en-US"/>
    </w:rPr>
  </w:style>
  <w:style w:type="character" w:customStyle="1" w:styleId="Heading3Char">
    <w:name w:val="Heading 3 Char"/>
    <w:basedOn w:val="DefaultParagraphFont"/>
    <w:link w:val="Heading3"/>
    <w:uiPriority w:val="9"/>
    <w:locked/>
    <w:rsid w:val="000B198F"/>
    <w:rPr>
      <w:rFonts w:ascii="Arial" w:hAnsi="Arial" w:cs="Arial"/>
      <w:b/>
      <w:bCs/>
      <w:color w:val="76923C"/>
      <w:sz w:val="22"/>
      <w:szCs w:val="28"/>
      <w:lang w:eastAsia="en-US"/>
    </w:rPr>
  </w:style>
  <w:style w:type="character" w:customStyle="1" w:styleId="Heading4Char">
    <w:name w:val="Heading 4 Char"/>
    <w:basedOn w:val="DefaultParagraphFont"/>
    <w:link w:val="Heading4"/>
    <w:uiPriority w:val="99"/>
    <w:locked/>
    <w:rsid w:val="000B198F"/>
    <w:rPr>
      <w:rFonts w:ascii="Arial" w:hAnsi="Arial" w:cs="Cambria"/>
      <w:b/>
      <w:bCs/>
      <w:iCs/>
      <w:color w:val="76923C"/>
      <w:sz w:val="20"/>
      <w:szCs w:val="28"/>
      <w:lang w:eastAsia="en-US"/>
    </w:rPr>
  </w:style>
  <w:style w:type="character" w:customStyle="1" w:styleId="Heading5Char">
    <w:name w:val="Heading 5 Char"/>
    <w:basedOn w:val="DefaultParagraphFont"/>
    <w:link w:val="Heading5"/>
    <w:rsid w:val="000B198F"/>
    <w:rPr>
      <w:rFonts w:ascii="Cambria" w:hAnsi="Cambria"/>
      <w:color w:val="3B491E"/>
      <w:sz w:val="22"/>
      <w:szCs w:val="24"/>
      <w:lang w:eastAsia="en-US"/>
    </w:rPr>
  </w:style>
  <w:style w:type="character" w:customStyle="1" w:styleId="Heading6Char">
    <w:name w:val="Heading 6 Char"/>
    <w:basedOn w:val="DefaultParagraphFont"/>
    <w:link w:val="Heading6"/>
    <w:rsid w:val="000B198F"/>
    <w:rPr>
      <w:rFonts w:ascii="Cambria" w:hAnsi="Cambria"/>
      <w:i/>
      <w:iCs/>
      <w:color w:val="3B491E"/>
      <w:sz w:val="22"/>
      <w:szCs w:val="24"/>
      <w:lang w:eastAsia="en-US"/>
    </w:rPr>
  </w:style>
  <w:style w:type="character" w:customStyle="1" w:styleId="Heading7Char">
    <w:name w:val="Heading 7 Char"/>
    <w:link w:val="Heading7"/>
    <w:rsid w:val="000B198F"/>
    <w:rPr>
      <w:rFonts w:ascii="Cambria" w:hAnsi="Cambria"/>
      <w:i/>
      <w:iCs/>
      <w:color w:val="404040"/>
      <w:szCs w:val="24"/>
      <w:lang w:eastAsia="en-US"/>
    </w:rPr>
  </w:style>
  <w:style w:type="character" w:customStyle="1" w:styleId="Heading8Char">
    <w:name w:val="Heading 8 Char"/>
    <w:basedOn w:val="DefaultParagraphFont"/>
    <w:link w:val="Heading8"/>
    <w:rsid w:val="000B198F"/>
    <w:rPr>
      <w:rFonts w:ascii="Cambria" w:hAnsi="Cambria"/>
      <w:color w:val="363636"/>
      <w:lang w:eastAsia="en-US"/>
    </w:rPr>
  </w:style>
  <w:style w:type="character" w:customStyle="1" w:styleId="Heading9Char">
    <w:name w:val="Heading 9 Char"/>
    <w:basedOn w:val="DefaultParagraphFont"/>
    <w:link w:val="Heading9"/>
    <w:rsid w:val="000B198F"/>
    <w:rPr>
      <w:rFonts w:ascii="Cambria" w:hAnsi="Cambria"/>
      <w:i/>
      <w:iCs/>
      <w:color w:val="363636"/>
      <w:lang w:eastAsia="en-US"/>
    </w:rPr>
  </w:style>
  <w:style w:type="character" w:customStyle="1" w:styleId="BalloonTextChar1">
    <w:name w:val="Balloon Text Char1"/>
    <w:basedOn w:val="DefaultParagraphFont"/>
    <w:link w:val="BalloonText"/>
    <w:uiPriority w:val="99"/>
    <w:locked/>
    <w:rsid w:val="006410B5"/>
    <w:rPr>
      <w:rFonts w:ascii="Tahoma" w:hAnsi="Tahoma" w:cs="Tahoma"/>
      <w:sz w:val="16"/>
      <w:szCs w:val="16"/>
      <w:lang w:eastAsia="en-US"/>
    </w:rPr>
  </w:style>
  <w:style w:type="paragraph" w:customStyle="1" w:styleId="ColorfulList-Accent11">
    <w:name w:val="Colorful List - Accent 11"/>
    <w:aliases w:val="List Paragraph - Dani,List Paragraph 1 - Dani"/>
    <w:basedOn w:val="Normal"/>
    <w:uiPriority w:val="34"/>
    <w:qFormat/>
    <w:rsid w:val="002F1741"/>
    <w:pPr>
      <w:numPr>
        <w:numId w:val="2"/>
      </w:numPr>
      <w:ind w:left="851" w:hanging="284"/>
      <w:contextualSpacing/>
    </w:pPr>
    <w:rPr>
      <w:rFonts w:cs="Arial"/>
      <w:szCs w:val="22"/>
    </w:rPr>
  </w:style>
  <w:style w:type="table" w:styleId="TableGrid">
    <w:name w:val="Table Grid"/>
    <w:basedOn w:val="TableNormal"/>
    <w:uiPriority w:val="59"/>
    <w:rsid w:val="00FB05B4"/>
    <w:rPr>
      <w:rFonts w:ascii="Arial" w:hAnsi="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qFormat/>
    <w:rsid w:val="003B11ED"/>
    <w:pPr>
      <w:spacing w:after="40"/>
    </w:pPr>
    <w:rPr>
      <w:sz w:val="16"/>
      <w:szCs w:val="20"/>
      <w:lang w:val="sv-SE" w:eastAsia="sv-SE"/>
    </w:rPr>
  </w:style>
  <w:style w:type="character" w:customStyle="1" w:styleId="FootnoteTextChar">
    <w:name w:val="Footnote Text Char"/>
    <w:basedOn w:val="DefaultParagraphFont"/>
    <w:link w:val="FootnoteText"/>
    <w:uiPriority w:val="99"/>
    <w:locked/>
    <w:rsid w:val="003B11ED"/>
    <w:rPr>
      <w:rFonts w:ascii="Arial" w:hAnsi="Arial"/>
      <w:sz w:val="16"/>
      <w:szCs w:val="20"/>
      <w:lang w:val="sv-SE" w:eastAsia="sv-SE"/>
    </w:rPr>
  </w:style>
  <w:style w:type="character" w:styleId="FootnoteReference">
    <w:name w:val="footnote reference"/>
    <w:basedOn w:val="FootnoteTextChar"/>
    <w:uiPriority w:val="99"/>
    <w:rsid w:val="00652437"/>
    <w:rPr>
      <w:rFonts w:ascii="Arial" w:hAnsi="Arial"/>
      <w:color w:val="auto"/>
      <w:spacing w:val="0"/>
      <w:position w:val="0"/>
      <w:sz w:val="22"/>
      <w:szCs w:val="16"/>
      <w:vertAlign w:val="superscript"/>
      <w:lang w:val="sv-SE" w:eastAsia="sv-SE"/>
    </w:rPr>
  </w:style>
  <w:style w:type="paragraph" w:styleId="Footer">
    <w:name w:val="footer"/>
    <w:basedOn w:val="Normal"/>
    <w:link w:val="FooterChar"/>
    <w:uiPriority w:val="99"/>
    <w:qFormat/>
    <w:rsid w:val="00355721"/>
    <w:pPr>
      <w:tabs>
        <w:tab w:val="center" w:pos="4513"/>
        <w:tab w:val="right" w:pos="9026"/>
      </w:tabs>
      <w:jc w:val="right"/>
    </w:pPr>
    <w:rPr>
      <w:b/>
      <w:color w:val="76923C"/>
      <w:sz w:val="16"/>
    </w:rPr>
  </w:style>
  <w:style w:type="character" w:customStyle="1" w:styleId="FooterChar">
    <w:name w:val="Footer Char"/>
    <w:basedOn w:val="DefaultParagraphFont"/>
    <w:link w:val="Footer"/>
    <w:uiPriority w:val="99"/>
    <w:locked/>
    <w:rsid w:val="00355721"/>
    <w:rPr>
      <w:rFonts w:ascii="Arial" w:hAnsi="Arial"/>
      <w:b/>
      <w:color w:val="76923C"/>
      <w:sz w:val="16"/>
      <w:szCs w:val="24"/>
      <w:lang w:val="en-AU"/>
    </w:rPr>
  </w:style>
  <w:style w:type="paragraph" w:customStyle="1" w:styleId="GridTable31">
    <w:name w:val="Grid Table 31"/>
    <w:basedOn w:val="Heading1"/>
    <w:next w:val="Normal"/>
    <w:uiPriority w:val="39"/>
    <w:qFormat/>
    <w:rsid w:val="00DE5AF4"/>
    <w:pPr>
      <w:spacing w:line="276" w:lineRule="auto"/>
      <w:ind w:left="0" w:firstLine="0"/>
      <w:outlineLvl w:val="9"/>
    </w:pPr>
    <w:rPr>
      <w:lang w:val="en-US"/>
    </w:rPr>
  </w:style>
  <w:style w:type="paragraph" w:styleId="TOC1">
    <w:name w:val="toc 1"/>
    <w:basedOn w:val="Normal"/>
    <w:next w:val="Normal"/>
    <w:autoRedefine/>
    <w:uiPriority w:val="39"/>
    <w:qFormat/>
    <w:rsid w:val="00441936"/>
    <w:pPr>
      <w:tabs>
        <w:tab w:val="left" w:pos="351"/>
        <w:tab w:val="left" w:pos="407"/>
        <w:tab w:val="right" w:leader="dot" w:pos="8489"/>
      </w:tabs>
      <w:spacing w:before="80" w:after="0"/>
    </w:pPr>
    <w:rPr>
      <w:b/>
      <w:noProof/>
      <w:sz w:val="20"/>
    </w:rPr>
  </w:style>
  <w:style w:type="paragraph" w:styleId="TOC2">
    <w:name w:val="toc 2"/>
    <w:basedOn w:val="Normal"/>
    <w:next w:val="Normal"/>
    <w:autoRedefine/>
    <w:uiPriority w:val="39"/>
    <w:qFormat/>
    <w:rsid w:val="006B00AC"/>
    <w:pPr>
      <w:spacing w:after="0"/>
    </w:pPr>
    <w:rPr>
      <w:rFonts w:ascii="Calibri" w:hAnsi="Calibri"/>
      <w:szCs w:val="22"/>
    </w:rPr>
  </w:style>
  <w:style w:type="character" w:styleId="CommentReference">
    <w:name w:val="annotation reference"/>
    <w:basedOn w:val="DefaultParagraphFont"/>
    <w:uiPriority w:val="99"/>
    <w:rsid w:val="00893519"/>
    <w:rPr>
      <w:sz w:val="16"/>
      <w:szCs w:val="16"/>
    </w:rPr>
  </w:style>
  <w:style w:type="paragraph" w:styleId="CommentText">
    <w:name w:val="annotation text"/>
    <w:basedOn w:val="Normal"/>
    <w:link w:val="CommentTextChar"/>
    <w:rsid w:val="00893519"/>
    <w:rPr>
      <w:sz w:val="20"/>
      <w:szCs w:val="20"/>
    </w:rPr>
  </w:style>
  <w:style w:type="character" w:customStyle="1" w:styleId="CommentTextChar">
    <w:name w:val="Comment Text Char"/>
    <w:basedOn w:val="DefaultParagraphFont"/>
    <w:link w:val="CommentText"/>
    <w:rsid w:val="00CC3880"/>
    <w:rPr>
      <w:sz w:val="20"/>
      <w:szCs w:val="20"/>
      <w:lang w:val="en-AU"/>
    </w:rPr>
  </w:style>
  <w:style w:type="paragraph" w:styleId="CommentSubject">
    <w:name w:val="annotation subject"/>
    <w:basedOn w:val="CommentText"/>
    <w:next w:val="CommentText"/>
    <w:link w:val="CommentSubjectChar"/>
    <w:rsid w:val="00893519"/>
    <w:rPr>
      <w:b/>
      <w:bCs/>
    </w:rPr>
  </w:style>
  <w:style w:type="character" w:customStyle="1" w:styleId="CommentSubjectChar">
    <w:name w:val="Comment Subject Char"/>
    <w:basedOn w:val="CommentTextChar"/>
    <w:link w:val="CommentSubject"/>
    <w:rsid w:val="00CC3880"/>
    <w:rPr>
      <w:b/>
      <w:bCs/>
      <w:sz w:val="20"/>
      <w:szCs w:val="20"/>
      <w:lang w:val="en-AU"/>
    </w:rPr>
  </w:style>
  <w:style w:type="paragraph" w:styleId="BodyTextIndent">
    <w:name w:val="Body Text Indent"/>
    <w:basedOn w:val="Normal"/>
    <w:link w:val="BodyTextIndentChar"/>
    <w:uiPriority w:val="99"/>
    <w:unhideWhenUsed/>
    <w:qFormat/>
    <w:rsid w:val="008A19E7"/>
    <w:pPr>
      <w:ind w:left="283"/>
    </w:pPr>
  </w:style>
  <w:style w:type="character" w:customStyle="1" w:styleId="BodyTextIndentChar">
    <w:name w:val="Body Text Indent Char"/>
    <w:basedOn w:val="DefaultParagraphFont"/>
    <w:link w:val="BodyTextIndent"/>
    <w:uiPriority w:val="99"/>
    <w:rsid w:val="008A19E7"/>
    <w:rPr>
      <w:sz w:val="24"/>
      <w:szCs w:val="24"/>
      <w:lang w:val="en-AU"/>
    </w:rPr>
  </w:style>
  <w:style w:type="paragraph" w:customStyle="1" w:styleId="Boxheading">
    <w:name w:val="Box heading"/>
    <w:basedOn w:val="Normal"/>
    <w:qFormat/>
    <w:rsid w:val="00CB69FA"/>
    <w:pPr>
      <w:spacing w:before="120"/>
    </w:pPr>
    <w:rPr>
      <w:rFonts w:cs="Arial"/>
      <w:b/>
      <w:szCs w:val="22"/>
    </w:rPr>
  </w:style>
  <w:style w:type="paragraph" w:styleId="TableofFigures">
    <w:name w:val="table of figures"/>
    <w:basedOn w:val="Normal"/>
    <w:next w:val="Normal"/>
    <w:uiPriority w:val="99"/>
    <w:qFormat/>
    <w:rsid w:val="0052395C"/>
    <w:pPr>
      <w:spacing w:after="0"/>
    </w:pPr>
  </w:style>
  <w:style w:type="paragraph" w:customStyle="1" w:styleId="Numberedstyle">
    <w:name w:val="Numbered style"/>
    <w:basedOn w:val="ColorfulList-Accent11"/>
    <w:link w:val="NumberedstyleChar"/>
    <w:qFormat/>
    <w:rsid w:val="00A6097B"/>
    <w:pPr>
      <w:numPr>
        <w:numId w:val="1"/>
      </w:numPr>
      <w:tabs>
        <w:tab w:val="clear" w:pos="851"/>
      </w:tabs>
    </w:pPr>
    <w:rPr>
      <w:rFonts w:cs="Times New Roman"/>
      <w:szCs w:val="20"/>
    </w:rPr>
  </w:style>
  <w:style w:type="character" w:customStyle="1" w:styleId="NumberedstyleChar">
    <w:name w:val="Numbered style Char"/>
    <w:link w:val="Numberedstyle"/>
    <w:rsid w:val="00A6097B"/>
    <w:rPr>
      <w:rFonts w:ascii="Arial" w:hAnsi="Arial"/>
      <w:sz w:val="22"/>
      <w:szCs w:val="20"/>
      <w:lang w:eastAsia="en-US"/>
    </w:rPr>
  </w:style>
  <w:style w:type="paragraph" w:customStyle="1" w:styleId="Tableheading">
    <w:name w:val="Table heading"/>
    <w:basedOn w:val="Normal"/>
    <w:link w:val="TableheadingChar"/>
    <w:qFormat/>
    <w:rsid w:val="00392633"/>
    <w:pPr>
      <w:spacing w:before="400"/>
    </w:pPr>
    <w:rPr>
      <w:rFonts w:cs="Arial"/>
      <w:b/>
      <w:color w:val="76923C"/>
      <w:szCs w:val="22"/>
    </w:rPr>
  </w:style>
  <w:style w:type="character" w:customStyle="1" w:styleId="TableheadingChar">
    <w:name w:val="Table heading Char"/>
    <w:basedOn w:val="NumberedstyleChar"/>
    <w:link w:val="Tableheading"/>
    <w:rsid w:val="00392633"/>
    <w:rPr>
      <w:rFonts w:ascii="Arial" w:hAnsi="Arial" w:cs="Arial"/>
      <w:b/>
      <w:color w:val="76923C"/>
      <w:sz w:val="22"/>
      <w:szCs w:val="22"/>
      <w:lang w:eastAsia="en-US"/>
    </w:rPr>
  </w:style>
  <w:style w:type="paragraph" w:styleId="EndnoteText">
    <w:name w:val="endnote text"/>
    <w:basedOn w:val="Normal"/>
    <w:link w:val="EndnoteTextChar"/>
    <w:uiPriority w:val="99"/>
    <w:unhideWhenUsed/>
    <w:qFormat/>
    <w:rsid w:val="006B3EE5"/>
    <w:rPr>
      <w:sz w:val="20"/>
      <w:szCs w:val="20"/>
    </w:rPr>
  </w:style>
  <w:style w:type="character" w:customStyle="1" w:styleId="EndnoteTextChar">
    <w:name w:val="Endnote Text Char"/>
    <w:basedOn w:val="DefaultParagraphFont"/>
    <w:link w:val="EndnoteText"/>
    <w:uiPriority w:val="99"/>
    <w:rsid w:val="006B3EE5"/>
    <w:rPr>
      <w:sz w:val="20"/>
      <w:szCs w:val="20"/>
      <w:lang w:val="en-AU"/>
    </w:rPr>
  </w:style>
  <w:style w:type="character" w:styleId="EndnoteReference">
    <w:name w:val="endnote reference"/>
    <w:basedOn w:val="DefaultParagraphFont"/>
    <w:uiPriority w:val="99"/>
    <w:unhideWhenUsed/>
    <w:rsid w:val="006B3EE5"/>
    <w:rPr>
      <w:vertAlign w:val="superscript"/>
    </w:rPr>
  </w:style>
  <w:style w:type="paragraph" w:customStyle="1" w:styleId="ERFTitleHeading">
    <w:name w:val="ERF Title Heading"/>
    <w:basedOn w:val="GridTable31"/>
    <w:qFormat/>
    <w:rsid w:val="00DE5AF4"/>
    <w:pPr>
      <w:jc w:val="center"/>
    </w:pPr>
    <w:rPr>
      <w:sz w:val="40"/>
      <w:szCs w:val="40"/>
    </w:rPr>
  </w:style>
  <w:style w:type="paragraph" w:customStyle="1" w:styleId="ERFHeading">
    <w:name w:val="ERF Heading"/>
    <w:basedOn w:val="GridTable31"/>
    <w:link w:val="ERFHeadingChar"/>
    <w:qFormat/>
    <w:rsid w:val="00C571B5"/>
    <w:pPr>
      <w:tabs>
        <w:tab w:val="left" w:pos="851"/>
      </w:tabs>
      <w:spacing w:before="200" w:after="200" w:line="240" w:lineRule="auto"/>
      <w:ind w:left="284" w:hanging="284"/>
    </w:pPr>
    <w:rPr>
      <w:sz w:val="28"/>
    </w:rPr>
  </w:style>
  <w:style w:type="character" w:customStyle="1" w:styleId="ERFHeadingChar">
    <w:name w:val="ERF Heading Char"/>
    <w:basedOn w:val="DefaultParagraphFont"/>
    <w:link w:val="ERFHeading"/>
    <w:rsid w:val="00C571B5"/>
    <w:rPr>
      <w:rFonts w:ascii="Arial" w:hAnsi="Arial" w:cs="Arial"/>
      <w:b/>
      <w:bCs/>
      <w:color w:val="76923C"/>
      <w:sz w:val="28"/>
      <w:szCs w:val="28"/>
      <w:lang w:val="en-US" w:eastAsia="en-US"/>
    </w:rPr>
  </w:style>
  <w:style w:type="paragraph" w:styleId="Header">
    <w:name w:val="header"/>
    <w:basedOn w:val="Normal"/>
    <w:link w:val="HeaderChar"/>
    <w:qFormat/>
    <w:rsid w:val="00331946"/>
    <w:pPr>
      <w:tabs>
        <w:tab w:val="center" w:pos="4320"/>
        <w:tab w:val="right" w:pos="8640"/>
      </w:tabs>
    </w:pPr>
    <w:rPr>
      <w:b/>
      <w:color w:val="76923C"/>
    </w:rPr>
  </w:style>
  <w:style w:type="character" w:customStyle="1" w:styleId="HeaderChar">
    <w:name w:val="Header Char"/>
    <w:basedOn w:val="DefaultParagraphFont"/>
    <w:link w:val="Header"/>
    <w:rsid w:val="00331946"/>
    <w:rPr>
      <w:rFonts w:ascii="Arial" w:hAnsi="Arial"/>
      <w:b/>
      <w:color w:val="76923C"/>
      <w:sz w:val="22"/>
      <w:lang w:eastAsia="en-US"/>
    </w:rPr>
  </w:style>
  <w:style w:type="paragraph" w:styleId="TOC3">
    <w:name w:val="toc 3"/>
    <w:basedOn w:val="Normal"/>
    <w:next w:val="Normal"/>
    <w:autoRedefine/>
    <w:uiPriority w:val="39"/>
    <w:qFormat/>
    <w:rsid w:val="003A01BA"/>
    <w:pPr>
      <w:tabs>
        <w:tab w:val="left" w:pos="567"/>
        <w:tab w:val="right" w:leader="dot" w:pos="8489"/>
      </w:tabs>
    </w:pPr>
  </w:style>
  <w:style w:type="paragraph" w:styleId="ListParagraph">
    <w:name w:val="List Paragraph"/>
    <w:basedOn w:val="Normal"/>
    <w:uiPriority w:val="34"/>
    <w:qFormat/>
    <w:rsid w:val="00620740"/>
    <w:pPr>
      <w:numPr>
        <w:numId w:val="58"/>
      </w:numPr>
      <w:contextualSpacing/>
    </w:pPr>
  </w:style>
  <w:style w:type="character" w:styleId="Hyperlink">
    <w:name w:val="Hyperlink"/>
    <w:basedOn w:val="DefaultParagraphFont"/>
    <w:uiPriority w:val="99"/>
    <w:rsid w:val="00253003"/>
    <w:rPr>
      <w:color w:val="0000FF"/>
      <w:u w:val="single"/>
    </w:rPr>
  </w:style>
  <w:style w:type="paragraph" w:styleId="ListBullet">
    <w:name w:val="List Bullet"/>
    <w:basedOn w:val="Normal"/>
    <w:next w:val="Normal"/>
    <w:rsid w:val="00253003"/>
    <w:pPr>
      <w:numPr>
        <w:numId w:val="4"/>
      </w:numPr>
      <w:spacing w:before="40" w:after="40"/>
      <w:jc w:val="both"/>
    </w:pPr>
    <w:rPr>
      <w:rFonts w:ascii="Times New Roman" w:hAnsi="Times New Roman"/>
      <w:sz w:val="24"/>
      <w:szCs w:val="20"/>
    </w:rPr>
  </w:style>
  <w:style w:type="paragraph" w:styleId="Caption">
    <w:name w:val="caption"/>
    <w:basedOn w:val="Normal"/>
    <w:next w:val="Normal"/>
    <w:qFormat/>
    <w:rsid w:val="00253003"/>
    <w:pPr>
      <w:spacing w:before="40" w:after="240"/>
    </w:pPr>
    <w:rPr>
      <w:b/>
      <w:sz w:val="24"/>
      <w:szCs w:val="20"/>
    </w:rPr>
  </w:style>
  <w:style w:type="paragraph" w:styleId="PlainText">
    <w:name w:val="Plain Text"/>
    <w:basedOn w:val="Normal"/>
    <w:link w:val="PlainTextChar"/>
    <w:uiPriority w:val="99"/>
    <w:unhideWhenUsed/>
    <w:rsid w:val="00B776E0"/>
    <w:pPr>
      <w:spacing w:after="0"/>
    </w:pPr>
    <w:rPr>
      <w:rFonts w:ascii="Calibri" w:eastAsiaTheme="minorHAnsi" w:hAnsi="Calibri"/>
      <w:szCs w:val="22"/>
    </w:rPr>
  </w:style>
  <w:style w:type="character" w:customStyle="1" w:styleId="PlainTextChar">
    <w:name w:val="Plain Text Char"/>
    <w:basedOn w:val="DefaultParagraphFont"/>
    <w:link w:val="PlainText"/>
    <w:uiPriority w:val="99"/>
    <w:rsid w:val="00B776E0"/>
    <w:rPr>
      <w:rFonts w:ascii="Calibri" w:eastAsiaTheme="minorHAnsi" w:hAnsi="Calibri"/>
      <w:sz w:val="22"/>
      <w:szCs w:val="22"/>
      <w:lang w:eastAsia="en-US"/>
    </w:rPr>
  </w:style>
  <w:style w:type="paragraph" w:styleId="NormalWeb">
    <w:name w:val="Normal (Web)"/>
    <w:basedOn w:val="Normal"/>
    <w:uiPriority w:val="99"/>
    <w:unhideWhenUsed/>
    <w:rsid w:val="00B776E0"/>
    <w:pPr>
      <w:spacing w:before="150" w:after="0"/>
    </w:pPr>
    <w:rPr>
      <w:rFonts w:ascii="Times New Roman" w:hAnsi="Times New Roman"/>
      <w:sz w:val="24"/>
      <w:lang w:eastAsia="en-AU"/>
    </w:rPr>
  </w:style>
  <w:style w:type="paragraph" w:customStyle="1" w:styleId="Insidebox">
    <w:name w:val="Inside box"/>
    <w:basedOn w:val="Normal"/>
    <w:link w:val="InsideboxChar"/>
    <w:qFormat/>
    <w:rsid w:val="00B776E0"/>
    <w:pPr>
      <w:widowControl w:val="0"/>
      <w:spacing w:before="20" w:after="20"/>
    </w:pPr>
    <w:rPr>
      <w:rFonts w:eastAsia="Arial" w:cs="Arial"/>
      <w:kern w:val="2"/>
      <w:szCs w:val="22"/>
      <w:lang w:val="en-GB" w:eastAsia="zh-CN"/>
    </w:rPr>
  </w:style>
  <w:style w:type="table" w:customStyle="1" w:styleId="TableGrid1">
    <w:name w:val="Table Grid1"/>
    <w:basedOn w:val="TableNormal"/>
    <w:next w:val="TableGrid"/>
    <w:uiPriority w:val="59"/>
    <w:rsid w:val="00B776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31">
    <w:name w:val="List Table 4 - Accent 31"/>
    <w:basedOn w:val="TableNormal"/>
    <w:uiPriority w:val="49"/>
    <w:rsid w:val="00B776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B776E0"/>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4-Accent32">
    <w:name w:val="List Table 4 - Accent 32"/>
    <w:basedOn w:val="TableNormal"/>
    <w:uiPriority w:val="49"/>
    <w:rsid w:val="00B776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2">
    <w:name w:val="Table Grid Light2"/>
    <w:basedOn w:val="TableNormal"/>
    <w:uiPriority w:val="40"/>
    <w:rsid w:val="00B776E0"/>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B776E0"/>
    <w:rPr>
      <w:color w:val="954F72" w:themeColor="followedHyperlink"/>
      <w:u w:val="single"/>
    </w:rPr>
  </w:style>
  <w:style w:type="paragraph" w:customStyle="1" w:styleId="CommentText1">
    <w:name w:val="Comment Text1"/>
    <w:basedOn w:val="Normal"/>
    <w:qFormat/>
    <w:rsid w:val="009B4045"/>
    <w:pPr>
      <w:spacing w:before="120"/>
    </w:pPr>
    <w:rPr>
      <w:sz w:val="20"/>
      <w:szCs w:val="20"/>
      <w:lang w:eastAsia="zh-CN"/>
    </w:rPr>
  </w:style>
  <w:style w:type="paragraph" w:customStyle="1" w:styleId="CommentSubject1">
    <w:name w:val="Comment Subject1"/>
    <w:basedOn w:val="CommentText1"/>
    <w:next w:val="CommentText1"/>
    <w:qFormat/>
    <w:rsid w:val="009B4045"/>
    <w:rPr>
      <w:b/>
      <w:bCs/>
    </w:rPr>
  </w:style>
  <w:style w:type="character" w:customStyle="1" w:styleId="CommentReference1">
    <w:name w:val="Comment Reference1"/>
    <w:basedOn w:val="DefaultParagraphFont"/>
    <w:rsid w:val="009B4045"/>
    <w:rPr>
      <w:sz w:val="16"/>
      <w:szCs w:val="16"/>
    </w:rPr>
  </w:style>
  <w:style w:type="paragraph" w:customStyle="1" w:styleId="Altogether">
    <w:name w:val="Altogether"/>
    <w:basedOn w:val="Normal"/>
    <w:qFormat/>
    <w:rsid w:val="009B4045"/>
    <w:pPr>
      <w:widowControl w:val="0"/>
      <w:spacing w:before="20" w:after="20"/>
    </w:pPr>
    <w:rPr>
      <w:rFonts w:eastAsia="Arial" w:cs="Arial"/>
      <w:kern w:val="1"/>
      <w:sz w:val="24"/>
      <w:lang w:val="en-GB" w:eastAsia="zh-CN"/>
    </w:rPr>
  </w:style>
  <w:style w:type="paragraph" w:customStyle="1" w:styleId="Quote1">
    <w:name w:val="Quote1"/>
    <w:basedOn w:val="Normal"/>
    <w:rsid w:val="009B4045"/>
    <w:pPr>
      <w:spacing w:before="120"/>
    </w:pPr>
    <w:rPr>
      <w:rFonts w:cs="Arial"/>
      <w:i/>
      <w:iCs/>
      <w:color w:val="000000"/>
      <w:szCs w:val="22"/>
      <w:lang w:eastAsia="en-AU"/>
    </w:rPr>
  </w:style>
  <w:style w:type="paragraph" w:customStyle="1" w:styleId="Dotpoint">
    <w:name w:val="Dot point"/>
    <w:basedOn w:val="Normal"/>
    <w:qFormat/>
    <w:rsid w:val="009B4045"/>
    <w:pPr>
      <w:spacing w:before="80" w:after="80"/>
      <w:ind w:left="930" w:hanging="360"/>
    </w:pPr>
    <w:rPr>
      <w:rFonts w:cs="Arial"/>
      <w:color w:val="000000"/>
      <w:szCs w:val="22"/>
      <w:lang w:eastAsia="en-AU"/>
    </w:rPr>
  </w:style>
  <w:style w:type="paragraph" w:styleId="Title">
    <w:name w:val="Title"/>
    <w:basedOn w:val="Normal"/>
    <w:link w:val="TitleChar"/>
    <w:qFormat/>
    <w:rsid w:val="009B4045"/>
    <w:pPr>
      <w:widowControl w:val="0"/>
      <w:spacing w:before="120"/>
      <w:jc w:val="center"/>
      <w:outlineLvl w:val="0"/>
    </w:pPr>
    <w:rPr>
      <w:rFonts w:eastAsia="Arial" w:cs="Arial"/>
      <w:b/>
      <w:bCs/>
      <w:kern w:val="1"/>
      <w:sz w:val="32"/>
      <w:szCs w:val="32"/>
      <w:lang w:val="en-GB" w:eastAsia="zh-CN"/>
    </w:rPr>
  </w:style>
  <w:style w:type="character" w:customStyle="1" w:styleId="TitleChar">
    <w:name w:val="Title Char"/>
    <w:basedOn w:val="DefaultParagraphFont"/>
    <w:link w:val="Title"/>
    <w:rsid w:val="009B4045"/>
    <w:rPr>
      <w:rFonts w:ascii="Arial" w:eastAsia="Arial" w:hAnsi="Arial" w:cs="Arial"/>
      <w:b/>
      <w:bCs/>
      <w:kern w:val="1"/>
      <w:sz w:val="32"/>
      <w:szCs w:val="32"/>
      <w:lang w:val="en-GB" w:eastAsia="zh-CN"/>
    </w:rPr>
  </w:style>
  <w:style w:type="paragraph" w:customStyle="1" w:styleId="Dotpoint1">
    <w:name w:val="Dot point1"/>
    <w:basedOn w:val="Normal"/>
    <w:qFormat/>
    <w:rsid w:val="009B4045"/>
    <w:pPr>
      <w:widowControl w:val="0"/>
      <w:numPr>
        <w:numId w:val="43"/>
      </w:numPr>
      <w:spacing w:before="80" w:after="80"/>
      <w:ind w:left="927" w:hanging="360"/>
    </w:pPr>
    <w:rPr>
      <w:rFonts w:eastAsia="Arial" w:cs="Arial"/>
      <w:kern w:val="1"/>
      <w:sz w:val="24"/>
      <w:lang w:val="en-GB" w:eastAsia="zh-CN"/>
    </w:rPr>
  </w:style>
  <w:style w:type="paragraph" w:customStyle="1" w:styleId="box">
    <w:name w:val="box"/>
    <w:basedOn w:val="Normal"/>
    <w:qFormat/>
    <w:rsid w:val="009B4045"/>
    <w:pPr>
      <w:widowControl w:val="0"/>
      <w:pBdr>
        <w:top w:val="none" w:sz="0" w:space="0" w:color="000000"/>
        <w:left w:val="none" w:sz="0" w:space="0" w:color="000000"/>
        <w:bottom w:val="none" w:sz="0" w:space="0" w:color="000000"/>
        <w:right w:val="none" w:sz="0" w:space="0" w:color="000000"/>
        <w:between w:val="none" w:sz="0" w:space="0" w:color="000000"/>
      </w:pBdr>
      <w:spacing w:before="20" w:after="20"/>
      <w:jc w:val="right"/>
    </w:pPr>
    <w:rPr>
      <w:rFonts w:eastAsia="Arial" w:cs="Arial"/>
      <w:kern w:val="1"/>
      <w:szCs w:val="22"/>
      <w:lang w:val="en-GB" w:eastAsia="zh-CN"/>
    </w:rPr>
  </w:style>
  <w:style w:type="paragraph" w:customStyle="1" w:styleId="Rightalignintable">
    <w:name w:val="Right align in table"/>
    <w:basedOn w:val="Insidebox"/>
    <w:link w:val="RightalignintableChar"/>
    <w:qFormat/>
    <w:rsid w:val="009B4045"/>
    <w:pPr>
      <w:widowControl/>
      <w:jc w:val="right"/>
    </w:pPr>
  </w:style>
  <w:style w:type="character" w:customStyle="1" w:styleId="InsideboxChar">
    <w:name w:val="Inside box Char"/>
    <w:basedOn w:val="DefaultParagraphFont"/>
    <w:link w:val="Insidebox"/>
    <w:rsid w:val="009B4045"/>
    <w:rPr>
      <w:rFonts w:ascii="Arial" w:eastAsia="Arial" w:hAnsi="Arial" w:cs="Arial"/>
      <w:kern w:val="2"/>
      <w:sz w:val="22"/>
      <w:szCs w:val="22"/>
      <w:lang w:val="en-GB" w:eastAsia="zh-CN"/>
    </w:rPr>
  </w:style>
  <w:style w:type="character" w:customStyle="1" w:styleId="RightalignintableChar">
    <w:name w:val="Right align in table Char"/>
    <w:basedOn w:val="InsideboxChar"/>
    <w:link w:val="Rightalignintable"/>
    <w:rsid w:val="009B4045"/>
    <w:rPr>
      <w:rFonts w:ascii="Arial" w:eastAsia="Arial" w:hAnsi="Arial" w:cs="Arial"/>
      <w:kern w:val="2"/>
      <w:sz w:val="22"/>
      <w:szCs w:val="22"/>
      <w:lang w:val="en-GB" w:eastAsia="zh-CN"/>
    </w:rPr>
  </w:style>
  <w:style w:type="paragraph" w:customStyle="1" w:styleId="Normal1">
    <w:name w:val="Normal1"/>
    <w:basedOn w:val="Normal"/>
    <w:rsid w:val="009B4045"/>
    <w:pPr>
      <w:spacing w:after="0"/>
    </w:pPr>
    <w:rPr>
      <w:rFonts w:ascii="Times New Roman" w:hAnsi="Times New Roman"/>
      <w:color w:val="000000"/>
      <w:sz w:val="20"/>
      <w:szCs w:val="20"/>
      <w:lang w:eastAsia="en-AU"/>
    </w:rPr>
  </w:style>
  <w:style w:type="paragraph" w:customStyle="1" w:styleId="Insidebox1">
    <w:name w:val="Inside box1"/>
    <w:basedOn w:val="Normal"/>
    <w:qFormat/>
    <w:rsid w:val="009B4045"/>
    <w:pPr>
      <w:pBdr>
        <w:top w:val="none" w:sz="0" w:space="0" w:color="000000"/>
        <w:left w:val="none" w:sz="0" w:space="0" w:color="000000"/>
        <w:bottom w:val="none" w:sz="0" w:space="0" w:color="000000"/>
        <w:right w:val="none" w:sz="0" w:space="0" w:color="000000"/>
        <w:between w:val="none" w:sz="0" w:space="0" w:color="000000"/>
      </w:pBdr>
      <w:spacing w:before="20" w:after="20"/>
    </w:pPr>
    <w:rPr>
      <w:rFonts w:cs="Arial"/>
      <w:kern w:val="1"/>
      <w:sz w:val="20"/>
      <w:szCs w:val="22"/>
      <w:lang w:eastAsia="zh-CN"/>
    </w:rPr>
  </w:style>
  <w:style w:type="paragraph" w:customStyle="1" w:styleId="Tableheading1">
    <w:name w:val="Table heading1"/>
    <w:basedOn w:val="Normal"/>
    <w:qFormat/>
    <w:rsid w:val="009B4045"/>
    <w:pPr>
      <w:pBdr>
        <w:top w:val="none" w:sz="0" w:space="0" w:color="000000"/>
        <w:left w:val="none" w:sz="0" w:space="0" w:color="000000"/>
        <w:bottom w:val="none" w:sz="0" w:space="0" w:color="000000"/>
        <w:right w:val="none" w:sz="0" w:space="0" w:color="000000"/>
        <w:between w:val="none" w:sz="0" w:space="0" w:color="000000"/>
      </w:pBdr>
      <w:spacing w:before="400"/>
    </w:pPr>
    <w:rPr>
      <w:rFonts w:ascii="Arial Bold" w:hAnsi="Arial Bold" w:cs="Arial"/>
      <w:b/>
      <w:color w:val="76923C"/>
      <w:kern w:val="1"/>
      <w:szCs w:val="22"/>
      <w:lang w:eastAsia="zh-CN"/>
    </w:rPr>
  </w:style>
  <w:style w:type="character" w:customStyle="1" w:styleId="CommentTextChar1">
    <w:name w:val="Comment Text Char1"/>
    <w:basedOn w:val="DefaultParagraphFont"/>
    <w:uiPriority w:val="99"/>
    <w:semiHidden/>
    <w:rsid w:val="009B4045"/>
    <w:rPr>
      <w:sz w:val="20"/>
      <w:szCs w:val="20"/>
    </w:rPr>
  </w:style>
  <w:style w:type="character" w:customStyle="1" w:styleId="Hyperlink1">
    <w:name w:val="Hyperlink1"/>
    <w:basedOn w:val="DefaultParagraphFont"/>
    <w:uiPriority w:val="99"/>
    <w:unhideWhenUsed/>
    <w:rsid w:val="009B4045"/>
    <w:rPr>
      <w:color w:val="0563C1"/>
      <w:u w:val="single"/>
    </w:rPr>
  </w:style>
  <w:style w:type="table" w:customStyle="1" w:styleId="TableGrid2">
    <w:name w:val="Table Grid2"/>
    <w:basedOn w:val="TableNormal"/>
    <w:next w:val="TableGrid"/>
    <w:uiPriority w:val="59"/>
    <w:rsid w:val="009B404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rial">
    <w:name w:val="Normal Arial"/>
    <w:basedOn w:val="Normal"/>
    <w:qFormat/>
    <w:rsid w:val="00972815"/>
    <w:pPr>
      <w:widowControl w:val="0"/>
      <w:pBdr>
        <w:top w:val="none" w:sz="0" w:space="0" w:color="000000"/>
        <w:left w:val="none" w:sz="0" w:space="0" w:color="000000"/>
        <w:bottom w:val="none" w:sz="0" w:space="0" w:color="000000"/>
        <w:right w:val="none" w:sz="0" w:space="0" w:color="000000"/>
        <w:between w:val="none" w:sz="0" w:space="0" w:color="000000"/>
      </w:pBdr>
      <w:spacing w:before="120"/>
    </w:pPr>
    <w:rPr>
      <w:rFonts w:eastAsia="Arial" w:cs="Arial"/>
      <w:kern w:val="1"/>
      <w:szCs w:val="22"/>
      <w:lang w:val="en-GB" w:eastAsia="zh-CN"/>
    </w:rPr>
  </w:style>
  <w:style w:type="paragraph" w:styleId="TOC4">
    <w:name w:val="toc 4"/>
    <w:basedOn w:val="Normal"/>
    <w:next w:val="Normal"/>
    <w:autoRedefine/>
    <w:uiPriority w:val="39"/>
    <w:unhideWhenUsed/>
    <w:rsid w:val="006C41DC"/>
    <w:pPr>
      <w:spacing w:after="100"/>
      <w:ind w:left="720"/>
    </w:pPr>
    <w:rPr>
      <w:rFonts w:asciiTheme="minorHAnsi" w:eastAsiaTheme="minorEastAsia" w:hAnsiTheme="minorHAnsi" w:cstheme="minorBidi"/>
      <w:sz w:val="24"/>
      <w:lang w:val="en-US"/>
    </w:rPr>
  </w:style>
  <w:style w:type="paragraph" w:styleId="TOC5">
    <w:name w:val="toc 5"/>
    <w:basedOn w:val="Normal"/>
    <w:next w:val="Normal"/>
    <w:autoRedefine/>
    <w:uiPriority w:val="39"/>
    <w:unhideWhenUsed/>
    <w:rsid w:val="006C41DC"/>
    <w:pPr>
      <w:spacing w:after="100"/>
      <w:ind w:left="960"/>
    </w:pPr>
    <w:rPr>
      <w:rFonts w:asciiTheme="minorHAnsi" w:eastAsiaTheme="minorEastAsia" w:hAnsiTheme="minorHAnsi" w:cstheme="minorBidi"/>
      <w:sz w:val="24"/>
      <w:lang w:val="en-US"/>
    </w:rPr>
  </w:style>
  <w:style w:type="paragraph" w:styleId="TOC6">
    <w:name w:val="toc 6"/>
    <w:basedOn w:val="Normal"/>
    <w:next w:val="Normal"/>
    <w:autoRedefine/>
    <w:uiPriority w:val="39"/>
    <w:unhideWhenUsed/>
    <w:rsid w:val="006C41DC"/>
    <w:pPr>
      <w:spacing w:after="100"/>
      <w:ind w:left="1200"/>
    </w:pPr>
    <w:rPr>
      <w:rFonts w:asciiTheme="minorHAnsi" w:eastAsiaTheme="minorEastAsia" w:hAnsiTheme="minorHAnsi" w:cstheme="minorBidi"/>
      <w:sz w:val="24"/>
      <w:lang w:val="en-US"/>
    </w:rPr>
  </w:style>
  <w:style w:type="paragraph" w:styleId="TOC7">
    <w:name w:val="toc 7"/>
    <w:basedOn w:val="Normal"/>
    <w:next w:val="Normal"/>
    <w:autoRedefine/>
    <w:uiPriority w:val="39"/>
    <w:unhideWhenUsed/>
    <w:rsid w:val="006C41DC"/>
    <w:pPr>
      <w:spacing w:after="100"/>
      <w:ind w:left="1440"/>
    </w:pPr>
    <w:rPr>
      <w:rFonts w:asciiTheme="minorHAnsi" w:eastAsiaTheme="minorEastAsia" w:hAnsiTheme="minorHAnsi" w:cstheme="minorBidi"/>
      <w:sz w:val="24"/>
      <w:lang w:val="en-US"/>
    </w:rPr>
  </w:style>
  <w:style w:type="paragraph" w:styleId="TOC8">
    <w:name w:val="toc 8"/>
    <w:basedOn w:val="Normal"/>
    <w:next w:val="Normal"/>
    <w:autoRedefine/>
    <w:uiPriority w:val="39"/>
    <w:unhideWhenUsed/>
    <w:rsid w:val="006C41DC"/>
    <w:pPr>
      <w:spacing w:after="100"/>
      <w:ind w:left="1680"/>
    </w:pPr>
    <w:rPr>
      <w:rFonts w:asciiTheme="minorHAnsi" w:eastAsiaTheme="minorEastAsia" w:hAnsiTheme="minorHAnsi" w:cstheme="minorBidi"/>
      <w:sz w:val="24"/>
      <w:lang w:val="en-US"/>
    </w:rPr>
  </w:style>
  <w:style w:type="paragraph" w:styleId="TOC9">
    <w:name w:val="toc 9"/>
    <w:basedOn w:val="Normal"/>
    <w:next w:val="Normal"/>
    <w:autoRedefine/>
    <w:uiPriority w:val="39"/>
    <w:unhideWhenUsed/>
    <w:rsid w:val="006C41DC"/>
    <w:pPr>
      <w:spacing w:after="100"/>
      <w:ind w:left="1920"/>
    </w:pPr>
    <w:rPr>
      <w:rFonts w:asciiTheme="minorHAnsi" w:eastAsiaTheme="minorEastAsia" w:hAnsiTheme="minorHAnsi" w:cstheme="minorBidi"/>
      <w:sz w:val="24"/>
      <w:lang w:val="en-US"/>
    </w:rPr>
  </w:style>
  <w:style w:type="character" w:styleId="PageNumber">
    <w:name w:val="page number"/>
    <w:basedOn w:val="DefaultParagraphFont"/>
    <w:unhideWhenUsed/>
    <w:rsid w:val="006C41DC"/>
  </w:style>
  <w:style w:type="paragraph" w:customStyle="1" w:styleId="xl24">
    <w:name w:val="xl24"/>
    <w:basedOn w:val="Normal"/>
    <w:rsid w:val="008F00FD"/>
    <w:pPr>
      <w:pBdr>
        <w:left w:val="single" w:sz="4" w:space="0" w:color="auto"/>
        <w:bottom w:val="single" w:sz="4" w:space="0" w:color="auto"/>
      </w:pBdr>
      <w:spacing w:beforeLines="1" w:afterLines="1"/>
    </w:pPr>
    <w:rPr>
      <w:rFonts w:ascii="Times" w:hAnsi="Times" w:cstheme="minorBidi"/>
      <w:sz w:val="20"/>
      <w:szCs w:val="20"/>
    </w:rPr>
  </w:style>
  <w:style w:type="paragraph" w:customStyle="1" w:styleId="xl25">
    <w:name w:val="xl25"/>
    <w:basedOn w:val="Normal"/>
    <w:rsid w:val="008F00FD"/>
    <w:pPr>
      <w:pBdr>
        <w:bottom w:val="single" w:sz="4" w:space="0" w:color="auto"/>
      </w:pBdr>
      <w:spacing w:beforeLines="1" w:afterLines="1"/>
    </w:pPr>
    <w:rPr>
      <w:rFonts w:ascii="Times" w:hAnsi="Times" w:cstheme="minorBidi"/>
      <w:sz w:val="20"/>
      <w:szCs w:val="20"/>
    </w:rPr>
  </w:style>
  <w:style w:type="paragraph" w:styleId="TOCHeading">
    <w:name w:val="TOC Heading"/>
    <w:basedOn w:val="Heading1"/>
    <w:next w:val="Normal"/>
    <w:uiPriority w:val="39"/>
    <w:qFormat/>
    <w:rsid w:val="00FC22E6"/>
    <w:pPr>
      <w:keepNext w:val="0"/>
      <w:keepLines w:val="0"/>
      <w:spacing w:before="0"/>
      <w:ind w:left="0" w:firstLine="0"/>
      <w:outlineLvl w:val="9"/>
    </w:pPr>
    <w:rPr>
      <w:rFonts w:cs="Times New Roman"/>
      <w:b w:val="0"/>
      <w:bCs w:val="0"/>
      <w:color w:val="auto"/>
      <w:sz w:val="22"/>
      <w:szCs w:val="24"/>
    </w:rPr>
  </w:style>
  <w:style w:type="character" w:styleId="Strong">
    <w:name w:val="Strong"/>
    <w:basedOn w:val="DefaultParagraphFont"/>
    <w:qFormat/>
    <w:rsid w:val="00FC22E6"/>
    <w:rPr>
      <w:b/>
      <w:bCs/>
    </w:rPr>
  </w:style>
  <w:style w:type="paragraph" w:styleId="BodyText">
    <w:name w:val="Body Text"/>
    <w:basedOn w:val="Normal"/>
    <w:link w:val="BodyTextChar"/>
    <w:uiPriority w:val="1"/>
    <w:qFormat/>
    <w:rsid w:val="003C7B7E"/>
    <w:pPr>
      <w:widowControl w:val="0"/>
      <w:spacing w:before="121" w:after="0"/>
      <w:ind w:left="840"/>
    </w:pPr>
    <w:rPr>
      <w:rFonts w:eastAsia="Arial" w:cstheme="minorBidi"/>
      <w:szCs w:val="22"/>
      <w:lang w:val="en-GB" w:eastAsia="en-GB"/>
    </w:rPr>
  </w:style>
  <w:style w:type="character" w:customStyle="1" w:styleId="BodyTextChar">
    <w:name w:val="Body Text Char"/>
    <w:basedOn w:val="DefaultParagraphFont"/>
    <w:link w:val="BodyText"/>
    <w:uiPriority w:val="1"/>
    <w:rsid w:val="003C7B7E"/>
    <w:rPr>
      <w:rFonts w:ascii="Arial" w:eastAsia="Arial" w:hAnsi="Arial" w:cstheme="minorBidi"/>
      <w:sz w:val="22"/>
      <w:szCs w:val="22"/>
      <w:lang w:val="en-GB" w:eastAsia="en-GB"/>
    </w:rPr>
  </w:style>
  <w:style w:type="paragraph" w:customStyle="1" w:styleId="TableParagraph">
    <w:name w:val="Table Paragraph"/>
    <w:basedOn w:val="Normal"/>
    <w:uiPriority w:val="1"/>
    <w:qFormat/>
    <w:rsid w:val="003C7B7E"/>
    <w:pPr>
      <w:widowControl w:val="0"/>
      <w:spacing w:after="0"/>
    </w:pPr>
    <w:rPr>
      <w:rFonts w:eastAsiaTheme="minorEastAsia" w:cstheme="minorBidi"/>
      <w:szCs w:val="22"/>
      <w:lang w:val="en-GB" w:eastAsia="en-GB"/>
    </w:rPr>
  </w:style>
  <w:style w:type="paragraph" w:customStyle="1" w:styleId="Default">
    <w:name w:val="Default"/>
    <w:rsid w:val="003C7B7E"/>
    <w:pPr>
      <w:autoSpaceDE w:val="0"/>
      <w:autoSpaceDN w:val="0"/>
      <w:adjustRightInd w:val="0"/>
    </w:pPr>
    <w:rPr>
      <w:rFonts w:ascii="Arial" w:eastAsiaTheme="minorEastAsia" w:hAnsi="Arial" w:cs="Arial"/>
      <w:color w:val="000000"/>
      <w:lang w:val="en-GB" w:eastAsia="en-GB"/>
    </w:rPr>
  </w:style>
  <w:style w:type="table" w:customStyle="1" w:styleId="TableGrid3">
    <w:name w:val="Table Grid3"/>
    <w:basedOn w:val="TableNormal"/>
    <w:next w:val="TableGrid"/>
    <w:rsid w:val="00940DD4"/>
    <w:rPr>
      <w:rFonts w:ascii="Arial" w:hAnsi="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rsid w:val="000913FE"/>
    <w:rPr>
      <w:rFonts w:ascii="Arial" w:eastAsiaTheme="minorEastAsia" w:hAnsi="Arial" w:cstheme="minorBidi"/>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0" w:defQFormat="0" w:count="267">
    <w:lsdException w:name="Normal" w:semiHidden="0"/>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99" w:unhideWhenUsed="1" w:qFormat="1"/>
    <w:lsdException w:name="annotation text" w:unhideWhenUsed="1"/>
    <w:lsdException w:name="header" w:unhideWhenUsed="1"/>
    <w:lsdException w:name="footer" w:uiPriority="99" w:unhideWhenUsed="1"/>
    <w:lsdException w:name="index heading" w:unhideWhenUsed="1"/>
    <w:lsdException w:name="caption" w:unhideWhenUsed="1"/>
    <w:lsdException w:name="table of figures" w:uiPriority="99"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rsid w:val="00247438"/>
    <w:pPr>
      <w:spacing w:after="120"/>
    </w:pPr>
    <w:rPr>
      <w:rFonts w:ascii="Arial" w:hAnsi="Arial"/>
      <w:sz w:val="22"/>
      <w:lang w:eastAsia="en-US"/>
    </w:rPr>
  </w:style>
  <w:style w:type="paragraph" w:styleId="Heading1">
    <w:name w:val="heading 1"/>
    <w:basedOn w:val="Normal"/>
    <w:next w:val="Normal"/>
    <w:link w:val="Heading1Char"/>
    <w:uiPriority w:val="9"/>
    <w:qFormat/>
    <w:rsid w:val="002028A6"/>
    <w:pPr>
      <w:keepNext/>
      <w:keepLines/>
      <w:spacing w:before="120"/>
      <w:ind w:left="851" w:hanging="851"/>
      <w:outlineLvl w:val="0"/>
    </w:pPr>
    <w:rPr>
      <w:rFonts w:cs="Arial"/>
      <w:b/>
      <w:bCs/>
      <w:color w:val="76923C"/>
      <w:sz w:val="24"/>
      <w:szCs w:val="28"/>
    </w:rPr>
  </w:style>
  <w:style w:type="paragraph" w:styleId="Heading2">
    <w:name w:val="heading 2"/>
    <w:basedOn w:val="Heading1"/>
    <w:next w:val="Normal"/>
    <w:link w:val="Heading2Char"/>
    <w:uiPriority w:val="9"/>
    <w:qFormat/>
    <w:rsid w:val="002028A6"/>
    <w:pPr>
      <w:tabs>
        <w:tab w:val="left" w:pos="851"/>
      </w:tabs>
      <w:ind w:left="0" w:firstLine="0"/>
      <w:outlineLvl w:val="1"/>
    </w:pPr>
    <w:rPr>
      <w:sz w:val="22"/>
    </w:rPr>
  </w:style>
  <w:style w:type="paragraph" w:styleId="Heading3">
    <w:name w:val="heading 3"/>
    <w:basedOn w:val="Heading2"/>
    <w:next w:val="Normal"/>
    <w:link w:val="Heading3Char"/>
    <w:uiPriority w:val="9"/>
    <w:qFormat/>
    <w:rsid w:val="000B198F"/>
    <w:pPr>
      <w:numPr>
        <w:ilvl w:val="2"/>
      </w:numPr>
      <w:tabs>
        <w:tab w:val="left" w:pos="284"/>
      </w:tabs>
      <w:ind w:left="851" w:hanging="851"/>
      <w:outlineLvl w:val="2"/>
    </w:pPr>
  </w:style>
  <w:style w:type="paragraph" w:styleId="Heading4">
    <w:name w:val="heading 4"/>
    <w:basedOn w:val="Heading3"/>
    <w:next w:val="Normal"/>
    <w:link w:val="Heading4Char"/>
    <w:uiPriority w:val="99"/>
    <w:qFormat/>
    <w:rsid w:val="000B198F"/>
    <w:pPr>
      <w:numPr>
        <w:ilvl w:val="3"/>
      </w:numPr>
      <w:ind w:left="851" w:hanging="851"/>
      <w:outlineLvl w:val="3"/>
    </w:pPr>
    <w:rPr>
      <w:rFonts w:cs="Cambria"/>
      <w:iCs/>
      <w:sz w:val="20"/>
    </w:rPr>
  </w:style>
  <w:style w:type="paragraph" w:styleId="Heading5">
    <w:name w:val="heading 5"/>
    <w:basedOn w:val="Normal"/>
    <w:next w:val="Normal"/>
    <w:link w:val="Heading5Char"/>
    <w:qFormat/>
    <w:rsid w:val="0031701A"/>
    <w:pPr>
      <w:keepNext/>
      <w:keepLines/>
      <w:spacing w:before="200" w:after="0"/>
      <w:outlineLvl w:val="4"/>
    </w:pPr>
    <w:rPr>
      <w:rFonts w:ascii="Cambria" w:hAnsi="Cambria"/>
      <w:color w:val="3B491E"/>
    </w:rPr>
  </w:style>
  <w:style w:type="paragraph" w:styleId="Heading6">
    <w:name w:val="heading 6"/>
    <w:basedOn w:val="Normal"/>
    <w:next w:val="Normal"/>
    <w:link w:val="Heading6Char"/>
    <w:qFormat/>
    <w:rsid w:val="0031701A"/>
    <w:pPr>
      <w:keepNext/>
      <w:keepLines/>
      <w:spacing w:before="200" w:after="0"/>
      <w:outlineLvl w:val="5"/>
    </w:pPr>
    <w:rPr>
      <w:rFonts w:ascii="Cambria" w:hAnsi="Cambria"/>
      <w:i/>
      <w:iCs/>
      <w:color w:val="3B491E"/>
    </w:rPr>
  </w:style>
  <w:style w:type="paragraph" w:styleId="Heading7">
    <w:name w:val="heading 7"/>
    <w:basedOn w:val="Normal"/>
    <w:next w:val="Normal"/>
    <w:link w:val="Heading7Char"/>
    <w:qFormat/>
    <w:rsid w:val="0031701A"/>
    <w:pPr>
      <w:keepNext/>
      <w:keepLines/>
      <w:spacing w:before="200" w:after="0"/>
      <w:outlineLvl w:val="6"/>
    </w:pPr>
    <w:rPr>
      <w:rFonts w:ascii="Cambria" w:hAnsi="Cambria"/>
      <w:i/>
      <w:iCs/>
      <w:color w:val="404040"/>
      <w:sz w:val="20"/>
    </w:rPr>
  </w:style>
  <w:style w:type="paragraph" w:styleId="Heading8">
    <w:name w:val="heading 8"/>
    <w:basedOn w:val="Normal"/>
    <w:next w:val="Normal"/>
    <w:link w:val="Heading8Char"/>
    <w:qFormat/>
    <w:rsid w:val="0031701A"/>
    <w:pPr>
      <w:keepNext/>
      <w:keepLines/>
      <w:spacing w:before="200" w:after="0"/>
      <w:outlineLvl w:val="7"/>
    </w:pPr>
    <w:rPr>
      <w:rFonts w:ascii="Cambria" w:hAnsi="Cambria"/>
      <w:color w:val="363636"/>
      <w:sz w:val="20"/>
      <w:szCs w:val="20"/>
    </w:rPr>
  </w:style>
  <w:style w:type="paragraph" w:styleId="Heading9">
    <w:name w:val="heading 9"/>
    <w:basedOn w:val="Normal"/>
    <w:next w:val="Normal"/>
    <w:link w:val="Heading9Char"/>
    <w:qFormat/>
    <w:rsid w:val="0031701A"/>
    <w:pPr>
      <w:keepNext/>
      <w:keepLines/>
      <w:spacing w:before="200" w:after="0"/>
      <w:outlineLvl w:val="8"/>
    </w:pPr>
    <w:rPr>
      <w:rFonts w:ascii="Cambria" w:hAnsi="Cambria"/>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qFormat/>
    <w:rsid w:val="006410B5"/>
    <w:rPr>
      <w:rFonts w:ascii="Tahoma" w:hAnsi="Tahoma" w:cs="Tahoma"/>
      <w:sz w:val="16"/>
      <w:szCs w:val="16"/>
    </w:rPr>
  </w:style>
  <w:style w:type="character" w:customStyle="1" w:styleId="BalloonTextChar">
    <w:name w:val="Balloon Text Char"/>
    <w:basedOn w:val="DefaultParagraphFont"/>
    <w:uiPriority w:val="99"/>
    <w:semiHidden/>
    <w:rsid w:val="002518C5"/>
    <w:rPr>
      <w:rFonts w:ascii="Lucida Grande" w:hAnsi="Lucida Grande"/>
      <w:sz w:val="18"/>
      <w:szCs w:val="18"/>
    </w:rPr>
  </w:style>
  <w:style w:type="character" w:customStyle="1" w:styleId="BalloonTextChar13">
    <w:name w:val="Balloon Text Char13"/>
    <w:basedOn w:val="DefaultParagraphFont"/>
    <w:uiPriority w:val="99"/>
    <w:semiHidden/>
    <w:rsid w:val="002518C5"/>
    <w:rPr>
      <w:rFonts w:ascii="Lucida Grande" w:hAnsi="Lucida Grande"/>
      <w:sz w:val="18"/>
      <w:szCs w:val="18"/>
    </w:rPr>
  </w:style>
  <w:style w:type="character" w:customStyle="1" w:styleId="BalloonTextChar12">
    <w:name w:val="Balloon Text Char12"/>
    <w:basedOn w:val="DefaultParagraphFont"/>
    <w:uiPriority w:val="99"/>
    <w:semiHidden/>
    <w:rsid w:val="0011160A"/>
    <w:rPr>
      <w:rFonts w:ascii="Lucida Grande" w:hAnsi="Lucida Grande"/>
      <w:sz w:val="18"/>
      <w:szCs w:val="18"/>
    </w:rPr>
  </w:style>
  <w:style w:type="character" w:customStyle="1" w:styleId="BalloonTextChar11">
    <w:name w:val="Balloon Text Char11"/>
    <w:basedOn w:val="DefaultParagraphFont"/>
    <w:uiPriority w:val="99"/>
    <w:semiHidden/>
    <w:rsid w:val="0011160A"/>
    <w:rPr>
      <w:rFonts w:ascii="Lucida Grande" w:hAnsi="Lucida Grande"/>
      <w:sz w:val="18"/>
      <w:szCs w:val="18"/>
    </w:rPr>
  </w:style>
  <w:style w:type="character" w:customStyle="1" w:styleId="BalloonTextChar10">
    <w:name w:val="Balloon Text Char10"/>
    <w:basedOn w:val="DefaultParagraphFont"/>
    <w:uiPriority w:val="99"/>
    <w:semiHidden/>
    <w:rsid w:val="0011160A"/>
    <w:rPr>
      <w:rFonts w:ascii="Lucida Grande" w:hAnsi="Lucida Grande"/>
      <w:sz w:val="18"/>
      <w:szCs w:val="18"/>
    </w:rPr>
  </w:style>
  <w:style w:type="character" w:customStyle="1" w:styleId="BalloonTextChar9">
    <w:name w:val="Balloon Text Char9"/>
    <w:basedOn w:val="DefaultParagraphFont"/>
    <w:uiPriority w:val="99"/>
    <w:semiHidden/>
    <w:rsid w:val="0011160A"/>
    <w:rPr>
      <w:rFonts w:ascii="Lucida Grande" w:hAnsi="Lucida Grande"/>
      <w:sz w:val="18"/>
      <w:szCs w:val="18"/>
    </w:rPr>
  </w:style>
  <w:style w:type="character" w:customStyle="1" w:styleId="BalloonTextChar8">
    <w:name w:val="Balloon Text Char8"/>
    <w:basedOn w:val="DefaultParagraphFont"/>
    <w:uiPriority w:val="99"/>
    <w:semiHidden/>
    <w:rsid w:val="00D974F7"/>
    <w:rPr>
      <w:rFonts w:ascii="Lucida Grande" w:hAnsi="Lucida Grande"/>
      <w:sz w:val="18"/>
      <w:szCs w:val="18"/>
    </w:rPr>
  </w:style>
  <w:style w:type="character" w:customStyle="1" w:styleId="BalloonTextChar7">
    <w:name w:val="Balloon Text Char7"/>
    <w:basedOn w:val="DefaultParagraphFont"/>
    <w:uiPriority w:val="99"/>
    <w:semiHidden/>
    <w:rsid w:val="00D974F7"/>
    <w:rPr>
      <w:rFonts w:ascii="Lucida Grande" w:hAnsi="Lucida Grande"/>
      <w:sz w:val="18"/>
      <w:szCs w:val="18"/>
    </w:rPr>
  </w:style>
  <w:style w:type="character" w:customStyle="1" w:styleId="BalloonTextChar6">
    <w:name w:val="Balloon Text Char6"/>
    <w:basedOn w:val="DefaultParagraphFont"/>
    <w:uiPriority w:val="99"/>
    <w:semiHidden/>
    <w:rsid w:val="00D974F7"/>
    <w:rPr>
      <w:rFonts w:ascii="Lucida Grande" w:hAnsi="Lucida Grande"/>
      <w:sz w:val="18"/>
      <w:szCs w:val="18"/>
    </w:rPr>
  </w:style>
  <w:style w:type="character" w:customStyle="1" w:styleId="BalloonTextChar5">
    <w:name w:val="Balloon Text Char5"/>
    <w:basedOn w:val="DefaultParagraphFont"/>
    <w:uiPriority w:val="99"/>
    <w:semiHidden/>
    <w:rsid w:val="00D974F7"/>
    <w:rPr>
      <w:rFonts w:ascii="Lucida Grande" w:hAnsi="Lucida Grande"/>
      <w:sz w:val="18"/>
      <w:szCs w:val="18"/>
    </w:rPr>
  </w:style>
  <w:style w:type="character" w:customStyle="1" w:styleId="BalloonTextChar4">
    <w:name w:val="Balloon Text Char4"/>
    <w:basedOn w:val="DefaultParagraphFont"/>
    <w:uiPriority w:val="99"/>
    <w:semiHidden/>
    <w:rsid w:val="00975F5B"/>
    <w:rPr>
      <w:rFonts w:ascii="Lucida Grande" w:hAnsi="Lucida Grande"/>
      <w:sz w:val="18"/>
      <w:szCs w:val="18"/>
    </w:rPr>
  </w:style>
  <w:style w:type="character" w:customStyle="1" w:styleId="BalloonTextChar3">
    <w:name w:val="Balloon Text Char3"/>
    <w:basedOn w:val="DefaultParagraphFont"/>
    <w:uiPriority w:val="99"/>
    <w:semiHidden/>
    <w:rsid w:val="00652F60"/>
    <w:rPr>
      <w:rFonts w:ascii="Lucida Grande" w:hAnsi="Lucida Grande"/>
      <w:sz w:val="18"/>
      <w:szCs w:val="18"/>
    </w:rPr>
  </w:style>
  <w:style w:type="character" w:customStyle="1" w:styleId="BalloonTextChar2">
    <w:name w:val="Balloon Text Char2"/>
    <w:basedOn w:val="DefaultParagraphFont"/>
    <w:uiPriority w:val="99"/>
    <w:semiHidden/>
    <w:rsid w:val="0054406F"/>
    <w:rPr>
      <w:rFonts w:ascii="Lucida Grande" w:hAnsi="Lucida Grande"/>
      <w:sz w:val="18"/>
      <w:szCs w:val="18"/>
    </w:rPr>
  </w:style>
  <w:style w:type="character" w:customStyle="1" w:styleId="Heading1Char">
    <w:name w:val="Heading 1 Char"/>
    <w:basedOn w:val="DefaultParagraphFont"/>
    <w:link w:val="Heading1"/>
    <w:uiPriority w:val="9"/>
    <w:locked/>
    <w:rsid w:val="002028A6"/>
    <w:rPr>
      <w:rFonts w:ascii="Arial" w:hAnsi="Arial" w:cs="Arial"/>
      <w:b/>
      <w:bCs/>
      <w:color w:val="76923C"/>
      <w:szCs w:val="28"/>
      <w:lang w:eastAsia="en-US"/>
    </w:rPr>
  </w:style>
  <w:style w:type="character" w:customStyle="1" w:styleId="Heading2Char">
    <w:name w:val="Heading 2 Char"/>
    <w:basedOn w:val="DefaultParagraphFont"/>
    <w:link w:val="Heading2"/>
    <w:uiPriority w:val="9"/>
    <w:locked/>
    <w:rsid w:val="002028A6"/>
    <w:rPr>
      <w:rFonts w:ascii="Arial" w:hAnsi="Arial" w:cs="Arial"/>
      <w:b/>
      <w:bCs/>
      <w:color w:val="76923C"/>
      <w:sz w:val="22"/>
      <w:szCs w:val="28"/>
      <w:lang w:eastAsia="en-US"/>
    </w:rPr>
  </w:style>
  <w:style w:type="character" w:customStyle="1" w:styleId="Heading3Char">
    <w:name w:val="Heading 3 Char"/>
    <w:basedOn w:val="DefaultParagraphFont"/>
    <w:link w:val="Heading3"/>
    <w:uiPriority w:val="9"/>
    <w:locked/>
    <w:rsid w:val="000B198F"/>
    <w:rPr>
      <w:rFonts w:ascii="Arial" w:hAnsi="Arial" w:cs="Arial"/>
      <w:b/>
      <w:bCs/>
      <w:color w:val="76923C"/>
      <w:sz w:val="22"/>
      <w:szCs w:val="28"/>
      <w:lang w:eastAsia="en-US"/>
    </w:rPr>
  </w:style>
  <w:style w:type="character" w:customStyle="1" w:styleId="Heading4Char">
    <w:name w:val="Heading 4 Char"/>
    <w:basedOn w:val="DefaultParagraphFont"/>
    <w:link w:val="Heading4"/>
    <w:uiPriority w:val="99"/>
    <w:locked/>
    <w:rsid w:val="000B198F"/>
    <w:rPr>
      <w:rFonts w:ascii="Arial" w:hAnsi="Arial" w:cs="Cambria"/>
      <w:b/>
      <w:bCs/>
      <w:iCs/>
      <w:color w:val="76923C"/>
      <w:sz w:val="20"/>
      <w:szCs w:val="28"/>
      <w:lang w:eastAsia="en-US"/>
    </w:rPr>
  </w:style>
  <w:style w:type="character" w:customStyle="1" w:styleId="Heading5Char">
    <w:name w:val="Heading 5 Char"/>
    <w:basedOn w:val="DefaultParagraphFont"/>
    <w:link w:val="Heading5"/>
    <w:rsid w:val="000B198F"/>
    <w:rPr>
      <w:rFonts w:ascii="Cambria" w:hAnsi="Cambria"/>
      <w:color w:val="3B491E"/>
      <w:sz w:val="22"/>
      <w:szCs w:val="24"/>
      <w:lang w:eastAsia="en-US"/>
    </w:rPr>
  </w:style>
  <w:style w:type="character" w:customStyle="1" w:styleId="Heading6Char">
    <w:name w:val="Heading 6 Char"/>
    <w:basedOn w:val="DefaultParagraphFont"/>
    <w:link w:val="Heading6"/>
    <w:rsid w:val="000B198F"/>
    <w:rPr>
      <w:rFonts w:ascii="Cambria" w:hAnsi="Cambria"/>
      <w:i/>
      <w:iCs/>
      <w:color w:val="3B491E"/>
      <w:sz w:val="22"/>
      <w:szCs w:val="24"/>
      <w:lang w:eastAsia="en-US"/>
    </w:rPr>
  </w:style>
  <w:style w:type="character" w:customStyle="1" w:styleId="Heading7Char">
    <w:name w:val="Heading 7 Char"/>
    <w:link w:val="Heading7"/>
    <w:rsid w:val="000B198F"/>
    <w:rPr>
      <w:rFonts w:ascii="Cambria" w:hAnsi="Cambria"/>
      <w:i/>
      <w:iCs/>
      <w:color w:val="404040"/>
      <w:szCs w:val="24"/>
      <w:lang w:eastAsia="en-US"/>
    </w:rPr>
  </w:style>
  <w:style w:type="character" w:customStyle="1" w:styleId="Heading8Char">
    <w:name w:val="Heading 8 Char"/>
    <w:basedOn w:val="DefaultParagraphFont"/>
    <w:link w:val="Heading8"/>
    <w:rsid w:val="000B198F"/>
    <w:rPr>
      <w:rFonts w:ascii="Cambria" w:hAnsi="Cambria"/>
      <w:color w:val="363636"/>
      <w:lang w:eastAsia="en-US"/>
    </w:rPr>
  </w:style>
  <w:style w:type="character" w:customStyle="1" w:styleId="Heading9Char">
    <w:name w:val="Heading 9 Char"/>
    <w:basedOn w:val="DefaultParagraphFont"/>
    <w:link w:val="Heading9"/>
    <w:rsid w:val="000B198F"/>
    <w:rPr>
      <w:rFonts w:ascii="Cambria" w:hAnsi="Cambria"/>
      <w:i/>
      <w:iCs/>
      <w:color w:val="363636"/>
      <w:lang w:eastAsia="en-US"/>
    </w:rPr>
  </w:style>
  <w:style w:type="character" w:customStyle="1" w:styleId="BalloonTextChar1">
    <w:name w:val="Balloon Text Char1"/>
    <w:basedOn w:val="DefaultParagraphFont"/>
    <w:link w:val="BalloonText"/>
    <w:uiPriority w:val="99"/>
    <w:locked/>
    <w:rsid w:val="006410B5"/>
    <w:rPr>
      <w:rFonts w:ascii="Tahoma" w:hAnsi="Tahoma" w:cs="Tahoma"/>
      <w:sz w:val="16"/>
      <w:szCs w:val="16"/>
      <w:lang w:eastAsia="en-US"/>
    </w:rPr>
  </w:style>
  <w:style w:type="paragraph" w:customStyle="1" w:styleId="ColorfulList-Accent11">
    <w:name w:val="Colorful List - Accent 11"/>
    <w:aliases w:val="List Paragraph - Dani,List Paragraph 1 - Dani"/>
    <w:basedOn w:val="Normal"/>
    <w:uiPriority w:val="34"/>
    <w:qFormat/>
    <w:rsid w:val="002F1741"/>
    <w:pPr>
      <w:numPr>
        <w:numId w:val="2"/>
      </w:numPr>
      <w:ind w:left="851" w:hanging="284"/>
      <w:contextualSpacing/>
    </w:pPr>
    <w:rPr>
      <w:rFonts w:cs="Arial"/>
      <w:szCs w:val="22"/>
    </w:rPr>
  </w:style>
  <w:style w:type="table" w:styleId="TableGrid">
    <w:name w:val="Table Grid"/>
    <w:basedOn w:val="TableNormal"/>
    <w:uiPriority w:val="59"/>
    <w:rsid w:val="00FB05B4"/>
    <w:rPr>
      <w:rFonts w:ascii="Arial" w:hAnsi="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qFormat/>
    <w:rsid w:val="003B11ED"/>
    <w:pPr>
      <w:spacing w:after="40"/>
    </w:pPr>
    <w:rPr>
      <w:sz w:val="16"/>
      <w:szCs w:val="20"/>
      <w:lang w:val="sv-SE" w:eastAsia="sv-SE"/>
    </w:rPr>
  </w:style>
  <w:style w:type="character" w:customStyle="1" w:styleId="FootnoteTextChar">
    <w:name w:val="Footnote Text Char"/>
    <w:basedOn w:val="DefaultParagraphFont"/>
    <w:link w:val="FootnoteText"/>
    <w:uiPriority w:val="99"/>
    <w:locked/>
    <w:rsid w:val="003B11ED"/>
    <w:rPr>
      <w:rFonts w:ascii="Arial" w:hAnsi="Arial"/>
      <w:sz w:val="16"/>
      <w:szCs w:val="20"/>
      <w:lang w:val="sv-SE" w:eastAsia="sv-SE"/>
    </w:rPr>
  </w:style>
  <w:style w:type="character" w:styleId="FootnoteReference">
    <w:name w:val="footnote reference"/>
    <w:basedOn w:val="FootnoteTextChar"/>
    <w:uiPriority w:val="99"/>
    <w:rsid w:val="00652437"/>
    <w:rPr>
      <w:rFonts w:ascii="Arial" w:hAnsi="Arial"/>
      <w:color w:val="auto"/>
      <w:spacing w:val="0"/>
      <w:position w:val="0"/>
      <w:sz w:val="22"/>
      <w:szCs w:val="16"/>
      <w:vertAlign w:val="superscript"/>
      <w:lang w:val="sv-SE" w:eastAsia="sv-SE"/>
    </w:rPr>
  </w:style>
  <w:style w:type="paragraph" w:styleId="Footer">
    <w:name w:val="footer"/>
    <w:basedOn w:val="Normal"/>
    <w:link w:val="FooterChar"/>
    <w:uiPriority w:val="99"/>
    <w:qFormat/>
    <w:rsid w:val="00355721"/>
    <w:pPr>
      <w:tabs>
        <w:tab w:val="center" w:pos="4513"/>
        <w:tab w:val="right" w:pos="9026"/>
      </w:tabs>
      <w:jc w:val="right"/>
    </w:pPr>
    <w:rPr>
      <w:b/>
      <w:color w:val="76923C"/>
      <w:sz w:val="16"/>
    </w:rPr>
  </w:style>
  <w:style w:type="character" w:customStyle="1" w:styleId="FooterChar">
    <w:name w:val="Footer Char"/>
    <w:basedOn w:val="DefaultParagraphFont"/>
    <w:link w:val="Footer"/>
    <w:uiPriority w:val="99"/>
    <w:locked/>
    <w:rsid w:val="00355721"/>
    <w:rPr>
      <w:rFonts w:ascii="Arial" w:hAnsi="Arial"/>
      <w:b/>
      <w:color w:val="76923C"/>
      <w:sz w:val="16"/>
      <w:szCs w:val="24"/>
      <w:lang w:val="en-AU"/>
    </w:rPr>
  </w:style>
  <w:style w:type="paragraph" w:customStyle="1" w:styleId="GridTable31">
    <w:name w:val="Grid Table 31"/>
    <w:basedOn w:val="Heading1"/>
    <w:next w:val="Normal"/>
    <w:uiPriority w:val="39"/>
    <w:qFormat/>
    <w:rsid w:val="00DE5AF4"/>
    <w:pPr>
      <w:spacing w:line="276" w:lineRule="auto"/>
      <w:ind w:left="0" w:firstLine="0"/>
      <w:outlineLvl w:val="9"/>
    </w:pPr>
    <w:rPr>
      <w:lang w:val="en-US"/>
    </w:rPr>
  </w:style>
  <w:style w:type="paragraph" w:styleId="TOC1">
    <w:name w:val="toc 1"/>
    <w:basedOn w:val="Normal"/>
    <w:next w:val="Normal"/>
    <w:autoRedefine/>
    <w:uiPriority w:val="39"/>
    <w:qFormat/>
    <w:rsid w:val="00441936"/>
    <w:pPr>
      <w:tabs>
        <w:tab w:val="left" w:pos="351"/>
        <w:tab w:val="left" w:pos="407"/>
        <w:tab w:val="right" w:leader="dot" w:pos="8489"/>
      </w:tabs>
      <w:spacing w:before="80" w:after="0"/>
    </w:pPr>
    <w:rPr>
      <w:b/>
      <w:noProof/>
      <w:sz w:val="20"/>
    </w:rPr>
  </w:style>
  <w:style w:type="paragraph" w:styleId="TOC2">
    <w:name w:val="toc 2"/>
    <w:basedOn w:val="Normal"/>
    <w:next w:val="Normal"/>
    <w:autoRedefine/>
    <w:uiPriority w:val="39"/>
    <w:qFormat/>
    <w:rsid w:val="006B00AC"/>
    <w:pPr>
      <w:spacing w:after="0"/>
    </w:pPr>
    <w:rPr>
      <w:rFonts w:ascii="Calibri" w:hAnsi="Calibri"/>
      <w:szCs w:val="22"/>
    </w:rPr>
  </w:style>
  <w:style w:type="character" w:styleId="CommentReference">
    <w:name w:val="annotation reference"/>
    <w:basedOn w:val="DefaultParagraphFont"/>
    <w:uiPriority w:val="99"/>
    <w:rsid w:val="00893519"/>
    <w:rPr>
      <w:sz w:val="16"/>
      <w:szCs w:val="16"/>
    </w:rPr>
  </w:style>
  <w:style w:type="paragraph" w:styleId="CommentText">
    <w:name w:val="annotation text"/>
    <w:basedOn w:val="Normal"/>
    <w:link w:val="CommentTextChar"/>
    <w:rsid w:val="00893519"/>
    <w:rPr>
      <w:sz w:val="20"/>
      <w:szCs w:val="20"/>
    </w:rPr>
  </w:style>
  <w:style w:type="character" w:customStyle="1" w:styleId="CommentTextChar">
    <w:name w:val="Comment Text Char"/>
    <w:basedOn w:val="DefaultParagraphFont"/>
    <w:link w:val="CommentText"/>
    <w:rsid w:val="00CC3880"/>
    <w:rPr>
      <w:sz w:val="20"/>
      <w:szCs w:val="20"/>
      <w:lang w:val="en-AU"/>
    </w:rPr>
  </w:style>
  <w:style w:type="paragraph" w:styleId="CommentSubject">
    <w:name w:val="annotation subject"/>
    <w:basedOn w:val="CommentText"/>
    <w:next w:val="CommentText"/>
    <w:link w:val="CommentSubjectChar"/>
    <w:rsid w:val="00893519"/>
    <w:rPr>
      <w:b/>
      <w:bCs/>
    </w:rPr>
  </w:style>
  <w:style w:type="character" w:customStyle="1" w:styleId="CommentSubjectChar">
    <w:name w:val="Comment Subject Char"/>
    <w:basedOn w:val="CommentTextChar"/>
    <w:link w:val="CommentSubject"/>
    <w:rsid w:val="00CC3880"/>
    <w:rPr>
      <w:b/>
      <w:bCs/>
      <w:sz w:val="20"/>
      <w:szCs w:val="20"/>
      <w:lang w:val="en-AU"/>
    </w:rPr>
  </w:style>
  <w:style w:type="paragraph" w:styleId="BodyTextIndent">
    <w:name w:val="Body Text Indent"/>
    <w:basedOn w:val="Normal"/>
    <w:link w:val="BodyTextIndentChar"/>
    <w:uiPriority w:val="99"/>
    <w:unhideWhenUsed/>
    <w:qFormat/>
    <w:rsid w:val="008A19E7"/>
    <w:pPr>
      <w:ind w:left="283"/>
    </w:pPr>
  </w:style>
  <w:style w:type="character" w:customStyle="1" w:styleId="BodyTextIndentChar">
    <w:name w:val="Body Text Indent Char"/>
    <w:basedOn w:val="DefaultParagraphFont"/>
    <w:link w:val="BodyTextIndent"/>
    <w:uiPriority w:val="99"/>
    <w:rsid w:val="008A19E7"/>
    <w:rPr>
      <w:sz w:val="24"/>
      <w:szCs w:val="24"/>
      <w:lang w:val="en-AU"/>
    </w:rPr>
  </w:style>
  <w:style w:type="paragraph" w:customStyle="1" w:styleId="Boxheading">
    <w:name w:val="Box heading"/>
    <w:basedOn w:val="Normal"/>
    <w:qFormat/>
    <w:rsid w:val="00CB69FA"/>
    <w:pPr>
      <w:spacing w:before="120"/>
    </w:pPr>
    <w:rPr>
      <w:rFonts w:cs="Arial"/>
      <w:b/>
      <w:szCs w:val="22"/>
    </w:rPr>
  </w:style>
  <w:style w:type="paragraph" w:styleId="TableofFigures">
    <w:name w:val="table of figures"/>
    <w:basedOn w:val="Normal"/>
    <w:next w:val="Normal"/>
    <w:uiPriority w:val="99"/>
    <w:qFormat/>
    <w:rsid w:val="0052395C"/>
    <w:pPr>
      <w:spacing w:after="0"/>
    </w:pPr>
  </w:style>
  <w:style w:type="paragraph" w:customStyle="1" w:styleId="Numberedstyle">
    <w:name w:val="Numbered style"/>
    <w:basedOn w:val="ColorfulList-Accent11"/>
    <w:link w:val="NumberedstyleChar"/>
    <w:qFormat/>
    <w:rsid w:val="00A6097B"/>
    <w:pPr>
      <w:numPr>
        <w:numId w:val="1"/>
      </w:numPr>
      <w:tabs>
        <w:tab w:val="clear" w:pos="851"/>
      </w:tabs>
    </w:pPr>
    <w:rPr>
      <w:rFonts w:cs="Times New Roman"/>
      <w:szCs w:val="20"/>
    </w:rPr>
  </w:style>
  <w:style w:type="character" w:customStyle="1" w:styleId="NumberedstyleChar">
    <w:name w:val="Numbered style Char"/>
    <w:link w:val="Numberedstyle"/>
    <w:rsid w:val="00A6097B"/>
    <w:rPr>
      <w:rFonts w:ascii="Arial" w:hAnsi="Arial"/>
      <w:sz w:val="22"/>
      <w:szCs w:val="20"/>
      <w:lang w:eastAsia="en-US"/>
    </w:rPr>
  </w:style>
  <w:style w:type="paragraph" w:customStyle="1" w:styleId="Tableheading">
    <w:name w:val="Table heading"/>
    <w:basedOn w:val="Normal"/>
    <w:link w:val="TableheadingChar"/>
    <w:qFormat/>
    <w:rsid w:val="00392633"/>
    <w:pPr>
      <w:spacing w:before="400"/>
    </w:pPr>
    <w:rPr>
      <w:rFonts w:cs="Arial"/>
      <w:b/>
      <w:color w:val="76923C"/>
      <w:szCs w:val="22"/>
    </w:rPr>
  </w:style>
  <w:style w:type="character" w:customStyle="1" w:styleId="TableheadingChar">
    <w:name w:val="Table heading Char"/>
    <w:basedOn w:val="NumberedstyleChar"/>
    <w:link w:val="Tableheading"/>
    <w:rsid w:val="00392633"/>
    <w:rPr>
      <w:rFonts w:ascii="Arial" w:hAnsi="Arial" w:cs="Arial"/>
      <w:b/>
      <w:color w:val="76923C"/>
      <w:sz w:val="22"/>
      <w:szCs w:val="22"/>
      <w:lang w:eastAsia="en-US"/>
    </w:rPr>
  </w:style>
  <w:style w:type="paragraph" w:styleId="EndnoteText">
    <w:name w:val="endnote text"/>
    <w:basedOn w:val="Normal"/>
    <w:link w:val="EndnoteTextChar"/>
    <w:uiPriority w:val="99"/>
    <w:unhideWhenUsed/>
    <w:qFormat/>
    <w:rsid w:val="006B3EE5"/>
    <w:rPr>
      <w:sz w:val="20"/>
      <w:szCs w:val="20"/>
    </w:rPr>
  </w:style>
  <w:style w:type="character" w:customStyle="1" w:styleId="EndnoteTextChar">
    <w:name w:val="Endnote Text Char"/>
    <w:basedOn w:val="DefaultParagraphFont"/>
    <w:link w:val="EndnoteText"/>
    <w:uiPriority w:val="99"/>
    <w:rsid w:val="006B3EE5"/>
    <w:rPr>
      <w:sz w:val="20"/>
      <w:szCs w:val="20"/>
      <w:lang w:val="en-AU"/>
    </w:rPr>
  </w:style>
  <w:style w:type="character" w:styleId="EndnoteReference">
    <w:name w:val="endnote reference"/>
    <w:basedOn w:val="DefaultParagraphFont"/>
    <w:uiPriority w:val="99"/>
    <w:unhideWhenUsed/>
    <w:rsid w:val="006B3EE5"/>
    <w:rPr>
      <w:vertAlign w:val="superscript"/>
    </w:rPr>
  </w:style>
  <w:style w:type="paragraph" w:customStyle="1" w:styleId="ERFTitleHeading">
    <w:name w:val="ERF Title Heading"/>
    <w:basedOn w:val="GridTable31"/>
    <w:qFormat/>
    <w:rsid w:val="00DE5AF4"/>
    <w:pPr>
      <w:jc w:val="center"/>
    </w:pPr>
    <w:rPr>
      <w:sz w:val="40"/>
      <w:szCs w:val="40"/>
    </w:rPr>
  </w:style>
  <w:style w:type="paragraph" w:customStyle="1" w:styleId="ERFHeading">
    <w:name w:val="ERF Heading"/>
    <w:basedOn w:val="GridTable31"/>
    <w:link w:val="ERFHeadingChar"/>
    <w:qFormat/>
    <w:rsid w:val="00C571B5"/>
    <w:pPr>
      <w:tabs>
        <w:tab w:val="left" w:pos="851"/>
      </w:tabs>
      <w:spacing w:before="200" w:after="200" w:line="240" w:lineRule="auto"/>
      <w:ind w:left="284" w:hanging="284"/>
    </w:pPr>
    <w:rPr>
      <w:sz w:val="28"/>
    </w:rPr>
  </w:style>
  <w:style w:type="character" w:customStyle="1" w:styleId="ERFHeadingChar">
    <w:name w:val="ERF Heading Char"/>
    <w:basedOn w:val="DefaultParagraphFont"/>
    <w:link w:val="ERFHeading"/>
    <w:rsid w:val="00C571B5"/>
    <w:rPr>
      <w:rFonts w:ascii="Arial" w:hAnsi="Arial" w:cs="Arial"/>
      <w:b/>
      <w:bCs/>
      <w:color w:val="76923C"/>
      <w:sz w:val="28"/>
      <w:szCs w:val="28"/>
      <w:lang w:val="en-US" w:eastAsia="en-US"/>
    </w:rPr>
  </w:style>
  <w:style w:type="paragraph" w:styleId="Header">
    <w:name w:val="header"/>
    <w:basedOn w:val="Normal"/>
    <w:link w:val="HeaderChar"/>
    <w:qFormat/>
    <w:rsid w:val="00331946"/>
    <w:pPr>
      <w:tabs>
        <w:tab w:val="center" w:pos="4320"/>
        <w:tab w:val="right" w:pos="8640"/>
      </w:tabs>
    </w:pPr>
    <w:rPr>
      <w:b/>
      <w:color w:val="76923C"/>
    </w:rPr>
  </w:style>
  <w:style w:type="character" w:customStyle="1" w:styleId="HeaderChar">
    <w:name w:val="Header Char"/>
    <w:basedOn w:val="DefaultParagraphFont"/>
    <w:link w:val="Header"/>
    <w:rsid w:val="00331946"/>
    <w:rPr>
      <w:rFonts w:ascii="Arial" w:hAnsi="Arial"/>
      <w:b/>
      <w:color w:val="76923C"/>
      <w:sz w:val="22"/>
      <w:lang w:eastAsia="en-US"/>
    </w:rPr>
  </w:style>
  <w:style w:type="paragraph" w:styleId="TOC3">
    <w:name w:val="toc 3"/>
    <w:basedOn w:val="Normal"/>
    <w:next w:val="Normal"/>
    <w:autoRedefine/>
    <w:uiPriority w:val="39"/>
    <w:qFormat/>
    <w:rsid w:val="003A01BA"/>
    <w:pPr>
      <w:tabs>
        <w:tab w:val="left" w:pos="567"/>
        <w:tab w:val="right" w:leader="dot" w:pos="8489"/>
      </w:tabs>
    </w:pPr>
  </w:style>
  <w:style w:type="paragraph" w:styleId="ListParagraph">
    <w:name w:val="List Paragraph"/>
    <w:basedOn w:val="Normal"/>
    <w:uiPriority w:val="34"/>
    <w:qFormat/>
    <w:rsid w:val="00620740"/>
    <w:pPr>
      <w:numPr>
        <w:numId w:val="58"/>
      </w:numPr>
      <w:contextualSpacing/>
    </w:pPr>
  </w:style>
  <w:style w:type="character" w:styleId="Hyperlink">
    <w:name w:val="Hyperlink"/>
    <w:basedOn w:val="DefaultParagraphFont"/>
    <w:uiPriority w:val="99"/>
    <w:rsid w:val="00253003"/>
    <w:rPr>
      <w:color w:val="0000FF"/>
      <w:u w:val="single"/>
    </w:rPr>
  </w:style>
  <w:style w:type="paragraph" w:styleId="ListBullet">
    <w:name w:val="List Bullet"/>
    <w:basedOn w:val="Normal"/>
    <w:next w:val="Normal"/>
    <w:rsid w:val="00253003"/>
    <w:pPr>
      <w:numPr>
        <w:numId w:val="4"/>
      </w:numPr>
      <w:spacing w:before="40" w:after="40"/>
      <w:jc w:val="both"/>
    </w:pPr>
    <w:rPr>
      <w:rFonts w:ascii="Times New Roman" w:hAnsi="Times New Roman"/>
      <w:sz w:val="24"/>
      <w:szCs w:val="20"/>
    </w:rPr>
  </w:style>
  <w:style w:type="paragraph" w:styleId="Caption">
    <w:name w:val="caption"/>
    <w:basedOn w:val="Normal"/>
    <w:next w:val="Normal"/>
    <w:qFormat/>
    <w:rsid w:val="00253003"/>
    <w:pPr>
      <w:spacing w:before="40" w:after="240"/>
    </w:pPr>
    <w:rPr>
      <w:b/>
      <w:sz w:val="24"/>
      <w:szCs w:val="20"/>
    </w:rPr>
  </w:style>
  <w:style w:type="paragraph" w:styleId="PlainText">
    <w:name w:val="Plain Text"/>
    <w:basedOn w:val="Normal"/>
    <w:link w:val="PlainTextChar"/>
    <w:uiPriority w:val="99"/>
    <w:unhideWhenUsed/>
    <w:rsid w:val="00B776E0"/>
    <w:pPr>
      <w:spacing w:after="0"/>
    </w:pPr>
    <w:rPr>
      <w:rFonts w:ascii="Calibri" w:eastAsiaTheme="minorHAnsi" w:hAnsi="Calibri"/>
      <w:szCs w:val="22"/>
    </w:rPr>
  </w:style>
  <w:style w:type="character" w:customStyle="1" w:styleId="PlainTextChar">
    <w:name w:val="Plain Text Char"/>
    <w:basedOn w:val="DefaultParagraphFont"/>
    <w:link w:val="PlainText"/>
    <w:uiPriority w:val="99"/>
    <w:rsid w:val="00B776E0"/>
    <w:rPr>
      <w:rFonts w:ascii="Calibri" w:eastAsiaTheme="minorHAnsi" w:hAnsi="Calibri"/>
      <w:sz w:val="22"/>
      <w:szCs w:val="22"/>
      <w:lang w:eastAsia="en-US"/>
    </w:rPr>
  </w:style>
  <w:style w:type="paragraph" w:styleId="NormalWeb">
    <w:name w:val="Normal (Web)"/>
    <w:basedOn w:val="Normal"/>
    <w:uiPriority w:val="99"/>
    <w:unhideWhenUsed/>
    <w:rsid w:val="00B776E0"/>
    <w:pPr>
      <w:spacing w:before="150" w:after="0"/>
    </w:pPr>
    <w:rPr>
      <w:rFonts w:ascii="Times New Roman" w:hAnsi="Times New Roman"/>
      <w:sz w:val="24"/>
      <w:lang w:eastAsia="en-AU"/>
    </w:rPr>
  </w:style>
  <w:style w:type="paragraph" w:customStyle="1" w:styleId="Insidebox">
    <w:name w:val="Inside box"/>
    <w:basedOn w:val="Normal"/>
    <w:link w:val="InsideboxChar"/>
    <w:qFormat/>
    <w:rsid w:val="00B776E0"/>
    <w:pPr>
      <w:widowControl w:val="0"/>
      <w:spacing w:before="20" w:after="20"/>
    </w:pPr>
    <w:rPr>
      <w:rFonts w:eastAsia="Arial" w:cs="Arial"/>
      <w:kern w:val="2"/>
      <w:szCs w:val="22"/>
      <w:lang w:val="en-GB" w:eastAsia="zh-CN"/>
    </w:rPr>
  </w:style>
  <w:style w:type="table" w:customStyle="1" w:styleId="TableGrid1">
    <w:name w:val="Table Grid1"/>
    <w:basedOn w:val="TableNormal"/>
    <w:next w:val="TableGrid"/>
    <w:uiPriority w:val="59"/>
    <w:rsid w:val="00B776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31">
    <w:name w:val="List Table 4 - Accent 31"/>
    <w:basedOn w:val="TableNormal"/>
    <w:uiPriority w:val="49"/>
    <w:rsid w:val="00B776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B776E0"/>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4-Accent32">
    <w:name w:val="List Table 4 - Accent 32"/>
    <w:basedOn w:val="TableNormal"/>
    <w:uiPriority w:val="49"/>
    <w:rsid w:val="00B776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2">
    <w:name w:val="Table Grid Light2"/>
    <w:basedOn w:val="TableNormal"/>
    <w:uiPriority w:val="40"/>
    <w:rsid w:val="00B776E0"/>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B776E0"/>
    <w:rPr>
      <w:color w:val="954F72" w:themeColor="followedHyperlink"/>
      <w:u w:val="single"/>
    </w:rPr>
  </w:style>
  <w:style w:type="paragraph" w:customStyle="1" w:styleId="CommentText1">
    <w:name w:val="Comment Text1"/>
    <w:basedOn w:val="Normal"/>
    <w:qFormat/>
    <w:rsid w:val="009B4045"/>
    <w:pPr>
      <w:spacing w:before="120"/>
    </w:pPr>
    <w:rPr>
      <w:sz w:val="20"/>
      <w:szCs w:val="20"/>
      <w:lang w:eastAsia="zh-CN"/>
    </w:rPr>
  </w:style>
  <w:style w:type="paragraph" w:customStyle="1" w:styleId="CommentSubject1">
    <w:name w:val="Comment Subject1"/>
    <w:basedOn w:val="CommentText1"/>
    <w:next w:val="CommentText1"/>
    <w:qFormat/>
    <w:rsid w:val="009B4045"/>
    <w:rPr>
      <w:b/>
      <w:bCs/>
    </w:rPr>
  </w:style>
  <w:style w:type="character" w:customStyle="1" w:styleId="CommentReference1">
    <w:name w:val="Comment Reference1"/>
    <w:basedOn w:val="DefaultParagraphFont"/>
    <w:rsid w:val="009B4045"/>
    <w:rPr>
      <w:sz w:val="16"/>
      <w:szCs w:val="16"/>
    </w:rPr>
  </w:style>
  <w:style w:type="paragraph" w:customStyle="1" w:styleId="Altogether">
    <w:name w:val="Altogether"/>
    <w:basedOn w:val="Normal"/>
    <w:qFormat/>
    <w:rsid w:val="009B4045"/>
    <w:pPr>
      <w:widowControl w:val="0"/>
      <w:spacing w:before="20" w:after="20"/>
    </w:pPr>
    <w:rPr>
      <w:rFonts w:eastAsia="Arial" w:cs="Arial"/>
      <w:kern w:val="1"/>
      <w:sz w:val="24"/>
      <w:lang w:val="en-GB" w:eastAsia="zh-CN"/>
    </w:rPr>
  </w:style>
  <w:style w:type="paragraph" w:customStyle="1" w:styleId="Quote1">
    <w:name w:val="Quote1"/>
    <w:basedOn w:val="Normal"/>
    <w:rsid w:val="009B4045"/>
    <w:pPr>
      <w:spacing w:before="120"/>
    </w:pPr>
    <w:rPr>
      <w:rFonts w:cs="Arial"/>
      <w:i/>
      <w:iCs/>
      <w:color w:val="000000"/>
      <w:szCs w:val="22"/>
      <w:lang w:eastAsia="en-AU"/>
    </w:rPr>
  </w:style>
  <w:style w:type="paragraph" w:customStyle="1" w:styleId="Dotpoint">
    <w:name w:val="Dot point"/>
    <w:basedOn w:val="Normal"/>
    <w:qFormat/>
    <w:rsid w:val="009B4045"/>
    <w:pPr>
      <w:spacing w:before="80" w:after="80"/>
      <w:ind w:left="930" w:hanging="360"/>
    </w:pPr>
    <w:rPr>
      <w:rFonts w:cs="Arial"/>
      <w:color w:val="000000"/>
      <w:szCs w:val="22"/>
      <w:lang w:eastAsia="en-AU"/>
    </w:rPr>
  </w:style>
  <w:style w:type="paragraph" w:styleId="Title">
    <w:name w:val="Title"/>
    <w:basedOn w:val="Normal"/>
    <w:link w:val="TitleChar"/>
    <w:qFormat/>
    <w:rsid w:val="009B4045"/>
    <w:pPr>
      <w:widowControl w:val="0"/>
      <w:spacing w:before="120"/>
      <w:jc w:val="center"/>
      <w:outlineLvl w:val="0"/>
    </w:pPr>
    <w:rPr>
      <w:rFonts w:eastAsia="Arial" w:cs="Arial"/>
      <w:b/>
      <w:bCs/>
      <w:kern w:val="1"/>
      <w:sz w:val="32"/>
      <w:szCs w:val="32"/>
      <w:lang w:val="en-GB" w:eastAsia="zh-CN"/>
    </w:rPr>
  </w:style>
  <w:style w:type="character" w:customStyle="1" w:styleId="TitleChar">
    <w:name w:val="Title Char"/>
    <w:basedOn w:val="DefaultParagraphFont"/>
    <w:link w:val="Title"/>
    <w:rsid w:val="009B4045"/>
    <w:rPr>
      <w:rFonts w:ascii="Arial" w:eastAsia="Arial" w:hAnsi="Arial" w:cs="Arial"/>
      <w:b/>
      <w:bCs/>
      <w:kern w:val="1"/>
      <w:sz w:val="32"/>
      <w:szCs w:val="32"/>
      <w:lang w:val="en-GB" w:eastAsia="zh-CN"/>
    </w:rPr>
  </w:style>
  <w:style w:type="paragraph" w:customStyle="1" w:styleId="Dotpoint1">
    <w:name w:val="Dot point1"/>
    <w:basedOn w:val="Normal"/>
    <w:qFormat/>
    <w:rsid w:val="009B4045"/>
    <w:pPr>
      <w:widowControl w:val="0"/>
      <w:numPr>
        <w:numId w:val="43"/>
      </w:numPr>
      <w:spacing w:before="80" w:after="80"/>
      <w:ind w:left="927" w:hanging="360"/>
    </w:pPr>
    <w:rPr>
      <w:rFonts w:eastAsia="Arial" w:cs="Arial"/>
      <w:kern w:val="1"/>
      <w:sz w:val="24"/>
      <w:lang w:val="en-GB" w:eastAsia="zh-CN"/>
    </w:rPr>
  </w:style>
  <w:style w:type="paragraph" w:customStyle="1" w:styleId="box">
    <w:name w:val="box"/>
    <w:basedOn w:val="Normal"/>
    <w:qFormat/>
    <w:rsid w:val="009B4045"/>
    <w:pPr>
      <w:widowControl w:val="0"/>
      <w:pBdr>
        <w:top w:val="none" w:sz="0" w:space="0" w:color="000000"/>
        <w:left w:val="none" w:sz="0" w:space="0" w:color="000000"/>
        <w:bottom w:val="none" w:sz="0" w:space="0" w:color="000000"/>
        <w:right w:val="none" w:sz="0" w:space="0" w:color="000000"/>
        <w:between w:val="none" w:sz="0" w:space="0" w:color="000000"/>
      </w:pBdr>
      <w:spacing w:before="20" w:after="20"/>
      <w:jc w:val="right"/>
    </w:pPr>
    <w:rPr>
      <w:rFonts w:eastAsia="Arial" w:cs="Arial"/>
      <w:kern w:val="1"/>
      <w:szCs w:val="22"/>
      <w:lang w:val="en-GB" w:eastAsia="zh-CN"/>
    </w:rPr>
  </w:style>
  <w:style w:type="paragraph" w:customStyle="1" w:styleId="Rightalignintable">
    <w:name w:val="Right align in table"/>
    <w:basedOn w:val="Insidebox"/>
    <w:link w:val="RightalignintableChar"/>
    <w:qFormat/>
    <w:rsid w:val="009B4045"/>
    <w:pPr>
      <w:widowControl/>
      <w:jc w:val="right"/>
    </w:pPr>
  </w:style>
  <w:style w:type="character" w:customStyle="1" w:styleId="InsideboxChar">
    <w:name w:val="Inside box Char"/>
    <w:basedOn w:val="DefaultParagraphFont"/>
    <w:link w:val="Insidebox"/>
    <w:rsid w:val="009B4045"/>
    <w:rPr>
      <w:rFonts w:ascii="Arial" w:eastAsia="Arial" w:hAnsi="Arial" w:cs="Arial"/>
      <w:kern w:val="2"/>
      <w:sz w:val="22"/>
      <w:szCs w:val="22"/>
      <w:lang w:val="en-GB" w:eastAsia="zh-CN"/>
    </w:rPr>
  </w:style>
  <w:style w:type="character" w:customStyle="1" w:styleId="RightalignintableChar">
    <w:name w:val="Right align in table Char"/>
    <w:basedOn w:val="InsideboxChar"/>
    <w:link w:val="Rightalignintable"/>
    <w:rsid w:val="009B4045"/>
    <w:rPr>
      <w:rFonts w:ascii="Arial" w:eastAsia="Arial" w:hAnsi="Arial" w:cs="Arial"/>
      <w:kern w:val="2"/>
      <w:sz w:val="22"/>
      <w:szCs w:val="22"/>
      <w:lang w:val="en-GB" w:eastAsia="zh-CN"/>
    </w:rPr>
  </w:style>
  <w:style w:type="paragraph" w:customStyle="1" w:styleId="Normal1">
    <w:name w:val="Normal1"/>
    <w:basedOn w:val="Normal"/>
    <w:rsid w:val="009B4045"/>
    <w:pPr>
      <w:spacing w:after="0"/>
    </w:pPr>
    <w:rPr>
      <w:rFonts w:ascii="Times New Roman" w:hAnsi="Times New Roman"/>
      <w:color w:val="000000"/>
      <w:sz w:val="20"/>
      <w:szCs w:val="20"/>
      <w:lang w:eastAsia="en-AU"/>
    </w:rPr>
  </w:style>
  <w:style w:type="paragraph" w:customStyle="1" w:styleId="Insidebox1">
    <w:name w:val="Inside box1"/>
    <w:basedOn w:val="Normal"/>
    <w:qFormat/>
    <w:rsid w:val="009B4045"/>
    <w:pPr>
      <w:pBdr>
        <w:top w:val="none" w:sz="0" w:space="0" w:color="000000"/>
        <w:left w:val="none" w:sz="0" w:space="0" w:color="000000"/>
        <w:bottom w:val="none" w:sz="0" w:space="0" w:color="000000"/>
        <w:right w:val="none" w:sz="0" w:space="0" w:color="000000"/>
        <w:between w:val="none" w:sz="0" w:space="0" w:color="000000"/>
      </w:pBdr>
      <w:spacing w:before="20" w:after="20"/>
    </w:pPr>
    <w:rPr>
      <w:rFonts w:cs="Arial"/>
      <w:kern w:val="1"/>
      <w:sz w:val="20"/>
      <w:szCs w:val="22"/>
      <w:lang w:eastAsia="zh-CN"/>
    </w:rPr>
  </w:style>
  <w:style w:type="paragraph" w:customStyle="1" w:styleId="Tableheading1">
    <w:name w:val="Table heading1"/>
    <w:basedOn w:val="Normal"/>
    <w:qFormat/>
    <w:rsid w:val="009B4045"/>
    <w:pPr>
      <w:pBdr>
        <w:top w:val="none" w:sz="0" w:space="0" w:color="000000"/>
        <w:left w:val="none" w:sz="0" w:space="0" w:color="000000"/>
        <w:bottom w:val="none" w:sz="0" w:space="0" w:color="000000"/>
        <w:right w:val="none" w:sz="0" w:space="0" w:color="000000"/>
        <w:between w:val="none" w:sz="0" w:space="0" w:color="000000"/>
      </w:pBdr>
      <w:spacing w:before="400"/>
    </w:pPr>
    <w:rPr>
      <w:rFonts w:ascii="Arial Bold" w:hAnsi="Arial Bold" w:cs="Arial"/>
      <w:b/>
      <w:color w:val="76923C"/>
      <w:kern w:val="1"/>
      <w:szCs w:val="22"/>
      <w:lang w:eastAsia="zh-CN"/>
    </w:rPr>
  </w:style>
  <w:style w:type="character" w:customStyle="1" w:styleId="CommentTextChar1">
    <w:name w:val="Comment Text Char1"/>
    <w:basedOn w:val="DefaultParagraphFont"/>
    <w:uiPriority w:val="99"/>
    <w:semiHidden/>
    <w:rsid w:val="009B4045"/>
    <w:rPr>
      <w:sz w:val="20"/>
      <w:szCs w:val="20"/>
    </w:rPr>
  </w:style>
  <w:style w:type="character" w:customStyle="1" w:styleId="Hyperlink1">
    <w:name w:val="Hyperlink1"/>
    <w:basedOn w:val="DefaultParagraphFont"/>
    <w:uiPriority w:val="99"/>
    <w:unhideWhenUsed/>
    <w:rsid w:val="009B4045"/>
    <w:rPr>
      <w:color w:val="0563C1"/>
      <w:u w:val="single"/>
    </w:rPr>
  </w:style>
  <w:style w:type="table" w:customStyle="1" w:styleId="TableGrid2">
    <w:name w:val="Table Grid2"/>
    <w:basedOn w:val="TableNormal"/>
    <w:next w:val="TableGrid"/>
    <w:uiPriority w:val="59"/>
    <w:rsid w:val="009B404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rial">
    <w:name w:val="Normal Arial"/>
    <w:basedOn w:val="Normal"/>
    <w:qFormat/>
    <w:rsid w:val="00972815"/>
    <w:pPr>
      <w:widowControl w:val="0"/>
      <w:pBdr>
        <w:top w:val="none" w:sz="0" w:space="0" w:color="000000"/>
        <w:left w:val="none" w:sz="0" w:space="0" w:color="000000"/>
        <w:bottom w:val="none" w:sz="0" w:space="0" w:color="000000"/>
        <w:right w:val="none" w:sz="0" w:space="0" w:color="000000"/>
        <w:between w:val="none" w:sz="0" w:space="0" w:color="000000"/>
      </w:pBdr>
      <w:spacing w:before="120"/>
    </w:pPr>
    <w:rPr>
      <w:rFonts w:eastAsia="Arial" w:cs="Arial"/>
      <w:kern w:val="1"/>
      <w:szCs w:val="22"/>
      <w:lang w:val="en-GB" w:eastAsia="zh-CN"/>
    </w:rPr>
  </w:style>
  <w:style w:type="paragraph" w:styleId="TOC4">
    <w:name w:val="toc 4"/>
    <w:basedOn w:val="Normal"/>
    <w:next w:val="Normal"/>
    <w:autoRedefine/>
    <w:uiPriority w:val="39"/>
    <w:unhideWhenUsed/>
    <w:rsid w:val="006C41DC"/>
    <w:pPr>
      <w:spacing w:after="100"/>
      <w:ind w:left="720"/>
    </w:pPr>
    <w:rPr>
      <w:rFonts w:asciiTheme="minorHAnsi" w:eastAsiaTheme="minorEastAsia" w:hAnsiTheme="minorHAnsi" w:cstheme="minorBidi"/>
      <w:sz w:val="24"/>
      <w:lang w:val="en-US"/>
    </w:rPr>
  </w:style>
  <w:style w:type="paragraph" w:styleId="TOC5">
    <w:name w:val="toc 5"/>
    <w:basedOn w:val="Normal"/>
    <w:next w:val="Normal"/>
    <w:autoRedefine/>
    <w:uiPriority w:val="39"/>
    <w:unhideWhenUsed/>
    <w:rsid w:val="006C41DC"/>
    <w:pPr>
      <w:spacing w:after="100"/>
      <w:ind w:left="960"/>
    </w:pPr>
    <w:rPr>
      <w:rFonts w:asciiTheme="minorHAnsi" w:eastAsiaTheme="minorEastAsia" w:hAnsiTheme="minorHAnsi" w:cstheme="minorBidi"/>
      <w:sz w:val="24"/>
      <w:lang w:val="en-US"/>
    </w:rPr>
  </w:style>
  <w:style w:type="paragraph" w:styleId="TOC6">
    <w:name w:val="toc 6"/>
    <w:basedOn w:val="Normal"/>
    <w:next w:val="Normal"/>
    <w:autoRedefine/>
    <w:uiPriority w:val="39"/>
    <w:unhideWhenUsed/>
    <w:rsid w:val="006C41DC"/>
    <w:pPr>
      <w:spacing w:after="100"/>
      <w:ind w:left="1200"/>
    </w:pPr>
    <w:rPr>
      <w:rFonts w:asciiTheme="minorHAnsi" w:eastAsiaTheme="minorEastAsia" w:hAnsiTheme="minorHAnsi" w:cstheme="minorBidi"/>
      <w:sz w:val="24"/>
      <w:lang w:val="en-US"/>
    </w:rPr>
  </w:style>
  <w:style w:type="paragraph" w:styleId="TOC7">
    <w:name w:val="toc 7"/>
    <w:basedOn w:val="Normal"/>
    <w:next w:val="Normal"/>
    <w:autoRedefine/>
    <w:uiPriority w:val="39"/>
    <w:unhideWhenUsed/>
    <w:rsid w:val="006C41DC"/>
    <w:pPr>
      <w:spacing w:after="100"/>
      <w:ind w:left="1440"/>
    </w:pPr>
    <w:rPr>
      <w:rFonts w:asciiTheme="minorHAnsi" w:eastAsiaTheme="minorEastAsia" w:hAnsiTheme="minorHAnsi" w:cstheme="minorBidi"/>
      <w:sz w:val="24"/>
      <w:lang w:val="en-US"/>
    </w:rPr>
  </w:style>
  <w:style w:type="paragraph" w:styleId="TOC8">
    <w:name w:val="toc 8"/>
    <w:basedOn w:val="Normal"/>
    <w:next w:val="Normal"/>
    <w:autoRedefine/>
    <w:uiPriority w:val="39"/>
    <w:unhideWhenUsed/>
    <w:rsid w:val="006C41DC"/>
    <w:pPr>
      <w:spacing w:after="100"/>
      <w:ind w:left="1680"/>
    </w:pPr>
    <w:rPr>
      <w:rFonts w:asciiTheme="minorHAnsi" w:eastAsiaTheme="minorEastAsia" w:hAnsiTheme="minorHAnsi" w:cstheme="minorBidi"/>
      <w:sz w:val="24"/>
      <w:lang w:val="en-US"/>
    </w:rPr>
  </w:style>
  <w:style w:type="paragraph" w:styleId="TOC9">
    <w:name w:val="toc 9"/>
    <w:basedOn w:val="Normal"/>
    <w:next w:val="Normal"/>
    <w:autoRedefine/>
    <w:uiPriority w:val="39"/>
    <w:unhideWhenUsed/>
    <w:rsid w:val="006C41DC"/>
    <w:pPr>
      <w:spacing w:after="100"/>
      <w:ind w:left="1920"/>
    </w:pPr>
    <w:rPr>
      <w:rFonts w:asciiTheme="minorHAnsi" w:eastAsiaTheme="minorEastAsia" w:hAnsiTheme="minorHAnsi" w:cstheme="minorBidi"/>
      <w:sz w:val="24"/>
      <w:lang w:val="en-US"/>
    </w:rPr>
  </w:style>
  <w:style w:type="character" w:styleId="PageNumber">
    <w:name w:val="page number"/>
    <w:basedOn w:val="DefaultParagraphFont"/>
    <w:unhideWhenUsed/>
    <w:rsid w:val="006C41DC"/>
  </w:style>
  <w:style w:type="paragraph" w:customStyle="1" w:styleId="xl24">
    <w:name w:val="xl24"/>
    <w:basedOn w:val="Normal"/>
    <w:rsid w:val="008F00FD"/>
    <w:pPr>
      <w:pBdr>
        <w:left w:val="single" w:sz="4" w:space="0" w:color="auto"/>
        <w:bottom w:val="single" w:sz="4" w:space="0" w:color="auto"/>
      </w:pBdr>
      <w:spacing w:beforeLines="1" w:afterLines="1"/>
    </w:pPr>
    <w:rPr>
      <w:rFonts w:ascii="Times" w:hAnsi="Times" w:cstheme="minorBidi"/>
      <w:sz w:val="20"/>
      <w:szCs w:val="20"/>
    </w:rPr>
  </w:style>
  <w:style w:type="paragraph" w:customStyle="1" w:styleId="xl25">
    <w:name w:val="xl25"/>
    <w:basedOn w:val="Normal"/>
    <w:rsid w:val="008F00FD"/>
    <w:pPr>
      <w:pBdr>
        <w:bottom w:val="single" w:sz="4" w:space="0" w:color="auto"/>
      </w:pBdr>
      <w:spacing w:beforeLines="1" w:afterLines="1"/>
    </w:pPr>
    <w:rPr>
      <w:rFonts w:ascii="Times" w:hAnsi="Times" w:cstheme="minorBidi"/>
      <w:sz w:val="20"/>
      <w:szCs w:val="20"/>
    </w:rPr>
  </w:style>
  <w:style w:type="paragraph" w:styleId="TOCHeading">
    <w:name w:val="TOC Heading"/>
    <w:basedOn w:val="Heading1"/>
    <w:next w:val="Normal"/>
    <w:uiPriority w:val="39"/>
    <w:qFormat/>
    <w:rsid w:val="00FC22E6"/>
    <w:pPr>
      <w:keepNext w:val="0"/>
      <w:keepLines w:val="0"/>
      <w:spacing w:before="0"/>
      <w:ind w:left="0" w:firstLine="0"/>
      <w:outlineLvl w:val="9"/>
    </w:pPr>
    <w:rPr>
      <w:rFonts w:cs="Times New Roman"/>
      <w:b w:val="0"/>
      <w:bCs w:val="0"/>
      <w:color w:val="auto"/>
      <w:sz w:val="22"/>
      <w:szCs w:val="24"/>
    </w:rPr>
  </w:style>
  <w:style w:type="character" w:styleId="Strong">
    <w:name w:val="Strong"/>
    <w:basedOn w:val="DefaultParagraphFont"/>
    <w:qFormat/>
    <w:rsid w:val="00FC22E6"/>
    <w:rPr>
      <w:b/>
      <w:bCs/>
    </w:rPr>
  </w:style>
  <w:style w:type="paragraph" w:styleId="BodyText">
    <w:name w:val="Body Text"/>
    <w:basedOn w:val="Normal"/>
    <w:link w:val="BodyTextChar"/>
    <w:uiPriority w:val="1"/>
    <w:qFormat/>
    <w:rsid w:val="003C7B7E"/>
    <w:pPr>
      <w:widowControl w:val="0"/>
      <w:spacing w:before="121" w:after="0"/>
      <w:ind w:left="840"/>
    </w:pPr>
    <w:rPr>
      <w:rFonts w:eastAsia="Arial" w:cstheme="minorBidi"/>
      <w:szCs w:val="22"/>
      <w:lang w:val="en-GB" w:eastAsia="en-GB"/>
    </w:rPr>
  </w:style>
  <w:style w:type="character" w:customStyle="1" w:styleId="BodyTextChar">
    <w:name w:val="Body Text Char"/>
    <w:basedOn w:val="DefaultParagraphFont"/>
    <w:link w:val="BodyText"/>
    <w:uiPriority w:val="1"/>
    <w:rsid w:val="003C7B7E"/>
    <w:rPr>
      <w:rFonts w:ascii="Arial" w:eastAsia="Arial" w:hAnsi="Arial" w:cstheme="minorBidi"/>
      <w:sz w:val="22"/>
      <w:szCs w:val="22"/>
      <w:lang w:val="en-GB" w:eastAsia="en-GB"/>
    </w:rPr>
  </w:style>
  <w:style w:type="paragraph" w:customStyle="1" w:styleId="TableParagraph">
    <w:name w:val="Table Paragraph"/>
    <w:basedOn w:val="Normal"/>
    <w:uiPriority w:val="1"/>
    <w:qFormat/>
    <w:rsid w:val="003C7B7E"/>
    <w:pPr>
      <w:widowControl w:val="0"/>
      <w:spacing w:after="0"/>
    </w:pPr>
    <w:rPr>
      <w:rFonts w:eastAsiaTheme="minorEastAsia" w:cstheme="minorBidi"/>
      <w:szCs w:val="22"/>
      <w:lang w:val="en-GB" w:eastAsia="en-GB"/>
    </w:rPr>
  </w:style>
  <w:style w:type="paragraph" w:customStyle="1" w:styleId="Default">
    <w:name w:val="Default"/>
    <w:rsid w:val="003C7B7E"/>
    <w:pPr>
      <w:autoSpaceDE w:val="0"/>
      <w:autoSpaceDN w:val="0"/>
      <w:adjustRightInd w:val="0"/>
    </w:pPr>
    <w:rPr>
      <w:rFonts w:ascii="Arial" w:eastAsiaTheme="minorEastAsia" w:hAnsi="Arial" w:cs="Arial"/>
      <w:color w:val="000000"/>
      <w:lang w:val="en-GB" w:eastAsia="en-GB"/>
    </w:rPr>
  </w:style>
  <w:style w:type="table" w:customStyle="1" w:styleId="TableGrid3">
    <w:name w:val="Table Grid3"/>
    <w:basedOn w:val="TableNormal"/>
    <w:next w:val="TableGrid"/>
    <w:rsid w:val="00940DD4"/>
    <w:rPr>
      <w:rFonts w:ascii="Arial" w:hAnsi="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rsid w:val="000913FE"/>
    <w:rPr>
      <w:rFonts w:ascii="Arial" w:eastAsiaTheme="minorEastAsia" w:hAnsi="Arial" w:cstheme="minorBid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12429">
      <w:bodyDiv w:val="1"/>
      <w:marLeft w:val="0"/>
      <w:marRight w:val="0"/>
      <w:marTop w:val="0"/>
      <w:marBottom w:val="0"/>
      <w:divBdr>
        <w:top w:val="none" w:sz="0" w:space="0" w:color="auto"/>
        <w:left w:val="none" w:sz="0" w:space="0" w:color="auto"/>
        <w:bottom w:val="none" w:sz="0" w:space="0" w:color="auto"/>
        <w:right w:val="none" w:sz="0" w:space="0" w:color="auto"/>
      </w:divBdr>
    </w:div>
    <w:div w:id="395055249">
      <w:bodyDiv w:val="1"/>
      <w:marLeft w:val="0"/>
      <w:marRight w:val="0"/>
      <w:marTop w:val="0"/>
      <w:marBottom w:val="0"/>
      <w:divBdr>
        <w:top w:val="none" w:sz="0" w:space="0" w:color="auto"/>
        <w:left w:val="none" w:sz="0" w:space="0" w:color="auto"/>
        <w:bottom w:val="none" w:sz="0" w:space="0" w:color="auto"/>
        <w:right w:val="none" w:sz="0" w:space="0" w:color="auto"/>
      </w:divBdr>
    </w:div>
    <w:div w:id="630482670">
      <w:bodyDiv w:val="1"/>
      <w:marLeft w:val="0"/>
      <w:marRight w:val="0"/>
      <w:marTop w:val="0"/>
      <w:marBottom w:val="0"/>
      <w:divBdr>
        <w:top w:val="none" w:sz="0" w:space="0" w:color="auto"/>
        <w:left w:val="none" w:sz="0" w:space="0" w:color="auto"/>
        <w:bottom w:val="none" w:sz="0" w:space="0" w:color="auto"/>
        <w:right w:val="none" w:sz="0" w:space="0" w:color="auto"/>
      </w:divBdr>
    </w:div>
    <w:div w:id="1048839968">
      <w:bodyDiv w:val="1"/>
      <w:marLeft w:val="0"/>
      <w:marRight w:val="0"/>
      <w:marTop w:val="0"/>
      <w:marBottom w:val="0"/>
      <w:divBdr>
        <w:top w:val="none" w:sz="0" w:space="0" w:color="auto"/>
        <w:left w:val="none" w:sz="0" w:space="0" w:color="auto"/>
        <w:bottom w:val="none" w:sz="0" w:space="0" w:color="auto"/>
        <w:right w:val="none" w:sz="0" w:space="0" w:color="auto"/>
      </w:divBdr>
    </w:div>
    <w:div w:id="1295212789">
      <w:bodyDiv w:val="1"/>
      <w:marLeft w:val="0"/>
      <w:marRight w:val="0"/>
      <w:marTop w:val="0"/>
      <w:marBottom w:val="0"/>
      <w:divBdr>
        <w:top w:val="none" w:sz="0" w:space="0" w:color="auto"/>
        <w:left w:val="none" w:sz="0" w:space="0" w:color="auto"/>
        <w:bottom w:val="none" w:sz="0" w:space="0" w:color="auto"/>
        <w:right w:val="none" w:sz="0" w:space="0" w:color="auto"/>
      </w:divBdr>
    </w:div>
    <w:div w:id="1328240851">
      <w:marLeft w:val="0"/>
      <w:marRight w:val="0"/>
      <w:marTop w:val="0"/>
      <w:marBottom w:val="0"/>
      <w:divBdr>
        <w:top w:val="none" w:sz="0" w:space="0" w:color="auto"/>
        <w:left w:val="none" w:sz="0" w:space="0" w:color="auto"/>
        <w:bottom w:val="none" w:sz="0" w:space="0" w:color="auto"/>
        <w:right w:val="none" w:sz="0" w:space="0" w:color="auto"/>
      </w:divBdr>
    </w:div>
    <w:div w:id="1672445705">
      <w:bodyDiv w:val="1"/>
      <w:marLeft w:val="0"/>
      <w:marRight w:val="0"/>
      <w:marTop w:val="0"/>
      <w:marBottom w:val="0"/>
      <w:divBdr>
        <w:top w:val="none" w:sz="0" w:space="0" w:color="auto"/>
        <w:left w:val="none" w:sz="0" w:space="0" w:color="auto"/>
        <w:bottom w:val="none" w:sz="0" w:space="0" w:color="auto"/>
        <w:right w:val="none" w:sz="0" w:space="0" w:color="auto"/>
      </w:divBdr>
    </w:div>
    <w:div w:id="170605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6.emf"/><Relationship Id="rId21" Type="http://schemas.openxmlformats.org/officeDocument/2006/relationships/chart" Target="charts/chart3.xml"/><Relationship Id="rId42" Type="http://schemas.openxmlformats.org/officeDocument/2006/relationships/chart" Target="charts/chart24.xml"/><Relationship Id="rId63" Type="http://schemas.openxmlformats.org/officeDocument/2006/relationships/chart" Target="charts/chart45.xml"/><Relationship Id="rId84" Type="http://schemas.openxmlformats.org/officeDocument/2006/relationships/chart" Target="charts/chart50.xml"/><Relationship Id="rId138" Type="http://schemas.openxmlformats.org/officeDocument/2006/relationships/image" Target="media/image55.emf"/><Relationship Id="rId159" Type="http://schemas.openxmlformats.org/officeDocument/2006/relationships/hyperlink" Target="http://www.aptc.edu.au/index.php/april-2012/407-aptc-launches-pilot-program-in-aged-care" TargetMode="External"/><Relationship Id="rId170" Type="http://schemas.openxmlformats.org/officeDocument/2006/relationships/hyperlink" Target="http://www.pacmas.org/wp-content/uploads/2013/10/PACMAS-REGIONAL-REPORT_FINAL.pdf" TargetMode="External"/><Relationship Id="rId107" Type="http://schemas.openxmlformats.org/officeDocument/2006/relationships/image" Target="media/image28.wmf"/><Relationship Id="rId11" Type="http://schemas.openxmlformats.org/officeDocument/2006/relationships/header" Target="header2.xml"/><Relationship Id="rId32" Type="http://schemas.openxmlformats.org/officeDocument/2006/relationships/chart" Target="charts/chart14.xml"/><Relationship Id="rId53" Type="http://schemas.openxmlformats.org/officeDocument/2006/relationships/chart" Target="charts/chart35.xml"/><Relationship Id="rId74" Type="http://schemas.openxmlformats.org/officeDocument/2006/relationships/image" Target="media/image2.wmf"/><Relationship Id="rId128" Type="http://schemas.openxmlformats.org/officeDocument/2006/relationships/image" Target="media/image45.emf"/><Relationship Id="rId149" Type="http://schemas.openxmlformats.org/officeDocument/2006/relationships/image" Target="media/image66.emf"/><Relationship Id="rId5" Type="http://schemas.openxmlformats.org/officeDocument/2006/relationships/settings" Target="settings.xml"/><Relationship Id="rId95" Type="http://schemas.openxmlformats.org/officeDocument/2006/relationships/image" Target="media/image18.wmf"/><Relationship Id="rId160" Type="http://schemas.openxmlformats.org/officeDocument/2006/relationships/hyperlink" Target="http://www.aptc.edu.au/index.php/course-fees" TargetMode="External"/><Relationship Id="rId22" Type="http://schemas.openxmlformats.org/officeDocument/2006/relationships/chart" Target="charts/chart4.xml"/><Relationship Id="rId43" Type="http://schemas.openxmlformats.org/officeDocument/2006/relationships/chart" Target="charts/chart25.xml"/><Relationship Id="rId64" Type="http://schemas.openxmlformats.org/officeDocument/2006/relationships/header" Target="header6.xml"/><Relationship Id="rId118" Type="http://schemas.openxmlformats.org/officeDocument/2006/relationships/image" Target="media/image37.emf"/><Relationship Id="rId139" Type="http://schemas.openxmlformats.org/officeDocument/2006/relationships/image" Target="media/image56.emf"/><Relationship Id="rId85" Type="http://schemas.openxmlformats.org/officeDocument/2006/relationships/image" Target="media/image9.wmf"/><Relationship Id="rId150" Type="http://schemas.openxmlformats.org/officeDocument/2006/relationships/image" Target="media/image67.emf"/><Relationship Id="rId171" Type="http://schemas.openxmlformats.org/officeDocument/2006/relationships/hyperlink" Target="http://en.wikipedia.org/wiki/List_of_countries_by_GDP_(PPP)_per_capita" TargetMode="External"/><Relationship Id="rId12" Type="http://schemas.openxmlformats.org/officeDocument/2006/relationships/footer" Target="footer2.xml"/><Relationship Id="rId33" Type="http://schemas.openxmlformats.org/officeDocument/2006/relationships/chart" Target="charts/chart15.xml"/><Relationship Id="rId108" Type="http://schemas.openxmlformats.org/officeDocument/2006/relationships/chart" Target="charts/chart54.xml"/><Relationship Id="rId129" Type="http://schemas.openxmlformats.org/officeDocument/2006/relationships/image" Target="media/image46.emf"/><Relationship Id="rId54" Type="http://schemas.openxmlformats.org/officeDocument/2006/relationships/chart" Target="charts/chart36.xml"/><Relationship Id="rId75" Type="http://schemas.openxmlformats.org/officeDocument/2006/relationships/image" Target="media/image3.wmf"/><Relationship Id="rId96" Type="http://schemas.openxmlformats.org/officeDocument/2006/relationships/image" Target="media/image19.wmf"/><Relationship Id="rId140" Type="http://schemas.openxmlformats.org/officeDocument/2006/relationships/image" Target="media/image57.emf"/><Relationship Id="rId161" Type="http://schemas.openxmlformats.org/officeDocument/2006/relationships/hyperlink" Target="http://www.abs.gov.au/ausstats/abs@.nsf/mf/6306.0/" TargetMode="External"/><Relationship Id="rId6" Type="http://schemas.openxmlformats.org/officeDocument/2006/relationships/webSettings" Target="webSettings.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chart" Target="charts/chart31.xml"/><Relationship Id="rId114" Type="http://schemas.openxmlformats.org/officeDocument/2006/relationships/image" Target="media/image33.emf"/><Relationship Id="rId119" Type="http://schemas.openxmlformats.org/officeDocument/2006/relationships/header" Target="header13.xml"/><Relationship Id="rId44" Type="http://schemas.openxmlformats.org/officeDocument/2006/relationships/chart" Target="charts/chart26.xml"/><Relationship Id="rId60" Type="http://schemas.openxmlformats.org/officeDocument/2006/relationships/chart" Target="charts/chart42.xml"/><Relationship Id="rId65" Type="http://schemas.openxmlformats.org/officeDocument/2006/relationships/header" Target="header7.xml"/><Relationship Id="rId81" Type="http://schemas.openxmlformats.org/officeDocument/2006/relationships/image" Target="media/image8.wmf"/><Relationship Id="rId86" Type="http://schemas.openxmlformats.org/officeDocument/2006/relationships/image" Target="media/image10.wmf"/><Relationship Id="rId130" Type="http://schemas.openxmlformats.org/officeDocument/2006/relationships/image" Target="media/image47.emf"/><Relationship Id="rId135" Type="http://schemas.openxmlformats.org/officeDocument/2006/relationships/image" Target="media/image52.emf"/><Relationship Id="rId151" Type="http://schemas.openxmlformats.org/officeDocument/2006/relationships/image" Target="media/image68.emf"/><Relationship Id="rId156" Type="http://schemas.openxmlformats.org/officeDocument/2006/relationships/image" Target="media/image71.emf"/><Relationship Id="rId177" Type="http://schemas.openxmlformats.org/officeDocument/2006/relationships/customXml" Target="../customXml/item4.xml"/><Relationship Id="rId172" Type="http://schemas.openxmlformats.org/officeDocument/2006/relationships/header" Target="header16.xml"/><Relationship Id="rId13" Type="http://schemas.openxmlformats.org/officeDocument/2006/relationships/hyperlink" Target="http://aid.dfat.gov.au/Publications/Pages/monitoring-evaluation-standards.aspx" TargetMode="External"/><Relationship Id="rId18" Type="http://schemas.openxmlformats.org/officeDocument/2006/relationships/header" Target="header5.xml"/><Relationship Id="rId39" Type="http://schemas.openxmlformats.org/officeDocument/2006/relationships/chart" Target="charts/chart21.xml"/><Relationship Id="rId109" Type="http://schemas.openxmlformats.org/officeDocument/2006/relationships/image" Target="media/image29.wmf"/><Relationship Id="rId34" Type="http://schemas.openxmlformats.org/officeDocument/2006/relationships/chart" Target="charts/chart16.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image" Target="media/image4.wmf"/><Relationship Id="rId97" Type="http://schemas.openxmlformats.org/officeDocument/2006/relationships/image" Target="media/image20.emf"/><Relationship Id="rId104" Type="http://schemas.openxmlformats.org/officeDocument/2006/relationships/image" Target="media/image26.emf"/><Relationship Id="rId120" Type="http://schemas.openxmlformats.org/officeDocument/2006/relationships/footer" Target="footer3.xml"/><Relationship Id="rId125" Type="http://schemas.openxmlformats.org/officeDocument/2006/relationships/image" Target="media/image42.emf"/><Relationship Id="rId141" Type="http://schemas.openxmlformats.org/officeDocument/2006/relationships/image" Target="media/image58.emf"/><Relationship Id="rId146" Type="http://schemas.openxmlformats.org/officeDocument/2006/relationships/image" Target="media/image63.emf"/><Relationship Id="rId167" Type="http://schemas.openxmlformats.org/officeDocument/2006/relationships/hyperlink" Target="http://www.worldsalaries.org/australia.shtml" TargetMode="External"/><Relationship Id="rId7" Type="http://schemas.openxmlformats.org/officeDocument/2006/relationships/footnotes" Target="footnotes.xml"/><Relationship Id="rId71" Type="http://schemas.openxmlformats.org/officeDocument/2006/relationships/header" Target="header11.xml"/><Relationship Id="rId92" Type="http://schemas.openxmlformats.org/officeDocument/2006/relationships/image" Target="media/image15.wmf"/><Relationship Id="rId162" Type="http://schemas.openxmlformats.org/officeDocument/2006/relationships/hyperlink" Target="http://www.immi.gov.au/Visas/Pages/457.aspx"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chart" Target="charts/chart46.xml"/><Relationship Id="rId87" Type="http://schemas.openxmlformats.org/officeDocument/2006/relationships/image" Target="media/image11.wmf"/><Relationship Id="rId110" Type="http://schemas.openxmlformats.org/officeDocument/2006/relationships/image" Target="media/image30.wmf"/><Relationship Id="rId115" Type="http://schemas.openxmlformats.org/officeDocument/2006/relationships/image" Target="media/image34.emf"/><Relationship Id="rId131" Type="http://schemas.openxmlformats.org/officeDocument/2006/relationships/image" Target="media/image48.emf"/><Relationship Id="rId136" Type="http://schemas.openxmlformats.org/officeDocument/2006/relationships/image" Target="media/image53.emf"/><Relationship Id="rId157" Type="http://schemas.openxmlformats.org/officeDocument/2006/relationships/package" Target="embeddings/Microsoft_PowerPoint_Slide3.sldx"/><Relationship Id="rId61" Type="http://schemas.openxmlformats.org/officeDocument/2006/relationships/chart" Target="charts/chart43.xml"/><Relationship Id="rId82" Type="http://schemas.openxmlformats.org/officeDocument/2006/relationships/chart" Target="charts/chart48.xml"/><Relationship Id="rId152" Type="http://schemas.openxmlformats.org/officeDocument/2006/relationships/image" Target="media/image69.emf"/><Relationship Id="rId173" Type="http://schemas.openxmlformats.org/officeDocument/2006/relationships/fontTable" Target="fontTable.xml"/><Relationship Id="rId19" Type="http://schemas.openxmlformats.org/officeDocument/2006/relationships/chart" Target="charts/chart1.xml"/><Relationship Id="rId14" Type="http://schemas.openxmlformats.org/officeDocument/2006/relationships/hyperlink" Target="http://www.aes.asn.au/about/Documents%20-%20ongoing/code_of_ethics.pdf" TargetMode="Externa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chart" Target="charts/chart38.xml"/><Relationship Id="rId77" Type="http://schemas.openxmlformats.org/officeDocument/2006/relationships/image" Target="media/image5.wmf"/><Relationship Id="rId100" Type="http://schemas.openxmlformats.org/officeDocument/2006/relationships/image" Target="media/image23.wmf"/><Relationship Id="rId105" Type="http://schemas.openxmlformats.org/officeDocument/2006/relationships/image" Target="media/image27.wmf"/><Relationship Id="rId126" Type="http://schemas.openxmlformats.org/officeDocument/2006/relationships/image" Target="media/image43.emf"/><Relationship Id="rId147" Type="http://schemas.openxmlformats.org/officeDocument/2006/relationships/image" Target="media/image64.emf"/><Relationship Id="rId168" Type="http://schemas.openxmlformats.org/officeDocument/2006/relationships/hyperlink" Target="http://dx.doi.org/10.1787/9789264215658-en" TargetMode="External"/><Relationship Id="rId8" Type="http://schemas.openxmlformats.org/officeDocument/2006/relationships/endnotes" Target="endnotes.xml"/><Relationship Id="rId51" Type="http://schemas.openxmlformats.org/officeDocument/2006/relationships/chart" Target="charts/chart33.xml"/><Relationship Id="rId72" Type="http://schemas.openxmlformats.org/officeDocument/2006/relationships/header" Target="header12.xml"/><Relationship Id="rId93" Type="http://schemas.openxmlformats.org/officeDocument/2006/relationships/image" Target="media/image16.wmf"/><Relationship Id="rId98" Type="http://schemas.openxmlformats.org/officeDocument/2006/relationships/image" Target="media/image21.emf"/><Relationship Id="rId121" Type="http://schemas.openxmlformats.org/officeDocument/2006/relationships/image" Target="media/image38.emf"/><Relationship Id="rId142" Type="http://schemas.openxmlformats.org/officeDocument/2006/relationships/image" Target="media/image59.emf"/><Relationship Id="rId163" Type="http://schemas.openxmlformats.org/officeDocument/2006/relationships/hyperlink" Target="http://www.pc.gov.au/__data/assets/pdf_file/0009/108369/vocational-workforce.pdf" TargetMode="External"/><Relationship Id="rId3" Type="http://schemas.openxmlformats.org/officeDocument/2006/relationships/styles" Target="styles.xml"/><Relationship Id="rId25" Type="http://schemas.openxmlformats.org/officeDocument/2006/relationships/chart" Target="charts/chart7.xml"/><Relationship Id="rId46" Type="http://schemas.openxmlformats.org/officeDocument/2006/relationships/chart" Target="charts/chart28.xml"/><Relationship Id="rId67" Type="http://schemas.openxmlformats.org/officeDocument/2006/relationships/hyperlink" Target="http://www.pacmas.org/wp-content/uploads/2013/10/PACMAS-REGIONAL-REPORT_FINAL.pdf" TargetMode="External"/><Relationship Id="rId116" Type="http://schemas.openxmlformats.org/officeDocument/2006/relationships/image" Target="media/image35.wmf"/><Relationship Id="rId137" Type="http://schemas.openxmlformats.org/officeDocument/2006/relationships/image" Target="media/image54.emf"/><Relationship Id="rId158" Type="http://schemas.openxmlformats.org/officeDocument/2006/relationships/header" Target="header15.xml"/><Relationship Id="rId20" Type="http://schemas.openxmlformats.org/officeDocument/2006/relationships/chart" Target="charts/chart2.xml"/><Relationship Id="rId41" Type="http://schemas.openxmlformats.org/officeDocument/2006/relationships/chart" Target="charts/chart23.xml"/><Relationship Id="rId62" Type="http://schemas.openxmlformats.org/officeDocument/2006/relationships/chart" Target="charts/chart44.xml"/><Relationship Id="rId83" Type="http://schemas.openxmlformats.org/officeDocument/2006/relationships/chart" Target="charts/chart49.xml"/><Relationship Id="rId88" Type="http://schemas.openxmlformats.org/officeDocument/2006/relationships/image" Target="media/image12.wmf"/><Relationship Id="rId111" Type="http://schemas.openxmlformats.org/officeDocument/2006/relationships/image" Target="media/image31.wmf"/><Relationship Id="rId132" Type="http://schemas.openxmlformats.org/officeDocument/2006/relationships/image" Target="media/image49.emf"/><Relationship Id="rId153" Type="http://schemas.openxmlformats.org/officeDocument/2006/relationships/header" Target="header14.xml"/><Relationship Id="rId174" Type="http://schemas.openxmlformats.org/officeDocument/2006/relationships/theme" Target="theme/theme1.xml"/><Relationship Id="rId15" Type="http://schemas.openxmlformats.org/officeDocument/2006/relationships/hyperlink" Target="http://www.eval.org/Publications/GuidingPrinciples.asp" TargetMode="External"/><Relationship Id="rId36" Type="http://schemas.openxmlformats.org/officeDocument/2006/relationships/chart" Target="charts/chart18.xml"/><Relationship Id="rId57" Type="http://schemas.openxmlformats.org/officeDocument/2006/relationships/chart" Target="charts/chart39.xml"/><Relationship Id="rId106" Type="http://schemas.openxmlformats.org/officeDocument/2006/relationships/chart" Target="charts/chart53.xml"/><Relationship Id="rId127" Type="http://schemas.openxmlformats.org/officeDocument/2006/relationships/image" Target="media/image44.emf"/><Relationship Id="rId10" Type="http://schemas.openxmlformats.org/officeDocument/2006/relationships/footer" Target="footer1.xml"/><Relationship Id="rId31" Type="http://schemas.openxmlformats.org/officeDocument/2006/relationships/chart" Target="charts/chart13.xml"/><Relationship Id="rId52" Type="http://schemas.openxmlformats.org/officeDocument/2006/relationships/chart" Target="charts/chart34.xml"/><Relationship Id="rId73" Type="http://schemas.openxmlformats.org/officeDocument/2006/relationships/image" Target="media/image1.emf"/><Relationship Id="rId78" Type="http://schemas.openxmlformats.org/officeDocument/2006/relationships/image" Target="media/image6.wmf"/><Relationship Id="rId94" Type="http://schemas.openxmlformats.org/officeDocument/2006/relationships/image" Target="media/image17.wmf"/><Relationship Id="rId99" Type="http://schemas.openxmlformats.org/officeDocument/2006/relationships/image" Target="media/image22.wmf"/><Relationship Id="rId101" Type="http://schemas.openxmlformats.org/officeDocument/2006/relationships/image" Target="media/image24.wmf"/><Relationship Id="rId122" Type="http://schemas.openxmlformats.org/officeDocument/2006/relationships/image" Target="media/image39.emf"/><Relationship Id="rId143" Type="http://schemas.openxmlformats.org/officeDocument/2006/relationships/image" Target="media/image60.emf"/><Relationship Id="rId148" Type="http://schemas.openxmlformats.org/officeDocument/2006/relationships/image" Target="media/image65.emf"/><Relationship Id="rId164" Type="http://schemas.openxmlformats.org/officeDocument/2006/relationships/hyperlink" Target="http://www.asqa.gov.au/about-asqa/national-vet-regulation/standards-for-nvr-registered-training-organisations.html" TargetMode="External"/><Relationship Id="rId169" Type="http://schemas.openxmlformats.org/officeDocument/2006/relationships/hyperlink" Target="http://www.forumsec.org/resources/uploads/embeds/file/Pacific%20Education%20" TargetMode="Externa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chart" Target="charts/chart8.xml"/><Relationship Id="rId47" Type="http://schemas.openxmlformats.org/officeDocument/2006/relationships/chart" Target="charts/chart29.xml"/><Relationship Id="rId68" Type="http://schemas.openxmlformats.org/officeDocument/2006/relationships/header" Target="header8.xml"/><Relationship Id="rId89" Type="http://schemas.openxmlformats.org/officeDocument/2006/relationships/image" Target="media/image13.wmf"/><Relationship Id="rId112" Type="http://schemas.openxmlformats.org/officeDocument/2006/relationships/chart" Target="charts/chart55.xml"/><Relationship Id="rId133" Type="http://schemas.openxmlformats.org/officeDocument/2006/relationships/image" Target="media/image50.emf"/><Relationship Id="rId154" Type="http://schemas.openxmlformats.org/officeDocument/2006/relationships/footer" Target="footer4.xml"/><Relationship Id="rId175" Type="http://schemas.openxmlformats.org/officeDocument/2006/relationships/customXml" Target="../customXml/item2.xml"/><Relationship Id="rId16" Type="http://schemas.openxmlformats.org/officeDocument/2006/relationships/header" Target="header3.xml"/><Relationship Id="rId37" Type="http://schemas.openxmlformats.org/officeDocument/2006/relationships/chart" Target="charts/chart19.xml"/><Relationship Id="rId58" Type="http://schemas.openxmlformats.org/officeDocument/2006/relationships/chart" Target="charts/chart40.xml"/><Relationship Id="rId79" Type="http://schemas.openxmlformats.org/officeDocument/2006/relationships/image" Target="media/image7.wmf"/><Relationship Id="rId102" Type="http://schemas.openxmlformats.org/officeDocument/2006/relationships/chart" Target="charts/chart52.xml"/><Relationship Id="rId123" Type="http://schemas.openxmlformats.org/officeDocument/2006/relationships/image" Target="media/image40.emf"/><Relationship Id="rId144" Type="http://schemas.openxmlformats.org/officeDocument/2006/relationships/image" Target="media/image61.emf"/><Relationship Id="rId90" Type="http://schemas.openxmlformats.org/officeDocument/2006/relationships/image" Target="media/image14.wmf"/><Relationship Id="rId165" Type="http://schemas.openxmlformats.org/officeDocument/2006/relationships/hyperlink" Target="http://www.superguide.com.au/how-super-works/income-tax-rates" TargetMode="External"/><Relationship Id="rId27" Type="http://schemas.openxmlformats.org/officeDocument/2006/relationships/chart" Target="charts/chart9.xml"/><Relationship Id="rId48" Type="http://schemas.openxmlformats.org/officeDocument/2006/relationships/chart" Target="charts/chart30.xml"/><Relationship Id="rId69" Type="http://schemas.openxmlformats.org/officeDocument/2006/relationships/header" Target="header9.xml"/><Relationship Id="rId113" Type="http://schemas.openxmlformats.org/officeDocument/2006/relationships/image" Target="media/image32.emf"/><Relationship Id="rId134" Type="http://schemas.openxmlformats.org/officeDocument/2006/relationships/image" Target="media/image51.emf"/><Relationship Id="rId80" Type="http://schemas.openxmlformats.org/officeDocument/2006/relationships/chart" Target="charts/chart47.xml"/><Relationship Id="rId155" Type="http://schemas.openxmlformats.org/officeDocument/2006/relationships/image" Target="media/image70.png"/><Relationship Id="rId176" Type="http://schemas.openxmlformats.org/officeDocument/2006/relationships/customXml" Target="../customXml/item3.xml"/><Relationship Id="rId17" Type="http://schemas.openxmlformats.org/officeDocument/2006/relationships/header" Target="header4.xml"/><Relationship Id="rId38" Type="http://schemas.openxmlformats.org/officeDocument/2006/relationships/chart" Target="charts/chart20.xml"/><Relationship Id="rId59" Type="http://schemas.openxmlformats.org/officeDocument/2006/relationships/chart" Target="charts/chart41.xml"/><Relationship Id="rId103" Type="http://schemas.openxmlformats.org/officeDocument/2006/relationships/image" Target="media/image25.wmf"/><Relationship Id="rId124" Type="http://schemas.openxmlformats.org/officeDocument/2006/relationships/image" Target="media/image41.emf"/><Relationship Id="rId70" Type="http://schemas.openxmlformats.org/officeDocument/2006/relationships/header" Target="header10.xml"/><Relationship Id="rId91" Type="http://schemas.openxmlformats.org/officeDocument/2006/relationships/chart" Target="charts/chart51.xml"/><Relationship Id="rId145" Type="http://schemas.openxmlformats.org/officeDocument/2006/relationships/image" Target="media/image62.emf"/><Relationship Id="rId166" Type="http://schemas.openxmlformats.org/officeDocument/2006/relationships/hyperlink" Target="http://www.immi.gov.au/media/publications/research/"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aid.dfat.gov.au/aidpolicy/Pages/home.aspx" TargetMode="External"/><Relationship Id="rId2" Type="http://schemas.openxmlformats.org/officeDocument/2006/relationships/hyperlink" Target="http://www.aptc.edu.au/index.php/april-2012/407-aptc-launches-pilot-program-in-aged-care" TargetMode="External"/><Relationship Id="rId1" Type="http://schemas.openxmlformats.org/officeDocument/2006/relationships/hyperlink" Target="http://www.immi.gov.au/Visas/Pages/457.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tzhenry\AppData\Local\Microsoft\Windows\Temporary%20Internet%20Files\Content.Outlook\0GBXEIKE\Service%20Order%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21%20Jul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C:\Users\Richard\Desktop\Documents\AAA-APTC%20Australia-Pacific%20Technical%20College\APTC%20Statistical%20Annex\APTC%20statistical%20profile-%20rev.%203%20September.xlsx" TargetMode="External"/><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C:\Users\Richard\Desktop\Documents\AAA-APTC%20Australia-Pacific%20Technical%20College\Data%20tables\Graduates%20&amp;%20completion%20rates-%202%20September.xlsx" TargetMode="External"/><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Richard\Desktop\Documents\AAA-APTC%20Australia-Pacific%20Technical%20College\Data%20tables\Graduates%20&amp;%20completion%20rates-%202%20September.xlsx" TargetMode="External"/><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Richard\Desktop\Documents\AAA-APTC%20Australia-Pacific%20Technical%20College\Data%20tables\Graduates%20&amp;%20completion%20rates-%202%20September.xlsx" TargetMode="External"/><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Richard\Desktop\Documents\AAA-APTC%20Australia-Pacific%20Technical%20College\Data%20tables\Graduates%20&amp;%20completion%20rates-%202%20September.xlsx" TargetMode="External"/><Relationship Id="rId1" Type="http://schemas.openxmlformats.org/officeDocument/2006/relationships/themeOverride" Target="../theme/themeOverride1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Richard\Desktop\Documents\AAA-APTC%20Australia-Pacific%20Technical%20College\Data%20tables\Graduates%20&amp;%20completion%20rates-%202%20September.xlsx" TargetMode="External"/><Relationship Id="rId1" Type="http://schemas.openxmlformats.org/officeDocument/2006/relationships/themeOverride" Target="../theme/themeOverride11.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7%20July.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7%20July.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7%20July.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7%20July.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7%20July.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7%20July.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8%20July.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8%20Jul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C:\Users\Richard\Downloads\Average%20Class%20Sizes%20x%20ALT%201%20wo%20detail%20Course%20x%20Semester%202007%20to%202014%20with%20graph.xlsx" TargetMode="External"/><Relationship Id="rId1" Type="http://schemas.openxmlformats.org/officeDocument/2006/relationships/themeOverride" Target="../theme/themeOverride12.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9%20July.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7%20July.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7%20July.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7%20July.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Staffing%20data-%2017%20July.xlsx" TargetMode="External"/></Relationships>
</file>

<file path=word/charts/_rels/chart46.xml.rels><?xml version="1.0" encoding="UTF-8" standalone="yes"?>
<Relationships xmlns="http://schemas.openxmlformats.org/package/2006/relationships"><Relationship Id="rId2" Type="http://schemas.openxmlformats.org/officeDocument/2006/relationships/oleObject" Target="file:///C:\Users\Richard\Desktop\Documents\AAA-APTC%20Australia-Pacific%20Technical%20College\RJ-%20drafts\APTC%20statistical%20profile-%2016%20Sept.xlsx" TargetMode="External"/><Relationship Id="rId1" Type="http://schemas.openxmlformats.org/officeDocument/2006/relationships/themeOverride" Target="../theme/themeOverride13.xm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petronellanicholson:Documents:ERF:APTC:Tables%20and%20graphs%20%20-%20VfM:Expenditur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Macintosh%20HD:Users:petronellanicholson:Documents:ERF:APTC:Tables%20and%20graphs%20%20-%20VfM:Variables%20for%20the%20ERR.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Macintosh%20HD:Users:petronellanicholson:Documents:ERF:APTC:Tables%20and%20graphs%20%20-%20VfM:Variables%20for%20the%20ERR.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Richard\Desktop\Documents\AAA-APTC%20Australia-Pacific%20Technical%20College\APTC%20Statistical%20Annex\APTC%20statistical%20profile-%20rev.%203%20September.xlsx" TargetMode="External"/><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oleObject" Target="Macintosh%20HD:Users:petronellanicholson:Documents:ERF:APTC:Tables%20and%20graphs%20%20-%20VfM:Expenditure.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Users:petronellanicholson:Documents:ERF:APTC:Tables%20and%20graphs%20%20-%20VfM:Country%20stats.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Macintosh%20HD:Users:petronellanicholson:Documents:ERF:APTC:Tables%20and%20graphs%20%20-%20VfM:APTC%20staff%20and%20projections%20as%20of%20June%202014.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Macintosh%20HD:Users:petronellanicholson:Documents:ERF:APTC:Tables%20and%20graphs%20%20-%20VfM:ERR%20graph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Macintosh%20HD:Users:petronellanicholson:Documents:ERF:APTC:Tables%20and%20graphs%20%20-%20VfM:ERR%20graphs.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Macintosh%20HD:Users:petronellanicholson:Documents:ERF:APTC:Tables%20and%20graphs%20%20-%20VfM:Expenditure.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Richard\Desktop\Documents\AAA-APTC%20Australia-Pacific%20Technical%20College\APTC%20Statistical%20Annex\APTC%20statistical%20profile-%20rev.%203%20September.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Richard\Desktop\Documents\AAA-APTC%20Australia-Pacific%20Technical%20College\Data%20tables\APTC%20statistical%20profile-12%20July.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'Programs x school'!$A$5</c:f>
              <c:strCache>
                <c:ptCount val="1"/>
                <c:pt idx="0">
                  <c:v>SHCS</c:v>
                </c:pt>
              </c:strCache>
            </c:strRef>
          </c:tx>
          <c:invertIfNegative val="0"/>
          <c:dLbls>
            <c:spPr>
              <a:noFill/>
              <a:ln>
                <a:noFill/>
              </a:ln>
              <a:effectLst/>
            </c:spPr>
            <c:txPr>
              <a:bodyPr/>
              <a:lstStyle/>
              <a:p>
                <a:pPr>
                  <a:defRPr lang="en-GB"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'Programs x school'!$B$3:$E$4</c:f>
              <c:multiLvlStrCache>
                <c:ptCount val="4"/>
                <c:lvl>
                  <c:pt idx="0">
                    <c:v>Certificate  II</c:v>
                  </c:pt>
                  <c:pt idx="1">
                    <c:v>Certificate III</c:v>
                  </c:pt>
                  <c:pt idx="2">
                    <c:v>Certificate  IV</c:v>
                  </c:pt>
                  <c:pt idx="3">
                    <c:v>Diploma</c:v>
                  </c:pt>
                </c:lvl>
                <c:lvl>
                  <c:pt idx="0">
                    <c:v>Level</c:v>
                  </c:pt>
                </c:lvl>
              </c:multiLvlStrCache>
            </c:multiLvlStrRef>
          </c:cat>
          <c:val>
            <c:numRef>
              <c:f>'Programs x school'!$B$5:$E$5</c:f>
              <c:numCache>
                <c:formatCode>General</c:formatCode>
                <c:ptCount val="4"/>
                <c:pt idx="1">
                  <c:v>12</c:v>
                </c:pt>
                <c:pt idx="2">
                  <c:v>7</c:v>
                </c:pt>
                <c:pt idx="3">
                  <c:v>4</c:v>
                </c:pt>
              </c:numCache>
            </c:numRef>
          </c:val>
        </c:ser>
        <c:ser>
          <c:idx val="1"/>
          <c:order val="1"/>
          <c:tx>
            <c:strRef>
              <c:f>'Programs x school'!$A$6</c:f>
              <c:strCache>
                <c:ptCount val="1"/>
                <c:pt idx="0">
                  <c:v>STT</c:v>
                </c:pt>
              </c:strCache>
            </c:strRef>
          </c:tx>
          <c:invertIfNegative val="0"/>
          <c:dLbls>
            <c:spPr>
              <a:noFill/>
              <a:ln>
                <a:noFill/>
              </a:ln>
              <a:effectLst/>
            </c:spPr>
            <c:txPr>
              <a:bodyPr/>
              <a:lstStyle/>
              <a:p>
                <a:pPr>
                  <a:defRPr lang="en-GB"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'Programs x school'!$B$3:$E$4</c:f>
              <c:multiLvlStrCache>
                <c:ptCount val="4"/>
                <c:lvl>
                  <c:pt idx="0">
                    <c:v>Certificate  II</c:v>
                  </c:pt>
                  <c:pt idx="1">
                    <c:v>Certificate III</c:v>
                  </c:pt>
                  <c:pt idx="2">
                    <c:v>Certificate  IV</c:v>
                  </c:pt>
                  <c:pt idx="3">
                    <c:v>Diploma</c:v>
                  </c:pt>
                </c:lvl>
                <c:lvl>
                  <c:pt idx="0">
                    <c:v>Level</c:v>
                  </c:pt>
                </c:lvl>
              </c:multiLvlStrCache>
            </c:multiLvlStrRef>
          </c:cat>
          <c:val>
            <c:numRef>
              <c:f>'Programs x school'!$B$6:$E$6</c:f>
              <c:numCache>
                <c:formatCode>General</c:formatCode>
                <c:ptCount val="4"/>
                <c:pt idx="0">
                  <c:v>2</c:v>
                </c:pt>
                <c:pt idx="1">
                  <c:v>12</c:v>
                </c:pt>
                <c:pt idx="2">
                  <c:v>1</c:v>
                </c:pt>
              </c:numCache>
            </c:numRef>
          </c:val>
        </c:ser>
        <c:dLbls>
          <c:showLegendKey val="0"/>
          <c:showVal val="1"/>
          <c:showCatName val="0"/>
          <c:showSerName val="0"/>
          <c:showPercent val="0"/>
          <c:showBubbleSize val="0"/>
        </c:dLbls>
        <c:gapWidth val="150"/>
        <c:axId val="257097728"/>
        <c:axId val="257099264"/>
      </c:barChart>
      <c:catAx>
        <c:axId val="257097728"/>
        <c:scaling>
          <c:orientation val="minMax"/>
        </c:scaling>
        <c:delete val="0"/>
        <c:axPos val="b"/>
        <c:numFmt formatCode="General" sourceLinked="0"/>
        <c:majorTickMark val="none"/>
        <c:minorTickMark val="none"/>
        <c:tickLblPos val="nextTo"/>
        <c:txPr>
          <a:bodyPr/>
          <a:lstStyle/>
          <a:p>
            <a:pPr>
              <a:defRPr lang="en-GB" sz="900"/>
            </a:pPr>
            <a:endParaRPr lang="en-US"/>
          </a:p>
        </c:txPr>
        <c:crossAx val="257099264"/>
        <c:crosses val="autoZero"/>
        <c:auto val="1"/>
        <c:lblAlgn val="ctr"/>
        <c:lblOffset val="100"/>
        <c:noMultiLvlLbl val="0"/>
      </c:catAx>
      <c:valAx>
        <c:axId val="257099264"/>
        <c:scaling>
          <c:orientation val="minMax"/>
        </c:scaling>
        <c:delete val="0"/>
        <c:axPos val="l"/>
        <c:majorGridlines/>
        <c:numFmt formatCode="General" sourceLinked="1"/>
        <c:majorTickMark val="none"/>
        <c:minorTickMark val="none"/>
        <c:tickLblPos val="nextTo"/>
        <c:txPr>
          <a:bodyPr/>
          <a:lstStyle/>
          <a:p>
            <a:pPr>
              <a:defRPr lang="en-GB" sz="900"/>
            </a:pPr>
            <a:endParaRPr lang="en-US"/>
          </a:p>
        </c:txPr>
        <c:crossAx val="257097728"/>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Pt>
            <c:idx val="2"/>
            <c:invertIfNegative val="0"/>
            <c:bubble3D val="0"/>
            <c:spPr>
              <a:solidFill>
                <a:srgbClr val="C00000"/>
              </a:solidFill>
            </c:spPr>
          </c:dPt>
          <c:dPt>
            <c:idx val="5"/>
            <c:invertIfNegative val="0"/>
            <c:bubble3D val="0"/>
            <c:spPr>
              <a:solidFill>
                <a:srgbClr val="C00000"/>
              </a:solidFill>
            </c:spPr>
          </c:dPt>
          <c:dPt>
            <c:idx val="7"/>
            <c:invertIfNegative val="0"/>
            <c:bubble3D val="0"/>
            <c:spPr>
              <a:solidFill>
                <a:srgbClr val="C00000"/>
              </a:solidFill>
            </c:spPr>
          </c:dPt>
          <c:dPt>
            <c:idx val="8"/>
            <c:invertIfNegative val="0"/>
            <c:bubble3D val="0"/>
            <c:spPr>
              <a:solidFill>
                <a:srgbClr val="C00000"/>
              </a:solidFill>
            </c:spPr>
          </c:dPt>
          <c:dPt>
            <c:idx val="14"/>
            <c:invertIfNegative val="0"/>
            <c:bubble3D val="0"/>
            <c:spPr>
              <a:solidFill>
                <a:srgbClr val="C00000"/>
              </a:solidFill>
            </c:spPr>
          </c:dPt>
          <c:dPt>
            <c:idx val="17"/>
            <c:invertIfNegative val="0"/>
            <c:bubble3D val="0"/>
            <c:spPr>
              <a:solidFill>
                <a:srgbClr val="C00000"/>
              </a:solidFill>
            </c:spPr>
          </c:dPt>
          <c:dPt>
            <c:idx val="18"/>
            <c:invertIfNegative val="0"/>
            <c:bubble3D val="0"/>
            <c:spPr>
              <a:solidFill>
                <a:srgbClr val="C00000"/>
              </a:solidFill>
            </c:spPr>
          </c:dPt>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'WL x campus'!$K$14:$K$32</c:f>
              <c:strCache>
                <c:ptCount val="19"/>
                <c:pt idx="0">
                  <c:v>Certificate III in Hospitality (Patisserie)</c:v>
                </c:pt>
                <c:pt idx="1">
                  <c:v>Certificate III in Children's Services</c:v>
                </c:pt>
                <c:pt idx="2">
                  <c:v>Cert. III-Engineering – Diesel Fitting</c:v>
                </c:pt>
                <c:pt idx="3">
                  <c:v>Certificate III in Hospitality (Commercial Cookery)</c:v>
                </c:pt>
                <c:pt idx="4">
                  <c:v>Certificate III in Tourism</c:v>
                </c:pt>
                <c:pt idx="5">
                  <c:v>Certificate III in Painting and Decorating</c:v>
                </c:pt>
                <c:pt idx="6">
                  <c:v>Certificate IV Training and Assessment</c:v>
                </c:pt>
                <c:pt idx="7">
                  <c:v>Certificate III in Plumbing</c:v>
                </c:pt>
                <c:pt idx="8">
                  <c:v>Cert. III-Engineering – Fitting &amp; Machining</c:v>
                </c:pt>
                <c:pt idx="9">
                  <c:v>Certificate III in Hospitality Lodge</c:v>
                </c:pt>
                <c:pt idx="10">
                  <c:v>Diploma of Children's Services</c:v>
                </c:pt>
                <c:pt idx="11">
                  <c:v>Certificate III in Hospitality</c:v>
                </c:pt>
                <c:pt idx="12">
                  <c:v>Certificate IV in Disability</c:v>
                </c:pt>
                <c:pt idx="13">
                  <c:v>Certificate III in Community Services Work</c:v>
                </c:pt>
                <c:pt idx="14">
                  <c:v>Certificate III in Electrotechnology Electrician</c:v>
                </c:pt>
                <c:pt idx="15">
                  <c:v>Certificate III in Home and Community Care / Certificate III in Aged Care</c:v>
                </c:pt>
                <c:pt idx="16">
                  <c:v>Diploma in Community Services Work</c:v>
                </c:pt>
                <c:pt idx="17">
                  <c:v>Cert. III -Auto. Mechan. Technology</c:v>
                </c:pt>
                <c:pt idx="18">
                  <c:v>Certificate III in Carpentry</c:v>
                </c:pt>
              </c:strCache>
            </c:strRef>
          </c:cat>
          <c:val>
            <c:numRef>
              <c:f>'WL x campus'!$L$14:$L$32</c:f>
              <c:numCache>
                <c:formatCode>General</c:formatCode>
                <c:ptCount val="19"/>
                <c:pt idx="0">
                  <c:v>20</c:v>
                </c:pt>
                <c:pt idx="1">
                  <c:v>21</c:v>
                </c:pt>
                <c:pt idx="2">
                  <c:v>24</c:v>
                </c:pt>
                <c:pt idx="3">
                  <c:v>25</c:v>
                </c:pt>
                <c:pt idx="4">
                  <c:v>25</c:v>
                </c:pt>
                <c:pt idx="5">
                  <c:v>25</c:v>
                </c:pt>
                <c:pt idx="6">
                  <c:v>25</c:v>
                </c:pt>
                <c:pt idx="7">
                  <c:v>26</c:v>
                </c:pt>
                <c:pt idx="8">
                  <c:v>28</c:v>
                </c:pt>
                <c:pt idx="9">
                  <c:v>30</c:v>
                </c:pt>
                <c:pt idx="10">
                  <c:v>30</c:v>
                </c:pt>
                <c:pt idx="11">
                  <c:v>37</c:v>
                </c:pt>
                <c:pt idx="12">
                  <c:v>44</c:v>
                </c:pt>
                <c:pt idx="13">
                  <c:v>53</c:v>
                </c:pt>
                <c:pt idx="14">
                  <c:v>53</c:v>
                </c:pt>
                <c:pt idx="15">
                  <c:v>69</c:v>
                </c:pt>
                <c:pt idx="16">
                  <c:v>79</c:v>
                </c:pt>
                <c:pt idx="17">
                  <c:v>87</c:v>
                </c:pt>
                <c:pt idx="18">
                  <c:v>167</c:v>
                </c:pt>
              </c:numCache>
            </c:numRef>
          </c:val>
        </c:ser>
        <c:dLbls>
          <c:showLegendKey val="0"/>
          <c:showVal val="1"/>
          <c:showCatName val="0"/>
          <c:showSerName val="0"/>
          <c:showPercent val="0"/>
          <c:showBubbleSize val="0"/>
        </c:dLbls>
        <c:gapWidth val="150"/>
        <c:overlap val="-25"/>
        <c:axId val="346263552"/>
        <c:axId val="346269184"/>
      </c:barChart>
      <c:catAx>
        <c:axId val="346263552"/>
        <c:scaling>
          <c:orientation val="minMax"/>
        </c:scaling>
        <c:delete val="0"/>
        <c:axPos val="l"/>
        <c:numFmt formatCode="General" sourceLinked="0"/>
        <c:majorTickMark val="none"/>
        <c:minorTickMark val="none"/>
        <c:tickLblPos val="nextTo"/>
        <c:txPr>
          <a:bodyPr/>
          <a:lstStyle/>
          <a:p>
            <a:pPr>
              <a:defRPr lang="en-GB" sz="900"/>
            </a:pPr>
            <a:endParaRPr lang="en-US"/>
          </a:p>
        </c:txPr>
        <c:crossAx val="346269184"/>
        <c:crosses val="autoZero"/>
        <c:auto val="1"/>
        <c:lblAlgn val="ctr"/>
        <c:lblOffset val="100"/>
        <c:noMultiLvlLbl val="0"/>
      </c:catAx>
      <c:valAx>
        <c:axId val="346269184"/>
        <c:scaling>
          <c:orientation val="minMax"/>
        </c:scaling>
        <c:delete val="1"/>
        <c:axPos val="b"/>
        <c:numFmt formatCode="General" sourceLinked="1"/>
        <c:majorTickMark val="out"/>
        <c:minorTickMark val="none"/>
        <c:tickLblPos val="nextTo"/>
        <c:crossAx val="346263552"/>
        <c:crosses val="autoZero"/>
        <c:crossBetween val="between"/>
      </c:valAx>
      <c:spPr>
        <a:solidFill>
          <a:schemeClr val="bg1"/>
        </a:solidFill>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'Entrants employed'!$Q$11</c:f>
              <c:strCache>
                <c:ptCount val="1"/>
                <c:pt idx="0">
                  <c:v>SHCS</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'Entrants employed'!$R$10:$T$10</c:f>
              <c:strCache>
                <c:ptCount val="3"/>
                <c:pt idx="0">
                  <c:v>Stage 1</c:v>
                </c:pt>
                <c:pt idx="1">
                  <c:v>Stage 2  to date</c:v>
                </c:pt>
                <c:pt idx="2">
                  <c:v>Total to date</c:v>
                </c:pt>
              </c:strCache>
            </c:strRef>
          </c:cat>
          <c:val>
            <c:numRef>
              <c:f>'Entrants employed'!$R$11:$T$11</c:f>
              <c:numCache>
                <c:formatCode>0%</c:formatCode>
                <c:ptCount val="3"/>
                <c:pt idx="0">
                  <c:v>0.57670820799312394</c:v>
                </c:pt>
                <c:pt idx="1">
                  <c:v>0.75215428805908902</c:v>
                </c:pt>
                <c:pt idx="2">
                  <c:v>0.66645675902602797</c:v>
                </c:pt>
              </c:numCache>
            </c:numRef>
          </c:val>
        </c:ser>
        <c:ser>
          <c:idx val="1"/>
          <c:order val="1"/>
          <c:tx>
            <c:strRef>
              <c:f>'Entrants employed'!$Q$12</c:f>
              <c:strCache>
                <c:ptCount val="1"/>
                <c:pt idx="0">
                  <c:v>STT</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'Entrants employed'!$R$10:$T$10</c:f>
              <c:strCache>
                <c:ptCount val="3"/>
                <c:pt idx="0">
                  <c:v>Stage 1</c:v>
                </c:pt>
                <c:pt idx="1">
                  <c:v>Stage 2  to date</c:v>
                </c:pt>
                <c:pt idx="2">
                  <c:v>Total to date</c:v>
                </c:pt>
              </c:strCache>
            </c:strRef>
          </c:cat>
          <c:val>
            <c:numRef>
              <c:f>'Entrants employed'!$R$12:$T$12</c:f>
              <c:numCache>
                <c:formatCode>0%</c:formatCode>
                <c:ptCount val="3"/>
                <c:pt idx="0">
                  <c:v>0.67330488383120002</c:v>
                </c:pt>
                <c:pt idx="1">
                  <c:v>0.61129207383279105</c:v>
                </c:pt>
                <c:pt idx="2">
                  <c:v>0.64439382434826598</c:v>
                </c:pt>
              </c:numCache>
            </c:numRef>
          </c:val>
        </c:ser>
        <c:dLbls>
          <c:showLegendKey val="0"/>
          <c:showVal val="1"/>
          <c:showCatName val="0"/>
          <c:showSerName val="0"/>
          <c:showPercent val="0"/>
          <c:showBubbleSize val="0"/>
        </c:dLbls>
        <c:gapWidth val="150"/>
        <c:overlap val="-25"/>
        <c:axId val="346967040"/>
        <c:axId val="346981120"/>
      </c:barChart>
      <c:catAx>
        <c:axId val="346967040"/>
        <c:scaling>
          <c:orientation val="minMax"/>
        </c:scaling>
        <c:delete val="0"/>
        <c:axPos val="b"/>
        <c:numFmt formatCode="General" sourceLinked="0"/>
        <c:majorTickMark val="none"/>
        <c:minorTickMark val="none"/>
        <c:tickLblPos val="nextTo"/>
        <c:txPr>
          <a:bodyPr/>
          <a:lstStyle/>
          <a:p>
            <a:pPr>
              <a:defRPr lang="en-GB" sz="900"/>
            </a:pPr>
            <a:endParaRPr lang="en-US"/>
          </a:p>
        </c:txPr>
        <c:crossAx val="346981120"/>
        <c:crosses val="autoZero"/>
        <c:auto val="1"/>
        <c:lblAlgn val="ctr"/>
        <c:lblOffset val="100"/>
        <c:noMultiLvlLbl val="0"/>
      </c:catAx>
      <c:valAx>
        <c:axId val="346981120"/>
        <c:scaling>
          <c:orientation val="minMax"/>
        </c:scaling>
        <c:delete val="1"/>
        <c:axPos val="l"/>
        <c:numFmt formatCode="0%" sourceLinked="1"/>
        <c:majorTickMark val="out"/>
        <c:minorTickMark val="none"/>
        <c:tickLblPos val="nextTo"/>
        <c:crossAx val="346967040"/>
        <c:crosses val="autoZero"/>
        <c:crossBetween val="between"/>
      </c:valAx>
    </c:plotArea>
    <c:legend>
      <c:legendPos val="t"/>
      <c:overlay val="0"/>
      <c:txPr>
        <a:bodyPr/>
        <a:lstStyle/>
        <a:p>
          <a:pPr>
            <a:defRPr lang="en-GB" sz="9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'Stud-cum x nat.'!$M$2</c:f>
              <c:strCache>
                <c:ptCount val="1"/>
                <c:pt idx="0">
                  <c:v>Students enrolled in campus countries since 2007</c:v>
                </c:pt>
              </c:strCache>
            </c:strRef>
          </c:tx>
          <c:invertIfNegative val="0"/>
          <c:cat>
            <c:strRef>
              <c:f>'Stud-cum x nat.'!$L$3:$L$17</c:f>
              <c:strCache>
                <c:ptCount val="15"/>
                <c:pt idx="0">
                  <c:v>Cook Islands</c:v>
                </c:pt>
                <c:pt idx="1">
                  <c:v>Fed. States of Micronesia</c:v>
                </c:pt>
                <c:pt idx="2">
                  <c:v>Niue</c:v>
                </c:pt>
                <c:pt idx="3">
                  <c:v>Palau</c:v>
                </c:pt>
                <c:pt idx="4">
                  <c:v>Others</c:v>
                </c:pt>
                <c:pt idx="5">
                  <c:v>Marshall Islands</c:v>
                </c:pt>
                <c:pt idx="6">
                  <c:v>Nauru</c:v>
                </c:pt>
                <c:pt idx="7">
                  <c:v>Tuvalu</c:v>
                </c:pt>
                <c:pt idx="8">
                  <c:v>Kiribati</c:v>
                </c:pt>
                <c:pt idx="9">
                  <c:v>Tonga</c:v>
                </c:pt>
                <c:pt idx="10">
                  <c:v>Solomon Islands</c:v>
                </c:pt>
                <c:pt idx="11">
                  <c:v>Samoa</c:v>
                </c:pt>
                <c:pt idx="12">
                  <c:v>Vanuatu</c:v>
                </c:pt>
                <c:pt idx="13">
                  <c:v>PNG</c:v>
                </c:pt>
                <c:pt idx="14">
                  <c:v>Fiji</c:v>
                </c:pt>
              </c:strCache>
            </c:strRef>
          </c:cat>
          <c:val>
            <c:numRef>
              <c:f>'Stud-cum x nat.'!$M$3:$M$17</c:f>
              <c:numCache>
                <c:formatCode>General</c:formatCode>
                <c:ptCount val="15"/>
                <c:pt idx="0">
                  <c:v>1</c:v>
                </c:pt>
                <c:pt idx="1">
                  <c:v>4</c:v>
                </c:pt>
                <c:pt idx="2">
                  <c:v>20</c:v>
                </c:pt>
                <c:pt idx="3">
                  <c:v>26</c:v>
                </c:pt>
                <c:pt idx="4">
                  <c:v>39</c:v>
                </c:pt>
                <c:pt idx="5">
                  <c:v>40</c:v>
                </c:pt>
                <c:pt idx="6">
                  <c:v>70</c:v>
                </c:pt>
                <c:pt idx="7">
                  <c:v>84</c:v>
                </c:pt>
                <c:pt idx="8">
                  <c:v>277</c:v>
                </c:pt>
                <c:pt idx="9">
                  <c:v>329</c:v>
                </c:pt>
                <c:pt idx="10">
                  <c:v>896</c:v>
                </c:pt>
                <c:pt idx="11">
                  <c:v>1040</c:v>
                </c:pt>
                <c:pt idx="12">
                  <c:v>1363</c:v>
                </c:pt>
                <c:pt idx="13">
                  <c:v>1895</c:v>
                </c:pt>
                <c:pt idx="14">
                  <c:v>2631</c:v>
                </c:pt>
              </c:numCache>
            </c:numRef>
          </c:val>
        </c:ser>
        <c:dLbls>
          <c:showLegendKey val="0"/>
          <c:showVal val="0"/>
          <c:showCatName val="0"/>
          <c:showSerName val="0"/>
          <c:showPercent val="0"/>
          <c:showBubbleSize val="0"/>
        </c:dLbls>
        <c:gapWidth val="150"/>
        <c:axId val="347001216"/>
        <c:axId val="347002752"/>
      </c:barChart>
      <c:catAx>
        <c:axId val="347001216"/>
        <c:scaling>
          <c:orientation val="minMax"/>
        </c:scaling>
        <c:delete val="0"/>
        <c:axPos val="l"/>
        <c:numFmt formatCode="General" sourceLinked="0"/>
        <c:majorTickMark val="out"/>
        <c:minorTickMark val="none"/>
        <c:tickLblPos val="nextTo"/>
        <c:crossAx val="347002752"/>
        <c:crosses val="autoZero"/>
        <c:auto val="1"/>
        <c:lblAlgn val="ctr"/>
        <c:lblOffset val="100"/>
        <c:noMultiLvlLbl val="0"/>
      </c:catAx>
      <c:valAx>
        <c:axId val="347002752"/>
        <c:scaling>
          <c:orientation val="minMax"/>
        </c:scaling>
        <c:delete val="0"/>
        <c:axPos val="b"/>
        <c:majorGridlines/>
        <c:title>
          <c:tx>
            <c:rich>
              <a:bodyPr/>
              <a:lstStyle/>
              <a:p>
                <a:pPr>
                  <a:defRPr/>
                </a:pPr>
                <a:r>
                  <a:rPr lang="en-US"/>
                  <a:t>Total number of students</a:t>
                </a:r>
              </a:p>
            </c:rich>
          </c:tx>
          <c:overlay val="0"/>
        </c:title>
        <c:numFmt formatCode="General" sourceLinked="1"/>
        <c:majorTickMark val="out"/>
        <c:minorTickMark val="none"/>
        <c:tickLblPos val="nextTo"/>
        <c:crossAx val="347001216"/>
        <c:crosses val="autoZero"/>
        <c:crossBetween val="between"/>
      </c:valAx>
    </c:plotArea>
    <c:plotVisOnly val="1"/>
    <c:dispBlanksAs val="gap"/>
    <c:showDLblsOverMax val="0"/>
  </c:chart>
  <c:txPr>
    <a:bodyPr/>
    <a:lstStyle/>
    <a:p>
      <a:pPr>
        <a:defRPr sz="9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'St-cum x popn'!$M$1</c:f>
              <c:strCache>
                <c:ptCount val="1"/>
                <c:pt idx="0">
                  <c:v>APTC students per thousand population by country</c:v>
                </c:pt>
              </c:strCache>
            </c:strRef>
          </c:tx>
          <c:invertIfNegative val="0"/>
          <c:dPt>
            <c:idx val="4"/>
            <c:invertIfNegative val="0"/>
            <c:bubble3D val="0"/>
            <c:spPr>
              <a:solidFill>
                <a:srgbClr val="FF0000"/>
              </a:solidFill>
            </c:spPr>
          </c:dPt>
          <c:cat>
            <c:strRef>
              <c:f>'St-cum x popn'!$L$2:$L$16</c:f>
              <c:strCache>
                <c:ptCount val="15"/>
                <c:pt idx="0">
                  <c:v>Fed. States of Micronesia</c:v>
                </c:pt>
                <c:pt idx="1">
                  <c:v>Cook Islands</c:v>
                </c:pt>
                <c:pt idx="2">
                  <c:v>PNG</c:v>
                </c:pt>
                <c:pt idx="3">
                  <c:v>Marshall Islands</c:v>
                </c:pt>
                <c:pt idx="4">
                  <c:v>Average</c:v>
                </c:pt>
                <c:pt idx="5">
                  <c:v>Palau</c:v>
                </c:pt>
                <c:pt idx="6">
                  <c:v>Solomon Islands</c:v>
                </c:pt>
                <c:pt idx="7">
                  <c:v>Kiribati</c:v>
                </c:pt>
                <c:pt idx="8">
                  <c:v>Fiji</c:v>
                </c:pt>
                <c:pt idx="9">
                  <c:v>Tonga</c:v>
                </c:pt>
                <c:pt idx="10">
                  <c:v>Vanuatu</c:v>
                </c:pt>
                <c:pt idx="11">
                  <c:v>Samoa</c:v>
                </c:pt>
                <c:pt idx="12">
                  <c:v>Nauru</c:v>
                </c:pt>
                <c:pt idx="13">
                  <c:v>Tuvalu</c:v>
                </c:pt>
                <c:pt idx="14">
                  <c:v>Niue</c:v>
                </c:pt>
              </c:strCache>
            </c:strRef>
          </c:cat>
          <c:val>
            <c:numRef>
              <c:f>'St-cum x popn'!$M$2:$M$16</c:f>
              <c:numCache>
                <c:formatCode>0.0</c:formatCode>
                <c:ptCount val="15"/>
                <c:pt idx="0">
                  <c:v>3.8834951456310697E-2</c:v>
                </c:pt>
                <c:pt idx="1">
                  <c:v>6.5789473684210495E-2</c:v>
                </c:pt>
                <c:pt idx="2">
                  <c:v>0.256132999932419</c:v>
                </c:pt>
                <c:pt idx="3">
                  <c:v>0.73800738007380096</c:v>
                </c:pt>
                <c:pt idx="4">
                  <c:v>0.89423136120174795</c:v>
                </c:pt>
                <c:pt idx="5">
                  <c:v>1.460674157303371</c:v>
                </c:pt>
                <c:pt idx="6">
                  <c:v>1.466928618205632</c:v>
                </c:pt>
                <c:pt idx="7">
                  <c:v>2.5459558823529411</c:v>
                </c:pt>
                <c:pt idx="8">
                  <c:v>3.0621508379888271</c:v>
                </c:pt>
                <c:pt idx="9">
                  <c:v>3.1848983543078409</c:v>
                </c:pt>
                <c:pt idx="10">
                  <c:v>5.1492255383452754</c:v>
                </c:pt>
                <c:pt idx="11">
                  <c:v>5.5496264674493059</c:v>
                </c:pt>
                <c:pt idx="12">
                  <c:v>6.666666666666667</c:v>
                </c:pt>
                <c:pt idx="13">
                  <c:v>7.7064220183486301</c:v>
                </c:pt>
                <c:pt idx="14">
                  <c:v>13.33333333333333</c:v>
                </c:pt>
              </c:numCache>
            </c:numRef>
          </c:val>
        </c:ser>
        <c:dLbls>
          <c:showLegendKey val="0"/>
          <c:showVal val="0"/>
          <c:showCatName val="0"/>
          <c:showSerName val="0"/>
          <c:showPercent val="0"/>
          <c:showBubbleSize val="0"/>
        </c:dLbls>
        <c:gapWidth val="150"/>
        <c:axId val="347015040"/>
        <c:axId val="347016576"/>
      </c:barChart>
      <c:catAx>
        <c:axId val="347015040"/>
        <c:scaling>
          <c:orientation val="minMax"/>
        </c:scaling>
        <c:delete val="0"/>
        <c:axPos val="l"/>
        <c:numFmt formatCode="General" sourceLinked="0"/>
        <c:majorTickMark val="out"/>
        <c:minorTickMark val="none"/>
        <c:tickLblPos val="nextTo"/>
        <c:txPr>
          <a:bodyPr/>
          <a:lstStyle/>
          <a:p>
            <a:pPr>
              <a:defRPr lang="en-GB" sz="900"/>
            </a:pPr>
            <a:endParaRPr lang="en-US"/>
          </a:p>
        </c:txPr>
        <c:crossAx val="347016576"/>
        <c:crosses val="autoZero"/>
        <c:auto val="1"/>
        <c:lblAlgn val="ctr"/>
        <c:lblOffset val="100"/>
        <c:noMultiLvlLbl val="0"/>
      </c:catAx>
      <c:valAx>
        <c:axId val="347016576"/>
        <c:scaling>
          <c:orientation val="minMax"/>
        </c:scaling>
        <c:delete val="0"/>
        <c:axPos val="b"/>
        <c:majorGridlines/>
        <c:numFmt formatCode="0.0" sourceLinked="1"/>
        <c:majorTickMark val="out"/>
        <c:minorTickMark val="none"/>
        <c:tickLblPos val="nextTo"/>
        <c:txPr>
          <a:bodyPr/>
          <a:lstStyle/>
          <a:p>
            <a:pPr>
              <a:defRPr lang="en-GB" sz="900"/>
            </a:pPr>
            <a:endParaRPr lang="en-US"/>
          </a:p>
        </c:txPr>
        <c:crossAx val="34701504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multiLvlStrRef>
              <c:f>'Enrol x TPkg &amp; Sem.'!$H$21:$Q$22</c:f>
              <c:multiLvlStrCache>
                <c:ptCount val="10"/>
                <c:lvl>
                  <c:pt idx="0">
                    <c:v>Health</c:v>
                  </c:pt>
                  <c:pt idx="1">
                    <c:v>Business</c:v>
                  </c:pt>
                  <c:pt idx="2">
                    <c:v>Hairdressing</c:v>
                  </c:pt>
                  <c:pt idx="3">
                    <c:v>Community Services</c:v>
                  </c:pt>
                  <c:pt idx="4">
                    <c:v>Tourism &amp; hospitality</c:v>
                  </c:pt>
                  <c:pt idx="5">
                    <c:v>Textiles</c:v>
                  </c:pt>
                  <c:pt idx="6">
                    <c:v>Electrotechnical</c:v>
                  </c:pt>
                  <c:pt idx="7">
                    <c:v>Automotive</c:v>
                  </c:pt>
                  <c:pt idx="8">
                    <c:v>Metal &amp; engineering</c:v>
                  </c:pt>
                  <c:pt idx="9">
                    <c:v>Construction</c:v>
                  </c:pt>
                </c:lvl>
                <c:lvl>
                  <c:pt idx="0">
                    <c:v>SHCS</c:v>
                  </c:pt>
                  <c:pt idx="5">
                    <c:v>STT</c:v>
                  </c:pt>
                </c:lvl>
              </c:multiLvlStrCache>
            </c:multiLvlStrRef>
          </c:cat>
          <c:val>
            <c:numRef>
              <c:f>'Enrol x TPkg &amp; Sem.'!$H$23:$Q$23</c:f>
              <c:numCache>
                <c:formatCode>General</c:formatCode>
                <c:ptCount val="10"/>
                <c:pt idx="0">
                  <c:v>17</c:v>
                </c:pt>
                <c:pt idx="1">
                  <c:v>105</c:v>
                </c:pt>
                <c:pt idx="2">
                  <c:v>137</c:v>
                </c:pt>
                <c:pt idx="3">
                  <c:v>1290</c:v>
                </c:pt>
                <c:pt idx="4">
                  <c:v>2729</c:v>
                </c:pt>
                <c:pt idx="5">
                  <c:v>26</c:v>
                </c:pt>
                <c:pt idx="6">
                  <c:v>311</c:v>
                </c:pt>
                <c:pt idx="7">
                  <c:v>530</c:v>
                </c:pt>
                <c:pt idx="8">
                  <c:v>1249</c:v>
                </c:pt>
                <c:pt idx="9">
                  <c:v>1290</c:v>
                </c:pt>
              </c:numCache>
            </c:numRef>
          </c:val>
        </c:ser>
        <c:dLbls>
          <c:showLegendKey val="0"/>
          <c:showVal val="0"/>
          <c:showCatName val="0"/>
          <c:showSerName val="0"/>
          <c:showPercent val="0"/>
          <c:showBubbleSize val="0"/>
        </c:dLbls>
        <c:gapWidth val="150"/>
        <c:axId val="347031808"/>
        <c:axId val="347058176"/>
      </c:barChart>
      <c:catAx>
        <c:axId val="347031808"/>
        <c:scaling>
          <c:orientation val="minMax"/>
        </c:scaling>
        <c:delete val="0"/>
        <c:axPos val="b"/>
        <c:numFmt formatCode="General" sourceLinked="0"/>
        <c:majorTickMark val="none"/>
        <c:minorTickMark val="none"/>
        <c:tickLblPos val="nextTo"/>
        <c:txPr>
          <a:bodyPr/>
          <a:lstStyle/>
          <a:p>
            <a:pPr>
              <a:defRPr lang="en-GB" sz="900" b="1"/>
            </a:pPr>
            <a:endParaRPr lang="en-US"/>
          </a:p>
        </c:txPr>
        <c:crossAx val="347058176"/>
        <c:crosses val="autoZero"/>
        <c:auto val="1"/>
        <c:lblAlgn val="ctr"/>
        <c:lblOffset val="100"/>
        <c:noMultiLvlLbl val="0"/>
      </c:catAx>
      <c:valAx>
        <c:axId val="347058176"/>
        <c:scaling>
          <c:orientation val="minMax"/>
        </c:scaling>
        <c:delete val="0"/>
        <c:axPos val="l"/>
        <c:majorGridlines/>
        <c:title>
          <c:tx>
            <c:rich>
              <a:bodyPr rot="-5400000" vert="horz"/>
              <a:lstStyle/>
              <a:p>
                <a:pPr>
                  <a:defRPr lang="en-GB"/>
                </a:pPr>
                <a:r>
                  <a:rPr lang="en-US"/>
                  <a:t>Students enroled</a:t>
                </a:r>
              </a:p>
            </c:rich>
          </c:tx>
          <c:overlay val="0"/>
        </c:title>
        <c:numFmt formatCode="General" sourceLinked="1"/>
        <c:majorTickMark val="none"/>
        <c:minorTickMark val="none"/>
        <c:tickLblPos val="nextTo"/>
        <c:txPr>
          <a:bodyPr/>
          <a:lstStyle/>
          <a:p>
            <a:pPr>
              <a:defRPr lang="en-GB" sz="900"/>
            </a:pPr>
            <a:endParaRPr lang="en-US"/>
          </a:p>
        </c:txPr>
        <c:crossAx val="34703180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'Enrol x TPkg &amp; Sem.'!$C$19</c:f>
              <c:strCache>
                <c:ptCount val="1"/>
                <c:pt idx="0">
                  <c:v>Stage 1</c:v>
                </c:pt>
              </c:strCache>
            </c:strRef>
          </c:tx>
          <c:invertIfNegative val="0"/>
          <c:cat>
            <c:strRef>
              <c:f>'Enrol x TPkg &amp; Sem.'!$B$20:$B$30</c:f>
              <c:strCache>
                <c:ptCount val="11"/>
                <c:pt idx="0">
                  <c:v>Training &amp; Education </c:v>
                </c:pt>
                <c:pt idx="1">
                  <c:v>Business Services</c:v>
                </c:pt>
                <c:pt idx="2">
                  <c:v>Community Services</c:v>
                </c:pt>
                <c:pt idx="3">
                  <c:v>Hairdressing</c:v>
                </c:pt>
                <c:pt idx="4">
                  <c:v>Health</c:v>
                </c:pt>
                <c:pt idx="5">
                  <c:v>Tourism &amp; hospitality</c:v>
                </c:pt>
                <c:pt idx="6">
                  <c:v>Automotive </c:v>
                </c:pt>
                <c:pt idx="7">
                  <c:v>Construction &amp; Plumbing </c:v>
                </c:pt>
                <c:pt idx="8">
                  <c:v>Electrotechnology</c:v>
                </c:pt>
                <c:pt idx="9">
                  <c:v>Metal and Engineering </c:v>
                </c:pt>
                <c:pt idx="10">
                  <c:v>Textiles, Clothing </c:v>
                </c:pt>
              </c:strCache>
            </c:strRef>
          </c:cat>
          <c:val>
            <c:numRef>
              <c:f>'Enrol x TPkg &amp; Sem.'!$C$20:$C$30</c:f>
              <c:numCache>
                <c:formatCode>General</c:formatCode>
                <c:ptCount val="11"/>
                <c:pt idx="0">
                  <c:v>596</c:v>
                </c:pt>
                <c:pt idx="1">
                  <c:v>18</c:v>
                </c:pt>
                <c:pt idx="2">
                  <c:v>389</c:v>
                </c:pt>
                <c:pt idx="3">
                  <c:v>54</c:v>
                </c:pt>
                <c:pt idx="4">
                  <c:v>0</c:v>
                </c:pt>
                <c:pt idx="5">
                  <c:v>1619</c:v>
                </c:pt>
                <c:pt idx="6">
                  <c:v>264</c:v>
                </c:pt>
                <c:pt idx="7">
                  <c:v>630</c:v>
                </c:pt>
                <c:pt idx="8">
                  <c:v>172</c:v>
                </c:pt>
                <c:pt idx="9">
                  <c:v>694</c:v>
                </c:pt>
                <c:pt idx="10">
                  <c:v>0</c:v>
                </c:pt>
              </c:numCache>
            </c:numRef>
          </c:val>
        </c:ser>
        <c:ser>
          <c:idx val="1"/>
          <c:order val="1"/>
          <c:tx>
            <c:strRef>
              <c:f>'Enrol x TPkg &amp; Sem.'!$D$19</c:f>
              <c:strCache>
                <c:ptCount val="1"/>
                <c:pt idx="0">
                  <c:v>Stage 2</c:v>
                </c:pt>
              </c:strCache>
            </c:strRef>
          </c:tx>
          <c:invertIfNegative val="0"/>
          <c:cat>
            <c:strRef>
              <c:f>'Enrol x TPkg &amp; Sem.'!$B$20:$B$30</c:f>
              <c:strCache>
                <c:ptCount val="11"/>
                <c:pt idx="0">
                  <c:v>Training &amp; Education </c:v>
                </c:pt>
                <c:pt idx="1">
                  <c:v>Business Services</c:v>
                </c:pt>
                <c:pt idx="2">
                  <c:v>Community Services</c:v>
                </c:pt>
                <c:pt idx="3">
                  <c:v>Hairdressing</c:v>
                </c:pt>
                <c:pt idx="4">
                  <c:v>Health</c:v>
                </c:pt>
                <c:pt idx="5">
                  <c:v>Tourism &amp; hospitality</c:v>
                </c:pt>
                <c:pt idx="6">
                  <c:v>Automotive </c:v>
                </c:pt>
                <c:pt idx="7">
                  <c:v>Construction &amp; Plumbing </c:v>
                </c:pt>
                <c:pt idx="8">
                  <c:v>Electrotechnology</c:v>
                </c:pt>
                <c:pt idx="9">
                  <c:v>Metal and Engineering </c:v>
                </c:pt>
                <c:pt idx="10">
                  <c:v>Textiles, Clothing </c:v>
                </c:pt>
              </c:strCache>
            </c:strRef>
          </c:cat>
          <c:val>
            <c:numRef>
              <c:f>'Enrol x TPkg &amp; Sem.'!$D$20:$D$30</c:f>
              <c:numCache>
                <c:formatCode>General</c:formatCode>
                <c:ptCount val="11"/>
                <c:pt idx="0">
                  <c:v>435</c:v>
                </c:pt>
                <c:pt idx="1">
                  <c:v>87</c:v>
                </c:pt>
                <c:pt idx="2">
                  <c:v>901</c:v>
                </c:pt>
                <c:pt idx="3">
                  <c:v>83</c:v>
                </c:pt>
                <c:pt idx="4">
                  <c:v>17</c:v>
                </c:pt>
                <c:pt idx="5">
                  <c:v>1110</c:v>
                </c:pt>
                <c:pt idx="6">
                  <c:v>266</c:v>
                </c:pt>
                <c:pt idx="7">
                  <c:v>660</c:v>
                </c:pt>
                <c:pt idx="8">
                  <c:v>139</c:v>
                </c:pt>
                <c:pt idx="9">
                  <c:v>555</c:v>
                </c:pt>
                <c:pt idx="10">
                  <c:v>26</c:v>
                </c:pt>
              </c:numCache>
            </c:numRef>
          </c:val>
        </c:ser>
        <c:dLbls>
          <c:showLegendKey val="0"/>
          <c:showVal val="0"/>
          <c:showCatName val="0"/>
          <c:showSerName val="0"/>
          <c:showPercent val="0"/>
          <c:showBubbleSize val="0"/>
        </c:dLbls>
        <c:gapWidth val="150"/>
        <c:axId val="347079040"/>
        <c:axId val="347080576"/>
      </c:barChart>
      <c:catAx>
        <c:axId val="347079040"/>
        <c:scaling>
          <c:orientation val="minMax"/>
        </c:scaling>
        <c:delete val="0"/>
        <c:axPos val="l"/>
        <c:numFmt formatCode="General" sourceLinked="0"/>
        <c:majorTickMark val="none"/>
        <c:minorTickMark val="none"/>
        <c:tickLblPos val="nextTo"/>
        <c:txPr>
          <a:bodyPr/>
          <a:lstStyle/>
          <a:p>
            <a:pPr>
              <a:defRPr lang="en-GB" sz="900"/>
            </a:pPr>
            <a:endParaRPr lang="en-US"/>
          </a:p>
        </c:txPr>
        <c:crossAx val="347080576"/>
        <c:crosses val="autoZero"/>
        <c:auto val="1"/>
        <c:lblAlgn val="ctr"/>
        <c:lblOffset val="100"/>
        <c:noMultiLvlLbl val="0"/>
      </c:catAx>
      <c:valAx>
        <c:axId val="347080576"/>
        <c:scaling>
          <c:orientation val="minMax"/>
        </c:scaling>
        <c:delete val="0"/>
        <c:axPos val="b"/>
        <c:majorGridlines/>
        <c:title>
          <c:tx>
            <c:rich>
              <a:bodyPr/>
              <a:lstStyle/>
              <a:p>
                <a:pPr>
                  <a:defRPr lang="en-GB" sz="900"/>
                </a:pPr>
                <a:r>
                  <a:rPr lang="en-US" sz="900"/>
                  <a:t>Number of students enroled</a:t>
                </a:r>
              </a:p>
            </c:rich>
          </c:tx>
          <c:overlay val="0"/>
        </c:title>
        <c:numFmt formatCode="General" sourceLinked="1"/>
        <c:majorTickMark val="none"/>
        <c:minorTickMark val="none"/>
        <c:tickLblPos val="nextTo"/>
        <c:txPr>
          <a:bodyPr/>
          <a:lstStyle/>
          <a:p>
            <a:pPr>
              <a:defRPr lang="en-GB" sz="900"/>
            </a:pPr>
            <a:endParaRPr lang="en-US"/>
          </a:p>
        </c:txPr>
        <c:crossAx val="347079040"/>
        <c:crosses val="autoZero"/>
        <c:crossBetween val="between"/>
        <c:majorUnit val="200"/>
      </c:valAx>
    </c:plotArea>
    <c:legend>
      <c:legendPos val="t"/>
      <c:overlay val="0"/>
      <c:txPr>
        <a:bodyPr/>
        <a:lstStyle/>
        <a:p>
          <a:pPr>
            <a:defRPr lang="en-GB" sz="900"/>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'Enrol x age'!$Y$2:$Y$3</c:f>
              <c:strCache>
                <c:ptCount val="1"/>
                <c:pt idx="0">
                  <c:v>SHCS Stage I</c:v>
                </c:pt>
              </c:strCache>
            </c:strRef>
          </c:tx>
          <c:cat>
            <c:strRef>
              <c:f>'Enrol x age'!$X$4:$X$11</c:f>
              <c:strCache>
                <c:ptCount val="8"/>
                <c:pt idx="0">
                  <c:v>15-19</c:v>
                </c:pt>
                <c:pt idx="1">
                  <c:v>20-24</c:v>
                </c:pt>
                <c:pt idx="2">
                  <c:v>25-29</c:v>
                </c:pt>
                <c:pt idx="3">
                  <c:v>30-34</c:v>
                </c:pt>
                <c:pt idx="4">
                  <c:v>35-39</c:v>
                </c:pt>
                <c:pt idx="5">
                  <c:v>40-44</c:v>
                </c:pt>
                <c:pt idx="6">
                  <c:v>45-49</c:v>
                </c:pt>
                <c:pt idx="7">
                  <c:v>&gt;50 </c:v>
                </c:pt>
              </c:strCache>
            </c:strRef>
          </c:cat>
          <c:val>
            <c:numRef>
              <c:f>'Enrol x age'!$Y$4:$Y$11</c:f>
              <c:numCache>
                <c:formatCode>General</c:formatCode>
                <c:ptCount val="8"/>
                <c:pt idx="0">
                  <c:v>0</c:v>
                </c:pt>
                <c:pt idx="1">
                  <c:v>4.51224752900731E-2</c:v>
                </c:pt>
                <c:pt idx="2">
                  <c:v>0.24623979372582699</c:v>
                </c:pt>
                <c:pt idx="3">
                  <c:v>0.23205844434894701</c:v>
                </c:pt>
                <c:pt idx="4">
                  <c:v>0.192522561237645</c:v>
                </c:pt>
                <c:pt idx="5">
                  <c:v>0.12505371723248801</c:v>
                </c:pt>
                <c:pt idx="6">
                  <c:v>7.3914911903738695E-2</c:v>
                </c:pt>
                <c:pt idx="7">
                  <c:v>7.8642028362698804E-2</c:v>
                </c:pt>
              </c:numCache>
            </c:numRef>
          </c:val>
          <c:smooth val="0"/>
        </c:ser>
        <c:ser>
          <c:idx val="1"/>
          <c:order val="1"/>
          <c:tx>
            <c:strRef>
              <c:f>'Enrol x age'!$Z$2:$Z$3</c:f>
              <c:strCache>
                <c:ptCount val="1"/>
                <c:pt idx="0">
                  <c:v>SHCS Stage II</c:v>
                </c:pt>
              </c:strCache>
            </c:strRef>
          </c:tx>
          <c:cat>
            <c:strRef>
              <c:f>'Enrol x age'!$X$4:$X$11</c:f>
              <c:strCache>
                <c:ptCount val="8"/>
                <c:pt idx="0">
                  <c:v>15-19</c:v>
                </c:pt>
                <c:pt idx="1">
                  <c:v>20-24</c:v>
                </c:pt>
                <c:pt idx="2">
                  <c:v>25-29</c:v>
                </c:pt>
                <c:pt idx="3">
                  <c:v>30-34</c:v>
                </c:pt>
                <c:pt idx="4">
                  <c:v>35-39</c:v>
                </c:pt>
                <c:pt idx="5">
                  <c:v>40-44</c:v>
                </c:pt>
                <c:pt idx="6">
                  <c:v>45-49</c:v>
                </c:pt>
                <c:pt idx="7">
                  <c:v>&gt;50 </c:v>
                </c:pt>
              </c:strCache>
            </c:strRef>
          </c:cat>
          <c:val>
            <c:numRef>
              <c:f>'Enrol x age'!$Z$4:$Z$11</c:f>
              <c:numCache>
                <c:formatCode>General</c:formatCode>
                <c:ptCount val="8"/>
                <c:pt idx="0">
                  <c:v>5.7447681575707801E-3</c:v>
                </c:pt>
                <c:pt idx="1">
                  <c:v>0.122281493639721</c:v>
                </c:pt>
                <c:pt idx="2">
                  <c:v>0.237997537956504</c:v>
                </c:pt>
                <c:pt idx="3">
                  <c:v>0.20188756668034499</c:v>
                </c:pt>
                <c:pt idx="4">
                  <c:v>0.15716044316782901</c:v>
                </c:pt>
                <c:pt idx="5">
                  <c:v>0.118998768978252</c:v>
                </c:pt>
                <c:pt idx="6">
                  <c:v>8.0426754205991005E-2</c:v>
                </c:pt>
                <c:pt idx="7">
                  <c:v>6.15510874025441E-2</c:v>
                </c:pt>
              </c:numCache>
            </c:numRef>
          </c:val>
          <c:smooth val="0"/>
        </c:ser>
        <c:ser>
          <c:idx val="2"/>
          <c:order val="2"/>
          <c:tx>
            <c:strRef>
              <c:f>'Enrol x age'!$AA$2:$AA$3</c:f>
              <c:strCache>
                <c:ptCount val="1"/>
                <c:pt idx="0">
                  <c:v>STT Stage I</c:v>
                </c:pt>
              </c:strCache>
            </c:strRef>
          </c:tx>
          <c:cat>
            <c:strRef>
              <c:f>'Enrol x age'!$X$4:$X$11</c:f>
              <c:strCache>
                <c:ptCount val="8"/>
                <c:pt idx="0">
                  <c:v>15-19</c:v>
                </c:pt>
                <c:pt idx="1">
                  <c:v>20-24</c:v>
                </c:pt>
                <c:pt idx="2">
                  <c:v>25-29</c:v>
                </c:pt>
                <c:pt idx="3">
                  <c:v>30-34</c:v>
                </c:pt>
                <c:pt idx="4">
                  <c:v>35-39</c:v>
                </c:pt>
                <c:pt idx="5">
                  <c:v>40-44</c:v>
                </c:pt>
                <c:pt idx="6">
                  <c:v>45-49</c:v>
                </c:pt>
                <c:pt idx="7">
                  <c:v>&gt;50 </c:v>
                </c:pt>
              </c:strCache>
            </c:strRef>
          </c:cat>
          <c:val>
            <c:numRef>
              <c:f>'Enrol x age'!$AA$4:$AA$11</c:f>
              <c:numCache>
                <c:formatCode>General</c:formatCode>
                <c:ptCount val="8"/>
                <c:pt idx="0">
                  <c:v>4.74158368895211E-4</c:v>
                </c:pt>
                <c:pt idx="1">
                  <c:v>2.6552868658131799E-2</c:v>
                </c:pt>
                <c:pt idx="2">
                  <c:v>0.129919393077288</c:v>
                </c:pt>
                <c:pt idx="3">
                  <c:v>0.19582740635372201</c:v>
                </c:pt>
                <c:pt idx="4">
                  <c:v>0.19393077287814101</c:v>
                </c:pt>
                <c:pt idx="5">
                  <c:v>0.18492176386913201</c:v>
                </c:pt>
                <c:pt idx="6">
                  <c:v>0.137031768610716</c:v>
                </c:pt>
                <c:pt idx="7">
                  <c:v>0.125177809388336</c:v>
                </c:pt>
              </c:numCache>
            </c:numRef>
          </c:val>
          <c:smooth val="0"/>
        </c:ser>
        <c:ser>
          <c:idx val="3"/>
          <c:order val="3"/>
          <c:tx>
            <c:strRef>
              <c:f>'Enrol x age'!$AB$2:$AB$3</c:f>
              <c:strCache>
                <c:ptCount val="1"/>
                <c:pt idx="0">
                  <c:v>STT Stage II</c:v>
                </c:pt>
              </c:strCache>
            </c:strRef>
          </c:tx>
          <c:cat>
            <c:strRef>
              <c:f>'Enrol x age'!$X$4:$X$11</c:f>
              <c:strCache>
                <c:ptCount val="8"/>
                <c:pt idx="0">
                  <c:v>15-19</c:v>
                </c:pt>
                <c:pt idx="1">
                  <c:v>20-24</c:v>
                </c:pt>
                <c:pt idx="2">
                  <c:v>25-29</c:v>
                </c:pt>
                <c:pt idx="3">
                  <c:v>30-34</c:v>
                </c:pt>
                <c:pt idx="4">
                  <c:v>35-39</c:v>
                </c:pt>
                <c:pt idx="5">
                  <c:v>40-44</c:v>
                </c:pt>
                <c:pt idx="6">
                  <c:v>45-49</c:v>
                </c:pt>
                <c:pt idx="7">
                  <c:v>&gt;50 </c:v>
                </c:pt>
              </c:strCache>
            </c:strRef>
          </c:cat>
          <c:val>
            <c:numRef>
              <c:f>'Enrol x age'!$AB$4:$AB$11</c:f>
              <c:numCache>
                <c:formatCode>General</c:formatCode>
                <c:ptCount val="8"/>
                <c:pt idx="0">
                  <c:v>1.0314875135722001E-2</c:v>
                </c:pt>
                <c:pt idx="1">
                  <c:v>0.150922909880565</c:v>
                </c:pt>
                <c:pt idx="2">
                  <c:v>0.27198697068403899</c:v>
                </c:pt>
                <c:pt idx="3">
                  <c:v>0.22149837133550501</c:v>
                </c:pt>
                <c:pt idx="4">
                  <c:v>0.14875135722041299</c:v>
                </c:pt>
                <c:pt idx="5">
                  <c:v>9.3376764386536401E-2</c:v>
                </c:pt>
                <c:pt idx="6">
                  <c:v>6.3517915309446296E-2</c:v>
                </c:pt>
                <c:pt idx="7">
                  <c:v>3.9630836047774197E-2</c:v>
                </c:pt>
              </c:numCache>
            </c:numRef>
          </c:val>
          <c:smooth val="0"/>
        </c:ser>
        <c:dLbls>
          <c:showLegendKey val="0"/>
          <c:showVal val="0"/>
          <c:showCatName val="0"/>
          <c:showSerName val="0"/>
          <c:showPercent val="0"/>
          <c:showBubbleSize val="0"/>
        </c:dLbls>
        <c:marker val="1"/>
        <c:smooth val="0"/>
        <c:axId val="347128192"/>
        <c:axId val="347129728"/>
      </c:lineChart>
      <c:catAx>
        <c:axId val="347128192"/>
        <c:scaling>
          <c:orientation val="minMax"/>
        </c:scaling>
        <c:delete val="0"/>
        <c:axPos val="b"/>
        <c:numFmt formatCode="General" sourceLinked="0"/>
        <c:majorTickMark val="none"/>
        <c:minorTickMark val="none"/>
        <c:tickLblPos val="nextTo"/>
        <c:txPr>
          <a:bodyPr/>
          <a:lstStyle/>
          <a:p>
            <a:pPr>
              <a:defRPr lang="en-GB" sz="900"/>
            </a:pPr>
            <a:endParaRPr lang="en-US"/>
          </a:p>
        </c:txPr>
        <c:crossAx val="347129728"/>
        <c:crosses val="autoZero"/>
        <c:auto val="1"/>
        <c:lblAlgn val="ctr"/>
        <c:lblOffset val="100"/>
        <c:noMultiLvlLbl val="0"/>
      </c:catAx>
      <c:valAx>
        <c:axId val="347129728"/>
        <c:scaling>
          <c:orientation val="minMax"/>
        </c:scaling>
        <c:delete val="0"/>
        <c:axPos val="l"/>
        <c:majorGridlines/>
        <c:numFmt formatCode="0%" sourceLinked="0"/>
        <c:majorTickMark val="none"/>
        <c:minorTickMark val="none"/>
        <c:tickLblPos val="nextTo"/>
        <c:spPr>
          <a:ln w="9525">
            <a:noFill/>
          </a:ln>
        </c:spPr>
        <c:txPr>
          <a:bodyPr/>
          <a:lstStyle/>
          <a:p>
            <a:pPr>
              <a:defRPr lang="en-GB" sz="900"/>
            </a:pPr>
            <a:endParaRPr lang="en-US"/>
          </a:p>
        </c:txPr>
        <c:crossAx val="347128192"/>
        <c:crosses val="autoZero"/>
        <c:crossBetween val="between"/>
      </c:valAx>
    </c:plotArea>
    <c:legend>
      <c:legendPos val="b"/>
      <c:overlay val="0"/>
      <c:txPr>
        <a:bodyPr/>
        <a:lstStyle/>
        <a:p>
          <a:pPr>
            <a:defRPr lang="en-GB" sz="900"/>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'Enrol x CC'!$Z$3</c:f>
              <c:strCache>
                <c:ptCount val="1"/>
                <c:pt idx="0">
                  <c:v>Enrolment</c:v>
                </c:pt>
              </c:strCache>
            </c:strRef>
          </c:tx>
          <c:invertIfNegative val="0"/>
          <c:cat>
            <c:multiLvlStrRef>
              <c:f>'Enrol x CC'!$X$4:$Y$14</c:f>
              <c:multiLvlStrCache>
                <c:ptCount val="11"/>
                <c:lvl>
                  <c:pt idx="0">
                    <c:v>TAE </c:v>
                  </c:pt>
                  <c:pt idx="1">
                    <c:v>Business</c:v>
                  </c:pt>
                  <c:pt idx="2">
                    <c:v>Community Serv.</c:v>
                  </c:pt>
                  <c:pt idx="3">
                    <c:v>Hairdressing</c:v>
                  </c:pt>
                  <c:pt idx="4">
                    <c:v>Health</c:v>
                  </c:pt>
                  <c:pt idx="5">
                    <c:v>Tourism &amp; Hospitality </c:v>
                  </c:pt>
                  <c:pt idx="6">
                    <c:v>Automotive Service &amp; Repair</c:v>
                  </c:pt>
                  <c:pt idx="7">
                    <c:v>Construction, Plumbing </c:v>
                  </c:pt>
                  <c:pt idx="8">
                    <c:v>Electrotechnology</c:v>
                  </c:pt>
                  <c:pt idx="9">
                    <c:v>Metal &amp; Engineering </c:v>
                  </c:pt>
                  <c:pt idx="10">
                    <c:v>Textiles, Clothing</c:v>
                  </c:pt>
                </c:lvl>
                <c:lvl>
                  <c:pt idx="0">
                    <c:v>Both</c:v>
                  </c:pt>
                  <c:pt idx="1">
                    <c:v>SHCS</c:v>
                  </c:pt>
                  <c:pt idx="2">
                    <c:v>SHCS</c:v>
                  </c:pt>
                  <c:pt idx="3">
                    <c:v>SHCS</c:v>
                  </c:pt>
                  <c:pt idx="4">
                    <c:v>SHCS</c:v>
                  </c:pt>
                  <c:pt idx="5">
                    <c:v>SHCS</c:v>
                  </c:pt>
                  <c:pt idx="6">
                    <c:v>STT</c:v>
                  </c:pt>
                  <c:pt idx="7">
                    <c:v>STT</c:v>
                  </c:pt>
                  <c:pt idx="8">
                    <c:v>STT</c:v>
                  </c:pt>
                  <c:pt idx="9">
                    <c:v>STT</c:v>
                  </c:pt>
                  <c:pt idx="10">
                    <c:v>STT</c:v>
                  </c:pt>
                </c:lvl>
              </c:multiLvlStrCache>
            </c:multiLvlStrRef>
          </c:cat>
          <c:val>
            <c:numRef>
              <c:f>'Enrol x CC'!$Z$4:$Z$14</c:f>
              <c:numCache>
                <c:formatCode>General</c:formatCode>
                <c:ptCount val="11"/>
                <c:pt idx="0">
                  <c:v>232</c:v>
                </c:pt>
                <c:pt idx="1">
                  <c:v>87</c:v>
                </c:pt>
                <c:pt idx="2">
                  <c:v>247</c:v>
                </c:pt>
                <c:pt idx="3">
                  <c:v>32</c:v>
                </c:pt>
                <c:pt idx="4">
                  <c:v>17</c:v>
                </c:pt>
                <c:pt idx="5">
                  <c:v>251</c:v>
                </c:pt>
                <c:pt idx="6">
                  <c:v>189</c:v>
                </c:pt>
                <c:pt idx="7">
                  <c:v>412</c:v>
                </c:pt>
                <c:pt idx="8">
                  <c:v>89</c:v>
                </c:pt>
                <c:pt idx="9">
                  <c:v>355</c:v>
                </c:pt>
                <c:pt idx="10">
                  <c:v>26</c:v>
                </c:pt>
              </c:numCache>
            </c:numRef>
          </c:val>
        </c:ser>
        <c:dLbls>
          <c:showLegendKey val="0"/>
          <c:showVal val="0"/>
          <c:showCatName val="0"/>
          <c:showSerName val="0"/>
          <c:showPercent val="0"/>
          <c:showBubbleSize val="0"/>
        </c:dLbls>
        <c:gapWidth val="150"/>
        <c:axId val="347141632"/>
        <c:axId val="347143168"/>
      </c:barChart>
      <c:catAx>
        <c:axId val="347141632"/>
        <c:scaling>
          <c:orientation val="minMax"/>
        </c:scaling>
        <c:delete val="0"/>
        <c:axPos val="b"/>
        <c:numFmt formatCode="General" sourceLinked="0"/>
        <c:majorTickMark val="out"/>
        <c:minorTickMark val="none"/>
        <c:tickLblPos val="nextTo"/>
        <c:txPr>
          <a:bodyPr/>
          <a:lstStyle/>
          <a:p>
            <a:pPr>
              <a:defRPr lang="en-GB" sz="800" b="1"/>
            </a:pPr>
            <a:endParaRPr lang="en-US"/>
          </a:p>
        </c:txPr>
        <c:crossAx val="347143168"/>
        <c:crosses val="autoZero"/>
        <c:auto val="1"/>
        <c:lblAlgn val="ctr"/>
        <c:lblOffset val="100"/>
        <c:noMultiLvlLbl val="0"/>
      </c:catAx>
      <c:valAx>
        <c:axId val="347143168"/>
        <c:scaling>
          <c:orientation val="minMax"/>
        </c:scaling>
        <c:delete val="0"/>
        <c:axPos val="l"/>
        <c:majorGridlines/>
        <c:numFmt formatCode="General" sourceLinked="1"/>
        <c:majorTickMark val="out"/>
        <c:minorTickMark val="none"/>
        <c:tickLblPos val="nextTo"/>
        <c:txPr>
          <a:bodyPr/>
          <a:lstStyle/>
          <a:p>
            <a:pPr>
              <a:defRPr lang="en-GB" sz="900"/>
            </a:pPr>
            <a:endParaRPr lang="en-US"/>
          </a:p>
        </c:txPr>
        <c:crossAx val="34714163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'Enrol x CC'!$B$2</c:f>
              <c:strCache>
                <c:ptCount val="1"/>
                <c:pt idx="0">
                  <c:v>Enrolment</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'Enrol x CC'!$A$3:$A$8</c:f>
              <c:strCache>
                <c:ptCount val="6"/>
                <c:pt idx="0">
                  <c:v>Fiji</c:v>
                </c:pt>
                <c:pt idx="1">
                  <c:v>PNG</c:v>
                </c:pt>
                <c:pt idx="2">
                  <c:v>Samoa</c:v>
                </c:pt>
                <c:pt idx="3">
                  <c:v>S.I.</c:v>
                </c:pt>
                <c:pt idx="4">
                  <c:v>Vanuatu</c:v>
                </c:pt>
                <c:pt idx="5">
                  <c:v>Other</c:v>
                </c:pt>
              </c:strCache>
            </c:strRef>
          </c:cat>
          <c:val>
            <c:numRef>
              <c:f>'Enrol x CC'!$B$3:$B$8</c:f>
              <c:numCache>
                <c:formatCode>General</c:formatCode>
                <c:ptCount val="6"/>
                <c:pt idx="0">
                  <c:v>843</c:v>
                </c:pt>
                <c:pt idx="1">
                  <c:v>370</c:v>
                </c:pt>
                <c:pt idx="2">
                  <c:v>309</c:v>
                </c:pt>
                <c:pt idx="3">
                  <c:v>113</c:v>
                </c:pt>
                <c:pt idx="4">
                  <c:v>255</c:v>
                </c:pt>
                <c:pt idx="5">
                  <c:v>47</c:v>
                </c:pt>
              </c:numCache>
            </c:numRef>
          </c:val>
        </c:ser>
        <c:dLbls>
          <c:showLegendKey val="0"/>
          <c:showVal val="0"/>
          <c:showCatName val="0"/>
          <c:showSerName val="0"/>
          <c:showPercent val="0"/>
          <c:showBubbleSize val="0"/>
        </c:dLbls>
        <c:gapWidth val="150"/>
        <c:axId val="347172224"/>
        <c:axId val="347178112"/>
      </c:barChart>
      <c:catAx>
        <c:axId val="347172224"/>
        <c:scaling>
          <c:orientation val="minMax"/>
        </c:scaling>
        <c:delete val="0"/>
        <c:axPos val="b"/>
        <c:numFmt formatCode="General" sourceLinked="0"/>
        <c:majorTickMark val="out"/>
        <c:minorTickMark val="none"/>
        <c:tickLblPos val="nextTo"/>
        <c:txPr>
          <a:bodyPr/>
          <a:lstStyle/>
          <a:p>
            <a:pPr>
              <a:defRPr lang="en-GB" sz="900"/>
            </a:pPr>
            <a:endParaRPr lang="en-US"/>
          </a:p>
        </c:txPr>
        <c:crossAx val="347178112"/>
        <c:crosses val="autoZero"/>
        <c:auto val="1"/>
        <c:lblAlgn val="ctr"/>
        <c:lblOffset val="100"/>
        <c:noMultiLvlLbl val="0"/>
      </c:catAx>
      <c:valAx>
        <c:axId val="347178112"/>
        <c:scaling>
          <c:orientation val="minMax"/>
        </c:scaling>
        <c:delete val="0"/>
        <c:axPos val="l"/>
        <c:majorGridlines/>
        <c:numFmt formatCode="General" sourceLinked="1"/>
        <c:majorTickMark val="out"/>
        <c:minorTickMark val="none"/>
        <c:tickLblPos val="nextTo"/>
        <c:txPr>
          <a:bodyPr/>
          <a:lstStyle/>
          <a:p>
            <a:pPr>
              <a:defRPr lang="en-GB" sz="900"/>
            </a:pPr>
            <a:endParaRPr lang="en-US"/>
          </a:p>
        </c:txPr>
        <c:crossAx val="34717222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'PNG enrol'!$A$3:$B$3</c:f>
              <c:strCache>
                <c:ptCount val="1"/>
                <c:pt idx="0">
                  <c:v>PNG PNG</c:v>
                </c:pt>
              </c:strCache>
            </c:strRef>
          </c:tx>
          <c:cat>
            <c:multiLvlStrRef>
              <c:f>'PNG enrol'!$C$1:$P$2</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multiLvlStrCache>
            </c:multiLvlStrRef>
          </c:cat>
          <c:val>
            <c:numRef>
              <c:f>'PNG enrol'!$C$3:$P$3</c:f>
              <c:numCache>
                <c:formatCode>General</c:formatCode>
                <c:ptCount val="14"/>
                <c:pt idx="1">
                  <c:v>193</c:v>
                </c:pt>
                <c:pt idx="2">
                  <c:v>90</c:v>
                </c:pt>
                <c:pt idx="3">
                  <c:v>170</c:v>
                </c:pt>
                <c:pt idx="4">
                  <c:v>221</c:v>
                </c:pt>
                <c:pt idx="5">
                  <c:v>207</c:v>
                </c:pt>
                <c:pt idx="6">
                  <c:v>100</c:v>
                </c:pt>
                <c:pt idx="7">
                  <c:v>122</c:v>
                </c:pt>
                <c:pt idx="8">
                  <c:v>90</c:v>
                </c:pt>
                <c:pt idx="9">
                  <c:v>38</c:v>
                </c:pt>
                <c:pt idx="10">
                  <c:v>37</c:v>
                </c:pt>
                <c:pt idx="11">
                  <c:v>295</c:v>
                </c:pt>
                <c:pt idx="12">
                  <c:v>160</c:v>
                </c:pt>
                <c:pt idx="13">
                  <c:v>172</c:v>
                </c:pt>
              </c:numCache>
            </c:numRef>
          </c:val>
          <c:smooth val="0"/>
        </c:ser>
        <c:dLbls>
          <c:showLegendKey val="0"/>
          <c:showVal val="0"/>
          <c:showCatName val="0"/>
          <c:showSerName val="0"/>
          <c:showPercent val="0"/>
          <c:showBubbleSize val="0"/>
        </c:dLbls>
        <c:marker val="1"/>
        <c:smooth val="0"/>
        <c:axId val="347214592"/>
        <c:axId val="347216128"/>
      </c:lineChart>
      <c:catAx>
        <c:axId val="347214592"/>
        <c:scaling>
          <c:orientation val="minMax"/>
        </c:scaling>
        <c:delete val="0"/>
        <c:axPos val="b"/>
        <c:numFmt formatCode="General" sourceLinked="0"/>
        <c:majorTickMark val="out"/>
        <c:minorTickMark val="none"/>
        <c:tickLblPos val="nextTo"/>
        <c:crossAx val="347216128"/>
        <c:crosses val="autoZero"/>
        <c:auto val="1"/>
        <c:lblAlgn val="ctr"/>
        <c:lblOffset val="100"/>
        <c:noMultiLvlLbl val="0"/>
      </c:catAx>
      <c:valAx>
        <c:axId val="347216128"/>
        <c:scaling>
          <c:orientation val="minMax"/>
        </c:scaling>
        <c:delete val="0"/>
        <c:axPos val="l"/>
        <c:majorGridlines/>
        <c:numFmt formatCode="General" sourceLinked="1"/>
        <c:majorTickMark val="out"/>
        <c:minorTickMark val="none"/>
        <c:tickLblPos val="nextTo"/>
        <c:crossAx val="34721459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'Programs x school'!$D$12</c:f>
              <c:strCache>
                <c:ptCount val="1"/>
                <c:pt idx="0">
                  <c:v>No. programs</c:v>
                </c:pt>
              </c:strCache>
            </c:strRef>
          </c:tx>
          <c:invertIfNegative val="0"/>
          <c:cat>
            <c:strRef>
              <c:f>'Programs x school'!$C$13:$C$23</c:f>
              <c:strCache>
                <c:ptCount val="11"/>
                <c:pt idx="0">
                  <c:v>TAE</c:v>
                </c:pt>
                <c:pt idx="1">
                  <c:v>Business</c:v>
                </c:pt>
                <c:pt idx="2">
                  <c:v>Community Serv.</c:v>
                </c:pt>
                <c:pt idx="3">
                  <c:v>Hairdressing</c:v>
                </c:pt>
                <c:pt idx="4">
                  <c:v>Health</c:v>
                </c:pt>
                <c:pt idx="5">
                  <c:v>Tourism &amp; Hospitality </c:v>
                </c:pt>
                <c:pt idx="6">
                  <c:v>Automotive Service &amp; Repair</c:v>
                </c:pt>
                <c:pt idx="7">
                  <c:v>Construction, Plumbing</c:v>
                </c:pt>
                <c:pt idx="8">
                  <c:v>Electrotechnology</c:v>
                </c:pt>
                <c:pt idx="9">
                  <c:v>Metal &amp; Engineering </c:v>
                </c:pt>
                <c:pt idx="10">
                  <c:v>Textiles, Clothing</c:v>
                </c:pt>
              </c:strCache>
            </c:strRef>
          </c:cat>
          <c:val>
            <c:numRef>
              <c:f>'Programs x school'!$D$13:$D$23</c:f>
              <c:numCache>
                <c:formatCode>General</c:formatCode>
                <c:ptCount val="11"/>
                <c:pt idx="0">
                  <c:v>3</c:v>
                </c:pt>
                <c:pt idx="1">
                  <c:v>2</c:v>
                </c:pt>
                <c:pt idx="2">
                  <c:v>8</c:v>
                </c:pt>
                <c:pt idx="3">
                  <c:v>1</c:v>
                </c:pt>
                <c:pt idx="4">
                  <c:v>1</c:v>
                </c:pt>
                <c:pt idx="5">
                  <c:v>9</c:v>
                </c:pt>
                <c:pt idx="6">
                  <c:v>3</c:v>
                </c:pt>
                <c:pt idx="7">
                  <c:v>5</c:v>
                </c:pt>
                <c:pt idx="8">
                  <c:v>1</c:v>
                </c:pt>
                <c:pt idx="9">
                  <c:v>4</c:v>
                </c:pt>
                <c:pt idx="10">
                  <c:v>1</c:v>
                </c:pt>
              </c:numCache>
            </c:numRef>
          </c:val>
        </c:ser>
        <c:dLbls>
          <c:showLegendKey val="0"/>
          <c:showVal val="0"/>
          <c:showCatName val="0"/>
          <c:showSerName val="0"/>
          <c:showPercent val="0"/>
          <c:showBubbleSize val="0"/>
        </c:dLbls>
        <c:gapWidth val="150"/>
        <c:axId val="257127552"/>
        <c:axId val="257129088"/>
      </c:barChart>
      <c:catAx>
        <c:axId val="257127552"/>
        <c:scaling>
          <c:orientation val="minMax"/>
        </c:scaling>
        <c:delete val="0"/>
        <c:axPos val="l"/>
        <c:numFmt formatCode="General" sourceLinked="0"/>
        <c:majorTickMark val="out"/>
        <c:minorTickMark val="none"/>
        <c:tickLblPos val="nextTo"/>
        <c:txPr>
          <a:bodyPr/>
          <a:lstStyle/>
          <a:p>
            <a:pPr>
              <a:defRPr lang="en-GB" sz="900"/>
            </a:pPr>
            <a:endParaRPr lang="en-US"/>
          </a:p>
        </c:txPr>
        <c:crossAx val="257129088"/>
        <c:crosses val="autoZero"/>
        <c:auto val="1"/>
        <c:lblAlgn val="ctr"/>
        <c:lblOffset val="100"/>
        <c:noMultiLvlLbl val="0"/>
      </c:catAx>
      <c:valAx>
        <c:axId val="257129088"/>
        <c:scaling>
          <c:orientation val="minMax"/>
        </c:scaling>
        <c:delete val="0"/>
        <c:axPos val="b"/>
        <c:majorGridlines/>
        <c:numFmt formatCode="General" sourceLinked="1"/>
        <c:majorTickMark val="out"/>
        <c:minorTickMark val="none"/>
        <c:tickLblPos val="nextTo"/>
        <c:txPr>
          <a:bodyPr/>
          <a:lstStyle/>
          <a:p>
            <a:pPr>
              <a:defRPr lang="en-GB" sz="900"/>
            </a:pPr>
            <a:endParaRPr lang="en-US"/>
          </a:p>
        </c:txPr>
        <c:crossAx val="25712755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fem. enrol.'!$T$4</c:f>
              <c:strCache>
                <c:ptCount val="1"/>
                <c:pt idx="0">
                  <c:v>Stage I</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fem. enrol.'!$U$3:$V$3</c:f>
              <c:strCache>
                <c:ptCount val="2"/>
                <c:pt idx="0">
                  <c:v>% Female</c:v>
                </c:pt>
                <c:pt idx="1">
                  <c:v>% Male</c:v>
                </c:pt>
              </c:strCache>
            </c:strRef>
          </c:cat>
          <c:val>
            <c:numRef>
              <c:f>'% fem. enrol.'!$U$4:$V$4</c:f>
              <c:numCache>
                <c:formatCode>General</c:formatCode>
                <c:ptCount val="2"/>
                <c:pt idx="0">
                  <c:v>36</c:v>
                </c:pt>
                <c:pt idx="1">
                  <c:v>64</c:v>
                </c:pt>
              </c:numCache>
            </c:numRef>
          </c:val>
        </c:ser>
        <c:ser>
          <c:idx val="1"/>
          <c:order val="1"/>
          <c:tx>
            <c:strRef>
              <c:f>'% fem. enrol.'!$T$5</c:f>
              <c:strCache>
                <c:ptCount val="1"/>
                <c:pt idx="0">
                  <c:v>Stage II</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fem. enrol.'!$U$3:$V$3</c:f>
              <c:strCache>
                <c:ptCount val="2"/>
                <c:pt idx="0">
                  <c:v>% Female</c:v>
                </c:pt>
                <c:pt idx="1">
                  <c:v>% Male</c:v>
                </c:pt>
              </c:strCache>
            </c:strRef>
          </c:cat>
          <c:val>
            <c:numRef>
              <c:f>'% fem. enrol.'!$U$5:$V$5</c:f>
              <c:numCache>
                <c:formatCode>General</c:formatCode>
                <c:ptCount val="2"/>
                <c:pt idx="0">
                  <c:v>40</c:v>
                </c:pt>
                <c:pt idx="1">
                  <c:v>60</c:v>
                </c:pt>
              </c:numCache>
            </c:numRef>
          </c:val>
        </c:ser>
        <c:dLbls>
          <c:showLegendKey val="0"/>
          <c:showVal val="1"/>
          <c:showCatName val="0"/>
          <c:showSerName val="0"/>
          <c:showPercent val="0"/>
          <c:showBubbleSize val="0"/>
        </c:dLbls>
        <c:gapWidth val="150"/>
        <c:overlap val="-25"/>
        <c:axId val="346779648"/>
        <c:axId val="346780800"/>
      </c:barChart>
      <c:catAx>
        <c:axId val="346779648"/>
        <c:scaling>
          <c:orientation val="minMax"/>
        </c:scaling>
        <c:delete val="0"/>
        <c:axPos val="b"/>
        <c:numFmt formatCode="General" sourceLinked="0"/>
        <c:majorTickMark val="none"/>
        <c:minorTickMark val="none"/>
        <c:tickLblPos val="nextTo"/>
        <c:txPr>
          <a:bodyPr/>
          <a:lstStyle/>
          <a:p>
            <a:pPr>
              <a:defRPr lang="en-GB" sz="900"/>
            </a:pPr>
            <a:endParaRPr lang="en-US"/>
          </a:p>
        </c:txPr>
        <c:crossAx val="346780800"/>
        <c:crosses val="autoZero"/>
        <c:auto val="1"/>
        <c:lblAlgn val="ctr"/>
        <c:lblOffset val="100"/>
        <c:noMultiLvlLbl val="0"/>
      </c:catAx>
      <c:valAx>
        <c:axId val="346780800"/>
        <c:scaling>
          <c:orientation val="minMax"/>
        </c:scaling>
        <c:delete val="1"/>
        <c:axPos val="l"/>
        <c:numFmt formatCode="General" sourceLinked="1"/>
        <c:majorTickMark val="out"/>
        <c:minorTickMark val="none"/>
        <c:tickLblPos val="nextTo"/>
        <c:crossAx val="346779648"/>
        <c:crosses val="autoZero"/>
        <c:crossBetween val="between"/>
      </c:valAx>
    </c:plotArea>
    <c:legend>
      <c:legendPos val="t"/>
      <c:overlay val="0"/>
      <c:txPr>
        <a:bodyPr/>
        <a:lstStyle/>
        <a:p>
          <a:pPr>
            <a:defRPr lang="en-GB" sz="900"/>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fem. enrol.'!$S$15</c:f>
              <c:strCache>
                <c:ptCount val="1"/>
                <c:pt idx="0">
                  <c:v>Shared</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fem. enrol.'!$T$14:$V$14</c:f>
              <c:strCache>
                <c:ptCount val="3"/>
                <c:pt idx="0">
                  <c:v>Stage 1</c:v>
                </c:pt>
                <c:pt idx="1">
                  <c:v>Stage 2</c:v>
                </c:pt>
                <c:pt idx="2">
                  <c:v>Total</c:v>
                </c:pt>
              </c:strCache>
            </c:strRef>
          </c:cat>
          <c:val>
            <c:numRef>
              <c:f>'% fem. enrol.'!$T$15:$V$15</c:f>
              <c:numCache>
                <c:formatCode>0%</c:formatCode>
                <c:ptCount val="3"/>
                <c:pt idx="0">
                  <c:v>0.84615384615384603</c:v>
                </c:pt>
                <c:pt idx="1">
                  <c:v>0.75268817204301097</c:v>
                </c:pt>
                <c:pt idx="2">
                  <c:v>0.80600461893764397</c:v>
                </c:pt>
              </c:numCache>
            </c:numRef>
          </c:val>
        </c:ser>
        <c:ser>
          <c:idx val="1"/>
          <c:order val="1"/>
          <c:tx>
            <c:strRef>
              <c:f>'% fem. enrol.'!$S$16</c:f>
              <c:strCache>
                <c:ptCount val="1"/>
                <c:pt idx="0">
                  <c:v>SHCS</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fem. enrol.'!$T$14:$V$14</c:f>
              <c:strCache>
                <c:ptCount val="3"/>
                <c:pt idx="0">
                  <c:v>Stage 1</c:v>
                </c:pt>
                <c:pt idx="1">
                  <c:v>Stage 2</c:v>
                </c:pt>
                <c:pt idx="2">
                  <c:v>Total</c:v>
                </c:pt>
              </c:strCache>
            </c:strRef>
          </c:cat>
          <c:val>
            <c:numRef>
              <c:f>'% fem. enrol.'!$T$16:$V$16</c:f>
              <c:numCache>
                <c:formatCode>0%</c:formatCode>
                <c:ptCount val="3"/>
                <c:pt idx="0">
                  <c:v>0.46730769230769198</c:v>
                </c:pt>
                <c:pt idx="1">
                  <c:v>0.478898267436695</c:v>
                </c:pt>
                <c:pt idx="2">
                  <c:v>0.47333179404294601</c:v>
                </c:pt>
              </c:numCache>
            </c:numRef>
          </c:val>
        </c:ser>
        <c:ser>
          <c:idx val="2"/>
          <c:order val="2"/>
          <c:tx>
            <c:strRef>
              <c:f>'% fem. enrol.'!$S$17</c:f>
              <c:strCache>
                <c:ptCount val="1"/>
                <c:pt idx="0">
                  <c:v>STT</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fem. enrol.'!$T$14:$V$14</c:f>
              <c:strCache>
                <c:ptCount val="3"/>
                <c:pt idx="0">
                  <c:v>Stage 1</c:v>
                </c:pt>
                <c:pt idx="1">
                  <c:v>Stage 2</c:v>
                </c:pt>
                <c:pt idx="2">
                  <c:v>Total</c:v>
                </c:pt>
              </c:strCache>
            </c:strRef>
          </c:cat>
          <c:val>
            <c:numRef>
              <c:f>'% fem. enrol.'!$T$17:$V$17</c:f>
              <c:numCache>
                <c:formatCode>0%</c:formatCode>
                <c:ptCount val="3"/>
                <c:pt idx="0">
                  <c:v>0.20768136557610201</c:v>
                </c:pt>
                <c:pt idx="1">
                  <c:v>0.27795874049945701</c:v>
                </c:pt>
                <c:pt idx="2">
                  <c:v>0.24044545684636801</c:v>
                </c:pt>
              </c:numCache>
            </c:numRef>
          </c:val>
        </c:ser>
        <c:dLbls>
          <c:showLegendKey val="0"/>
          <c:showVal val="1"/>
          <c:showCatName val="0"/>
          <c:showSerName val="0"/>
          <c:showPercent val="0"/>
          <c:showBubbleSize val="0"/>
        </c:dLbls>
        <c:gapWidth val="150"/>
        <c:overlap val="-25"/>
        <c:axId val="346698496"/>
        <c:axId val="346700032"/>
      </c:barChart>
      <c:catAx>
        <c:axId val="346698496"/>
        <c:scaling>
          <c:orientation val="minMax"/>
        </c:scaling>
        <c:delete val="0"/>
        <c:axPos val="b"/>
        <c:numFmt formatCode="General" sourceLinked="0"/>
        <c:majorTickMark val="none"/>
        <c:minorTickMark val="none"/>
        <c:tickLblPos val="nextTo"/>
        <c:txPr>
          <a:bodyPr/>
          <a:lstStyle/>
          <a:p>
            <a:pPr>
              <a:defRPr lang="en-GB" sz="900"/>
            </a:pPr>
            <a:endParaRPr lang="en-US"/>
          </a:p>
        </c:txPr>
        <c:crossAx val="346700032"/>
        <c:crosses val="autoZero"/>
        <c:auto val="1"/>
        <c:lblAlgn val="ctr"/>
        <c:lblOffset val="100"/>
        <c:noMultiLvlLbl val="0"/>
      </c:catAx>
      <c:valAx>
        <c:axId val="346700032"/>
        <c:scaling>
          <c:orientation val="minMax"/>
        </c:scaling>
        <c:delete val="1"/>
        <c:axPos val="l"/>
        <c:numFmt formatCode="0%" sourceLinked="1"/>
        <c:majorTickMark val="out"/>
        <c:minorTickMark val="none"/>
        <c:tickLblPos val="nextTo"/>
        <c:crossAx val="346698496"/>
        <c:crosses val="autoZero"/>
        <c:crossBetween val="between"/>
      </c:valAx>
    </c:plotArea>
    <c:legend>
      <c:legendPos val="t"/>
      <c:overlay val="0"/>
      <c:txPr>
        <a:bodyPr/>
        <a:lstStyle/>
        <a:p>
          <a:pPr>
            <a:defRPr lang="en-GB" sz="900"/>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'[Worksheet- WL etc.xlsx]Enrol by gender &amp; TPkg'!$O$113</c:f>
              <c:strCache>
                <c:ptCount val="1"/>
                <c:pt idx="0">
                  <c:v>Male</c:v>
                </c:pt>
              </c:strCache>
            </c:strRef>
          </c:tx>
          <c:invertIfNegative val="0"/>
          <c:cat>
            <c:strRef>
              <c:f>'[Worksheet- WL etc.xlsx]Enrol by gender &amp; TPkg'!$M$114:$M$124</c:f>
              <c:strCache>
                <c:ptCount val="11"/>
                <c:pt idx="0">
                  <c:v>Automotive </c:v>
                </c:pt>
                <c:pt idx="1">
                  <c:v>Business Services</c:v>
                </c:pt>
                <c:pt idx="2">
                  <c:v>Community Services</c:v>
                </c:pt>
                <c:pt idx="3">
                  <c:v>Construction &amp; Plumbing </c:v>
                </c:pt>
                <c:pt idx="4">
                  <c:v>Electrotechnology</c:v>
                </c:pt>
                <c:pt idx="5">
                  <c:v>Hairdressing</c:v>
                </c:pt>
                <c:pt idx="6">
                  <c:v>Health</c:v>
                </c:pt>
                <c:pt idx="7">
                  <c:v>Metal &amp; Engineering </c:v>
                </c:pt>
                <c:pt idx="8">
                  <c:v>Training &amp; Education </c:v>
                </c:pt>
                <c:pt idx="9">
                  <c:v>Textiles, Clothing </c:v>
                </c:pt>
                <c:pt idx="10">
                  <c:v>Tourism &amp; Hospitality </c:v>
                </c:pt>
              </c:strCache>
            </c:strRef>
          </c:cat>
          <c:val>
            <c:numRef>
              <c:f>'[Worksheet- WL etc.xlsx]Enrol by gender &amp; TPkg'!$O$114:$O$124</c:f>
              <c:numCache>
                <c:formatCode>General</c:formatCode>
                <c:ptCount val="11"/>
                <c:pt idx="0">
                  <c:v>523</c:v>
                </c:pt>
                <c:pt idx="1">
                  <c:v>64</c:v>
                </c:pt>
                <c:pt idx="2">
                  <c:v>247</c:v>
                </c:pt>
                <c:pt idx="3">
                  <c:v>1102</c:v>
                </c:pt>
                <c:pt idx="4">
                  <c:v>302</c:v>
                </c:pt>
                <c:pt idx="5">
                  <c:v>34</c:v>
                </c:pt>
                <c:pt idx="6">
                  <c:v>6</c:v>
                </c:pt>
                <c:pt idx="7">
                  <c:v>1228</c:v>
                </c:pt>
                <c:pt idx="8">
                  <c:v>654</c:v>
                </c:pt>
                <c:pt idx="9">
                  <c:v>6</c:v>
                </c:pt>
                <c:pt idx="10">
                  <c:v>1200</c:v>
                </c:pt>
              </c:numCache>
            </c:numRef>
          </c:val>
        </c:ser>
        <c:ser>
          <c:idx val="1"/>
          <c:order val="1"/>
          <c:tx>
            <c:strRef>
              <c:f>'[Worksheet- WL etc.xlsx]Enrol by gender &amp; TPkg'!$P$113</c:f>
              <c:strCache>
                <c:ptCount val="1"/>
                <c:pt idx="0">
                  <c:v>Female</c:v>
                </c:pt>
              </c:strCache>
            </c:strRef>
          </c:tx>
          <c:invertIfNegative val="0"/>
          <c:cat>
            <c:strRef>
              <c:f>'[Worksheet- WL etc.xlsx]Enrol by gender &amp; TPkg'!$M$114:$M$124</c:f>
              <c:strCache>
                <c:ptCount val="11"/>
                <c:pt idx="0">
                  <c:v>Automotive </c:v>
                </c:pt>
                <c:pt idx="1">
                  <c:v>Business Services</c:v>
                </c:pt>
                <c:pt idx="2">
                  <c:v>Community Services</c:v>
                </c:pt>
                <c:pt idx="3">
                  <c:v>Construction &amp; Plumbing </c:v>
                </c:pt>
                <c:pt idx="4">
                  <c:v>Electrotechnology</c:v>
                </c:pt>
                <c:pt idx="5">
                  <c:v>Hairdressing</c:v>
                </c:pt>
                <c:pt idx="6">
                  <c:v>Health</c:v>
                </c:pt>
                <c:pt idx="7">
                  <c:v>Metal &amp; Engineering </c:v>
                </c:pt>
                <c:pt idx="8">
                  <c:v>Training &amp; Education </c:v>
                </c:pt>
                <c:pt idx="9">
                  <c:v>Textiles, Clothing </c:v>
                </c:pt>
                <c:pt idx="10">
                  <c:v>Tourism &amp; Hospitality </c:v>
                </c:pt>
              </c:strCache>
            </c:strRef>
          </c:cat>
          <c:val>
            <c:numRef>
              <c:f>'[Worksheet- WL etc.xlsx]Enrol by gender &amp; TPkg'!$P$114:$P$124</c:f>
              <c:numCache>
                <c:formatCode>General</c:formatCode>
                <c:ptCount val="11"/>
                <c:pt idx="0">
                  <c:v>7</c:v>
                </c:pt>
                <c:pt idx="1">
                  <c:v>41</c:v>
                </c:pt>
                <c:pt idx="2">
                  <c:v>1043</c:v>
                </c:pt>
                <c:pt idx="3">
                  <c:v>188</c:v>
                </c:pt>
                <c:pt idx="4">
                  <c:v>9</c:v>
                </c:pt>
                <c:pt idx="5">
                  <c:v>103</c:v>
                </c:pt>
                <c:pt idx="6">
                  <c:v>11</c:v>
                </c:pt>
                <c:pt idx="7">
                  <c:v>21</c:v>
                </c:pt>
                <c:pt idx="8">
                  <c:v>377</c:v>
                </c:pt>
                <c:pt idx="9">
                  <c:v>20</c:v>
                </c:pt>
                <c:pt idx="10">
                  <c:v>1529</c:v>
                </c:pt>
              </c:numCache>
            </c:numRef>
          </c:val>
        </c:ser>
        <c:dLbls>
          <c:showLegendKey val="0"/>
          <c:showVal val="0"/>
          <c:showCatName val="0"/>
          <c:showSerName val="0"/>
          <c:showPercent val="0"/>
          <c:showBubbleSize val="0"/>
        </c:dLbls>
        <c:gapWidth val="55"/>
        <c:overlap val="100"/>
        <c:axId val="346720896"/>
        <c:axId val="346730880"/>
      </c:barChart>
      <c:catAx>
        <c:axId val="346720896"/>
        <c:scaling>
          <c:orientation val="minMax"/>
        </c:scaling>
        <c:delete val="0"/>
        <c:axPos val="l"/>
        <c:numFmt formatCode="General" sourceLinked="0"/>
        <c:majorTickMark val="none"/>
        <c:minorTickMark val="none"/>
        <c:tickLblPos val="nextTo"/>
        <c:txPr>
          <a:bodyPr/>
          <a:lstStyle/>
          <a:p>
            <a:pPr>
              <a:defRPr lang="en-GB" sz="900"/>
            </a:pPr>
            <a:endParaRPr lang="en-US"/>
          </a:p>
        </c:txPr>
        <c:crossAx val="346730880"/>
        <c:crosses val="autoZero"/>
        <c:auto val="1"/>
        <c:lblAlgn val="ctr"/>
        <c:lblOffset val="100"/>
        <c:noMultiLvlLbl val="0"/>
      </c:catAx>
      <c:valAx>
        <c:axId val="346730880"/>
        <c:scaling>
          <c:orientation val="minMax"/>
        </c:scaling>
        <c:delete val="0"/>
        <c:axPos val="b"/>
        <c:majorGridlines/>
        <c:title>
          <c:tx>
            <c:rich>
              <a:bodyPr/>
              <a:lstStyle/>
              <a:p>
                <a:pPr>
                  <a:defRPr lang="en-GB" sz="900"/>
                </a:pPr>
                <a:r>
                  <a:rPr lang="en-GB" sz="900"/>
                  <a:t>Number</a:t>
                </a:r>
                <a:r>
                  <a:rPr lang="en-GB" sz="900" baseline="0"/>
                  <a:t> of students </a:t>
                </a:r>
                <a:endParaRPr lang="en-GB" sz="900"/>
              </a:p>
            </c:rich>
          </c:tx>
          <c:overlay val="0"/>
        </c:title>
        <c:numFmt formatCode="General" sourceLinked="1"/>
        <c:majorTickMark val="none"/>
        <c:minorTickMark val="none"/>
        <c:tickLblPos val="nextTo"/>
        <c:txPr>
          <a:bodyPr/>
          <a:lstStyle/>
          <a:p>
            <a:pPr>
              <a:defRPr lang="en-GB" sz="900"/>
            </a:pPr>
            <a:endParaRPr lang="en-US"/>
          </a:p>
        </c:txPr>
        <c:crossAx val="346720896"/>
        <c:crosses val="autoZero"/>
        <c:crossBetween val="between"/>
      </c:valAx>
    </c:plotArea>
    <c:legend>
      <c:legendPos val="t"/>
      <c:overlay val="0"/>
      <c:txPr>
        <a:bodyPr/>
        <a:lstStyle/>
        <a:p>
          <a:pPr>
            <a:defRPr lang="en-GB" sz="900"/>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'[Worksheet- WL etc.xlsx]Enrol by gender &amp; TPkg'!$V$112</c:f>
              <c:strCache>
                <c:ptCount val="1"/>
                <c:pt idx="0">
                  <c:v>% Female</c:v>
                </c:pt>
              </c:strCache>
            </c:strRef>
          </c:tx>
          <c:invertIfNegative val="0"/>
          <c:dLbls>
            <c:spPr>
              <a:noFill/>
              <a:ln>
                <a:noFill/>
              </a:ln>
              <a:effectLst/>
            </c:spPr>
            <c:txPr>
              <a:bodyPr/>
              <a:lstStyle/>
              <a:p>
                <a:pPr>
                  <a:defRPr lang="en-GB"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'[Worksheet- WL etc.xlsx]Enrol by gender &amp; TPkg'!$T$113:$U$123</c:f>
              <c:multiLvlStrCache>
                <c:ptCount val="11"/>
                <c:lvl>
                  <c:pt idx="0">
                    <c:v>TAE</c:v>
                  </c:pt>
                  <c:pt idx="1">
                    <c:v>Business</c:v>
                  </c:pt>
                  <c:pt idx="2">
                    <c:v>Community Serv.</c:v>
                  </c:pt>
                  <c:pt idx="3">
                    <c:v>Hairdressing</c:v>
                  </c:pt>
                  <c:pt idx="4">
                    <c:v>Health</c:v>
                  </c:pt>
                  <c:pt idx="5">
                    <c:v>Tourism &amp; Hosp. </c:v>
                  </c:pt>
                  <c:pt idx="6">
                    <c:v>Automotive </c:v>
                  </c:pt>
                  <c:pt idx="7">
                    <c:v>Construction &amp; Plumbing </c:v>
                  </c:pt>
                  <c:pt idx="8">
                    <c:v>Electrotechnology</c:v>
                  </c:pt>
                  <c:pt idx="9">
                    <c:v>Metal &amp; Engineering </c:v>
                  </c:pt>
                  <c:pt idx="10">
                    <c:v>Textiles, Clothing </c:v>
                  </c:pt>
                </c:lvl>
                <c:lvl>
                  <c:pt idx="0">
                    <c:v>Both</c:v>
                  </c:pt>
                  <c:pt idx="1">
                    <c:v>SHCS</c:v>
                  </c:pt>
                  <c:pt idx="2">
                    <c:v>SHCS</c:v>
                  </c:pt>
                  <c:pt idx="3">
                    <c:v>SHCS</c:v>
                  </c:pt>
                  <c:pt idx="4">
                    <c:v>SHCS</c:v>
                  </c:pt>
                  <c:pt idx="5">
                    <c:v>SHCS</c:v>
                  </c:pt>
                  <c:pt idx="6">
                    <c:v>STT</c:v>
                  </c:pt>
                  <c:pt idx="7">
                    <c:v>STT</c:v>
                  </c:pt>
                  <c:pt idx="8">
                    <c:v>STT</c:v>
                  </c:pt>
                  <c:pt idx="9">
                    <c:v>STT</c:v>
                  </c:pt>
                  <c:pt idx="10">
                    <c:v>STT</c:v>
                  </c:pt>
                </c:lvl>
              </c:multiLvlStrCache>
            </c:multiLvlStrRef>
          </c:cat>
          <c:val>
            <c:numRef>
              <c:f>'[Worksheet- WL etc.xlsx]Enrol by gender &amp; TPkg'!$V$113:$V$123</c:f>
              <c:numCache>
                <c:formatCode>0%</c:formatCode>
                <c:ptCount val="11"/>
                <c:pt idx="0">
                  <c:v>0.365664403491756</c:v>
                </c:pt>
                <c:pt idx="1">
                  <c:v>0.39047619047618998</c:v>
                </c:pt>
                <c:pt idx="2">
                  <c:v>0.808527131782946</c:v>
                </c:pt>
                <c:pt idx="3">
                  <c:v>0.75182481751824803</c:v>
                </c:pt>
                <c:pt idx="4">
                  <c:v>0.64705882352941202</c:v>
                </c:pt>
                <c:pt idx="5">
                  <c:v>0.56027849028948296</c:v>
                </c:pt>
                <c:pt idx="6">
                  <c:v>1.32075471698113E-2</c:v>
                </c:pt>
                <c:pt idx="7">
                  <c:v>0.14573643410852699</c:v>
                </c:pt>
                <c:pt idx="8">
                  <c:v>2.8938906752411599E-2</c:v>
                </c:pt>
                <c:pt idx="9">
                  <c:v>1.68134507606085E-2</c:v>
                </c:pt>
                <c:pt idx="10">
                  <c:v>0.76923076923076905</c:v>
                </c:pt>
              </c:numCache>
            </c:numRef>
          </c:val>
        </c:ser>
        <c:dLbls>
          <c:showLegendKey val="0"/>
          <c:showVal val="0"/>
          <c:showCatName val="0"/>
          <c:showSerName val="0"/>
          <c:showPercent val="0"/>
          <c:showBubbleSize val="0"/>
        </c:dLbls>
        <c:gapWidth val="150"/>
        <c:axId val="347620480"/>
        <c:axId val="347622016"/>
      </c:barChart>
      <c:catAx>
        <c:axId val="347620480"/>
        <c:scaling>
          <c:orientation val="minMax"/>
        </c:scaling>
        <c:delete val="0"/>
        <c:axPos val="b"/>
        <c:numFmt formatCode="General" sourceLinked="0"/>
        <c:majorTickMark val="out"/>
        <c:minorTickMark val="none"/>
        <c:tickLblPos val="nextTo"/>
        <c:txPr>
          <a:bodyPr/>
          <a:lstStyle/>
          <a:p>
            <a:pPr>
              <a:defRPr lang="en-GB" sz="800" b="1"/>
            </a:pPr>
            <a:endParaRPr lang="en-US"/>
          </a:p>
        </c:txPr>
        <c:crossAx val="347622016"/>
        <c:crosses val="autoZero"/>
        <c:auto val="1"/>
        <c:lblAlgn val="ctr"/>
        <c:lblOffset val="100"/>
        <c:noMultiLvlLbl val="0"/>
      </c:catAx>
      <c:valAx>
        <c:axId val="347622016"/>
        <c:scaling>
          <c:orientation val="minMax"/>
        </c:scaling>
        <c:delete val="0"/>
        <c:axPos val="l"/>
        <c:majorGridlines/>
        <c:numFmt formatCode="0%" sourceLinked="1"/>
        <c:majorTickMark val="out"/>
        <c:minorTickMark val="none"/>
        <c:tickLblPos val="nextTo"/>
        <c:txPr>
          <a:bodyPr/>
          <a:lstStyle/>
          <a:p>
            <a:pPr>
              <a:defRPr lang="en-GB" sz="900"/>
            </a:pPr>
            <a:endParaRPr lang="en-US"/>
          </a:p>
        </c:txPr>
        <c:crossAx val="34762048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'Enrol-CC series'!$A$30</c:f>
              <c:strCache>
                <c:ptCount val="1"/>
                <c:pt idx="0">
                  <c:v>Total enrolment</c:v>
                </c:pt>
              </c:strCache>
            </c:strRef>
          </c:tx>
          <c:invertIfNegative val="0"/>
          <c:cat>
            <c:multiLvlStrRef>
              <c:f>'Enrol-CC series'!$B$27:$O$29</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lvl>
                  <c:pt idx="0">
                    <c:v>Stage 1</c:v>
                  </c:pt>
                  <c:pt idx="8">
                    <c:v>Stage 2</c:v>
                  </c:pt>
                </c:lvl>
              </c:multiLvlStrCache>
            </c:multiLvlStrRef>
          </c:cat>
          <c:val>
            <c:numRef>
              <c:f>'Enrol-CC series'!$B$30:$O$30</c:f>
              <c:numCache>
                <c:formatCode>General</c:formatCode>
                <c:ptCount val="14"/>
                <c:pt idx="0">
                  <c:v>37</c:v>
                </c:pt>
                <c:pt idx="1">
                  <c:v>567</c:v>
                </c:pt>
                <c:pt idx="2">
                  <c:v>550</c:v>
                </c:pt>
                <c:pt idx="3">
                  <c:v>630</c:v>
                </c:pt>
                <c:pt idx="4">
                  <c:v>711</c:v>
                </c:pt>
                <c:pt idx="5">
                  <c:v>760</c:v>
                </c:pt>
                <c:pt idx="6">
                  <c:v>588</c:v>
                </c:pt>
                <c:pt idx="7">
                  <c:v>593</c:v>
                </c:pt>
                <c:pt idx="8">
                  <c:v>529</c:v>
                </c:pt>
                <c:pt idx="9">
                  <c:v>287</c:v>
                </c:pt>
                <c:pt idx="10">
                  <c:v>442</c:v>
                </c:pt>
                <c:pt idx="11">
                  <c:v>1127</c:v>
                </c:pt>
                <c:pt idx="12">
                  <c:v>968</c:v>
                </c:pt>
                <c:pt idx="13">
                  <c:v>926</c:v>
                </c:pt>
              </c:numCache>
            </c:numRef>
          </c:val>
        </c:ser>
        <c:dLbls>
          <c:showLegendKey val="0"/>
          <c:showVal val="0"/>
          <c:showCatName val="0"/>
          <c:showSerName val="0"/>
          <c:showPercent val="0"/>
          <c:showBubbleSize val="0"/>
        </c:dLbls>
        <c:gapWidth val="150"/>
        <c:axId val="347666688"/>
        <c:axId val="347344896"/>
      </c:barChart>
      <c:catAx>
        <c:axId val="347666688"/>
        <c:scaling>
          <c:orientation val="minMax"/>
        </c:scaling>
        <c:delete val="0"/>
        <c:axPos val="b"/>
        <c:numFmt formatCode="General" sourceLinked="0"/>
        <c:majorTickMark val="out"/>
        <c:minorTickMark val="none"/>
        <c:tickLblPos val="nextTo"/>
        <c:txPr>
          <a:bodyPr/>
          <a:lstStyle/>
          <a:p>
            <a:pPr>
              <a:defRPr sz="800" b="1"/>
            </a:pPr>
            <a:endParaRPr lang="en-US"/>
          </a:p>
        </c:txPr>
        <c:crossAx val="347344896"/>
        <c:crosses val="autoZero"/>
        <c:auto val="1"/>
        <c:lblAlgn val="ctr"/>
        <c:lblOffset val="100"/>
        <c:noMultiLvlLbl val="0"/>
      </c:catAx>
      <c:valAx>
        <c:axId val="347344896"/>
        <c:scaling>
          <c:orientation val="minMax"/>
        </c:scaling>
        <c:delete val="0"/>
        <c:axPos val="l"/>
        <c:majorGridlines/>
        <c:title>
          <c:tx>
            <c:rich>
              <a:bodyPr rot="-5400000" vert="horz"/>
              <a:lstStyle/>
              <a:p>
                <a:pPr>
                  <a:defRPr/>
                </a:pPr>
                <a:r>
                  <a:rPr lang="en-US"/>
                  <a:t>Number of students</a:t>
                </a:r>
              </a:p>
            </c:rich>
          </c:tx>
          <c:overlay val="0"/>
        </c:title>
        <c:numFmt formatCode="General" sourceLinked="1"/>
        <c:majorTickMark val="out"/>
        <c:minorTickMark val="none"/>
        <c:tickLblPos val="nextTo"/>
        <c:crossAx val="347666688"/>
        <c:crosses val="autoZero"/>
        <c:crossBetween val="between"/>
      </c:valAx>
    </c:plotArea>
    <c:plotVisOnly val="1"/>
    <c:dispBlanksAs val="gap"/>
    <c:showDLblsOverMax val="0"/>
  </c:chart>
  <c:txPr>
    <a:bodyPr/>
    <a:lstStyle/>
    <a:p>
      <a:pPr>
        <a:defRPr sz="9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'Enrol-CC series'!$A$21</c:f>
              <c:strCache>
                <c:ptCount val="1"/>
                <c:pt idx="0">
                  <c:v>Both</c:v>
                </c:pt>
              </c:strCache>
            </c:strRef>
          </c:tx>
          <c:invertIfNegative val="0"/>
          <c:cat>
            <c:multiLvlStrRef>
              <c:f>'Enrol-CC series'!$B$18:$O$20</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lvl>
                  <c:pt idx="0">
                    <c:v>Stage 1</c:v>
                  </c:pt>
                  <c:pt idx="8">
                    <c:v>Stage 2</c:v>
                  </c:pt>
                </c:lvl>
              </c:multiLvlStrCache>
            </c:multiLvlStrRef>
          </c:cat>
          <c:val>
            <c:numRef>
              <c:f>'Enrol-CC series'!$B$21:$O$21</c:f>
              <c:numCache>
                <c:formatCode>General</c:formatCode>
                <c:ptCount val="14"/>
                <c:pt idx="0">
                  <c:v>12</c:v>
                </c:pt>
                <c:pt idx="1">
                  <c:v>124</c:v>
                </c:pt>
                <c:pt idx="4">
                  <c:v>18</c:v>
                </c:pt>
                <c:pt idx="5">
                  <c:v>19</c:v>
                </c:pt>
                <c:pt idx="6">
                  <c:v>43</c:v>
                </c:pt>
                <c:pt idx="7">
                  <c:v>31</c:v>
                </c:pt>
                <c:pt idx="8">
                  <c:v>26</c:v>
                </c:pt>
                <c:pt idx="10">
                  <c:v>27</c:v>
                </c:pt>
                <c:pt idx="11">
                  <c:v>7</c:v>
                </c:pt>
                <c:pt idx="12">
                  <c:v>53</c:v>
                </c:pt>
                <c:pt idx="13">
                  <c:v>73</c:v>
                </c:pt>
              </c:numCache>
            </c:numRef>
          </c:val>
        </c:ser>
        <c:ser>
          <c:idx val="1"/>
          <c:order val="1"/>
          <c:tx>
            <c:strRef>
              <c:f>'Enrol-CC series'!$A$22</c:f>
              <c:strCache>
                <c:ptCount val="1"/>
                <c:pt idx="0">
                  <c:v>SHCS</c:v>
                </c:pt>
              </c:strCache>
            </c:strRef>
          </c:tx>
          <c:invertIfNegative val="0"/>
          <c:cat>
            <c:multiLvlStrRef>
              <c:f>'Enrol-CC series'!$B$18:$O$20</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lvl>
                  <c:pt idx="0">
                    <c:v>Stage 1</c:v>
                  </c:pt>
                  <c:pt idx="8">
                    <c:v>Stage 2</c:v>
                  </c:pt>
                </c:lvl>
              </c:multiLvlStrCache>
            </c:multiLvlStrRef>
          </c:cat>
          <c:val>
            <c:numRef>
              <c:f>'Enrol-CC series'!$B$22:$O$22</c:f>
              <c:numCache>
                <c:formatCode>General</c:formatCode>
                <c:ptCount val="14"/>
                <c:pt idx="0">
                  <c:v>19</c:v>
                </c:pt>
                <c:pt idx="1">
                  <c:v>157</c:v>
                </c:pt>
                <c:pt idx="2">
                  <c:v>299</c:v>
                </c:pt>
                <c:pt idx="3">
                  <c:v>230</c:v>
                </c:pt>
                <c:pt idx="4">
                  <c:v>390</c:v>
                </c:pt>
                <c:pt idx="5">
                  <c:v>341</c:v>
                </c:pt>
                <c:pt idx="6">
                  <c:v>315</c:v>
                </c:pt>
                <c:pt idx="7">
                  <c:v>329</c:v>
                </c:pt>
                <c:pt idx="8">
                  <c:v>310</c:v>
                </c:pt>
                <c:pt idx="9">
                  <c:v>263</c:v>
                </c:pt>
                <c:pt idx="10">
                  <c:v>350</c:v>
                </c:pt>
                <c:pt idx="11">
                  <c:v>356</c:v>
                </c:pt>
                <c:pt idx="12">
                  <c:v>457</c:v>
                </c:pt>
                <c:pt idx="13">
                  <c:v>515</c:v>
                </c:pt>
              </c:numCache>
            </c:numRef>
          </c:val>
        </c:ser>
        <c:ser>
          <c:idx val="2"/>
          <c:order val="2"/>
          <c:tx>
            <c:strRef>
              <c:f>'Enrol-CC series'!$A$23</c:f>
              <c:strCache>
                <c:ptCount val="1"/>
                <c:pt idx="0">
                  <c:v>STT</c:v>
                </c:pt>
              </c:strCache>
            </c:strRef>
          </c:tx>
          <c:invertIfNegative val="0"/>
          <c:cat>
            <c:multiLvlStrRef>
              <c:f>'Enrol-CC series'!$B$18:$O$20</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lvl>
                  <c:pt idx="0">
                    <c:v>Stage 1</c:v>
                  </c:pt>
                  <c:pt idx="8">
                    <c:v>Stage 2</c:v>
                  </c:pt>
                </c:lvl>
              </c:multiLvlStrCache>
            </c:multiLvlStrRef>
          </c:cat>
          <c:val>
            <c:numRef>
              <c:f>'Enrol-CC series'!$B$23:$O$23</c:f>
              <c:numCache>
                <c:formatCode>General</c:formatCode>
                <c:ptCount val="14"/>
                <c:pt idx="0">
                  <c:v>6</c:v>
                </c:pt>
                <c:pt idx="1">
                  <c:v>286</c:v>
                </c:pt>
                <c:pt idx="2">
                  <c:v>251</c:v>
                </c:pt>
                <c:pt idx="3">
                  <c:v>400</c:v>
                </c:pt>
                <c:pt idx="4">
                  <c:v>303</c:v>
                </c:pt>
                <c:pt idx="5">
                  <c:v>400</c:v>
                </c:pt>
                <c:pt idx="6">
                  <c:v>230</c:v>
                </c:pt>
                <c:pt idx="7">
                  <c:v>233</c:v>
                </c:pt>
                <c:pt idx="8">
                  <c:v>193</c:v>
                </c:pt>
                <c:pt idx="9">
                  <c:v>24</c:v>
                </c:pt>
                <c:pt idx="10">
                  <c:v>65</c:v>
                </c:pt>
                <c:pt idx="11">
                  <c:v>764</c:v>
                </c:pt>
                <c:pt idx="12">
                  <c:v>458</c:v>
                </c:pt>
                <c:pt idx="13">
                  <c:v>338</c:v>
                </c:pt>
              </c:numCache>
            </c:numRef>
          </c:val>
        </c:ser>
        <c:dLbls>
          <c:showLegendKey val="0"/>
          <c:showVal val="0"/>
          <c:showCatName val="0"/>
          <c:showSerName val="0"/>
          <c:showPercent val="0"/>
          <c:showBubbleSize val="0"/>
        </c:dLbls>
        <c:gapWidth val="150"/>
        <c:axId val="347367680"/>
        <c:axId val="347385856"/>
      </c:barChart>
      <c:catAx>
        <c:axId val="347367680"/>
        <c:scaling>
          <c:orientation val="minMax"/>
        </c:scaling>
        <c:delete val="0"/>
        <c:axPos val="b"/>
        <c:numFmt formatCode="General" sourceLinked="0"/>
        <c:majorTickMark val="none"/>
        <c:minorTickMark val="none"/>
        <c:tickLblPos val="nextTo"/>
        <c:txPr>
          <a:bodyPr/>
          <a:lstStyle/>
          <a:p>
            <a:pPr>
              <a:defRPr sz="800" b="1"/>
            </a:pPr>
            <a:endParaRPr lang="en-US"/>
          </a:p>
        </c:txPr>
        <c:crossAx val="347385856"/>
        <c:crosses val="autoZero"/>
        <c:auto val="1"/>
        <c:lblAlgn val="ctr"/>
        <c:lblOffset val="100"/>
        <c:noMultiLvlLbl val="0"/>
      </c:catAx>
      <c:valAx>
        <c:axId val="347385856"/>
        <c:scaling>
          <c:orientation val="minMax"/>
        </c:scaling>
        <c:delete val="0"/>
        <c:axPos val="l"/>
        <c:majorGridlines/>
        <c:title>
          <c:tx>
            <c:rich>
              <a:bodyPr/>
              <a:lstStyle/>
              <a:p>
                <a:pPr>
                  <a:defRPr/>
                </a:pPr>
                <a:r>
                  <a:rPr lang="en-US"/>
                  <a:t>Students enroled</a:t>
                </a:r>
              </a:p>
            </c:rich>
          </c:tx>
          <c:overlay val="0"/>
        </c:title>
        <c:numFmt formatCode="General" sourceLinked="1"/>
        <c:majorTickMark val="none"/>
        <c:minorTickMark val="none"/>
        <c:tickLblPos val="nextTo"/>
        <c:crossAx val="347367680"/>
        <c:crosses val="autoZero"/>
        <c:crossBetween val="between"/>
      </c:valAx>
    </c:plotArea>
    <c:legend>
      <c:legendPos val="t"/>
      <c:overlay val="0"/>
    </c:legend>
    <c:plotVisOnly val="1"/>
    <c:dispBlanksAs val="gap"/>
    <c:showDLblsOverMax val="0"/>
  </c:chart>
  <c:txPr>
    <a:bodyPr/>
    <a:lstStyle/>
    <a:p>
      <a:pPr>
        <a:defRPr sz="900"/>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'Enrol-CC series'!$A$4</c:f>
              <c:strCache>
                <c:ptCount val="1"/>
                <c:pt idx="0">
                  <c:v>Fiji</c:v>
                </c:pt>
              </c:strCache>
            </c:strRef>
          </c:tx>
          <c:marker>
            <c:symbol val="none"/>
          </c:marker>
          <c:cat>
            <c:multiLvlStrRef>
              <c:f>'Enrol-CC series'!$B$1:$O$3</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lvl>
                  <c:pt idx="0">
                    <c:v>Stage 1            </c:v>
                  </c:pt>
                  <c:pt idx="8">
                    <c:v>Stage 2</c:v>
                  </c:pt>
                </c:lvl>
              </c:multiLvlStrCache>
            </c:multiLvlStrRef>
          </c:cat>
          <c:val>
            <c:numRef>
              <c:f>'Enrol-CC series'!$B$4:$O$4</c:f>
              <c:numCache>
                <c:formatCode>General</c:formatCode>
                <c:ptCount val="14"/>
                <c:pt idx="1">
                  <c:v>200</c:v>
                </c:pt>
                <c:pt idx="2">
                  <c:v>171</c:v>
                </c:pt>
                <c:pt idx="3">
                  <c:v>238</c:v>
                </c:pt>
                <c:pt idx="4">
                  <c:v>283</c:v>
                </c:pt>
                <c:pt idx="5">
                  <c:v>313</c:v>
                </c:pt>
                <c:pt idx="6">
                  <c:v>278</c:v>
                </c:pt>
                <c:pt idx="7">
                  <c:v>278</c:v>
                </c:pt>
                <c:pt idx="8">
                  <c:v>275</c:v>
                </c:pt>
                <c:pt idx="9">
                  <c:v>203</c:v>
                </c:pt>
                <c:pt idx="10">
                  <c:v>174</c:v>
                </c:pt>
                <c:pt idx="11">
                  <c:v>587</c:v>
                </c:pt>
                <c:pt idx="12">
                  <c:v>302</c:v>
                </c:pt>
                <c:pt idx="13">
                  <c:v>419</c:v>
                </c:pt>
              </c:numCache>
            </c:numRef>
          </c:val>
          <c:smooth val="0"/>
        </c:ser>
        <c:ser>
          <c:idx val="1"/>
          <c:order val="1"/>
          <c:tx>
            <c:strRef>
              <c:f>'Enrol-CC series'!$A$5</c:f>
              <c:strCache>
                <c:ptCount val="1"/>
                <c:pt idx="0">
                  <c:v>PNG</c:v>
                </c:pt>
              </c:strCache>
            </c:strRef>
          </c:tx>
          <c:marker>
            <c:symbol val="none"/>
          </c:marker>
          <c:cat>
            <c:multiLvlStrRef>
              <c:f>'Enrol-CC series'!$B$1:$O$3</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lvl>
                  <c:pt idx="0">
                    <c:v>Stage 1            </c:v>
                  </c:pt>
                  <c:pt idx="8">
                    <c:v>Stage 2</c:v>
                  </c:pt>
                </c:lvl>
              </c:multiLvlStrCache>
            </c:multiLvlStrRef>
          </c:cat>
          <c:val>
            <c:numRef>
              <c:f>'Enrol-CC series'!$B$5:$O$5</c:f>
              <c:numCache>
                <c:formatCode>General</c:formatCode>
                <c:ptCount val="14"/>
                <c:pt idx="1">
                  <c:v>181</c:v>
                </c:pt>
                <c:pt idx="2">
                  <c:v>96</c:v>
                </c:pt>
                <c:pt idx="3">
                  <c:v>158</c:v>
                </c:pt>
                <c:pt idx="4">
                  <c:v>155</c:v>
                </c:pt>
                <c:pt idx="5">
                  <c:v>130</c:v>
                </c:pt>
                <c:pt idx="6">
                  <c:v>32</c:v>
                </c:pt>
                <c:pt idx="7">
                  <c:v>69</c:v>
                </c:pt>
                <c:pt idx="8">
                  <c:v>48</c:v>
                </c:pt>
                <c:pt idx="10">
                  <c:v>11</c:v>
                </c:pt>
                <c:pt idx="11">
                  <c:v>278</c:v>
                </c:pt>
                <c:pt idx="12">
                  <c:v>123</c:v>
                </c:pt>
                <c:pt idx="13">
                  <c:v>132</c:v>
                </c:pt>
              </c:numCache>
            </c:numRef>
          </c:val>
          <c:smooth val="0"/>
        </c:ser>
        <c:ser>
          <c:idx val="2"/>
          <c:order val="2"/>
          <c:tx>
            <c:strRef>
              <c:f>'Enrol-CC series'!$A$6</c:f>
              <c:strCache>
                <c:ptCount val="1"/>
                <c:pt idx="0">
                  <c:v>Samoa</c:v>
                </c:pt>
              </c:strCache>
            </c:strRef>
          </c:tx>
          <c:marker>
            <c:symbol val="none"/>
          </c:marker>
          <c:cat>
            <c:multiLvlStrRef>
              <c:f>'Enrol-CC series'!$B$1:$O$3</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lvl>
                  <c:pt idx="0">
                    <c:v>Stage 1            </c:v>
                  </c:pt>
                  <c:pt idx="8">
                    <c:v>Stage 2</c:v>
                  </c:pt>
                </c:lvl>
              </c:multiLvlStrCache>
            </c:multiLvlStrRef>
          </c:cat>
          <c:val>
            <c:numRef>
              <c:f>'Enrol-CC series'!$B$6:$O$6</c:f>
              <c:numCache>
                <c:formatCode>General</c:formatCode>
                <c:ptCount val="14"/>
                <c:pt idx="1">
                  <c:v>81</c:v>
                </c:pt>
                <c:pt idx="2">
                  <c:v>205</c:v>
                </c:pt>
                <c:pt idx="3">
                  <c:v>154</c:v>
                </c:pt>
                <c:pt idx="4">
                  <c:v>85</c:v>
                </c:pt>
                <c:pt idx="5">
                  <c:v>165</c:v>
                </c:pt>
                <c:pt idx="6">
                  <c:v>113</c:v>
                </c:pt>
                <c:pt idx="7">
                  <c:v>119</c:v>
                </c:pt>
                <c:pt idx="8">
                  <c:v>94</c:v>
                </c:pt>
                <c:pt idx="9">
                  <c:v>50</c:v>
                </c:pt>
                <c:pt idx="10">
                  <c:v>120</c:v>
                </c:pt>
                <c:pt idx="11">
                  <c:v>170</c:v>
                </c:pt>
                <c:pt idx="12">
                  <c:v>211</c:v>
                </c:pt>
                <c:pt idx="13">
                  <c:v>137</c:v>
                </c:pt>
              </c:numCache>
            </c:numRef>
          </c:val>
          <c:smooth val="0"/>
        </c:ser>
        <c:ser>
          <c:idx val="3"/>
          <c:order val="3"/>
          <c:tx>
            <c:strRef>
              <c:f>'Enrol-CC series'!$A$7</c:f>
              <c:strCache>
                <c:ptCount val="1"/>
                <c:pt idx="0">
                  <c:v>Solomons</c:v>
                </c:pt>
              </c:strCache>
            </c:strRef>
          </c:tx>
          <c:marker>
            <c:symbol val="none"/>
          </c:marker>
          <c:cat>
            <c:multiLvlStrRef>
              <c:f>'Enrol-CC series'!$B$1:$O$3</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lvl>
                  <c:pt idx="0">
                    <c:v>Stage 1            </c:v>
                  </c:pt>
                  <c:pt idx="8">
                    <c:v>Stage 2</c:v>
                  </c:pt>
                </c:lvl>
              </c:multiLvlStrCache>
            </c:multiLvlStrRef>
          </c:cat>
          <c:val>
            <c:numRef>
              <c:f>'Enrol-CC series'!$B$7:$O$7</c:f>
              <c:numCache>
                <c:formatCode>General</c:formatCode>
                <c:ptCount val="14"/>
                <c:pt idx="11">
                  <c:v>9</c:v>
                </c:pt>
                <c:pt idx="12">
                  <c:v>106</c:v>
                </c:pt>
                <c:pt idx="13">
                  <c:v>48</c:v>
                </c:pt>
              </c:numCache>
            </c:numRef>
          </c:val>
          <c:smooth val="0"/>
        </c:ser>
        <c:ser>
          <c:idx val="4"/>
          <c:order val="4"/>
          <c:tx>
            <c:strRef>
              <c:f>'Enrol-CC series'!$A$8</c:f>
              <c:strCache>
                <c:ptCount val="1"/>
                <c:pt idx="0">
                  <c:v>Vanuatu</c:v>
                </c:pt>
              </c:strCache>
            </c:strRef>
          </c:tx>
          <c:marker>
            <c:symbol val="none"/>
          </c:marker>
          <c:cat>
            <c:multiLvlStrRef>
              <c:f>'Enrol-CC series'!$B$1:$O$3</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lvl>
                  <c:pt idx="0">
                    <c:v>Stage 1            </c:v>
                  </c:pt>
                  <c:pt idx="8">
                    <c:v>Stage 2</c:v>
                  </c:pt>
                </c:lvl>
              </c:multiLvlStrCache>
            </c:multiLvlStrRef>
          </c:cat>
          <c:val>
            <c:numRef>
              <c:f>'Enrol-CC series'!$B$8:$O$8</c:f>
              <c:numCache>
                <c:formatCode>General</c:formatCode>
                <c:ptCount val="14"/>
                <c:pt idx="0">
                  <c:v>37</c:v>
                </c:pt>
                <c:pt idx="1">
                  <c:v>105</c:v>
                </c:pt>
                <c:pt idx="2">
                  <c:v>78</c:v>
                </c:pt>
                <c:pt idx="3">
                  <c:v>67</c:v>
                </c:pt>
                <c:pt idx="4">
                  <c:v>188</c:v>
                </c:pt>
                <c:pt idx="5">
                  <c:v>142</c:v>
                </c:pt>
                <c:pt idx="6">
                  <c:v>165</c:v>
                </c:pt>
                <c:pt idx="7">
                  <c:v>127</c:v>
                </c:pt>
                <c:pt idx="8">
                  <c:v>112</c:v>
                </c:pt>
                <c:pt idx="9">
                  <c:v>34</c:v>
                </c:pt>
                <c:pt idx="10">
                  <c:v>137</c:v>
                </c:pt>
                <c:pt idx="11">
                  <c:v>64</c:v>
                </c:pt>
                <c:pt idx="12">
                  <c:v>185</c:v>
                </c:pt>
                <c:pt idx="13">
                  <c:v>171</c:v>
                </c:pt>
              </c:numCache>
            </c:numRef>
          </c:val>
          <c:smooth val="0"/>
        </c:ser>
        <c:ser>
          <c:idx val="5"/>
          <c:order val="5"/>
          <c:tx>
            <c:strRef>
              <c:f>'Enrol-CC series'!$A$9</c:f>
              <c:strCache>
                <c:ptCount val="1"/>
                <c:pt idx="0">
                  <c:v>Other</c:v>
                </c:pt>
              </c:strCache>
            </c:strRef>
          </c:tx>
          <c:marker>
            <c:symbol val="none"/>
          </c:marker>
          <c:cat>
            <c:multiLvlStrRef>
              <c:f>'Enrol-CC series'!$B$1:$O$3</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2011</c:v>
                  </c:pt>
                  <c:pt idx="9">
                    <c:v>2012</c:v>
                  </c:pt>
                  <c:pt idx="11">
                    <c:v>2013</c:v>
                  </c:pt>
                  <c:pt idx="13">
                    <c:v>2014</c:v>
                  </c:pt>
                </c:lvl>
                <c:lvl>
                  <c:pt idx="0">
                    <c:v>Stage 1            </c:v>
                  </c:pt>
                  <c:pt idx="8">
                    <c:v>Stage 2</c:v>
                  </c:pt>
                </c:lvl>
              </c:multiLvlStrCache>
            </c:multiLvlStrRef>
          </c:cat>
          <c:val>
            <c:numRef>
              <c:f>'Enrol-CC series'!$B$9:$O$9</c:f>
              <c:numCache>
                <c:formatCode>General</c:formatCode>
                <c:ptCount val="14"/>
                <c:pt idx="0">
                  <c:v>0</c:v>
                </c:pt>
                <c:pt idx="1">
                  <c:v>0</c:v>
                </c:pt>
                <c:pt idx="2">
                  <c:v>0</c:v>
                </c:pt>
                <c:pt idx="3">
                  <c:v>13</c:v>
                </c:pt>
                <c:pt idx="4">
                  <c:v>0</c:v>
                </c:pt>
                <c:pt idx="5">
                  <c:v>10</c:v>
                </c:pt>
                <c:pt idx="6">
                  <c:v>0</c:v>
                </c:pt>
                <c:pt idx="7">
                  <c:v>0</c:v>
                </c:pt>
                <c:pt idx="8">
                  <c:v>0</c:v>
                </c:pt>
                <c:pt idx="9">
                  <c:v>0</c:v>
                </c:pt>
                <c:pt idx="10">
                  <c:v>0</c:v>
                </c:pt>
                <c:pt idx="11">
                  <c:v>19</c:v>
                </c:pt>
                <c:pt idx="12">
                  <c:v>41</c:v>
                </c:pt>
                <c:pt idx="13">
                  <c:v>19</c:v>
                </c:pt>
              </c:numCache>
            </c:numRef>
          </c:val>
          <c:smooth val="0"/>
        </c:ser>
        <c:dLbls>
          <c:showLegendKey val="0"/>
          <c:showVal val="0"/>
          <c:showCatName val="0"/>
          <c:showSerName val="0"/>
          <c:showPercent val="0"/>
          <c:showBubbleSize val="0"/>
        </c:dLbls>
        <c:marker val="1"/>
        <c:smooth val="0"/>
        <c:axId val="347431680"/>
        <c:axId val="347433216"/>
      </c:lineChart>
      <c:catAx>
        <c:axId val="347431680"/>
        <c:scaling>
          <c:orientation val="minMax"/>
        </c:scaling>
        <c:delete val="0"/>
        <c:axPos val="b"/>
        <c:numFmt formatCode="General" sourceLinked="0"/>
        <c:majorTickMark val="none"/>
        <c:minorTickMark val="none"/>
        <c:tickLblPos val="nextTo"/>
        <c:txPr>
          <a:bodyPr/>
          <a:lstStyle/>
          <a:p>
            <a:pPr>
              <a:defRPr sz="800" b="1"/>
            </a:pPr>
            <a:endParaRPr lang="en-US"/>
          </a:p>
        </c:txPr>
        <c:crossAx val="347433216"/>
        <c:crosses val="autoZero"/>
        <c:auto val="1"/>
        <c:lblAlgn val="ctr"/>
        <c:lblOffset val="100"/>
        <c:noMultiLvlLbl val="0"/>
      </c:catAx>
      <c:valAx>
        <c:axId val="347433216"/>
        <c:scaling>
          <c:orientation val="minMax"/>
        </c:scaling>
        <c:delete val="0"/>
        <c:axPos val="l"/>
        <c:majorGridlines/>
        <c:title>
          <c:tx>
            <c:rich>
              <a:bodyPr/>
              <a:lstStyle/>
              <a:p>
                <a:pPr>
                  <a:defRPr/>
                </a:pPr>
                <a:r>
                  <a:rPr lang="en-US"/>
                  <a:t>Number of students</a:t>
                </a:r>
              </a:p>
            </c:rich>
          </c:tx>
          <c:overlay val="0"/>
        </c:title>
        <c:numFmt formatCode="General" sourceLinked="1"/>
        <c:majorTickMark val="none"/>
        <c:minorTickMark val="none"/>
        <c:tickLblPos val="nextTo"/>
        <c:crossAx val="347431680"/>
        <c:crosses val="autoZero"/>
        <c:crossBetween val="between"/>
      </c:valAx>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'#grads x sem&amp;sch'!$U$41:$U$43</c:f>
              <c:strCache>
                <c:ptCount val="1"/>
                <c:pt idx="0">
                  <c:v>Total Stage 1</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'#grads x sem&amp;sch'!$T$44:$T$46</c:f>
              <c:strCache>
                <c:ptCount val="3"/>
                <c:pt idx="0">
                  <c:v>SHCS</c:v>
                </c:pt>
                <c:pt idx="1">
                  <c:v>STT</c:v>
                </c:pt>
                <c:pt idx="2">
                  <c:v>Total across all programs</c:v>
                </c:pt>
              </c:strCache>
            </c:strRef>
          </c:cat>
          <c:val>
            <c:numRef>
              <c:f>'#grads x sem&amp;sch'!$U$44:$U$46</c:f>
              <c:numCache>
                <c:formatCode>General</c:formatCode>
                <c:ptCount val="3"/>
                <c:pt idx="0">
                  <c:v>2011</c:v>
                </c:pt>
                <c:pt idx="1">
                  <c:v>1520</c:v>
                </c:pt>
                <c:pt idx="2">
                  <c:v>3531</c:v>
                </c:pt>
              </c:numCache>
            </c:numRef>
          </c:val>
        </c:ser>
        <c:ser>
          <c:idx val="1"/>
          <c:order val="1"/>
          <c:tx>
            <c:strRef>
              <c:f>'#grads x sem&amp;sch'!$V$41:$V$43</c:f>
              <c:strCache>
                <c:ptCount val="1"/>
                <c:pt idx="0">
                  <c:v>Total Stage 2  to date</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'#grads x sem&amp;sch'!$T$44:$T$46</c:f>
              <c:strCache>
                <c:ptCount val="3"/>
                <c:pt idx="0">
                  <c:v>SHCS</c:v>
                </c:pt>
                <c:pt idx="1">
                  <c:v>STT</c:v>
                </c:pt>
                <c:pt idx="2">
                  <c:v>Total across all programs</c:v>
                </c:pt>
              </c:strCache>
            </c:strRef>
          </c:cat>
          <c:val>
            <c:numRef>
              <c:f>'#grads x sem&amp;sch'!$V$44:$V$46</c:f>
              <c:numCache>
                <c:formatCode>General</c:formatCode>
                <c:ptCount val="3"/>
                <c:pt idx="0">
                  <c:v>2012</c:v>
                </c:pt>
                <c:pt idx="1">
                  <c:v>1237</c:v>
                </c:pt>
                <c:pt idx="2">
                  <c:v>3249</c:v>
                </c:pt>
              </c:numCache>
            </c:numRef>
          </c:val>
        </c:ser>
        <c:ser>
          <c:idx val="2"/>
          <c:order val="2"/>
          <c:tx>
            <c:strRef>
              <c:f>'#grads x sem&amp;sch'!$W$41:$W$43</c:f>
              <c:strCache>
                <c:ptCount val="1"/>
                <c:pt idx="0">
                  <c:v>Total to date</c:v>
                </c:pt>
              </c:strCache>
            </c:strRef>
          </c:tx>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'#grads x sem&amp;sch'!$T$44:$T$46</c:f>
              <c:strCache>
                <c:ptCount val="3"/>
                <c:pt idx="0">
                  <c:v>SHCS</c:v>
                </c:pt>
                <c:pt idx="1">
                  <c:v>STT</c:v>
                </c:pt>
                <c:pt idx="2">
                  <c:v>Total across all programs</c:v>
                </c:pt>
              </c:strCache>
            </c:strRef>
          </c:cat>
          <c:val>
            <c:numRef>
              <c:f>'#grads x sem&amp;sch'!$W$44:$W$46</c:f>
              <c:numCache>
                <c:formatCode>General</c:formatCode>
                <c:ptCount val="3"/>
                <c:pt idx="0">
                  <c:v>4023</c:v>
                </c:pt>
                <c:pt idx="1">
                  <c:v>2757</c:v>
                </c:pt>
                <c:pt idx="2">
                  <c:v>6780</c:v>
                </c:pt>
              </c:numCache>
            </c:numRef>
          </c:val>
        </c:ser>
        <c:dLbls>
          <c:showLegendKey val="0"/>
          <c:showVal val="1"/>
          <c:showCatName val="0"/>
          <c:showSerName val="0"/>
          <c:showPercent val="0"/>
          <c:showBubbleSize val="0"/>
        </c:dLbls>
        <c:gapWidth val="150"/>
        <c:overlap val="-25"/>
        <c:axId val="347464064"/>
        <c:axId val="347465600"/>
      </c:barChart>
      <c:catAx>
        <c:axId val="347464064"/>
        <c:scaling>
          <c:orientation val="minMax"/>
        </c:scaling>
        <c:delete val="0"/>
        <c:axPos val="b"/>
        <c:numFmt formatCode="General" sourceLinked="0"/>
        <c:majorTickMark val="none"/>
        <c:minorTickMark val="none"/>
        <c:tickLblPos val="nextTo"/>
        <c:txPr>
          <a:bodyPr/>
          <a:lstStyle/>
          <a:p>
            <a:pPr>
              <a:defRPr lang="en-GB" sz="900"/>
            </a:pPr>
            <a:endParaRPr lang="en-US"/>
          </a:p>
        </c:txPr>
        <c:crossAx val="347465600"/>
        <c:crosses val="autoZero"/>
        <c:auto val="1"/>
        <c:lblAlgn val="ctr"/>
        <c:lblOffset val="100"/>
        <c:noMultiLvlLbl val="0"/>
      </c:catAx>
      <c:valAx>
        <c:axId val="347465600"/>
        <c:scaling>
          <c:orientation val="minMax"/>
        </c:scaling>
        <c:delete val="1"/>
        <c:axPos val="l"/>
        <c:numFmt formatCode="General" sourceLinked="1"/>
        <c:majorTickMark val="out"/>
        <c:minorTickMark val="none"/>
        <c:tickLblPos val="nextTo"/>
        <c:crossAx val="347464064"/>
        <c:crosses val="autoZero"/>
        <c:crossBetween val="between"/>
      </c:valAx>
    </c:plotArea>
    <c:legend>
      <c:legendPos val="t"/>
      <c:overlay val="0"/>
      <c:txPr>
        <a:bodyPr/>
        <a:lstStyle/>
        <a:p>
          <a:pPr>
            <a:defRPr lang="en-GB" sz="900"/>
          </a:pPr>
          <a:endParaRPr lang="en-US"/>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'#grads x sem&amp;sch'!$A$52</c:f>
              <c:strCache>
                <c:ptCount val="1"/>
                <c:pt idx="0">
                  <c:v>Total across all programs</c:v>
                </c:pt>
              </c:strCache>
            </c:strRef>
          </c:tx>
          <c:invertIfNegative val="0"/>
          <c:cat>
            <c:multiLvlStrRef>
              <c:f>'#grads x sem&amp;sch'!$B$49:$O$51</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c:v>
                  </c:pt>
                  <c:pt idx="8">
                    <c:v>11</c:v>
                  </c:pt>
                  <c:pt idx="9">
                    <c:v>2012</c:v>
                  </c:pt>
                  <c:pt idx="11">
                    <c:v>2013</c:v>
                  </c:pt>
                  <c:pt idx="13">
                    <c:v>2014</c:v>
                  </c:pt>
                </c:lvl>
                <c:lvl>
                  <c:pt idx="0">
                    <c:v>Stage 1</c:v>
                  </c:pt>
                  <c:pt idx="8">
                    <c:v>Stage 2</c:v>
                  </c:pt>
                </c:lvl>
              </c:multiLvlStrCache>
            </c:multiLvlStrRef>
          </c:cat>
          <c:val>
            <c:numRef>
              <c:f>'#grads x sem&amp;sch'!$B$52:$O$52</c:f>
              <c:numCache>
                <c:formatCode>General</c:formatCode>
                <c:ptCount val="14"/>
                <c:pt idx="0">
                  <c:v>10</c:v>
                </c:pt>
                <c:pt idx="1">
                  <c:v>104</c:v>
                </c:pt>
                <c:pt idx="2">
                  <c:v>189</c:v>
                </c:pt>
                <c:pt idx="3">
                  <c:v>403</c:v>
                </c:pt>
                <c:pt idx="4">
                  <c:v>541</c:v>
                </c:pt>
                <c:pt idx="5">
                  <c:v>563</c:v>
                </c:pt>
                <c:pt idx="6">
                  <c:v>869</c:v>
                </c:pt>
                <c:pt idx="7">
                  <c:v>852</c:v>
                </c:pt>
                <c:pt idx="8">
                  <c:v>356</c:v>
                </c:pt>
                <c:pt idx="9">
                  <c:v>215</c:v>
                </c:pt>
                <c:pt idx="10">
                  <c:v>638</c:v>
                </c:pt>
                <c:pt idx="11">
                  <c:v>394</c:v>
                </c:pt>
                <c:pt idx="12">
                  <c:v>540</c:v>
                </c:pt>
                <c:pt idx="13">
                  <c:v>1106</c:v>
                </c:pt>
              </c:numCache>
            </c:numRef>
          </c:val>
        </c:ser>
        <c:dLbls>
          <c:showLegendKey val="0"/>
          <c:showVal val="0"/>
          <c:showCatName val="0"/>
          <c:showSerName val="0"/>
          <c:showPercent val="0"/>
          <c:showBubbleSize val="0"/>
        </c:dLbls>
        <c:gapWidth val="150"/>
        <c:axId val="347490944"/>
        <c:axId val="347496832"/>
      </c:barChart>
      <c:catAx>
        <c:axId val="347490944"/>
        <c:scaling>
          <c:orientation val="minMax"/>
        </c:scaling>
        <c:delete val="0"/>
        <c:axPos val="b"/>
        <c:numFmt formatCode="General" sourceLinked="0"/>
        <c:majorTickMark val="out"/>
        <c:minorTickMark val="none"/>
        <c:tickLblPos val="nextTo"/>
        <c:txPr>
          <a:bodyPr/>
          <a:lstStyle/>
          <a:p>
            <a:pPr>
              <a:defRPr sz="800" b="1"/>
            </a:pPr>
            <a:endParaRPr lang="en-US"/>
          </a:p>
        </c:txPr>
        <c:crossAx val="347496832"/>
        <c:crosses val="autoZero"/>
        <c:auto val="1"/>
        <c:lblAlgn val="ctr"/>
        <c:lblOffset val="100"/>
        <c:noMultiLvlLbl val="0"/>
      </c:catAx>
      <c:valAx>
        <c:axId val="347496832"/>
        <c:scaling>
          <c:orientation val="minMax"/>
        </c:scaling>
        <c:delete val="0"/>
        <c:axPos val="l"/>
        <c:majorGridlines/>
        <c:title>
          <c:tx>
            <c:rich>
              <a:bodyPr rot="-5400000" vert="horz"/>
              <a:lstStyle/>
              <a:p>
                <a:pPr>
                  <a:defRPr/>
                </a:pPr>
                <a:r>
                  <a:rPr lang="en-US"/>
                  <a:t>Number of graduates</a:t>
                </a:r>
              </a:p>
            </c:rich>
          </c:tx>
          <c:overlay val="0"/>
        </c:title>
        <c:numFmt formatCode="General" sourceLinked="1"/>
        <c:majorTickMark val="out"/>
        <c:minorTickMark val="none"/>
        <c:tickLblPos val="nextTo"/>
        <c:crossAx val="347490944"/>
        <c:crosses val="autoZero"/>
        <c:crossBetween val="between"/>
      </c:valAx>
    </c:plotArea>
    <c:plotVisOnly val="1"/>
    <c:dispBlanksAs val="gap"/>
    <c:showDLblsOverMax val="0"/>
  </c:chart>
  <c:txPr>
    <a:bodyPr/>
    <a:lstStyle/>
    <a:p>
      <a:pPr>
        <a:defRPr sz="900"/>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'#grads x sem&amp;sch'!$A$44</c:f>
              <c:strCache>
                <c:ptCount val="1"/>
                <c:pt idx="0">
                  <c:v>SHCS</c:v>
                </c:pt>
              </c:strCache>
            </c:strRef>
          </c:tx>
          <c:invertIfNegative val="0"/>
          <c:cat>
            <c:multiLvlStrRef>
              <c:f>'#grads x sem&amp;sch'!$B$41:$O$43</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c:v>
                  </c:pt>
                  <c:pt idx="8">
                    <c:v>11</c:v>
                  </c:pt>
                  <c:pt idx="9">
                    <c:v>2012</c:v>
                  </c:pt>
                  <c:pt idx="11">
                    <c:v>2013</c:v>
                  </c:pt>
                  <c:pt idx="13">
                    <c:v>2014</c:v>
                  </c:pt>
                </c:lvl>
                <c:lvl>
                  <c:pt idx="0">
                    <c:v>Stage 1</c:v>
                  </c:pt>
                  <c:pt idx="8">
                    <c:v>Stage 2</c:v>
                  </c:pt>
                </c:lvl>
              </c:multiLvlStrCache>
            </c:multiLvlStrRef>
          </c:cat>
          <c:val>
            <c:numRef>
              <c:f>'#grads x sem&amp;sch'!$B$44:$O$44</c:f>
              <c:numCache>
                <c:formatCode>General</c:formatCode>
                <c:ptCount val="14"/>
                <c:pt idx="0">
                  <c:v>10</c:v>
                </c:pt>
                <c:pt idx="1">
                  <c:v>104</c:v>
                </c:pt>
                <c:pt idx="2">
                  <c:v>167</c:v>
                </c:pt>
                <c:pt idx="3">
                  <c:v>287</c:v>
                </c:pt>
                <c:pt idx="4">
                  <c:v>306</c:v>
                </c:pt>
                <c:pt idx="5">
                  <c:v>294</c:v>
                </c:pt>
                <c:pt idx="6">
                  <c:v>449</c:v>
                </c:pt>
                <c:pt idx="7">
                  <c:v>394</c:v>
                </c:pt>
                <c:pt idx="8">
                  <c:v>217</c:v>
                </c:pt>
                <c:pt idx="9">
                  <c:v>199</c:v>
                </c:pt>
                <c:pt idx="10">
                  <c:v>357</c:v>
                </c:pt>
                <c:pt idx="11">
                  <c:v>225</c:v>
                </c:pt>
                <c:pt idx="12">
                  <c:v>219</c:v>
                </c:pt>
                <c:pt idx="13">
                  <c:v>795</c:v>
                </c:pt>
              </c:numCache>
            </c:numRef>
          </c:val>
        </c:ser>
        <c:ser>
          <c:idx val="1"/>
          <c:order val="1"/>
          <c:tx>
            <c:strRef>
              <c:f>'#grads x sem&amp;sch'!$A$45</c:f>
              <c:strCache>
                <c:ptCount val="1"/>
                <c:pt idx="0">
                  <c:v>STT</c:v>
                </c:pt>
              </c:strCache>
            </c:strRef>
          </c:tx>
          <c:invertIfNegative val="0"/>
          <c:cat>
            <c:multiLvlStrRef>
              <c:f>'#grads x sem&amp;sch'!$B$41:$O$43</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c:v>
                  </c:pt>
                  <c:pt idx="8">
                    <c:v>11</c:v>
                  </c:pt>
                  <c:pt idx="9">
                    <c:v>2012</c:v>
                  </c:pt>
                  <c:pt idx="11">
                    <c:v>2013</c:v>
                  </c:pt>
                  <c:pt idx="13">
                    <c:v>2014</c:v>
                  </c:pt>
                </c:lvl>
                <c:lvl>
                  <c:pt idx="0">
                    <c:v>Stage 1</c:v>
                  </c:pt>
                  <c:pt idx="8">
                    <c:v>Stage 2</c:v>
                  </c:pt>
                </c:lvl>
              </c:multiLvlStrCache>
            </c:multiLvlStrRef>
          </c:cat>
          <c:val>
            <c:numRef>
              <c:f>'#grads x sem&amp;sch'!$B$45:$O$45</c:f>
              <c:numCache>
                <c:formatCode>General</c:formatCode>
                <c:ptCount val="14"/>
                <c:pt idx="0">
                  <c:v>0</c:v>
                </c:pt>
                <c:pt idx="1">
                  <c:v>0</c:v>
                </c:pt>
                <c:pt idx="2">
                  <c:v>22</c:v>
                </c:pt>
                <c:pt idx="3">
                  <c:v>116</c:v>
                </c:pt>
                <c:pt idx="4">
                  <c:v>235</c:v>
                </c:pt>
                <c:pt idx="5">
                  <c:v>269</c:v>
                </c:pt>
                <c:pt idx="6">
                  <c:v>420</c:v>
                </c:pt>
                <c:pt idx="7">
                  <c:v>458</c:v>
                </c:pt>
                <c:pt idx="8">
                  <c:v>139</c:v>
                </c:pt>
                <c:pt idx="9">
                  <c:v>16</c:v>
                </c:pt>
                <c:pt idx="10">
                  <c:v>281</c:v>
                </c:pt>
                <c:pt idx="11">
                  <c:v>169</c:v>
                </c:pt>
                <c:pt idx="12">
                  <c:v>321</c:v>
                </c:pt>
                <c:pt idx="13">
                  <c:v>311</c:v>
                </c:pt>
              </c:numCache>
            </c:numRef>
          </c:val>
        </c:ser>
        <c:dLbls>
          <c:showLegendKey val="0"/>
          <c:showVal val="0"/>
          <c:showCatName val="0"/>
          <c:showSerName val="0"/>
          <c:showPercent val="0"/>
          <c:showBubbleSize val="0"/>
        </c:dLbls>
        <c:gapWidth val="150"/>
        <c:axId val="347538560"/>
        <c:axId val="347540096"/>
      </c:barChart>
      <c:catAx>
        <c:axId val="347538560"/>
        <c:scaling>
          <c:orientation val="minMax"/>
        </c:scaling>
        <c:delete val="0"/>
        <c:axPos val="b"/>
        <c:numFmt formatCode="General" sourceLinked="0"/>
        <c:majorTickMark val="none"/>
        <c:minorTickMark val="none"/>
        <c:tickLblPos val="nextTo"/>
        <c:txPr>
          <a:bodyPr/>
          <a:lstStyle/>
          <a:p>
            <a:pPr>
              <a:defRPr sz="800" b="1"/>
            </a:pPr>
            <a:endParaRPr lang="en-US"/>
          </a:p>
        </c:txPr>
        <c:crossAx val="347540096"/>
        <c:crosses val="autoZero"/>
        <c:auto val="1"/>
        <c:lblAlgn val="ctr"/>
        <c:lblOffset val="100"/>
        <c:noMultiLvlLbl val="0"/>
      </c:catAx>
      <c:valAx>
        <c:axId val="347540096"/>
        <c:scaling>
          <c:orientation val="minMax"/>
        </c:scaling>
        <c:delete val="0"/>
        <c:axPos val="l"/>
        <c:majorGridlines/>
        <c:title>
          <c:tx>
            <c:rich>
              <a:bodyPr/>
              <a:lstStyle/>
              <a:p>
                <a:pPr>
                  <a:defRPr/>
                </a:pPr>
                <a:r>
                  <a:rPr lang="en-US"/>
                  <a:t>Number of graduates</a:t>
                </a:r>
              </a:p>
            </c:rich>
          </c:tx>
          <c:overlay val="0"/>
        </c:title>
        <c:numFmt formatCode="General" sourceLinked="1"/>
        <c:majorTickMark val="none"/>
        <c:minorTickMark val="none"/>
        <c:tickLblPos val="nextTo"/>
        <c:crossAx val="347538560"/>
        <c:crosses val="autoZero"/>
        <c:crossBetween val="between"/>
      </c:valAx>
    </c:plotArea>
    <c:legend>
      <c:legendPos val="r"/>
      <c:overlay val="0"/>
    </c:legend>
    <c:plotVisOnly val="1"/>
    <c:dispBlanksAs val="gap"/>
    <c:showDLblsOverMax val="0"/>
  </c:chart>
  <c:txPr>
    <a:bodyPr/>
    <a:lstStyle/>
    <a:p>
      <a:pPr>
        <a:defRPr sz="9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'Programs x school'!$L$6</c:f>
              <c:strCache>
                <c:ptCount val="1"/>
                <c:pt idx="0">
                  <c:v>Cert. II</c:v>
                </c:pt>
              </c:strCache>
            </c:strRef>
          </c:tx>
          <c:invertIfNegative val="0"/>
          <c:cat>
            <c:strRef>
              <c:f>'Programs x school'!$M$4:$R$5</c:f>
              <c:strCache>
                <c:ptCount val="6"/>
                <c:pt idx="0">
                  <c:v>Fiji</c:v>
                </c:pt>
                <c:pt idx="1">
                  <c:v>PNG</c:v>
                </c:pt>
                <c:pt idx="2">
                  <c:v>Samoa</c:v>
                </c:pt>
                <c:pt idx="3">
                  <c:v>S.I.</c:v>
                </c:pt>
                <c:pt idx="4">
                  <c:v>Vanuatu</c:v>
                </c:pt>
                <c:pt idx="5">
                  <c:v>Others</c:v>
                </c:pt>
              </c:strCache>
            </c:strRef>
          </c:cat>
          <c:val>
            <c:numRef>
              <c:f>'Programs x school'!$M$6:$R$6</c:f>
              <c:numCache>
                <c:formatCode>General</c:formatCode>
                <c:ptCount val="6"/>
                <c:pt idx="2">
                  <c:v>1</c:v>
                </c:pt>
                <c:pt idx="3">
                  <c:v>2</c:v>
                </c:pt>
              </c:numCache>
            </c:numRef>
          </c:val>
        </c:ser>
        <c:ser>
          <c:idx val="1"/>
          <c:order val="1"/>
          <c:tx>
            <c:strRef>
              <c:f>'Programs x school'!$L$7</c:f>
              <c:strCache>
                <c:ptCount val="1"/>
                <c:pt idx="0">
                  <c:v>Cert III</c:v>
                </c:pt>
              </c:strCache>
            </c:strRef>
          </c:tx>
          <c:invertIfNegative val="0"/>
          <c:cat>
            <c:strRef>
              <c:f>'Programs x school'!$M$4:$R$5</c:f>
              <c:strCache>
                <c:ptCount val="6"/>
                <c:pt idx="0">
                  <c:v>Fiji</c:v>
                </c:pt>
                <c:pt idx="1">
                  <c:v>PNG</c:v>
                </c:pt>
                <c:pt idx="2">
                  <c:v>Samoa</c:v>
                </c:pt>
                <c:pt idx="3">
                  <c:v>S.I.</c:v>
                </c:pt>
                <c:pt idx="4">
                  <c:v>Vanuatu</c:v>
                </c:pt>
                <c:pt idx="5">
                  <c:v>Others</c:v>
                </c:pt>
              </c:strCache>
            </c:strRef>
          </c:cat>
          <c:val>
            <c:numRef>
              <c:f>'Programs x school'!$M$7:$R$7</c:f>
              <c:numCache>
                <c:formatCode>General</c:formatCode>
                <c:ptCount val="6"/>
                <c:pt idx="0">
                  <c:v>15</c:v>
                </c:pt>
                <c:pt idx="1">
                  <c:v>8</c:v>
                </c:pt>
                <c:pt idx="2">
                  <c:v>10</c:v>
                </c:pt>
                <c:pt idx="4">
                  <c:v>7</c:v>
                </c:pt>
                <c:pt idx="5">
                  <c:v>1</c:v>
                </c:pt>
              </c:numCache>
            </c:numRef>
          </c:val>
        </c:ser>
        <c:ser>
          <c:idx val="2"/>
          <c:order val="2"/>
          <c:tx>
            <c:strRef>
              <c:f>'Programs x school'!$L$8</c:f>
              <c:strCache>
                <c:ptCount val="1"/>
                <c:pt idx="0">
                  <c:v>Cert. IV</c:v>
                </c:pt>
              </c:strCache>
            </c:strRef>
          </c:tx>
          <c:invertIfNegative val="0"/>
          <c:cat>
            <c:strRef>
              <c:f>'Programs x school'!$M$4:$R$5</c:f>
              <c:strCache>
                <c:ptCount val="6"/>
                <c:pt idx="0">
                  <c:v>Fiji</c:v>
                </c:pt>
                <c:pt idx="1">
                  <c:v>PNG</c:v>
                </c:pt>
                <c:pt idx="2">
                  <c:v>Samoa</c:v>
                </c:pt>
                <c:pt idx="3">
                  <c:v>S.I.</c:v>
                </c:pt>
                <c:pt idx="4">
                  <c:v>Vanuatu</c:v>
                </c:pt>
                <c:pt idx="5">
                  <c:v>Others</c:v>
                </c:pt>
              </c:strCache>
            </c:strRef>
          </c:cat>
          <c:val>
            <c:numRef>
              <c:f>'Programs x school'!$M$8:$R$8</c:f>
              <c:numCache>
                <c:formatCode>General</c:formatCode>
                <c:ptCount val="6"/>
                <c:pt idx="0">
                  <c:v>6</c:v>
                </c:pt>
                <c:pt idx="1">
                  <c:v>1</c:v>
                </c:pt>
                <c:pt idx="2">
                  <c:v>1</c:v>
                </c:pt>
                <c:pt idx="3">
                  <c:v>1</c:v>
                </c:pt>
                <c:pt idx="4">
                  <c:v>4</c:v>
                </c:pt>
                <c:pt idx="5">
                  <c:v>1</c:v>
                </c:pt>
              </c:numCache>
            </c:numRef>
          </c:val>
        </c:ser>
        <c:ser>
          <c:idx val="3"/>
          <c:order val="3"/>
          <c:tx>
            <c:strRef>
              <c:f>'Programs x school'!$L$9</c:f>
              <c:strCache>
                <c:ptCount val="1"/>
                <c:pt idx="0">
                  <c:v>Diploma</c:v>
                </c:pt>
              </c:strCache>
            </c:strRef>
          </c:tx>
          <c:invertIfNegative val="0"/>
          <c:cat>
            <c:strRef>
              <c:f>'Programs x school'!$M$4:$R$5</c:f>
              <c:strCache>
                <c:ptCount val="6"/>
                <c:pt idx="0">
                  <c:v>Fiji</c:v>
                </c:pt>
                <c:pt idx="1">
                  <c:v>PNG</c:v>
                </c:pt>
                <c:pt idx="2">
                  <c:v>Samoa</c:v>
                </c:pt>
                <c:pt idx="3">
                  <c:v>S.I.</c:v>
                </c:pt>
                <c:pt idx="4">
                  <c:v>Vanuatu</c:v>
                </c:pt>
                <c:pt idx="5">
                  <c:v>Others</c:v>
                </c:pt>
              </c:strCache>
            </c:strRef>
          </c:cat>
          <c:val>
            <c:numRef>
              <c:f>'Programs x school'!$M$9:$R$9</c:f>
              <c:numCache>
                <c:formatCode>General</c:formatCode>
                <c:ptCount val="6"/>
                <c:pt idx="0">
                  <c:v>2</c:v>
                </c:pt>
                <c:pt idx="4">
                  <c:v>3</c:v>
                </c:pt>
                <c:pt idx="5">
                  <c:v>1</c:v>
                </c:pt>
              </c:numCache>
            </c:numRef>
          </c:val>
        </c:ser>
        <c:dLbls>
          <c:showLegendKey val="0"/>
          <c:showVal val="0"/>
          <c:showCatName val="0"/>
          <c:showSerName val="0"/>
          <c:showPercent val="0"/>
          <c:showBubbleSize val="0"/>
        </c:dLbls>
        <c:gapWidth val="150"/>
        <c:axId val="257147264"/>
        <c:axId val="257148800"/>
      </c:barChart>
      <c:catAx>
        <c:axId val="257147264"/>
        <c:scaling>
          <c:orientation val="minMax"/>
        </c:scaling>
        <c:delete val="0"/>
        <c:axPos val="b"/>
        <c:numFmt formatCode="General" sourceLinked="0"/>
        <c:majorTickMark val="none"/>
        <c:minorTickMark val="none"/>
        <c:tickLblPos val="nextTo"/>
        <c:crossAx val="257148800"/>
        <c:crosses val="autoZero"/>
        <c:auto val="1"/>
        <c:lblAlgn val="ctr"/>
        <c:lblOffset val="100"/>
        <c:noMultiLvlLbl val="0"/>
      </c:catAx>
      <c:valAx>
        <c:axId val="257148800"/>
        <c:scaling>
          <c:orientation val="minMax"/>
        </c:scaling>
        <c:delete val="0"/>
        <c:axPos val="l"/>
        <c:majorGridlines/>
        <c:numFmt formatCode="General" sourceLinked="1"/>
        <c:majorTickMark val="none"/>
        <c:minorTickMark val="none"/>
        <c:tickLblPos val="nextTo"/>
        <c:crossAx val="257147264"/>
        <c:crosses val="autoZero"/>
        <c:crossBetween val="between"/>
      </c:valAx>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multiLvlStrRef>
              <c:f>'Grads x TPkg &amp; sem.'!$I$18:$Q$19</c:f>
              <c:multiLvlStrCache>
                <c:ptCount val="9"/>
                <c:lvl>
                  <c:pt idx="0">
                    <c:v>Training &amp; Education </c:v>
                  </c:pt>
                  <c:pt idx="1">
                    <c:v>Business</c:v>
                  </c:pt>
                  <c:pt idx="2">
                    <c:v>Hairdressing</c:v>
                  </c:pt>
                  <c:pt idx="3">
                    <c:v>Community Services</c:v>
                  </c:pt>
                  <c:pt idx="4">
                    <c:v>Tourism &amp; hospitality</c:v>
                  </c:pt>
                  <c:pt idx="5">
                    <c:v>Electrotechnical</c:v>
                  </c:pt>
                  <c:pt idx="6">
                    <c:v>Automotive</c:v>
                  </c:pt>
                  <c:pt idx="7">
                    <c:v>Metal &amp; engineering</c:v>
                  </c:pt>
                  <c:pt idx="8">
                    <c:v>Construction</c:v>
                  </c:pt>
                </c:lvl>
                <c:lvl>
                  <c:pt idx="0">
                    <c:v>Both</c:v>
                  </c:pt>
                  <c:pt idx="1">
                    <c:v>SHCS</c:v>
                  </c:pt>
                  <c:pt idx="5">
                    <c:v>STT</c:v>
                  </c:pt>
                </c:lvl>
              </c:multiLvlStrCache>
            </c:multiLvlStrRef>
          </c:cat>
          <c:val>
            <c:numRef>
              <c:f>'Grads x TPkg &amp; sem.'!$I$20:$Q$20</c:f>
              <c:numCache>
                <c:formatCode>General</c:formatCode>
                <c:ptCount val="9"/>
                <c:pt idx="0">
                  <c:v>741</c:v>
                </c:pt>
                <c:pt idx="1">
                  <c:v>41</c:v>
                </c:pt>
                <c:pt idx="2">
                  <c:v>133</c:v>
                </c:pt>
                <c:pt idx="3">
                  <c:v>1141</c:v>
                </c:pt>
                <c:pt idx="4">
                  <c:v>2385</c:v>
                </c:pt>
                <c:pt idx="5">
                  <c:v>204</c:v>
                </c:pt>
                <c:pt idx="6">
                  <c:v>328</c:v>
                </c:pt>
                <c:pt idx="7">
                  <c:v>881</c:v>
                </c:pt>
                <c:pt idx="8">
                  <c:v>873</c:v>
                </c:pt>
              </c:numCache>
            </c:numRef>
          </c:val>
        </c:ser>
        <c:dLbls>
          <c:showLegendKey val="0"/>
          <c:showVal val="0"/>
          <c:showCatName val="0"/>
          <c:showSerName val="0"/>
          <c:showPercent val="0"/>
          <c:showBubbleSize val="0"/>
        </c:dLbls>
        <c:gapWidth val="150"/>
        <c:axId val="347580288"/>
        <c:axId val="347581824"/>
      </c:barChart>
      <c:catAx>
        <c:axId val="347580288"/>
        <c:scaling>
          <c:orientation val="minMax"/>
        </c:scaling>
        <c:delete val="0"/>
        <c:axPos val="b"/>
        <c:numFmt formatCode="General" sourceLinked="0"/>
        <c:majorTickMark val="none"/>
        <c:minorTickMark val="none"/>
        <c:tickLblPos val="nextTo"/>
        <c:txPr>
          <a:bodyPr/>
          <a:lstStyle/>
          <a:p>
            <a:pPr>
              <a:defRPr lang="en-GB" sz="900" b="1"/>
            </a:pPr>
            <a:endParaRPr lang="en-US"/>
          </a:p>
        </c:txPr>
        <c:crossAx val="347581824"/>
        <c:crosses val="autoZero"/>
        <c:auto val="1"/>
        <c:lblAlgn val="ctr"/>
        <c:lblOffset val="100"/>
        <c:noMultiLvlLbl val="0"/>
      </c:catAx>
      <c:valAx>
        <c:axId val="347581824"/>
        <c:scaling>
          <c:orientation val="minMax"/>
        </c:scaling>
        <c:delete val="0"/>
        <c:axPos val="l"/>
        <c:majorGridlines/>
        <c:numFmt formatCode="General" sourceLinked="1"/>
        <c:majorTickMark val="none"/>
        <c:minorTickMark val="none"/>
        <c:tickLblPos val="nextTo"/>
        <c:txPr>
          <a:bodyPr/>
          <a:lstStyle/>
          <a:p>
            <a:pPr>
              <a:defRPr lang="en-GB"/>
            </a:pPr>
            <a:endParaRPr lang="en-US"/>
          </a:p>
        </c:txPr>
        <c:crossAx val="347580288"/>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'Compl by TPkg'!$I$3</c:f>
              <c:strCache>
                <c:ptCount val="1"/>
                <c:pt idx="0">
                  <c:v>Completion rate</c:v>
                </c:pt>
              </c:strCache>
            </c:strRef>
          </c:tx>
          <c:invertIfNegative val="0"/>
          <c:cat>
            <c:strRef>
              <c:f>'Compl by TPkg'!$H$4:$H$12</c:f>
              <c:strCache>
                <c:ptCount val="9"/>
                <c:pt idx="0">
                  <c:v>Electrotechnology</c:v>
                </c:pt>
                <c:pt idx="1">
                  <c:v>Automotive </c:v>
                </c:pt>
                <c:pt idx="2">
                  <c:v>Metal &amp; Engineering </c:v>
                </c:pt>
                <c:pt idx="3">
                  <c:v>Training &amp; Education </c:v>
                </c:pt>
                <c:pt idx="4">
                  <c:v>Construction &amp; Plumbing </c:v>
                </c:pt>
                <c:pt idx="5">
                  <c:v>Tourism &amp; Hospitality </c:v>
                </c:pt>
                <c:pt idx="6">
                  <c:v>Community Services</c:v>
                </c:pt>
                <c:pt idx="7">
                  <c:v>Business Services</c:v>
                </c:pt>
                <c:pt idx="8">
                  <c:v>Hairdressing</c:v>
                </c:pt>
              </c:strCache>
            </c:strRef>
          </c:cat>
          <c:val>
            <c:numRef>
              <c:f>'Compl by TPkg'!$I$4:$I$12</c:f>
              <c:numCache>
                <c:formatCode>0%</c:formatCode>
                <c:ptCount val="9"/>
                <c:pt idx="0">
                  <c:v>0.86240000000000006</c:v>
                </c:pt>
                <c:pt idx="1">
                  <c:v>0.87170000000000003</c:v>
                </c:pt>
                <c:pt idx="2">
                  <c:v>0.87839999999999996</c:v>
                </c:pt>
                <c:pt idx="3">
                  <c:v>0.88719999999999999</c:v>
                </c:pt>
                <c:pt idx="4">
                  <c:v>0.90539999999999998</c:v>
                </c:pt>
                <c:pt idx="5">
                  <c:v>0.91449999999999998</c:v>
                </c:pt>
                <c:pt idx="6">
                  <c:v>0.96660000000000001</c:v>
                </c:pt>
                <c:pt idx="7">
                  <c:v>0.97599999999999998</c:v>
                </c:pt>
                <c:pt idx="8">
                  <c:v>1</c:v>
                </c:pt>
              </c:numCache>
            </c:numRef>
          </c:val>
        </c:ser>
        <c:dLbls>
          <c:showLegendKey val="0"/>
          <c:showVal val="0"/>
          <c:showCatName val="0"/>
          <c:showSerName val="0"/>
          <c:showPercent val="0"/>
          <c:showBubbleSize val="0"/>
        </c:dLbls>
        <c:gapWidth val="150"/>
        <c:axId val="347589248"/>
        <c:axId val="346505600"/>
      </c:barChart>
      <c:catAx>
        <c:axId val="347589248"/>
        <c:scaling>
          <c:orientation val="minMax"/>
        </c:scaling>
        <c:delete val="0"/>
        <c:axPos val="l"/>
        <c:numFmt formatCode="General" sourceLinked="0"/>
        <c:majorTickMark val="out"/>
        <c:minorTickMark val="none"/>
        <c:tickLblPos val="nextTo"/>
        <c:txPr>
          <a:bodyPr/>
          <a:lstStyle/>
          <a:p>
            <a:pPr>
              <a:defRPr lang="en-GB" sz="900"/>
            </a:pPr>
            <a:endParaRPr lang="en-US"/>
          </a:p>
        </c:txPr>
        <c:crossAx val="346505600"/>
        <c:crosses val="autoZero"/>
        <c:auto val="1"/>
        <c:lblAlgn val="ctr"/>
        <c:lblOffset val="100"/>
        <c:noMultiLvlLbl val="0"/>
      </c:catAx>
      <c:valAx>
        <c:axId val="346505600"/>
        <c:scaling>
          <c:orientation val="minMax"/>
          <c:max val="1"/>
        </c:scaling>
        <c:delete val="0"/>
        <c:axPos val="b"/>
        <c:majorGridlines/>
        <c:numFmt formatCode="0%" sourceLinked="1"/>
        <c:majorTickMark val="out"/>
        <c:minorTickMark val="none"/>
        <c:tickLblPos val="nextTo"/>
        <c:txPr>
          <a:bodyPr/>
          <a:lstStyle/>
          <a:p>
            <a:pPr>
              <a:defRPr lang="en-GB" sz="900">
                <a:latin typeface="Calibri (Body)"/>
                <a:cs typeface="Calibri (Body)"/>
              </a:defRPr>
            </a:pPr>
            <a:endParaRPr lang="en-US"/>
          </a:p>
        </c:txPr>
        <c:crossAx val="347589248"/>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Tr &amp; Tu'!$B$5</c:f>
              <c:strCache>
                <c:ptCount val="1"/>
                <c:pt idx="0">
                  <c:v>Trainers </c:v>
                </c:pt>
              </c:strCache>
            </c:strRef>
          </c:tx>
          <c:invertIfNegative val="0"/>
          <c:cat>
            <c:multiLvlStrRef>
              <c:f>'# Tr &amp; Tu'!$C$2:$Q$4</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 Tr &amp; Tu'!$C$5:$Q$5</c:f>
              <c:numCache>
                <c:formatCode>General</c:formatCode>
                <c:ptCount val="15"/>
                <c:pt idx="0">
                  <c:v>14</c:v>
                </c:pt>
                <c:pt idx="1">
                  <c:v>25</c:v>
                </c:pt>
                <c:pt idx="2">
                  <c:v>37</c:v>
                </c:pt>
                <c:pt idx="3">
                  <c:v>53</c:v>
                </c:pt>
                <c:pt idx="4">
                  <c:v>58</c:v>
                </c:pt>
                <c:pt idx="5">
                  <c:v>59</c:v>
                </c:pt>
                <c:pt idx="6">
                  <c:v>61</c:v>
                </c:pt>
                <c:pt idx="7">
                  <c:v>51</c:v>
                </c:pt>
                <c:pt idx="8">
                  <c:v>42</c:v>
                </c:pt>
                <c:pt idx="9">
                  <c:v>34</c:v>
                </c:pt>
                <c:pt idx="10">
                  <c:v>44</c:v>
                </c:pt>
                <c:pt idx="11">
                  <c:v>50</c:v>
                </c:pt>
                <c:pt idx="12">
                  <c:v>60</c:v>
                </c:pt>
                <c:pt idx="13">
                  <c:v>53</c:v>
                </c:pt>
                <c:pt idx="14">
                  <c:v>47</c:v>
                </c:pt>
              </c:numCache>
            </c:numRef>
          </c:val>
        </c:ser>
        <c:ser>
          <c:idx val="1"/>
          <c:order val="1"/>
          <c:tx>
            <c:strRef>
              <c:f>'# Tr &amp; Tu'!$B$6</c:f>
              <c:strCache>
                <c:ptCount val="1"/>
                <c:pt idx="0">
                  <c:v>Tutors</c:v>
                </c:pt>
              </c:strCache>
            </c:strRef>
          </c:tx>
          <c:invertIfNegative val="0"/>
          <c:cat>
            <c:multiLvlStrRef>
              <c:f>'# Tr &amp; Tu'!$C$2:$Q$4</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 Tr &amp; Tu'!$C$6:$Q$6</c:f>
              <c:numCache>
                <c:formatCode>General</c:formatCode>
                <c:ptCount val="15"/>
                <c:pt idx="0">
                  <c:v>0</c:v>
                </c:pt>
                <c:pt idx="1">
                  <c:v>0</c:v>
                </c:pt>
                <c:pt idx="2">
                  <c:v>0</c:v>
                </c:pt>
                <c:pt idx="3">
                  <c:v>3</c:v>
                </c:pt>
                <c:pt idx="4">
                  <c:v>4</c:v>
                </c:pt>
                <c:pt idx="5">
                  <c:v>6</c:v>
                </c:pt>
                <c:pt idx="6">
                  <c:v>7</c:v>
                </c:pt>
                <c:pt idx="7">
                  <c:v>7</c:v>
                </c:pt>
                <c:pt idx="8">
                  <c:v>11</c:v>
                </c:pt>
                <c:pt idx="9">
                  <c:v>14</c:v>
                </c:pt>
                <c:pt idx="10">
                  <c:v>27</c:v>
                </c:pt>
                <c:pt idx="11">
                  <c:v>28</c:v>
                </c:pt>
                <c:pt idx="12">
                  <c:v>43</c:v>
                </c:pt>
                <c:pt idx="13">
                  <c:v>41</c:v>
                </c:pt>
                <c:pt idx="14">
                  <c:v>29</c:v>
                </c:pt>
              </c:numCache>
            </c:numRef>
          </c:val>
        </c:ser>
        <c:dLbls>
          <c:showLegendKey val="0"/>
          <c:showVal val="0"/>
          <c:showCatName val="0"/>
          <c:showSerName val="0"/>
          <c:showPercent val="0"/>
          <c:showBubbleSize val="0"/>
        </c:dLbls>
        <c:gapWidth val="150"/>
        <c:axId val="346530560"/>
        <c:axId val="346532096"/>
      </c:barChart>
      <c:catAx>
        <c:axId val="346530560"/>
        <c:scaling>
          <c:orientation val="minMax"/>
        </c:scaling>
        <c:delete val="0"/>
        <c:axPos val="b"/>
        <c:numFmt formatCode="General" sourceLinked="0"/>
        <c:majorTickMark val="out"/>
        <c:minorTickMark val="none"/>
        <c:tickLblPos val="nextTo"/>
        <c:txPr>
          <a:bodyPr/>
          <a:lstStyle/>
          <a:p>
            <a:pPr>
              <a:defRPr sz="800" b="1"/>
            </a:pPr>
            <a:endParaRPr lang="en-US"/>
          </a:p>
        </c:txPr>
        <c:crossAx val="346532096"/>
        <c:crosses val="autoZero"/>
        <c:auto val="1"/>
        <c:lblAlgn val="ctr"/>
        <c:lblOffset val="100"/>
        <c:noMultiLvlLbl val="0"/>
      </c:catAx>
      <c:valAx>
        <c:axId val="346532096"/>
        <c:scaling>
          <c:orientation val="minMax"/>
        </c:scaling>
        <c:delete val="0"/>
        <c:axPos val="l"/>
        <c:majorGridlines/>
        <c:numFmt formatCode="General" sourceLinked="1"/>
        <c:majorTickMark val="out"/>
        <c:minorTickMark val="none"/>
        <c:tickLblPos val="nextTo"/>
        <c:crossAx val="346530560"/>
        <c:crosses val="autoZero"/>
        <c:crossBetween val="between"/>
      </c:valAx>
    </c:plotArea>
    <c:legend>
      <c:legendPos val="r"/>
      <c:overlay val="0"/>
    </c:legend>
    <c:plotVisOnly val="1"/>
    <c:dispBlanksAs val="gap"/>
    <c:showDLblsOverMax val="0"/>
  </c:chart>
  <c:txPr>
    <a:bodyPr/>
    <a:lstStyle/>
    <a:p>
      <a:pPr>
        <a:defRPr sz="900"/>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marker>
            <c:symbol val="none"/>
          </c:marker>
          <c:cat>
            <c:multiLvlStrRef>
              <c:f>'# Tr &amp; Tu'!$F$8:$Q$10</c:f>
              <c:multiLvlStrCache>
                <c:ptCount val="12"/>
                <c:lvl>
                  <c:pt idx="0">
                    <c:v>Jan-Jun</c:v>
                  </c:pt>
                  <c:pt idx="1">
                    <c:v>Jul-Dec</c:v>
                  </c:pt>
                  <c:pt idx="2">
                    <c:v>Jan-Jun</c:v>
                  </c:pt>
                  <c:pt idx="3">
                    <c:v>Jul-Dec</c:v>
                  </c:pt>
                  <c:pt idx="4">
                    <c:v>Jan-Jun</c:v>
                  </c:pt>
                  <c:pt idx="5">
                    <c:v>Jul-Dec</c:v>
                  </c:pt>
                  <c:pt idx="6">
                    <c:v>Jan-Jun</c:v>
                  </c:pt>
                  <c:pt idx="7">
                    <c:v>Jul-Dec</c:v>
                  </c:pt>
                  <c:pt idx="8">
                    <c:v>Jan-Jun</c:v>
                  </c:pt>
                  <c:pt idx="9">
                    <c:v>Jul-Dec</c:v>
                  </c:pt>
                  <c:pt idx="10">
                    <c:v>Jan-Jun</c:v>
                  </c:pt>
                  <c:pt idx="11">
                    <c:v>Jul-Dec (?)</c:v>
                  </c:pt>
                </c:lvl>
                <c:lvl>
                  <c:pt idx="0">
                    <c:v>2009</c:v>
                  </c:pt>
                  <c:pt idx="2">
                    <c:v>2010</c:v>
                  </c:pt>
                  <c:pt idx="4">
                    <c:v>20</c:v>
                  </c:pt>
                  <c:pt idx="5">
                    <c:v>11</c:v>
                  </c:pt>
                  <c:pt idx="6">
                    <c:v>2012</c:v>
                  </c:pt>
                  <c:pt idx="8">
                    <c:v>2013</c:v>
                  </c:pt>
                  <c:pt idx="10">
                    <c:v>2014</c:v>
                  </c:pt>
                </c:lvl>
                <c:lvl>
                  <c:pt idx="0">
                    <c:v>Stage I</c:v>
                  </c:pt>
                  <c:pt idx="5">
                    <c:v>Stage 2</c:v>
                  </c:pt>
                </c:lvl>
              </c:multiLvlStrCache>
            </c:multiLvlStrRef>
          </c:cat>
          <c:val>
            <c:numRef>
              <c:f>'# Tr &amp; Tu'!$F$11:$Q$11</c:f>
              <c:numCache>
                <c:formatCode>General</c:formatCode>
                <c:ptCount val="12"/>
                <c:pt idx="0">
                  <c:v>17.666666666666671</c:v>
                </c:pt>
                <c:pt idx="1">
                  <c:v>14.5</c:v>
                </c:pt>
                <c:pt idx="2">
                  <c:v>9.8333333333333357</c:v>
                </c:pt>
                <c:pt idx="3">
                  <c:v>8.7142857142857135</c:v>
                </c:pt>
                <c:pt idx="4">
                  <c:v>7.2857142857142856</c:v>
                </c:pt>
                <c:pt idx="5">
                  <c:v>3.8181818181818201</c:v>
                </c:pt>
                <c:pt idx="6">
                  <c:v>2.4285714285714302</c:v>
                </c:pt>
                <c:pt idx="7">
                  <c:v>1.6296296296296291</c:v>
                </c:pt>
                <c:pt idx="8">
                  <c:v>1.785714285714286</c:v>
                </c:pt>
                <c:pt idx="9">
                  <c:v>1.3953488372093019</c:v>
                </c:pt>
                <c:pt idx="10">
                  <c:v>1.2926829268292701</c:v>
                </c:pt>
                <c:pt idx="11">
                  <c:v>1.620689655172413</c:v>
                </c:pt>
              </c:numCache>
            </c:numRef>
          </c:val>
          <c:smooth val="0"/>
        </c:ser>
        <c:dLbls>
          <c:showLegendKey val="0"/>
          <c:showVal val="0"/>
          <c:showCatName val="0"/>
          <c:showSerName val="0"/>
          <c:showPercent val="0"/>
          <c:showBubbleSize val="0"/>
        </c:dLbls>
        <c:marker val="1"/>
        <c:smooth val="0"/>
        <c:axId val="346629248"/>
        <c:axId val="346630784"/>
      </c:lineChart>
      <c:catAx>
        <c:axId val="346629248"/>
        <c:scaling>
          <c:orientation val="minMax"/>
        </c:scaling>
        <c:delete val="0"/>
        <c:axPos val="b"/>
        <c:numFmt formatCode="General" sourceLinked="0"/>
        <c:majorTickMark val="none"/>
        <c:minorTickMark val="none"/>
        <c:tickLblPos val="nextTo"/>
        <c:txPr>
          <a:bodyPr/>
          <a:lstStyle/>
          <a:p>
            <a:pPr>
              <a:defRPr sz="800" b="1"/>
            </a:pPr>
            <a:endParaRPr lang="en-US"/>
          </a:p>
        </c:txPr>
        <c:crossAx val="346630784"/>
        <c:crosses val="autoZero"/>
        <c:auto val="1"/>
        <c:lblAlgn val="ctr"/>
        <c:lblOffset val="100"/>
        <c:noMultiLvlLbl val="0"/>
      </c:catAx>
      <c:valAx>
        <c:axId val="346630784"/>
        <c:scaling>
          <c:orientation val="minMax"/>
        </c:scaling>
        <c:delete val="0"/>
        <c:axPos val="l"/>
        <c:majorGridlines/>
        <c:title>
          <c:tx>
            <c:rich>
              <a:bodyPr/>
              <a:lstStyle/>
              <a:p>
                <a:pPr>
                  <a:defRPr/>
                </a:pPr>
                <a:r>
                  <a:rPr lang="en-US"/>
                  <a:t>Number of trainers per tutor</a:t>
                </a:r>
              </a:p>
            </c:rich>
          </c:tx>
          <c:overlay val="0"/>
        </c:title>
        <c:numFmt formatCode="General" sourceLinked="1"/>
        <c:majorTickMark val="none"/>
        <c:minorTickMark val="none"/>
        <c:tickLblPos val="nextTo"/>
        <c:crossAx val="346629248"/>
        <c:crosses val="autoZero"/>
        <c:crossBetween val="between"/>
      </c:valAx>
    </c:plotArea>
    <c:plotVisOnly val="1"/>
    <c:dispBlanksAs val="gap"/>
    <c:showDLblsOverMax val="0"/>
  </c:chart>
  <c:txPr>
    <a:bodyPr/>
    <a:lstStyle/>
    <a:p>
      <a:pPr>
        <a:defRPr sz="900"/>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'TR&amp;Tu by Tr Pkg'!$C$7</c:f>
              <c:strCache>
                <c:ptCount val="1"/>
                <c:pt idx="0">
                  <c:v>Trainers</c:v>
                </c:pt>
              </c:strCache>
            </c:strRef>
          </c:tx>
          <c:invertIfNegative val="0"/>
          <c:cat>
            <c:multiLvlStrRef>
              <c:f>'TR&amp;Tu by Tr Pkg'!$A$8:$B$15</c:f>
              <c:multiLvlStrCache>
                <c:ptCount val="8"/>
                <c:lvl>
                  <c:pt idx="0">
                    <c:v>Business</c:v>
                  </c:pt>
                  <c:pt idx="1">
                    <c:v>Community Services</c:v>
                  </c:pt>
                  <c:pt idx="2">
                    <c:v>Tourism &amp; Hospitality</c:v>
                  </c:pt>
                  <c:pt idx="3">
                    <c:v>Automotive Service &amp; Repair</c:v>
                  </c:pt>
                  <c:pt idx="4">
                    <c:v>Construction, Plumbing </c:v>
                  </c:pt>
                  <c:pt idx="5">
                    <c:v>Metal &amp; Engineering</c:v>
                  </c:pt>
                  <c:pt idx="6">
                    <c:v>Fashion</c:v>
                  </c:pt>
                  <c:pt idx="7">
                    <c:v>TAE</c:v>
                  </c:pt>
                </c:lvl>
                <c:lvl>
                  <c:pt idx="0">
                    <c:v>SHCS</c:v>
                  </c:pt>
                  <c:pt idx="1">
                    <c:v>SHCS</c:v>
                  </c:pt>
                  <c:pt idx="2">
                    <c:v>SHCS</c:v>
                  </c:pt>
                  <c:pt idx="3">
                    <c:v>STT</c:v>
                  </c:pt>
                  <c:pt idx="4">
                    <c:v>STT</c:v>
                  </c:pt>
                  <c:pt idx="5">
                    <c:v>STT</c:v>
                  </c:pt>
                  <c:pt idx="6">
                    <c:v>STT</c:v>
                  </c:pt>
                  <c:pt idx="7">
                    <c:v>Both</c:v>
                  </c:pt>
                </c:lvl>
              </c:multiLvlStrCache>
            </c:multiLvlStrRef>
          </c:cat>
          <c:val>
            <c:numRef>
              <c:f>'TR&amp;Tu by Tr Pkg'!$C$8:$C$15</c:f>
              <c:numCache>
                <c:formatCode>General</c:formatCode>
                <c:ptCount val="8"/>
                <c:pt idx="0">
                  <c:v>1</c:v>
                </c:pt>
                <c:pt idx="1">
                  <c:v>12</c:v>
                </c:pt>
                <c:pt idx="2">
                  <c:v>9</c:v>
                </c:pt>
                <c:pt idx="3">
                  <c:v>5</c:v>
                </c:pt>
                <c:pt idx="4">
                  <c:v>16</c:v>
                </c:pt>
                <c:pt idx="5">
                  <c:v>7</c:v>
                </c:pt>
                <c:pt idx="6">
                  <c:v>1</c:v>
                </c:pt>
                <c:pt idx="7">
                  <c:v>2</c:v>
                </c:pt>
              </c:numCache>
            </c:numRef>
          </c:val>
        </c:ser>
        <c:ser>
          <c:idx val="1"/>
          <c:order val="1"/>
          <c:tx>
            <c:strRef>
              <c:f>'TR&amp;Tu by Tr Pkg'!$D$7</c:f>
              <c:strCache>
                <c:ptCount val="1"/>
                <c:pt idx="0">
                  <c:v>Tutors</c:v>
                </c:pt>
              </c:strCache>
            </c:strRef>
          </c:tx>
          <c:invertIfNegative val="0"/>
          <c:cat>
            <c:multiLvlStrRef>
              <c:f>'TR&amp;Tu by Tr Pkg'!$A$8:$B$15</c:f>
              <c:multiLvlStrCache>
                <c:ptCount val="8"/>
                <c:lvl>
                  <c:pt idx="0">
                    <c:v>Business</c:v>
                  </c:pt>
                  <c:pt idx="1">
                    <c:v>Community Services</c:v>
                  </c:pt>
                  <c:pt idx="2">
                    <c:v>Tourism &amp; Hospitality</c:v>
                  </c:pt>
                  <c:pt idx="3">
                    <c:v>Automotive Service &amp; Repair</c:v>
                  </c:pt>
                  <c:pt idx="4">
                    <c:v>Construction, Plumbing </c:v>
                  </c:pt>
                  <c:pt idx="5">
                    <c:v>Metal &amp; Engineering</c:v>
                  </c:pt>
                  <c:pt idx="6">
                    <c:v>Fashion</c:v>
                  </c:pt>
                  <c:pt idx="7">
                    <c:v>TAE</c:v>
                  </c:pt>
                </c:lvl>
                <c:lvl>
                  <c:pt idx="0">
                    <c:v>SHCS</c:v>
                  </c:pt>
                  <c:pt idx="1">
                    <c:v>SHCS</c:v>
                  </c:pt>
                  <c:pt idx="2">
                    <c:v>SHCS</c:v>
                  </c:pt>
                  <c:pt idx="3">
                    <c:v>STT</c:v>
                  </c:pt>
                  <c:pt idx="4">
                    <c:v>STT</c:v>
                  </c:pt>
                  <c:pt idx="5">
                    <c:v>STT</c:v>
                  </c:pt>
                  <c:pt idx="6">
                    <c:v>STT</c:v>
                  </c:pt>
                  <c:pt idx="7">
                    <c:v>Both</c:v>
                  </c:pt>
                </c:lvl>
              </c:multiLvlStrCache>
            </c:multiLvlStrRef>
          </c:cat>
          <c:val>
            <c:numRef>
              <c:f>'TR&amp;Tu by Tr Pkg'!$D$8:$D$15</c:f>
              <c:numCache>
                <c:formatCode>General</c:formatCode>
                <c:ptCount val="8"/>
                <c:pt idx="1">
                  <c:v>10</c:v>
                </c:pt>
                <c:pt idx="2">
                  <c:v>12</c:v>
                </c:pt>
                <c:pt idx="3">
                  <c:v>3</c:v>
                </c:pt>
                <c:pt idx="4">
                  <c:v>9</c:v>
                </c:pt>
                <c:pt idx="5">
                  <c:v>7</c:v>
                </c:pt>
              </c:numCache>
            </c:numRef>
          </c:val>
        </c:ser>
        <c:dLbls>
          <c:showLegendKey val="0"/>
          <c:showVal val="0"/>
          <c:showCatName val="0"/>
          <c:showSerName val="0"/>
          <c:showPercent val="0"/>
          <c:showBubbleSize val="0"/>
        </c:dLbls>
        <c:gapWidth val="150"/>
        <c:axId val="346647552"/>
        <c:axId val="346669824"/>
      </c:barChart>
      <c:catAx>
        <c:axId val="346647552"/>
        <c:scaling>
          <c:orientation val="minMax"/>
        </c:scaling>
        <c:delete val="0"/>
        <c:axPos val="b"/>
        <c:numFmt formatCode="General" sourceLinked="0"/>
        <c:majorTickMark val="out"/>
        <c:minorTickMark val="none"/>
        <c:tickLblPos val="nextTo"/>
        <c:txPr>
          <a:bodyPr/>
          <a:lstStyle/>
          <a:p>
            <a:pPr>
              <a:defRPr lang="en-GB" sz="800" b="1"/>
            </a:pPr>
            <a:endParaRPr lang="en-US"/>
          </a:p>
        </c:txPr>
        <c:crossAx val="346669824"/>
        <c:crosses val="autoZero"/>
        <c:auto val="1"/>
        <c:lblAlgn val="ctr"/>
        <c:lblOffset val="100"/>
        <c:noMultiLvlLbl val="0"/>
      </c:catAx>
      <c:valAx>
        <c:axId val="346669824"/>
        <c:scaling>
          <c:orientation val="minMax"/>
        </c:scaling>
        <c:delete val="0"/>
        <c:axPos val="l"/>
        <c:majorGridlines/>
        <c:numFmt formatCode="General" sourceLinked="1"/>
        <c:majorTickMark val="out"/>
        <c:minorTickMark val="none"/>
        <c:tickLblPos val="nextTo"/>
        <c:txPr>
          <a:bodyPr/>
          <a:lstStyle/>
          <a:p>
            <a:pPr>
              <a:defRPr lang="en-GB" sz="900"/>
            </a:pPr>
            <a:endParaRPr lang="en-US"/>
          </a:p>
        </c:txPr>
        <c:crossAx val="346647552"/>
        <c:crosses val="autoZero"/>
        <c:crossBetween val="between"/>
      </c:valAx>
    </c:plotArea>
    <c:legend>
      <c:legendPos val="r"/>
      <c:overlay val="0"/>
      <c:txPr>
        <a:bodyPr/>
        <a:lstStyle/>
        <a:p>
          <a:pPr>
            <a:defRPr lang="en-GB" sz="900"/>
          </a:pPr>
          <a:endParaRPr lang="en-US"/>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 % T.'!$B$5</c:f>
              <c:strCache>
                <c:ptCount val="1"/>
                <c:pt idx="0">
                  <c:v>Australian, NZ, other non-Pacific Island</c:v>
                </c:pt>
              </c:strCache>
            </c:strRef>
          </c:tx>
          <c:invertIfNegative val="0"/>
          <c:cat>
            <c:multiLvlStrRef>
              <c:f>'PI % T.'!$C$2:$Q$4</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'PI % T.'!$C$5:$Q$5</c:f>
              <c:numCache>
                <c:formatCode>General</c:formatCode>
                <c:ptCount val="15"/>
                <c:pt idx="0">
                  <c:v>14</c:v>
                </c:pt>
                <c:pt idx="1">
                  <c:v>25</c:v>
                </c:pt>
                <c:pt idx="2">
                  <c:v>37</c:v>
                </c:pt>
                <c:pt idx="3">
                  <c:v>53</c:v>
                </c:pt>
                <c:pt idx="4">
                  <c:v>58</c:v>
                </c:pt>
                <c:pt idx="5">
                  <c:v>59</c:v>
                </c:pt>
                <c:pt idx="6">
                  <c:v>61</c:v>
                </c:pt>
                <c:pt idx="7">
                  <c:v>51</c:v>
                </c:pt>
                <c:pt idx="8">
                  <c:v>42</c:v>
                </c:pt>
                <c:pt idx="9">
                  <c:v>34</c:v>
                </c:pt>
                <c:pt idx="10">
                  <c:v>44</c:v>
                </c:pt>
                <c:pt idx="11">
                  <c:v>50</c:v>
                </c:pt>
                <c:pt idx="12">
                  <c:v>58</c:v>
                </c:pt>
                <c:pt idx="13">
                  <c:v>51</c:v>
                </c:pt>
                <c:pt idx="14">
                  <c:v>35</c:v>
                </c:pt>
              </c:numCache>
            </c:numRef>
          </c:val>
        </c:ser>
        <c:ser>
          <c:idx val="1"/>
          <c:order val="1"/>
          <c:tx>
            <c:strRef>
              <c:f>'PI % T.'!$B$6</c:f>
              <c:strCache>
                <c:ptCount val="1"/>
                <c:pt idx="0">
                  <c:v>Pacific Islanders</c:v>
                </c:pt>
              </c:strCache>
            </c:strRef>
          </c:tx>
          <c:invertIfNegative val="0"/>
          <c:cat>
            <c:multiLvlStrRef>
              <c:f>'PI % T.'!$C$2:$Q$4</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'PI % T.'!$C$6:$Q$6</c:f>
              <c:numCache>
                <c:formatCode>General</c:formatCode>
                <c:ptCount val="15"/>
                <c:pt idx="12">
                  <c:v>2</c:v>
                </c:pt>
                <c:pt idx="13">
                  <c:v>2</c:v>
                </c:pt>
                <c:pt idx="14">
                  <c:v>12</c:v>
                </c:pt>
              </c:numCache>
            </c:numRef>
          </c:val>
        </c:ser>
        <c:dLbls>
          <c:showLegendKey val="0"/>
          <c:showVal val="0"/>
          <c:showCatName val="0"/>
          <c:showSerName val="0"/>
          <c:showPercent val="0"/>
          <c:showBubbleSize val="0"/>
        </c:dLbls>
        <c:gapWidth val="150"/>
        <c:axId val="354162560"/>
        <c:axId val="354164096"/>
      </c:barChart>
      <c:catAx>
        <c:axId val="354162560"/>
        <c:scaling>
          <c:orientation val="minMax"/>
        </c:scaling>
        <c:delete val="0"/>
        <c:axPos val="b"/>
        <c:numFmt formatCode="General" sourceLinked="0"/>
        <c:majorTickMark val="out"/>
        <c:minorTickMark val="none"/>
        <c:tickLblPos val="nextTo"/>
        <c:txPr>
          <a:bodyPr/>
          <a:lstStyle/>
          <a:p>
            <a:pPr>
              <a:defRPr lang="en-GB" sz="800" b="1"/>
            </a:pPr>
            <a:endParaRPr lang="en-US"/>
          </a:p>
        </c:txPr>
        <c:crossAx val="354164096"/>
        <c:crosses val="autoZero"/>
        <c:auto val="1"/>
        <c:lblAlgn val="ctr"/>
        <c:lblOffset val="100"/>
        <c:noMultiLvlLbl val="0"/>
      </c:catAx>
      <c:valAx>
        <c:axId val="354164096"/>
        <c:scaling>
          <c:orientation val="minMax"/>
        </c:scaling>
        <c:delete val="0"/>
        <c:axPos val="l"/>
        <c:majorGridlines/>
        <c:numFmt formatCode="General" sourceLinked="1"/>
        <c:majorTickMark val="out"/>
        <c:minorTickMark val="none"/>
        <c:tickLblPos val="nextTo"/>
        <c:txPr>
          <a:bodyPr/>
          <a:lstStyle/>
          <a:p>
            <a:pPr>
              <a:defRPr lang="en-GB" sz="900"/>
            </a:pPr>
            <a:endParaRPr lang="en-US"/>
          </a:p>
        </c:txPr>
        <c:crossAx val="354162560"/>
        <c:crosses val="autoZero"/>
        <c:crossBetween val="between"/>
      </c:valAx>
    </c:plotArea>
    <c:legend>
      <c:legendPos val="r"/>
      <c:overlay val="0"/>
      <c:txPr>
        <a:bodyPr/>
        <a:lstStyle/>
        <a:p>
          <a:pPr>
            <a:defRPr lang="en-GB" sz="800"/>
          </a:pPr>
          <a:endParaRPr lang="en-US"/>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F'!$B$11</c:f>
              <c:strCache>
                <c:ptCount val="1"/>
                <c:pt idx="0">
                  <c:v>Trainers</c:v>
                </c:pt>
              </c:strCache>
            </c:strRef>
          </c:tx>
          <c:invertIfNegative val="0"/>
          <c:cat>
            <c:multiLvlStrRef>
              <c:f>'% F'!$C$8:$P$10</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 F'!$C$11:$P$11</c:f>
              <c:numCache>
                <c:formatCode>0%</c:formatCode>
                <c:ptCount val="14"/>
                <c:pt idx="0">
                  <c:v>7.1428571428571397E-2</c:v>
                </c:pt>
                <c:pt idx="1">
                  <c:v>0.08</c:v>
                </c:pt>
                <c:pt idx="2">
                  <c:v>0.135135135135135</c:v>
                </c:pt>
                <c:pt idx="3">
                  <c:v>0.15094339622641501</c:v>
                </c:pt>
                <c:pt idx="4">
                  <c:v>0.18965517241379301</c:v>
                </c:pt>
                <c:pt idx="5">
                  <c:v>0.23728813559322001</c:v>
                </c:pt>
                <c:pt idx="6">
                  <c:v>0.2</c:v>
                </c:pt>
                <c:pt idx="7">
                  <c:v>0.25490196078431399</c:v>
                </c:pt>
                <c:pt idx="8">
                  <c:v>0.214285714285714</c:v>
                </c:pt>
                <c:pt idx="9">
                  <c:v>0.29411764705882398</c:v>
                </c:pt>
                <c:pt idx="10">
                  <c:v>0.36363636363636398</c:v>
                </c:pt>
                <c:pt idx="11">
                  <c:v>0.36</c:v>
                </c:pt>
                <c:pt idx="12">
                  <c:v>0.28333333333333299</c:v>
                </c:pt>
                <c:pt idx="13">
                  <c:v>0.320754716981132</c:v>
                </c:pt>
              </c:numCache>
            </c:numRef>
          </c:val>
        </c:ser>
        <c:ser>
          <c:idx val="1"/>
          <c:order val="1"/>
          <c:tx>
            <c:strRef>
              <c:f>'% F'!$B$12</c:f>
              <c:strCache>
                <c:ptCount val="1"/>
                <c:pt idx="0">
                  <c:v>Tutors</c:v>
                </c:pt>
              </c:strCache>
            </c:strRef>
          </c:tx>
          <c:invertIfNegative val="0"/>
          <c:cat>
            <c:multiLvlStrRef>
              <c:f>'% F'!$C$8:$P$10</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 F'!$C$12:$P$12</c:f>
              <c:numCache>
                <c:formatCode>0%</c:formatCode>
                <c:ptCount val="14"/>
                <c:pt idx="0">
                  <c:v>0</c:v>
                </c:pt>
                <c:pt idx="1">
                  <c:v>0</c:v>
                </c:pt>
                <c:pt idx="2">
                  <c:v>0</c:v>
                </c:pt>
                <c:pt idx="3">
                  <c:v>0</c:v>
                </c:pt>
                <c:pt idx="4">
                  <c:v>0</c:v>
                </c:pt>
                <c:pt idx="5">
                  <c:v>0</c:v>
                </c:pt>
                <c:pt idx="6">
                  <c:v>0</c:v>
                </c:pt>
                <c:pt idx="7">
                  <c:v>0</c:v>
                </c:pt>
                <c:pt idx="8">
                  <c:v>0.36363636363636398</c:v>
                </c:pt>
                <c:pt idx="9">
                  <c:v>0.42857142857142899</c:v>
                </c:pt>
                <c:pt idx="10">
                  <c:v>0.51851851851851904</c:v>
                </c:pt>
                <c:pt idx="11">
                  <c:v>0.5</c:v>
                </c:pt>
                <c:pt idx="12">
                  <c:v>0.51162790697674398</c:v>
                </c:pt>
                <c:pt idx="13">
                  <c:v>0.48780487804877998</c:v>
                </c:pt>
              </c:numCache>
            </c:numRef>
          </c:val>
        </c:ser>
        <c:dLbls>
          <c:showLegendKey val="0"/>
          <c:showVal val="0"/>
          <c:showCatName val="0"/>
          <c:showSerName val="0"/>
          <c:showPercent val="0"/>
          <c:showBubbleSize val="0"/>
        </c:dLbls>
        <c:gapWidth val="150"/>
        <c:axId val="354201600"/>
        <c:axId val="354203136"/>
      </c:barChart>
      <c:catAx>
        <c:axId val="354201600"/>
        <c:scaling>
          <c:orientation val="minMax"/>
        </c:scaling>
        <c:delete val="0"/>
        <c:axPos val="b"/>
        <c:numFmt formatCode="General" sourceLinked="0"/>
        <c:majorTickMark val="out"/>
        <c:minorTickMark val="none"/>
        <c:tickLblPos val="nextTo"/>
        <c:txPr>
          <a:bodyPr/>
          <a:lstStyle/>
          <a:p>
            <a:pPr>
              <a:defRPr lang="en-GB" sz="800" b="1"/>
            </a:pPr>
            <a:endParaRPr lang="en-US"/>
          </a:p>
        </c:txPr>
        <c:crossAx val="354203136"/>
        <c:crosses val="autoZero"/>
        <c:auto val="1"/>
        <c:lblAlgn val="ctr"/>
        <c:lblOffset val="100"/>
        <c:noMultiLvlLbl val="0"/>
      </c:catAx>
      <c:valAx>
        <c:axId val="354203136"/>
        <c:scaling>
          <c:orientation val="minMax"/>
        </c:scaling>
        <c:delete val="0"/>
        <c:axPos val="l"/>
        <c:majorGridlines/>
        <c:numFmt formatCode="0%" sourceLinked="1"/>
        <c:majorTickMark val="out"/>
        <c:minorTickMark val="none"/>
        <c:tickLblPos val="nextTo"/>
        <c:txPr>
          <a:bodyPr/>
          <a:lstStyle/>
          <a:p>
            <a:pPr>
              <a:defRPr lang="en-GB" sz="900"/>
            </a:pPr>
            <a:endParaRPr lang="en-US"/>
          </a:p>
        </c:txPr>
        <c:crossAx val="354201600"/>
        <c:crosses val="autoZero"/>
        <c:crossBetween val="between"/>
      </c:valAx>
    </c:plotArea>
    <c:legend>
      <c:legendPos val="r"/>
      <c:overlay val="0"/>
      <c:txPr>
        <a:bodyPr/>
        <a:lstStyle/>
        <a:p>
          <a:pPr>
            <a:defRPr lang="en-GB" sz="900"/>
          </a:pPr>
          <a:endParaRPr lang="en-US"/>
        </a:p>
      </c:txPr>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 distn'!$C$2</c:f>
              <c:strCache>
                <c:ptCount val="1"/>
                <c:pt idx="0">
                  <c:v>Trainers</c:v>
                </c:pt>
              </c:strCache>
            </c:strRef>
          </c:tx>
          <c:invertIfNegative val="0"/>
          <c:cat>
            <c:strRef>
              <c:f>'Age distn'!$B$3:$B$7</c:f>
              <c:strCache>
                <c:ptCount val="5"/>
                <c:pt idx="0">
                  <c:v>20-29</c:v>
                </c:pt>
                <c:pt idx="1">
                  <c:v>30-39</c:v>
                </c:pt>
                <c:pt idx="2">
                  <c:v>40-49</c:v>
                </c:pt>
                <c:pt idx="3">
                  <c:v>50-59</c:v>
                </c:pt>
                <c:pt idx="4">
                  <c:v>60+</c:v>
                </c:pt>
              </c:strCache>
            </c:strRef>
          </c:cat>
          <c:val>
            <c:numRef>
              <c:f>'Age distn'!$C$3:$C$7</c:f>
              <c:numCache>
                <c:formatCode>General</c:formatCode>
                <c:ptCount val="5"/>
                <c:pt idx="1">
                  <c:v>4</c:v>
                </c:pt>
                <c:pt idx="2">
                  <c:v>17</c:v>
                </c:pt>
                <c:pt idx="3">
                  <c:v>27</c:v>
                </c:pt>
                <c:pt idx="4">
                  <c:v>5</c:v>
                </c:pt>
              </c:numCache>
            </c:numRef>
          </c:val>
        </c:ser>
        <c:ser>
          <c:idx val="1"/>
          <c:order val="1"/>
          <c:tx>
            <c:strRef>
              <c:f>'Age distn'!$D$2</c:f>
              <c:strCache>
                <c:ptCount val="1"/>
                <c:pt idx="0">
                  <c:v>Tutors</c:v>
                </c:pt>
              </c:strCache>
            </c:strRef>
          </c:tx>
          <c:invertIfNegative val="0"/>
          <c:cat>
            <c:strRef>
              <c:f>'Age distn'!$B$3:$B$7</c:f>
              <c:strCache>
                <c:ptCount val="5"/>
                <c:pt idx="0">
                  <c:v>20-29</c:v>
                </c:pt>
                <c:pt idx="1">
                  <c:v>30-39</c:v>
                </c:pt>
                <c:pt idx="2">
                  <c:v>40-49</c:v>
                </c:pt>
                <c:pt idx="3">
                  <c:v>50-59</c:v>
                </c:pt>
                <c:pt idx="4">
                  <c:v>60+</c:v>
                </c:pt>
              </c:strCache>
            </c:strRef>
          </c:cat>
          <c:val>
            <c:numRef>
              <c:f>'Age distn'!$D$3:$D$7</c:f>
              <c:numCache>
                <c:formatCode>General</c:formatCode>
                <c:ptCount val="5"/>
                <c:pt idx="0">
                  <c:v>2</c:v>
                </c:pt>
                <c:pt idx="1">
                  <c:v>22</c:v>
                </c:pt>
                <c:pt idx="2">
                  <c:v>14</c:v>
                </c:pt>
                <c:pt idx="3">
                  <c:v>3</c:v>
                </c:pt>
              </c:numCache>
            </c:numRef>
          </c:val>
        </c:ser>
        <c:dLbls>
          <c:showLegendKey val="0"/>
          <c:showVal val="0"/>
          <c:showCatName val="0"/>
          <c:showSerName val="0"/>
          <c:showPercent val="0"/>
          <c:showBubbleSize val="0"/>
        </c:dLbls>
        <c:gapWidth val="150"/>
        <c:axId val="354215040"/>
        <c:axId val="354216576"/>
      </c:barChart>
      <c:catAx>
        <c:axId val="354215040"/>
        <c:scaling>
          <c:orientation val="minMax"/>
        </c:scaling>
        <c:delete val="0"/>
        <c:axPos val="b"/>
        <c:numFmt formatCode="General" sourceLinked="0"/>
        <c:majorTickMark val="out"/>
        <c:minorTickMark val="none"/>
        <c:tickLblPos val="nextTo"/>
        <c:txPr>
          <a:bodyPr/>
          <a:lstStyle/>
          <a:p>
            <a:pPr>
              <a:defRPr lang="en-GB" sz="900"/>
            </a:pPr>
            <a:endParaRPr lang="en-US"/>
          </a:p>
        </c:txPr>
        <c:crossAx val="354216576"/>
        <c:crosses val="autoZero"/>
        <c:auto val="1"/>
        <c:lblAlgn val="ctr"/>
        <c:lblOffset val="100"/>
        <c:noMultiLvlLbl val="0"/>
      </c:catAx>
      <c:valAx>
        <c:axId val="354216576"/>
        <c:scaling>
          <c:orientation val="minMax"/>
        </c:scaling>
        <c:delete val="0"/>
        <c:axPos val="l"/>
        <c:majorGridlines/>
        <c:title>
          <c:tx>
            <c:rich>
              <a:bodyPr rot="-5400000" vert="horz"/>
              <a:lstStyle/>
              <a:p>
                <a:pPr>
                  <a:defRPr lang="en-GB" sz="900"/>
                </a:pPr>
                <a:r>
                  <a:rPr lang="en-US" sz="900"/>
                  <a:t>number of trainers and tutors</a:t>
                </a:r>
              </a:p>
            </c:rich>
          </c:tx>
          <c:overlay val="0"/>
        </c:title>
        <c:numFmt formatCode="General" sourceLinked="1"/>
        <c:majorTickMark val="out"/>
        <c:minorTickMark val="none"/>
        <c:tickLblPos val="nextTo"/>
        <c:txPr>
          <a:bodyPr/>
          <a:lstStyle/>
          <a:p>
            <a:pPr>
              <a:defRPr lang="en-GB" sz="900"/>
            </a:pPr>
            <a:endParaRPr lang="en-US"/>
          </a:p>
        </c:txPr>
        <c:crossAx val="354215040"/>
        <c:crosses val="autoZero"/>
        <c:crossBetween val="between"/>
      </c:valAx>
    </c:plotArea>
    <c:legend>
      <c:legendPos val="r"/>
      <c:overlay val="0"/>
      <c:txPr>
        <a:bodyPr/>
        <a:lstStyle/>
        <a:p>
          <a:pPr>
            <a:defRPr lang="en-GB" sz="900"/>
          </a:pPr>
          <a:endParaRPr lang="en-US"/>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'T-S ratio'!$A$5</c:f>
              <c:strCache>
                <c:ptCount val="1"/>
                <c:pt idx="0">
                  <c:v>Students per teacher</c:v>
                </c:pt>
              </c:strCache>
            </c:strRef>
          </c:tx>
          <c:invertIfNegative val="0"/>
          <c:cat>
            <c:multiLvlStrRef>
              <c:f>'T-S ratio'!$B$2:$O$4</c:f>
              <c:multiLvlStrCache>
                <c:ptCount val="14"/>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'T-S ratio'!$B$5:$O$5</c:f>
              <c:numCache>
                <c:formatCode>General</c:formatCode>
                <c:ptCount val="14"/>
                <c:pt idx="0">
                  <c:v>2.6428571428571428</c:v>
                </c:pt>
                <c:pt idx="1">
                  <c:v>22.68</c:v>
                </c:pt>
                <c:pt idx="2">
                  <c:v>14.86486486486487</c:v>
                </c:pt>
                <c:pt idx="3">
                  <c:v>11.25</c:v>
                </c:pt>
                <c:pt idx="4">
                  <c:v>11.46774193548387</c:v>
                </c:pt>
                <c:pt idx="5">
                  <c:v>11.692307692307701</c:v>
                </c:pt>
                <c:pt idx="6">
                  <c:v>8.6470588235294112</c:v>
                </c:pt>
                <c:pt idx="7">
                  <c:v>10.22413793103448</c:v>
                </c:pt>
                <c:pt idx="8">
                  <c:v>9.9811320754717006</c:v>
                </c:pt>
                <c:pt idx="9">
                  <c:v>5.979166666666667</c:v>
                </c:pt>
                <c:pt idx="10">
                  <c:v>6.225352112676056</c:v>
                </c:pt>
                <c:pt idx="11">
                  <c:v>14.448717948717951</c:v>
                </c:pt>
                <c:pt idx="12">
                  <c:v>9.3980582524271838</c:v>
                </c:pt>
                <c:pt idx="13">
                  <c:v>9.8510638297872397</c:v>
                </c:pt>
              </c:numCache>
            </c:numRef>
          </c:val>
        </c:ser>
        <c:dLbls>
          <c:showLegendKey val="0"/>
          <c:showVal val="0"/>
          <c:showCatName val="0"/>
          <c:showSerName val="0"/>
          <c:showPercent val="0"/>
          <c:showBubbleSize val="0"/>
        </c:dLbls>
        <c:gapWidth val="150"/>
        <c:axId val="355429760"/>
        <c:axId val="355439744"/>
      </c:barChart>
      <c:catAx>
        <c:axId val="355429760"/>
        <c:scaling>
          <c:orientation val="minMax"/>
        </c:scaling>
        <c:delete val="0"/>
        <c:axPos val="b"/>
        <c:numFmt formatCode="General" sourceLinked="0"/>
        <c:majorTickMark val="out"/>
        <c:minorTickMark val="none"/>
        <c:tickLblPos val="nextTo"/>
        <c:txPr>
          <a:bodyPr/>
          <a:lstStyle/>
          <a:p>
            <a:pPr>
              <a:defRPr lang="en-GB" sz="800" b="1"/>
            </a:pPr>
            <a:endParaRPr lang="en-US"/>
          </a:p>
        </c:txPr>
        <c:crossAx val="355439744"/>
        <c:crosses val="autoZero"/>
        <c:auto val="1"/>
        <c:lblAlgn val="ctr"/>
        <c:lblOffset val="100"/>
        <c:noMultiLvlLbl val="0"/>
      </c:catAx>
      <c:valAx>
        <c:axId val="355439744"/>
        <c:scaling>
          <c:orientation val="minMax"/>
        </c:scaling>
        <c:delete val="0"/>
        <c:axPos val="l"/>
        <c:majorGridlines/>
        <c:numFmt formatCode="General" sourceLinked="1"/>
        <c:majorTickMark val="out"/>
        <c:minorTickMark val="none"/>
        <c:tickLblPos val="nextTo"/>
        <c:txPr>
          <a:bodyPr/>
          <a:lstStyle/>
          <a:p>
            <a:pPr>
              <a:defRPr lang="en-GB" sz="900"/>
            </a:pPr>
            <a:endParaRPr lang="en-US"/>
          </a:p>
        </c:txPr>
        <c:crossAx val="355429760"/>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'T-S ratio'!$C$10</c:f>
              <c:strCache>
                <c:ptCount val="1"/>
                <c:pt idx="0">
                  <c:v>Students per teacher</c:v>
                </c:pt>
              </c:strCache>
            </c:strRef>
          </c:tx>
          <c:invertIfNegative val="0"/>
          <c:dLbls>
            <c:spPr>
              <a:noFill/>
              <a:ln>
                <a:noFill/>
              </a:ln>
              <a:effectLst/>
            </c:spPr>
            <c:txPr>
              <a:bodyPr/>
              <a:lstStyle/>
              <a:p>
                <a:pPr>
                  <a:defRPr lang="en-GB"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'T-S ratio'!$A$11:$B$18</c:f>
              <c:multiLvlStrCache>
                <c:ptCount val="8"/>
                <c:lvl>
                  <c:pt idx="0">
                    <c:v>Business</c:v>
                  </c:pt>
                  <c:pt idx="1">
                    <c:v>Community Services</c:v>
                  </c:pt>
                  <c:pt idx="2">
                    <c:v>Tourism &amp; Hospitality</c:v>
                  </c:pt>
                  <c:pt idx="3">
                    <c:v>Automotive Service &amp; Repair</c:v>
                  </c:pt>
                  <c:pt idx="4">
                    <c:v>Construction, Plumbing </c:v>
                  </c:pt>
                  <c:pt idx="5">
                    <c:v>Metal &amp; Engineering</c:v>
                  </c:pt>
                  <c:pt idx="6">
                    <c:v>Fashion</c:v>
                  </c:pt>
                  <c:pt idx="7">
                    <c:v>TAE</c:v>
                  </c:pt>
                </c:lvl>
                <c:lvl>
                  <c:pt idx="0">
                    <c:v>SHCS</c:v>
                  </c:pt>
                  <c:pt idx="1">
                    <c:v>SHCS</c:v>
                  </c:pt>
                  <c:pt idx="2">
                    <c:v>SHCS</c:v>
                  </c:pt>
                  <c:pt idx="3">
                    <c:v>STT</c:v>
                  </c:pt>
                  <c:pt idx="4">
                    <c:v>STT</c:v>
                  </c:pt>
                  <c:pt idx="5">
                    <c:v>STT</c:v>
                  </c:pt>
                  <c:pt idx="6">
                    <c:v>STT</c:v>
                  </c:pt>
                  <c:pt idx="7">
                    <c:v>Both</c:v>
                  </c:pt>
                </c:lvl>
              </c:multiLvlStrCache>
            </c:multiLvlStrRef>
          </c:cat>
          <c:val>
            <c:numRef>
              <c:f>'T-S ratio'!$C$11:$C$18</c:f>
              <c:numCache>
                <c:formatCode>0.0</c:formatCode>
                <c:ptCount val="8"/>
                <c:pt idx="0">
                  <c:v>61</c:v>
                </c:pt>
                <c:pt idx="1">
                  <c:v>8.0909090909091006</c:v>
                </c:pt>
                <c:pt idx="2">
                  <c:v>9.8095238095238102</c:v>
                </c:pt>
                <c:pt idx="3">
                  <c:v>4.6249999999999547</c:v>
                </c:pt>
                <c:pt idx="4">
                  <c:v>3.88</c:v>
                </c:pt>
                <c:pt idx="5">
                  <c:v>7.8571428571428346</c:v>
                </c:pt>
                <c:pt idx="6">
                  <c:v>26</c:v>
                </c:pt>
                <c:pt idx="7">
                  <c:v>83</c:v>
                </c:pt>
              </c:numCache>
            </c:numRef>
          </c:val>
        </c:ser>
        <c:dLbls>
          <c:showLegendKey val="0"/>
          <c:showVal val="1"/>
          <c:showCatName val="0"/>
          <c:showSerName val="0"/>
          <c:showPercent val="0"/>
          <c:showBubbleSize val="0"/>
        </c:dLbls>
        <c:gapWidth val="150"/>
        <c:axId val="355451264"/>
        <c:axId val="355469568"/>
      </c:barChart>
      <c:catAx>
        <c:axId val="355451264"/>
        <c:scaling>
          <c:orientation val="minMax"/>
        </c:scaling>
        <c:delete val="0"/>
        <c:axPos val="b"/>
        <c:numFmt formatCode="General" sourceLinked="0"/>
        <c:majorTickMark val="out"/>
        <c:minorTickMark val="none"/>
        <c:tickLblPos val="nextTo"/>
        <c:txPr>
          <a:bodyPr/>
          <a:lstStyle/>
          <a:p>
            <a:pPr>
              <a:defRPr lang="en-GB" sz="800" b="1"/>
            </a:pPr>
            <a:endParaRPr lang="en-US"/>
          </a:p>
        </c:txPr>
        <c:crossAx val="355469568"/>
        <c:crosses val="autoZero"/>
        <c:auto val="1"/>
        <c:lblAlgn val="ctr"/>
        <c:lblOffset val="100"/>
        <c:noMultiLvlLbl val="0"/>
      </c:catAx>
      <c:valAx>
        <c:axId val="355469568"/>
        <c:scaling>
          <c:orientation val="minMax"/>
        </c:scaling>
        <c:delete val="0"/>
        <c:axPos val="l"/>
        <c:majorGridlines/>
        <c:title>
          <c:tx>
            <c:rich>
              <a:bodyPr rot="-5400000" vert="horz"/>
              <a:lstStyle/>
              <a:p>
                <a:pPr>
                  <a:defRPr lang="en-GB" sz="900"/>
                </a:pPr>
                <a:r>
                  <a:rPr lang="en-US" sz="900"/>
                  <a:t>students per teacher</a:t>
                </a:r>
              </a:p>
            </c:rich>
          </c:tx>
          <c:overlay val="0"/>
        </c:title>
        <c:numFmt formatCode="0" sourceLinked="0"/>
        <c:majorTickMark val="out"/>
        <c:minorTickMark val="none"/>
        <c:tickLblPos val="nextTo"/>
        <c:txPr>
          <a:bodyPr/>
          <a:lstStyle/>
          <a:p>
            <a:pPr>
              <a:defRPr lang="en-GB" sz="900"/>
            </a:pPr>
            <a:endParaRPr lang="en-US"/>
          </a:p>
        </c:txPr>
        <c:crossAx val="3554512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Prog. x sem'!$B$4</c:f>
              <c:strCache>
                <c:ptCount val="1"/>
                <c:pt idx="0">
                  <c:v>SHCS</c:v>
                </c:pt>
              </c:strCache>
            </c:strRef>
          </c:tx>
          <c:marker>
            <c:symbol val="none"/>
          </c:marker>
          <c:cat>
            <c:multiLvlStrRef>
              <c:f>'# Prog. x sem'!$C$1:$Q$3</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 Prog. x sem'!$C$4:$Q$4</c:f>
              <c:numCache>
                <c:formatCode>General</c:formatCode>
                <c:ptCount val="15"/>
                <c:pt idx="0">
                  <c:v>3</c:v>
                </c:pt>
                <c:pt idx="1">
                  <c:v>14</c:v>
                </c:pt>
                <c:pt idx="2">
                  <c:v>14</c:v>
                </c:pt>
                <c:pt idx="3">
                  <c:v>15</c:v>
                </c:pt>
                <c:pt idx="4">
                  <c:v>21</c:v>
                </c:pt>
                <c:pt idx="5">
                  <c:v>21</c:v>
                </c:pt>
                <c:pt idx="6">
                  <c:v>19</c:v>
                </c:pt>
                <c:pt idx="7">
                  <c:v>23</c:v>
                </c:pt>
                <c:pt idx="8">
                  <c:v>20</c:v>
                </c:pt>
                <c:pt idx="9">
                  <c:v>17</c:v>
                </c:pt>
                <c:pt idx="10">
                  <c:v>22</c:v>
                </c:pt>
                <c:pt idx="11">
                  <c:v>38</c:v>
                </c:pt>
                <c:pt idx="12">
                  <c:v>31</c:v>
                </c:pt>
                <c:pt idx="13">
                  <c:v>34</c:v>
                </c:pt>
                <c:pt idx="14">
                  <c:v>23</c:v>
                </c:pt>
              </c:numCache>
            </c:numRef>
          </c:val>
          <c:smooth val="0"/>
        </c:ser>
        <c:ser>
          <c:idx val="1"/>
          <c:order val="1"/>
          <c:tx>
            <c:strRef>
              <c:f>'# Prog. x sem'!$B$5</c:f>
              <c:strCache>
                <c:ptCount val="1"/>
                <c:pt idx="0">
                  <c:v>STT</c:v>
                </c:pt>
              </c:strCache>
            </c:strRef>
          </c:tx>
          <c:marker>
            <c:symbol val="none"/>
          </c:marker>
          <c:cat>
            <c:multiLvlStrRef>
              <c:f>'# Prog. x sem'!$C$1:$Q$3</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 Prog. x sem'!$C$5:$Q$5</c:f>
              <c:numCache>
                <c:formatCode>General</c:formatCode>
                <c:ptCount val="15"/>
                <c:pt idx="0">
                  <c:v>2</c:v>
                </c:pt>
                <c:pt idx="1">
                  <c:v>21</c:v>
                </c:pt>
                <c:pt idx="2">
                  <c:v>14</c:v>
                </c:pt>
                <c:pt idx="3">
                  <c:v>26</c:v>
                </c:pt>
                <c:pt idx="4">
                  <c:v>26</c:v>
                </c:pt>
                <c:pt idx="5">
                  <c:v>23</c:v>
                </c:pt>
                <c:pt idx="6">
                  <c:v>19</c:v>
                </c:pt>
                <c:pt idx="7">
                  <c:v>16</c:v>
                </c:pt>
                <c:pt idx="8">
                  <c:v>15</c:v>
                </c:pt>
                <c:pt idx="9">
                  <c:v>3</c:v>
                </c:pt>
                <c:pt idx="10">
                  <c:v>2</c:v>
                </c:pt>
                <c:pt idx="11">
                  <c:v>50</c:v>
                </c:pt>
                <c:pt idx="12">
                  <c:v>36</c:v>
                </c:pt>
                <c:pt idx="13">
                  <c:v>29</c:v>
                </c:pt>
                <c:pt idx="14">
                  <c:v>19</c:v>
                </c:pt>
              </c:numCache>
            </c:numRef>
          </c:val>
          <c:smooth val="0"/>
        </c:ser>
        <c:ser>
          <c:idx val="2"/>
          <c:order val="2"/>
          <c:tx>
            <c:strRef>
              <c:f>'# Prog. x sem'!$B$6</c:f>
              <c:strCache>
                <c:ptCount val="1"/>
                <c:pt idx="0">
                  <c:v>Total</c:v>
                </c:pt>
              </c:strCache>
            </c:strRef>
          </c:tx>
          <c:marker>
            <c:symbol val="none"/>
          </c:marker>
          <c:cat>
            <c:multiLvlStrRef>
              <c:f>'# Prog. x sem'!$C$1:$Q$3</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 Prog. x sem'!$C$6:$Q$6</c:f>
              <c:numCache>
                <c:formatCode>General</c:formatCode>
                <c:ptCount val="15"/>
                <c:pt idx="0">
                  <c:v>5</c:v>
                </c:pt>
                <c:pt idx="1">
                  <c:v>35</c:v>
                </c:pt>
                <c:pt idx="2">
                  <c:v>28</c:v>
                </c:pt>
                <c:pt idx="3">
                  <c:v>41</c:v>
                </c:pt>
                <c:pt idx="4">
                  <c:v>47</c:v>
                </c:pt>
                <c:pt idx="5">
                  <c:v>44</c:v>
                </c:pt>
                <c:pt idx="6">
                  <c:v>38</c:v>
                </c:pt>
                <c:pt idx="7">
                  <c:v>39</c:v>
                </c:pt>
                <c:pt idx="8">
                  <c:v>35</c:v>
                </c:pt>
                <c:pt idx="9">
                  <c:v>20</c:v>
                </c:pt>
                <c:pt idx="10">
                  <c:v>24</c:v>
                </c:pt>
                <c:pt idx="11">
                  <c:v>88</c:v>
                </c:pt>
                <c:pt idx="12">
                  <c:v>67</c:v>
                </c:pt>
                <c:pt idx="13">
                  <c:v>63</c:v>
                </c:pt>
                <c:pt idx="14">
                  <c:v>42</c:v>
                </c:pt>
              </c:numCache>
            </c:numRef>
          </c:val>
          <c:smooth val="0"/>
        </c:ser>
        <c:dLbls>
          <c:showLegendKey val="0"/>
          <c:showVal val="0"/>
          <c:showCatName val="0"/>
          <c:showSerName val="0"/>
          <c:showPercent val="0"/>
          <c:showBubbleSize val="0"/>
        </c:dLbls>
        <c:marker val="1"/>
        <c:smooth val="0"/>
        <c:axId val="257180032"/>
        <c:axId val="257181568"/>
      </c:lineChart>
      <c:catAx>
        <c:axId val="257180032"/>
        <c:scaling>
          <c:orientation val="minMax"/>
        </c:scaling>
        <c:delete val="0"/>
        <c:axPos val="b"/>
        <c:numFmt formatCode="General" sourceLinked="0"/>
        <c:majorTickMark val="none"/>
        <c:minorTickMark val="none"/>
        <c:tickLblPos val="nextTo"/>
        <c:txPr>
          <a:bodyPr/>
          <a:lstStyle/>
          <a:p>
            <a:pPr>
              <a:defRPr lang="en-GB" sz="900" b="1"/>
            </a:pPr>
            <a:endParaRPr lang="en-US"/>
          </a:p>
        </c:txPr>
        <c:crossAx val="257181568"/>
        <c:crosses val="autoZero"/>
        <c:auto val="1"/>
        <c:lblAlgn val="ctr"/>
        <c:lblOffset val="100"/>
        <c:noMultiLvlLbl val="0"/>
      </c:catAx>
      <c:valAx>
        <c:axId val="257181568"/>
        <c:scaling>
          <c:orientation val="minMax"/>
        </c:scaling>
        <c:delete val="0"/>
        <c:axPos val="l"/>
        <c:majorGridlines/>
        <c:title>
          <c:tx>
            <c:rich>
              <a:bodyPr/>
              <a:lstStyle/>
              <a:p>
                <a:pPr>
                  <a:defRPr lang="en-GB"/>
                </a:pPr>
                <a:r>
                  <a:rPr lang="en-US"/>
                  <a:t>Number of courses</a:t>
                </a:r>
              </a:p>
            </c:rich>
          </c:tx>
          <c:overlay val="0"/>
        </c:title>
        <c:numFmt formatCode="General" sourceLinked="1"/>
        <c:majorTickMark val="none"/>
        <c:minorTickMark val="none"/>
        <c:tickLblPos val="nextTo"/>
        <c:txPr>
          <a:bodyPr/>
          <a:lstStyle/>
          <a:p>
            <a:pPr>
              <a:defRPr lang="en-GB" sz="900"/>
            </a:pPr>
            <a:endParaRPr lang="en-US"/>
          </a:p>
        </c:txPr>
        <c:crossAx val="257180032"/>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cat>
            <c:strRef>
              <c:f>Sheet1!$Z$4:$Z$40</c:f>
              <c:strCache>
                <c:ptCount val="37"/>
                <c:pt idx="0">
                  <c:v>Wall &amp; Floor Tiling (C.III)-9</c:v>
                </c:pt>
                <c:pt idx="1">
                  <c:v>Refrigeration &amp; AC (C.III)-7</c:v>
                </c:pt>
                <c:pt idx="2">
                  <c:v>Fitting &amp; Machining (C.III)-10</c:v>
                </c:pt>
                <c:pt idx="3">
                  <c:v>Electrotechnology (C.III)-8</c:v>
                </c:pt>
                <c:pt idx="4">
                  <c:v>Hospi. (Patisserie - Bridging- CIII)-1</c:v>
                </c:pt>
                <c:pt idx="5">
                  <c:v>Engineering – Fabrication (C.III)-9</c:v>
                </c:pt>
                <c:pt idx="6">
                  <c:v>Light Vehicle Mechanical (C.III)-3</c:v>
                </c:pt>
                <c:pt idx="7">
                  <c:v>Hairdressing (C.III)-9</c:v>
                </c:pt>
                <c:pt idx="8">
                  <c:v>Hospitality (Patisserie) (C.III)-9</c:v>
                </c:pt>
                <c:pt idx="9">
                  <c:v>Plumbing (C.III)-7</c:v>
                </c:pt>
                <c:pt idx="10">
                  <c:v>Hospitality (Supervision) (C.III)-13</c:v>
                </c:pt>
                <c:pt idx="11">
                  <c:v>Carpentry (C.III)-12</c:v>
                </c:pt>
                <c:pt idx="12">
                  <c:v>Mechanical  (Diesel Fitter) (C.III)-9</c:v>
                </c:pt>
                <c:pt idx="13">
                  <c:v>Hospitality (Cookery) (C.III)-13</c:v>
                </c:pt>
                <c:pt idx="14">
                  <c:v>Automotive Mechanical (C.III)-9</c:v>
                </c:pt>
                <c:pt idx="15">
                  <c:v>Painting and Decorating (C.III)-8</c:v>
                </c:pt>
                <c:pt idx="16">
                  <c:v>Community Services (C.III)-1</c:v>
                </c:pt>
                <c:pt idx="17">
                  <c:v>Disability (C.III)-3</c:v>
                </c:pt>
                <c:pt idx="18">
                  <c:v>Disability (C.IV)-3</c:v>
                </c:pt>
                <c:pt idx="19">
                  <c:v>Hospitality (Lodge) (C.III)-2</c:v>
                </c:pt>
                <c:pt idx="20">
                  <c:v>Hospitality (C.III)-14</c:v>
                </c:pt>
                <c:pt idx="21">
                  <c:v>Allied Health (C. III)-1</c:v>
                </c:pt>
                <c:pt idx="22">
                  <c:v>Indigenous Housing Repairs (C.III)-1</c:v>
                </c:pt>
                <c:pt idx="23">
                  <c:v>STT-Training &amp; Assessment (C.IV)-12</c:v>
                </c:pt>
                <c:pt idx="24">
                  <c:v>Tourism (C.III)-13</c:v>
                </c:pt>
                <c:pt idx="25">
                  <c:v>SHCS-Training &amp; Assessment (C.IV)-11</c:v>
                </c:pt>
                <c:pt idx="26">
                  <c:v>Youth Work (C. IV)-4</c:v>
                </c:pt>
                <c:pt idx="27">
                  <c:v>Home Care/ Aged Care (C.III)-4</c:v>
                </c:pt>
                <c:pt idx="28">
                  <c:v>Management (Dipl.)-4</c:v>
                </c:pt>
                <c:pt idx="29">
                  <c:v>Community Development (C.IV)-1</c:v>
                </c:pt>
                <c:pt idx="30">
                  <c:v>Construction (C.II)-3</c:v>
                </c:pt>
                <c:pt idx="31">
                  <c:v>Community Services (Dipl.)-6</c:v>
                </c:pt>
                <c:pt idx="32">
                  <c:v>Children’s Services (C.III)-12</c:v>
                </c:pt>
                <c:pt idx="33">
                  <c:v>Children's Services (Dipl.)-6</c:v>
                </c:pt>
                <c:pt idx="34">
                  <c:v>Applied Fashion Design (C.III)-1</c:v>
                </c:pt>
                <c:pt idx="35">
                  <c:v>Auto Servicing (C. II)-2</c:v>
                </c:pt>
                <c:pt idx="36">
                  <c:v>Business (C. IV)-1</c:v>
                </c:pt>
              </c:strCache>
            </c:strRef>
          </c:cat>
          <c:val>
            <c:numRef>
              <c:f>Sheet1!$AA$4:$AA$40</c:f>
              <c:numCache>
                <c:formatCode>General</c:formatCode>
                <c:ptCount val="37"/>
                <c:pt idx="0">
                  <c:v>10.33333333333333</c:v>
                </c:pt>
                <c:pt idx="1">
                  <c:v>11.285714285714301</c:v>
                </c:pt>
                <c:pt idx="2">
                  <c:v>12.1</c:v>
                </c:pt>
                <c:pt idx="3">
                  <c:v>12.875</c:v>
                </c:pt>
                <c:pt idx="4">
                  <c:v>13</c:v>
                </c:pt>
                <c:pt idx="5">
                  <c:v>13</c:v>
                </c:pt>
                <c:pt idx="6">
                  <c:v>13.33333333333333</c:v>
                </c:pt>
                <c:pt idx="7">
                  <c:v>13.555555555555561</c:v>
                </c:pt>
                <c:pt idx="8">
                  <c:v>14</c:v>
                </c:pt>
                <c:pt idx="9">
                  <c:v>14</c:v>
                </c:pt>
                <c:pt idx="10">
                  <c:v>14.23076923076923</c:v>
                </c:pt>
                <c:pt idx="11">
                  <c:v>14.33333333333333</c:v>
                </c:pt>
                <c:pt idx="12">
                  <c:v>14.555555555555561</c:v>
                </c:pt>
                <c:pt idx="13">
                  <c:v>14.76923076923077</c:v>
                </c:pt>
                <c:pt idx="14">
                  <c:v>14.8888888888889</c:v>
                </c:pt>
                <c:pt idx="15">
                  <c:v>15.625</c:v>
                </c:pt>
                <c:pt idx="16">
                  <c:v>16</c:v>
                </c:pt>
                <c:pt idx="17">
                  <c:v>16</c:v>
                </c:pt>
                <c:pt idx="18">
                  <c:v>16</c:v>
                </c:pt>
                <c:pt idx="19">
                  <c:v>16.5</c:v>
                </c:pt>
                <c:pt idx="20">
                  <c:v>16.857142857142851</c:v>
                </c:pt>
                <c:pt idx="21">
                  <c:v>17</c:v>
                </c:pt>
                <c:pt idx="22">
                  <c:v>17</c:v>
                </c:pt>
                <c:pt idx="23">
                  <c:v>17.09090909090909</c:v>
                </c:pt>
                <c:pt idx="24">
                  <c:v>17.15384615384616</c:v>
                </c:pt>
                <c:pt idx="25">
                  <c:v>18</c:v>
                </c:pt>
                <c:pt idx="26">
                  <c:v>18.25</c:v>
                </c:pt>
                <c:pt idx="27">
                  <c:v>18.5</c:v>
                </c:pt>
                <c:pt idx="28">
                  <c:v>18.5</c:v>
                </c:pt>
                <c:pt idx="29">
                  <c:v>19</c:v>
                </c:pt>
                <c:pt idx="30">
                  <c:v>20.333333333333279</c:v>
                </c:pt>
                <c:pt idx="31">
                  <c:v>20.5</c:v>
                </c:pt>
                <c:pt idx="32">
                  <c:v>20.916666666666671</c:v>
                </c:pt>
                <c:pt idx="33">
                  <c:v>22.333333333333279</c:v>
                </c:pt>
                <c:pt idx="34">
                  <c:v>26</c:v>
                </c:pt>
                <c:pt idx="35">
                  <c:v>26.5</c:v>
                </c:pt>
                <c:pt idx="36">
                  <c:v>31</c:v>
                </c:pt>
              </c:numCache>
            </c:numRef>
          </c:val>
        </c:ser>
        <c:dLbls>
          <c:showLegendKey val="0"/>
          <c:showVal val="0"/>
          <c:showCatName val="0"/>
          <c:showSerName val="0"/>
          <c:showPercent val="0"/>
          <c:showBubbleSize val="0"/>
        </c:dLbls>
        <c:gapWidth val="150"/>
        <c:axId val="355489664"/>
        <c:axId val="355491200"/>
      </c:barChart>
      <c:catAx>
        <c:axId val="355489664"/>
        <c:scaling>
          <c:orientation val="minMax"/>
        </c:scaling>
        <c:delete val="0"/>
        <c:axPos val="l"/>
        <c:numFmt formatCode="General" sourceLinked="0"/>
        <c:majorTickMark val="out"/>
        <c:minorTickMark val="none"/>
        <c:tickLblPos val="nextTo"/>
        <c:txPr>
          <a:bodyPr/>
          <a:lstStyle/>
          <a:p>
            <a:pPr>
              <a:defRPr lang="en-GB" sz="900"/>
            </a:pPr>
            <a:endParaRPr lang="en-US"/>
          </a:p>
        </c:txPr>
        <c:crossAx val="355491200"/>
        <c:crosses val="autoZero"/>
        <c:auto val="1"/>
        <c:lblAlgn val="ctr"/>
        <c:lblOffset val="100"/>
        <c:noMultiLvlLbl val="0"/>
      </c:catAx>
      <c:valAx>
        <c:axId val="355491200"/>
        <c:scaling>
          <c:orientation val="minMax"/>
        </c:scaling>
        <c:delete val="0"/>
        <c:axPos val="b"/>
        <c:majorGridlines/>
        <c:numFmt formatCode="General" sourceLinked="1"/>
        <c:majorTickMark val="out"/>
        <c:minorTickMark val="none"/>
        <c:tickLblPos val="nextTo"/>
        <c:txPr>
          <a:bodyPr/>
          <a:lstStyle/>
          <a:p>
            <a:pPr>
              <a:defRPr lang="en-GB" sz="900"/>
            </a:pPr>
            <a:endParaRPr lang="en-US"/>
          </a:p>
        </c:txPr>
        <c:crossAx val="355489664"/>
        <c:crosses val="autoZero"/>
        <c:crossBetween val="between"/>
      </c:valAx>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Sheet3!$M$2</c:f>
              <c:strCache>
                <c:ptCount val="1"/>
                <c:pt idx="0">
                  <c:v>Academic</c:v>
                </c:pt>
              </c:strCache>
            </c:strRef>
          </c:tx>
          <c:invertIfNegative val="0"/>
          <c:cat>
            <c:strRef>
              <c:f>Sheet3!$L$3:$L$12</c:f>
              <c:strCache>
                <c:ptCount val="10"/>
                <c:pt idx="0">
                  <c:v>OTHER (NCC)</c:v>
                </c:pt>
                <c:pt idx="1">
                  <c:v>PALAU</c:v>
                </c:pt>
                <c:pt idx="2">
                  <c:v>TONGA</c:v>
                </c:pt>
                <c:pt idx="3">
                  <c:v>SOLOMON ISLANDS</c:v>
                </c:pt>
                <c:pt idx="4">
                  <c:v>AUSTRALIA</c:v>
                </c:pt>
                <c:pt idx="5">
                  <c:v>VANUATU</c:v>
                </c:pt>
                <c:pt idx="6">
                  <c:v>SAMOA</c:v>
                </c:pt>
                <c:pt idx="7">
                  <c:v>PNG</c:v>
                </c:pt>
                <c:pt idx="8">
                  <c:v>Corporate HQ</c:v>
                </c:pt>
                <c:pt idx="9">
                  <c:v>Fiji</c:v>
                </c:pt>
              </c:strCache>
            </c:strRef>
          </c:cat>
          <c:val>
            <c:numRef>
              <c:f>Sheet3!$M$3:$M$12</c:f>
              <c:numCache>
                <c:formatCode>General</c:formatCode>
                <c:ptCount val="10"/>
                <c:pt idx="0">
                  <c:v>0</c:v>
                </c:pt>
                <c:pt idx="1">
                  <c:v>1</c:v>
                </c:pt>
                <c:pt idx="2">
                  <c:v>2</c:v>
                </c:pt>
                <c:pt idx="3">
                  <c:v>3</c:v>
                </c:pt>
                <c:pt idx="4">
                  <c:v>2</c:v>
                </c:pt>
                <c:pt idx="5">
                  <c:v>11</c:v>
                </c:pt>
                <c:pt idx="6">
                  <c:v>19</c:v>
                </c:pt>
                <c:pt idx="7">
                  <c:v>21</c:v>
                </c:pt>
                <c:pt idx="9">
                  <c:v>38</c:v>
                </c:pt>
              </c:numCache>
            </c:numRef>
          </c:val>
        </c:ser>
        <c:ser>
          <c:idx val="1"/>
          <c:order val="1"/>
          <c:tx>
            <c:strRef>
              <c:f>Sheet3!$N$2</c:f>
              <c:strCache>
                <c:ptCount val="1"/>
                <c:pt idx="0">
                  <c:v>Admin/Mgt</c:v>
                </c:pt>
              </c:strCache>
            </c:strRef>
          </c:tx>
          <c:invertIfNegative val="0"/>
          <c:cat>
            <c:strRef>
              <c:f>Sheet3!$L$3:$L$12</c:f>
              <c:strCache>
                <c:ptCount val="10"/>
                <c:pt idx="0">
                  <c:v>OTHER (NCC)</c:v>
                </c:pt>
                <c:pt idx="1">
                  <c:v>PALAU</c:v>
                </c:pt>
                <c:pt idx="2">
                  <c:v>TONGA</c:v>
                </c:pt>
                <c:pt idx="3">
                  <c:v>SOLOMON ISLANDS</c:v>
                </c:pt>
                <c:pt idx="4">
                  <c:v>AUSTRALIA</c:v>
                </c:pt>
                <c:pt idx="5">
                  <c:v>VANUATU</c:v>
                </c:pt>
                <c:pt idx="6">
                  <c:v>SAMOA</c:v>
                </c:pt>
                <c:pt idx="7">
                  <c:v>PNG</c:v>
                </c:pt>
                <c:pt idx="8">
                  <c:v>Corporate HQ</c:v>
                </c:pt>
                <c:pt idx="9">
                  <c:v>Fiji</c:v>
                </c:pt>
              </c:strCache>
            </c:strRef>
          </c:cat>
          <c:val>
            <c:numRef>
              <c:f>Sheet3!$N$3:$N$12</c:f>
              <c:numCache>
                <c:formatCode>General</c:formatCode>
                <c:ptCount val="10"/>
                <c:pt idx="0">
                  <c:v>1</c:v>
                </c:pt>
                <c:pt idx="1">
                  <c:v>0</c:v>
                </c:pt>
                <c:pt idx="2">
                  <c:v>0</c:v>
                </c:pt>
                <c:pt idx="3">
                  <c:v>2</c:v>
                </c:pt>
                <c:pt idx="4">
                  <c:v>11</c:v>
                </c:pt>
                <c:pt idx="5">
                  <c:v>6</c:v>
                </c:pt>
                <c:pt idx="6">
                  <c:v>9</c:v>
                </c:pt>
                <c:pt idx="7">
                  <c:v>10</c:v>
                </c:pt>
                <c:pt idx="8">
                  <c:v>32</c:v>
                </c:pt>
                <c:pt idx="9">
                  <c:v>19</c:v>
                </c:pt>
              </c:numCache>
            </c:numRef>
          </c:val>
        </c:ser>
        <c:dLbls>
          <c:showLegendKey val="0"/>
          <c:showVal val="0"/>
          <c:showCatName val="0"/>
          <c:showSerName val="0"/>
          <c:showPercent val="0"/>
          <c:showBubbleSize val="0"/>
        </c:dLbls>
        <c:gapWidth val="55"/>
        <c:overlap val="100"/>
        <c:axId val="355519872"/>
        <c:axId val="355546240"/>
      </c:barChart>
      <c:catAx>
        <c:axId val="355519872"/>
        <c:scaling>
          <c:orientation val="minMax"/>
        </c:scaling>
        <c:delete val="0"/>
        <c:axPos val="l"/>
        <c:numFmt formatCode="General" sourceLinked="0"/>
        <c:majorTickMark val="none"/>
        <c:minorTickMark val="none"/>
        <c:tickLblPos val="nextTo"/>
        <c:txPr>
          <a:bodyPr/>
          <a:lstStyle/>
          <a:p>
            <a:pPr>
              <a:defRPr lang="en-GB" sz="900"/>
            </a:pPr>
            <a:endParaRPr lang="en-US"/>
          </a:p>
        </c:txPr>
        <c:crossAx val="355546240"/>
        <c:crosses val="autoZero"/>
        <c:auto val="1"/>
        <c:lblAlgn val="ctr"/>
        <c:lblOffset val="100"/>
        <c:noMultiLvlLbl val="0"/>
      </c:catAx>
      <c:valAx>
        <c:axId val="355546240"/>
        <c:scaling>
          <c:orientation val="minMax"/>
        </c:scaling>
        <c:delete val="0"/>
        <c:axPos val="b"/>
        <c:majorGridlines/>
        <c:numFmt formatCode="General" sourceLinked="1"/>
        <c:majorTickMark val="none"/>
        <c:minorTickMark val="none"/>
        <c:tickLblPos val="nextTo"/>
        <c:txPr>
          <a:bodyPr/>
          <a:lstStyle/>
          <a:p>
            <a:pPr>
              <a:defRPr lang="en-GB" sz="900"/>
            </a:pPr>
            <a:endParaRPr lang="en-US"/>
          </a:p>
        </c:txPr>
        <c:crossAx val="355519872"/>
        <c:crosses val="autoZero"/>
        <c:crossBetween val="between"/>
      </c:valAx>
    </c:plotArea>
    <c:legend>
      <c:legendPos val="t"/>
      <c:overlay val="0"/>
      <c:txPr>
        <a:bodyPr/>
        <a:lstStyle/>
        <a:p>
          <a:pPr>
            <a:defRPr lang="en-GB" sz="900"/>
          </a:pPr>
          <a:endParaRPr lang="en-US"/>
        </a:p>
      </c:txPr>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'Non-tchg staff'!$B$5</c:f>
              <c:strCache>
                <c:ptCount val="1"/>
                <c:pt idx="0">
                  <c:v>Trainers + tutors</c:v>
                </c:pt>
              </c:strCache>
            </c:strRef>
          </c:tx>
          <c:marker>
            <c:symbol val="none"/>
          </c:marker>
          <c:cat>
            <c:multiLvlStrRef>
              <c:f>'Non-tchg staff'!$C$2:$Q$4</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'Non-tchg staff'!$C$5:$Q$5</c:f>
              <c:numCache>
                <c:formatCode>General</c:formatCode>
                <c:ptCount val="15"/>
                <c:pt idx="0">
                  <c:v>14</c:v>
                </c:pt>
                <c:pt idx="1">
                  <c:v>25</c:v>
                </c:pt>
                <c:pt idx="2">
                  <c:v>37</c:v>
                </c:pt>
                <c:pt idx="3">
                  <c:v>56</c:v>
                </c:pt>
                <c:pt idx="4">
                  <c:v>62</c:v>
                </c:pt>
                <c:pt idx="5">
                  <c:v>65</c:v>
                </c:pt>
                <c:pt idx="6">
                  <c:v>68</c:v>
                </c:pt>
                <c:pt idx="7">
                  <c:v>58</c:v>
                </c:pt>
                <c:pt idx="8">
                  <c:v>53</c:v>
                </c:pt>
                <c:pt idx="9">
                  <c:v>48</c:v>
                </c:pt>
                <c:pt idx="10">
                  <c:v>71</c:v>
                </c:pt>
                <c:pt idx="11">
                  <c:v>78</c:v>
                </c:pt>
                <c:pt idx="12">
                  <c:v>103</c:v>
                </c:pt>
                <c:pt idx="13">
                  <c:v>94</c:v>
                </c:pt>
                <c:pt idx="14">
                  <c:v>76</c:v>
                </c:pt>
              </c:numCache>
            </c:numRef>
          </c:val>
          <c:smooth val="0"/>
        </c:ser>
        <c:ser>
          <c:idx val="1"/>
          <c:order val="1"/>
          <c:tx>
            <c:strRef>
              <c:f>'Non-tchg staff'!$B$6</c:f>
              <c:strCache>
                <c:ptCount val="1"/>
                <c:pt idx="0">
                  <c:v>Non-teaching staff</c:v>
                </c:pt>
              </c:strCache>
            </c:strRef>
          </c:tx>
          <c:marker>
            <c:symbol val="none"/>
          </c:marker>
          <c:cat>
            <c:multiLvlStrRef>
              <c:f>'Non-tchg staff'!$C$2:$Q$4</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'Non-tchg staff'!$C$6:$Q$6</c:f>
              <c:numCache>
                <c:formatCode>General</c:formatCode>
                <c:ptCount val="15"/>
                <c:pt idx="0">
                  <c:v>29</c:v>
                </c:pt>
                <c:pt idx="1">
                  <c:v>45</c:v>
                </c:pt>
                <c:pt idx="2">
                  <c:v>49</c:v>
                </c:pt>
                <c:pt idx="3">
                  <c:v>41</c:v>
                </c:pt>
                <c:pt idx="4">
                  <c:v>46</c:v>
                </c:pt>
                <c:pt idx="5">
                  <c:v>47</c:v>
                </c:pt>
                <c:pt idx="6">
                  <c:v>47</c:v>
                </c:pt>
                <c:pt idx="7">
                  <c:v>47</c:v>
                </c:pt>
                <c:pt idx="8">
                  <c:v>66</c:v>
                </c:pt>
                <c:pt idx="9">
                  <c:v>72</c:v>
                </c:pt>
                <c:pt idx="10">
                  <c:v>71</c:v>
                </c:pt>
                <c:pt idx="11">
                  <c:v>78</c:v>
                </c:pt>
                <c:pt idx="12">
                  <c:v>88</c:v>
                </c:pt>
                <c:pt idx="13">
                  <c:v>93</c:v>
                </c:pt>
                <c:pt idx="14">
                  <c:v>97</c:v>
                </c:pt>
              </c:numCache>
            </c:numRef>
          </c:val>
          <c:smooth val="0"/>
        </c:ser>
        <c:dLbls>
          <c:showLegendKey val="0"/>
          <c:showVal val="0"/>
          <c:showCatName val="0"/>
          <c:showSerName val="0"/>
          <c:showPercent val="0"/>
          <c:showBubbleSize val="0"/>
        </c:dLbls>
        <c:marker val="1"/>
        <c:smooth val="0"/>
        <c:axId val="355583872"/>
        <c:axId val="355585408"/>
      </c:lineChart>
      <c:catAx>
        <c:axId val="355583872"/>
        <c:scaling>
          <c:orientation val="minMax"/>
        </c:scaling>
        <c:delete val="0"/>
        <c:axPos val="b"/>
        <c:numFmt formatCode="General" sourceLinked="0"/>
        <c:majorTickMark val="out"/>
        <c:minorTickMark val="none"/>
        <c:tickLblPos val="nextTo"/>
        <c:txPr>
          <a:bodyPr/>
          <a:lstStyle/>
          <a:p>
            <a:pPr>
              <a:defRPr lang="en-GB" sz="800" b="1"/>
            </a:pPr>
            <a:endParaRPr lang="en-US"/>
          </a:p>
        </c:txPr>
        <c:crossAx val="355585408"/>
        <c:crosses val="autoZero"/>
        <c:auto val="1"/>
        <c:lblAlgn val="ctr"/>
        <c:lblOffset val="100"/>
        <c:noMultiLvlLbl val="0"/>
      </c:catAx>
      <c:valAx>
        <c:axId val="355585408"/>
        <c:scaling>
          <c:orientation val="minMax"/>
        </c:scaling>
        <c:delete val="0"/>
        <c:axPos val="l"/>
        <c:majorGridlines/>
        <c:numFmt formatCode="General" sourceLinked="1"/>
        <c:majorTickMark val="out"/>
        <c:minorTickMark val="none"/>
        <c:tickLblPos val="nextTo"/>
        <c:txPr>
          <a:bodyPr/>
          <a:lstStyle/>
          <a:p>
            <a:pPr>
              <a:defRPr lang="en-GB" sz="900"/>
            </a:pPr>
            <a:endParaRPr lang="en-US"/>
          </a:p>
        </c:txPr>
        <c:crossAx val="355583872"/>
        <c:crosses val="autoZero"/>
        <c:crossBetween val="between"/>
      </c:valAx>
    </c:plotArea>
    <c:legend>
      <c:legendPos val="r"/>
      <c:overlay val="0"/>
      <c:txPr>
        <a:bodyPr/>
        <a:lstStyle/>
        <a:p>
          <a:pPr>
            <a:defRPr lang="en-GB" sz="900"/>
          </a:pPr>
          <a:endParaRPr lang="en-US"/>
        </a:p>
      </c:txPr>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'Non-tchg staff'!$B$15</c:f>
              <c:strCache>
                <c:ptCount val="1"/>
                <c:pt idx="0">
                  <c:v>% teaching staff</c:v>
                </c:pt>
              </c:strCache>
            </c:strRef>
          </c:tx>
          <c:cat>
            <c:multiLvlStrRef>
              <c:f>'Non-tchg staff'!$C$12:$Q$14</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'Non-tchg staff'!$C$15:$Q$15</c:f>
              <c:numCache>
                <c:formatCode>0%</c:formatCode>
                <c:ptCount val="15"/>
                <c:pt idx="0">
                  <c:v>0.32558139534883701</c:v>
                </c:pt>
                <c:pt idx="1">
                  <c:v>0.35714285714285698</c:v>
                </c:pt>
                <c:pt idx="2">
                  <c:v>0.43023255813953498</c:v>
                </c:pt>
                <c:pt idx="3">
                  <c:v>0.57731958762886604</c:v>
                </c:pt>
                <c:pt idx="4">
                  <c:v>0.57407407407407396</c:v>
                </c:pt>
                <c:pt idx="5">
                  <c:v>0.58035714285714302</c:v>
                </c:pt>
                <c:pt idx="6">
                  <c:v>0.59130434782608698</c:v>
                </c:pt>
                <c:pt idx="7">
                  <c:v>0.55238095238095197</c:v>
                </c:pt>
                <c:pt idx="8">
                  <c:v>0.44537815126050401</c:v>
                </c:pt>
                <c:pt idx="9">
                  <c:v>0.4</c:v>
                </c:pt>
                <c:pt idx="10">
                  <c:v>0.5</c:v>
                </c:pt>
                <c:pt idx="11">
                  <c:v>0.5</c:v>
                </c:pt>
                <c:pt idx="12">
                  <c:v>0.53926701570680602</c:v>
                </c:pt>
                <c:pt idx="13">
                  <c:v>0.50267379679144397</c:v>
                </c:pt>
                <c:pt idx="14">
                  <c:v>0.439306358381503</c:v>
                </c:pt>
              </c:numCache>
            </c:numRef>
          </c:val>
          <c:smooth val="0"/>
        </c:ser>
        <c:dLbls>
          <c:showLegendKey val="0"/>
          <c:showVal val="0"/>
          <c:showCatName val="0"/>
          <c:showSerName val="0"/>
          <c:showPercent val="0"/>
          <c:showBubbleSize val="0"/>
        </c:dLbls>
        <c:marker val="1"/>
        <c:smooth val="0"/>
        <c:axId val="357960320"/>
        <c:axId val="357966208"/>
      </c:lineChart>
      <c:catAx>
        <c:axId val="357960320"/>
        <c:scaling>
          <c:orientation val="minMax"/>
        </c:scaling>
        <c:delete val="0"/>
        <c:axPos val="b"/>
        <c:numFmt formatCode="General" sourceLinked="0"/>
        <c:majorTickMark val="out"/>
        <c:minorTickMark val="none"/>
        <c:tickLblPos val="nextTo"/>
        <c:txPr>
          <a:bodyPr/>
          <a:lstStyle/>
          <a:p>
            <a:pPr>
              <a:defRPr lang="en-GB" sz="800" b="1"/>
            </a:pPr>
            <a:endParaRPr lang="en-US"/>
          </a:p>
        </c:txPr>
        <c:crossAx val="357966208"/>
        <c:crosses val="autoZero"/>
        <c:auto val="1"/>
        <c:lblAlgn val="ctr"/>
        <c:lblOffset val="100"/>
        <c:noMultiLvlLbl val="0"/>
      </c:catAx>
      <c:valAx>
        <c:axId val="357966208"/>
        <c:scaling>
          <c:orientation val="minMax"/>
        </c:scaling>
        <c:delete val="0"/>
        <c:axPos val="l"/>
        <c:majorGridlines/>
        <c:numFmt formatCode="0%" sourceLinked="1"/>
        <c:majorTickMark val="out"/>
        <c:minorTickMark val="none"/>
        <c:tickLblPos val="nextTo"/>
        <c:txPr>
          <a:bodyPr/>
          <a:lstStyle/>
          <a:p>
            <a:pPr>
              <a:defRPr lang="en-GB" sz="900"/>
            </a:pPr>
            <a:endParaRPr lang="en-US"/>
          </a:p>
        </c:txPr>
        <c:crossAx val="357960320"/>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mgt staff'!$A$5</c:f>
              <c:strCache>
                <c:ptCount val="1"/>
                <c:pt idx="0">
                  <c:v>Managers</c:v>
                </c:pt>
              </c:strCache>
            </c:strRef>
          </c:tx>
          <c:invertIfNegative val="0"/>
          <c:cat>
            <c:multiLvlStrRef>
              <c:f>'% mgt staff'!$B$2:$P$4</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 mgt staff'!$B$5:$P$5</c:f>
              <c:numCache>
                <c:formatCode>General</c:formatCode>
                <c:ptCount val="15"/>
                <c:pt idx="0">
                  <c:v>10</c:v>
                </c:pt>
                <c:pt idx="1">
                  <c:v>12</c:v>
                </c:pt>
                <c:pt idx="2">
                  <c:v>14</c:v>
                </c:pt>
                <c:pt idx="3">
                  <c:v>11</c:v>
                </c:pt>
                <c:pt idx="4">
                  <c:v>15</c:v>
                </c:pt>
                <c:pt idx="5">
                  <c:v>14</c:v>
                </c:pt>
                <c:pt idx="6">
                  <c:v>12</c:v>
                </c:pt>
                <c:pt idx="7">
                  <c:v>10</c:v>
                </c:pt>
                <c:pt idx="8">
                  <c:v>13</c:v>
                </c:pt>
                <c:pt idx="9">
                  <c:v>13</c:v>
                </c:pt>
                <c:pt idx="10">
                  <c:v>15</c:v>
                </c:pt>
                <c:pt idx="11">
                  <c:v>14</c:v>
                </c:pt>
                <c:pt idx="12">
                  <c:v>16</c:v>
                </c:pt>
                <c:pt idx="13">
                  <c:v>15</c:v>
                </c:pt>
                <c:pt idx="14">
                  <c:v>12</c:v>
                </c:pt>
              </c:numCache>
            </c:numRef>
          </c:val>
        </c:ser>
        <c:ser>
          <c:idx val="1"/>
          <c:order val="1"/>
          <c:tx>
            <c:strRef>
              <c:f>'% mgt staff'!$A$6</c:f>
              <c:strCache>
                <c:ptCount val="1"/>
                <c:pt idx="0">
                  <c:v>Non-management</c:v>
                </c:pt>
              </c:strCache>
            </c:strRef>
          </c:tx>
          <c:invertIfNegative val="0"/>
          <c:cat>
            <c:multiLvlStrRef>
              <c:f>'% mgt staff'!$B$2:$P$4</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 mgt staff'!$B$6:$P$6</c:f>
              <c:numCache>
                <c:formatCode>General</c:formatCode>
                <c:ptCount val="15"/>
                <c:pt idx="0">
                  <c:v>19</c:v>
                </c:pt>
                <c:pt idx="1">
                  <c:v>33</c:v>
                </c:pt>
                <c:pt idx="2">
                  <c:v>35</c:v>
                </c:pt>
                <c:pt idx="3">
                  <c:v>30</c:v>
                </c:pt>
                <c:pt idx="4">
                  <c:v>31</c:v>
                </c:pt>
                <c:pt idx="5">
                  <c:v>33</c:v>
                </c:pt>
                <c:pt idx="6">
                  <c:v>35</c:v>
                </c:pt>
                <c:pt idx="7">
                  <c:v>37</c:v>
                </c:pt>
                <c:pt idx="8">
                  <c:v>53</c:v>
                </c:pt>
                <c:pt idx="9">
                  <c:v>59</c:v>
                </c:pt>
                <c:pt idx="10">
                  <c:v>56</c:v>
                </c:pt>
                <c:pt idx="11">
                  <c:v>64</c:v>
                </c:pt>
                <c:pt idx="12">
                  <c:v>71</c:v>
                </c:pt>
                <c:pt idx="13">
                  <c:v>78</c:v>
                </c:pt>
                <c:pt idx="14">
                  <c:v>85</c:v>
                </c:pt>
              </c:numCache>
            </c:numRef>
          </c:val>
        </c:ser>
        <c:dLbls>
          <c:showLegendKey val="0"/>
          <c:showVal val="0"/>
          <c:showCatName val="0"/>
          <c:showSerName val="0"/>
          <c:showPercent val="0"/>
          <c:showBubbleSize val="0"/>
        </c:dLbls>
        <c:gapWidth val="150"/>
        <c:axId val="357991168"/>
        <c:axId val="357992704"/>
      </c:barChart>
      <c:catAx>
        <c:axId val="357991168"/>
        <c:scaling>
          <c:orientation val="minMax"/>
        </c:scaling>
        <c:delete val="0"/>
        <c:axPos val="b"/>
        <c:numFmt formatCode="General" sourceLinked="0"/>
        <c:majorTickMark val="out"/>
        <c:minorTickMark val="none"/>
        <c:tickLblPos val="nextTo"/>
        <c:txPr>
          <a:bodyPr/>
          <a:lstStyle/>
          <a:p>
            <a:pPr>
              <a:defRPr lang="en-GB" sz="800" b="1"/>
            </a:pPr>
            <a:endParaRPr lang="en-US"/>
          </a:p>
        </c:txPr>
        <c:crossAx val="357992704"/>
        <c:crosses val="autoZero"/>
        <c:auto val="1"/>
        <c:lblAlgn val="ctr"/>
        <c:lblOffset val="100"/>
        <c:noMultiLvlLbl val="0"/>
      </c:catAx>
      <c:valAx>
        <c:axId val="357992704"/>
        <c:scaling>
          <c:orientation val="minMax"/>
        </c:scaling>
        <c:delete val="0"/>
        <c:axPos val="l"/>
        <c:majorGridlines/>
        <c:numFmt formatCode="General" sourceLinked="1"/>
        <c:majorTickMark val="out"/>
        <c:minorTickMark val="none"/>
        <c:tickLblPos val="nextTo"/>
        <c:txPr>
          <a:bodyPr/>
          <a:lstStyle/>
          <a:p>
            <a:pPr>
              <a:defRPr lang="en-GB" sz="900"/>
            </a:pPr>
            <a:endParaRPr lang="en-US"/>
          </a:p>
        </c:txPr>
        <c:crossAx val="357991168"/>
        <c:crosses val="autoZero"/>
        <c:crossBetween val="between"/>
      </c:valAx>
    </c:plotArea>
    <c:legend>
      <c:legendPos val="r"/>
      <c:overlay val="0"/>
      <c:txPr>
        <a:bodyPr/>
        <a:lstStyle/>
        <a:p>
          <a:pPr>
            <a:defRPr lang="en-GB" sz="900"/>
          </a:pPr>
          <a:endParaRPr lang="en-US"/>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mgt staff'!$A$11</c:f>
              <c:strCache>
                <c:ptCount val="1"/>
                <c:pt idx="0">
                  <c:v>% management</c:v>
                </c:pt>
              </c:strCache>
            </c:strRef>
          </c:tx>
          <c:cat>
            <c:multiLvlStrRef>
              <c:f>'% mgt staff'!$B$8:$P$10</c:f>
              <c:multiLvlStrCache>
                <c:ptCount val="15"/>
                <c:lvl>
                  <c:pt idx="0">
                    <c:v>Jul-Dec</c:v>
                  </c:pt>
                  <c:pt idx="1">
                    <c:v>Jan-Jun</c:v>
                  </c:pt>
                  <c:pt idx="2">
                    <c:v>Jul-Dec</c:v>
                  </c:pt>
                  <c:pt idx="3">
                    <c:v>Jan-Jun</c:v>
                  </c:pt>
                  <c:pt idx="4">
                    <c:v>Jul-Dec</c:v>
                  </c:pt>
                  <c:pt idx="5">
                    <c:v>Jan-Jun</c:v>
                  </c:pt>
                  <c:pt idx="6">
                    <c:v>Jul-Dec</c:v>
                  </c:pt>
                  <c:pt idx="7">
                    <c:v>Jan-Jun</c:v>
                  </c:pt>
                  <c:pt idx="8">
                    <c:v>Jul-Dec</c:v>
                  </c:pt>
                  <c:pt idx="9">
                    <c:v>Jan-Jun</c:v>
                  </c:pt>
                  <c:pt idx="10">
                    <c:v>Jul-Dec</c:v>
                  </c:pt>
                  <c:pt idx="11">
                    <c:v>Jan-Jun</c:v>
                  </c:pt>
                  <c:pt idx="12">
                    <c:v>Jul-Dec</c:v>
                  </c:pt>
                  <c:pt idx="13">
                    <c:v>Jan-Jun</c:v>
                  </c:pt>
                  <c:pt idx="14">
                    <c:v>Jul-Dec (?)</c:v>
                  </c:pt>
                </c:lvl>
                <c:lvl>
                  <c:pt idx="0">
                    <c:v>2007</c:v>
                  </c:pt>
                  <c:pt idx="1">
                    <c:v>2008</c:v>
                  </c:pt>
                  <c:pt idx="3">
                    <c:v>2009</c:v>
                  </c:pt>
                  <c:pt idx="5">
                    <c:v>2010</c:v>
                  </c:pt>
                  <c:pt idx="7">
                    <c:v>20</c:v>
                  </c:pt>
                  <c:pt idx="8">
                    <c:v>11</c:v>
                  </c:pt>
                  <c:pt idx="9">
                    <c:v>2012</c:v>
                  </c:pt>
                  <c:pt idx="11">
                    <c:v>2013</c:v>
                  </c:pt>
                  <c:pt idx="13">
                    <c:v>2014</c:v>
                  </c:pt>
                </c:lvl>
                <c:lvl>
                  <c:pt idx="0">
                    <c:v>Stage 1            </c:v>
                  </c:pt>
                  <c:pt idx="8">
                    <c:v>Stage 2</c:v>
                  </c:pt>
                </c:lvl>
              </c:multiLvlStrCache>
            </c:multiLvlStrRef>
          </c:cat>
          <c:val>
            <c:numRef>
              <c:f>'% mgt staff'!$B$11:$P$11</c:f>
              <c:numCache>
                <c:formatCode>0%</c:formatCode>
                <c:ptCount val="15"/>
                <c:pt idx="0">
                  <c:v>0.34482758620689702</c:v>
                </c:pt>
                <c:pt idx="1">
                  <c:v>0.266666666666667</c:v>
                </c:pt>
                <c:pt idx="2">
                  <c:v>0.28571428571428598</c:v>
                </c:pt>
                <c:pt idx="3">
                  <c:v>0.26829268292682901</c:v>
                </c:pt>
                <c:pt idx="4">
                  <c:v>0.32608695652173902</c:v>
                </c:pt>
                <c:pt idx="5">
                  <c:v>0.29787234042553201</c:v>
                </c:pt>
                <c:pt idx="6">
                  <c:v>0.25531914893617003</c:v>
                </c:pt>
                <c:pt idx="7">
                  <c:v>0.21276595744680901</c:v>
                </c:pt>
                <c:pt idx="8">
                  <c:v>0.19696969696969699</c:v>
                </c:pt>
                <c:pt idx="9">
                  <c:v>0.180555555555556</c:v>
                </c:pt>
                <c:pt idx="10">
                  <c:v>0.21126760563380301</c:v>
                </c:pt>
                <c:pt idx="11">
                  <c:v>0.17948717948717999</c:v>
                </c:pt>
                <c:pt idx="12">
                  <c:v>0.18390804597701099</c:v>
                </c:pt>
                <c:pt idx="13">
                  <c:v>0.16129032258064499</c:v>
                </c:pt>
                <c:pt idx="14">
                  <c:v>0.123711340206186</c:v>
                </c:pt>
              </c:numCache>
            </c:numRef>
          </c:val>
          <c:smooth val="0"/>
        </c:ser>
        <c:dLbls>
          <c:showLegendKey val="0"/>
          <c:showVal val="0"/>
          <c:showCatName val="0"/>
          <c:showSerName val="0"/>
          <c:showPercent val="0"/>
          <c:showBubbleSize val="0"/>
        </c:dLbls>
        <c:marker val="1"/>
        <c:smooth val="0"/>
        <c:axId val="358016512"/>
        <c:axId val="358018048"/>
      </c:lineChart>
      <c:catAx>
        <c:axId val="358016512"/>
        <c:scaling>
          <c:orientation val="minMax"/>
        </c:scaling>
        <c:delete val="0"/>
        <c:axPos val="b"/>
        <c:numFmt formatCode="General" sourceLinked="0"/>
        <c:majorTickMark val="out"/>
        <c:minorTickMark val="none"/>
        <c:tickLblPos val="nextTo"/>
        <c:crossAx val="358018048"/>
        <c:crosses val="autoZero"/>
        <c:auto val="1"/>
        <c:lblAlgn val="ctr"/>
        <c:lblOffset val="100"/>
        <c:noMultiLvlLbl val="0"/>
      </c:catAx>
      <c:valAx>
        <c:axId val="358018048"/>
        <c:scaling>
          <c:orientation val="minMax"/>
        </c:scaling>
        <c:delete val="0"/>
        <c:axPos val="l"/>
        <c:majorGridlines/>
        <c:numFmt formatCode="0%" sourceLinked="1"/>
        <c:majorTickMark val="out"/>
        <c:minorTickMark val="none"/>
        <c:tickLblPos val="nextTo"/>
        <c:txPr>
          <a:bodyPr/>
          <a:lstStyle/>
          <a:p>
            <a:pPr>
              <a:defRPr sz="900" b="0"/>
            </a:pPr>
            <a:endParaRPr lang="en-US"/>
          </a:p>
        </c:txPr>
        <c:crossAx val="358016512"/>
        <c:crosses val="autoZero"/>
        <c:crossBetween val="between"/>
      </c:valAx>
    </c:plotArea>
    <c:plotVisOnly val="1"/>
    <c:dispBlanksAs val="gap"/>
    <c:showDLblsOverMax val="0"/>
  </c:chart>
  <c:txPr>
    <a:bodyPr/>
    <a:lstStyle/>
    <a:p>
      <a:pPr>
        <a:defRPr sz="800" b="1"/>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a:pPr>
            <a:r>
              <a:rPr lang="en-GB" sz="1200"/>
              <a:t>Student intake ratios</a:t>
            </a:r>
            <a:r>
              <a:rPr lang="en-GB" sz="1200" baseline="0"/>
              <a:t> by stage </a:t>
            </a:r>
            <a:endParaRPr lang="en-GB" sz="1200"/>
          </a:p>
        </c:rich>
      </c:tx>
      <c:overlay val="0"/>
    </c:title>
    <c:autoTitleDeleted val="0"/>
    <c:plotArea>
      <c:layout/>
      <c:barChart>
        <c:barDir val="col"/>
        <c:grouping val="clustered"/>
        <c:varyColors val="0"/>
        <c:ser>
          <c:idx val="0"/>
          <c:order val="0"/>
          <c:tx>
            <c:strRef>
              <c:f>'Applicants &amp; scholarships'!$B$38</c:f>
              <c:strCache>
                <c:ptCount val="1"/>
                <c:pt idx="0">
                  <c:v>Stage 1</c:v>
                </c:pt>
              </c:strCache>
            </c:strRef>
          </c:tx>
          <c:invertIfNegative val="0"/>
          <c:cat>
            <c:strRef>
              <c:f>'Applicants &amp; scholarships'!$A$39:$A$41</c:f>
              <c:strCache>
                <c:ptCount val="3"/>
                <c:pt idx="0">
                  <c:v>% of applicants declared eligible for admission</c:v>
                </c:pt>
                <c:pt idx="1">
                  <c:v>Awards as % of scholarship applicants</c:v>
                </c:pt>
                <c:pt idx="2">
                  <c:v>Scholarship uptake as % of awards</c:v>
                </c:pt>
              </c:strCache>
            </c:strRef>
          </c:cat>
          <c:val>
            <c:numRef>
              <c:f>'Applicants &amp; scholarships'!$B$39:$B$41</c:f>
              <c:numCache>
                <c:formatCode>0%</c:formatCode>
                <c:ptCount val="3"/>
                <c:pt idx="0">
                  <c:v>0.56000000000000005</c:v>
                </c:pt>
                <c:pt idx="1">
                  <c:v>0.50837320574162703</c:v>
                </c:pt>
                <c:pt idx="2">
                  <c:v>0.90930481283422504</c:v>
                </c:pt>
              </c:numCache>
            </c:numRef>
          </c:val>
        </c:ser>
        <c:ser>
          <c:idx val="1"/>
          <c:order val="1"/>
          <c:tx>
            <c:strRef>
              <c:f>'Applicants &amp; scholarships'!$C$38</c:f>
              <c:strCache>
                <c:ptCount val="1"/>
                <c:pt idx="0">
                  <c:v>Stage 2</c:v>
                </c:pt>
              </c:strCache>
            </c:strRef>
          </c:tx>
          <c:invertIfNegative val="0"/>
          <c:cat>
            <c:strRef>
              <c:f>'Applicants &amp; scholarships'!$A$39:$A$41</c:f>
              <c:strCache>
                <c:ptCount val="3"/>
                <c:pt idx="0">
                  <c:v>% of applicants declared eligible for admission</c:v>
                </c:pt>
                <c:pt idx="1">
                  <c:v>Awards as % of scholarship applicants</c:v>
                </c:pt>
                <c:pt idx="2">
                  <c:v>Scholarship uptake as % of awards</c:v>
                </c:pt>
              </c:strCache>
            </c:strRef>
          </c:cat>
          <c:val>
            <c:numRef>
              <c:f>'Applicants &amp; scholarships'!$C$39:$C$41</c:f>
              <c:numCache>
                <c:formatCode>0%</c:formatCode>
                <c:ptCount val="3"/>
                <c:pt idx="0">
                  <c:v>0.67</c:v>
                </c:pt>
                <c:pt idx="1">
                  <c:v>0.49327861893306901</c:v>
                </c:pt>
                <c:pt idx="2">
                  <c:v>0.88</c:v>
                </c:pt>
              </c:numCache>
            </c:numRef>
          </c:val>
        </c:ser>
        <c:dLbls>
          <c:showLegendKey val="0"/>
          <c:showVal val="0"/>
          <c:showCatName val="0"/>
          <c:showSerName val="0"/>
          <c:showPercent val="0"/>
          <c:showBubbleSize val="0"/>
        </c:dLbls>
        <c:gapWidth val="150"/>
        <c:axId val="358026240"/>
        <c:axId val="347685632"/>
      </c:barChart>
      <c:catAx>
        <c:axId val="358026240"/>
        <c:scaling>
          <c:orientation val="minMax"/>
        </c:scaling>
        <c:delete val="0"/>
        <c:axPos val="b"/>
        <c:numFmt formatCode="General" sourceLinked="0"/>
        <c:majorTickMark val="none"/>
        <c:minorTickMark val="none"/>
        <c:tickLblPos val="nextTo"/>
        <c:txPr>
          <a:bodyPr/>
          <a:lstStyle/>
          <a:p>
            <a:pPr>
              <a:defRPr lang="en-GB"/>
            </a:pPr>
            <a:endParaRPr lang="en-US"/>
          </a:p>
        </c:txPr>
        <c:crossAx val="347685632"/>
        <c:crosses val="autoZero"/>
        <c:auto val="1"/>
        <c:lblAlgn val="ctr"/>
        <c:lblOffset val="100"/>
        <c:noMultiLvlLbl val="0"/>
      </c:catAx>
      <c:valAx>
        <c:axId val="347685632"/>
        <c:scaling>
          <c:orientation val="minMax"/>
        </c:scaling>
        <c:delete val="0"/>
        <c:axPos val="l"/>
        <c:majorGridlines/>
        <c:numFmt formatCode="0%" sourceLinked="1"/>
        <c:majorTickMark val="none"/>
        <c:minorTickMark val="none"/>
        <c:tickLblPos val="nextTo"/>
        <c:txPr>
          <a:bodyPr/>
          <a:lstStyle/>
          <a:p>
            <a:pPr>
              <a:defRPr lang="en-GB"/>
            </a:pPr>
            <a:endParaRPr lang="en-US"/>
          </a:p>
        </c:txPr>
        <c:crossAx val="358026240"/>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9.25925925925929E-3"/>
          <c:w val="0.63055473643483895"/>
          <c:h val="0.78744568387284897"/>
        </c:manualLayout>
      </c:layout>
      <c:barChart>
        <c:barDir val="col"/>
        <c:grouping val="clustered"/>
        <c:varyColors val="0"/>
        <c:ser>
          <c:idx val="0"/>
          <c:order val="0"/>
          <c:tx>
            <c:strRef>
              <c:f>'Figs6-8'!$D$51</c:f>
              <c:strCache>
                <c:ptCount val="1"/>
                <c:pt idx="0">
                  <c:v>NTIs Fiji (2012) - leftmost bars</c:v>
                </c:pt>
              </c:strCache>
            </c:strRef>
          </c:tx>
          <c:spPr>
            <a:ln w="12700" cmpd="dbl">
              <a:solidFill>
                <a:sysClr val="windowText" lastClr="000000"/>
              </a:solidFill>
            </a:ln>
          </c:spPr>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'Figs6-8'!$E$50:$F$50</c:f>
              <c:strCache>
                <c:ptCount val="2"/>
                <c:pt idx="0">
                  <c:v>Cost per student</c:v>
                </c:pt>
                <c:pt idx="1">
                  <c:v>Cost per graduate</c:v>
                </c:pt>
              </c:strCache>
            </c:strRef>
          </c:cat>
          <c:val>
            <c:numRef>
              <c:f>'Figs6-8'!$E$51:$F$51</c:f>
              <c:numCache>
                <c:formatCode>#,##0.0</c:formatCode>
                <c:ptCount val="2"/>
                <c:pt idx="0">
                  <c:v>1.0699180663636361</c:v>
                </c:pt>
                <c:pt idx="1">
                  <c:v>2.9640013818181821</c:v>
                </c:pt>
              </c:numCache>
            </c:numRef>
          </c:val>
        </c:ser>
        <c:ser>
          <c:idx val="1"/>
          <c:order val="1"/>
          <c:tx>
            <c:strRef>
              <c:f>'Figs6-8'!$D$52</c:f>
              <c:strCache>
                <c:ptCount val="1"/>
                <c:pt idx="0">
                  <c:v>NTIs PNG (2010)</c:v>
                </c:pt>
              </c:strCache>
            </c:strRef>
          </c:tx>
          <c:spPr>
            <a:solidFill>
              <a:srgbClr val="FFFF00"/>
            </a:solidFill>
            <a:ln>
              <a:solidFill>
                <a:sysClr val="windowText" lastClr="000000"/>
              </a:solidFill>
            </a:ln>
          </c:spPr>
          <c:invertIfNegative val="0"/>
          <c:dLbls>
            <c:dLbl>
              <c:idx val="1"/>
              <c:delete val="1"/>
              <c:extLst>
                <c:ext xmlns:c15="http://schemas.microsoft.com/office/drawing/2012/chart" uri="{CE6537A1-D6FC-4f65-9D91-7224C49458BB}"/>
              </c:extLst>
            </c:dLbl>
            <c:spPr>
              <a:noFill/>
              <a:ln>
                <a:noFill/>
              </a:ln>
              <a:effectLst/>
            </c:spPr>
            <c:txPr>
              <a:bodyPr/>
              <a:lstStyle/>
              <a:p>
                <a:pPr>
                  <a:defRPr lang="en-GB"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'Figs6-8'!$E$50:$F$50</c:f>
              <c:strCache>
                <c:ptCount val="2"/>
                <c:pt idx="0">
                  <c:v>Cost per student</c:v>
                </c:pt>
                <c:pt idx="1">
                  <c:v>Cost per graduate</c:v>
                </c:pt>
              </c:strCache>
            </c:strRef>
          </c:cat>
          <c:val>
            <c:numRef>
              <c:f>'Figs6-8'!$E$52:$F$52</c:f>
              <c:numCache>
                <c:formatCode>0.0</c:formatCode>
                <c:ptCount val="2"/>
                <c:pt idx="0">
                  <c:v>3.593658973868977</c:v>
                </c:pt>
                <c:pt idx="1">
                  <c:v>0</c:v>
                </c:pt>
              </c:numCache>
            </c:numRef>
          </c:val>
        </c:ser>
        <c:ser>
          <c:idx val="2"/>
          <c:order val="2"/>
          <c:tx>
            <c:strRef>
              <c:f>'Figs6-8'!$D$53</c:f>
              <c:strCache>
                <c:ptCount val="1"/>
                <c:pt idx="0">
                  <c:v>NTIs Samoa (2011)</c:v>
                </c:pt>
              </c:strCache>
            </c:strRef>
          </c:tx>
          <c:spPr>
            <a:ln>
              <a:solidFill>
                <a:sysClr val="windowText" lastClr="000000"/>
              </a:solidFill>
            </a:ln>
          </c:spPr>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'Figs6-8'!$E$50:$F$50</c:f>
              <c:strCache>
                <c:ptCount val="2"/>
                <c:pt idx="0">
                  <c:v>Cost per student</c:v>
                </c:pt>
                <c:pt idx="1">
                  <c:v>Cost per graduate</c:v>
                </c:pt>
              </c:strCache>
            </c:strRef>
          </c:cat>
          <c:val>
            <c:numRef>
              <c:f>'Figs6-8'!$E$53:$F$53</c:f>
              <c:numCache>
                <c:formatCode>0.0</c:formatCode>
                <c:ptCount val="2"/>
                <c:pt idx="0">
                  <c:v>1.3236602955808821</c:v>
                </c:pt>
                <c:pt idx="1">
                  <c:v>2.6896515660000002</c:v>
                </c:pt>
              </c:numCache>
            </c:numRef>
          </c:val>
        </c:ser>
        <c:ser>
          <c:idx val="3"/>
          <c:order val="3"/>
          <c:tx>
            <c:strRef>
              <c:f>'Figs6-8'!$D$54</c:f>
              <c:strCache>
                <c:ptCount val="1"/>
                <c:pt idx="0">
                  <c:v>NTIs Solomons (2012)</c:v>
                </c:pt>
              </c:strCache>
            </c:strRef>
          </c:tx>
          <c:spPr>
            <a:solidFill>
              <a:schemeClr val="bg1">
                <a:lumMod val="85000"/>
              </a:schemeClr>
            </a:solidFill>
            <a:ln>
              <a:solidFill>
                <a:sysClr val="windowText" lastClr="000000"/>
              </a:solidFill>
            </a:ln>
          </c:spPr>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'Figs6-8'!$E$50:$F$50</c:f>
              <c:strCache>
                <c:ptCount val="2"/>
                <c:pt idx="0">
                  <c:v>Cost per student</c:v>
                </c:pt>
                <c:pt idx="1">
                  <c:v>Cost per graduate</c:v>
                </c:pt>
              </c:strCache>
            </c:strRef>
          </c:cat>
          <c:val>
            <c:numRef>
              <c:f>'Figs6-8'!$E$54:$F$54</c:f>
              <c:numCache>
                <c:formatCode>0.0</c:formatCode>
                <c:ptCount val="2"/>
                <c:pt idx="0">
                  <c:v>1.9112603495238101</c:v>
                </c:pt>
                <c:pt idx="1">
                  <c:v>5.2688742116666667</c:v>
                </c:pt>
              </c:numCache>
            </c:numRef>
          </c:val>
        </c:ser>
        <c:ser>
          <c:idx val="4"/>
          <c:order val="4"/>
          <c:tx>
            <c:strRef>
              <c:f>'Figs6-8'!$D$55</c:f>
              <c:strCache>
                <c:ptCount val="1"/>
                <c:pt idx="0">
                  <c:v>NTIs Tonga (2011/12)</c:v>
                </c:pt>
              </c:strCache>
            </c:strRef>
          </c:tx>
          <c:spPr>
            <a:ln>
              <a:solidFill>
                <a:sysClr val="windowText" lastClr="000000"/>
              </a:solidFill>
            </a:ln>
          </c:spPr>
          <c:invertIfNegative val="0"/>
          <c:dLbls>
            <c:spPr>
              <a:noFill/>
              <a:ln>
                <a:noFill/>
              </a:ln>
              <a:effectLst/>
            </c:spPr>
            <c:txPr>
              <a:bodyPr/>
              <a:lstStyle/>
              <a:p>
                <a:pPr>
                  <a:defRPr lang="en-GB"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'Figs6-8'!$E$50:$F$50</c:f>
              <c:strCache>
                <c:ptCount val="2"/>
                <c:pt idx="0">
                  <c:v>Cost per student</c:v>
                </c:pt>
                <c:pt idx="1">
                  <c:v>Cost per graduate</c:v>
                </c:pt>
              </c:strCache>
            </c:strRef>
          </c:cat>
          <c:val>
            <c:numRef>
              <c:f>'Figs6-8'!$E$55:$F$55</c:f>
              <c:numCache>
                <c:formatCode>0.0</c:formatCode>
                <c:ptCount val="2"/>
                <c:pt idx="0">
                  <c:v>1.21495793</c:v>
                </c:pt>
                <c:pt idx="1">
                  <c:v>3.6158782390476181</c:v>
                </c:pt>
              </c:numCache>
            </c:numRef>
          </c:val>
        </c:ser>
        <c:ser>
          <c:idx val="5"/>
          <c:order val="5"/>
          <c:tx>
            <c:strRef>
              <c:f>'Figs6-8'!$D$56</c:f>
              <c:strCache>
                <c:ptCount val="1"/>
                <c:pt idx="0">
                  <c:v>APTC #</c:v>
                </c:pt>
              </c:strCache>
            </c:strRef>
          </c:tx>
          <c:spPr>
            <a:ln>
              <a:solidFill>
                <a:schemeClr val="accent1"/>
              </a:solidFill>
            </a:ln>
          </c:spPr>
          <c:invertIfNegative val="0"/>
          <c:dLbls>
            <c:dLbl>
              <c:idx val="0"/>
              <c:dLblPos val="inEnd"/>
              <c:showLegendKey val="0"/>
              <c:showVal val="1"/>
              <c:showCatName val="0"/>
              <c:showSerName val="1"/>
              <c:showPercent val="0"/>
              <c:showBubbleSize val="0"/>
              <c:extLst>
                <c:ext xmlns:c15="http://schemas.microsoft.com/office/drawing/2012/chart" uri="{CE6537A1-D6FC-4f65-9D91-7224C49458BB}">
                  <c15:layout/>
                </c:ext>
              </c:extLst>
            </c:dLbl>
            <c:dLbl>
              <c:idx val="1"/>
              <c:dLblPos val="inEnd"/>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rot="-5400000" vert="horz"/>
              <a:lstStyle/>
              <a:p>
                <a:pPr>
                  <a:defRPr lang="en-GB" sz="900"/>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'Figs6-8'!$E$50:$F$50</c:f>
              <c:strCache>
                <c:ptCount val="2"/>
                <c:pt idx="0">
                  <c:v>Cost per student</c:v>
                </c:pt>
                <c:pt idx="1">
                  <c:v>Cost per graduate</c:v>
                </c:pt>
              </c:strCache>
            </c:strRef>
          </c:cat>
          <c:val>
            <c:numRef>
              <c:f>'Figs6-8'!$E$56:$F$56</c:f>
              <c:numCache>
                <c:formatCode>0.0</c:formatCode>
                <c:ptCount val="2"/>
                <c:pt idx="0">
                  <c:v>28.2420111385585</c:v>
                </c:pt>
                <c:pt idx="1">
                  <c:v>32.959623154585323</c:v>
                </c:pt>
              </c:numCache>
            </c:numRef>
          </c:val>
        </c:ser>
        <c:dLbls>
          <c:showLegendKey val="0"/>
          <c:showVal val="1"/>
          <c:showCatName val="0"/>
          <c:showSerName val="0"/>
          <c:showPercent val="0"/>
          <c:showBubbleSize val="0"/>
        </c:dLbls>
        <c:gapWidth val="150"/>
        <c:axId val="354286208"/>
        <c:axId val="356721024"/>
      </c:barChart>
      <c:catAx>
        <c:axId val="354286208"/>
        <c:scaling>
          <c:orientation val="minMax"/>
        </c:scaling>
        <c:delete val="0"/>
        <c:axPos val="b"/>
        <c:numFmt formatCode="General" sourceLinked="0"/>
        <c:majorTickMark val="out"/>
        <c:minorTickMark val="none"/>
        <c:tickLblPos val="nextTo"/>
        <c:txPr>
          <a:bodyPr/>
          <a:lstStyle/>
          <a:p>
            <a:pPr>
              <a:defRPr lang="en-GB" sz="900"/>
            </a:pPr>
            <a:endParaRPr lang="en-US"/>
          </a:p>
        </c:txPr>
        <c:crossAx val="356721024"/>
        <c:crosses val="autoZero"/>
        <c:auto val="1"/>
        <c:lblAlgn val="ctr"/>
        <c:lblOffset val="100"/>
        <c:noMultiLvlLbl val="0"/>
      </c:catAx>
      <c:valAx>
        <c:axId val="356721024"/>
        <c:scaling>
          <c:orientation val="minMax"/>
        </c:scaling>
        <c:delete val="1"/>
        <c:axPos val="l"/>
        <c:majorGridlines/>
        <c:numFmt formatCode="#,##0.0" sourceLinked="1"/>
        <c:majorTickMark val="out"/>
        <c:minorTickMark val="none"/>
        <c:tickLblPos val="none"/>
        <c:crossAx val="354286208"/>
        <c:crosses val="autoZero"/>
        <c:crossBetween val="between"/>
      </c:valAx>
    </c:plotArea>
    <c:legend>
      <c:legendPos val="r"/>
      <c:layout>
        <c:manualLayout>
          <c:xMode val="edge"/>
          <c:yMode val="edge"/>
          <c:x val="0.64001694011356203"/>
          <c:y val="9.6070647419072605E-2"/>
          <c:w val="0.33531741799207399"/>
          <c:h val="0.84109288422280604"/>
        </c:manualLayout>
      </c:layout>
      <c:overlay val="0"/>
      <c:spPr>
        <a:solidFill>
          <a:schemeClr val="lt1"/>
        </a:solidFill>
        <a:ln w="6350" cap="flat" cmpd="sng" algn="ctr">
          <a:solidFill>
            <a:sysClr val="windowText" lastClr="000000"/>
          </a:solidFill>
          <a:prstDash val="solid"/>
          <a:round/>
          <a:headEnd type="none" w="med" len="med"/>
          <a:tailEnd type="none" w="med" len="med"/>
        </a:ln>
        <a:effectLst/>
      </c:spPr>
      <c:txPr>
        <a:bodyPr/>
        <a:lstStyle/>
        <a:p>
          <a:pPr>
            <a:defRPr lang="en-GB" sz="900"/>
          </a:pPr>
          <a:endParaRPr lang="en-US"/>
        </a:p>
      </c:txPr>
    </c:legend>
    <c:plotVisOnly val="1"/>
    <c:dispBlanksAs val="gap"/>
    <c:showDLblsOverMax val="0"/>
  </c:chart>
  <c:spPr>
    <a:ln>
      <a:noFill/>
    </a:ln>
  </c:spPr>
  <c:txPr>
    <a:bodyPr/>
    <a:lstStyle/>
    <a:p>
      <a:pPr>
        <a:defRPr sz="1050" b="1">
          <a:latin typeface="Arial" pitchFamily="34" charset="0"/>
          <a:cs typeface="Arial" pitchFamily="34" charset="0"/>
        </a:defRPr>
      </a:pPr>
      <a:endParaRPr lang="en-US"/>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dLbl>
              <c:idx val="9"/>
              <c:dLblPos val="b"/>
              <c:showLegendKey val="0"/>
              <c:showVal val="1"/>
              <c:showCatName val="0"/>
              <c:showSerName val="0"/>
              <c:showPercent val="0"/>
              <c:showBubbleSize val="0"/>
              <c:extLst>
                <c:ext xmlns:c15="http://schemas.microsoft.com/office/drawing/2012/chart" uri="{CE6537A1-D6FC-4f65-9D91-7224C49458BB}">
                  <c15:layout/>
                </c:ext>
              </c:extLst>
            </c:dLbl>
            <c:dLbl>
              <c:idx val="10"/>
              <c:dLblPos val="r"/>
              <c:showLegendKey val="0"/>
              <c:showVal val="1"/>
              <c:showCatName val="0"/>
              <c:showSerName val="0"/>
              <c:showPercent val="0"/>
              <c:showBubbleSize val="0"/>
              <c:extLst>
                <c:ext xmlns:c15="http://schemas.microsoft.com/office/drawing/2012/chart" uri="{CE6537A1-D6FC-4f65-9D91-7224C49458BB}">
                  <c15:layout/>
                </c:ext>
              </c:extLst>
            </c:dLbl>
            <c:dLbl>
              <c:idx val="13"/>
              <c:dLblPos val="r"/>
              <c:showLegendKey val="0"/>
              <c:showVal val="1"/>
              <c:showCatName val="0"/>
              <c:showSerName val="0"/>
              <c:showPercent val="0"/>
              <c:showBubbleSize val="0"/>
              <c:extLst>
                <c:ext xmlns:c15="http://schemas.microsoft.com/office/drawing/2012/chart" uri="{CE6537A1-D6FC-4f65-9D91-7224C49458BB}">
                  <c15:layout/>
                </c:ext>
              </c:extLst>
            </c:dLbl>
            <c:dLbl>
              <c:idx val="14"/>
              <c:dLblPos val="r"/>
              <c:showLegendKey val="0"/>
              <c:showVal val="1"/>
              <c:showCatName val="0"/>
              <c:showSerName val="0"/>
              <c:showPercent val="0"/>
              <c:showBubbleSize val="0"/>
              <c:extLst>
                <c:ext xmlns:c15="http://schemas.microsoft.com/office/drawing/2012/chart" uri="{CE6537A1-D6FC-4f65-9D91-7224C49458BB}">
                  <c15:layout/>
                </c:ext>
              </c:extLst>
            </c:dLbl>
            <c:dLbl>
              <c:idx val="15"/>
              <c:dLblPos val="b"/>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GB"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'Flow variables-revised-29Aug'!$R$2:$AG$3</c:f>
              <c:multiLvlStrCache>
                <c:ptCount val="16"/>
                <c:lvl>
                  <c:pt idx="0">
                    <c:v>Jul-Dec 2007</c:v>
                  </c:pt>
                  <c:pt idx="1">
                    <c:v>Jan-Jun 2008</c:v>
                  </c:pt>
                  <c:pt idx="2">
                    <c:v>Jul-Dec 2008</c:v>
                  </c:pt>
                  <c:pt idx="3">
                    <c:v>Jan-Jun 2009</c:v>
                  </c:pt>
                  <c:pt idx="4">
                    <c:v>Jul-Dec 2009</c:v>
                  </c:pt>
                  <c:pt idx="5">
                    <c:v>Jan-Jun 2010</c:v>
                  </c:pt>
                  <c:pt idx="6">
                    <c:v>Jul-Dec 2010</c:v>
                  </c:pt>
                  <c:pt idx="7">
                    <c:v>Jan-Jun 2011</c:v>
                  </c:pt>
                  <c:pt idx="8">
                    <c:v>Jul-Dec 2011</c:v>
                  </c:pt>
                  <c:pt idx="9">
                    <c:v>Jan-Jun 2012</c:v>
                  </c:pt>
                  <c:pt idx="10">
                    <c:v>Jul-Dec 2012</c:v>
                  </c:pt>
                  <c:pt idx="11">
                    <c:v>Jan-Jun 2013</c:v>
                  </c:pt>
                  <c:pt idx="12">
                    <c:v>Jul-Dec 2013</c:v>
                  </c:pt>
                  <c:pt idx="13">
                    <c:v>Jan-Jun 2014</c:v>
                  </c:pt>
                  <c:pt idx="14">
                    <c:v>Jul-Dec 2014</c:v>
                  </c:pt>
                  <c:pt idx="15">
                    <c:v>Jan-Jun  2015</c:v>
                  </c:pt>
                </c:lvl>
                <c:lvl>
                  <c:pt idx="0">
                    <c:v>Stage I</c:v>
                  </c:pt>
                  <c:pt idx="8">
                    <c:v>Stage II</c:v>
                  </c:pt>
                </c:lvl>
              </c:multiLvlStrCache>
            </c:multiLvlStrRef>
          </c:cat>
          <c:val>
            <c:numRef>
              <c:f>'Flow variables-revised-29Aug'!$R$4:$AG$4</c:f>
              <c:numCache>
                <c:formatCode>#,##0</c:formatCode>
                <c:ptCount val="16"/>
                <c:pt idx="0">
                  <c:v>37</c:v>
                </c:pt>
                <c:pt idx="1">
                  <c:v>567</c:v>
                </c:pt>
                <c:pt idx="2">
                  <c:v>550</c:v>
                </c:pt>
                <c:pt idx="3">
                  <c:v>630</c:v>
                </c:pt>
                <c:pt idx="4">
                  <c:v>711</c:v>
                </c:pt>
                <c:pt idx="5">
                  <c:v>760</c:v>
                </c:pt>
                <c:pt idx="6">
                  <c:v>588</c:v>
                </c:pt>
                <c:pt idx="7">
                  <c:v>593</c:v>
                </c:pt>
                <c:pt idx="8">
                  <c:v>529</c:v>
                </c:pt>
                <c:pt idx="9">
                  <c:v>287</c:v>
                </c:pt>
                <c:pt idx="10">
                  <c:v>442</c:v>
                </c:pt>
                <c:pt idx="11">
                  <c:v>1127</c:v>
                </c:pt>
                <c:pt idx="12">
                  <c:v>968</c:v>
                </c:pt>
                <c:pt idx="13">
                  <c:v>926</c:v>
                </c:pt>
                <c:pt idx="14">
                  <c:v>735</c:v>
                </c:pt>
                <c:pt idx="15">
                  <c:v>387</c:v>
                </c:pt>
              </c:numCache>
            </c:numRef>
          </c:val>
          <c:smooth val="0"/>
        </c:ser>
        <c:dLbls>
          <c:showLegendKey val="0"/>
          <c:showVal val="1"/>
          <c:showCatName val="0"/>
          <c:showSerName val="0"/>
          <c:showPercent val="0"/>
          <c:showBubbleSize val="0"/>
        </c:dLbls>
        <c:marker val="1"/>
        <c:smooth val="0"/>
        <c:axId val="356750464"/>
        <c:axId val="356765696"/>
      </c:lineChart>
      <c:catAx>
        <c:axId val="356750464"/>
        <c:scaling>
          <c:orientation val="minMax"/>
        </c:scaling>
        <c:delete val="0"/>
        <c:axPos val="b"/>
        <c:numFmt formatCode="General" sourceLinked="0"/>
        <c:majorTickMark val="out"/>
        <c:minorTickMark val="none"/>
        <c:tickLblPos val="nextTo"/>
        <c:txPr>
          <a:bodyPr/>
          <a:lstStyle/>
          <a:p>
            <a:pPr>
              <a:defRPr lang="en-GB" sz="900"/>
            </a:pPr>
            <a:endParaRPr lang="en-US"/>
          </a:p>
        </c:txPr>
        <c:crossAx val="356765696"/>
        <c:crosses val="autoZero"/>
        <c:auto val="1"/>
        <c:lblAlgn val="ctr"/>
        <c:lblOffset val="100"/>
        <c:noMultiLvlLbl val="0"/>
      </c:catAx>
      <c:valAx>
        <c:axId val="356765696"/>
        <c:scaling>
          <c:orientation val="minMax"/>
        </c:scaling>
        <c:delete val="1"/>
        <c:axPos val="l"/>
        <c:majorGridlines/>
        <c:numFmt formatCode="#,##0" sourceLinked="1"/>
        <c:majorTickMark val="out"/>
        <c:minorTickMark val="none"/>
        <c:tickLblPos val="none"/>
        <c:crossAx val="356750464"/>
        <c:crosses val="autoZero"/>
        <c:crossBetween val="between"/>
      </c:valAx>
    </c:plotArea>
    <c:plotVisOnly val="1"/>
    <c:dispBlanksAs val="gap"/>
    <c:showDLblsOverMax val="0"/>
  </c:chart>
  <c:spPr>
    <a:ln>
      <a:noFill/>
    </a:ln>
  </c:spPr>
  <c:txPr>
    <a:bodyPr/>
    <a:lstStyle/>
    <a:p>
      <a:pPr>
        <a:defRPr sz="1100" b="1">
          <a:latin typeface="Arial" pitchFamily="34" charset="0"/>
          <a:cs typeface="Arial"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'Flow variables-revised-29Aug'!$Q$4</c:f>
              <c:strCache>
                <c:ptCount val="1"/>
                <c:pt idx="0">
                  <c:v>Students</c:v>
                </c:pt>
              </c:strCache>
            </c:strRef>
          </c:tx>
          <c:dLbls>
            <c:dLbl>
              <c:idx val="11"/>
              <c:dLblPos val="t"/>
              <c:showLegendKey val="0"/>
              <c:showVal val="1"/>
              <c:showCatName val="0"/>
              <c:showSerName val="0"/>
              <c:showPercent val="0"/>
              <c:showBubbleSize val="0"/>
              <c:extLst>
                <c:ext xmlns:c15="http://schemas.microsoft.com/office/drawing/2012/chart" uri="{CE6537A1-D6FC-4f65-9D91-7224C49458BB}">
                  <c15:layout/>
                </c:ext>
              </c:extLst>
            </c:dLbl>
            <c:dLbl>
              <c:idx val="15"/>
              <c:dLblPos val="b"/>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'Flow variables-revised-29Aug'!$R$2:$AG$3</c:f>
              <c:multiLvlStrCache>
                <c:ptCount val="16"/>
                <c:lvl>
                  <c:pt idx="0">
                    <c:v>Jul-Dec 2007</c:v>
                  </c:pt>
                  <c:pt idx="1">
                    <c:v>Jan-Jun 2008</c:v>
                  </c:pt>
                  <c:pt idx="2">
                    <c:v>Jul-Dec 2008</c:v>
                  </c:pt>
                  <c:pt idx="3">
                    <c:v>Jan-Jun 2009</c:v>
                  </c:pt>
                  <c:pt idx="4">
                    <c:v>Jul-Dec 2009</c:v>
                  </c:pt>
                  <c:pt idx="5">
                    <c:v>Jan-Jun 2010</c:v>
                  </c:pt>
                  <c:pt idx="6">
                    <c:v>Jul-Dec 2010</c:v>
                  </c:pt>
                  <c:pt idx="7">
                    <c:v>Jan-Jun 2011</c:v>
                  </c:pt>
                  <c:pt idx="8">
                    <c:v>Jul-Dec 2011</c:v>
                  </c:pt>
                  <c:pt idx="9">
                    <c:v>Jan-Jun 2012</c:v>
                  </c:pt>
                  <c:pt idx="10">
                    <c:v>Jul-Dec 2012</c:v>
                  </c:pt>
                  <c:pt idx="11">
                    <c:v>Jan-Jun 2013</c:v>
                  </c:pt>
                  <c:pt idx="12">
                    <c:v>Jul-Dec 2013</c:v>
                  </c:pt>
                  <c:pt idx="13">
                    <c:v>Jan-Jun 2014</c:v>
                  </c:pt>
                  <c:pt idx="14">
                    <c:v>Jul-Dec 2014</c:v>
                  </c:pt>
                  <c:pt idx="15">
                    <c:v>Jan-Jun  2015</c:v>
                  </c:pt>
                </c:lvl>
                <c:lvl>
                  <c:pt idx="0">
                    <c:v>Stage I</c:v>
                  </c:pt>
                  <c:pt idx="8">
                    <c:v>Stage II</c:v>
                  </c:pt>
                </c:lvl>
              </c:multiLvlStrCache>
            </c:multiLvlStrRef>
          </c:cat>
          <c:val>
            <c:numRef>
              <c:f>'Flow variables-revised-29Aug'!$R$4:$AG$4</c:f>
              <c:numCache>
                <c:formatCode>#,##0</c:formatCode>
                <c:ptCount val="16"/>
                <c:pt idx="0">
                  <c:v>37</c:v>
                </c:pt>
                <c:pt idx="1">
                  <c:v>567</c:v>
                </c:pt>
                <c:pt idx="2">
                  <c:v>550</c:v>
                </c:pt>
                <c:pt idx="3">
                  <c:v>630</c:v>
                </c:pt>
                <c:pt idx="4">
                  <c:v>711</c:v>
                </c:pt>
                <c:pt idx="5">
                  <c:v>760</c:v>
                </c:pt>
                <c:pt idx="6">
                  <c:v>588</c:v>
                </c:pt>
                <c:pt idx="7">
                  <c:v>593</c:v>
                </c:pt>
                <c:pt idx="8">
                  <c:v>529</c:v>
                </c:pt>
                <c:pt idx="9">
                  <c:v>287</c:v>
                </c:pt>
                <c:pt idx="10">
                  <c:v>442</c:v>
                </c:pt>
                <c:pt idx="11">
                  <c:v>1127</c:v>
                </c:pt>
                <c:pt idx="12">
                  <c:v>968</c:v>
                </c:pt>
                <c:pt idx="13">
                  <c:v>926</c:v>
                </c:pt>
                <c:pt idx="14">
                  <c:v>735</c:v>
                </c:pt>
                <c:pt idx="15">
                  <c:v>387</c:v>
                </c:pt>
              </c:numCache>
            </c:numRef>
          </c:val>
          <c:smooth val="0"/>
        </c:ser>
        <c:ser>
          <c:idx val="1"/>
          <c:order val="1"/>
          <c:tx>
            <c:strRef>
              <c:f>'Flow variables-revised-29Aug'!$Q$5</c:f>
              <c:strCache>
                <c:ptCount val="1"/>
                <c:pt idx="0">
                  <c:v>Graduates</c:v>
                </c:pt>
              </c:strCache>
            </c:strRef>
          </c:tx>
          <c:marker>
            <c:symbol val="square"/>
            <c:size val="7"/>
          </c:marker>
          <c:dLbls>
            <c:dLbl>
              <c:idx val="13"/>
              <c:dLblPos val="t"/>
              <c:showLegendKey val="0"/>
              <c:showVal val="1"/>
              <c:showCatName val="0"/>
              <c:showSerName val="0"/>
              <c:showPercent val="0"/>
              <c:showBubbleSize val="0"/>
              <c:extLst>
                <c:ext xmlns:c15="http://schemas.microsoft.com/office/drawing/2012/chart" uri="{CE6537A1-D6FC-4f65-9D91-7224C49458BB}">
                  <c15:layout/>
                </c:ext>
              </c:extLst>
            </c:dLbl>
            <c:dLbl>
              <c:idx val="15"/>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'Flow variables-revised-29Aug'!$R$2:$AG$3</c:f>
              <c:multiLvlStrCache>
                <c:ptCount val="16"/>
                <c:lvl>
                  <c:pt idx="0">
                    <c:v>Jul-Dec 2007</c:v>
                  </c:pt>
                  <c:pt idx="1">
                    <c:v>Jan-Jun 2008</c:v>
                  </c:pt>
                  <c:pt idx="2">
                    <c:v>Jul-Dec 2008</c:v>
                  </c:pt>
                  <c:pt idx="3">
                    <c:v>Jan-Jun 2009</c:v>
                  </c:pt>
                  <c:pt idx="4">
                    <c:v>Jul-Dec 2009</c:v>
                  </c:pt>
                  <c:pt idx="5">
                    <c:v>Jan-Jun 2010</c:v>
                  </c:pt>
                  <c:pt idx="6">
                    <c:v>Jul-Dec 2010</c:v>
                  </c:pt>
                  <c:pt idx="7">
                    <c:v>Jan-Jun 2011</c:v>
                  </c:pt>
                  <c:pt idx="8">
                    <c:v>Jul-Dec 2011</c:v>
                  </c:pt>
                  <c:pt idx="9">
                    <c:v>Jan-Jun 2012</c:v>
                  </c:pt>
                  <c:pt idx="10">
                    <c:v>Jul-Dec 2012</c:v>
                  </c:pt>
                  <c:pt idx="11">
                    <c:v>Jan-Jun 2013</c:v>
                  </c:pt>
                  <c:pt idx="12">
                    <c:v>Jul-Dec 2013</c:v>
                  </c:pt>
                  <c:pt idx="13">
                    <c:v>Jan-Jun 2014</c:v>
                  </c:pt>
                  <c:pt idx="14">
                    <c:v>Jul-Dec 2014</c:v>
                  </c:pt>
                  <c:pt idx="15">
                    <c:v>Jan-Jun  2015</c:v>
                  </c:pt>
                </c:lvl>
                <c:lvl>
                  <c:pt idx="0">
                    <c:v>Stage I</c:v>
                  </c:pt>
                  <c:pt idx="8">
                    <c:v>Stage II</c:v>
                  </c:pt>
                </c:lvl>
              </c:multiLvlStrCache>
            </c:multiLvlStrRef>
          </c:cat>
          <c:val>
            <c:numRef>
              <c:f>'Flow variables-revised-29Aug'!$R$5:$AG$5</c:f>
              <c:numCache>
                <c:formatCode>#,##0</c:formatCode>
                <c:ptCount val="16"/>
                <c:pt idx="0">
                  <c:v>10</c:v>
                </c:pt>
                <c:pt idx="1">
                  <c:v>104</c:v>
                </c:pt>
                <c:pt idx="2">
                  <c:v>189</c:v>
                </c:pt>
                <c:pt idx="3">
                  <c:v>403</c:v>
                </c:pt>
                <c:pt idx="4">
                  <c:v>541</c:v>
                </c:pt>
                <c:pt idx="5">
                  <c:v>563</c:v>
                </c:pt>
                <c:pt idx="6">
                  <c:v>869</c:v>
                </c:pt>
                <c:pt idx="7">
                  <c:v>852</c:v>
                </c:pt>
                <c:pt idx="8">
                  <c:v>356</c:v>
                </c:pt>
                <c:pt idx="9">
                  <c:v>215</c:v>
                </c:pt>
                <c:pt idx="10">
                  <c:v>638</c:v>
                </c:pt>
                <c:pt idx="11">
                  <c:v>394</c:v>
                </c:pt>
                <c:pt idx="12">
                  <c:v>540</c:v>
                </c:pt>
                <c:pt idx="13">
                  <c:v>1106</c:v>
                </c:pt>
                <c:pt idx="14">
                  <c:v>1035</c:v>
                </c:pt>
                <c:pt idx="15">
                  <c:v>614</c:v>
                </c:pt>
              </c:numCache>
            </c:numRef>
          </c:val>
          <c:smooth val="0"/>
        </c:ser>
        <c:dLbls>
          <c:showLegendKey val="0"/>
          <c:showVal val="0"/>
          <c:showCatName val="0"/>
          <c:showSerName val="0"/>
          <c:showPercent val="0"/>
          <c:showBubbleSize val="0"/>
        </c:dLbls>
        <c:marker val="1"/>
        <c:smooth val="0"/>
        <c:axId val="356869632"/>
        <c:axId val="356871168"/>
      </c:lineChart>
      <c:catAx>
        <c:axId val="356869632"/>
        <c:scaling>
          <c:orientation val="minMax"/>
        </c:scaling>
        <c:delete val="0"/>
        <c:axPos val="b"/>
        <c:numFmt formatCode="General" sourceLinked="0"/>
        <c:majorTickMark val="out"/>
        <c:minorTickMark val="none"/>
        <c:tickLblPos val="nextTo"/>
        <c:txPr>
          <a:bodyPr/>
          <a:lstStyle/>
          <a:p>
            <a:pPr>
              <a:defRPr lang="en-GB" sz="900"/>
            </a:pPr>
            <a:endParaRPr lang="en-US"/>
          </a:p>
        </c:txPr>
        <c:crossAx val="356871168"/>
        <c:crosses val="autoZero"/>
        <c:auto val="1"/>
        <c:lblAlgn val="ctr"/>
        <c:lblOffset val="100"/>
        <c:noMultiLvlLbl val="0"/>
      </c:catAx>
      <c:valAx>
        <c:axId val="356871168"/>
        <c:scaling>
          <c:orientation val="minMax"/>
        </c:scaling>
        <c:delete val="0"/>
        <c:axPos val="l"/>
        <c:majorGridlines/>
        <c:numFmt formatCode="#,##0" sourceLinked="1"/>
        <c:majorTickMark val="out"/>
        <c:minorTickMark val="none"/>
        <c:tickLblPos val="nextTo"/>
        <c:txPr>
          <a:bodyPr/>
          <a:lstStyle/>
          <a:p>
            <a:pPr>
              <a:defRPr lang="en-GB" sz="900"/>
            </a:pPr>
            <a:endParaRPr lang="en-US"/>
          </a:p>
        </c:txPr>
        <c:crossAx val="356869632"/>
        <c:crosses val="autoZero"/>
        <c:crossBetween val="between"/>
      </c:valAx>
    </c:plotArea>
    <c:legend>
      <c:legendPos val="b"/>
      <c:overlay val="0"/>
      <c:spPr>
        <a:solidFill>
          <a:schemeClr val="lt1"/>
        </a:solidFill>
        <a:ln w="25400" cap="flat" cmpd="sng" algn="ctr">
          <a:solidFill>
            <a:schemeClr val="dk1"/>
          </a:solidFill>
          <a:prstDash val="solid"/>
        </a:ln>
        <a:effectLst/>
      </c:spPr>
      <c:txPr>
        <a:bodyPr/>
        <a:lstStyle/>
        <a:p>
          <a:pPr>
            <a:defRPr lang="en-GB">
              <a:solidFill>
                <a:schemeClr val="dk1"/>
              </a:solidFill>
              <a:latin typeface="+mn-lt"/>
              <a:ea typeface="+mn-ea"/>
              <a:cs typeface="+mn-cs"/>
            </a:defRPr>
          </a:pPr>
          <a:endParaRPr lang="en-US"/>
        </a:p>
      </c:txPr>
    </c:legend>
    <c:plotVisOnly val="1"/>
    <c:dispBlanksAs val="gap"/>
    <c:showDLblsOverMax val="0"/>
  </c:chart>
  <c:spPr>
    <a:ln>
      <a:noFill/>
    </a:ln>
  </c:spPr>
  <c:txPr>
    <a:bodyPr/>
    <a:lstStyle/>
    <a:p>
      <a:pPr>
        <a:defRPr sz="1100" b="1">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Prog. x sem'!$X$7:$X$23</c:f>
              <c:strCache>
                <c:ptCount val="17"/>
                <c:pt idx="0">
                  <c:v>Community Services (III)</c:v>
                </c:pt>
                <c:pt idx="1">
                  <c:v>Nutrition &amp; Dietetic (III)</c:v>
                </c:pt>
                <c:pt idx="2">
                  <c:v>Business (IV)</c:v>
                </c:pt>
                <c:pt idx="3">
                  <c:v>Community Development (IV)</c:v>
                </c:pt>
                <c:pt idx="4">
                  <c:v>Construction (II)</c:v>
                </c:pt>
                <c:pt idx="5">
                  <c:v>Applied Fashion &amp; Design (III)</c:v>
                </c:pt>
                <c:pt idx="6">
                  <c:v>Allied Health (III) </c:v>
                </c:pt>
                <c:pt idx="7">
                  <c:v>Catering (III)</c:v>
                </c:pt>
                <c:pt idx="8">
                  <c:v>Management (Dip.)</c:v>
                </c:pt>
                <c:pt idx="9">
                  <c:v>Hospitality (Lodge) (III)</c:v>
                </c:pt>
                <c:pt idx="10">
                  <c:v>Disability (IV)</c:v>
                </c:pt>
                <c:pt idx="11">
                  <c:v>Early Childhood Edn. &amp;Care (III)</c:v>
                </c:pt>
                <c:pt idx="12">
                  <c:v>Community Services (Dipl.) </c:v>
                </c:pt>
                <c:pt idx="13">
                  <c:v>Disability (III)</c:v>
                </c:pt>
                <c:pt idx="14">
                  <c:v>Youth Work (IV)</c:v>
                </c:pt>
                <c:pt idx="15">
                  <c:v> Children's Services (Dipl)</c:v>
                </c:pt>
                <c:pt idx="16">
                  <c:v>Plumbing (III)  </c:v>
                </c:pt>
              </c:strCache>
            </c:strRef>
          </c:cat>
          <c:val>
            <c:numRef>
              <c:f>'# Prog. x sem'!$Y$7:$Y$23</c:f>
              <c:numCache>
                <c:formatCode>General</c:formatCode>
                <c:ptCount val="17"/>
                <c:pt idx="0">
                  <c:v>1</c:v>
                </c:pt>
                <c:pt idx="1">
                  <c:v>1</c:v>
                </c:pt>
                <c:pt idx="2">
                  <c:v>1</c:v>
                </c:pt>
                <c:pt idx="3">
                  <c:v>2</c:v>
                </c:pt>
                <c:pt idx="4">
                  <c:v>2</c:v>
                </c:pt>
                <c:pt idx="5">
                  <c:v>2</c:v>
                </c:pt>
                <c:pt idx="6">
                  <c:v>3</c:v>
                </c:pt>
                <c:pt idx="7">
                  <c:v>3</c:v>
                </c:pt>
                <c:pt idx="8">
                  <c:v>4</c:v>
                </c:pt>
                <c:pt idx="9">
                  <c:v>5</c:v>
                </c:pt>
                <c:pt idx="10">
                  <c:v>5</c:v>
                </c:pt>
                <c:pt idx="11">
                  <c:v>7</c:v>
                </c:pt>
                <c:pt idx="12">
                  <c:v>7</c:v>
                </c:pt>
                <c:pt idx="13">
                  <c:v>8</c:v>
                </c:pt>
                <c:pt idx="14">
                  <c:v>9</c:v>
                </c:pt>
                <c:pt idx="15">
                  <c:v>9</c:v>
                </c:pt>
                <c:pt idx="16">
                  <c:v>9</c:v>
                </c:pt>
              </c:numCache>
            </c:numRef>
          </c:val>
        </c:ser>
        <c:dLbls>
          <c:showLegendKey val="0"/>
          <c:showVal val="1"/>
          <c:showCatName val="0"/>
          <c:showSerName val="0"/>
          <c:showPercent val="0"/>
          <c:showBubbleSize val="0"/>
        </c:dLbls>
        <c:gapWidth val="150"/>
        <c:overlap val="-25"/>
        <c:axId val="257213568"/>
        <c:axId val="257220608"/>
      </c:barChart>
      <c:catAx>
        <c:axId val="257213568"/>
        <c:scaling>
          <c:orientation val="minMax"/>
        </c:scaling>
        <c:delete val="0"/>
        <c:axPos val="l"/>
        <c:numFmt formatCode="General" sourceLinked="0"/>
        <c:majorTickMark val="none"/>
        <c:minorTickMark val="none"/>
        <c:tickLblPos val="nextTo"/>
        <c:crossAx val="257220608"/>
        <c:crosses val="autoZero"/>
        <c:auto val="1"/>
        <c:lblAlgn val="ctr"/>
        <c:lblOffset val="100"/>
        <c:noMultiLvlLbl val="0"/>
      </c:catAx>
      <c:valAx>
        <c:axId val="257220608"/>
        <c:scaling>
          <c:orientation val="minMax"/>
        </c:scaling>
        <c:delete val="1"/>
        <c:axPos val="b"/>
        <c:numFmt formatCode="General" sourceLinked="1"/>
        <c:majorTickMark val="out"/>
        <c:minorTickMark val="none"/>
        <c:tickLblPos val="nextTo"/>
        <c:crossAx val="257213568"/>
        <c:crosses val="autoZero"/>
        <c:crossBetween val="between"/>
      </c:valAx>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lang="en-GB"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'Figs11-13'!$B$23:$C$32</c:f>
              <c:multiLvlStrCache>
                <c:ptCount val="10"/>
                <c:lvl>
                  <c:pt idx="0">
                    <c:v>Fiji</c:v>
                  </c:pt>
                  <c:pt idx="1">
                    <c:v>PNG</c:v>
                  </c:pt>
                  <c:pt idx="2">
                    <c:v>Samoa</c:v>
                  </c:pt>
                  <c:pt idx="3">
                    <c:v>Vanuatu</c:v>
                  </c:pt>
                  <c:pt idx="4">
                    <c:v>Solomons</c:v>
                  </c:pt>
                  <c:pt idx="5">
                    <c:v>SIS's</c:v>
                  </c:pt>
                  <c:pt idx="6">
                    <c:v>Australia</c:v>
                  </c:pt>
                  <c:pt idx="7">
                    <c:v>Fiji - CSS</c:v>
                  </c:pt>
                  <c:pt idx="8">
                    <c:v>Management (TAFEQ)</c:v>
                  </c:pt>
                  <c:pt idx="9">
                    <c:v>Other</c:v>
                  </c:pt>
                </c:lvl>
                <c:lvl>
                  <c:pt idx="0">
                    <c:v>Direct training costs ($95.6 = 67%)</c:v>
                  </c:pt>
                  <c:pt idx="6">
                    <c:v>Overhead ($47.8 = 33%)</c:v>
                  </c:pt>
                </c:lvl>
              </c:multiLvlStrCache>
            </c:multiLvlStrRef>
          </c:cat>
          <c:val>
            <c:numRef>
              <c:f>'Figs11-13'!$D$23:$D$32</c:f>
              <c:numCache>
                <c:formatCode>_(\$* #,##0.0_);_(\$* \(#,##0.0\);_(\$* "-"??_);_(@_)</c:formatCode>
                <c:ptCount val="10"/>
                <c:pt idx="0">
                  <c:v>33.797134659999998</c:v>
                </c:pt>
                <c:pt idx="1">
                  <c:v>29.866480500000002</c:v>
                </c:pt>
                <c:pt idx="2">
                  <c:v>16.086725699999999</c:v>
                </c:pt>
                <c:pt idx="3">
                  <c:v>10.049841839999999</c:v>
                </c:pt>
                <c:pt idx="4">
                  <c:v>4.864597219999955</c:v>
                </c:pt>
                <c:pt idx="5">
                  <c:v>0.91212866000000004</c:v>
                </c:pt>
                <c:pt idx="6">
                  <c:v>8.0887240100000017</c:v>
                </c:pt>
                <c:pt idx="7">
                  <c:v>15.99860636</c:v>
                </c:pt>
                <c:pt idx="8">
                  <c:v>20.062625000000001</c:v>
                </c:pt>
                <c:pt idx="9">
                  <c:v>3.6903066199999999</c:v>
                </c:pt>
              </c:numCache>
            </c:numRef>
          </c:val>
        </c:ser>
        <c:dLbls>
          <c:showLegendKey val="0"/>
          <c:showVal val="0"/>
          <c:showCatName val="0"/>
          <c:showSerName val="0"/>
          <c:showPercent val="0"/>
          <c:showBubbleSize val="0"/>
        </c:dLbls>
        <c:gapWidth val="150"/>
        <c:axId val="356903936"/>
        <c:axId val="356905728"/>
      </c:barChart>
      <c:catAx>
        <c:axId val="356903936"/>
        <c:scaling>
          <c:orientation val="minMax"/>
        </c:scaling>
        <c:delete val="0"/>
        <c:axPos val="b"/>
        <c:numFmt formatCode="General" sourceLinked="0"/>
        <c:majorTickMark val="out"/>
        <c:minorTickMark val="none"/>
        <c:tickLblPos val="nextTo"/>
        <c:txPr>
          <a:bodyPr/>
          <a:lstStyle/>
          <a:p>
            <a:pPr>
              <a:defRPr lang="en-GB" sz="900"/>
            </a:pPr>
            <a:endParaRPr lang="en-US"/>
          </a:p>
        </c:txPr>
        <c:crossAx val="356905728"/>
        <c:crosses val="autoZero"/>
        <c:auto val="1"/>
        <c:lblAlgn val="ctr"/>
        <c:lblOffset val="100"/>
        <c:noMultiLvlLbl val="0"/>
      </c:catAx>
      <c:valAx>
        <c:axId val="356905728"/>
        <c:scaling>
          <c:orientation val="minMax"/>
        </c:scaling>
        <c:delete val="1"/>
        <c:axPos val="l"/>
        <c:majorGridlines/>
        <c:numFmt formatCode="_(\$* #,##0.0_);_(\$* \(#,##0.0\);_(\$* &quot;-&quot;??_);_(@_)" sourceLinked="1"/>
        <c:majorTickMark val="out"/>
        <c:minorTickMark val="none"/>
        <c:tickLblPos val="none"/>
        <c:crossAx val="356903936"/>
        <c:crosses val="autoZero"/>
        <c:crossBetween val="between"/>
      </c:valAx>
    </c:plotArea>
    <c:plotVisOnly val="1"/>
    <c:dispBlanksAs val="gap"/>
    <c:showDLblsOverMax val="0"/>
  </c:chart>
  <c:spPr>
    <a:ln>
      <a:noFill/>
    </a:ln>
  </c:spPr>
  <c:txPr>
    <a:bodyPr/>
    <a:lstStyle/>
    <a:p>
      <a:pPr>
        <a:defRPr sz="1100" b="1">
          <a:latin typeface="Arial" pitchFamily="34" charset="0"/>
          <a:cs typeface="Arial"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
          <c:dPt>
            <c:idx val="0"/>
            <c:bubble3D val="0"/>
            <c:spPr>
              <a:solidFill>
                <a:srgbClr val="FFFF00"/>
              </a:solidFill>
            </c:spPr>
          </c:dPt>
          <c:dPt>
            <c:idx val="1"/>
            <c:bubble3D val="0"/>
            <c:spPr>
              <a:solidFill>
                <a:srgbClr val="FF0000"/>
              </a:solidFill>
            </c:spPr>
          </c:dPt>
          <c:dPt>
            <c:idx val="2"/>
            <c:bubble3D val="0"/>
            <c:spPr>
              <a:solidFill>
                <a:schemeClr val="accent5">
                  <a:lumMod val="40000"/>
                  <a:lumOff val="60000"/>
                </a:schemeClr>
              </a:solidFill>
            </c:spPr>
          </c:dPt>
          <c:dPt>
            <c:idx val="3"/>
            <c:bubble3D val="0"/>
            <c:spPr>
              <a:solidFill>
                <a:srgbClr val="00B050"/>
              </a:solidFill>
            </c:spPr>
          </c:dPt>
          <c:dPt>
            <c:idx val="4"/>
            <c:bubble3D val="0"/>
            <c:spPr>
              <a:solidFill>
                <a:schemeClr val="accent6">
                  <a:lumMod val="60000"/>
                  <a:lumOff val="40000"/>
                </a:schemeClr>
              </a:solidFill>
            </c:spPr>
          </c:dPt>
          <c:dPt>
            <c:idx val="5"/>
            <c:bubble3D val="0"/>
            <c:spPr>
              <a:solidFill>
                <a:schemeClr val="accent1"/>
              </a:solidFill>
            </c:spPr>
          </c:dPt>
          <c:dLbls>
            <c:dLbl>
              <c:idx val="0"/>
              <c:layout>
                <c:manualLayout>
                  <c:x val="9.9545056867891505E-3"/>
                  <c:y val="-0.215838436862059"/>
                </c:manualLayout>
              </c:layout>
              <c:spPr>
                <a:solidFill>
                  <a:schemeClr val="lt1"/>
                </a:solidFill>
                <a:ln w="6350" cap="flat" cmpd="sng" algn="ctr">
                  <a:solidFill>
                    <a:sysClr val="windowText" lastClr="000000"/>
                  </a:solidFill>
                  <a:prstDash val="solid"/>
                  <a:round/>
                  <a:headEnd type="none" w="med" len="med"/>
                  <a:tailEnd type="none" w="med" len="med"/>
                </a:ln>
                <a:effectLst/>
              </c:spPr>
              <c:txPr>
                <a:bodyPr/>
                <a:lstStyle/>
                <a:p>
                  <a:pPr>
                    <a:defRPr lang="en-GB" sz="900"/>
                  </a:pPr>
                  <a:endParaRPr lang="en-US"/>
                </a:p>
              </c:txPr>
              <c:showLegendKey val="0"/>
              <c:showVal val="1"/>
              <c:showCatName val="1"/>
              <c:showSerName val="0"/>
              <c:showPercent val="1"/>
              <c:showBubbleSize val="0"/>
              <c:extLst>
                <c:ext xmlns:c15="http://schemas.microsoft.com/office/drawing/2012/chart" uri="{CE6537A1-D6FC-4f65-9D91-7224C49458BB}">
                  <c15:layout/>
                </c:ext>
              </c:extLst>
            </c:dLbl>
            <c:dLbl>
              <c:idx val="1"/>
              <c:spPr>
                <a:solidFill>
                  <a:schemeClr val="lt1"/>
                </a:solidFill>
                <a:ln w="6350" cap="flat" cmpd="sng" algn="ctr">
                  <a:solidFill>
                    <a:sysClr val="windowText" lastClr="000000"/>
                  </a:solidFill>
                  <a:prstDash val="solid"/>
                  <a:round/>
                  <a:headEnd type="none" w="med" len="med"/>
                  <a:tailEnd type="none" w="med" len="med"/>
                </a:ln>
                <a:effectLst/>
              </c:spPr>
              <c:txPr>
                <a:bodyPr/>
                <a:lstStyle/>
                <a:p>
                  <a:pPr>
                    <a:defRPr lang="en-GB" sz="900"/>
                  </a:pPr>
                  <a:endParaRPr lang="en-US"/>
                </a:p>
              </c:txPr>
              <c:showLegendKey val="0"/>
              <c:showVal val="1"/>
              <c:showCatName val="1"/>
              <c:showSerName val="0"/>
              <c:showPercent val="1"/>
              <c:showBubbleSize val="0"/>
            </c:dLbl>
            <c:dLbl>
              <c:idx val="2"/>
              <c:layout>
                <c:manualLayout>
                  <c:x val="3.8881014873140898E-2"/>
                  <c:y val="-1.3178404782735499E-2"/>
                </c:manualLayout>
              </c:layout>
              <c:tx>
                <c:rich>
                  <a:bodyPr/>
                  <a:lstStyle/>
                  <a:p>
                    <a:pPr>
                      <a:defRPr lang="en-GB"/>
                    </a:pPr>
                    <a:r>
                      <a:rPr lang="en-US" sz="900"/>
                      <a:t>Vanuatu
264.7
3%</a:t>
                    </a:r>
                  </a:p>
                </c:rich>
              </c:tx>
              <c:spPr>
                <a:solidFill>
                  <a:schemeClr val="lt1"/>
                </a:solidFill>
                <a:ln w="6350" cap="flat" cmpd="sng" algn="ctr">
                  <a:solidFill>
                    <a:sysClr val="windowText" lastClr="000000"/>
                  </a:solidFill>
                  <a:prstDash val="solid"/>
                  <a:round/>
                  <a:headEnd type="none" w="med" len="med"/>
                  <a:tailEnd type="none" w="med" len="med"/>
                </a:ln>
                <a:effectLst/>
              </c:sp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5.1266404199475098E-2"/>
                  <c:y val="4.6568970545348601E-2"/>
                </c:manualLayout>
              </c:layout>
              <c:spPr>
                <a:solidFill>
                  <a:schemeClr val="lt1"/>
                </a:solidFill>
                <a:ln w="6350" cap="flat" cmpd="sng" algn="ctr">
                  <a:solidFill>
                    <a:sysClr val="windowText" lastClr="000000"/>
                  </a:solidFill>
                  <a:prstDash val="solid"/>
                  <a:round/>
                  <a:headEnd type="none" w="med" len="med"/>
                  <a:tailEnd type="none" w="med" len="med"/>
                </a:ln>
                <a:effectLst/>
              </c:spPr>
              <c:txPr>
                <a:bodyPr/>
                <a:lstStyle/>
                <a:p>
                  <a:pPr>
                    <a:defRPr lang="en-GB" sz="900"/>
                  </a:pPr>
                  <a:endParaRPr lang="en-US"/>
                </a:p>
              </c:txPr>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1.16410761154856E-2"/>
                  <c:y val="1.6684529017206198E-2"/>
                </c:manualLayout>
              </c:layout>
              <c:spPr>
                <a:solidFill>
                  <a:schemeClr val="lt1"/>
                </a:solidFill>
                <a:ln w="6350" cap="flat" cmpd="sng" algn="ctr">
                  <a:solidFill>
                    <a:sysClr val="windowText" lastClr="000000"/>
                  </a:solidFill>
                  <a:prstDash val="solid"/>
                  <a:round/>
                  <a:headEnd type="none" w="med" len="med"/>
                  <a:tailEnd type="none" w="med" len="med"/>
                </a:ln>
                <a:effectLst/>
              </c:spPr>
              <c:txPr>
                <a:bodyPr/>
                <a:lstStyle/>
                <a:p>
                  <a:pPr>
                    <a:defRPr lang="en-GB" sz="900"/>
                  </a:pPr>
                  <a:endParaRPr lang="en-US"/>
                </a:p>
              </c:txPr>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204825896762905"/>
                  <c:y val="8.9598279381744E-2"/>
                </c:manualLayout>
              </c:layout>
              <c:spPr>
                <a:solidFill>
                  <a:schemeClr val="lt1"/>
                </a:solidFill>
                <a:ln w="6350" cap="flat" cmpd="sng" algn="ctr">
                  <a:solidFill>
                    <a:sysClr val="windowText" lastClr="000000"/>
                  </a:solidFill>
                  <a:prstDash val="solid"/>
                  <a:round/>
                  <a:headEnd type="none" w="med" len="med"/>
                  <a:tailEnd type="none" w="med" len="med"/>
                </a:ln>
                <a:effectLst/>
              </c:spPr>
              <c:txPr>
                <a:bodyPr/>
                <a:lstStyle/>
                <a:p>
                  <a:pPr>
                    <a:defRPr lang="en-GB" sz="900"/>
                  </a:pPr>
                  <a:endParaRPr lang="en-US"/>
                </a:p>
              </c:txPr>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lang="en-GB"/>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'Figs16&amp;18'!$B$40:$B$45</c:f>
              <c:strCache>
                <c:ptCount val="6"/>
                <c:pt idx="0">
                  <c:v>SIS's</c:v>
                </c:pt>
                <c:pt idx="1">
                  <c:v>Samoa</c:v>
                </c:pt>
                <c:pt idx="2">
                  <c:v>Vanuatu</c:v>
                </c:pt>
                <c:pt idx="3">
                  <c:v>Solomons</c:v>
                </c:pt>
                <c:pt idx="4">
                  <c:v>Fiji</c:v>
                </c:pt>
                <c:pt idx="5">
                  <c:v>PNG</c:v>
                </c:pt>
              </c:strCache>
            </c:strRef>
          </c:cat>
          <c:val>
            <c:numRef>
              <c:f>'Figs16&amp;18'!$C$40:$C$45</c:f>
              <c:numCache>
                <c:formatCode>#,##0.0</c:formatCode>
                <c:ptCount val="6"/>
                <c:pt idx="0">
                  <c:v>425.69</c:v>
                </c:pt>
                <c:pt idx="1">
                  <c:v>187.82</c:v>
                </c:pt>
                <c:pt idx="2">
                  <c:v>264.65199999999999</c:v>
                </c:pt>
                <c:pt idx="3">
                  <c:v>581.34399999999937</c:v>
                </c:pt>
                <c:pt idx="4">
                  <c:v>858.03800000000001</c:v>
                </c:pt>
                <c:pt idx="5">
                  <c:v>7398.5</c:v>
                </c:pt>
              </c:numCache>
            </c:numRef>
          </c:val>
        </c:ser>
        <c:dLbls>
          <c:showLegendKey val="0"/>
          <c:showVal val="1"/>
          <c:showCatName val="0"/>
          <c:showSerName val="0"/>
          <c:showPercent val="0"/>
          <c:showBubbleSize val="0"/>
          <c:showLeaderLines val="1"/>
        </c:dLbls>
        <c:firstSliceAng val="59"/>
      </c:pieChart>
    </c:plotArea>
    <c:plotVisOnly val="1"/>
    <c:dispBlanksAs val="zero"/>
    <c:showDLblsOverMax val="0"/>
  </c:chart>
  <c:spPr>
    <a:ln>
      <a:noFill/>
    </a:ln>
  </c:spPr>
  <c:txPr>
    <a:bodyPr/>
    <a:lstStyle/>
    <a:p>
      <a:pPr>
        <a:defRPr sz="1200" b="1">
          <a:latin typeface="Arial" pitchFamily="34" charset="0"/>
          <a:cs typeface="Arial" pitchFamily="34" charset="0"/>
        </a:defRPr>
      </a:pPr>
      <a:endParaRPr lang="en-US"/>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256933508311503"/>
          <c:y val="5.0925925925925902E-2"/>
          <c:w val="0.56168766404199499"/>
          <c:h val="0.69078703703703703"/>
        </c:manualLayout>
      </c:layout>
      <c:barChart>
        <c:barDir val="bar"/>
        <c:grouping val="percentStacked"/>
        <c:varyColors val="0"/>
        <c:ser>
          <c:idx val="0"/>
          <c:order val="0"/>
          <c:tx>
            <c:strRef>
              <c:f>'Fig26'!$I$2</c:f>
              <c:strCache>
                <c:ptCount val="1"/>
                <c:pt idx="0">
                  <c:v>Expatriate</c:v>
                </c:pt>
              </c:strCache>
            </c:strRef>
          </c:tx>
          <c:spPr>
            <a:solidFill>
              <a:srgbClr val="0070C0"/>
            </a:solidFill>
            <a:ln w="6350">
              <a:noFill/>
            </a:ln>
          </c:spPr>
          <c:invertIfNegative val="0"/>
          <c:cat>
            <c:multiLvlStrRef>
              <c:f>'Fig26'!$G$3:$H$11</c:f>
              <c:multiLvlStrCache>
                <c:ptCount val="9"/>
                <c:lvl>
                  <c:pt idx="0">
                    <c:v>Teachers (73)</c:v>
                  </c:pt>
                  <c:pt idx="1">
                    <c:v>Other admin. (90.5)</c:v>
                  </c:pt>
                  <c:pt idx="2">
                    <c:v>Managers (25)</c:v>
                  </c:pt>
                  <c:pt idx="3">
                    <c:v>All staff (188.5)</c:v>
                  </c:pt>
                  <c:pt idx="5">
                    <c:v>Teachers (93.5)</c:v>
                  </c:pt>
                  <c:pt idx="6">
                    <c:v>Other admin. (71.5)</c:v>
                  </c:pt>
                  <c:pt idx="7">
                    <c:v>Managers (20.5)</c:v>
                  </c:pt>
                  <c:pt idx="8">
                    <c:v>All staff (185.5)</c:v>
                  </c:pt>
                </c:lvl>
                <c:lvl>
                  <c:pt idx="0">
                    <c:v>2019</c:v>
                  </c:pt>
                  <c:pt idx="5">
                    <c:v>2014</c:v>
                  </c:pt>
                </c:lvl>
              </c:multiLvlStrCache>
            </c:multiLvlStrRef>
          </c:cat>
          <c:val>
            <c:numRef>
              <c:f>'Fig26'!$I$3:$I$11</c:f>
              <c:numCache>
                <c:formatCode>0%</c:formatCode>
                <c:ptCount val="9"/>
                <c:pt idx="0">
                  <c:v>0.19178082191780799</c:v>
                </c:pt>
                <c:pt idx="1">
                  <c:v>0</c:v>
                </c:pt>
                <c:pt idx="2">
                  <c:v>0.36</c:v>
                </c:pt>
                <c:pt idx="3">
                  <c:v>0.12201591511936299</c:v>
                </c:pt>
                <c:pt idx="5">
                  <c:v>0.42245989304812798</c:v>
                </c:pt>
                <c:pt idx="6">
                  <c:v>0.14685314685314699</c:v>
                </c:pt>
                <c:pt idx="7">
                  <c:v>0.85365853658536595</c:v>
                </c:pt>
                <c:pt idx="8">
                  <c:v>0.36388140161725102</c:v>
                </c:pt>
              </c:numCache>
            </c:numRef>
          </c:val>
        </c:ser>
        <c:ser>
          <c:idx val="1"/>
          <c:order val="1"/>
          <c:tx>
            <c:strRef>
              <c:f>'Fig26'!$J$2</c:f>
              <c:strCache>
                <c:ptCount val="1"/>
                <c:pt idx="0">
                  <c:v>National</c:v>
                </c:pt>
              </c:strCache>
            </c:strRef>
          </c:tx>
          <c:spPr>
            <a:solidFill>
              <a:srgbClr val="FFFF00"/>
            </a:solidFill>
            <a:ln>
              <a:noFill/>
            </a:ln>
          </c:spPr>
          <c:invertIfNegative val="0"/>
          <c:dLbls>
            <c:spPr>
              <a:noFill/>
              <a:ln>
                <a:noFill/>
              </a:ln>
              <a:effectLst/>
            </c:spPr>
            <c:txPr>
              <a:bodyPr/>
              <a:lstStyle/>
              <a:p>
                <a:pPr>
                  <a:defRPr lang="en-GB"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'Fig26'!$G$3:$H$11</c:f>
              <c:multiLvlStrCache>
                <c:ptCount val="9"/>
                <c:lvl>
                  <c:pt idx="0">
                    <c:v>Teachers (73)</c:v>
                  </c:pt>
                  <c:pt idx="1">
                    <c:v>Other admin. (90.5)</c:v>
                  </c:pt>
                  <c:pt idx="2">
                    <c:v>Managers (25)</c:v>
                  </c:pt>
                  <c:pt idx="3">
                    <c:v>All staff (188.5)</c:v>
                  </c:pt>
                  <c:pt idx="5">
                    <c:v>Teachers (93.5)</c:v>
                  </c:pt>
                  <c:pt idx="6">
                    <c:v>Other admin. (71.5)</c:v>
                  </c:pt>
                  <c:pt idx="7">
                    <c:v>Managers (20.5)</c:v>
                  </c:pt>
                  <c:pt idx="8">
                    <c:v>All staff (185.5)</c:v>
                  </c:pt>
                </c:lvl>
                <c:lvl>
                  <c:pt idx="0">
                    <c:v>2019</c:v>
                  </c:pt>
                  <c:pt idx="5">
                    <c:v>2014</c:v>
                  </c:pt>
                </c:lvl>
              </c:multiLvlStrCache>
            </c:multiLvlStrRef>
          </c:cat>
          <c:val>
            <c:numRef>
              <c:f>'Fig26'!$J$3:$J$11</c:f>
              <c:numCache>
                <c:formatCode>0%</c:formatCode>
                <c:ptCount val="9"/>
                <c:pt idx="0">
                  <c:v>0.80821917808219201</c:v>
                </c:pt>
                <c:pt idx="1">
                  <c:v>1</c:v>
                </c:pt>
                <c:pt idx="2">
                  <c:v>0.64</c:v>
                </c:pt>
                <c:pt idx="3">
                  <c:v>0.87798408488063695</c:v>
                </c:pt>
                <c:pt idx="5">
                  <c:v>0.57754010695187197</c:v>
                </c:pt>
                <c:pt idx="6">
                  <c:v>0.85314685314685301</c:v>
                </c:pt>
                <c:pt idx="7">
                  <c:v>0.146341463414634</c:v>
                </c:pt>
                <c:pt idx="8">
                  <c:v>0.63611859838274898</c:v>
                </c:pt>
              </c:numCache>
            </c:numRef>
          </c:val>
        </c:ser>
        <c:dLbls>
          <c:showLegendKey val="0"/>
          <c:showVal val="0"/>
          <c:showCatName val="0"/>
          <c:showSerName val="0"/>
          <c:showPercent val="0"/>
          <c:showBubbleSize val="0"/>
        </c:dLbls>
        <c:gapWidth val="150"/>
        <c:overlap val="100"/>
        <c:axId val="358978688"/>
        <c:axId val="358980224"/>
      </c:barChart>
      <c:catAx>
        <c:axId val="358978688"/>
        <c:scaling>
          <c:orientation val="minMax"/>
        </c:scaling>
        <c:delete val="0"/>
        <c:axPos val="l"/>
        <c:numFmt formatCode="General" sourceLinked="0"/>
        <c:majorTickMark val="out"/>
        <c:minorTickMark val="none"/>
        <c:tickLblPos val="nextTo"/>
        <c:txPr>
          <a:bodyPr/>
          <a:lstStyle/>
          <a:p>
            <a:pPr>
              <a:defRPr lang="en-GB" sz="900"/>
            </a:pPr>
            <a:endParaRPr lang="en-US"/>
          </a:p>
        </c:txPr>
        <c:crossAx val="358980224"/>
        <c:crosses val="autoZero"/>
        <c:auto val="1"/>
        <c:lblAlgn val="ctr"/>
        <c:lblOffset val="100"/>
        <c:noMultiLvlLbl val="0"/>
      </c:catAx>
      <c:valAx>
        <c:axId val="358980224"/>
        <c:scaling>
          <c:orientation val="minMax"/>
        </c:scaling>
        <c:delete val="0"/>
        <c:axPos val="b"/>
        <c:majorGridlines/>
        <c:numFmt formatCode="0%" sourceLinked="1"/>
        <c:majorTickMark val="out"/>
        <c:minorTickMark val="none"/>
        <c:tickLblPos val="nextTo"/>
        <c:txPr>
          <a:bodyPr/>
          <a:lstStyle/>
          <a:p>
            <a:pPr>
              <a:defRPr lang="en-GB" sz="900"/>
            </a:pPr>
            <a:endParaRPr lang="en-US"/>
          </a:p>
        </c:txPr>
        <c:crossAx val="358978688"/>
        <c:crosses val="autoZero"/>
        <c:crossBetween val="between"/>
      </c:valAx>
    </c:plotArea>
    <c:legend>
      <c:legendPos val="b"/>
      <c:layout>
        <c:manualLayout>
          <c:xMode val="edge"/>
          <c:yMode val="edge"/>
          <c:x val="0.29397944006999099"/>
          <c:y val="0.88289041994750705"/>
          <c:w val="0.492596675415573"/>
          <c:h val="8.9331802274715696E-2"/>
        </c:manualLayout>
      </c:layout>
      <c:overlay val="0"/>
      <c:spPr>
        <a:solidFill>
          <a:schemeClr val="lt1"/>
        </a:solidFill>
        <a:ln w="25400" cap="flat" cmpd="sng" algn="ctr">
          <a:solidFill>
            <a:schemeClr val="accent5"/>
          </a:solidFill>
          <a:prstDash val="solid"/>
        </a:ln>
        <a:effectLst/>
      </c:spPr>
      <c:txPr>
        <a:bodyPr/>
        <a:lstStyle/>
        <a:p>
          <a:pPr>
            <a:defRPr lang="en-GB" sz="900">
              <a:solidFill>
                <a:schemeClr val="dk1"/>
              </a:solidFill>
              <a:latin typeface="Arial" pitchFamily="34" charset="0"/>
              <a:ea typeface="+mn-ea"/>
              <a:cs typeface="Arial" pitchFamily="34" charset="0"/>
            </a:defRPr>
          </a:pPr>
          <a:endParaRPr lang="en-US"/>
        </a:p>
      </c:txPr>
    </c:legend>
    <c:plotVisOnly val="1"/>
    <c:dispBlanksAs val="gap"/>
    <c:showDLblsOverMax val="0"/>
  </c:chart>
  <c:txPr>
    <a:bodyPr/>
    <a:lstStyle/>
    <a:p>
      <a:pPr>
        <a:defRPr sz="1100" b="1">
          <a:latin typeface="Arial" pitchFamily="34" charset="0"/>
          <a:cs typeface="Arial" pitchFamily="34"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Sheet1!$B$19</c:f>
              <c:strCache>
                <c:ptCount val="1"/>
                <c:pt idx="0">
                  <c:v>Costs</c:v>
                </c:pt>
              </c:strCache>
            </c:strRef>
          </c:tx>
          <c:invertIfNegative val="0"/>
          <c:cat>
            <c:numRef>
              <c:f>Sheet1!$C$18:$AE$18</c:f>
              <c:numCache>
                <c:formatCode>General</c:formatCode>
                <c:ptCount val="2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pt idx="26">
                  <c:v>2033</c:v>
                </c:pt>
                <c:pt idx="27">
                  <c:v>2034</c:v>
                </c:pt>
                <c:pt idx="28">
                  <c:v>2035</c:v>
                </c:pt>
              </c:numCache>
            </c:numRef>
          </c:cat>
          <c:val>
            <c:numRef>
              <c:f>Sheet1!$C$19:$AE$19</c:f>
              <c:numCache>
                <c:formatCode>0</c:formatCode>
                <c:ptCount val="29"/>
                <c:pt idx="0">
                  <c:v>-22.030567423185889</c:v>
                </c:pt>
                <c:pt idx="1">
                  <c:v>-33.731073430346392</c:v>
                </c:pt>
                <c:pt idx="2">
                  <c:v>-38.507521108403473</c:v>
                </c:pt>
                <c:pt idx="3">
                  <c:v>-34.921228697067242</c:v>
                </c:pt>
                <c:pt idx="4">
                  <c:v>-28.230786973033709</c:v>
                </c:pt>
                <c:pt idx="5">
                  <c:v>-35.998219000000013</c:v>
                </c:pt>
                <c:pt idx="6">
                  <c:v>-41.910152902348322</c:v>
                </c:pt>
                <c:pt idx="7">
                  <c:v>-43.474727300350878</c:v>
                </c:pt>
                <c:pt idx="8">
                  <c:v>-17.485731150175219</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val>
        </c:ser>
        <c:ser>
          <c:idx val="1"/>
          <c:order val="1"/>
          <c:tx>
            <c:strRef>
              <c:f>Sheet1!$B$20</c:f>
              <c:strCache>
                <c:ptCount val="1"/>
                <c:pt idx="0">
                  <c:v>Benefits</c:v>
                </c:pt>
              </c:strCache>
            </c:strRef>
          </c:tx>
          <c:invertIfNegative val="0"/>
          <c:cat>
            <c:numRef>
              <c:f>Sheet1!$C$18:$AE$18</c:f>
              <c:numCache>
                <c:formatCode>General</c:formatCode>
                <c:ptCount val="2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pt idx="26">
                  <c:v>2033</c:v>
                </c:pt>
                <c:pt idx="27">
                  <c:v>2034</c:v>
                </c:pt>
                <c:pt idx="28">
                  <c:v>2035</c:v>
                </c:pt>
              </c:numCache>
            </c:numRef>
          </c:cat>
          <c:val>
            <c:numRef>
              <c:f>Sheet1!$C$20:$AE$20</c:f>
              <c:numCache>
                <c:formatCode>0</c:formatCode>
                <c:ptCount val="29"/>
                <c:pt idx="0">
                  <c:v>3.0606999999999999E-2</c:v>
                </c:pt>
                <c:pt idx="1">
                  <c:v>0.86858800000000003</c:v>
                </c:pt>
                <c:pt idx="2">
                  <c:v>3.5684290000000001</c:v>
                </c:pt>
                <c:pt idx="3">
                  <c:v>7.6639499999999856</c:v>
                </c:pt>
                <c:pt idx="4">
                  <c:v>11.126880600319859</c:v>
                </c:pt>
                <c:pt idx="5">
                  <c:v>13.80231488249493</c:v>
                </c:pt>
                <c:pt idx="6">
                  <c:v>17.233438127100939</c:v>
                </c:pt>
                <c:pt idx="7">
                  <c:v>24.509401848124501</c:v>
                </c:pt>
                <c:pt idx="8">
                  <c:v>27.237834547572131</c:v>
                </c:pt>
                <c:pt idx="9">
                  <c:v>27.924466431666371</c:v>
                </c:pt>
                <c:pt idx="10">
                  <c:v>28.676300083949091</c:v>
                </c:pt>
                <c:pt idx="11">
                  <c:v>30.399720406077389</c:v>
                </c:pt>
                <c:pt idx="12">
                  <c:v>30.89396684812451</c:v>
                </c:pt>
                <c:pt idx="13">
                  <c:v>30.8939678481245</c:v>
                </c:pt>
                <c:pt idx="14">
                  <c:v>30.887292047859191</c:v>
                </c:pt>
                <c:pt idx="15">
                  <c:v>30.691662806055071</c:v>
                </c:pt>
                <c:pt idx="16">
                  <c:v>30.06137388223457</c:v>
                </c:pt>
                <c:pt idx="17">
                  <c:v>29.10525712138557</c:v>
                </c:pt>
                <c:pt idx="18">
                  <c:v>28.298700665254589</c:v>
                </c:pt>
                <c:pt idx="19">
                  <c:v>27.7291706218586</c:v>
                </c:pt>
                <c:pt idx="20">
                  <c:v>27.10555849167061</c:v>
                </c:pt>
                <c:pt idx="21">
                  <c:v>25.647456643083569</c:v>
                </c:pt>
                <c:pt idx="22">
                  <c:v>24.399522121385569</c:v>
                </c:pt>
                <c:pt idx="23">
                  <c:v>21.699683121385569</c:v>
                </c:pt>
                <c:pt idx="24">
                  <c:v>17.604164121385569</c:v>
                </c:pt>
                <c:pt idx="25">
                  <c:v>14.149285121385571</c:v>
                </c:pt>
                <c:pt idx="26">
                  <c:v>11.70970612138558</c:v>
                </c:pt>
                <c:pt idx="27">
                  <c:v>9.0384671213855476</c:v>
                </c:pt>
                <c:pt idx="28">
                  <c:v>2.9152081213855721</c:v>
                </c:pt>
              </c:numCache>
            </c:numRef>
          </c:val>
        </c:ser>
        <c:dLbls>
          <c:showLegendKey val="0"/>
          <c:showVal val="0"/>
          <c:showCatName val="0"/>
          <c:showSerName val="0"/>
          <c:showPercent val="0"/>
          <c:showBubbleSize val="0"/>
        </c:dLbls>
        <c:gapWidth val="150"/>
        <c:axId val="359034880"/>
        <c:axId val="359036416"/>
      </c:barChart>
      <c:catAx>
        <c:axId val="359034880"/>
        <c:scaling>
          <c:orientation val="minMax"/>
        </c:scaling>
        <c:delete val="0"/>
        <c:axPos val="b"/>
        <c:numFmt formatCode="General" sourceLinked="1"/>
        <c:majorTickMark val="out"/>
        <c:minorTickMark val="none"/>
        <c:tickLblPos val="nextTo"/>
        <c:txPr>
          <a:bodyPr rot="-5400000" vert="horz"/>
          <a:lstStyle/>
          <a:p>
            <a:pPr>
              <a:defRPr lang="en-GB" sz="900" b="1"/>
            </a:pPr>
            <a:endParaRPr lang="en-US"/>
          </a:p>
        </c:txPr>
        <c:crossAx val="359036416"/>
        <c:crosses val="autoZero"/>
        <c:auto val="1"/>
        <c:lblAlgn val="ctr"/>
        <c:lblOffset val="100"/>
        <c:noMultiLvlLbl val="0"/>
      </c:catAx>
      <c:valAx>
        <c:axId val="359036416"/>
        <c:scaling>
          <c:orientation val="minMax"/>
        </c:scaling>
        <c:delete val="0"/>
        <c:axPos val="l"/>
        <c:majorGridlines/>
        <c:numFmt formatCode="0" sourceLinked="1"/>
        <c:majorTickMark val="out"/>
        <c:minorTickMark val="none"/>
        <c:tickLblPos val="nextTo"/>
        <c:txPr>
          <a:bodyPr/>
          <a:lstStyle/>
          <a:p>
            <a:pPr>
              <a:defRPr lang="en-GB" sz="900" b="1"/>
            </a:pPr>
            <a:endParaRPr lang="en-US"/>
          </a:p>
        </c:txPr>
        <c:crossAx val="359034880"/>
        <c:crosses val="autoZero"/>
        <c:crossBetween val="between"/>
      </c:valAx>
    </c:plotArea>
    <c:legend>
      <c:legendPos val="b"/>
      <c:overlay val="0"/>
      <c:spPr>
        <a:solidFill>
          <a:schemeClr val="lt1"/>
        </a:solidFill>
        <a:ln w="25400" cap="flat" cmpd="sng" algn="ctr">
          <a:solidFill>
            <a:schemeClr val="accent5"/>
          </a:solidFill>
          <a:prstDash val="solid"/>
        </a:ln>
        <a:effectLst/>
      </c:spPr>
      <c:txPr>
        <a:bodyPr/>
        <a:lstStyle/>
        <a:p>
          <a:pPr>
            <a:defRPr lang="en-GB" sz="900">
              <a:solidFill>
                <a:schemeClr val="dk1"/>
              </a:solidFill>
              <a:latin typeface="Arial"/>
              <a:ea typeface="+mn-ea"/>
              <a:cs typeface="Arial"/>
            </a:defRPr>
          </a:pPr>
          <a:endParaRPr lang="en-US"/>
        </a:p>
      </c:txPr>
    </c:legend>
    <c:plotVisOnly val="1"/>
    <c:dispBlanksAs val="gap"/>
    <c:showDLblsOverMax val="0"/>
  </c:chart>
  <c:spPr>
    <a:ln>
      <a:noFill/>
    </a:ln>
  </c:spPr>
  <c:txPr>
    <a:bodyPr/>
    <a:lstStyle/>
    <a:p>
      <a:pPr>
        <a:defRPr sz="1100">
          <a:latin typeface="Arial" pitchFamily="34" charset="0"/>
          <a:cs typeface="Arial" pitchFamily="34"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922936716243798E-2"/>
          <c:y val="7.4646760863769701E-2"/>
          <c:w val="0.91261410032079304"/>
          <c:h val="0.61401788919280298"/>
        </c:manualLayout>
      </c:layout>
      <c:barChart>
        <c:barDir val="col"/>
        <c:grouping val="stacked"/>
        <c:varyColors val="0"/>
        <c:ser>
          <c:idx val="0"/>
          <c:order val="0"/>
          <c:tx>
            <c:strRef>
              <c:f>Sheet1!$B$27</c:f>
              <c:strCache>
                <c:ptCount val="1"/>
                <c:pt idx="0">
                  <c:v>Those who stay home</c:v>
                </c:pt>
              </c:strCache>
            </c:strRef>
          </c:tx>
          <c:spPr>
            <a:solidFill>
              <a:schemeClr val="accent6"/>
            </a:solidFill>
            <a:ln w="25400" cap="flat" cmpd="sng" algn="ctr">
              <a:noFill/>
              <a:prstDash val="solid"/>
            </a:ln>
            <a:effectLst/>
          </c:spPr>
          <c:invertIfNegative val="0"/>
          <c:cat>
            <c:numRef>
              <c:f>Sheet1!$C$26:$AE$26</c:f>
              <c:numCache>
                <c:formatCode>General</c:formatCode>
                <c:ptCount val="2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pt idx="26">
                  <c:v>2033</c:v>
                </c:pt>
                <c:pt idx="27">
                  <c:v>2034</c:v>
                </c:pt>
                <c:pt idx="28">
                  <c:v>2035</c:v>
                </c:pt>
              </c:numCache>
            </c:numRef>
          </c:cat>
          <c:val>
            <c:numRef>
              <c:f>Sheet1!$C$27:$AE$27</c:f>
              <c:numCache>
                <c:formatCode>0</c:formatCode>
                <c:ptCount val="29"/>
                <c:pt idx="0">
                  <c:v>3.0606999999999999E-2</c:v>
                </c:pt>
                <c:pt idx="1">
                  <c:v>0.86858800000000003</c:v>
                </c:pt>
                <c:pt idx="2">
                  <c:v>3.5684290000000001</c:v>
                </c:pt>
                <c:pt idx="3">
                  <c:v>7.6639499999999856</c:v>
                </c:pt>
                <c:pt idx="4">
                  <c:v>11.11814459997272</c:v>
                </c:pt>
                <c:pt idx="5">
                  <c:v>13.53761407978725</c:v>
                </c:pt>
                <c:pt idx="6">
                  <c:v>16.144058919394499</c:v>
                </c:pt>
                <c:pt idx="7">
                  <c:v>22.169027439307211</c:v>
                </c:pt>
                <c:pt idx="8">
                  <c:v>23.842151317648899</c:v>
                </c:pt>
                <c:pt idx="9">
                  <c:v>23.78360239729977</c:v>
                </c:pt>
                <c:pt idx="10">
                  <c:v>23.719493636252391</c:v>
                </c:pt>
                <c:pt idx="11">
                  <c:v>23.57253639948177</c:v>
                </c:pt>
                <c:pt idx="12">
                  <c:v>23.53039243930721</c:v>
                </c:pt>
                <c:pt idx="13">
                  <c:v>23.530393439307211</c:v>
                </c:pt>
                <c:pt idx="14">
                  <c:v>23.531080839334489</c:v>
                </c:pt>
                <c:pt idx="15">
                  <c:v>23.55119335951996</c:v>
                </c:pt>
                <c:pt idx="16">
                  <c:v>23.615990519912721</c:v>
                </c:pt>
                <c:pt idx="17">
                  <c:v>23.714283999999999</c:v>
                </c:pt>
                <c:pt idx="18">
                  <c:v>23.79720212165833</c:v>
                </c:pt>
                <c:pt idx="19">
                  <c:v>23.85575304200745</c:v>
                </c:pt>
                <c:pt idx="20">
                  <c:v>23.91986380305481</c:v>
                </c:pt>
                <c:pt idx="21">
                  <c:v>24.038223039825439</c:v>
                </c:pt>
                <c:pt idx="22">
                  <c:v>23.242388999999999</c:v>
                </c:pt>
                <c:pt idx="23">
                  <c:v>20.542549999999778</c:v>
                </c:pt>
                <c:pt idx="24">
                  <c:v>16.447030999999999</c:v>
                </c:pt>
                <c:pt idx="25">
                  <c:v>12.992152000000001</c:v>
                </c:pt>
                <c:pt idx="26">
                  <c:v>10.552573000000001</c:v>
                </c:pt>
                <c:pt idx="27">
                  <c:v>7.8813339999999998</c:v>
                </c:pt>
                <c:pt idx="28">
                  <c:v>1.7580750000000001</c:v>
                </c:pt>
              </c:numCache>
            </c:numRef>
          </c:val>
        </c:ser>
        <c:ser>
          <c:idx val="1"/>
          <c:order val="1"/>
          <c:tx>
            <c:strRef>
              <c:f>Sheet1!$B$28</c:f>
              <c:strCache>
                <c:ptCount val="1"/>
                <c:pt idx="0">
                  <c:v>Those who migrate</c:v>
                </c:pt>
              </c:strCache>
            </c:strRef>
          </c:tx>
          <c:spPr>
            <a:solidFill>
              <a:schemeClr val="accent5">
                <a:lumMod val="60000"/>
                <a:lumOff val="40000"/>
              </a:schemeClr>
            </a:solidFill>
            <a:ln w="25400" cap="flat" cmpd="sng" algn="ctr">
              <a:noFill/>
              <a:prstDash val="solid"/>
            </a:ln>
            <a:effectLst/>
          </c:spPr>
          <c:invertIfNegative val="0"/>
          <c:cat>
            <c:numRef>
              <c:f>Sheet1!$C$26:$AE$26</c:f>
              <c:numCache>
                <c:formatCode>General</c:formatCode>
                <c:ptCount val="2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pt idx="26">
                  <c:v>2033</c:v>
                </c:pt>
                <c:pt idx="27">
                  <c:v>2034</c:v>
                </c:pt>
                <c:pt idx="28">
                  <c:v>2035</c:v>
                </c:pt>
              </c:numCache>
            </c:numRef>
          </c:cat>
          <c:val>
            <c:numRef>
              <c:f>Sheet1!$C$28:$AE$28</c:f>
              <c:numCache>
                <c:formatCode>0</c:formatCode>
                <c:ptCount val="29"/>
                <c:pt idx="0">
                  <c:v>0</c:v>
                </c:pt>
                <c:pt idx="1">
                  <c:v>0</c:v>
                </c:pt>
                <c:pt idx="2">
                  <c:v>0</c:v>
                </c:pt>
                <c:pt idx="3">
                  <c:v>0</c:v>
                </c:pt>
                <c:pt idx="4">
                  <c:v>8.7360003471374497E-3</c:v>
                </c:pt>
                <c:pt idx="5">
                  <c:v>0.26470080270767199</c:v>
                </c:pt>
                <c:pt idx="6">
                  <c:v>1.089379207706451</c:v>
                </c:pt>
                <c:pt idx="7">
                  <c:v>2.3403744088172909</c:v>
                </c:pt>
                <c:pt idx="8">
                  <c:v>3.395683229923232</c:v>
                </c:pt>
                <c:pt idx="9">
                  <c:v>4.1408640343666079</c:v>
                </c:pt>
                <c:pt idx="10">
                  <c:v>4.9568064476966862</c:v>
                </c:pt>
                <c:pt idx="11">
                  <c:v>6.8271840065955551</c:v>
                </c:pt>
                <c:pt idx="12">
                  <c:v>7.3635744088172634</c:v>
                </c:pt>
                <c:pt idx="13">
                  <c:v>7.3635744088172634</c:v>
                </c:pt>
                <c:pt idx="14">
                  <c:v>7.3548384084701466</c:v>
                </c:pt>
                <c:pt idx="15">
                  <c:v>7.0988736061096187</c:v>
                </c:pt>
                <c:pt idx="16">
                  <c:v>6.2741952011108397</c:v>
                </c:pt>
                <c:pt idx="17">
                  <c:v>5.0232000000000001</c:v>
                </c:pt>
                <c:pt idx="18">
                  <c:v>3.967891178894043</c:v>
                </c:pt>
                <c:pt idx="19">
                  <c:v>3.222710374450684</c:v>
                </c:pt>
                <c:pt idx="20">
                  <c:v>2.4067679611206061</c:v>
                </c:pt>
                <c:pt idx="21">
                  <c:v>0.53639040222168</c:v>
                </c:pt>
                <c:pt idx="22">
                  <c:v>0</c:v>
                </c:pt>
                <c:pt idx="23">
                  <c:v>0</c:v>
                </c:pt>
                <c:pt idx="24">
                  <c:v>0</c:v>
                </c:pt>
                <c:pt idx="25">
                  <c:v>0</c:v>
                </c:pt>
                <c:pt idx="26">
                  <c:v>0</c:v>
                </c:pt>
                <c:pt idx="27">
                  <c:v>0</c:v>
                </c:pt>
                <c:pt idx="28">
                  <c:v>0</c:v>
                </c:pt>
              </c:numCache>
            </c:numRef>
          </c:val>
        </c:ser>
        <c:ser>
          <c:idx val="2"/>
          <c:order val="2"/>
          <c:tx>
            <c:strRef>
              <c:f>Sheet1!$B$29</c:f>
              <c:strCache>
                <c:ptCount val="1"/>
                <c:pt idx="0">
                  <c:v>Migrants after return</c:v>
                </c:pt>
              </c:strCache>
            </c:strRef>
          </c:tx>
          <c:spPr>
            <a:solidFill>
              <a:schemeClr val="tx1"/>
            </a:solidFill>
            <a:ln>
              <a:noFill/>
            </a:ln>
          </c:spPr>
          <c:invertIfNegative val="0"/>
          <c:cat>
            <c:numRef>
              <c:f>Sheet1!$C$26:$AE$26</c:f>
              <c:numCache>
                <c:formatCode>General</c:formatCode>
                <c:ptCount val="2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pt idx="26">
                  <c:v>2033</c:v>
                </c:pt>
                <c:pt idx="27">
                  <c:v>2034</c:v>
                </c:pt>
                <c:pt idx="28">
                  <c:v>2035</c:v>
                </c:pt>
              </c:numCache>
            </c:numRef>
          </c:cat>
          <c:val>
            <c:numRef>
              <c:f>Sheet1!$C$29:$AE$29</c:f>
              <c:numCache>
                <c:formatCode>0</c:formatCode>
                <c:ptCount val="2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1.3728000545501699E-3</c:v>
                </c:pt>
                <c:pt idx="15">
                  <c:v>4.1595840425491297E-2</c:v>
                </c:pt>
                <c:pt idx="16">
                  <c:v>0.17118816121101399</c:v>
                </c:pt>
                <c:pt idx="17">
                  <c:v>0.367773121385574</c:v>
                </c:pt>
                <c:pt idx="18">
                  <c:v>0.53360736470222503</c:v>
                </c:pt>
                <c:pt idx="19">
                  <c:v>0.650707205400467</c:v>
                </c:pt>
                <c:pt idx="20">
                  <c:v>0.77892672749519298</c:v>
                </c:pt>
                <c:pt idx="21">
                  <c:v>1.072843201036453</c:v>
                </c:pt>
                <c:pt idx="22">
                  <c:v>1.157133121385574</c:v>
                </c:pt>
                <c:pt idx="23">
                  <c:v>1.157133121385574</c:v>
                </c:pt>
                <c:pt idx="24">
                  <c:v>1.157133121385574</c:v>
                </c:pt>
                <c:pt idx="25">
                  <c:v>1.157133121385574</c:v>
                </c:pt>
                <c:pt idx="26">
                  <c:v>1.157133121385574</c:v>
                </c:pt>
                <c:pt idx="27">
                  <c:v>1.157133121385574</c:v>
                </c:pt>
                <c:pt idx="28">
                  <c:v>1.157133121385574</c:v>
                </c:pt>
              </c:numCache>
            </c:numRef>
          </c:val>
        </c:ser>
        <c:dLbls>
          <c:showLegendKey val="0"/>
          <c:showVal val="0"/>
          <c:showCatName val="0"/>
          <c:showSerName val="0"/>
          <c:showPercent val="0"/>
          <c:showBubbleSize val="0"/>
        </c:dLbls>
        <c:gapWidth val="150"/>
        <c:overlap val="100"/>
        <c:axId val="359066240"/>
        <c:axId val="359076224"/>
      </c:barChart>
      <c:catAx>
        <c:axId val="359066240"/>
        <c:scaling>
          <c:orientation val="minMax"/>
        </c:scaling>
        <c:delete val="0"/>
        <c:axPos val="b"/>
        <c:numFmt formatCode="General" sourceLinked="1"/>
        <c:majorTickMark val="out"/>
        <c:minorTickMark val="none"/>
        <c:tickLblPos val="nextTo"/>
        <c:txPr>
          <a:bodyPr/>
          <a:lstStyle/>
          <a:p>
            <a:pPr>
              <a:defRPr lang="en-GB" sz="900"/>
            </a:pPr>
            <a:endParaRPr lang="en-US"/>
          </a:p>
        </c:txPr>
        <c:crossAx val="359076224"/>
        <c:crosses val="autoZero"/>
        <c:auto val="1"/>
        <c:lblAlgn val="ctr"/>
        <c:lblOffset val="100"/>
        <c:noMultiLvlLbl val="0"/>
      </c:catAx>
      <c:valAx>
        <c:axId val="359076224"/>
        <c:scaling>
          <c:orientation val="minMax"/>
        </c:scaling>
        <c:delete val="0"/>
        <c:axPos val="l"/>
        <c:majorGridlines/>
        <c:numFmt formatCode="0" sourceLinked="1"/>
        <c:majorTickMark val="out"/>
        <c:minorTickMark val="none"/>
        <c:tickLblPos val="nextTo"/>
        <c:txPr>
          <a:bodyPr/>
          <a:lstStyle/>
          <a:p>
            <a:pPr>
              <a:defRPr lang="en-GB" sz="900"/>
            </a:pPr>
            <a:endParaRPr lang="en-US"/>
          </a:p>
        </c:txPr>
        <c:crossAx val="359066240"/>
        <c:crosses val="autoZero"/>
        <c:crossBetween val="between"/>
      </c:valAx>
    </c:plotArea>
    <c:legend>
      <c:legendPos val="b"/>
      <c:overlay val="0"/>
      <c:spPr>
        <a:solidFill>
          <a:schemeClr val="lt1"/>
        </a:solidFill>
        <a:ln w="25400" cap="flat" cmpd="sng" algn="ctr">
          <a:solidFill>
            <a:schemeClr val="accent5"/>
          </a:solidFill>
          <a:prstDash val="solid"/>
        </a:ln>
        <a:effectLst/>
      </c:spPr>
      <c:txPr>
        <a:bodyPr/>
        <a:lstStyle/>
        <a:p>
          <a:pPr>
            <a:defRPr lang="en-GB" sz="900">
              <a:solidFill>
                <a:schemeClr val="dk1"/>
              </a:solidFill>
              <a:latin typeface="+mn-lt"/>
              <a:ea typeface="+mn-ea"/>
              <a:cs typeface="+mn-cs"/>
            </a:defRPr>
          </a:pPr>
          <a:endParaRPr lang="en-US"/>
        </a:p>
      </c:txPr>
    </c:legend>
    <c:plotVisOnly val="1"/>
    <c:dispBlanksAs val="gap"/>
    <c:showDLblsOverMax val="0"/>
  </c:chart>
  <c:spPr>
    <a:ln>
      <a:noFill/>
    </a:ln>
  </c:spPr>
  <c:txPr>
    <a:bodyPr/>
    <a:lstStyle/>
    <a:p>
      <a:pPr>
        <a:defRPr sz="1100" b="1">
          <a:latin typeface="Arial" pitchFamily="34" charset="0"/>
          <a:cs typeface="Arial" pitchFamily="34" charset="0"/>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959711286089301"/>
          <c:y val="5.0925925925925902E-2"/>
          <c:w val="0.69550699912510905"/>
          <c:h val="0.71779163021289105"/>
        </c:manualLayout>
      </c:layout>
      <c:barChart>
        <c:barDir val="bar"/>
        <c:grouping val="stacked"/>
        <c:varyColors val="0"/>
        <c:ser>
          <c:idx val="0"/>
          <c:order val="0"/>
          <c:tx>
            <c:strRef>
              <c:f>'Fig33'!$E$22</c:f>
              <c:strCache>
                <c:ptCount val="1"/>
                <c:pt idx="0">
                  <c:v>Actuals (thru June 2014)</c:v>
                </c:pt>
              </c:strCache>
            </c:strRef>
          </c:tx>
          <c:spPr>
            <a:solidFill>
              <a:srgbClr val="FFFF00"/>
            </a:solidFill>
            <a:ln w="25400" cap="flat" cmpd="sng" algn="ctr">
              <a:noFill/>
              <a:prstDash val="solid"/>
            </a:ln>
            <a:effectLst/>
          </c:spPr>
          <c:invertIfNegative val="0"/>
          <c:dLbls>
            <c:spPr>
              <a:noFill/>
              <a:ln>
                <a:noFill/>
              </a:ln>
              <a:effectLst/>
            </c:spPr>
            <c:txPr>
              <a:bodyPr/>
              <a:lstStyle/>
              <a:p>
                <a:pPr>
                  <a:defRPr lang="en-GB"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'Fig33'!$D$23:$D$25</c:f>
              <c:strCache>
                <c:ptCount val="3"/>
                <c:pt idx="0">
                  <c:v>Fee-for-service</c:v>
                </c:pt>
                <c:pt idx="1">
                  <c:v>Tuition fees</c:v>
                </c:pt>
                <c:pt idx="2">
                  <c:v>Other</c:v>
                </c:pt>
              </c:strCache>
            </c:strRef>
          </c:cat>
          <c:val>
            <c:numRef>
              <c:f>'Fig33'!$E$23:$E$25</c:f>
              <c:numCache>
                <c:formatCode>#,##0</c:formatCode>
                <c:ptCount val="3"/>
                <c:pt idx="0">
                  <c:v>1203.6045300000001</c:v>
                </c:pt>
                <c:pt idx="1">
                  <c:v>303.57145000000003</c:v>
                </c:pt>
                <c:pt idx="2">
                  <c:v>544.86633000000006</c:v>
                </c:pt>
              </c:numCache>
            </c:numRef>
          </c:val>
        </c:ser>
        <c:ser>
          <c:idx val="1"/>
          <c:order val="1"/>
          <c:tx>
            <c:strRef>
              <c:f>'Fig33'!$F$22</c:f>
              <c:strCache>
                <c:ptCount val="1"/>
                <c:pt idx="0">
                  <c:v>Projected (July 2014-June 2015)</c:v>
                </c:pt>
              </c:strCache>
            </c:strRef>
          </c:tx>
          <c:spPr>
            <a:solidFill>
              <a:schemeClr val="accent1"/>
            </a:solidFill>
            <a:ln w="25400" cap="flat" cmpd="sng" algn="ctr">
              <a:noFill/>
              <a:prstDash val="solid"/>
            </a:ln>
            <a:effectLst/>
          </c:spPr>
          <c:invertIfNegative val="0"/>
          <c:dLbls>
            <c:dLbl>
              <c:idx val="2"/>
              <c:delete val="1"/>
              <c:extLst>
                <c:ext xmlns:c15="http://schemas.microsoft.com/office/drawing/2012/chart" uri="{CE6537A1-D6FC-4f65-9D91-7224C49458BB}"/>
              </c:extLst>
            </c:dLbl>
            <c:spPr>
              <a:noFill/>
              <a:ln>
                <a:noFill/>
              </a:ln>
              <a:effectLst/>
            </c:spPr>
            <c:txPr>
              <a:bodyPr/>
              <a:lstStyle/>
              <a:p>
                <a:pPr>
                  <a:defRPr lang="en-GB"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'Fig33'!$D$23:$D$25</c:f>
              <c:strCache>
                <c:ptCount val="3"/>
                <c:pt idx="0">
                  <c:v>Fee-for-service</c:v>
                </c:pt>
                <c:pt idx="1">
                  <c:v>Tuition fees</c:v>
                </c:pt>
                <c:pt idx="2">
                  <c:v>Other</c:v>
                </c:pt>
              </c:strCache>
            </c:strRef>
          </c:cat>
          <c:val>
            <c:numRef>
              <c:f>'Fig33'!$F$23:$F$25</c:f>
              <c:numCache>
                <c:formatCode>#,##0</c:formatCode>
                <c:ptCount val="3"/>
                <c:pt idx="0">
                  <c:v>1296.395</c:v>
                </c:pt>
                <c:pt idx="1">
                  <c:v>599.82517999999936</c:v>
                </c:pt>
                <c:pt idx="2">
                  <c:v>0</c:v>
                </c:pt>
              </c:numCache>
            </c:numRef>
          </c:val>
        </c:ser>
        <c:dLbls>
          <c:showLegendKey val="0"/>
          <c:showVal val="1"/>
          <c:showCatName val="0"/>
          <c:showSerName val="0"/>
          <c:showPercent val="0"/>
          <c:showBubbleSize val="0"/>
        </c:dLbls>
        <c:gapWidth val="150"/>
        <c:overlap val="100"/>
        <c:axId val="359119104"/>
        <c:axId val="359120896"/>
      </c:barChart>
      <c:catAx>
        <c:axId val="359119104"/>
        <c:scaling>
          <c:orientation val="minMax"/>
        </c:scaling>
        <c:delete val="0"/>
        <c:axPos val="l"/>
        <c:numFmt formatCode="General" sourceLinked="0"/>
        <c:majorTickMark val="out"/>
        <c:minorTickMark val="none"/>
        <c:tickLblPos val="nextTo"/>
        <c:txPr>
          <a:bodyPr/>
          <a:lstStyle/>
          <a:p>
            <a:pPr>
              <a:defRPr lang="en-GB" sz="900"/>
            </a:pPr>
            <a:endParaRPr lang="en-US"/>
          </a:p>
        </c:txPr>
        <c:crossAx val="359120896"/>
        <c:crosses val="autoZero"/>
        <c:auto val="1"/>
        <c:lblAlgn val="ctr"/>
        <c:lblOffset val="100"/>
        <c:noMultiLvlLbl val="0"/>
      </c:catAx>
      <c:valAx>
        <c:axId val="359120896"/>
        <c:scaling>
          <c:orientation val="minMax"/>
        </c:scaling>
        <c:delete val="0"/>
        <c:axPos val="b"/>
        <c:majorGridlines/>
        <c:numFmt formatCode="#,##0" sourceLinked="1"/>
        <c:majorTickMark val="out"/>
        <c:minorTickMark val="none"/>
        <c:tickLblPos val="nextTo"/>
        <c:txPr>
          <a:bodyPr/>
          <a:lstStyle/>
          <a:p>
            <a:pPr>
              <a:defRPr lang="en-GB" sz="900"/>
            </a:pPr>
            <a:endParaRPr lang="en-US"/>
          </a:p>
        </c:txPr>
        <c:crossAx val="359119104"/>
        <c:crosses val="autoZero"/>
        <c:crossBetween val="between"/>
      </c:valAx>
    </c:plotArea>
    <c:legend>
      <c:legendPos val="b"/>
      <c:overlay val="0"/>
      <c:txPr>
        <a:bodyPr/>
        <a:lstStyle/>
        <a:p>
          <a:pPr>
            <a:defRPr lang="en-GB" sz="900"/>
          </a:pPr>
          <a:endParaRPr lang="en-US"/>
        </a:p>
      </c:txPr>
    </c:legend>
    <c:plotVisOnly val="1"/>
    <c:dispBlanksAs val="gap"/>
    <c:showDLblsOverMax val="0"/>
  </c:chart>
  <c:spPr>
    <a:ln>
      <a:noFill/>
    </a:ln>
  </c:spPr>
  <c:txPr>
    <a:bodyPr/>
    <a:lstStyle/>
    <a:p>
      <a:pPr>
        <a:defRPr sz="1100" b="1">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cat>
            <c:strRef>
              <c:f>'# Prog. x sem'!$X$32:$X$45</c:f>
              <c:strCache>
                <c:ptCount val="14"/>
                <c:pt idx="0">
                  <c:v>Refrigeration &amp; AC (III)</c:v>
                </c:pt>
                <c:pt idx="1">
                  <c:v> Hospitality (IV)</c:v>
                </c:pt>
                <c:pt idx="2">
                  <c:v>Fitting &amp; Machining (III)</c:v>
                </c:pt>
                <c:pt idx="3">
                  <c:v>Electrotechnology (III)</c:v>
                </c:pt>
                <c:pt idx="4">
                  <c:v>Children's Services (III)</c:v>
                </c:pt>
                <c:pt idx="5">
                  <c:v> Auto. Mechanical (III)</c:v>
                </c:pt>
                <c:pt idx="6">
                  <c:v>Tourism (III)</c:v>
                </c:pt>
                <c:pt idx="7">
                  <c:v>Fabrication (III) </c:v>
                </c:pt>
                <c:pt idx="8">
                  <c:v>Hospitality (III)</c:v>
                </c:pt>
                <c:pt idx="9">
                  <c:v>Diesel Fitting (III)</c:v>
                </c:pt>
                <c:pt idx="10">
                  <c:v>Carpentry (III)</c:v>
                </c:pt>
                <c:pt idx="11">
                  <c:v>Home &amp; Comm + Aged Care (III)</c:v>
                </c:pt>
                <c:pt idx="12">
                  <c:v>Training &amp; Assessment (IV)</c:v>
                </c:pt>
                <c:pt idx="13">
                  <c:v>Commercial Cookery (III)</c:v>
                </c:pt>
              </c:strCache>
            </c:strRef>
          </c:cat>
          <c:val>
            <c:numRef>
              <c:f>'# Prog. x sem'!$Y$32:$Y$45</c:f>
              <c:numCache>
                <c:formatCode>General</c:formatCode>
                <c:ptCount val="14"/>
                <c:pt idx="0">
                  <c:v>21</c:v>
                </c:pt>
                <c:pt idx="1">
                  <c:v>22</c:v>
                </c:pt>
                <c:pt idx="2">
                  <c:v>22</c:v>
                </c:pt>
                <c:pt idx="3">
                  <c:v>24</c:v>
                </c:pt>
                <c:pt idx="4">
                  <c:v>25</c:v>
                </c:pt>
                <c:pt idx="5">
                  <c:v>25</c:v>
                </c:pt>
                <c:pt idx="6">
                  <c:v>27</c:v>
                </c:pt>
                <c:pt idx="7">
                  <c:v>27</c:v>
                </c:pt>
                <c:pt idx="8">
                  <c:v>29</c:v>
                </c:pt>
                <c:pt idx="9">
                  <c:v>35</c:v>
                </c:pt>
                <c:pt idx="10">
                  <c:v>51</c:v>
                </c:pt>
                <c:pt idx="11">
                  <c:v>55</c:v>
                </c:pt>
                <c:pt idx="12">
                  <c:v>57</c:v>
                </c:pt>
                <c:pt idx="13">
                  <c:v>59</c:v>
                </c:pt>
              </c:numCache>
            </c:numRef>
          </c:val>
        </c:ser>
        <c:dLbls>
          <c:showLegendKey val="0"/>
          <c:showVal val="0"/>
          <c:showCatName val="0"/>
          <c:showSerName val="0"/>
          <c:showPercent val="0"/>
          <c:showBubbleSize val="0"/>
        </c:dLbls>
        <c:gapWidth val="75"/>
        <c:overlap val="-25"/>
        <c:axId val="346295296"/>
        <c:axId val="346321664"/>
      </c:barChart>
      <c:catAx>
        <c:axId val="346295296"/>
        <c:scaling>
          <c:orientation val="minMax"/>
        </c:scaling>
        <c:delete val="0"/>
        <c:axPos val="l"/>
        <c:numFmt formatCode="General" sourceLinked="0"/>
        <c:majorTickMark val="none"/>
        <c:minorTickMark val="none"/>
        <c:tickLblPos val="nextTo"/>
        <c:crossAx val="346321664"/>
        <c:crosses val="autoZero"/>
        <c:auto val="1"/>
        <c:lblAlgn val="ctr"/>
        <c:lblOffset val="100"/>
        <c:noMultiLvlLbl val="0"/>
      </c:catAx>
      <c:valAx>
        <c:axId val="346321664"/>
        <c:scaling>
          <c:orientation val="minMax"/>
          <c:max val="60"/>
        </c:scaling>
        <c:delete val="0"/>
        <c:axPos val="b"/>
        <c:majorGridlines/>
        <c:numFmt formatCode="General" sourceLinked="1"/>
        <c:majorTickMark val="none"/>
        <c:minorTickMark val="none"/>
        <c:tickLblPos val="nextTo"/>
        <c:spPr>
          <a:ln w="9525">
            <a:noFill/>
          </a:ln>
        </c:spPr>
        <c:crossAx val="34629529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cat>
            <c:strRef>
              <c:f>'# Prog. x sem'!$B$52:$B$65</c:f>
              <c:strCache>
                <c:ptCount val="14"/>
                <c:pt idx="0">
                  <c:v>Community Services (III)</c:v>
                </c:pt>
                <c:pt idx="1">
                  <c:v>Nutrition &amp; Dietetic (III)</c:v>
                </c:pt>
                <c:pt idx="2">
                  <c:v> Business (IV) </c:v>
                </c:pt>
                <c:pt idx="3">
                  <c:v>VET (Dipl.) </c:v>
                </c:pt>
                <c:pt idx="4">
                  <c:v>Community Dev. (IV)</c:v>
                </c:pt>
                <c:pt idx="5">
                  <c:v>Automotive Servicing (II) </c:v>
                </c:pt>
                <c:pt idx="6">
                  <c:v>Construction (II)</c:v>
                </c:pt>
                <c:pt idx="7">
                  <c:v>Fashion &amp; Design (III)</c:v>
                </c:pt>
                <c:pt idx="8">
                  <c:v>Allied Health (III) </c:v>
                </c:pt>
                <c:pt idx="9">
                  <c:v>Catering Operations (III)</c:v>
                </c:pt>
                <c:pt idx="10">
                  <c:v>Hospitality (Lodge) (III)</c:v>
                </c:pt>
                <c:pt idx="11">
                  <c:v>Disability (IV)</c:v>
                </c:pt>
                <c:pt idx="12">
                  <c:v>Disability (III)</c:v>
                </c:pt>
                <c:pt idx="13">
                  <c:v>Youth Work (III)</c:v>
                </c:pt>
              </c:strCache>
            </c:strRef>
          </c:cat>
          <c:val>
            <c:numRef>
              <c:f>'# Prog. x sem'!$C$52:$C$65</c:f>
              <c:numCache>
                <c:formatCode>General</c:formatCode>
                <c:ptCount val="14"/>
                <c:pt idx="0">
                  <c:v>1</c:v>
                </c:pt>
                <c:pt idx="1">
                  <c:v>1</c:v>
                </c:pt>
                <c:pt idx="2">
                  <c:v>1</c:v>
                </c:pt>
                <c:pt idx="3">
                  <c:v>1</c:v>
                </c:pt>
                <c:pt idx="4">
                  <c:v>2</c:v>
                </c:pt>
                <c:pt idx="5">
                  <c:v>2</c:v>
                </c:pt>
                <c:pt idx="6">
                  <c:v>2</c:v>
                </c:pt>
                <c:pt idx="7">
                  <c:v>2</c:v>
                </c:pt>
                <c:pt idx="8">
                  <c:v>3</c:v>
                </c:pt>
                <c:pt idx="9">
                  <c:v>3</c:v>
                </c:pt>
                <c:pt idx="10">
                  <c:v>5</c:v>
                </c:pt>
                <c:pt idx="11">
                  <c:v>5</c:v>
                </c:pt>
                <c:pt idx="12">
                  <c:v>8</c:v>
                </c:pt>
                <c:pt idx="13">
                  <c:v>9</c:v>
                </c:pt>
              </c:numCache>
            </c:numRef>
          </c:val>
        </c:ser>
        <c:dLbls>
          <c:showLegendKey val="0"/>
          <c:showVal val="0"/>
          <c:showCatName val="0"/>
          <c:showSerName val="0"/>
          <c:showPercent val="0"/>
          <c:showBubbleSize val="0"/>
        </c:dLbls>
        <c:gapWidth val="150"/>
        <c:axId val="346348928"/>
        <c:axId val="346350720"/>
      </c:barChart>
      <c:catAx>
        <c:axId val="346348928"/>
        <c:scaling>
          <c:orientation val="minMax"/>
        </c:scaling>
        <c:delete val="0"/>
        <c:axPos val="l"/>
        <c:numFmt formatCode="General" sourceLinked="0"/>
        <c:majorTickMark val="out"/>
        <c:minorTickMark val="none"/>
        <c:tickLblPos val="nextTo"/>
        <c:crossAx val="346350720"/>
        <c:crosses val="autoZero"/>
        <c:auto val="1"/>
        <c:lblAlgn val="ctr"/>
        <c:lblOffset val="100"/>
        <c:noMultiLvlLbl val="0"/>
      </c:catAx>
      <c:valAx>
        <c:axId val="346350720"/>
        <c:scaling>
          <c:orientation val="minMax"/>
        </c:scaling>
        <c:delete val="0"/>
        <c:axPos val="b"/>
        <c:majorGridlines/>
        <c:numFmt formatCode="General" sourceLinked="1"/>
        <c:majorTickMark val="out"/>
        <c:minorTickMark val="none"/>
        <c:tickLblPos val="nextTo"/>
        <c:crossAx val="346348928"/>
        <c:crosses val="autoZero"/>
        <c:crossBetween val="between"/>
        <c:majorUnit val="2"/>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 x TPkg &amp; Sem'!$C$19</c:f>
              <c:strCache>
                <c:ptCount val="1"/>
                <c:pt idx="0">
                  <c:v>Stage 1</c:v>
                </c:pt>
              </c:strCache>
            </c:strRef>
          </c:tx>
          <c:invertIfNegative val="0"/>
          <c:cat>
            <c:multiLvlStrRef>
              <c:f>'#Prog x TPkg &amp; Sem'!$A$20:$B$30</c:f>
              <c:multiLvlStrCache>
                <c:ptCount val="11"/>
                <c:lvl>
                  <c:pt idx="0">
                    <c:v>TAE</c:v>
                  </c:pt>
                  <c:pt idx="1">
                    <c:v>Business</c:v>
                  </c:pt>
                  <c:pt idx="2">
                    <c:v>Community Serv.</c:v>
                  </c:pt>
                  <c:pt idx="3">
                    <c:v>Hairdressing</c:v>
                  </c:pt>
                  <c:pt idx="4">
                    <c:v>Health</c:v>
                  </c:pt>
                  <c:pt idx="5">
                    <c:v>Tourism &amp; Hosp. </c:v>
                  </c:pt>
                  <c:pt idx="6">
                    <c:v>Automotive</c:v>
                  </c:pt>
                  <c:pt idx="7">
                    <c:v>Constr., Plumbing</c:v>
                  </c:pt>
                  <c:pt idx="8">
                    <c:v>Electrotechnology</c:v>
                  </c:pt>
                  <c:pt idx="9">
                    <c:v>Metal &amp; Engineering </c:v>
                  </c:pt>
                  <c:pt idx="10">
                    <c:v>Textiles, Clothing</c:v>
                  </c:pt>
                </c:lvl>
                <c:lvl>
                  <c:pt idx="0">
                    <c:v>Both</c:v>
                  </c:pt>
                  <c:pt idx="1">
                    <c:v>SHCS</c:v>
                  </c:pt>
                  <c:pt idx="2">
                    <c:v>SHCS</c:v>
                  </c:pt>
                  <c:pt idx="3">
                    <c:v>SHCS</c:v>
                  </c:pt>
                  <c:pt idx="4">
                    <c:v>SHCS</c:v>
                  </c:pt>
                  <c:pt idx="5">
                    <c:v>SHCS</c:v>
                  </c:pt>
                  <c:pt idx="6">
                    <c:v>STT</c:v>
                  </c:pt>
                  <c:pt idx="7">
                    <c:v>STT</c:v>
                  </c:pt>
                  <c:pt idx="8">
                    <c:v>STT</c:v>
                  </c:pt>
                  <c:pt idx="9">
                    <c:v>STT</c:v>
                  </c:pt>
                  <c:pt idx="10">
                    <c:v>STT</c:v>
                  </c:pt>
                </c:lvl>
              </c:multiLvlStrCache>
            </c:multiLvlStrRef>
          </c:cat>
          <c:val>
            <c:numRef>
              <c:f>'#Prog x TPkg &amp; Sem'!$C$20:$C$30</c:f>
              <c:numCache>
                <c:formatCode>General</c:formatCode>
                <c:ptCount val="11"/>
                <c:pt idx="0">
                  <c:v>30</c:v>
                </c:pt>
                <c:pt idx="1">
                  <c:v>1</c:v>
                </c:pt>
                <c:pt idx="2">
                  <c:v>52</c:v>
                </c:pt>
                <c:pt idx="3">
                  <c:v>4</c:v>
                </c:pt>
                <c:pt idx="4">
                  <c:v>0</c:v>
                </c:pt>
                <c:pt idx="5">
                  <c:v>60</c:v>
                </c:pt>
                <c:pt idx="6">
                  <c:v>19</c:v>
                </c:pt>
                <c:pt idx="7">
                  <c:v>42</c:v>
                </c:pt>
                <c:pt idx="8">
                  <c:v>10</c:v>
                </c:pt>
                <c:pt idx="9">
                  <c:v>59</c:v>
                </c:pt>
                <c:pt idx="10">
                  <c:v>0</c:v>
                </c:pt>
              </c:numCache>
            </c:numRef>
          </c:val>
        </c:ser>
        <c:ser>
          <c:idx val="1"/>
          <c:order val="1"/>
          <c:tx>
            <c:strRef>
              <c:f>'#Prog x TPkg &amp; Sem'!$D$19</c:f>
              <c:strCache>
                <c:ptCount val="1"/>
                <c:pt idx="0">
                  <c:v>Stage 2</c:v>
                </c:pt>
              </c:strCache>
            </c:strRef>
          </c:tx>
          <c:invertIfNegative val="0"/>
          <c:cat>
            <c:multiLvlStrRef>
              <c:f>'#Prog x TPkg &amp; Sem'!$A$20:$B$30</c:f>
              <c:multiLvlStrCache>
                <c:ptCount val="11"/>
                <c:lvl>
                  <c:pt idx="0">
                    <c:v>TAE</c:v>
                  </c:pt>
                  <c:pt idx="1">
                    <c:v>Business</c:v>
                  </c:pt>
                  <c:pt idx="2">
                    <c:v>Community Serv.</c:v>
                  </c:pt>
                  <c:pt idx="3">
                    <c:v>Hairdressing</c:v>
                  </c:pt>
                  <c:pt idx="4">
                    <c:v>Health</c:v>
                  </c:pt>
                  <c:pt idx="5">
                    <c:v>Tourism &amp; Hosp. </c:v>
                  </c:pt>
                  <c:pt idx="6">
                    <c:v>Automotive</c:v>
                  </c:pt>
                  <c:pt idx="7">
                    <c:v>Constr., Plumbing</c:v>
                  </c:pt>
                  <c:pt idx="8">
                    <c:v>Electrotechnology</c:v>
                  </c:pt>
                  <c:pt idx="9">
                    <c:v>Metal &amp; Engineering </c:v>
                  </c:pt>
                  <c:pt idx="10">
                    <c:v>Textiles, Clothing</c:v>
                  </c:pt>
                </c:lvl>
                <c:lvl>
                  <c:pt idx="0">
                    <c:v>Both</c:v>
                  </c:pt>
                  <c:pt idx="1">
                    <c:v>SHCS</c:v>
                  </c:pt>
                  <c:pt idx="2">
                    <c:v>SHCS</c:v>
                  </c:pt>
                  <c:pt idx="3">
                    <c:v>SHCS</c:v>
                  </c:pt>
                  <c:pt idx="4">
                    <c:v>SHCS</c:v>
                  </c:pt>
                  <c:pt idx="5">
                    <c:v>SHCS</c:v>
                  </c:pt>
                  <c:pt idx="6">
                    <c:v>STT</c:v>
                  </c:pt>
                  <c:pt idx="7">
                    <c:v>STT</c:v>
                  </c:pt>
                  <c:pt idx="8">
                    <c:v>STT</c:v>
                  </c:pt>
                  <c:pt idx="9">
                    <c:v>STT</c:v>
                  </c:pt>
                  <c:pt idx="10">
                    <c:v>STT</c:v>
                  </c:pt>
                </c:lvl>
              </c:multiLvlStrCache>
            </c:multiLvlStrRef>
          </c:cat>
          <c:val>
            <c:numRef>
              <c:f>'#Prog x TPkg &amp; Sem'!$D$20:$D$30</c:f>
              <c:numCache>
                <c:formatCode>General</c:formatCode>
                <c:ptCount val="11"/>
                <c:pt idx="0">
                  <c:v>27</c:v>
                </c:pt>
                <c:pt idx="1">
                  <c:v>4</c:v>
                </c:pt>
                <c:pt idx="2">
                  <c:v>76</c:v>
                </c:pt>
                <c:pt idx="3">
                  <c:v>6</c:v>
                </c:pt>
                <c:pt idx="4">
                  <c:v>4</c:v>
                </c:pt>
                <c:pt idx="5">
                  <c:v>97</c:v>
                </c:pt>
                <c:pt idx="6">
                  <c:v>22</c:v>
                </c:pt>
                <c:pt idx="7">
                  <c:v>62</c:v>
                </c:pt>
                <c:pt idx="8">
                  <c:v>14</c:v>
                </c:pt>
                <c:pt idx="9">
                  <c:v>46</c:v>
                </c:pt>
                <c:pt idx="10">
                  <c:v>2</c:v>
                </c:pt>
              </c:numCache>
            </c:numRef>
          </c:val>
        </c:ser>
        <c:dLbls>
          <c:showLegendKey val="0"/>
          <c:showVal val="0"/>
          <c:showCatName val="0"/>
          <c:showSerName val="0"/>
          <c:showPercent val="0"/>
          <c:showBubbleSize val="0"/>
        </c:dLbls>
        <c:gapWidth val="150"/>
        <c:axId val="346391680"/>
        <c:axId val="346393216"/>
      </c:barChart>
      <c:catAx>
        <c:axId val="346391680"/>
        <c:scaling>
          <c:orientation val="minMax"/>
        </c:scaling>
        <c:delete val="0"/>
        <c:axPos val="b"/>
        <c:numFmt formatCode="General" sourceLinked="0"/>
        <c:majorTickMark val="none"/>
        <c:minorTickMark val="none"/>
        <c:tickLblPos val="nextTo"/>
        <c:txPr>
          <a:bodyPr/>
          <a:lstStyle/>
          <a:p>
            <a:pPr>
              <a:defRPr lang="en-GB" sz="900"/>
            </a:pPr>
            <a:endParaRPr lang="en-US"/>
          </a:p>
        </c:txPr>
        <c:crossAx val="346393216"/>
        <c:crosses val="autoZero"/>
        <c:auto val="1"/>
        <c:lblAlgn val="ctr"/>
        <c:lblOffset val="100"/>
        <c:noMultiLvlLbl val="0"/>
      </c:catAx>
      <c:valAx>
        <c:axId val="346393216"/>
        <c:scaling>
          <c:orientation val="minMax"/>
        </c:scaling>
        <c:delete val="0"/>
        <c:axPos val="l"/>
        <c:majorGridlines/>
        <c:numFmt formatCode="General" sourceLinked="1"/>
        <c:majorTickMark val="none"/>
        <c:minorTickMark val="none"/>
        <c:tickLblPos val="nextTo"/>
        <c:txPr>
          <a:bodyPr/>
          <a:lstStyle/>
          <a:p>
            <a:pPr>
              <a:defRPr lang="en-GB"/>
            </a:pPr>
            <a:endParaRPr lang="en-US"/>
          </a:p>
        </c:txPr>
        <c:crossAx val="346391680"/>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'Applicants &amp; scholarships'!$B$38</c:f>
              <c:strCache>
                <c:ptCount val="1"/>
                <c:pt idx="0">
                  <c:v>Stage 1</c:v>
                </c:pt>
              </c:strCache>
            </c:strRef>
          </c:tx>
          <c:invertIfNegative val="0"/>
          <c:cat>
            <c:strRef>
              <c:f>'Applicants &amp; scholarships'!$A$39:$A$41</c:f>
              <c:strCache>
                <c:ptCount val="3"/>
                <c:pt idx="0">
                  <c:v>% of applicants declared eligible for admission</c:v>
                </c:pt>
                <c:pt idx="1">
                  <c:v>Awards as % of scholarship applicants</c:v>
                </c:pt>
                <c:pt idx="2">
                  <c:v>Scholarship uptake as % of awards</c:v>
                </c:pt>
              </c:strCache>
            </c:strRef>
          </c:cat>
          <c:val>
            <c:numRef>
              <c:f>'Applicants &amp; scholarships'!$B$39:$B$41</c:f>
              <c:numCache>
                <c:formatCode>0%</c:formatCode>
                <c:ptCount val="3"/>
                <c:pt idx="0">
                  <c:v>0.56000000000000005</c:v>
                </c:pt>
                <c:pt idx="1">
                  <c:v>0.50837320574162703</c:v>
                </c:pt>
                <c:pt idx="2">
                  <c:v>0.90930481283422504</c:v>
                </c:pt>
              </c:numCache>
            </c:numRef>
          </c:val>
        </c:ser>
        <c:ser>
          <c:idx val="1"/>
          <c:order val="1"/>
          <c:tx>
            <c:strRef>
              <c:f>'Applicants &amp; scholarships'!$C$38</c:f>
              <c:strCache>
                <c:ptCount val="1"/>
                <c:pt idx="0">
                  <c:v>Stage 2</c:v>
                </c:pt>
              </c:strCache>
            </c:strRef>
          </c:tx>
          <c:invertIfNegative val="0"/>
          <c:cat>
            <c:strRef>
              <c:f>'Applicants &amp; scholarships'!$A$39:$A$41</c:f>
              <c:strCache>
                <c:ptCount val="3"/>
                <c:pt idx="0">
                  <c:v>% of applicants declared eligible for admission</c:v>
                </c:pt>
                <c:pt idx="1">
                  <c:v>Awards as % of scholarship applicants</c:v>
                </c:pt>
                <c:pt idx="2">
                  <c:v>Scholarship uptake as % of awards</c:v>
                </c:pt>
              </c:strCache>
            </c:strRef>
          </c:cat>
          <c:val>
            <c:numRef>
              <c:f>'Applicants &amp; scholarships'!$C$39:$C$41</c:f>
              <c:numCache>
                <c:formatCode>0%</c:formatCode>
                <c:ptCount val="3"/>
                <c:pt idx="0">
                  <c:v>0.67</c:v>
                </c:pt>
                <c:pt idx="1">
                  <c:v>0.49327861893306901</c:v>
                </c:pt>
                <c:pt idx="2">
                  <c:v>0.88</c:v>
                </c:pt>
              </c:numCache>
            </c:numRef>
          </c:val>
        </c:ser>
        <c:dLbls>
          <c:showLegendKey val="0"/>
          <c:showVal val="0"/>
          <c:showCatName val="0"/>
          <c:showSerName val="0"/>
          <c:showPercent val="0"/>
          <c:showBubbleSize val="0"/>
        </c:dLbls>
        <c:gapWidth val="150"/>
        <c:axId val="346229376"/>
        <c:axId val="346235264"/>
      </c:barChart>
      <c:catAx>
        <c:axId val="346229376"/>
        <c:scaling>
          <c:orientation val="minMax"/>
        </c:scaling>
        <c:delete val="0"/>
        <c:axPos val="b"/>
        <c:numFmt formatCode="General" sourceLinked="0"/>
        <c:majorTickMark val="none"/>
        <c:minorTickMark val="none"/>
        <c:tickLblPos val="nextTo"/>
        <c:txPr>
          <a:bodyPr/>
          <a:lstStyle/>
          <a:p>
            <a:pPr>
              <a:defRPr sz="800"/>
            </a:pPr>
            <a:endParaRPr lang="en-US"/>
          </a:p>
        </c:txPr>
        <c:crossAx val="346235264"/>
        <c:crosses val="autoZero"/>
        <c:auto val="1"/>
        <c:lblAlgn val="ctr"/>
        <c:lblOffset val="100"/>
        <c:noMultiLvlLbl val="0"/>
      </c:catAx>
      <c:valAx>
        <c:axId val="346235264"/>
        <c:scaling>
          <c:orientation val="minMax"/>
        </c:scaling>
        <c:delete val="0"/>
        <c:axPos val="l"/>
        <c:majorGridlines/>
        <c:numFmt formatCode="0%" sourceLinked="1"/>
        <c:majorTickMark val="none"/>
        <c:minorTickMark val="none"/>
        <c:tickLblPos val="nextTo"/>
        <c:crossAx val="346229376"/>
        <c:crosses val="autoZero"/>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0.37251</cdr:x>
      <cdr:y>0.71527</cdr:y>
    </cdr:from>
    <cdr:to>
      <cdr:x>0.45344</cdr:x>
      <cdr:y>0.80208</cdr:y>
    </cdr:to>
    <cdr:sp macro="" textlink="">
      <cdr:nvSpPr>
        <cdr:cNvPr id="2" name="TextBox 1"/>
        <cdr:cNvSpPr txBox="1"/>
      </cdr:nvSpPr>
      <cdr:spPr>
        <a:xfrm xmlns:a="http://schemas.openxmlformats.org/drawingml/2006/main">
          <a:off x="1781157" y="1962141"/>
          <a:ext cx="386971" cy="2381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1">
              <a:latin typeface="Arial" pitchFamily="34" charset="0"/>
              <a:cs typeface="Arial" pitchFamily="34" charset="0"/>
            </a:rPr>
            <a:t>NA</a:t>
          </a:r>
        </a:p>
      </cdr:txBody>
    </cdr:sp>
  </cdr:relSizeAnchor>
  <cdr:relSizeAnchor xmlns:cdr="http://schemas.openxmlformats.org/drawingml/2006/chartDrawing">
    <cdr:from>
      <cdr:x>0.01394</cdr:x>
      <cdr:y>0.88889</cdr:y>
    </cdr:from>
    <cdr:to>
      <cdr:x>0.20518</cdr:x>
      <cdr:y>1</cdr:y>
    </cdr:to>
    <cdr:sp macro="" textlink="">
      <cdr:nvSpPr>
        <cdr:cNvPr id="3" name="TextBox 2"/>
        <cdr:cNvSpPr txBox="1"/>
      </cdr:nvSpPr>
      <cdr:spPr>
        <a:xfrm xmlns:a="http://schemas.openxmlformats.org/drawingml/2006/main">
          <a:off x="66675" y="2438400"/>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0.90972</cdr:y>
    </cdr:from>
    <cdr:to>
      <cdr:x>0.19124</cdr:x>
      <cdr:y>0.99306</cdr:y>
    </cdr:to>
    <cdr:sp macro="" textlink="">
      <cdr:nvSpPr>
        <cdr:cNvPr id="4" name="TextBox 3"/>
        <cdr:cNvSpPr txBox="1"/>
      </cdr:nvSpPr>
      <cdr:spPr>
        <a:xfrm xmlns:a="http://schemas.openxmlformats.org/drawingml/2006/main">
          <a:off x="0" y="2495550"/>
          <a:ext cx="9144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1" baseline="0">
              <a:latin typeface="Arial" pitchFamily="34" charset="0"/>
              <a:cs typeface="Arial" pitchFamily="34" charset="0"/>
            </a:rPr>
            <a:t>Note: # </a:t>
          </a:r>
          <a:r>
            <a:rPr lang="en-US" sz="900" b="1">
              <a:latin typeface="Arial" pitchFamily="34" charset="0"/>
              <a:cs typeface="Arial" pitchFamily="34" charset="0"/>
            </a:rPr>
            <a:t>APTC, Stages I and II combined</a:t>
          </a:r>
          <a:r>
            <a:rPr lang="en-US" sz="1100" b="1">
              <a:latin typeface="Arial" pitchFamily="34" charset="0"/>
              <a:cs typeface="Arial" pitchFamily="34" charset="0"/>
            </a:rPr>
            <a:t>.</a:t>
          </a:r>
        </a:p>
        <a:p xmlns:a="http://schemas.openxmlformats.org/drawingml/2006/main">
          <a:endParaRPr lang="en-US" sz="1100" b="1">
            <a:latin typeface="Arial" pitchFamily="34" charset="0"/>
            <a:cs typeface="Arial" pitchFamily="34" charset="0"/>
          </a:endParaRPr>
        </a:p>
        <a:p xmlns:a="http://schemas.openxmlformats.org/drawingml/2006/main">
          <a:endParaRPr lang="en-US" sz="1100" b="1">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0.00417</cdr:x>
      <cdr:y>0.90278</cdr:y>
    </cdr:from>
    <cdr:to>
      <cdr:x>0.18875</cdr:x>
      <cdr:y>0.99306</cdr:y>
    </cdr:to>
    <cdr:sp macro="" textlink="">
      <cdr:nvSpPr>
        <cdr:cNvPr id="2" name="TextBox 1"/>
        <cdr:cNvSpPr txBox="1"/>
      </cdr:nvSpPr>
      <cdr:spPr>
        <a:xfrm xmlns:a="http://schemas.openxmlformats.org/drawingml/2006/main">
          <a:off x="19050" y="2476500"/>
          <a:ext cx="843915" cy="2476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b="0">
              <a:latin typeface="Arial" pitchFamily="34" charset="0"/>
              <a:cs typeface="Arial" pitchFamily="34" charset="0"/>
            </a:rPr>
            <a:t>Source: http://en.wikipedia.org/wiki/List_of_countries_by_population</a:t>
          </a:r>
          <a:r>
            <a:rPr lang="en-US" sz="1050" b="0" baseline="0">
              <a:latin typeface="Arial" pitchFamily="34" charset="0"/>
              <a:cs typeface="Arial" pitchFamily="34" charset="0"/>
            </a:rPr>
            <a:t> </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CBDA9D-CBDD-4241-AF1C-33CBCEC23BFB}"/>
</file>

<file path=customXml/itemProps2.xml><?xml version="1.0" encoding="utf-8"?>
<ds:datastoreItem xmlns:ds="http://schemas.openxmlformats.org/officeDocument/2006/customXml" ds:itemID="{645A7AA4-3DFD-4E1D-AC61-170CCDA75F44}"/>
</file>

<file path=customXml/itemProps3.xml><?xml version="1.0" encoding="utf-8"?>
<ds:datastoreItem xmlns:ds="http://schemas.openxmlformats.org/officeDocument/2006/customXml" ds:itemID="{0AC67A5D-F4D3-4EB3-99A6-F4B2C4C48ACA}"/>
</file>

<file path=customXml/itemProps4.xml><?xml version="1.0" encoding="utf-8"?>
<ds:datastoreItem xmlns:ds="http://schemas.openxmlformats.org/officeDocument/2006/customXml" ds:itemID="{0C301A09-1842-40C4-99A4-56A38756E31C}"/>
</file>

<file path=docProps/app.xml><?xml version="1.0" encoding="utf-8"?>
<Properties xmlns="http://schemas.openxmlformats.org/officeDocument/2006/extended-properties" xmlns:vt="http://schemas.openxmlformats.org/officeDocument/2006/docPropsVTypes">
  <Template>Service Order Template</Template>
  <TotalTime>1</TotalTime>
  <Pages>36</Pages>
  <Words>84884</Words>
  <Characters>456019</Characters>
  <Application>Microsoft Office Word</Application>
  <DocSecurity>0</DocSecurity>
  <Lines>12314</Lines>
  <Paragraphs>5971</Paragraphs>
  <ScaleCrop>false</ScaleCrop>
  <HeadingPairs>
    <vt:vector size="2" baseType="variant">
      <vt:variant>
        <vt:lpstr>Title</vt:lpstr>
      </vt:variant>
      <vt:variant>
        <vt:i4>1</vt:i4>
      </vt:variant>
    </vt:vector>
  </HeadingPairs>
  <TitlesOfParts>
    <vt:vector size="1" baseType="lpstr">
      <vt:lpstr>RESPONSE TO REQUEST FOR PROPOSAL No</vt:lpstr>
    </vt:vector>
  </TitlesOfParts>
  <Company>RTM International</Company>
  <LinksUpToDate>false</LinksUpToDate>
  <CharactersWithSpaces>537244</CharactersWithSpaces>
  <SharedDoc>false</SharedDoc>
  <HLinks>
    <vt:vector size="150" baseType="variant">
      <vt:variant>
        <vt:i4>4915243</vt:i4>
      </vt:variant>
      <vt:variant>
        <vt:i4>1158</vt:i4>
      </vt:variant>
      <vt:variant>
        <vt:i4>0</vt:i4>
      </vt:variant>
      <vt:variant>
        <vt:i4>5</vt:i4>
      </vt:variant>
      <vt:variant>
        <vt:lpwstr>http://en.wikipedia.org/wiki/List_of_countries_by_GDP_(PPP)_per_capita</vt:lpwstr>
      </vt:variant>
      <vt:variant>
        <vt:lpwstr/>
      </vt:variant>
      <vt:variant>
        <vt:i4>7143467</vt:i4>
      </vt:variant>
      <vt:variant>
        <vt:i4>1155</vt:i4>
      </vt:variant>
      <vt:variant>
        <vt:i4>0</vt:i4>
      </vt:variant>
      <vt:variant>
        <vt:i4>5</vt:i4>
      </vt:variant>
      <vt:variant>
        <vt:lpwstr>http://www.pacmas.org/wp-content/uploads/2013/10/PACMAS-REGIONAL-REPORT_FINAL.pdf</vt:lpwstr>
      </vt:variant>
      <vt:variant>
        <vt:lpwstr/>
      </vt:variant>
      <vt:variant>
        <vt:i4>2228278</vt:i4>
      </vt:variant>
      <vt:variant>
        <vt:i4>1152</vt:i4>
      </vt:variant>
      <vt:variant>
        <vt:i4>0</vt:i4>
      </vt:variant>
      <vt:variant>
        <vt:i4>5</vt:i4>
      </vt:variant>
      <vt:variant>
        <vt:lpwstr>http://dx.doi.org/10.1787/9789264215658-en</vt:lpwstr>
      </vt:variant>
      <vt:variant>
        <vt:lpwstr/>
      </vt:variant>
      <vt:variant>
        <vt:i4>6160394</vt:i4>
      </vt:variant>
      <vt:variant>
        <vt:i4>1149</vt:i4>
      </vt:variant>
      <vt:variant>
        <vt:i4>0</vt:i4>
      </vt:variant>
      <vt:variant>
        <vt:i4>5</vt:i4>
      </vt:variant>
      <vt:variant>
        <vt:lpwstr>http://www.worldsalaries.org/australia.shtml</vt:lpwstr>
      </vt:variant>
      <vt:variant>
        <vt:lpwstr/>
      </vt:variant>
      <vt:variant>
        <vt:i4>7667734</vt:i4>
      </vt:variant>
      <vt:variant>
        <vt:i4>1146</vt:i4>
      </vt:variant>
      <vt:variant>
        <vt:i4>0</vt:i4>
      </vt:variant>
      <vt:variant>
        <vt:i4>5</vt:i4>
      </vt:variant>
      <vt:variant>
        <vt:lpwstr>http://www.immi.gov.au/media/publications/research/</vt:lpwstr>
      </vt:variant>
      <vt:variant>
        <vt:lpwstr/>
      </vt:variant>
      <vt:variant>
        <vt:i4>4915234</vt:i4>
      </vt:variant>
      <vt:variant>
        <vt:i4>1143</vt:i4>
      </vt:variant>
      <vt:variant>
        <vt:i4>0</vt:i4>
      </vt:variant>
      <vt:variant>
        <vt:i4>5</vt:i4>
      </vt:variant>
      <vt:variant>
        <vt:lpwstr>http://www.superguide.com.au/how-super-works/income-tax-rates</vt:lpwstr>
      </vt:variant>
      <vt:variant>
        <vt:lpwstr/>
      </vt:variant>
      <vt:variant>
        <vt:i4>4915234</vt:i4>
      </vt:variant>
      <vt:variant>
        <vt:i4>1140</vt:i4>
      </vt:variant>
      <vt:variant>
        <vt:i4>0</vt:i4>
      </vt:variant>
      <vt:variant>
        <vt:i4>5</vt:i4>
      </vt:variant>
      <vt:variant>
        <vt:lpwstr>http://www.superguide.com.au/how-super-works/income-tax-rates</vt:lpwstr>
      </vt:variant>
      <vt:variant>
        <vt:lpwstr/>
      </vt:variant>
      <vt:variant>
        <vt:i4>7733355</vt:i4>
      </vt:variant>
      <vt:variant>
        <vt:i4>1137</vt:i4>
      </vt:variant>
      <vt:variant>
        <vt:i4>0</vt:i4>
      </vt:variant>
      <vt:variant>
        <vt:i4>5</vt:i4>
      </vt:variant>
      <vt:variant>
        <vt:lpwstr>http://www.asqa.gov.au/about-asqa/national-vet-regulation/standards-for-nvr-registered-training-organisations.html</vt:lpwstr>
      </vt:variant>
      <vt:variant>
        <vt:lpwstr/>
      </vt:variant>
      <vt:variant>
        <vt:i4>6881368</vt:i4>
      </vt:variant>
      <vt:variant>
        <vt:i4>1134</vt:i4>
      </vt:variant>
      <vt:variant>
        <vt:i4>0</vt:i4>
      </vt:variant>
      <vt:variant>
        <vt:i4>5</vt:i4>
      </vt:variant>
      <vt:variant>
        <vt:lpwstr>http://www.pc.gov.au/__data/assets/pdf_file/0009/108369/vocational-workforce.pdf</vt:lpwstr>
      </vt:variant>
      <vt:variant>
        <vt:lpwstr/>
      </vt:variant>
      <vt:variant>
        <vt:i4>3473431</vt:i4>
      </vt:variant>
      <vt:variant>
        <vt:i4>1131</vt:i4>
      </vt:variant>
      <vt:variant>
        <vt:i4>0</vt:i4>
      </vt:variant>
      <vt:variant>
        <vt:i4>5</vt:i4>
      </vt:variant>
      <vt:variant>
        <vt:lpwstr>http://www.immi.gov.au/Visas/Pages/457.aspx</vt:lpwstr>
      </vt:variant>
      <vt:variant>
        <vt:lpwstr/>
      </vt:variant>
      <vt:variant>
        <vt:i4>7536712</vt:i4>
      </vt:variant>
      <vt:variant>
        <vt:i4>1128</vt:i4>
      </vt:variant>
      <vt:variant>
        <vt:i4>0</vt:i4>
      </vt:variant>
      <vt:variant>
        <vt:i4>5</vt:i4>
      </vt:variant>
      <vt:variant>
        <vt:lpwstr>http://www.abs.gov.au/ausstats/abs@.nsf/mf/6306.0/</vt:lpwstr>
      </vt:variant>
      <vt:variant>
        <vt:lpwstr/>
      </vt:variant>
      <vt:variant>
        <vt:i4>7536712</vt:i4>
      </vt:variant>
      <vt:variant>
        <vt:i4>1125</vt:i4>
      </vt:variant>
      <vt:variant>
        <vt:i4>0</vt:i4>
      </vt:variant>
      <vt:variant>
        <vt:i4>5</vt:i4>
      </vt:variant>
      <vt:variant>
        <vt:lpwstr>http://www.abs.gov.au/ausstats/abs@.nsf/mf/6306.0/</vt:lpwstr>
      </vt:variant>
      <vt:variant>
        <vt:lpwstr/>
      </vt:variant>
      <vt:variant>
        <vt:i4>7536712</vt:i4>
      </vt:variant>
      <vt:variant>
        <vt:i4>1122</vt:i4>
      </vt:variant>
      <vt:variant>
        <vt:i4>0</vt:i4>
      </vt:variant>
      <vt:variant>
        <vt:i4>5</vt:i4>
      </vt:variant>
      <vt:variant>
        <vt:lpwstr>http://www.abs.gov.au/ausstats/abs@.nsf/mf/6306.0/</vt:lpwstr>
      </vt:variant>
      <vt:variant>
        <vt:lpwstr/>
      </vt:variant>
      <vt:variant>
        <vt:i4>262148</vt:i4>
      </vt:variant>
      <vt:variant>
        <vt:i4>1119</vt:i4>
      </vt:variant>
      <vt:variant>
        <vt:i4>0</vt:i4>
      </vt:variant>
      <vt:variant>
        <vt:i4>5</vt:i4>
      </vt:variant>
      <vt:variant>
        <vt:lpwstr>http://www.aptc.edu.au/index.php/course-fees</vt:lpwstr>
      </vt:variant>
      <vt:variant>
        <vt:lpwstr/>
      </vt:variant>
      <vt:variant>
        <vt:i4>262232</vt:i4>
      </vt:variant>
      <vt:variant>
        <vt:i4>1116</vt:i4>
      </vt:variant>
      <vt:variant>
        <vt:i4>0</vt:i4>
      </vt:variant>
      <vt:variant>
        <vt:i4>5</vt:i4>
      </vt:variant>
      <vt:variant>
        <vt:lpwstr>http://www.aptc.edu.au/index.php/april-2012/407-aptc-launches-pilot-program-in-aged-care</vt:lpwstr>
      </vt:variant>
      <vt:variant>
        <vt:lpwstr/>
      </vt:variant>
      <vt:variant>
        <vt:i4>262232</vt:i4>
      </vt:variant>
      <vt:variant>
        <vt:i4>1113</vt:i4>
      </vt:variant>
      <vt:variant>
        <vt:i4>0</vt:i4>
      </vt:variant>
      <vt:variant>
        <vt:i4>5</vt:i4>
      </vt:variant>
      <vt:variant>
        <vt:lpwstr>http://www.aptc.edu.au/index.php/april-2012/407-aptc-launches-pilot-program-in-aged-care</vt:lpwstr>
      </vt:variant>
      <vt:variant>
        <vt:lpwstr/>
      </vt:variant>
      <vt:variant>
        <vt:i4>7143467</vt:i4>
      </vt:variant>
      <vt:variant>
        <vt:i4>837</vt:i4>
      </vt:variant>
      <vt:variant>
        <vt:i4>0</vt:i4>
      </vt:variant>
      <vt:variant>
        <vt:i4>5</vt:i4>
      </vt:variant>
      <vt:variant>
        <vt:lpwstr>http://www.pacmas.org/wp-content/uploads/2013/10/PACMAS-REGIONAL-REPORT_FINAL.pdf</vt:lpwstr>
      </vt:variant>
      <vt:variant>
        <vt:lpwstr/>
      </vt:variant>
      <vt:variant>
        <vt:i4>3473469</vt:i4>
      </vt:variant>
      <vt:variant>
        <vt:i4>594</vt:i4>
      </vt:variant>
      <vt:variant>
        <vt:i4>0</vt:i4>
      </vt:variant>
      <vt:variant>
        <vt:i4>5</vt:i4>
      </vt:variant>
      <vt:variant>
        <vt:lpwstr>http://www.eval.org/Publications/GuidingPrinciples.asp</vt:lpwstr>
      </vt:variant>
      <vt:variant>
        <vt:lpwstr/>
      </vt:variant>
      <vt:variant>
        <vt:i4>4784143</vt:i4>
      </vt:variant>
      <vt:variant>
        <vt:i4>591</vt:i4>
      </vt:variant>
      <vt:variant>
        <vt:i4>0</vt:i4>
      </vt:variant>
      <vt:variant>
        <vt:i4>5</vt:i4>
      </vt:variant>
      <vt:variant>
        <vt:lpwstr>http://www.aes.asn.au/about/Documents - ongoing/code_of_ethics.pdf</vt:lpwstr>
      </vt:variant>
      <vt:variant>
        <vt:lpwstr/>
      </vt:variant>
      <vt:variant>
        <vt:i4>3276841</vt:i4>
      </vt:variant>
      <vt:variant>
        <vt:i4>588</vt:i4>
      </vt:variant>
      <vt:variant>
        <vt:i4>0</vt:i4>
      </vt:variant>
      <vt:variant>
        <vt:i4>5</vt:i4>
      </vt:variant>
      <vt:variant>
        <vt:lpwstr>http://aid.dfat.gov.au/Publications/Pages/monitoring-evaluation-standards.aspx</vt:lpwstr>
      </vt:variant>
      <vt:variant>
        <vt:lpwstr/>
      </vt:variant>
      <vt:variant>
        <vt:i4>983050</vt:i4>
      </vt:variant>
      <vt:variant>
        <vt:i4>12</vt:i4>
      </vt:variant>
      <vt:variant>
        <vt:i4>0</vt:i4>
      </vt:variant>
      <vt:variant>
        <vt:i4>5</vt:i4>
      </vt:variant>
      <vt:variant>
        <vt:lpwstr>http://aid.dfat.gov.au/aidpolicy/Pages/home.aspx</vt:lpwstr>
      </vt:variant>
      <vt:variant>
        <vt:lpwstr/>
      </vt:variant>
      <vt:variant>
        <vt:i4>262232</vt:i4>
      </vt:variant>
      <vt:variant>
        <vt:i4>9</vt:i4>
      </vt:variant>
      <vt:variant>
        <vt:i4>0</vt:i4>
      </vt:variant>
      <vt:variant>
        <vt:i4>5</vt:i4>
      </vt:variant>
      <vt:variant>
        <vt:lpwstr>http://www.aptc.edu.au/index.php/april-2012/407-aptc-launches-pilot-program-in-aged-care</vt:lpwstr>
      </vt:variant>
      <vt:variant>
        <vt:lpwstr/>
      </vt:variant>
      <vt:variant>
        <vt:i4>3473431</vt:i4>
      </vt:variant>
      <vt:variant>
        <vt:i4>6</vt:i4>
      </vt:variant>
      <vt:variant>
        <vt:i4>0</vt:i4>
      </vt:variant>
      <vt:variant>
        <vt:i4>5</vt:i4>
      </vt:variant>
      <vt:variant>
        <vt:lpwstr>http://www.immi.gov.au/Visas/Pages/457.aspx</vt:lpwstr>
      </vt:variant>
      <vt:variant>
        <vt:lpwstr/>
      </vt:variant>
      <vt:variant>
        <vt:i4>7143467</vt:i4>
      </vt:variant>
      <vt:variant>
        <vt:i4>3</vt:i4>
      </vt:variant>
      <vt:variant>
        <vt:i4>0</vt:i4>
      </vt:variant>
      <vt:variant>
        <vt:i4>5</vt:i4>
      </vt:variant>
      <vt:variant>
        <vt:lpwstr>http://www.pacmas.org/wp-content/uploads/2013/10/PACMAS-REGIONAL-REPORT_FINAL.pdf</vt:lpwstr>
      </vt:variant>
      <vt:variant>
        <vt:lpwstr/>
      </vt:variant>
      <vt:variant>
        <vt:i4>7143467</vt:i4>
      </vt:variant>
      <vt:variant>
        <vt:i4>0</vt:i4>
      </vt:variant>
      <vt:variant>
        <vt:i4>0</vt:i4>
      </vt:variant>
      <vt:variant>
        <vt:i4>5</vt:i4>
      </vt:variant>
      <vt:variant>
        <vt:lpwstr>http://www.pacmas.org/wp-content/uploads/2013/10/PACMAS-REGIONAL-REPORT_FINAL.pdf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REQUEST FOR PROPOSAL No</dc:title>
  <dc:creator>Laura Fitzhenry</dc:creator>
  <cp:lastModifiedBy>Seniloli, Tina</cp:lastModifiedBy>
  <cp:revision>2</cp:revision>
  <cp:lastPrinted>2015-01-27T21:21:00Z</cp:lastPrinted>
  <dcterms:created xsi:type="dcterms:W3CDTF">2015-09-09T03:15:00Z</dcterms:created>
  <dcterms:modified xsi:type="dcterms:W3CDTF">2015-09-09T03:15:00Z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972200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