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5A794" w14:textId="77777777" w:rsidR="00A91FF7" w:rsidRDefault="00A91FF7" w:rsidP="00A91FF7">
      <w:pPr>
        <w:pStyle w:val="ERFTitleHeading"/>
        <w:ind w:left="432"/>
        <w:jc w:val="both"/>
      </w:pPr>
      <w:bookmarkStart w:id="0" w:name="_GoBack"/>
      <w:bookmarkEnd w:id="0"/>
    </w:p>
    <w:p w14:paraId="161ABBF9" w14:textId="77777777" w:rsidR="00A91FF7" w:rsidRDefault="00A91FF7" w:rsidP="00A91FF7">
      <w:pPr>
        <w:pStyle w:val="ERFTitleHeading"/>
        <w:ind w:left="432"/>
        <w:jc w:val="both"/>
      </w:pPr>
    </w:p>
    <w:p w14:paraId="1AAA05D1" w14:textId="77777777" w:rsidR="00A91FF7" w:rsidRDefault="00A91FF7" w:rsidP="00A91FF7">
      <w:pPr>
        <w:pStyle w:val="ERFTitleHeading"/>
        <w:ind w:left="432"/>
        <w:jc w:val="both"/>
      </w:pPr>
    </w:p>
    <w:p w14:paraId="07ADEBE9" w14:textId="77777777" w:rsidR="00A91FF7" w:rsidRDefault="00A91FF7" w:rsidP="00A91FF7">
      <w:pPr>
        <w:pStyle w:val="ERFTitleHeading"/>
        <w:ind w:left="432"/>
        <w:jc w:val="both"/>
      </w:pPr>
    </w:p>
    <w:p w14:paraId="363FF9F9" w14:textId="4586B750" w:rsidR="005E1903" w:rsidRPr="005E1903" w:rsidRDefault="005E1903" w:rsidP="005E1903">
      <w:pPr>
        <w:pStyle w:val="ERFTitleHeading"/>
      </w:pPr>
      <w:r w:rsidRPr="005E1903">
        <w:t xml:space="preserve">Independent </w:t>
      </w:r>
      <w:r w:rsidR="00ED42CD">
        <w:t>r</w:t>
      </w:r>
      <w:r w:rsidR="00ED42CD" w:rsidRPr="005E1903">
        <w:t xml:space="preserve">eview </w:t>
      </w:r>
      <w:r w:rsidRPr="005E1903">
        <w:t xml:space="preserve">of the </w:t>
      </w:r>
      <w:r w:rsidR="00ED42CD">
        <w:br/>
      </w:r>
      <w:r w:rsidRPr="005E1903">
        <w:t>Australia</w:t>
      </w:r>
      <w:r w:rsidR="00ED42CD">
        <w:t>–</w:t>
      </w:r>
      <w:r w:rsidRPr="005E1903">
        <w:t>Pacific Technical College</w:t>
      </w:r>
    </w:p>
    <w:p w14:paraId="4F65A55D" w14:textId="77777777" w:rsidR="005E1903" w:rsidRPr="005E1903" w:rsidRDefault="005E1903" w:rsidP="005E1903">
      <w:pPr>
        <w:pStyle w:val="ERFTitleHeading"/>
      </w:pPr>
    </w:p>
    <w:p w14:paraId="0985CDCF" w14:textId="5C334024" w:rsidR="005E1903" w:rsidRPr="005E1903" w:rsidRDefault="005E1903" w:rsidP="005E1903">
      <w:pPr>
        <w:pStyle w:val="ERFTitleHeading"/>
      </w:pPr>
      <w:r>
        <w:t xml:space="preserve">Full </w:t>
      </w:r>
      <w:r w:rsidR="00ED42CD">
        <w:t>report</w:t>
      </w:r>
    </w:p>
    <w:p w14:paraId="6D353CB0" w14:textId="77777777" w:rsidR="005E1903" w:rsidRPr="005E1903" w:rsidRDefault="005E1903" w:rsidP="005E1903">
      <w:pPr>
        <w:pStyle w:val="ERFTitleHeading"/>
      </w:pPr>
    </w:p>
    <w:p w14:paraId="2E661883" w14:textId="77777777" w:rsidR="005E1903" w:rsidRPr="005E1903" w:rsidRDefault="005E1903" w:rsidP="005E1903">
      <w:pPr>
        <w:pStyle w:val="ERFTitleHeading"/>
      </w:pPr>
    </w:p>
    <w:p w14:paraId="1DC714B6" w14:textId="7958424A" w:rsidR="005E1903" w:rsidRPr="005E1903" w:rsidRDefault="00EC4491" w:rsidP="005E1903">
      <w:pPr>
        <w:pStyle w:val="ERFTitleHeading"/>
      </w:pPr>
      <w:r>
        <w:t>Final</w:t>
      </w:r>
      <w:r w:rsidR="005E1903" w:rsidRPr="005E1903">
        <w:t xml:space="preserve"> </w:t>
      </w:r>
    </w:p>
    <w:p w14:paraId="797249A7" w14:textId="5120EC5B" w:rsidR="005E1903" w:rsidRPr="00E50DF9" w:rsidRDefault="005C4A78" w:rsidP="005E1903">
      <w:pPr>
        <w:pStyle w:val="ERFTitleHeading"/>
        <w:rPr>
          <w:sz w:val="32"/>
          <w:lang w:val="en-AU"/>
        </w:rPr>
      </w:pPr>
      <w:r>
        <w:rPr>
          <w:sz w:val="32"/>
          <w:lang w:val="en-AU"/>
        </w:rPr>
        <w:t>2</w:t>
      </w:r>
      <w:r w:rsidR="00904CB8">
        <w:rPr>
          <w:sz w:val="32"/>
          <w:lang w:val="en-AU"/>
        </w:rPr>
        <w:t>8</w:t>
      </w:r>
      <w:r w:rsidR="003C1814">
        <w:rPr>
          <w:sz w:val="32"/>
          <w:lang w:val="en-AU"/>
        </w:rPr>
        <w:t xml:space="preserve"> November </w:t>
      </w:r>
      <w:r w:rsidR="005E1903" w:rsidRPr="00E50DF9">
        <w:rPr>
          <w:sz w:val="32"/>
          <w:lang w:val="en-AU"/>
        </w:rPr>
        <w:t>2014</w:t>
      </w:r>
    </w:p>
    <w:p w14:paraId="30808D12" w14:textId="77777777" w:rsidR="00EF59E3" w:rsidRDefault="00EF59E3">
      <w:pPr>
        <w:spacing w:after="0"/>
        <w:rPr>
          <w:rFonts w:cs="Arial"/>
        </w:rPr>
      </w:pPr>
      <w:r>
        <w:rPr>
          <w:rFonts w:cs="Arial"/>
        </w:rPr>
        <w:br w:type="page"/>
      </w:r>
    </w:p>
    <w:p w14:paraId="4EB0B9B0" w14:textId="77777777" w:rsidR="00A91FF7" w:rsidRPr="006D7C73" w:rsidRDefault="00A91FF7">
      <w:pPr>
        <w:rPr>
          <w:rFonts w:cs="Arial"/>
        </w:rPr>
      </w:pPr>
    </w:p>
    <w:p w14:paraId="6CD08015" w14:textId="06DBDCFF" w:rsidR="00BC1A27" w:rsidRDefault="00EF59E3" w:rsidP="009C76A7">
      <w:pPr>
        <w:pStyle w:val="ColorfulList-Accent11"/>
        <w:numPr>
          <w:ilvl w:val="0"/>
          <w:numId w:val="0"/>
        </w:numPr>
        <w:contextualSpacing w:val="0"/>
      </w:pPr>
      <w:r w:rsidRPr="00EF59E3">
        <w:t>This report has been prepared</w:t>
      </w:r>
      <w:r w:rsidR="007E53EB">
        <w:t>,</w:t>
      </w:r>
      <w:r w:rsidRPr="00EF59E3">
        <w:t xml:space="preserve"> </w:t>
      </w:r>
      <w:r w:rsidR="00BC1A27" w:rsidRPr="00EF59E3">
        <w:t xml:space="preserve">under </w:t>
      </w:r>
      <w:r w:rsidR="00BC1A27">
        <w:t xml:space="preserve">the </w:t>
      </w:r>
      <w:r w:rsidR="00BC1A27" w:rsidRPr="00EF59E3">
        <w:t xml:space="preserve">management of </w:t>
      </w:r>
      <w:r w:rsidR="00BC1A27">
        <w:t>the Education Resource Facility</w:t>
      </w:r>
      <w:r w:rsidR="007E53EB">
        <w:t xml:space="preserve">, </w:t>
      </w:r>
      <w:r w:rsidR="007E53EB" w:rsidRPr="00EF59E3">
        <w:t xml:space="preserve">by </w:t>
      </w:r>
      <w:r w:rsidR="007E53EB">
        <w:t>the following review team</w:t>
      </w:r>
      <w:r w:rsidR="00BC1A27">
        <w:t>:</w:t>
      </w:r>
    </w:p>
    <w:p w14:paraId="15CE9C18" w14:textId="77777777" w:rsidR="00BC1A27" w:rsidRDefault="00BC1A27" w:rsidP="00BC1A27">
      <w:pPr>
        <w:pStyle w:val="ColorfulList-Accent11"/>
      </w:pPr>
      <w:r w:rsidRPr="00EF59E3">
        <w:t>Richard Johanson</w:t>
      </w:r>
      <w:r w:rsidR="006062F2">
        <w:t xml:space="preserve">, </w:t>
      </w:r>
      <w:r>
        <w:t>team leader</w:t>
      </w:r>
    </w:p>
    <w:p w14:paraId="3246FEF0" w14:textId="25CA7872" w:rsidR="00BC1A27" w:rsidRDefault="00EF59E3" w:rsidP="00BC1A27">
      <w:pPr>
        <w:pStyle w:val="ColorfulList-Accent11"/>
      </w:pPr>
      <w:r w:rsidRPr="00EF59E3">
        <w:t>Richard Curtain</w:t>
      </w:r>
      <w:r w:rsidR="006062F2">
        <w:t xml:space="preserve">, </w:t>
      </w:r>
      <w:r w:rsidR="00816E4E">
        <w:t xml:space="preserve">labour </w:t>
      </w:r>
      <w:r w:rsidR="00DE3CF8">
        <w:t xml:space="preserve">market analyst </w:t>
      </w:r>
    </w:p>
    <w:p w14:paraId="68AF1C32" w14:textId="302C5166" w:rsidR="00BC1A27" w:rsidRDefault="00EF59E3" w:rsidP="00BC1A27">
      <w:pPr>
        <w:pStyle w:val="ColorfulList-Accent11"/>
      </w:pPr>
      <w:r w:rsidRPr="00EF59E3">
        <w:t>Peter Moock</w:t>
      </w:r>
      <w:r w:rsidR="006062F2">
        <w:t xml:space="preserve">, </w:t>
      </w:r>
      <w:r w:rsidR="00816E4E">
        <w:t>economist</w:t>
      </w:r>
    </w:p>
    <w:p w14:paraId="20D9904B" w14:textId="1A319FB2" w:rsidR="00BC1A27" w:rsidRDefault="00EF59E3" w:rsidP="00BC1A27">
      <w:pPr>
        <w:pStyle w:val="ColorfulList-Accent11"/>
      </w:pPr>
      <w:r w:rsidRPr="00EF59E3">
        <w:t>Virginia Simmons</w:t>
      </w:r>
      <w:r w:rsidR="006062F2">
        <w:t xml:space="preserve">, </w:t>
      </w:r>
      <w:r w:rsidR="00200610">
        <w:t xml:space="preserve">TVET </w:t>
      </w:r>
      <w:r w:rsidR="00AE41D4">
        <w:t>specialist</w:t>
      </w:r>
      <w:r w:rsidR="00BC1A27">
        <w:t>.</w:t>
      </w:r>
    </w:p>
    <w:p w14:paraId="5F43F8DF" w14:textId="63A9D029" w:rsidR="00A916BE" w:rsidRDefault="004869CC" w:rsidP="004869CC">
      <w:pPr>
        <w:rPr>
          <w:rFonts w:cs="Arial"/>
        </w:rPr>
      </w:pPr>
      <w:r w:rsidRPr="00E12183">
        <w:rPr>
          <w:rFonts w:cs="Arial"/>
        </w:rPr>
        <w:t xml:space="preserve">The team expresses its deep appreciation to DFAT, </w:t>
      </w:r>
      <w:r w:rsidR="00B61320">
        <w:rPr>
          <w:rFonts w:cs="Arial"/>
        </w:rPr>
        <w:t xml:space="preserve">to </w:t>
      </w:r>
      <w:r w:rsidRPr="00E12183">
        <w:rPr>
          <w:rFonts w:cs="Arial"/>
        </w:rPr>
        <w:t>Denise O’Brien</w:t>
      </w:r>
      <w:r w:rsidR="00B61320">
        <w:rPr>
          <w:rFonts w:cs="Arial"/>
        </w:rPr>
        <w:t>,</w:t>
      </w:r>
      <w:r w:rsidR="00B61320" w:rsidRPr="00B61320">
        <w:t xml:space="preserve"> </w:t>
      </w:r>
      <w:r w:rsidR="00B61320">
        <w:rPr>
          <w:rFonts w:cs="Arial"/>
        </w:rPr>
        <w:t>the APTC CEO,</w:t>
      </w:r>
      <w:r w:rsidR="00F81F21">
        <w:rPr>
          <w:rFonts w:cs="Arial"/>
        </w:rPr>
        <w:t xml:space="preserve"> </w:t>
      </w:r>
      <w:r w:rsidRPr="00E12183">
        <w:rPr>
          <w:rFonts w:cs="Arial"/>
        </w:rPr>
        <w:t xml:space="preserve">and </w:t>
      </w:r>
      <w:r w:rsidR="00B61320">
        <w:rPr>
          <w:rFonts w:cs="Arial"/>
        </w:rPr>
        <w:t xml:space="preserve">to </w:t>
      </w:r>
      <w:r w:rsidRPr="00E12183">
        <w:rPr>
          <w:rFonts w:cs="Arial"/>
        </w:rPr>
        <w:t>APTC country managers Francis Howes, Trevor Birney, Kathryn Gray and Bede</w:t>
      </w:r>
      <w:r w:rsidR="007E53EB">
        <w:rPr>
          <w:rFonts w:cs="Arial"/>
        </w:rPr>
        <w:t> </w:t>
      </w:r>
      <w:r w:rsidRPr="00E12183">
        <w:rPr>
          <w:rFonts w:cs="Arial"/>
        </w:rPr>
        <w:t>O’Brien</w:t>
      </w:r>
      <w:r w:rsidRPr="00E12183">
        <w:rPr>
          <w:rStyle w:val="FootnoteReference"/>
          <w:rFonts w:eastAsiaTheme="minorHAnsi"/>
          <w:lang w:val="en-AU"/>
        </w:rPr>
        <w:t xml:space="preserve"> </w:t>
      </w:r>
      <w:r>
        <w:rPr>
          <w:rFonts w:cs="Arial"/>
        </w:rPr>
        <w:t>.</w:t>
      </w:r>
      <w:r w:rsidRPr="00E12183">
        <w:rPr>
          <w:rFonts w:cs="Arial"/>
        </w:rPr>
        <w:t xml:space="preserve"> </w:t>
      </w:r>
      <w:r w:rsidRPr="004869CC">
        <w:rPr>
          <w:rFonts w:cs="Arial"/>
        </w:rPr>
        <w:t>The former Fiji Country Managers, James Knynenburg and Wendy Draayers also completed country manager surveys.</w:t>
      </w:r>
      <w:r>
        <w:rPr>
          <w:rFonts w:cs="Arial"/>
        </w:rPr>
        <w:t xml:space="preserve"> </w:t>
      </w:r>
    </w:p>
    <w:p w14:paraId="4DAF7307" w14:textId="63F4FA69" w:rsidR="00A916BE" w:rsidRDefault="004869CC" w:rsidP="004869CC">
      <w:pPr>
        <w:rPr>
          <w:rFonts w:cs="Arial"/>
        </w:rPr>
      </w:pPr>
      <w:r w:rsidRPr="00E12183">
        <w:rPr>
          <w:rFonts w:cs="Arial"/>
        </w:rPr>
        <w:t xml:space="preserve">Special thanks go to </w:t>
      </w:r>
      <w:r w:rsidR="00F509B2" w:rsidRPr="00E12183">
        <w:rPr>
          <w:rFonts w:cs="Arial"/>
        </w:rPr>
        <w:t xml:space="preserve">Jenny Dehn, </w:t>
      </w:r>
      <w:r w:rsidRPr="00E12183">
        <w:rPr>
          <w:rFonts w:cs="Arial"/>
        </w:rPr>
        <w:t xml:space="preserve">Marty Rollings, Benita McGovern, Geoff Cooper, and their colleagues in APTC for their extraordinary efforts in responding to multiple team requests for detailed data. The team wishes to express its appreciation to </w:t>
      </w:r>
      <w:r w:rsidR="006D526B">
        <w:rPr>
          <w:rFonts w:cs="Arial"/>
        </w:rPr>
        <w:t xml:space="preserve">Carol-Anne Blecich, Director of Strategy and Development and to </w:t>
      </w:r>
      <w:r w:rsidRPr="00E12183">
        <w:rPr>
          <w:rFonts w:cs="Arial"/>
        </w:rPr>
        <w:t xml:space="preserve">the many helpful APTC staff in Apia, Nadi, Suva, Port Moresby, Honiara and Port Vila for their cooperation and assistance to the team and to those who gave freely of their time and views, including out-of-working hours.  </w:t>
      </w:r>
    </w:p>
    <w:p w14:paraId="5EDCC296" w14:textId="77777777" w:rsidR="004869CC" w:rsidRPr="00E12183" w:rsidRDefault="004869CC" w:rsidP="004869CC">
      <w:pPr>
        <w:rPr>
          <w:rFonts w:cs="Arial"/>
        </w:rPr>
      </w:pPr>
      <w:r w:rsidRPr="00E12183">
        <w:rPr>
          <w:rFonts w:cs="Arial"/>
        </w:rPr>
        <w:t>The team also thanks Tina Seniloli, APTC Program Manager in DFAT (Suva) who managed the review schedule, accompanied the team on its field consultations, and provided advice throughout.</w:t>
      </w:r>
    </w:p>
    <w:p w14:paraId="5621D5AC" w14:textId="77777777" w:rsidR="004869CC" w:rsidRPr="00EF59E3" w:rsidRDefault="004869CC" w:rsidP="00EF59E3"/>
    <w:p w14:paraId="3D4E5F35" w14:textId="77777777" w:rsidR="00EF59E3" w:rsidRPr="00EF59E3" w:rsidRDefault="00EF59E3" w:rsidP="00EF59E3"/>
    <w:p w14:paraId="02A74721" w14:textId="77777777" w:rsidR="00EF59E3" w:rsidRPr="00EF59E3" w:rsidRDefault="00EF59E3" w:rsidP="00EF59E3"/>
    <w:p w14:paraId="66606C6A" w14:textId="77777777" w:rsidR="00EF59E3" w:rsidRPr="00EF59E3" w:rsidRDefault="00EF59E3" w:rsidP="00EF59E3"/>
    <w:p w14:paraId="1C2C1DE4" w14:textId="77777777" w:rsidR="00EF59E3" w:rsidRPr="00EF59E3" w:rsidRDefault="00EF59E3" w:rsidP="00EF59E3">
      <w:pPr>
        <w:rPr>
          <w:b/>
          <w:bCs/>
          <w:lang w:val="en-US"/>
        </w:rPr>
      </w:pPr>
    </w:p>
    <w:tbl>
      <w:tblPr>
        <w:tblW w:w="8505" w:type="dxa"/>
        <w:tblInd w:w="108" w:type="dxa"/>
        <w:tblLayout w:type="fixed"/>
        <w:tblLook w:val="04A0" w:firstRow="1" w:lastRow="0" w:firstColumn="1" w:lastColumn="0" w:noHBand="0" w:noVBand="1"/>
      </w:tblPr>
      <w:tblGrid>
        <w:gridCol w:w="1134"/>
        <w:gridCol w:w="1134"/>
        <w:gridCol w:w="3402"/>
        <w:gridCol w:w="2835"/>
      </w:tblGrid>
      <w:tr w:rsidR="005C468D" w:rsidRPr="00A916BE" w14:paraId="44F371CF" w14:textId="77777777" w:rsidTr="005C468D">
        <w:tc>
          <w:tcPr>
            <w:tcW w:w="1134" w:type="dxa"/>
            <w:shd w:val="clear" w:color="auto" w:fill="C5E0B3" w:themeFill="accent6" w:themeFillTint="66"/>
          </w:tcPr>
          <w:p w14:paraId="63837636" w14:textId="77777777" w:rsidR="00EF59E3" w:rsidRPr="00A916BE" w:rsidRDefault="00EF59E3" w:rsidP="00A916BE">
            <w:pPr>
              <w:spacing w:before="40" w:after="40"/>
              <w:rPr>
                <w:b/>
                <w:sz w:val="18"/>
              </w:rPr>
            </w:pPr>
            <w:r w:rsidRPr="00A916BE">
              <w:rPr>
                <w:b/>
                <w:sz w:val="18"/>
              </w:rPr>
              <w:t>Version no.</w:t>
            </w:r>
          </w:p>
        </w:tc>
        <w:tc>
          <w:tcPr>
            <w:tcW w:w="1134" w:type="dxa"/>
            <w:shd w:val="clear" w:color="auto" w:fill="C5E0B3" w:themeFill="accent6" w:themeFillTint="66"/>
          </w:tcPr>
          <w:p w14:paraId="455AF346" w14:textId="77777777" w:rsidR="00EF59E3" w:rsidRPr="00A916BE" w:rsidRDefault="00EF59E3" w:rsidP="00A916BE">
            <w:pPr>
              <w:spacing w:before="40" w:after="40"/>
              <w:rPr>
                <w:b/>
                <w:sz w:val="18"/>
              </w:rPr>
            </w:pPr>
            <w:r w:rsidRPr="00A916BE">
              <w:rPr>
                <w:b/>
                <w:sz w:val="18"/>
              </w:rPr>
              <w:t>Date</w:t>
            </w:r>
          </w:p>
        </w:tc>
        <w:tc>
          <w:tcPr>
            <w:tcW w:w="3402" w:type="dxa"/>
            <w:shd w:val="clear" w:color="auto" w:fill="C5E0B3" w:themeFill="accent6" w:themeFillTint="66"/>
          </w:tcPr>
          <w:p w14:paraId="4D338F5C" w14:textId="77777777" w:rsidR="00EF59E3" w:rsidRPr="00A916BE" w:rsidRDefault="00EF59E3" w:rsidP="00A916BE">
            <w:pPr>
              <w:spacing w:before="40" w:after="40"/>
              <w:rPr>
                <w:b/>
                <w:sz w:val="18"/>
              </w:rPr>
            </w:pPr>
            <w:r w:rsidRPr="00A916BE">
              <w:rPr>
                <w:b/>
                <w:sz w:val="18"/>
              </w:rPr>
              <w:t>Brief description of change</w:t>
            </w:r>
          </w:p>
        </w:tc>
        <w:tc>
          <w:tcPr>
            <w:tcW w:w="2835" w:type="dxa"/>
            <w:shd w:val="clear" w:color="auto" w:fill="C5E0B3" w:themeFill="accent6" w:themeFillTint="66"/>
          </w:tcPr>
          <w:p w14:paraId="4E0F8879" w14:textId="77777777" w:rsidR="00EF59E3" w:rsidRPr="00A916BE" w:rsidRDefault="00EF59E3" w:rsidP="00A916BE">
            <w:pPr>
              <w:spacing w:before="40" w:after="40"/>
              <w:rPr>
                <w:b/>
                <w:sz w:val="18"/>
              </w:rPr>
            </w:pPr>
            <w:r w:rsidRPr="00A916BE">
              <w:rPr>
                <w:b/>
                <w:sz w:val="18"/>
              </w:rPr>
              <w:t>Author</w:t>
            </w:r>
          </w:p>
        </w:tc>
      </w:tr>
      <w:tr w:rsidR="005C468D" w:rsidRPr="00A916BE" w14:paraId="7354085E" w14:textId="77777777" w:rsidTr="005C468D">
        <w:tc>
          <w:tcPr>
            <w:tcW w:w="1134" w:type="dxa"/>
            <w:tcBorders>
              <w:bottom w:val="single" w:sz="4" w:space="0" w:color="A8D08D" w:themeColor="accent6" w:themeTint="99"/>
            </w:tcBorders>
          </w:tcPr>
          <w:p w14:paraId="4A61E299" w14:textId="77777777" w:rsidR="00EF59E3" w:rsidRPr="00A916BE" w:rsidRDefault="00EF59E3" w:rsidP="00A916BE">
            <w:pPr>
              <w:spacing w:before="40" w:after="40"/>
              <w:rPr>
                <w:sz w:val="18"/>
              </w:rPr>
            </w:pPr>
            <w:r w:rsidRPr="00A916BE">
              <w:rPr>
                <w:sz w:val="18"/>
              </w:rPr>
              <w:t>1</w:t>
            </w:r>
          </w:p>
        </w:tc>
        <w:tc>
          <w:tcPr>
            <w:tcW w:w="1134" w:type="dxa"/>
            <w:tcBorders>
              <w:bottom w:val="single" w:sz="4" w:space="0" w:color="A8D08D" w:themeColor="accent6" w:themeTint="99"/>
            </w:tcBorders>
          </w:tcPr>
          <w:p w14:paraId="283EDD9A" w14:textId="77777777" w:rsidR="00EF59E3" w:rsidRPr="00A916BE" w:rsidRDefault="00EF59E3" w:rsidP="00A916BE">
            <w:pPr>
              <w:spacing w:before="40" w:after="40"/>
              <w:rPr>
                <w:sz w:val="18"/>
              </w:rPr>
            </w:pPr>
            <w:r w:rsidRPr="00A916BE">
              <w:rPr>
                <w:sz w:val="18"/>
              </w:rPr>
              <w:t>29/09/14</w:t>
            </w:r>
          </w:p>
        </w:tc>
        <w:tc>
          <w:tcPr>
            <w:tcW w:w="3402" w:type="dxa"/>
            <w:tcBorders>
              <w:bottom w:val="single" w:sz="4" w:space="0" w:color="A8D08D" w:themeColor="accent6" w:themeTint="99"/>
            </w:tcBorders>
          </w:tcPr>
          <w:p w14:paraId="0EC82481" w14:textId="77777777" w:rsidR="00EF59E3" w:rsidRPr="00A916BE" w:rsidRDefault="00EF59E3" w:rsidP="00A916BE">
            <w:pPr>
              <w:spacing w:before="40" w:after="40"/>
              <w:rPr>
                <w:sz w:val="18"/>
              </w:rPr>
            </w:pPr>
            <w:r w:rsidRPr="00A916BE">
              <w:rPr>
                <w:sz w:val="18"/>
              </w:rPr>
              <w:t xml:space="preserve">First draft submitted to </w:t>
            </w:r>
            <w:r w:rsidR="00316C39" w:rsidRPr="00A916BE">
              <w:rPr>
                <w:sz w:val="18"/>
              </w:rPr>
              <w:t>ERF</w:t>
            </w:r>
            <w:r w:rsidRPr="00A916BE">
              <w:rPr>
                <w:sz w:val="18"/>
              </w:rPr>
              <w:t xml:space="preserve"> for comment </w:t>
            </w:r>
          </w:p>
        </w:tc>
        <w:tc>
          <w:tcPr>
            <w:tcW w:w="2835" w:type="dxa"/>
            <w:tcBorders>
              <w:bottom w:val="single" w:sz="4" w:space="0" w:color="A8D08D" w:themeColor="accent6" w:themeTint="99"/>
            </w:tcBorders>
          </w:tcPr>
          <w:p w14:paraId="2F2D2E40" w14:textId="698843CA" w:rsidR="00EF59E3" w:rsidRPr="00A916BE" w:rsidRDefault="00B43105" w:rsidP="00A916BE">
            <w:pPr>
              <w:spacing w:before="40" w:after="40"/>
              <w:rPr>
                <w:sz w:val="18"/>
              </w:rPr>
            </w:pPr>
            <w:r w:rsidRPr="00A916BE">
              <w:rPr>
                <w:sz w:val="18"/>
              </w:rPr>
              <w:t xml:space="preserve">Review Team, </w:t>
            </w:r>
            <w:r w:rsidR="005C468D">
              <w:rPr>
                <w:sz w:val="18"/>
              </w:rPr>
              <w:br/>
            </w:r>
            <w:r w:rsidR="00EF59E3" w:rsidRPr="00A916BE">
              <w:rPr>
                <w:sz w:val="18"/>
              </w:rPr>
              <w:t>Richard Johanson</w:t>
            </w:r>
            <w:r w:rsidRPr="00A916BE">
              <w:rPr>
                <w:sz w:val="18"/>
              </w:rPr>
              <w:t xml:space="preserve"> coordinating</w:t>
            </w:r>
          </w:p>
        </w:tc>
      </w:tr>
      <w:tr w:rsidR="005C468D" w:rsidRPr="00A916BE" w14:paraId="521A4B8C" w14:textId="77777777" w:rsidTr="005C468D">
        <w:tc>
          <w:tcPr>
            <w:tcW w:w="1134" w:type="dxa"/>
            <w:tcBorders>
              <w:top w:val="single" w:sz="4" w:space="0" w:color="A8D08D" w:themeColor="accent6" w:themeTint="99"/>
              <w:bottom w:val="single" w:sz="4" w:space="0" w:color="A8D08D" w:themeColor="accent6" w:themeTint="99"/>
            </w:tcBorders>
          </w:tcPr>
          <w:p w14:paraId="79D1E40C" w14:textId="77777777" w:rsidR="00EF59E3" w:rsidRPr="00A916BE" w:rsidRDefault="006A28FA" w:rsidP="00A916BE">
            <w:pPr>
              <w:spacing w:before="40" w:after="40"/>
              <w:rPr>
                <w:sz w:val="18"/>
              </w:rPr>
            </w:pPr>
            <w:r w:rsidRPr="00A916BE">
              <w:rPr>
                <w:sz w:val="18"/>
              </w:rPr>
              <w:t>2</w:t>
            </w:r>
          </w:p>
        </w:tc>
        <w:tc>
          <w:tcPr>
            <w:tcW w:w="1134" w:type="dxa"/>
            <w:tcBorders>
              <w:top w:val="single" w:sz="4" w:space="0" w:color="A8D08D" w:themeColor="accent6" w:themeTint="99"/>
              <w:bottom w:val="single" w:sz="4" w:space="0" w:color="A8D08D" w:themeColor="accent6" w:themeTint="99"/>
            </w:tcBorders>
          </w:tcPr>
          <w:p w14:paraId="0426A1C4" w14:textId="77777777" w:rsidR="00EF59E3" w:rsidRPr="00A916BE" w:rsidRDefault="006A28FA" w:rsidP="00A916BE">
            <w:pPr>
              <w:spacing w:before="40" w:after="40"/>
              <w:rPr>
                <w:sz w:val="18"/>
              </w:rPr>
            </w:pPr>
            <w:r w:rsidRPr="00A916BE">
              <w:rPr>
                <w:sz w:val="18"/>
              </w:rPr>
              <w:t>8/10/2014</w:t>
            </w:r>
          </w:p>
        </w:tc>
        <w:tc>
          <w:tcPr>
            <w:tcW w:w="3402" w:type="dxa"/>
            <w:tcBorders>
              <w:top w:val="single" w:sz="4" w:space="0" w:color="A8D08D" w:themeColor="accent6" w:themeTint="99"/>
              <w:bottom w:val="single" w:sz="4" w:space="0" w:color="A8D08D" w:themeColor="accent6" w:themeTint="99"/>
            </w:tcBorders>
          </w:tcPr>
          <w:p w14:paraId="591883FD" w14:textId="77777777" w:rsidR="00EF59E3" w:rsidRPr="00A916BE" w:rsidRDefault="006A28FA" w:rsidP="00A916BE">
            <w:pPr>
              <w:spacing w:before="40" w:after="40"/>
              <w:rPr>
                <w:sz w:val="18"/>
              </w:rPr>
            </w:pPr>
            <w:r w:rsidRPr="00A916BE">
              <w:rPr>
                <w:sz w:val="18"/>
              </w:rPr>
              <w:t>Revised first draft submitted to ERF in response to reviewer comments</w:t>
            </w:r>
          </w:p>
        </w:tc>
        <w:tc>
          <w:tcPr>
            <w:tcW w:w="2835" w:type="dxa"/>
            <w:tcBorders>
              <w:top w:val="single" w:sz="4" w:space="0" w:color="A8D08D" w:themeColor="accent6" w:themeTint="99"/>
              <w:bottom w:val="single" w:sz="4" w:space="0" w:color="A8D08D" w:themeColor="accent6" w:themeTint="99"/>
            </w:tcBorders>
          </w:tcPr>
          <w:p w14:paraId="1C8C6C0F" w14:textId="2B9D9E63" w:rsidR="00B43105" w:rsidRPr="00A916BE" w:rsidRDefault="00B43105" w:rsidP="00A916BE">
            <w:pPr>
              <w:spacing w:before="40" w:after="40"/>
              <w:rPr>
                <w:sz w:val="18"/>
              </w:rPr>
            </w:pPr>
            <w:r w:rsidRPr="00A916BE">
              <w:rPr>
                <w:sz w:val="18"/>
              </w:rPr>
              <w:t xml:space="preserve">Review Team, </w:t>
            </w:r>
            <w:r w:rsidR="005C468D">
              <w:rPr>
                <w:sz w:val="18"/>
              </w:rPr>
              <w:br/>
            </w:r>
            <w:r w:rsidR="006A28FA" w:rsidRPr="00A916BE">
              <w:rPr>
                <w:sz w:val="18"/>
              </w:rPr>
              <w:t>Richard Johanson</w:t>
            </w:r>
            <w:r w:rsidRPr="00A916BE">
              <w:rPr>
                <w:sz w:val="18"/>
              </w:rPr>
              <w:t xml:space="preserve"> coordinating</w:t>
            </w:r>
          </w:p>
        </w:tc>
      </w:tr>
      <w:tr w:rsidR="005C468D" w:rsidRPr="00A916BE" w14:paraId="34BD48AD" w14:textId="77777777" w:rsidTr="005C468D">
        <w:tc>
          <w:tcPr>
            <w:tcW w:w="1134" w:type="dxa"/>
            <w:tcBorders>
              <w:top w:val="single" w:sz="4" w:space="0" w:color="A8D08D" w:themeColor="accent6" w:themeTint="99"/>
              <w:bottom w:val="single" w:sz="4" w:space="0" w:color="A8D08D" w:themeColor="accent6" w:themeTint="99"/>
            </w:tcBorders>
          </w:tcPr>
          <w:p w14:paraId="55D11A5E" w14:textId="3D8274D6" w:rsidR="00EF59E3" w:rsidRPr="00A916BE" w:rsidRDefault="006C51F8" w:rsidP="00A916BE">
            <w:pPr>
              <w:spacing w:before="40" w:after="40"/>
              <w:rPr>
                <w:sz w:val="18"/>
              </w:rPr>
            </w:pPr>
            <w:r>
              <w:rPr>
                <w:sz w:val="18"/>
              </w:rPr>
              <w:t>3</w:t>
            </w:r>
          </w:p>
        </w:tc>
        <w:tc>
          <w:tcPr>
            <w:tcW w:w="1134" w:type="dxa"/>
            <w:tcBorders>
              <w:top w:val="single" w:sz="4" w:space="0" w:color="A8D08D" w:themeColor="accent6" w:themeTint="99"/>
              <w:bottom w:val="single" w:sz="4" w:space="0" w:color="A8D08D" w:themeColor="accent6" w:themeTint="99"/>
            </w:tcBorders>
          </w:tcPr>
          <w:p w14:paraId="51ED6030" w14:textId="7A0933FD" w:rsidR="00EF59E3" w:rsidRPr="00A916BE" w:rsidRDefault="003B7483" w:rsidP="00A916BE">
            <w:pPr>
              <w:spacing w:before="40" w:after="40"/>
              <w:rPr>
                <w:sz w:val="18"/>
              </w:rPr>
            </w:pPr>
            <w:r>
              <w:rPr>
                <w:sz w:val="18"/>
              </w:rPr>
              <w:t>15/10</w:t>
            </w:r>
            <w:r w:rsidR="006C51F8">
              <w:rPr>
                <w:sz w:val="18"/>
              </w:rPr>
              <w:t>/2014</w:t>
            </w:r>
          </w:p>
        </w:tc>
        <w:tc>
          <w:tcPr>
            <w:tcW w:w="3402" w:type="dxa"/>
            <w:tcBorders>
              <w:top w:val="single" w:sz="4" w:space="0" w:color="A8D08D" w:themeColor="accent6" w:themeTint="99"/>
              <w:bottom w:val="single" w:sz="4" w:space="0" w:color="A8D08D" w:themeColor="accent6" w:themeTint="99"/>
            </w:tcBorders>
          </w:tcPr>
          <w:p w14:paraId="1A8FFBB0" w14:textId="6E591ADB" w:rsidR="00EF59E3" w:rsidRPr="00A916BE" w:rsidRDefault="006C51F8" w:rsidP="00A916BE">
            <w:pPr>
              <w:spacing w:before="40" w:after="40"/>
              <w:rPr>
                <w:sz w:val="18"/>
              </w:rPr>
            </w:pPr>
            <w:r>
              <w:rPr>
                <w:sz w:val="18"/>
              </w:rPr>
              <w:t>Second draft submitted to ERF in response to editorial changes</w:t>
            </w:r>
          </w:p>
        </w:tc>
        <w:tc>
          <w:tcPr>
            <w:tcW w:w="2835" w:type="dxa"/>
            <w:tcBorders>
              <w:top w:val="single" w:sz="4" w:space="0" w:color="A8D08D" w:themeColor="accent6" w:themeTint="99"/>
              <w:bottom w:val="single" w:sz="4" w:space="0" w:color="A8D08D" w:themeColor="accent6" w:themeTint="99"/>
            </w:tcBorders>
          </w:tcPr>
          <w:p w14:paraId="20B75825" w14:textId="58D1F50F" w:rsidR="00EF59E3" w:rsidRPr="00A916BE" w:rsidRDefault="006C51F8" w:rsidP="00A916BE">
            <w:pPr>
              <w:spacing w:before="40" w:after="40"/>
              <w:rPr>
                <w:sz w:val="18"/>
              </w:rPr>
            </w:pPr>
            <w:r w:rsidRPr="00A916BE">
              <w:rPr>
                <w:sz w:val="18"/>
              </w:rPr>
              <w:t xml:space="preserve">Review Team, </w:t>
            </w:r>
            <w:r w:rsidR="005C468D">
              <w:rPr>
                <w:sz w:val="18"/>
              </w:rPr>
              <w:br/>
            </w:r>
            <w:r w:rsidRPr="00A916BE">
              <w:rPr>
                <w:sz w:val="18"/>
              </w:rPr>
              <w:t>Richard Johanson coordinating</w:t>
            </w:r>
          </w:p>
        </w:tc>
      </w:tr>
      <w:tr w:rsidR="005C468D" w:rsidRPr="00A916BE" w14:paraId="2A425164" w14:textId="77777777" w:rsidTr="005C468D">
        <w:tc>
          <w:tcPr>
            <w:tcW w:w="1134" w:type="dxa"/>
            <w:tcBorders>
              <w:top w:val="single" w:sz="4" w:space="0" w:color="A8D08D" w:themeColor="accent6" w:themeTint="99"/>
              <w:bottom w:val="single" w:sz="4" w:space="0" w:color="A8D08D" w:themeColor="accent6" w:themeTint="99"/>
            </w:tcBorders>
          </w:tcPr>
          <w:p w14:paraId="5C99E864" w14:textId="4E1C5730" w:rsidR="00EF59E3" w:rsidRPr="00A916BE" w:rsidRDefault="003B7483" w:rsidP="00A916BE">
            <w:pPr>
              <w:spacing w:before="40" w:after="40"/>
              <w:rPr>
                <w:sz w:val="18"/>
              </w:rPr>
            </w:pPr>
            <w:r>
              <w:rPr>
                <w:sz w:val="18"/>
              </w:rPr>
              <w:t>3.1</w:t>
            </w:r>
          </w:p>
        </w:tc>
        <w:tc>
          <w:tcPr>
            <w:tcW w:w="1134" w:type="dxa"/>
            <w:tcBorders>
              <w:top w:val="single" w:sz="4" w:space="0" w:color="A8D08D" w:themeColor="accent6" w:themeTint="99"/>
              <w:bottom w:val="single" w:sz="4" w:space="0" w:color="A8D08D" w:themeColor="accent6" w:themeTint="99"/>
            </w:tcBorders>
          </w:tcPr>
          <w:p w14:paraId="1775327A" w14:textId="3049A408" w:rsidR="00EF59E3" w:rsidRPr="00A916BE" w:rsidRDefault="003B7483" w:rsidP="00A916BE">
            <w:pPr>
              <w:spacing w:before="40" w:after="40"/>
              <w:rPr>
                <w:sz w:val="18"/>
              </w:rPr>
            </w:pPr>
            <w:r>
              <w:rPr>
                <w:sz w:val="18"/>
              </w:rPr>
              <w:t>16/10/2014</w:t>
            </w:r>
          </w:p>
        </w:tc>
        <w:tc>
          <w:tcPr>
            <w:tcW w:w="3402" w:type="dxa"/>
            <w:tcBorders>
              <w:top w:val="single" w:sz="4" w:space="0" w:color="A8D08D" w:themeColor="accent6" w:themeTint="99"/>
              <w:bottom w:val="single" w:sz="4" w:space="0" w:color="A8D08D" w:themeColor="accent6" w:themeTint="99"/>
            </w:tcBorders>
          </w:tcPr>
          <w:p w14:paraId="061E2640" w14:textId="14268759" w:rsidR="00EF59E3" w:rsidRPr="00A916BE" w:rsidRDefault="003B7483" w:rsidP="00A916BE">
            <w:pPr>
              <w:spacing w:before="40" w:after="40"/>
              <w:rPr>
                <w:sz w:val="18"/>
              </w:rPr>
            </w:pPr>
            <w:r>
              <w:rPr>
                <w:sz w:val="18"/>
              </w:rPr>
              <w:t>Final draft submitted to DFAT for comment</w:t>
            </w:r>
          </w:p>
        </w:tc>
        <w:tc>
          <w:tcPr>
            <w:tcW w:w="2835" w:type="dxa"/>
            <w:tcBorders>
              <w:top w:val="single" w:sz="4" w:space="0" w:color="A8D08D" w:themeColor="accent6" w:themeTint="99"/>
              <w:bottom w:val="single" w:sz="4" w:space="0" w:color="A8D08D" w:themeColor="accent6" w:themeTint="99"/>
            </w:tcBorders>
          </w:tcPr>
          <w:p w14:paraId="4DAE1401" w14:textId="25231CE7" w:rsidR="00EF59E3" w:rsidRPr="00A916BE" w:rsidRDefault="003B7483" w:rsidP="00A916BE">
            <w:pPr>
              <w:spacing w:before="40" w:after="40"/>
              <w:rPr>
                <w:sz w:val="18"/>
              </w:rPr>
            </w:pPr>
            <w:r>
              <w:rPr>
                <w:sz w:val="18"/>
              </w:rPr>
              <w:t>ERF</w:t>
            </w:r>
          </w:p>
        </w:tc>
      </w:tr>
      <w:tr w:rsidR="005C468D" w:rsidRPr="00A916BE" w14:paraId="04C88392" w14:textId="77777777" w:rsidTr="005C468D">
        <w:tc>
          <w:tcPr>
            <w:tcW w:w="1134" w:type="dxa"/>
            <w:tcBorders>
              <w:top w:val="single" w:sz="4" w:space="0" w:color="A8D08D" w:themeColor="accent6" w:themeTint="99"/>
              <w:bottom w:val="single" w:sz="4" w:space="0" w:color="A8D08D" w:themeColor="accent6" w:themeTint="99"/>
            </w:tcBorders>
          </w:tcPr>
          <w:p w14:paraId="3A9EE2A4" w14:textId="1B6C2B98" w:rsidR="00F509B2" w:rsidRDefault="00F509B2" w:rsidP="00A916BE">
            <w:pPr>
              <w:spacing w:before="40" w:after="40"/>
              <w:rPr>
                <w:sz w:val="18"/>
              </w:rPr>
            </w:pPr>
            <w:r>
              <w:rPr>
                <w:sz w:val="18"/>
              </w:rPr>
              <w:t>4</w:t>
            </w:r>
          </w:p>
        </w:tc>
        <w:tc>
          <w:tcPr>
            <w:tcW w:w="1134" w:type="dxa"/>
            <w:tcBorders>
              <w:top w:val="single" w:sz="4" w:space="0" w:color="A8D08D" w:themeColor="accent6" w:themeTint="99"/>
              <w:bottom w:val="single" w:sz="4" w:space="0" w:color="A8D08D" w:themeColor="accent6" w:themeTint="99"/>
            </w:tcBorders>
          </w:tcPr>
          <w:p w14:paraId="7C69858A" w14:textId="0BBE031A" w:rsidR="00F509B2" w:rsidRDefault="00B71D58" w:rsidP="00A916BE">
            <w:pPr>
              <w:spacing w:before="40" w:after="40"/>
              <w:rPr>
                <w:sz w:val="18"/>
              </w:rPr>
            </w:pPr>
            <w:r>
              <w:rPr>
                <w:sz w:val="18"/>
              </w:rPr>
              <w:t>25</w:t>
            </w:r>
            <w:r w:rsidR="00F509B2">
              <w:rPr>
                <w:sz w:val="18"/>
              </w:rPr>
              <w:t>/11/2014</w:t>
            </w:r>
          </w:p>
        </w:tc>
        <w:tc>
          <w:tcPr>
            <w:tcW w:w="3402" w:type="dxa"/>
            <w:tcBorders>
              <w:top w:val="single" w:sz="4" w:space="0" w:color="A8D08D" w:themeColor="accent6" w:themeTint="99"/>
              <w:bottom w:val="single" w:sz="4" w:space="0" w:color="A8D08D" w:themeColor="accent6" w:themeTint="99"/>
            </w:tcBorders>
          </w:tcPr>
          <w:p w14:paraId="773508C6" w14:textId="62714D3E" w:rsidR="00F509B2" w:rsidRDefault="00F509B2" w:rsidP="00A916BE">
            <w:pPr>
              <w:spacing w:before="40" w:after="40"/>
              <w:rPr>
                <w:sz w:val="18"/>
              </w:rPr>
            </w:pPr>
            <w:r>
              <w:rPr>
                <w:sz w:val="18"/>
              </w:rPr>
              <w:t>Final report submitted to ERF</w:t>
            </w:r>
            <w:r w:rsidR="00A25E2E">
              <w:rPr>
                <w:sz w:val="18"/>
              </w:rPr>
              <w:t xml:space="preserve"> in response to feedback from peer reviewers and DFAT</w:t>
            </w:r>
          </w:p>
        </w:tc>
        <w:tc>
          <w:tcPr>
            <w:tcW w:w="2835" w:type="dxa"/>
            <w:tcBorders>
              <w:top w:val="single" w:sz="4" w:space="0" w:color="A8D08D" w:themeColor="accent6" w:themeTint="99"/>
              <w:bottom w:val="single" w:sz="4" w:space="0" w:color="A8D08D" w:themeColor="accent6" w:themeTint="99"/>
            </w:tcBorders>
          </w:tcPr>
          <w:p w14:paraId="489E87B2" w14:textId="09B32A07" w:rsidR="00F509B2" w:rsidRDefault="00F509B2" w:rsidP="00A916BE">
            <w:pPr>
              <w:spacing w:before="40" w:after="40"/>
              <w:rPr>
                <w:sz w:val="18"/>
              </w:rPr>
            </w:pPr>
            <w:r w:rsidRPr="00A916BE">
              <w:rPr>
                <w:sz w:val="18"/>
              </w:rPr>
              <w:t xml:space="preserve">Review Team, </w:t>
            </w:r>
            <w:r w:rsidR="005C468D">
              <w:rPr>
                <w:sz w:val="18"/>
              </w:rPr>
              <w:br/>
            </w:r>
            <w:r w:rsidRPr="00A916BE">
              <w:rPr>
                <w:sz w:val="18"/>
              </w:rPr>
              <w:t>Richard Johanson coordinating</w:t>
            </w:r>
          </w:p>
        </w:tc>
      </w:tr>
      <w:tr w:rsidR="00B71D58" w:rsidRPr="00A916BE" w14:paraId="799C7139" w14:textId="77777777" w:rsidTr="005C468D">
        <w:tc>
          <w:tcPr>
            <w:tcW w:w="1134" w:type="dxa"/>
            <w:tcBorders>
              <w:top w:val="single" w:sz="4" w:space="0" w:color="A8D08D" w:themeColor="accent6" w:themeTint="99"/>
              <w:bottom w:val="single" w:sz="4" w:space="0" w:color="A8D08D" w:themeColor="accent6" w:themeTint="99"/>
            </w:tcBorders>
          </w:tcPr>
          <w:p w14:paraId="0511A8CD" w14:textId="01B093B8" w:rsidR="00B71D58" w:rsidRDefault="00B71D58" w:rsidP="00A916BE">
            <w:pPr>
              <w:spacing w:before="40" w:after="40"/>
              <w:rPr>
                <w:sz w:val="18"/>
              </w:rPr>
            </w:pPr>
            <w:r>
              <w:rPr>
                <w:sz w:val="18"/>
              </w:rPr>
              <w:t>4.1</w:t>
            </w:r>
          </w:p>
        </w:tc>
        <w:tc>
          <w:tcPr>
            <w:tcW w:w="1134" w:type="dxa"/>
            <w:tcBorders>
              <w:top w:val="single" w:sz="4" w:space="0" w:color="A8D08D" w:themeColor="accent6" w:themeTint="99"/>
              <w:bottom w:val="single" w:sz="4" w:space="0" w:color="A8D08D" w:themeColor="accent6" w:themeTint="99"/>
            </w:tcBorders>
          </w:tcPr>
          <w:p w14:paraId="118565DD" w14:textId="6E1F9EA2" w:rsidR="00B71D58" w:rsidRDefault="00B71D58" w:rsidP="00A916BE">
            <w:pPr>
              <w:spacing w:before="40" w:after="40"/>
              <w:rPr>
                <w:sz w:val="18"/>
              </w:rPr>
            </w:pPr>
            <w:r>
              <w:rPr>
                <w:sz w:val="18"/>
              </w:rPr>
              <w:t>28/11/2014</w:t>
            </w:r>
          </w:p>
        </w:tc>
        <w:tc>
          <w:tcPr>
            <w:tcW w:w="3402" w:type="dxa"/>
            <w:tcBorders>
              <w:top w:val="single" w:sz="4" w:space="0" w:color="A8D08D" w:themeColor="accent6" w:themeTint="99"/>
              <w:bottom w:val="single" w:sz="4" w:space="0" w:color="A8D08D" w:themeColor="accent6" w:themeTint="99"/>
            </w:tcBorders>
          </w:tcPr>
          <w:p w14:paraId="2BEE30C4" w14:textId="77777777" w:rsidR="00B71D58" w:rsidRDefault="00B71D58" w:rsidP="00A916BE">
            <w:pPr>
              <w:spacing w:before="40" w:after="40"/>
              <w:rPr>
                <w:sz w:val="18"/>
              </w:rPr>
            </w:pPr>
            <w:r>
              <w:rPr>
                <w:sz w:val="18"/>
              </w:rPr>
              <w:t>Final edited draft submitted to DFAT</w:t>
            </w:r>
          </w:p>
          <w:p w14:paraId="45A19B43" w14:textId="77777777" w:rsidR="00B71D58" w:rsidRDefault="00B71D58" w:rsidP="00A916BE">
            <w:pPr>
              <w:spacing w:before="40" w:after="40"/>
              <w:rPr>
                <w:sz w:val="18"/>
              </w:rPr>
            </w:pPr>
          </w:p>
        </w:tc>
        <w:tc>
          <w:tcPr>
            <w:tcW w:w="2835" w:type="dxa"/>
            <w:tcBorders>
              <w:top w:val="single" w:sz="4" w:space="0" w:color="A8D08D" w:themeColor="accent6" w:themeTint="99"/>
              <w:bottom w:val="single" w:sz="4" w:space="0" w:color="A8D08D" w:themeColor="accent6" w:themeTint="99"/>
            </w:tcBorders>
          </w:tcPr>
          <w:p w14:paraId="63CE3A38" w14:textId="4E158DD0" w:rsidR="00B71D58" w:rsidRPr="00A916BE" w:rsidRDefault="00B71D58" w:rsidP="00A916BE">
            <w:pPr>
              <w:spacing w:before="40" w:after="40"/>
              <w:rPr>
                <w:sz w:val="18"/>
              </w:rPr>
            </w:pPr>
            <w:r>
              <w:rPr>
                <w:sz w:val="18"/>
              </w:rPr>
              <w:t>ERF</w:t>
            </w:r>
          </w:p>
        </w:tc>
      </w:tr>
    </w:tbl>
    <w:p w14:paraId="4D3939CD" w14:textId="6BD19EA0" w:rsidR="00EF59E3" w:rsidRPr="00EF59E3" w:rsidRDefault="00EF59E3" w:rsidP="00EF59E3"/>
    <w:p w14:paraId="276B4A76" w14:textId="77777777" w:rsidR="00EF59E3" w:rsidRPr="00EF59E3" w:rsidRDefault="00EF59E3" w:rsidP="00EF59E3"/>
    <w:p w14:paraId="5A14544D" w14:textId="77777777" w:rsidR="00A916BE" w:rsidRDefault="00EF59E3" w:rsidP="009674BB">
      <w:r w:rsidRPr="00EF59E3">
        <w:t>This report was commissioned through the Education Resource Facility – an Australian Government, Australian aid program-funded initiative. The views in the report are those of the authors and do not necessarily reflect the views of the Australian aid program or of any other organisation or person.</w:t>
      </w:r>
    </w:p>
    <w:p w14:paraId="58F2FA18" w14:textId="77777777" w:rsidR="00A91FF7" w:rsidRPr="006D7C73" w:rsidRDefault="00395FC0" w:rsidP="00EF59E3">
      <w:pPr>
        <w:rPr>
          <w:b/>
          <w:bCs/>
          <w:color w:val="365F91"/>
          <w:lang w:val="en-US"/>
        </w:rPr>
      </w:pPr>
      <w:r w:rsidRPr="006D7C73">
        <w:br w:type="page"/>
      </w:r>
    </w:p>
    <w:p w14:paraId="20FE0C83" w14:textId="1394F23A" w:rsidR="00A91FF7" w:rsidRPr="006D7C73" w:rsidRDefault="009657DD" w:rsidP="003309FA">
      <w:pPr>
        <w:pStyle w:val="ERFHeading"/>
      </w:pPr>
      <w:r>
        <w:lastRenderedPageBreak/>
        <w:t>A</w:t>
      </w:r>
      <w:r w:rsidR="00395FC0" w:rsidRPr="006D7C73">
        <w:t>cronyms</w:t>
      </w:r>
      <w:r w:rsidR="00395FC0">
        <w:t xml:space="preserve"> </w:t>
      </w:r>
      <w:r>
        <w:t xml:space="preserve">and </w:t>
      </w:r>
      <w:r w:rsidR="0005798B">
        <w:t xml:space="preserve">definitions </w:t>
      </w:r>
    </w:p>
    <w:tbl>
      <w:tblPr>
        <w:tblW w:w="8222" w:type="dxa"/>
        <w:tblInd w:w="93" w:type="dxa"/>
        <w:tblBorders>
          <w:top w:val="single" w:sz="4" w:space="0" w:color="A8D08D" w:themeColor="accent6" w:themeTint="99"/>
          <w:bottom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239"/>
        <w:gridCol w:w="7114"/>
      </w:tblGrid>
      <w:tr w:rsidR="00680907" w:rsidRPr="00D568EC" w14:paraId="67977FA1" w14:textId="77777777" w:rsidTr="00AB1F5E">
        <w:tc>
          <w:tcPr>
            <w:tcW w:w="1406" w:type="dxa"/>
            <w:shd w:val="clear" w:color="auto" w:fill="E2EFD9" w:themeFill="accent6" w:themeFillTint="33"/>
          </w:tcPr>
          <w:p w14:paraId="4D32B436" w14:textId="77777777" w:rsidR="00A83041" w:rsidRPr="00D568EC" w:rsidRDefault="00A83041" w:rsidP="00D568EC">
            <w:pPr>
              <w:spacing w:before="20" w:after="20"/>
              <w:rPr>
                <w:rFonts w:cs="Arial"/>
                <w:sz w:val="20"/>
                <w:szCs w:val="22"/>
                <w:lang w:val="en-GB" w:eastAsia="en-GB"/>
              </w:rPr>
            </w:pPr>
            <w:r w:rsidRPr="00D568EC">
              <w:rPr>
                <w:rFonts w:cs="Arial"/>
                <w:sz w:val="20"/>
                <w:szCs w:val="22"/>
                <w:lang w:val="en-GB" w:eastAsia="en-GB"/>
              </w:rPr>
              <w:t>ABS</w:t>
            </w:r>
          </w:p>
        </w:tc>
        <w:tc>
          <w:tcPr>
            <w:tcW w:w="7114" w:type="dxa"/>
            <w:shd w:val="clear" w:color="auto" w:fill="auto"/>
          </w:tcPr>
          <w:p w14:paraId="2D38656B" w14:textId="77777777" w:rsidR="00A83041" w:rsidRPr="00D568EC" w:rsidRDefault="00A83041" w:rsidP="00D568EC">
            <w:pPr>
              <w:spacing w:before="20" w:after="20"/>
              <w:rPr>
                <w:rFonts w:cs="Arial"/>
                <w:sz w:val="20"/>
                <w:szCs w:val="22"/>
                <w:lang w:val="en-GB" w:eastAsia="en-GB"/>
              </w:rPr>
            </w:pPr>
            <w:r w:rsidRPr="00D568EC">
              <w:rPr>
                <w:rFonts w:cs="Arial"/>
                <w:sz w:val="20"/>
                <w:szCs w:val="22"/>
                <w:lang w:val="en-GB" w:eastAsia="en-GB"/>
              </w:rPr>
              <w:t xml:space="preserve">Australian Bureau of Statistics </w:t>
            </w:r>
          </w:p>
        </w:tc>
      </w:tr>
      <w:tr w:rsidR="00680907" w:rsidRPr="00D568EC" w14:paraId="1AA757D1" w14:textId="77777777" w:rsidTr="00AB1F5E">
        <w:tc>
          <w:tcPr>
            <w:tcW w:w="1406" w:type="dxa"/>
            <w:shd w:val="clear" w:color="auto" w:fill="E2EFD9" w:themeFill="accent6" w:themeFillTint="33"/>
            <w:vAlign w:val="center"/>
          </w:tcPr>
          <w:p w14:paraId="3A082173" w14:textId="77777777" w:rsidR="00A83041" w:rsidRPr="00D568EC" w:rsidRDefault="00A83041" w:rsidP="00D568EC">
            <w:pPr>
              <w:spacing w:before="20" w:after="20"/>
              <w:rPr>
                <w:rFonts w:cs="Arial"/>
                <w:sz w:val="20"/>
                <w:szCs w:val="22"/>
                <w:lang w:val="en-GB" w:eastAsia="en-GB"/>
              </w:rPr>
            </w:pPr>
            <w:r w:rsidRPr="00D568EC">
              <w:rPr>
                <w:rFonts w:cs="Arial"/>
                <w:sz w:val="20"/>
                <w:szCs w:val="22"/>
                <w:lang w:val="en-GB" w:eastAsia="en-GB"/>
              </w:rPr>
              <w:t>ACER</w:t>
            </w:r>
          </w:p>
        </w:tc>
        <w:tc>
          <w:tcPr>
            <w:tcW w:w="7114" w:type="dxa"/>
            <w:shd w:val="clear" w:color="auto" w:fill="auto"/>
            <w:noWrap/>
            <w:vAlign w:val="center"/>
          </w:tcPr>
          <w:p w14:paraId="64F80A13" w14:textId="77777777" w:rsidR="00A83041" w:rsidRPr="00D568EC" w:rsidRDefault="00A83041" w:rsidP="00D568EC">
            <w:pPr>
              <w:spacing w:before="20" w:after="20"/>
              <w:rPr>
                <w:rFonts w:cs="Arial"/>
                <w:sz w:val="20"/>
                <w:szCs w:val="22"/>
                <w:lang w:val="en-GB" w:eastAsia="en-GB"/>
              </w:rPr>
            </w:pPr>
            <w:r w:rsidRPr="00D568EC">
              <w:rPr>
                <w:rFonts w:cs="Arial"/>
                <w:sz w:val="20"/>
                <w:szCs w:val="22"/>
                <w:lang w:val="en-GB" w:eastAsia="en-GB"/>
              </w:rPr>
              <w:t>Australia Council for Educational Research</w:t>
            </w:r>
          </w:p>
        </w:tc>
      </w:tr>
      <w:tr w:rsidR="00680907" w:rsidRPr="00D568EC" w14:paraId="5D792B9F" w14:textId="77777777" w:rsidTr="00AB1F5E">
        <w:tc>
          <w:tcPr>
            <w:tcW w:w="1406" w:type="dxa"/>
            <w:shd w:val="clear" w:color="auto" w:fill="E2EFD9" w:themeFill="accent6" w:themeFillTint="33"/>
          </w:tcPr>
          <w:p w14:paraId="20E0A96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AEI </w:t>
            </w:r>
          </w:p>
        </w:tc>
        <w:tc>
          <w:tcPr>
            <w:tcW w:w="7114" w:type="dxa"/>
            <w:shd w:val="clear" w:color="auto" w:fill="auto"/>
          </w:tcPr>
          <w:p w14:paraId="65CF5192" w14:textId="54EEC678" w:rsidR="00EF59E3" w:rsidRPr="00D568EC" w:rsidRDefault="00EF59E3" w:rsidP="0022654D">
            <w:pPr>
              <w:spacing w:before="20" w:after="20"/>
              <w:rPr>
                <w:rFonts w:cs="Arial"/>
                <w:sz w:val="20"/>
                <w:szCs w:val="22"/>
                <w:lang w:val="en-GB" w:eastAsia="en-GB"/>
              </w:rPr>
            </w:pPr>
            <w:r w:rsidRPr="00D568EC">
              <w:rPr>
                <w:rFonts w:cs="Arial"/>
                <w:sz w:val="20"/>
                <w:szCs w:val="22"/>
                <w:lang w:val="en-GB" w:eastAsia="en-GB"/>
              </w:rPr>
              <w:t xml:space="preserve">Approved education institution </w:t>
            </w:r>
          </w:p>
        </w:tc>
      </w:tr>
      <w:tr w:rsidR="00680907" w:rsidRPr="00D568EC" w14:paraId="600D7522" w14:textId="77777777" w:rsidTr="00AB1F5E">
        <w:tc>
          <w:tcPr>
            <w:tcW w:w="1406" w:type="dxa"/>
            <w:shd w:val="clear" w:color="auto" w:fill="E2EFD9" w:themeFill="accent6" w:themeFillTint="33"/>
          </w:tcPr>
          <w:p w14:paraId="0C8B6DF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AG </w:t>
            </w:r>
          </w:p>
        </w:tc>
        <w:tc>
          <w:tcPr>
            <w:tcW w:w="7114" w:type="dxa"/>
            <w:shd w:val="clear" w:color="auto" w:fill="auto"/>
          </w:tcPr>
          <w:p w14:paraId="5C05A81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Advisory Group (of APTC) </w:t>
            </w:r>
          </w:p>
        </w:tc>
      </w:tr>
      <w:tr w:rsidR="00680907" w:rsidRPr="00D568EC" w14:paraId="4B0144F1" w14:textId="77777777" w:rsidTr="00AB1F5E">
        <w:tc>
          <w:tcPr>
            <w:tcW w:w="1406" w:type="dxa"/>
            <w:shd w:val="clear" w:color="auto" w:fill="E2EFD9" w:themeFill="accent6" w:themeFillTint="33"/>
          </w:tcPr>
          <w:p w14:paraId="7F5374D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AGG </w:t>
            </w:r>
          </w:p>
        </w:tc>
        <w:tc>
          <w:tcPr>
            <w:tcW w:w="7114" w:type="dxa"/>
            <w:shd w:val="clear" w:color="auto" w:fill="auto"/>
          </w:tcPr>
          <w:p w14:paraId="3FB62DA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Academic Governance Group </w:t>
            </w:r>
          </w:p>
        </w:tc>
      </w:tr>
      <w:tr w:rsidR="00680907" w:rsidRPr="00D568EC" w14:paraId="7B4D554E" w14:textId="77777777" w:rsidTr="00AB1F5E">
        <w:tc>
          <w:tcPr>
            <w:tcW w:w="1406" w:type="dxa"/>
            <w:shd w:val="clear" w:color="auto" w:fill="E2EFD9" w:themeFill="accent6" w:themeFillTint="33"/>
          </w:tcPr>
          <w:p w14:paraId="0ABEA80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AHC</w:t>
            </w:r>
          </w:p>
        </w:tc>
        <w:tc>
          <w:tcPr>
            <w:tcW w:w="7114" w:type="dxa"/>
            <w:shd w:val="clear" w:color="auto" w:fill="auto"/>
          </w:tcPr>
          <w:p w14:paraId="4F4092D2" w14:textId="69F242CE" w:rsidR="00EF59E3" w:rsidRPr="00D568EC" w:rsidRDefault="00EF59E3" w:rsidP="00BC521C">
            <w:pPr>
              <w:spacing w:before="20" w:after="20"/>
              <w:rPr>
                <w:rFonts w:cs="Arial"/>
                <w:sz w:val="20"/>
                <w:szCs w:val="22"/>
                <w:lang w:val="en-GB" w:eastAsia="en-GB"/>
              </w:rPr>
            </w:pPr>
            <w:r w:rsidRPr="00D568EC">
              <w:rPr>
                <w:rFonts w:cs="Arial"/>
                <w:sz w:val="20"/>
                <w:szCs w:val="22"/>
                <w:lang w:val="en-GB" w:eastAsia="en-GB"/>
              </w:rPr>
              <w:t>Annual hour of curriculum</w:t>
            </w:r>
            <w:r w:rsidR="00BC521C">
              <w:rPr>
                <w:rFonts w:cs="Arial"/>
                <w:sz w:val="20"/>
                <w:szCs w:val="22"/>
                <w:lang w:val="en-GB" w:eastAsia="en-GB"/>
              </w:rPr>
              <w:t>, also known as student contact hour (SCH) and student training hour (STH</w:t>
            </w:r>
            <w:r w:rsidRPr="00D568EC">
              <w:rPr>
                <w:rFonts w:cs="Arial"/>
                <w:sz w:val="20"/>
                <w:szCs w:val="22"/>
                <w:lang w:val="en-GB" w:eastAsia="en-GB"/>
              </w:rPr>
              <w:t>)</w:t>
            </w:r>
          </w:p>
        </w:tc>
      </w:tr>
      <w:tr w:rsidR="00680907" w:rsidRPr="00D568EC" w14:paraId="7DBF2DA9" w14:textId="77777777" w:rsidTr="00AB1F5E">
        <w:tc>
          <w:tcPr>
            <w:tcW w:w="1406" w:type="dxa"/>
            <w:shd w:val="clear" w:color="auto" w:fill="E2EFD9" w:themeFill="accent6" w:themeFillTint="33"/>
          </w:tcPr>
          <w:p w14:paraId="60CE9B6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ANZSCO</w:t>
            </w:r>
          </w:p>
        </w:tc>
        <w:tc>
          <w:tcPr>
            <w:tcW w:w="7114" w:type="dxa"/>
            <w:shd w:val="clear" w:color="auto" w:fill="auto"/>
          </w:tcPr>
          <w:p w14:paraId="712D9BC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and New Zealand Standard Classification of Occupations</w:t>
            </w:r>
          </w:p>
        </w:tc>
      </w:tr>
      <w:tr w:rsidR="00680907" w:rsidRPr="00D568EC" w14:paraId="5D31146F" w14:textId="77777777" w:rsidTr="00AB1F5E">
        <w:tc>
          <w:tcPr>
            <w:tcW w:w="1406" w:type="dxa"/>
            <w:shd w:val="clear" w:color="auto" w:fill="E2EFD9" w:themeFill="accent6" w:themeFillTint="33"/>
          </w:tcPr>
          <w:p w14:paraId="2A47A81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APTC </w:t>
            </w:r>
          </w:p>
        </w:tc>
        <w:tc>
          <w:tcPr>
            <w:tcW w:w="7114" w:type="dxa"/>
            <w:shd w:val="clear" w:color="auto" w:fill="auto"/>
          </w:tcPr>
          <w:p w14:paraId="1A08C317" w14:textId="6BA885DD"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w:t>
            </w:r>
            <w:r w:rsidR="00533F3B">
              <w:rPr>
                <w:rFonts w:cs="Arial"/>
                <w:sz w:val="20"/>
                <w:szCs w:val="22"/>
                <w:lang w:val="en-GB" w:eastAsia="en-GB"/>
              </w:rPr>
              <w:t>–</w:t>
            </w:r>
            <w:r w:rsidRPr="00D568EC">
              <w:rPr>
                <w:rFonts w:cs="Arial"/>
                <w:sz w:val="20"/>
                <w:szCs w:val="22"/>
                <w:lang w:val="en-GB" w:eastAsia="en-GB"/>
              </w:rPr>
              <w:t xml:space="preserve">Pacific Technical College, referred to in this document as </w:t>
            </w:r>
            <w:r w:rsidR="00CD6950">
              <w:rPr>
                <w:rFonts w:cs="Arial"/>
                <w:sz w:val="20"/>
                <w:szCs w:val="22"/>
                <w:lang w:val="en-GB" w:eastAsia="en-GB"/>
              </w:rPr>
              <w:br/>
            </w:r>
            <w:r w:rsidRPr="00D568EC">
              <w:rPr>
                <w:rFonts w:cs="Arial"/>
                <w:sz w:val="20"/>
                <w:szCs w:val="22"/>
                <w:lang w:val="en-GB" w:eastAsia="en-GB"/>
              </w:rPr>
              <w:t xml:space="preserve">the APTC or </w:t>
            </w:r>
            <w:r w:rsidR="00533F3B">
              <w:rPr>
                <w:rFonts w:cs="Arial"/>
                <w:sz w:val="20"/>
                <w:szCs w:val="22"/>
                <w:lang w:val="en-GB" w:eastAsia="en-GB"/>
              </w:rPr>
              <w:t>‘</w:t>
            </w:r>
            <w:r w:rsidRPr="00D568EC">
              <w:rPr>
                <w:rFonts w:cs="Arial"/>
                <w:sz w:val="20"/>
                <w:szCs w:val="22"/>
                <w:lang w:val="en-GB" w:eastAsia="en-GB"/>
              </w:rPr>
              <w:t>the College</w:t>
            </w:r>
            <w:r w:rsidR="00533F3B">
              <w:rPr>
                <w:rFonts w:cs="Arial"/>
                <w:sz w:val="20"/>
                <w:szCs w:val="22"/>
                <w:lang w:val="en-GB" w:eastAsia="en-GB"/>
              </w:rPr>
              <w:t>’</w:t>
            </w:r>
          </w:p>
        </w:tc>
      </w:tr>
      <w:tr w:rsidR="00680907" w:rsidRPr="00D568EC" w14:paraId="5C1E43A1" w14:textId="77777777" w:rsidTr="00AB1F5E">
        <w:tc>
          <w:tcPr>
            <w:tcW w:w="1406" w:type="dxa"/>
            <w:shd w:val="clear" w:color="auto" w:fill="E2EFD9" w:themeFill="accent6" w:themeFillTint="33"/>
          </w:tcPr>
          <w:p w14:paraId="3EE9C05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AQF</w:t>
            </w:r>
          </w:p>
        </w:tc>
        <w:tc>
          <w:tcPr>
            <w:tcW w:w="7114" w:type="dxa"/>
            <w:shd w:val="clear" w:color="auto" w:fill="auto"/>
          </w:tcPr>
          <w:p w14:paraId="28839CA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Qualifications Framework</w:t>
            </w:r>
          </w:p>
        </w:tc>
      </w:tr>
      <w:tr w:rsidR="00680907" w:rsidRPr="00D568EC" w14:paraId="1C3A39B4" w14:textId="77777777" w:rsidTr="00AB1F5E">
        <w:tc>
          <w:tcPr>
            <w:tcW w:w="1406" w:type="dxa"/>
            <w:shd w:val="clear" w:color="auto" w:fill="E2EFD9" w:themeFill="accent6" w:themeFillTint="33"/>
          </w:tcPr>
          <w:p w14:paraId="10156CD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AQTF</w:t>
            </w:r>
          </w:p>
        </w:tc>
        <w:tc>
          <w:tcPr>
            <w:tcW w:w="7114" w:type="dxa"/>
            <w:shd w:val="clear" w:color="auto" w:fill="auto"/>
          </w:tcPr>
          <w:p w14:paraId="20FCC5B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Quality Training Framework</w:t>
            </w:r>
          </w:p>
        </w:tc>
      </w:tr>
      <w:tr w:rsidR="00680907" w:rsidRPr="00D568EC" w14:paraId="4E83DA6F" w14:textId="77777777" w:rsidTr="00AB1F5E">
        <w:tc>
          <w:tcPr>
            <w:tcW w:w="1406" w:type="dxa"/>
            <w:shd w:val="clear" w:color="auto" w:fill="E2EFD9" w:themeFill="accent6" w:themeFillTint="33"/>
          </w:tcPr>
          <w:p w14:paraId="00C46CA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ARF </w:t>
            </w:r>
          </w:p>
        </w:tc>
        <w:tc>
          <w:tcPr>
            <w:tcW w:w="7114" w:type="dxa"/>
            <w:shd w:val="clear" w:color="auto" w:fill="auto"/>
          </w:tcPr>
          <w:p w14:paraId="0A8940B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Adviser Remuneration Framework </w:t>
            </w:r>
          </w:p>
        </w:tc>
      </w:tr>
      <w:tr w:rsidR="00680907" w:rsidRPr="00D568EC" w14:paraId="06AA4857" w14:textId="77777777" w:rsidTr="00AB1F5E">
        <w:tc>
          <w:tcPr>
            <w:tcW w:w="1406" w:type="dxa"/>
            <w:shd w:val="clear" w:color="auto" w:fill="E2EFD9" w:themeFill="accent6" w:themeFillTint="33"/>
          </w:tcPr>
          <w:p w14:paraId="335FBDA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ARP </w:t>
            </w:r>
          </w:p>
        </w:tc>
        <w:tc>
          <w:tcPr>
            <w:tcW w:w="7114" w:type="dxa"/>
            <w:shd w:val="clear" w:color="auto" w:fill="auto"/>
          </w:tcPr>
          <w:p w14:paraId="7AFAE82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Annual report and plan </w:t>
            </w:r>
          </w:p>
        </w:tc>
      </w:tr>
      <w:tr w:rsidR="00680907" w:rsidRPr="00D568EC" w14:paraId="0CD60047" w14:textId="77777777" w:rsidTr="00AB1F5E">
        <w:tc>
          <w:tcPr>
            <w:tcW w:w="1406" w:type="dxa"/>
            <w:shd w:val="clear" w:color="auto" w:fill="E2EFD9" w:themeFill="accent6" w:themeFillTint="33"/>
          </w:tcPr>
          <w:p w14:paraId="4DA5EF6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ASQA </w:t>
            </w:r>
          </w:p>
        </w:tc>
        <w:tc>
          <w:tcPr>
            <w:tcW w:w="7114" w:type="dxa"/>
            <w:shd w:val="clear" w:color="auto" w:fill="auto"/>
          </w:tcPr>
          <w:p w14:paraId="71DED67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Australian Skills Quality Authority </w:t>
            </w:r>
          </w:p>
        </w:tc>
      </w:tr>
      <w:tr w:rsidR="00680907" w:rsidRPr="00D568EC" w14:paraId="12D8F06E" w14:textId="77777777" w:rsidTr="00AB1F5E">
        <w:tc>
          <w:tcPr>
            <w:tcW w:w="1406" w:type="dxa"/>
            <w:shd w:val="clear" w:color="auto" w:fill="E2EFD9" w:themeFill="accent6" w:themeFillTint="33"/>
          </w:tcPr>
          <w:p w14:paraId="08D5591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AUD</w:t>
            </w:r>
          </w:p>
        </w:tc>
        <w:tc>
          <w:tcPr>
            <w:tcW w:w="7114" w:type="dxa"/>
            <w:shd w:val="clear" w:color="auto" w:fill="auto"/>
          </w:tcPr>
          <w:p w14:paraId="7BC6C0A2" w14:textId="12664F49"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dollars ($)</w:t>
            </w:r>
          </w:p>
        </w:tc>
      </w:tr>
      <w:tr w:rsidR="00680907" w:rsidRPr="00D568EC" w14:paraId="44B71B87" w14:textId="77777777" w:rsidTr="00AB1F5E">
        <w:tc>
          <w:tcPr>
            <w:tcW w:w="1406" w:type="dxa"/>
            <w:shd w:val="clear" w:color="auto" w:fill="E2EFD9" w:themeFill="accent6" w:themeFillTint="33"/>
          </w:tcPr>
          <w:p w14:paraId="278C5CE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AusAID</w:t>
            </w:r>
          </w:p>
        </w:tc>
        <w:tc>
          <w:tcPr>
            <w:tcW w:w="7114" w:type="dxa"/>
            <w:shd w:val="clear" w:color="auto" w:fill="auto"/>
          </w:tcPr>
          <w:p w14:paraId="4ED461C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Agency for International Development</w:t>
            </w:r>
          </w:p>
        </w:tc>
      </w:tr>
      <w:tr w:rsidR="00680907" w:rsidRPr="00D568EC" w14:paraId="40F1ACE0" w14:textId="77777777" w:rsidTr="00AB1F5E">
        <w:tc>
          <w:tcPr>
            <w:tcW w:w="1406" w:type="dxa"/>
            <w:shd w:val="clear" w:color="auto" w:fill="E2EFD9" w:themeFill="accent6" w:themeFillTint="33"/>
          </w:tcPr>
          <w:p w14:paraId="3FA7F1E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BDS </w:t>
            </w:r>
          </w:p>
        </w:tc>
        <w:tc>
          <w:tcPr>
            <w:tcW w:w="7114" w:type="dxa"/>
            <w:shd w:val="clear" w:color="auto" w:fill="auto"/>
          </w:tcPr>
          <w:p w14:paraId="28F7AE9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Business development strategy </w:t>
            </w:r>
          </w:p>
        </w:tc>
      </w:tr>
      <w:tr w:rsidR="00680907" w:rsidRPr="00D568EC" w14:paraId="3F72C4BC" w14:textId="77777777" w:rsidTr="00AB1F5E">
        <w:tc>
          <w:tcPr>
            <w:tcW w:w="1406" w:type="dxa"/>
            <w:shd w:val="clear" w:color="auto" w:fill="E2EFD9" w:themeFill="accent6" w:themeFillTint="33"/>
          </w:tcPr>
          <w:p w14:paraId="1281D4E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BHIT</w:t>
            </w:r>
          </w:p>
        </w:tc>
        <w:tc>
          <w:tcPr>
            <w:tcW w:w="7114" w:type="dxa"/>
            <w:shd w:val="clear" w:color="auto" w:fill="auto"/>
          </w:tcPr>
          <w:p w14:paraId="19D29A3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Box Hill Institute of TAFE</w:t>
            </w:r>
          </w:p>
        </w:tc>
      </w:tr>
      <w:tr w:rsidR="00EF59E3" w:rsidRPr="00D568EC" w14:paraId="0255A1C1" w14:textId="77777777" w:rsidTr="00AB1F5E">
        <w:tc>
          <w:tcPr>
            <w:tcW w:w="1406" w:type="dxa"/>
            <w:shd w:val="clear" w:color="auto" w:fill="E2EFD9" w:themeFill="accent6" w:themeFillTint="33"/>
          </w:tcPr>
          <w:p w14:paraId="30F2463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Blue</w:t>
            </w:r>
          </w:p>
        </w:tc>
        <w:tc>
          <w:tcPr>
            <w:tcW w:w="7114" w:type="dxa"/>
            <w:shd w:val="clear" w:color="auto" w:fill="auto"/>
          </w:tcPr>
          <w:p w14:paraId="597BED9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Global graphics process management software </w:t>
            </w:r>
            <w:r w:rsidRPr="00D568EC">
              <w:rPr>
                <w:rFonts w:cs="Arial"/>
                <w:b/>
                <w:bCs/>
                <w:sz w:val="20"/>
                <w:szCs w:val="22"/>
                <w:lang w:val="en-GB" w:eastAsia="en-GB"/>
              </w:rPr>
              <w:t>(</w:t>
            </w:r>
            <w:r w:rsidRPr="00D568EC">
              <w:rPr>
                <w:rFonts w:cs="Arial"/>
                <w:sz w:val="20"/>
                <w:szCs w:val="20"/>
                <w:lang w:val="en-GB" w:eastAsia="en-GB"/>
              </w:rPr>
              <w:t>www.</w:t>
            </w:r>
            <w:r w:rsidRPr="009C76A7">
              <w:rPr>
                <w:rFonts w:cs="Arial"/>
                <w:bCs/>
                <w:sz w:val="20"/>
                <w:szCs w:val="22"/>
                <w:lang w:val="en-GB" w:eastAsia="en-GB"/>
              </w:rPr>
              <w:t>bluesoftware</w:t>
            </w:r>
            <w:r w:rsidRPr="001F70CA">
              <w:rPr>
                <w:rFonts w:cs="Arial"/>
                <w:sz w:val="20"/>
                <w:szCs w:val="22"/>
                <w:lang w:val="en-GB" w:eastAsia="en-GB"/>
              </w:rPr>
              <w:t>.</w:t>
            </w:r>
            <w:r w:rsidRPr="00D568EC">
              <w:rPr>
                <w:rFonts w:cs="Arial"/>
                <w:sz w:val="20"/>
                <w:szCs w:val="22"/>
                <w:lang w:val="en-GB" w:eastAsia="en-GB"/>
              </w:rPr>
              <w:t>com/)</w:t>
            </w:r>
          </w:p>
        </w:tc>
      </w:tr>
      <w:tr w:rsidR="00EF59E3" w:rsidRPr="00D568EC" w14:paraId="7F67A658" w14:textId="77777777" w:rsidTr="00AB1F5E">
        <w:tc>
          <w:tcPr>
            <w:tcW w:w="1406" w:type="dxa"/>
            <w:shd w:val="clear" w:color="auto" w:fill="E2EFD9" w:themeFill="accent6" w:themeFillTint="33"/>
          </w:tcPr>
          <w:p w14:paraId="2A2B26E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BOP</w:t>
            </w:r>
          </w:p>
        </w:tc>
        <w:tc>
          <w:tcPr>
            <w:tcW w:w="7114" w:type="dxa"/>
            <w:shd w:val="clear" w:color="auto" w:fill="auto"/>
          </w:tcPr>
          <w:p w14:paraId="54814CA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Basis of payment</w:t>
            </w:r>
          </w:p>
        </w:tc>
      </w:tr>
      <w:tr w:rsidR="00EF59E3" w:rsidRPr="00D568EC" w14:paraId="518D7001" w14:textId="77777777" w:rsidTr="00AB1F5E">
        <w:tc>
          <w:tcPr>
            <w:tcW w:w="1406" w:type="dxa"/>
            <w:shd w:val="clear" w:color="auto" w:fill="E2EFD9" w:themeFill="accent6" w:themeFillTint="33"/>
          </w:tcPr>
          <w:p w14:paraId="466576D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CBA</w:t>
            </w:r>
          </w:p>
        </w:tc>
        <w:tc>
          <w:tcPr>
            <w:tcW w:w="7114" w:type="dxa"/>
            <w:shd w:val="clear" w:color="auto" w:fill="auto"/>
          </w:tcPr>
          <w:p w14:paraId="3D8C7C6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Cost-benefit analysis</w:t>
            </w:r>
          </w:p>
        </w:tc>
      </w:tr>
      <w:tr w:rsidR="00EF59E3" w:rsidRPr="00D568EC" w14:paraId="4F5D4E47" w14:textId="77777777" w:rsidTr="00AB1F5E">
        <w:tc>
          <w:tcPr>
            <w:tcW w:w="1406" w:type="dxa"/>
            <w:shd w:val="clear" w:color="auto" w:fill="E2EFD9" w:themeFill="accent6" w:themeFillTint="33"/>
          </w:tcPr>
          <w:p w14:paraId="3A0EC87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CEO </w:t>
            </w:r>
          </w:p>
        </w:tc>
        <w:tc>
          <w:tcPr>
            <w:tcW w:w="7114" w:type="dxa"/>
            <w:shd w:val="clear" w:color="auto" w:fill="auto"/>
          </w:tcPr>
          <w:p w14:paraId="642DE2A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Chief executive officer </w:t>
            </w:r>
          </w:p>
        </w:tc>
      </w:tr>
      <w:tr w:rsidR="00EF59E3" w:rsidRPr="00D568EC" w14:paraId="7F1FF2D4" w14:textId="77777777" w:rsidTr="00AB1F5E">
        <w:tc>
          <w:tcPr>
            <w:tcW w:w="1406" w:type="dxa"/>
            <w:shd w:val="clear" w:color="auto" w:fill="E2EFD9" w:themeFill="accent6" w:themeFillTint="33"/>
          </w:tcPr>
          <w:p w14:paraId="4990CE5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CI </w:t>
            </w:r>
          </w:p>
        </w:tc>
        <w:tc>
          <w:tcPr>
            <w:tcW w:w="7114" w:type="dxa"/>
            <w:shd w:val="clear" w:color="auto" w:fill="auto"/>
          </w:tcPr>
          <w:p w14:paraId="5347A8B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Continuous improvement </w:t>
            </w:r>
          </w:p>
        </w:tc>
      </w:tr>
      <w:tr w:rsidR="00EF59E3" w:rsidRPr="00D568EC" w14:paraId="399D2B7F" w14:textId="77777777" w:rsidTr="00AB1F5E">
        <w:tc>
          <w:tcPr>
            <w:tcW w:w="1406" w:type="dxa"/>
            <w:shd w:val="clear" w:color="auto" w:fill="E2EFD9" w:themeFill="accent6" w:themeFillTint="33"/>
          </w:tcPr>
          <w:p w14:paraId="07B3AF5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Consortium </w:t>
            </w:r>
          </w:p>
        </w:tc>
        <w:tc>
          <w:tcPr>
            <w:tcW w:w="7114" w:type="dxa"/>
            <w:shd w:val="clear" w:color="auto" w:fill="auto"/>
          </w:tcPr>
          <w:p w14:paraId="135B88D6" w14:textId="3B2459E9" w:rsidR="00EF59E3" w:rsidRPr="00D568EC" w:rsidRDefault="00F81F21" w:rsidP="00F81F21">
            <w:pPr>
              <w:spacing w:before="20" w:after="20"/>
              <w:rPr>
                <w:rFonts w:cs="Arial"/>
                <w:sz w:val="20"/>
                <w:szCs w:val="22"/>
                <w:lang w:val="en-GB" w:eastAsia="en-GB"/>
              </w:rPr>
            </w:pPr>
            <w:r>
              <w:rPr>
                <w:rFonts w:cs="Arial"/>
                <w:sz w:val="20"/>
                <w:szCs w:val="22"/>
                <w:lang w:val="en-GB" w:eastAsia="en-GB"/>
              </w:rPr>
              <w:t xml:space="preserve">TAFE Queensland (formerly </w:t>
            </w:r>
            <w:r w:rsidR="00EF59E3" w:rsidRPr="00D568EC">
              <w:rPr>
                <w:rFonts w:cs="Arial"/>
                <w:sz w:val="20"/>
                <w:szCs w:val="22"/>
                <w:lang w:val="en-GB" w:eastAsia="en-GB"/>
              </w:rPr>
              <w:t>Sunshine Coast Institute of TAFE</w:t>
            </w:r>
            <w:r>
              <w:rPr>
                <w:rFonts w:cs="Arial"/>
                <w:sz w:val="20"/>
                <w:szCs w:val="22"/>
                <w:lang w:val="en-GB" w:eastAsia="en-GB"/>
              </w:rPr>
              <w:t xml:space="preserve">), </w:t>
            </w:r>
            <w:r w:rsidR="00CD6950">
              <w:rPr>
                <w:rFonts w:cs="Arial"/>
                <w:sz w:val="20"/>
                <w:szCs w:val="22"/>
                <w:lang w:val="en-GB" w:eastAsia="en-GB"/>
              </w:rPr>
              <w:br/>
            </w:r>
            <w:r w:rsidR="00EF59E3" w:rsidRPr="00D568EC">
              <w:rPr>
                <w:rFonts w:cs="Arial"/>
                <w:sz w:val="20"/>
                <w:szCs w:val="22"/>
                <w:lang w:val="en-GB" w:eastAsia="en-GB"/>
              </w:rPr>
              <w:t>Box Hill Institute (BHIT) and GRM International</w:t>
            </w:r>
          </w:p>
        </w:tc>
      </w:tr>
      <w:tr w:rsidR="00EF59E3" w:rsidRPr="00D568EC" w14:paraId="5ADFA907" w14:textId="77777777" w:rsidTr="00AB1F5E">
        <w:tc>
          <w:tcPr>
            <w:tcW w:w="1406" w:type="dxa"/>
            <w:shd w:val="clear" w:color="auto" w:fill="E2EFD9" w:themeFill="accent6" w:themeFillTint="33"/>
          </w:tcPr>
          <w:p w14:paraId="5D9A71F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Course</w:t>
            </w:r>
          </w:p>
        </w:tc>
        <w:tc>
          <w:tcPr>
            <w:tcW w:w="7114" w:type="dxa"/>
            <w:shd w:val="clear" w:color="auto" w:fill="auto"/>
          </w:tcPr>
          <w:p w14:paraId="0913E25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Program of study</w:t>
            </w:r>
          </w:p>
        </w:tc>
      </w:tr>
      <w:tr w:rsidR="00EF59E3" w:rsidRPr="00D568EC" w14:paraId="1024AF2A" w14:textId="77777777" w:rsidTr="00AB1F5E">
        <w:tc>
          <w:tcPr>
            <w:tcW w:w="1406" w:type="dxa"/>
            <w:shd w:val="clear" w:color="auto" w:fill="E2EFD9" w:themeFill="accent6" w:themeFillTint="33"/>
          </w:tcPr>
          <w:p w14:paraId="516467E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CPD </w:t>
            </w:r>
          </w:p>
        </w:tc>
        <w:tc>
          <w:tcPr>
            <w:tcW w:w="7114" w:type="dxa"/>
            <w:shd w:val="clear" w:color="auto" w:fill="auto"/>
          </w:tcPr>
          <w:p w14:paraId="13F3EF0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Centre for Professional Development </w:t>
            </w:r>
          </w:p>
        </w:tc>
      </w:tr>
      <w:tr w:rsidR="00EF59E3" w:rsidRPr="00D568EC" w14:paraId="3D5F4A16" w14:textId="77777777" w:rsidTr="00AB1F5E">
        <w:tc>
          <w:tcPr>
            <w:tcW w:w="1406" w:type="dxa"/>
            <w:shd w:val="clear" w:color="auto" w:fill="E2EFD9" w:themeFill="accent6" w:themeFillTint="33"/>
          </w:tcPr>
          <w:p w14:paraId="6A60A1C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CRM </w:t>
            </w:r>
          </w:p>
        </w:tc>
        <w:tc>
          <w:tcPr>
            <w:tcW w:w="7114" w:type="dxa"/>
            <w:shd w:val="clear" w:color="auto" w:fill="auto"/>
          </w:tcPr>
          <w:p w14:paraId="182ACF4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Customer relationship management software, component of MS Dynamics package (http://www.microsoft.com/en-us/dynamics/crm.aspx)</w:t>
            </w:r>
          </w:p>
        </w:tc>
      </w:tr>
      <w:tr w:rsidR="00EF59E3" w:rsidRPr="00D568EC" w14:paraId="130CDE08" w14:textId="77777777" w:rsidTr="00AB1F5E">
        <w:tc>
          <w:tcPr>
            <w:tcW w:w="1406" w:type="dxa"/>
            <w:shd w:val="clear" w:color="auto" w:fill="E2EFD9" w:themeFill="accent6" w:themeFillTint="33"/>
          </w:tcPr>
          <w:p w14:paraId="0BA9FFA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CSS </w:t>
            </w:r>
          </w:p>
        </w:tc>
        <w:tc>
          <w:tcPr>
            <w:tcW w:w="7114" w:type="dxa"/>
            <w:shd w:val="clear" w:color="auto" w:fill="auto"/>
          </w:tcPr>
          <w:p w14:paraId="13C1F62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Corporate and Student Services (of APTC)</w:t>
            </w:r>
          </w:p>
        </w:tc>
      </w:tr>
      <w:tr w:rsidR="00EF59E3" w:rsidRPr="00D568EC" w14:paraId="1BC1248C" w14:textId="77777777" w:rsidTr="00AB1F5E">
        <w:tc>
          <w:tcPr>
            <w:tcW w:w="1406" w:type="dxa"/>
            <w:shd w:val="clear" w:color="auto" w:fill="E2EFD9" w:themeFill="accent6" w:themeFillTint="33"/>
          </w:tcPr>
          <w:p w14:paraId="6FAEA4A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CSOL</w:t>
            </w:r>
          </w:p>
        </w:tc>
        <w:tc>
          <w:tcPr>
            <w:tcW w:w="7114" w:type="dxa"/>
            <w:shd w:val="clear" w:color="auto" w:fill="auto"/>
          </w:tcPr>
          <w:p w14:paraId="19EFB36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Consolidated Sponsored Occupations List</w:t>
            </w:r>
          </w:p>
        </w:tc>
      </w:tr>
      <w:tr w:rsidR="00EF59E3" w:rsidRPr="00D568EC" w14:paraId="65AD31D2" w14:textId="77777777" w:rsidTr="00AB1F5E">
        <w:tc>
          <w:tcPr>
            <w:tcW w:w="1406" w:type="dxa"/>
            <w:shd w:val="clear" w:color="auto" w:fill="E2EFD9" w:themeFill="accent6" w:themeFillTint="33"/>
          </w:tcPr>
          <w:p w14:paraId="5BA3CAF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DFAT</w:t>
            </w:r>
          </w:p>
        </w:tc>
        <w:tc>
          <w:tcPr>
            <w:tcW w:w="7114" w:type="dxa"/>
            <w:shd w:val="clear" w:color="auto" w:fill="auto"/>
          </w:tcPr>
          <w:p w14:paraId="35ADC00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Department of Foreign Affairs and Trade (Australia)</w:t>
            </w:r>
          </w:p>
        </w:tc>
      </w:tr>
      <w:tr w:rsidR="00EF59E3" w:rsidRPr="00D568EC" w14:paraId="691214DC" w14:textId="77777777" w:rsidTr="00AB1F5E">
        <w:tc>
          <w:tcPr>
            <w:tcW w:w="1406" w:type="dxa"/>
            <w:shd w:val="clear" w:color="auto" w:fill="E2EFD9" w:themeFill="accent6" w:themeFillTint="33"/>
          </w:tcPr>
          <w:p w14:paraId="405D3E9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DBTI</w:t>
            </w:r>
          </w:p>
        </w:tc>
        <w:tc>
          <w:tcPr>
            <w:tcW w:w="7114" w:type="dxa"/>
            <w:shd w:val="clear" w:color="auto" w:fill="auto"/>
          </w:tcPr>
          <w:p w14:paraId="5437505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Don Bosco Technical Institute (Solomon Islands)</w:t>
            </w:r>
          </w:p>
        </w:tc>
      </w:tr>
      <w:tr w:rsidR="00EF59E3" w:rsidRPr="00D568EC" w14:paraId="27A1C756" w14:textId="77777777" w:rsidTr="00AB1F5E">
        <w:tc>
          <w:tcPr>
            <w:tcW w:w="1406" w:type="dxa"/>
            <w:shd w:val="clear" w:color="auto" w:fill="E2EFD9" w:themeFill="accent6" w:themeFillTint="33"/>
          </w:tcPr>
          <w:p w14:paraId="75B7346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DoS </w:t>
            </w:r>
          </w:p>
        </w:tc>
        <w:tc>
          <w:tcPr>
            <w:tcW w:w="7114" w:type="dxa"/>
            <w:shd w:val="clear" w:color="auto" w:fill="auto"/>
          </w:tcPr>
          <w:p w14:paraId="1062569F" w14:textId="64A19844" w:rsidR="00EF59E3" w:rsidRPr="00D568EC" w:rsidRDefault="00EF59E3" w:rsidP="00C121DF">
            <w:pPr>
              <w:spacing w:before="20" w:after="20"/>
              <w:rPr>
                <w:rFonts w:cs="Arial"/>
                <w:sz w:val="20"/>
                <w:szCs w:val="22"/>
                <w:lang w:val="en-GB" w:eastAsia="en-GB"/>
              </w:rPr>
            </w:pPr>
            <w:r w:rsidRPr="00D568EC">
              <w:rPr>
                <w:rFonts w:cs="Arial"/>
                <w:sz w:val="20"/>
                <w:szCs w:val="22"/>
                <w:lang w:val="en-GB" w:eastAsia="en-GB"/>
              </w:rPr>
              <w:t xml:space="preserve">Director of </w:t>
            </w:r>
            <w:r w:rsidR="00C121DF">
              <w:rPr>
                <w:rFonts w:cs="Arial"/>
                <w:sz w:val="20"/>
                <w:szCs w:val="22"/>
                <w:lang w:val="en-GB" w:eastAsia="en-GB"/>
              </w:rPr>
              <w:t>S</w:t>
            </w:r>
            <w:r w:rsidR="00C121DF" w:rsidRPr="00D568EC">
              <w:rPr>
                <w:rFonts w:cs="Arial"/>
                <w:sz w:val="20"/>
                <w:szCs w:val="22"/>
                <w:lang w:val="en-GB" w:eastAsia="en-GB"/>
              </w:rPr>
              <w:t xml:space="preserve">chool </w:t>
            </w:r>
          </w:p>
        </w:tc>
      </w:tr>
      <w:tr w:rsidR="00EF59E3" w:rsidRPr="00D568EC" w14:paraId="480D8378" w14:textId="77777777" w:rsidTr="00AB1F5E">
        <w:tc>
          <w:tcPr>
            <w:tcW w:w="1406" w:type="dxa"/>
            <w:shd w:val="clear" w:color="auto" w:fill="E2EFD9" w:themeFill="accent6" w:themeFillTint="33"/>
          </w:tcPr>
          <w:p w14:paraId="0469033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DVD </w:t>
            </w:r>
          </w:p>
        </w:tc>
        <w:tc>
          <w:tcPr>
            <w:tcW w:w="7114" w:type="dxa"/>
            <w:shd w:val="clear" w:color="auto" w:fill="auto"/>
          </w:tcPr>
          <w:p w14:paraId="4BAD07B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Digital video disc </w:t>
            </w:r>
          </w:p>
        </w:tc>
      </w:tr>
      <w:tr w:rsidR="00EF59E3" w:rsidRPr="00D568EC" w14:paraId="05D6DF88" w14:textId="77777777" w:rsidTr="00AB1F5E">
        <w:tc>
          <w:tcPr>
            <w:tcW w:w="1406" w:type="dxa"/>
            <w:shd w:val="clear" w:color="auto" w:fill="E2EFD9" w:themeFill="accent6" w:themeFillTint="33"/>
          </w:tcPr>
          <w:p w14:paraId="49796ED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EFT</w:t>
            </w:r>
          </w:p>
        </w:tc>
        <w:tc>
          <w:tcPr>
            <w:tcW w:w="7114" w:type="dxa"/>
            <w:shd w:val="clear" w:color="auto" w:fill="auto"/>
          </w:tcPr>
          <w:p w14:paraId="529DABDB" w14:textId="265B5F51" w:rsidR="00EF59E3" w:rsidRPr="00D568EC" w:rsidRDefault="00EF59E3" w:rsidP="0035467B">
            <w:pPr>
              <w:spacing w:before="20" w:after="20"/>
              <w:rPr>
                <w:rFonts w:cs="Arial"/>
                <w:sz w:val="20"/>
                <w:szCs w:val="22"/>
                <w:lang w:val="en-GB" w:eastAsia="en-GB"/>
              </w:rPr>
            </w:pPr>
            <w:r w:rsidRPr="00D568EC">
              <w:rPr>
                <w:rFonts w:cs="Arial"/>
                <w:sz w:val="20"/>
                <w:szCs w:val="22"/>
                <w:lang w:val="en-GB" w:eastAsia="en-GB"/>
              </w:rPr>
              <w:t>Equivalent full-time student</w:t>
            </w:r>
            <w:r w:rsidR="0035467B">
              <w:rPr>
                <w:rFonts w:cs="Arial"/>
                <w:sz w:val="20"/>
                <w:szCs w:val="22"/>
                <w:lang w:val="en-GB" w:eastAsia="en-GB"/>
              </w:rPr>
              <w:t>, also known as</w:t>
            </w:r>
            <w:r w:rsidRPr="00D568EC">
              <w:rPr>
                <w:rFonts w:cs="Arial"/>
                <w:sz w:val="20"/>
                <w:szCs w:val="22"/>
                <w:lang w:val="en-GB" w:eastAsia="en-GB"/>
              </w:rPr>
              <w:t xml:space="preserve"> </w:t>
            </w:r>
            <w:r w:rsidR="0035467B">
              <w:rPr>
                <w:rFonts w:cs="Arial"/>
                <w:sz w:val="20"/>
                <w:szCs w:val="22"/>
                <w:lang w:val="en-GB" w:eastAsia="en-GB"/>
              </w:rPr>
              <w:t>full-time equivalent student (</w:t>
            </w:r>
            <w:r w:rsidRPr="00D568EC">
              <w:rPr>
                <w:rFonts w:cs="Arial"/>
                <w:sz w:val="20"/>
                <w:szCs w:val="22"/>
                <w:lang w:val="en-GB" w:eastAsia="en-GB"/>
              </w:rPr>
              <w:t>FTE)</w:t>
            </w:r>
          </w:p>
        </w:tc>
      </w:tr>
      <w:tr w:rsidR="00EF59E3" w:rsidRPr="00D568EC" w14:paraId="7DA138C5" w14:textId="77777777" w:rsidTr="00AB1F5E">
        <w:tc>
          <w:tcPr>
            <w:tcW w:w="1406" w:type="dxa"/>
            <w:shd w:val="clear" w:color="auto" w:fill="E2EFD9" w:themeFill="accent6" w:themeFillTint="33"/>
          </w:tcPr>
          <w:p w14:paraId="1F4A184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ELLN </w:t>
            </w:r>
          </w:p>
        </w:tc>
        <w:tc>
          <w:tcPr>
            <w:tcW w:w="7114" w:type="dxa"/>
            <w:shd w:val="clear" w:color="auto" w:fill="auto"/>
          </w:tcPr>
          <w:p w14:paraId="78916A2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English language, literacy and numeracy </w:t>
            </w:r>
          </w:p>
        </w:tc>
      </w:tr>
      <w:tr w:rsidR="00EF59E3" w:rsidRPr="00D568EC" w14:paraId="22A90B6B" w14:textId="77777777" w:rsidTr="00AB1F5E">
        <w:tc>
          <w:tcPr>
            <w:tcW w:w="1406" w:type="dxa"/>
            <w:shd w:val="clear" w:color="auto" w:fill="E2EFD9" w:themeFill="accent6" w:themeFillTint="33"/>
          </w:tcPr>
          <w:p w14:paraId="2D0BD42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EMIS </w:t>
            </w:r>
          </w:p>
        </w:tc>
        <w:tc>
          <w:tcPr>
            <w:tcW w:w="7114" w:type="dxa"/>
            <w:shd w:val="clear" w:color="auto" w:fill="auto"/>
          </w:tcPr>
          <w:p w14:paraId="39D7B0D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Education management information system </w:t>
            </w:r>
          </w:p>
        </w:tc>
      </w:tr>
      <w:tr w:rsidR="00EF59E3" w:rsidRPr="00D568EC" w14:paraId="5C9A53BA" w14:textId="77777777" w:rsidTr="00AB1F5E">
        <w:tc>
          <w:tcPr>
            <w:tcW w:w="1406" w:type="dxa"/>
            <w:shd w:val="clear" w:color="auto" w:fill="E2EFD9" w:themeFill="accent6" w:themeFillTint="33"/>
          </w:tcPr>
          <w:p w14:paraId="4A27C86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EoCL </w:t>
            </w:r>
          </w:p>
        </w:tc>
        <w:tc>
          <w:tcPr>
            <w:tcW w:w="7114" w:type="dxa"/>
            <w:shd w:val="clear" w:color="auto" w:fill="auto"/>
          </w:tcPr>
          <w:p w14:paraId="733F408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End-of-course learner survey </w:t>
            </w:r>
          </w:p>
        </w:tc>
      </w:tr>
      <w:tr w:rsidR="00EF59E3" w:rsidRPr="00D568EC" w14:paraId="44FFA603" w14:textId="77777777" w:rsidTr="00AB1F5E">
        <w:tc>
          <w:tcPr>
            <w:tcW w:w="1406" w:type="dxa"/>
            <w:shd w:val="clear" w:color="auto" w:fill="E2EFD9" w:themeFill="accent6" w:themeFillTint="33"/>
          </w:tcPr>
          <w:p w14:paraId="278AEFB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ERF</w:t>
            </w:r>
          </w:p>
        </w:tc>
        <w:tc>
          <w:tcPr>
            <w:tcW w:w="7114" w:type="dxa"/>
            <w:shd w:val="clear" w:color="auto" w:fill="auto"/>
          </w:tcPr>
          <w:p w14:paraId="181A5370" w14:textId="7C9A0566"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Education Resource Facility, Australian firm based in Canberra that </w:t>
            </w:r>
            <w:r w:rsidR="00CD6950">
              <w:rPr>
                <w:rFonts w:cs="Arial"/>
                <w:sz w:val="20"/>
                <w:szCs w:val="22"/>
                <w:lang w:val="en-GB" w:eastAsia="en-GB"/>
              </w:rPr>
              <w:br/>
            </w:r>
            <w:r w:rsidRPr="00D568EC">
              <w:rPr>
                <w:rFonts w:cs="Arial"/>
                <w:sz w:val="20"/>
                <w:szCs w:val="22"/>
                <w:lang w:val="en-GB" w:eastAsia="en-GB"/>
              </w:rPr>
              <w:t>provides advisory support to DFAT</w:t>
            </w:r>
          </w:p>
        </w:tc>
      </w:tr>
      <w:tr w:rsidR="00EF59E3" w:rsidRPr="00D568EC" w14:paraId="57962320" w14:textId="77777777" w:rsidTr="00AB1F5E">
        <w:tc>
          <w:tcPr>
            <w:tcW w:w="1406" w:type="dxa"/>
            <w:shd w:val="clear" w:color="auto" w:fill="E2EFD9" w:themeFill="accent6" w:themeFillTint="33"/>
          </w:tcPr>
          <w:p w14:paraId="1E908F0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ERR</w:t>
            </w:r>
          </w:p>
        </w:tc>
        <w:tc>
          <w:tcPr>
            <w:tcW w:w="7114" w:type="dxa"/>
            <w:shd w:val="clear" w:color="auto" w:fill="auto"/>
          </w:tcPr>
          <w:p w14:paraId="2ACB62B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Economic rate of return</w:t>
            </w:r>
          </w:p>
        </w:tc>
      </w:tr>
      <w:tr w:rsidR="00EF59E3" w:rsidRPr="00D568EC" w14:paraId="1F429D38" w14:textId="77777777" w:rsidTr="00AB1F5E">
        <w:tc>
          <w:tcPr>
            <w:tcW w:w="1406" w:type="dxa"/>
            <w:shd w:val="clear" w:color="auto" w:fill="E2EFD9" w:themeFill="accent6" w:themeFillTint="33"/>
          </w:tcPr>
          <w:p w14:paraId="35CE620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eScan</w:t>
            </w:r>
          </w:p>
        </w:tc>
        <w:tc>
          <w:tcPr>
            <w:tcW w:w="7114" w:type="dxa"/>
            <w:shd w:val="clear" w:color="auto" w:fill="auto"/>
          </w:tcPr>
          <w:p w14:paraId="4992C95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APTC Environmental Scan</w:t>
            </w:r>
          </w:p>
        </w:tc>
      </w:tr>
      <w:tr w:rsidR="00EF59E3" w:rsidRPr="00D568EC" w14:paraId="36C04A40" w14:textId="77777777" w:rsidTr="00AB1F5E">
        <w:tc>
          <w:tcPr>
            <w:tcW w:w="1406" w:type="dxa"/>
            <w:shd w:val="clear" w:color="auto" w:fill="E2EFD9" w:themeFill="accent6" w:themeFillTint="33"/>
          </w:tcPr>
          <w:p w14:paraId="599630E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EW</w:t>
            </w:r>
          </w:p>
        </w:tc>
        <w:tc>
          <w:tcPr>
            <w:tcW w:w="7114" w:type="dxa"/>
            <w:shd w:val="clear" w:color="auto" w:fill="auto"/>
          </w:tcPr>
          <w:p w14:paraId="71DFEE2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Existing worker (APTC applicant)</w:t>
            </w:r>
          </w:p>
        </w:tc>
      </w:tr>
      <w:tr w:rsidR="003309FA" w:rsidRPr="00D568EC" w14:paraId="50B83EA0" w14:textId="77777777" w:rsidTr="00AB1F5E">
        <w:tc>
          <w:tcPr>
            <w:tcW w:w="1406" w:type="dxa"/>
            <w:shd w:val="clear" w:color="auto" w:fill="E2EFD9" w:themeFill="accent6" w:themeFillTint="33"/>
          </w:tcPr>
          <w:p w14:paraId="6409FC01" w14:textId="266DED43" w:rsidR="003309FA" w:rsidRPr="00D568EC" w:rsidRDefault="003309FA" w:rsidP="00D568EC">
            <w:pPr>
              <w:spacing w:before="20" w:after="20"/>
              <w:rPr>
                <w:rFonts w:cs="Arial"/>
                <w:sz w:val="20"/>
                <w:szCs w:val="22"/>
                <w:lang w:val="en-GB" w:eastAsia="en-GB"/>
              </w:rPr>
            </w:pPr>
            <w:r>
              <w:rPr>
                <w:rFonts w:cs="Arial"/>
                <w:sz w:val="20"/>
                <w:szCs w:val="22"/>
                <w:lang w:val="en-GB" w:eastAsia="en-GB"/>
              </w:rPr>
              <w:t>Ex ante</w:t>
            </w:r>
          </w:p>
        </w:tc>
        <w:tc>
          <w:tcPr>
            <w:tcW w:w="7114" w:type="dxa"/>
            <w:shd w:val="clear" w:color="auto" w:fill="auto"/>
          </w:tcPr>
          <w:p w14:paraId="6E15ADC5" w14:textId="51E3D8E5" w:rsidR="003309FA" w:rsidRPr="00D568EC" w:rsidRDefault="003309FA" w:rsidP="00D568EC">
            <w:pPr>
              <w:spacing w:before="20" w:after="20"/>
              <w:rPr>
                <w:rFonts w:cs="Arial"/>
                <w:sz w:val="20"/>
                <w:szCs w:val="22"/>
                <w:lang w:val="en-GB" w:eastAsia="en-GB"/>
              </w:rPr>
            </w:pPr>
            <w:r>
              <w:rPr>
                <w:rFonts w:cs="Arial"/>
                <w:sz w:val="20"/>
                <w:szCs w:val="22"/>
                <w:lang w:val="en-GB" w:eastAsia="en-GB"/>
              </w:rPr>
              <w:t>Before the event (a term used in financial analysis)</w:t>
            </w:r>
          </w:p>
        </w:tc>
      </w:tr>
      <w:tr w:rsidR="003309FA" w:rsidRPr="00D568EC" w14:paraId="1F105C2C" w14:textId="77777777" w:rsidTr="00AB1F5E">
        <w:tc>
          <w:tcPr>
            <w:tcW w:w="1406" w:type="dxa"/>
            <w:shd w:val="clear" w:color="auto" w:fill="E2EFD9" w:themeFill="accent6" w:themeFillTint="33"/>
          </w:tcPr>
          <w:p w14:paraId="655101BA" w14:textId="0EF1C019" w:rsidR="003309FA" w:rsidRDefault="003309FA" w:rsidP="00D568EC">
            <w:pPr>
              <w:spacing w:before="20" w:after="20"/>
              <w:rPr>
                <w:rFonts w:cs="Arial"/>
                <w:sz w:val="20"/>
                <w:szCs w:val="22"/>
                <w:lang w:val="en-GB" w:eastAsia="en-GB"/>
              </w:rPr>
            </w:pPr>
            <w:r>
              <w:rPr>
                <w:rFonts w:cs="Arial"/>
                <w:sz w:val="20"/>
                <w:szCs w:val="22"/>
                <w:lang w:val="en-GB" w:eastAsia="en-GB"/>
              </w:rPr>
              <w:t>Ex post</w:t>
            </w:r>
          </w:p>
        </w:tc>
        <w:tc>
          <w:tcPr>
            <w:tcW w:w="7114" w:type="dxa"/>
            <w:shd w:val="clear" w:color="auto" w:fill="auto"/>
          </w:tcPr>
          <w:p w14:paraId="6FBC1F79" w14:textId="4E7FB022" w:rsidR="003309FA" w:rsidRDefault="003309FA" w:rsidP="00D568EC">
            <w:pPr>
              <w:spacing w:before="20" w:after="20"/>
              <w:rPr>
                <w:rFonts w:cs="Arial"/>
                <w:sz w:val="20"/>
                <w:szCs w:val="22"/>
                <w:lang w:val="en-GB" w:eastAsia="en-GB"/>
              </w:rPr>
            </w:pPr>
            <w:r>
              <w:rPr>
                <w:rFonts w:cs="Arial"/>
                <w:sz w:val="20"/>
                <w:szCs w:val="22"/>
                <w:lang w:val="en-GB" w:eastAsia="en-GB"/>
              </w:rPr>
              <w:t>After the event (a term used in financial analysis)</w:t>
            </w:r>
          </w:p>
        </w:tc>
      </w:tr>
    </w:tbl>
    <w:p w14:paraId="09ED4B4D" w14:textId="77777777" w:rsidR="007709F4" w:rsidRDefault="007709F4">
      <w:r>
        <w:br w:type="page"/>
      </w:r>
    </w:p>
    <w:tbl>
      <w:tblPr>
        <w:tblW w:w="8222" w:type="dxa"/>
        <w:tblInd w:w="93" w:type="dxa"/>
        <w:tblBorders>
          <w:top w:val="single" w:sz="4" w:space="0" w:color="A8D08D" w:themeColor="accent6" w:themeTint="99"/>
          <w:bottom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376"/>
        <w:gridCol w:w="6846"/>
      </w:tblGrid>
      <w:tr w:rsidR="00EF59E3" w:rsidRPr="00D568EC" w14:paraId="29AE3E0A" w14:textId="77777777" w:rsidTr="00AB1F5E">
        <w:tc>
          <w:tcPr>
            <w:tcW w:w="1376" w:type="dxa"/>
            <w:shd w:val="clear" w:color="auto" w:fill="E2EFD9" w:themeFill="accent6" w:themeFillTint="33"/>
          </w:tcPr>
          <w:p w14:paraId="6F6E787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lastRenderedPageBreak/>
              <w:t xml:space="preserve">FCS </w:t>
            </w:r>
          </w:p>
        </w:tc>
        <w:tc>
          <w:tcPr>
            <w:tcW w:w="6846" w:type="dxa"/>
            <w:shd w:val="clear" w:color="auto" w:fill="auto"/>
          </w:tcPr>
          <w:p w14:paraId="7C10C04D" w14:textId="19F04107" w:rsidR="00EF59E3" w:rsidRPr="00D568EC" w:rsidRDefault="00EF59E3" w:rsidP="00E87B03">
            <w:pPr>
              <w:spacing w:before="20" w:after="20"/>
              <w:rPr>
                <w:rFonts w:cs="Arial"/>
                <w:sz w:val="20"/>
                <w:szCs w:val="22"/>
                <w:lang w:val="en-GB" w:eastAsia="en-GB"/>
              </w:rPr>
            </w:pPr>
            <w:r w:rsidRPr="00D568EC">
              <w:rPr>
                <w:rFonts w:cs="Arial"/>
                <w:sz w:val="20"/>
                <w:szCs w:val="22"/>
                <w:lang w:val="en-GB" w:eastAsia="en-GB"/>
              </w:rPr>
              <w:t xml:space="preserve">Fraud </w:t>
            </w:r>
            <w:r w:rsidR="00E87B03">
              <w:rPr>
                <w:rFonts w:cs="Arial"/>
                <w:sz w:val="20"/>
                <w:szCs w:val="22"/>
                <w:lang w:val="en-GB" w:eastAsia="en-GB"/>
              </w:rPr>
              <w:t>C</w:t>
            </w:r>
            <w:r w:rsidR="00E87B03" w:rsidRPr="00D568EC">
              <w:rPr>
                <w:rFonts w:cs="Arial"/>
                <w:sz w:val="20"/>
                <w:szCs w:val="22"/>
                <w:lang w:val="en-GB" w:eastAsia="en-GB"/>
              </w:rPr>
              <w:t xml:space="preserve">ontrol </w:t>
            </w:r>
            <w:r w:rsidR="00E87B03">
              <w:rPr>
                <w:rFonts w:cs="Arial"/>
                <w:sz w:val="20"/>
                <w:szCs w:val="22"/>
                <w:lang w:val="en-GB" w:eastAsia="en-GB"/>
              </w:rPr>
              <w:t>S</w:t>
            </w:r>
            <w:r w:rsidRPr="00D568EC">
              <w:rPr>
                <w:rFonts w:cs="Arial"/>
                <w:sz w:val="20"/>
                <w:szCs w:val="22"/>
                <w:lang w:val="en-GB" w:eastAsia="en-GB"/>
              </w:rPr>
              <w:t xml:space="preserve">trategy </w:t>
            </w:r>
          </w:p>
        </w:tc>
      </w:tr>
      <w:tr w:rsidR="00EF59E3" w:rsidRPr="00D568EC" w14:paraId="679A7F85" w14:textId="77777777" w:rsidTr="00AB1F5E">
        <w:tc>
          <w:tcPr>
            <w:tcW w:w="1376" w:type="dxa"/>
            <w:shd w:val="clear" w:color="auto" w:fill="E2EFD9" w:themeFill="accent6" w:themeFillTint="33"/>
          </w:tcPr>
          <w:p w14:paraId="1C8EC70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FFS </w:t>
            </w:r>
          </w:p>
        </w:tc>
        <w:tc>
          <w:tcPr>
            <w:tcW w:w="6846" w:type="dxa"/>
            <w:shd w:val="clear" w:color="auto" w:fill="auto"/>
          </w:tcPr>
          <w:p w14:paraId="2C76E0C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Fee-for-service </w:t>
            </w:r>
          </w:p>
        </w:tc>
      </w:tr>
      <w:tr w:rsidR="00EF59E3" w:rsidRPr="00D568EC" w14:paraId="24C28087" w14:textId="77777777" w:rsidTr="00AB1F5E">
        <w:tc>
          <w:tcPr>
            <w:tcW w:w="1376" w:type="dxa"/>
            <w:shd w:val="clear" w:color="auto" w:fill="E2EFD9" w:themeFill="accent6" w:themeFillTint="33"/>
          </w:tcPr>
          <w:p w14:paraId="2D1AFED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FIT</w:t>
            </w:r>
          </w:p>
        </w:tc>
        <w:tc>
          <w:tcPr>
            <w:tcW w:w="6846" w:type="dxa"/>
            <w:shd w:val="clear" w:color="auto" w:fill="auto"/>
          </w:tcPr>
          <w:p w14:paraId="7FB02D3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Fiji Institute of Technology</w:t>
            </w:r>
          </w:p>
        </w:tc>
      </w:tr>
      <w:tr w:rsidR="00EF59E3" w:rsidRPr="00D568EC" w14:paraId="4237C56E" w14:textId="77777777" w:rsidTr="00AB1F5E">
        <w:tc>
          <w:tcPr>
            <w:tcW w:w="1376" w:type="dxa"/>
            <w:shd w:val="clear" w:color="auto" w:fill="E2EFD9" w:themeFill="accent6" w:themeFillTint="33"/>
          </w:tcPr>
          <w:p w14:paraId="54C978B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FJD</w:t>
            </w:r>
          </w:p>
        </w:tc>
        <w:tc>
          <w:tcPr>
            <w:tcW w:w="6846" w:type="dxa"/>
            <w:shd w:val="clear" w:color="auto" w:fill="auto"/>
          </w:tcPr>
          <w:p w14:paraId="5028A46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Fiji dollar (approximately = 0.580 AUD)</w:t>
            </w:r>
          </w:p>
        </w:tc>
      </w:tr>
      <w:tr w:rsidR="00EF59E3" w:rsidRPr="00D568EC" w14:paraId="22BA7D7D" w14:textId="77777777" w:rsidTr="00AB1F5E">
        <w:tc>
          <w:tcPr>
            <w:tcW w:w="1376" w:type="dxa"/>
            <w:shd w:val="clear" w:color="auto" w:fill="E2EFD9" w:themeFill="accent6" w:themeFillTint="33"/>
          </w:tcPr>
          <w:p w14:paraId="709DE7C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Flow</w:t>
            </w:r>
          </w:p>
        </w:tc>
        <w:tc>
          <w:tcPr>
            <w:tcW w:w="6846" w:type="dxa"/>
            <w:shd w:val="clear" w:color="auto" w:fill="auto"/>
          </w:tcPr>
          <w:p w14:paraId="74D1767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Project management software (www.getflow.com/)</w:t>
            </w:r>
          </w:p>
        </w:tc>
      </w:tr>
      <w:tr w:rsidR="00EF59E3" w:rsidRPr="00D568EC" w14:paraId="20234CAB" w14:textId="77777777" w:rsidTr="00AB1F5E">
        <w:tc>
          <w:tcPr>
            <w:tcW w:w="1376" w:type="dxa"/>
            <w:shd w:val="clear" w:color="auto" w:fill="E2EFD9" w:themeFill="accent6" w:themeFillTint="33"/>
          </w:tcPr>
          <w:p w14:paraId="676CD82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FMIS </w:t>
            </w:r>
          </w:p>
        </w:tc>
        <w:tc>
          <w:tcPr>
            <w:tcW w:w="6846" w:type="dxa"/>
            <w:shd w:val="clear" w:color="auto" w:fill="auto"/>
          </w:tcPr>
          <w:p w14:paraId="55AE709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Financial management information system </w:t>
            </w:r>
          </w:p>
        </w:tc>
      </w:tr>
      <w:tr w:rsidR="00EF59E3" w:rsidRPr="00D568EC" w14:paraId="0C8D91C9" w14:textId="77777777" w:rsidTr="00AB1F5E">
        <w:tc>
          <w:tcPr>
            <w:tcW w:w="1376" w:type="dxa"/>
            <w:shd w:val="clear" w:color="auto" w:fill="E2EFD9" w:themeFill="accent6" w:themeFillTint="33"/>
          </w:tcPr>
          <w:p w14:paraId="05410BD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FNU </w:t>
            </w:r>
          </w:p>
        </w:tc>
        <w:tc>
          <w:tcPr>
            <w:tcW w:w="6846" w:type="dxa"/>
            <w:shd w:val="clear" w:color="auto" w:fill="auto"/>
          </w:tcPr>
          <w:p w14:paraId="2B70418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Fiji National University </w:t>
            </w:r>
          </w:p>
        </w:tc>
      </w:tr>
      <w:tr w:rsidR="00EF59E3" w:rsidRPr="00D568EC" w14:paraId="3C04A961" w14:textId="77777777" w:rsidTr="00AB1F5E">
        <w:tc>
          <w:tcPr>
            <w:tcW w:w="1376" w:type="dxa"/>
            <w:shd w:val="clear" w:color="auto" w:fill="E2EFD9" w:themeFill="accent6" w:themeFillTint="33"/>
          </w:tcPr>
          <w:p w14:paraId="2E1E8E0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FSM</w:t>
            </w:r>
          </w:p>
        </w:tc>
        <w:tc>
          <w:tcPr>
            <w:tcW w:w="6846" w:type="dxa"/>
            <w:shd w:val="clear" w:color="auto" w:fill="auto"/>
          </w:tcPr>
          <w:p w14:paraId="653BA3B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Federated States of Micronesia</w:t>
            </w:r>
          </w:p>
        </w:tc>
      </w:tr>
      <w:tr w:rsidR="00EF59E3" w:rsidRPr="00D568EC" w14:paraId="3A09F56E" w14:textId="77777777" w:rsidTr="00AB1F5E">
        <w:tc>
          <w:tcPr>
            <w:tcW w:w="1376" w:type="dxa"/>
            <w:shd w:val="clear" w:color="auto" w:fill="E2EFD9" w:themeFill="accent6" w:themeFillTint="33"/>
          </w:tcPr>
          <w:p w14:paraId="19E2B86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FTE </w:t>
            </w:r>
          </w:p>
        </w:tc>
        <w:tc>
          <w:tcPr>
            <w:tcW w:w="6846" w:type="dxa"/>
            <w:shd w:val="clear" w:color="auto" w:fill="auto"/>
          </w:tcPr>
          <w:p w14:paraId="29C9B3F8" w14:textId="6C94F205" w:rsidR="00EF59E3" w:rsidRPr="00D568EC" w:rsidRDefault="00EF59E3" w:rsidP="00D22A08">
            <w:pPr>
              <w:spacing w:before="20" w:after="20"/>
              <w:rPr>
                <w:rFonts w:cs="Arial"/>
                <w:sz w:val="20"/>
                <w:szCs w:val="22"/>
                <w:lang w:val="en-GB" w:eastAsia="en-GB"/>
              </w:rPr>
            </w:pPr>
            <w:r w:rsidRPr="00D568EC">
              <w:rPr>
                <w:rFonts w:cs="Arial"/>
                <w:sz w:val="20"/>
                <w:szCs w:val="22"/>
                <w:lang w:val="en-GB" w:eastAsia="en-GB"/>
              </w:rPr>
              <w:t>Full-time equivalent student</w:t>
            </w:r>
            <w:r w:rsidR="00D22A08">
              <w:rPr>
                <w:rFonts w:cs="Arial"/>
                <w:sz w:val="20"/>
                <w:szCs w:val="22"/>
                <w:lang w:val="en-GB" w:eastAsia="en-GB"/>
              </w:rPr>
              <w:t xml:space="preserve">, also known as equivalent full-time </w:t>
            </w:r>
            <w:r w:rsidR="006E540E">
              <w:rPr>
                <w:rFonts w:cs="Arial"/>
                <w:sz w:val="20"/>
                <w:szCs w:val="22"/>
                <w:lang w:val="en-GB" w:eastAsia="en-GB"/>
              </w:rPr>
              <w:br/>
            </w:r>
            <w:r w:rsidR="00D22A08">
              <w:rPr>
                <w:rFonts w:cs="Arial"/>
                <w:sz w:val="20"/>
                <w:szCs w:val="22"/>
                <w:lang w:val="en-GB" w:eastAsia="en-GB"/>
              </w:rPr>
              <w:t>student</w:t>
            </w:r>
            <w:r w:rsidRPr="00D568EC">
              <w:rPr>
                <w:rFonts w:cs="Arial"/>
                <w:sz w:val="20"/>
                <w:szCs w:val="22"/>
                <w:lang w:val="en-GB" w:eastAsia="en-GB"/>
              </w:rPr>
              <w:t xml:space="preserve"> </w:t>
            </w:r>
            <w:r w:rsidR="00D22A08">
              <w:rPr>
                <w:rFonts w:cs="Arial"/>
                <w:sz w:val="20"/>
                <w:szCs w:val="22"/>
                <w:lang w:val="en-GB" w:eastAsia="en-GB"/>
              </w:rPr>
              <w:t>(</w:t>
            </w:r>
            <w:r w:rsidRPr="00D568EC">
              <w:rPr>
                <w:rFonts w:cs="Arial"/>
                <w:sz w:val="20"/>
                <w:szCs w:val="22"/>
                <w:lang w:val="en-GB" w:eastAsia="en-GB"/>
              </w:rPr>
              <w:t>EFT)</w:t>
            </w:r>
          </w:p>
        </w:tc>
      </w:tr>
      <w:tr w:rsidR="00EF59E3" w:rsidRPr="00D568EC" w14:paraId="55594013" w14:textId="77777777" w:rsidTr="00AB1F5E">
        <w:tc>
          <w:tcPr>
            <w:tcW w:w="1376" w:type="dxa"/>
            <w:shd w:val="clear" w:color="auto" w:fill="E2EFD9" w:themeFill="accent6" w:themeFillTint="33"/>
          </w:tcPr>
          <w:p w14:paraId="2B19499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FY</w:t>
            </w:r>
          </w:p>
        </w:tc>
        <w:tc>
          <w:tcPr>
            <w:tcW w:w="6846" w:type="dxa"/>
            <w:shd w:val="clear" w:color="auto" w:fill="auto"/>
          </w:tcPr>
          <w:p w14:paraId="0429DEE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Fiscal year</w:t>
            </w:r>
          </w:p>
        </w:tc>
      </w:tr>
      <w:tr w:rsidR="00EF59E3" w:rsidRPr="00D568EC" w14:paraId="2597DD42" w14:textId="77777777" w:rsidTr="00AB1F5E">
        <w:tc>
          <w:tcPr>
            <w:tcW w:w="1376" w:type="dxa"/>
            <w:shd w:val="clear" w:color="auto" w:fill="E2EFD9" w:themeFill="accent6" w:themeFillTint="33"/>
          </w:tcPr>
          <w:p w14:paraId="5BFBF1E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GDP</w:t>
            </w:r>
          </w:p>
        </w:tc>
        <w:tc>
          <w:tcPr>
            <w:tcW w:w="6846" w:type="dxa"/>
            <w:shd w:val="clear" w:color="auto" w:fill="auto"/>
          </w:tcPr>
          <w:p w14:paraId="6B7C961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Gross domestic product</w:t>
            </w:r>
          </w:p>
        </w:tc>
      </w:tr>
      <w:tr w:rsidR="00EF59E3" w:rsidRPr="00D568EC" w14:paraId="072B2AB8" w14:textId="77777777" w:rsidTr="00AB1F5E">
        <w:tc>
          <w:tcPr>
            <w:tcW w:w="1376" w:type="dxa"/>
            <w:shd w:val="clear" w:color="auto" w:fill="E2EFD9" w:themeFill="accent6" w:themeFillTint="33"/>
          </w:tcPr>
          <w:p w14:paraId="4E0FF73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GoA</w:t>
            </w:r>
          </w:p>
        </w:tc>
        <w:tc>
          <w:tcPr>
            <w:tcW w:w="6846" w:type="dxa"/>
            <w:shd w:val="clear" w:color="auto" w:fill="auto"/>
          </w:tcPr>
          <w:p w14:paraId="558C6C7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Government of Australia</w:t>
            </w:r>
          </w:p>
        </w:tc>
      </w:tr>
      <w:tr w:rsidR="00EF59E3" w:rsidRPr="00D568EC" w14:paraId="472B63F4" w14:textId="77777777" w:rsidTr="00AB1F5E">
        <w:tc>
          <w:tcPr>
            <w:tcW w:w="1376" w:type="dxa"/>
            <w:shd w:val="clear" w:color="auto" w:fill="E2EFD9" w:themeFill="accent6" w:themeFillTint="33"/>
          </w:tcPr>
          <w:p w14:paraId="1E127B8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GRM</w:t>
            </w:r>
          </w:p>
        </w:tc>
        <w:tc>
          <w:tcPr>
            <w:tcW w:w="6846" w:type="dxa"/>
            <w:shd w:val="clear" w:color="auto" w:fill="auto"/>
          </w:tcPr>
          <w:p w14:paraId="4618F993" w14:textId="29159E7B"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GRM International, global development management firm based </w:t>
            </w:r>
            <w:r w:rsidR="006E540E">
              <w:rPr>
                <w:rFonts w:cs="Arial"/>
                <w:sz w:val="20"/>
                <w:szCs w:val="22"/>
                <w:lang w:val="en-GB" w:eastAsia="en-GB"/>
              </w:rPr>
              <w:br/>
            </w:r>
            <w:r w:rsidRPr="00D568EC">
              <w:rPr>
                <w:rFonts w:cs="Arial"/>
                <w:sz w:val="20"/>
                <w:szCs w:val="22"/>
                <w:lang w:val="en-GB" w:eastAsia="en-GB"/>
              </w:rPr>
              <w:t>in Brisbane</w:t>
            </w:r>
          </w:p>
        </w:tc>
      </w:tr>
      <w:tr w:rsidR="00EF59E3" w:rsidRPr="00D568EC" w14:paraId="6E0DAFEA" w14:textId="77777777" w:rsidTr="00AB1F5E">
        <w:tc>
          <w:tcPr>
            <w:tcW w:w="1376" w:type="dxa"/>
            <w:shd w:val="clear" w:color="auto" w:fill="E2EFD9" w:themeFill="accent6" w:themeFillTint="33"/>
          </w:tcPr>
          <w:p w14:paraId="66A6628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HR </w:t>
            </w:r>
          </w:p>
        </w:tc>
        <w:tc>
          <w:tcPr>
            <w:tcW w:w="6846" w:type="dxa"/>
            <w:shd w:val="clear" w:color="auto" w:fill="auto"/>
          </w:tcPr>
          <w:p w14:paraId="181EBB8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Human resource </w:t>
            </w:r>
          </w:p>
        </w:tc>
      </w:tr>
      <w:tr w:rsidR="00EF59E3" w:rsidRPr="00D568EC" w14:paraId="0731F050" w14:textId="77777777" w:rsidTr="00AB1F5E">
        <w:tc>
          <w:tcPr>
            <w:tcW w:w="1376" w:type="dxa"/>
            <w:shd w:val="clear" w:color="auto" w:fill="E2EFD9" w:themeFill="accent6" w:themeFillTint="33"/>
          </w:tcPr>
          <w:p w14:paraId="1E229DD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ICT </w:t>
            </w:r>
          </w:p>
        </w:tc>
        <w:tc>
          <w:tcPr>
            <w:tcW w:w="6846" w:type="dxa"/>
            <w:shd w:val="clear" w:color="auto" w:fill="auto"/>
          </w:tcPr>
          <w:p w14:paraId="310E286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Information communication technology </w:t>
            </w:r>
          </w:p>
        </w:tc>
      </w:tr>
      <w:tr w:rsidR="00113832" w:rsidRPr="00D568EC" w14:paraId="0A071AB1" w14:textId="77777777" w:rsidTr="00AB1F5E">
        <w:tc>
          <w:tcPr>
            <w:tcW w:w="1376" w:type="dxa"/>
            <w:shd w:val="clear" w:color="auto" w:fill="E2EFD9" w:themeFill="accent6" w:themeFillTint="33"/>
          </w:tcPr>
          <w:p w14:paraId="21DCD334" w14:textId="77777777" w:rsidR="00113832" w:rsidRPr="00D568EC" w:rsidRDefault="00113832" w:rsidP="00D568EC">
            <w:pPr>
              <w:spacing w:before="20" w:after="20"/>
              <w:rPr>
                <w:rFonts w:cs="Arial"/>
                <w:sz w:val="20"/>
                <w:szCs w:val="22"/>
                <w:lang w:val="en-GB" w:eastAsia="en-GB"/>
              </w:rPr>
            </w:pPr>
            <w:r w:rsidRPr="00D568EC">
              <w:rPr>
                <w:rFonts w:cs="Arial"/>
                <w:sz w:val="20"/>
                <w:szCs w:val="22"/>
                <w:lang w:val="en-GB" w:eastAsia="en-GB"/>
              </w:rPr>
              <w:t>IELTS</w:t>
            </w:r>
          </w:p>
        </w:tc>
        <w:tc>
          <w:tcPr>
            <w:tcW w:w="6846" w:type="dxa"/>
            <w:shd w:val="clear" w:color="auto" w:fill="auto"/>
          </w:tcPr>
          <w:p w14:paraId="2F9F36D3" w14:textId="77777777" w:rsidR="00113832" w:rsidRPr="00D568EC" w:rsidRDefault="00113832" w:rsidP="00D568EC">
            <w:pPr>
              <w:spacing w:before="20" w:after="20"/>
              <w:rPr>
                <w:rFonts w:cs="Arial"/>
                <w:sz w:val="20"/>
                <w:szCs w:val="22"/>
                <w:lang w:val="en-GB" w:eastAsia="en-GB"/>
              </w:rPr>
            </w:pPr>
            <w:r w:rsidRPr="00D568EC">
              <w:rPr>
                <w:rFonts w:cs="Arial"/>
                <w:sz w:val="20"/>
                <w:szCs w:val="22"/>
              </w:rPr>
              <w:t>International English Language Testing System</w:t>
            </w:r>
          </w:p>
        </w:tc>
      </w:tr>
      <w:tr w:rsidR="00EF59E3" w:rsidRPr="00D568EC" w14:paraId="3C6EA76B" w14:textId="77777777" w:rsidTr="00AB1F5E">
        <w:tc>
          <w:tcPr>
            <w:tcW w:w="1376" w:type="dxa"/>
            <w:shd w:val="clear" w:color="auto" w:fill="E2EFD9" w:themeFill="accent6" w:themeFillTint="33"/>
          </w:tcPr>
          <w:p w14:paraId="4D97AA3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ISIS</w:t>
            </w:r>
          </w:p>
        </w:tc>
        <w:tc>
          <w:tcPr>
            <w:tcW w:w="6846" w:type="dxa"/>
            <w:shd w:val="clear" w:color="auto" w:fill="auto"/>
          </w:tcPr>
          <w:p w14:paraId="4E6965A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Financial management software (http://www.isissoftware.com/)</w:t>
            </w:r>
          </w:p>
        </w:tc>
      </w:tr>
      <w:tr w:rsidR="00EF59E3" w:rsidRPr="00D568EC" w14:paraId="6CCAA359" w14:textId="77777777" w:rsidTr="00AB1F5E">
        <w:tc>
          <w:tcPr>
            <w:tcW w:w="1376" w:type="dxa"/>
            <w:shd w:val="clear" w:color="auto" w:fill="E2EFD9" w:themeFill="accent6" w:themeFillTint="33"/>
          </w:tcPr>
          <w:p w14:paraId="7C197A3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KIT </w:t>
            </w:r>
          </w:p>
        </w:tc>
        <w:tc>
          <w:tcPr>
            <w:tcW w:w="6846" w:type="dxa"/>
            <w:shd w:val="clear" w:color="auto" w:fill="auto"/>
          </w:tcPr>
          <w:p w14:paraId="7872F26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Kiribati Institute of Technology</w:t>
            </w:r>
          </w:p>
        </w:tc>
      </w:tr>
      <w:tr w:rsidR="00EF59E3" w:rsidRPr="00D568EC" w14:paraId="79CFC4FC" w14:textId="77777777" w:rsidTr="00AB1F5E">
        <w:tc>
          <w:tcPr>
            <w:tcW w:w="1376" w:type="dxa"/>
            <w:shd w:val="clear" w:color="auto" w:fill="E2EFD9" w:themeFill="accent6" w:themeFillTint="33"/>
          </w:tcPr>
          <w:p w14:paraId="34E97B4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Level</w:t>
            </w:r>
          </w:p>
        </w:tc>
        <w:tc>
          <w:tcPr>
            <w:tcW w:w="6846" w:type="dxa"/>
            <w:shd w:val="clear" w:color="auto" w:fill="auto"/>
          </w:tcPr>
          <w:p w14:paraId="7C2A321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Hierarchical rank of a qualification, e.g., Certificate level III</w:t>
            </w:r>
          </w:p>
        </w:tc>
      </w:tr>
      <w:tr w:rsidR="00113832" w:rsidRPr="00D568EC" w14:paraId="3B5B5EB0" w14:textId="77777777" w:rsidTr="00AB1F5E">
        <w:tc>
          <w:tcPr>
            <w:tcW w:w="1376" w:type="dxa"/>
            <w:shd w:val="clear" w:color="auto" w:fill="E2EFD9" w:themeFill="accent6" w:themeFillTint="33"/>
          </w:tcPr>
          <w:p w14:paraId="32C4FFD8" w14:textId="77777777" w:rsidR="00113832" w:rsidRPr="00D568EC" w:rsidRDefault="00113832" w:rsidP="00D568EC">
            <w:pPr>
              <w:spacing w:before="20" w:after="20"/>
              <w:rPr>
                <w:rFonts w:cs="Arial"/>
                <w:sz w:val="20"/>
                <w:szCs w:val="22"/>
                <w:lang w:val="en-GB" w:eastAsia="en-GB"/>
              </w:rPr>
            </w:pPr>
            <w:r w:rsidRPr="00D568EC">
              <w:rPr>
                <w:rFonts w:cs="Arial"/>
                <w:sz w:val="20"/>
                <w:szCs w:val="22"/>
                <w:lang w:val="en-GB" w:eastAsia="en-GB"/>
              </w:rPr>
              <w:t>LLN</w:t>
            </w:r>
          </w:p>
        </w:tc>
        <w:tc>
          <w:tcPr>
            <w:tcW w:w="6846" w:type="dxa"/>
            <w:shd w:val="clear" w:color="auto" w:fill="auto"/>
          </w:tcPr>
          <w:p w14:paraId="4A97C487" w14:textId="77777777" w:rsidR="00113832" w:rsidRPr="00D568EC" w:rsidRDefault="00113832" w:rsidP="00D568EC">
            <w:pPr>
              <w:spacing w:before="20" w:after="20"/>
              <w:rPr>
                <w:rFonts w:cs="Arial"/>
                <w:sz w:val="20"/>
                <w:szCs w:val="22"/>
                <w:lang w:val="en-GB" w:eastAsia="en-GB"/>
              </w:rPr>
            </w:pPr>
            <w:r w:rsidRPr="00D568EC">
              <w:rPr>
                <w:rFonts w:cs="Arial"/>
                <w:sz w:val="20"/>
                <w:szCs w:val="22"/>
              </w:rPr>
              <w:t>Language, literacy and numeracy</w:t>
            </w:r>
            <w:r w:rsidR="00251814" w:rsidRPr="00D568EC">
              <w:rPr>
                <w:rFonts w:cs="Arial"/>
                <w:sz w:val="20"/>
                <w:szCs w:val="22"/>
              </w:rPr>
              <w:t xml:space="preserve"> assessment</w:t>
            </w:r>
          </w:p>
        </w:tc>
      </w:tr>
      <w:tr w:rsidR="00EF59E3" w:rsidRPr="00D568EC" w14:paraId="39EB6305" w14:textId="77777777" w:rsidTr="00AB1F5E">
        <w:tc>
          <w:tcPr>
            <w:tcW w:w="1376" w:type="dxa"/>
            <w:shd w:val="clear" w:color="auto" w:fill="E2EFD9" w:themeFill="accent6" w:themeFillTint="33"/>
          </w:tcPr>
          <w:p w14:paraId="3B4C522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LMA </w:t>
            </w:r>
          </w:p>
        </w:tc>
        <w:tc>
          <w:tcPr>
            <w:tcW w:w="6846" w:type="dxa"/>
            <w:shd w:val="clear" w:color="auto" w:fill="auto"/>
          </w:tcPr>
          <w:p w14:paraId="79F7FE8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Labour market analysis </w:t>
            </w:r>
          </w:p>
        </w:tc>
      </w:tr>
      <w:tr w:rsidR="00EF59E3" w:rsidRPr="00D568EC" w14:paraId="6F3B9D27" w14:textId="77777777" w:rsidTr="00AB1F5E">
        <w:tc>
          <w:tcPr>
            <w:tcW w:w="1376" w:type="dxa"/>
            <w:shd w:val="clear" w:color="auto" w:fill="E2EFD9" w:themeFill="accent6" w:themeFillTint="33"/>
          </w:tcPr>
          <w:p w14:paraId="16428DA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LMI </w:t>
            </w:r>
          </w:p>
        </w:tc>
        <w:tc>
          <w:tcPr>
            <w:tcW w:w="6846" w:type="dxa"/>
            <w:shd w:val="clear" w:color="auto" w:fill="auto"/>
          </w:tcPr>
          <w:p w14:paraId="124153E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Labour market intelligence </w:t>
            </w:r>
          </w:p>
        </w:tc>
      </w:tr>
      <w:tr w:rsidR="00EF59E3" w:rsidRPr="00D568EC" w14:paraId="056CCC48" w14:textId="77777777" w:rsidTr="00AB1F5E">
        <w:tc>
          <w:tcPr>
            <w:tcW w:w="1376" w:type="dxa"/>
            <w:shd w:val="clear" w:color="auto" w:fill="E2EFD9" w:themeFill="accent6" w:themeFillTint="33"/>
          </w:tcPr>
          <w:p w14:paraId="5D08C6C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LMS </w:t>
            </w:r>
          </w:p>
        </w:tc>
        <w:tc>
          <w:tcPr>
            <w:tcW w:w="6846" w:type="dxa"/>
            <w:shd w:val="clear" w:color="auto" w:fill="auto"/>
          </w:tcPr>
          <w:p w14:paraId="34BE591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Learning management system </w:t>
            </w:r>
          </w:p>
        </w:tc>
      </w:tr>
      <w:tr w:rsidR="00EF59E3" w:rsidRPr="00D568EC" w14:paraId="6BD9962A" w14:textId="77777777" w:rsidTr="00AB1F5E">
        <w:tc>
          <w:tcPr>
            <w:tcW w:w="1376" w:type="dxa"/>
            <w:shd w:val="clear" w:color="auto" w:fill="E2EFD9" w:themeFill="accent6" w:themeFillTint="33"/>
          </w:tcPr>
          <w:p w14:paraId="39E5A27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LT </w:t>
            </w:r>
          </w:p>
        </w:tc>
        <w:tc>
          <w:tcPr>
            <w:tcW w:w="6846" w:type="dxa"/>
            <w:shd w:val="clear" w:color="auto" w:fill="auto"/>
          </w:tcPr>
          <w:p w14:paraId="3996DE4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Leadership team </w:t>
            </w:r>
          </w:p>
        </w:tc>
      </w:tr>
      <w:tr w:rsidR="00EF59E3" w:rsidRPr="00D568EC" w14:paraId="0102BEB0" w14:textId="77777777" w:rsidTr="00AB1F5E">
        <w:tc>
          <w:tcPr>
            <w:tcW w:w="1376" w:type="dxa"/>
            <w:shd w:val="clear" w:color="auto" w:fill="E2EFD9" w:themeFill="accent6" w:themeFillTint="33"/>
          </w:tcPr>
          <w:p w14:paraId="1562C3B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LT WP </w:t>
            </w:r>
          </w:p>
        </w:tc>
        <w:tc>
          <w:tcPr>
            <w:tcW w:w="6846" w:type="dxa"/>
            <w:shd w:val="clear" w:color="auto" w:fill="auto"/>
          </w:tcPr>
          <w:p w14:paraId="08FA2FA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Leadership team work plan </w:t>
            </w:r>
          </w:p>
        </w:tc>
      </w:tr>
      <w:tr w:rsidR="00EF59E3" w:rsidRPr="00D568EC" w14:paraId="6076B9A7" w14:textId="77777777" w:rsidTr="00AB1F5E">
        <w:tc>
          <w:tcPr>
            <w:tcW w:w="1376" w:type="dxa"/>
            <w:shd w:val="clear" w:color="auto" w:fill="E2EFD9" w:themeFill="accent6" w:themeFillTint="33"/>
          </w:tcPr>
          <w:p w14:paraId="615A0F1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LT WPSBA </w:t>
            </w:r>
          </w:p>
        </w:tc>
        <w:tc>
          <w:tcPr>
            <w:tcW w:w="6846" w:type="dxa"/>
            <w:shd w:val="clear" w:color="auto" w:fill="auto"/>
          </w:tcPr>
          <w:p w14:paraId="57011B0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Leadership team work plan strategic business areas </w:t>
            </w:r>
          </w:p>
        </w:tc>
      </w:tr>
      <w:tr w:rsidR="00EF59E3" w:rsidRPr="00D568EC" w14:paraId="49F73212" w14:textId="77777777" w:rsidTr="00AB1F5E">
        <w:tc>
          <w:tcPr>
            <w:tcW w:w="1376" w:type="dxa"/>
            <w:shd w:val="clear" w:color="auto" w:fill="E2EFD9" w:themeFill="accent6" w:themeFillTint="33"/>
          </w:tcPr>
          <w:p w14:paraId="45BD1AE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M&amp;E</w:t>
            </w:r>
          </w:p>
        </w:tc>
        <w:tc>
          <w:tcPr>
            <w:tcW w:w="6846" w:type="dxa"/>
            <w:shd w:val="clear" w:color="auto" w:fill="auto"/>
          </w:tcPr>
          <w:p w14:paraId="02BDE49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Monitoring and evaluation</w:t>
            </w:r>
          </w:p>
        </w:tc>
      </w:tr>
      <w:tr w:rsidR="00EF59E3" w:rsidRPr="00D568EC" w14:paraId="49C59FEB" w14:textId="77777777" w:rsidTr="00AB1F5E">
        <w:tc>
          <w:tcPr>
            <w:tcW w:w="1376" w:type="dxa"/>
            <w:shd w:val="clear" w:color="auto" w:fill="E2EFD9" w:themeFill="accent6" w:themeFillTint="33"/>
          </w:tcPr>
          <w:p w14:paraId="2B48C5B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MOA </w:t>
            </w:r>
          </w:p>
        </w:tc>
        <w:tc>
          <w:tcPr>
            <w:tcW w:w="6846" w:type="dxa"/>
            <w:shd w:val="clear" w:color="auto" w:fill="auto"/>
          </w:tcPr>
          <w:p w14:paraId="21D6D56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Memorandum of agreement </w:t>
            </w:r>
          </w:p>
        </w:tc>
      </w:tr>
      <w:tr w:rsidR="00EF59E3" w:rsidRPr="00D568EC" w14:paraId="594FE2E8" w14:textId="77777777" w:rsidTr="00AB1F5E">
        <w:tc>
          <w:tcPr>
            <w:tcW w:w="1376" w:type="dxa"/>
            <w:shd w:val="clear" w:color="auto" w:fill="E2EFD9" w:themeFill="accent6" w:themeFillTint="33"/>
          </w:tcPr>
          <w:p w14:paraId="3D94C97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MOU </w:t>
            </w:r>
          </w:p>
        </w:tc>
        <w:tc>
          <w:tcPr>
            <w:tcW w:w="6846" w:type="dxa"/>
            <w:shd w:val="clear" w:color="auto" w:fill="auto"/>
          </w:tcPr>
          <w:p w14:paraId="1002DFC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Memorandum of understanding </w:t>
            </w:r>
          </w:p>
        </w:tc>
      </w:tr>
      <w:tr w:rsidR="00EF59E3" w:rsidRPr="00D568EC" w14:paraId="2D90B361" w14:textId="77777777" w:rsidTr="00AB1F5E">
        <w:tc>
          <w:tcPr>
            <w:tcW w:w="1376" w:type="dxa"/>
            <w:shd w:val="clear" w:color="auto" w:fill="E2EFD9" w:themeFill="accent6" w:themeFillTint="33"/>
          </w:tcPr>
          <w:p w14:paraId="68C0C3A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MTR</w:t>
            </w:r>
          </w:p>
        </w:tc>
        <w:tc>
          <w:tcPr>
            <w:tcW w:w="6846" w:type="dxa"/>
            <w:shd w:val="clear" w:color="auto" w:fill="auto"/>
          </w:tcPr>
          <w:p w14:paraId="461EFB0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Mid-term review</w:t>
            </w:r>
          </w:p>
        </w:tc>
      </w:tr>
      <w:tr w:rsidR="00EF59E3" w:rsidRPr="00D568EC" w14:paraId="70936D4B" w14:textId="77777777" w:rsidTr="00AB1F5E">
        <w:tc>
          <w:tcPr>
            <w:tcW w:w="1376" w:type="dxa"/>
            <w:shd w:val="clear" w:color="auto" w:fill="E2EFD9" w:themeFill="accent6" w:themeFillTint="33"/>
          </w:tcPr>
          <w:p w14:paraId="233E4B6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NATTB </w:t>
            </w:r>
          </w:p>
        </w:tc>
        <w:tc>
          <w:tcPr>
            <w:tcW w:w="6846" w:type="dxa"/>
            <w:shd w:val="clear" w:color="auto" w:fill="auto"/>
          </w:tcPr>
          <w:p w14:paraId="27E0A7D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National Apprenticeship Trade Testing Board (Papua New Guinea) </w:t>
            </w:r>
          </w:p>
        </w:tc>
      </w:tr>
      <w:tr w:rsidR="00EF59E3" w:rsidRPr="00D568EC" w14:paraId="5644D4A8" w14:textId="77777777" w:rsidTr="00AB1F5E">
        <w:tc>
          <w:tcPr>
            <w:tcW w:w="1376" w:type="dxa"/>
            <w:shd w:val="clear" w:color="auto" w:fill="E2EFD9" w:themeFill="accent6" w:themeFillTint="33"/>
          </w:tcPr>
          <w:p w14:paraId="62D4CB0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NAV </w:t>
            </w:r>
          </w:p>
        </w:tc>
        <w:tc>
          <w:tcPr>
            <w:tcW w:w="6846" w:type="dxa"/>
            <w:shd w:val="clear" w:color="auto" w:fill="auto"/>
          </w:tcPr>
          <w:p w14:paraId="187EDF2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Financial system software, component of MS Dynamics package (http://www.microsoft.com/en-us/dynamics/erp-nav-overview.aspx)</w:t>
            </w:r>
          </w:p>
        </w:tc>
      </w:tr>
      <w:tr w:rsidR="00EF59E3" w:rsidRPr="00D568EC" w14:paraId="28F60F10" w14:textId="77777777" w:rsidTr="00AB1F5E">
        <w:tc>
          <w:tcPr>
            <w:tcW w:w="1376" w:type="dxa"/>
            <w:shd w:val="clear" w:color="auto" w:fill="E2EFD9" w:themeFill="accent6" w:themeFillTint="33"/>
          </w:tcPr>
          <w:p w14:paraId="299F0EE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NCC </w:t>
            </w:r>
          </w:p>
        </w:tc>
        <w:tc>
          <w:tcPr>
            <w:tcW w:w="6846" w:type="dxa"/>
            <w:shd w:val="clear" w:color="auto" w:fill="auto"/>
          </w:tcPr>
          <w:p w14:paraId="560C17B3" w14:textId="60EAA05C"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Non-camp</w:t>
            </w:r>
            <w:r w:rsidR="006E540E">
              <w:rPr>
                <w:rFonts w:cs="Arial"/>
                <w:sz w:val="20"/>
                <w:szCs w:val="22"/>
                <w:lang w:val="en-GB" w:eastAsia="en-GB"/>
              </w:rPr>
              <w:t xml:space="preserve">us country (a country where </w:t>
            </w:r>
            <w:r w:rsidRPr="00D568EC">
              <w:rPr>
                <w:rFonts w:cs="Arial"/>
                <w:sz w:val="20"/>
                <w:szCs w:val="22"/>
                <w:lang w:val="en-GB" w:eastAsia="en-GB"/>
              </w:rPr>
              <w:t xml:space="preserve">APTC does not have </w:t>
            </w:r>
            <w:r w:rsidR="006E540E">
              <w:rPr>
                <w:rFonts w:cs="Arial"/>
                <w:sz w:val="20"/>
                <w:szCs w:val="22"/>
                <w:lang w:val="en-GB" w:eastAsia="en-GB"/>
              </w:rPr>
              <w:br/>
            </w:r>
            <w:r w:rsidRPr="00D568EC">
              <w:rPr>
                <w:rFonts w:cs="Arial"/>
                <w:sz w:val="20"/>
                <w:szCs w:val="22"/>
                <w:lang w:val="en-GB" w:eastAsia="en-GB"/>
              </w:rPr>
              <w:t xml:space="preserve">training venues) </w:t>
            </w:r>
          </w:p>
        </w:tc>
      </w:tr>
      <w:tr w:rsidR="00EF59E3" w:rsidRPr="00D568EC" w14:paraId="79B8E667" w14:textId="77777777" w:rsidTr="00AB1F5E">
        <w:tc>
          <w:tcPr>
            <w:tcW w:w="1376" w:type="dxa"/>
            <w:shd w:val="clear" w:color="auto" w:fill="E2EFD9" w:themeFill="accent6" w:themeFillTint="33"/>
          </w:tcPr>
          <w:p w14:paraId="02AC94E9" w14:textId="38BE9CE0"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NCD</w:t>
            </w:r>
          </w:p>
        </w:tc>
        <w:tc>
          <w:tcPr>
            <w:tcW w:w="6846" w:type="dxa"/>
            <w:shd w:val="clear" w:color="auto" w:fill="auto"/>
          </w:tcPr>
          <w:p w14:paraId="31D955AF" w14:textId="0394FFC4"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Non-communicable disease</w:t>
            </w:r>
          </w:p>
        </w:tc>
      </w:tr>
      <w:tr w:rsidR="00EF59E3" w:rsidRPr="00D568EC" w14:paraId="76D2F7ED" w14:textId="77777777" w:rsidTr="00AB1F5E">
        <w:tc>
          <w:tcPr>
            <w:tcW w:w="1376" w:type="dxa"/>
            <w:shd w:val="clear" w:color="auto" w:fill="E2EFD9" w:themeFill="accent6" w:themeFillTint="33"/>
          </w:tcPr>
          <w:p w14:paraId="456BE75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NCVER</w:t>
            </w:r>
          </w:p>
        </w:tc>
        <w:tc>
          <w:tcPr>
            <w:tcW w:w="6846" w:type="dxa"/>
            <w:shd w:val="clear" w:color="auto" w:fill="auto"/>
          </w:tcPr>
          <w:p w14:paraId="5797D4F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National Centre for Vocational Education Research (Adelaide, Australia)</w:t>
            </w:r>
          </w:p>
        </w:tc>
      </w:tr>
      <w:tr w:rsidR="00EF59E3" w:rsidRPr="00D568EC" w14:paraId="4049749A" w14:textId="77777777" w:rsidTr="00AB1F5E">
        <w:tc>
          <w:tcPr>
            <w:tcW w:w="1376" w:type="dxa"/>
            <w:shd w:val="clear" w:color="auto" w:fill="E2EFD9" w:themeFill="accent6" w:themeFillTint="33"/>
          </w:tcPr>
          <w:p w14:paraId="167E2F4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NGO </w:t>
            </w:r>
          </w:p>
        </w:tc>
        <w:tc>
          <w:tcPr>
            <w:tcW w:w="6846" w:type="dxa"/>
            <w:shd w:val="clear" w:color="auto" w:fill="auto"/>
          </w:tcPr>
          <w:p w14:paraId="01E81A6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Non-government organisation </w:t>
            </w:r>
          </w:p>
        </w:tc>
      </w:tr>
      <w:tr w:rsidR="00EF59E3" w:rsidRPr="00D568EC" w14:paraId="7EA67CF9" w14:textId="77777777" w:rsidTr="00AB1F5E">
        <w:tc>
          <w:tcPr>
            <w:tcW w:w="1376" w:type="dxa"/>
            <w:shd w:val="clear" w:color="auto" w:fill="E2EFD9" w:themeFill="accent6" w:themeFillTint="33"/>
          </w:tcPr>
          <w:p w14:paraId="5D0AFE9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NIE </w:t>
            </w:r>
          </w:p>
        </w:tc>
        <w:tc>
          <w:tcPr>
            <w:tcW w:w="6846" w:type="dxa"/>
            <w:shd w:val="clear" w:color="auto" w:fill="auto"/>
          </w:tcPr>
          <w:p w14:paraId="09D655CE" w14:textId="1CC89F6A"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New industry entrant (student with Certificate II level qualification, </w:t>
            </w:r>
            <w:r w:rsidR="006E540E">
              <w:rPr>
                <w:rFonts w:cs="Arial"/>
                <w:sz w:val="20"/>
                <w:szCs w:val="22"/>
                <w:lang w:val="en-GB" w:eastAsia="en-GB"/>
              </w:rPr>
              <w:br/>
            </w:r>
            <w:r w:rsidRPr="00D568EC">
              <w:rPr>
                <w:rFonts w:cs="Arial"/>
                <w:sz w:val="20"/>
                <w:szCs w:val="22"/>
                <w:lang w:val="en-GB" w:eastAsia="en-GB"/>
              </w:rPr>
              <w:t xml:space="preserve">who meets the basic requirements for entry into a course, but who </w:t>
            </w:r>
            <w:r w:rsidR="006E540E">
              <w:rPr>
                <w:rFonts w:cs="Arial"/>
                <w:sz w:val="20"/>
                <w:szCs w:val="22"/>
                <w:lang w:val="en-GB" w:eastAsia="en-GB"/>
              </w:rPr>
              <w:br/>
            </w:r>
            <w:r w:rsidRPr="00D568EC">
              <w:rPr>
                <w:rFonts w:cs="Arial"/>
                <w:sz w:val="20"/>
                <w:szCs w:val="22"/>
                <w:lang w:val="en-GB" w:eastAsia="en-GB"/>
              </w:rPr>
              <w:t xml:space="preserve">has limited or no practical work experience) </w:t>
            </w:r>
          </w:p>
        </w:tc>
      </w:tr>
      <w:tr w:rsidR="00EF59E3" w:rsidRPr="00D568EC" w14:paraId="4DEB4631" w14:textId="77777777" w:rsidTr="00AB1F5E">
        <w:tc>
          <w:tcPr>
            <w:tcW w:w="1376" w:type="dxa"/>
            <w:shd w:val="clear" w:color="auto" w:fill="E2EFD9" w:themeFill="accent6" w:themeFillTint="33"/>
          </w:tcPr>
          <w:p w14:paraId="5415650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NSSC </w:t>
            </w:r>
          </w:p>
        </w:tc>
        <w:tc>
          <w:tcPr>
            <w:tcW w:w="6846" w:type="dxa"/>
            <w:shd w:val="clear" w:color="auto" w:fill="auto"/>
          </w:tcPr>
          <w:p w14:paraId="53D282A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National Skills Standard Council </w:t>
            </w:r>
          </w:p>
        </w:tc>
      </w:tr>
      <w:tr w:rsidR="00251814" w:rsidRPr="00D568EC" w14:paraId="7C6AF659" w14:textId="77777777" w:rsidTr="00AB1F5E">
        <w:tc>
          <w:tcPr>
            <w:tcW w:w="1376" w:type="dxa"/>
            <w:shd w:val="clear" w:color="auto" w:fill="E2EFD9" w:themeFill="accent6" w:themeFillTint="33"/>
          </w:tcPr>
          <w:p w14:paraId="55F09380" w14:textId="77777777" w:rsidR="00251814" w:rsidRPr="00D568EC" w:rsidRDefault="00251814" w:rsidP="00D568EC">
            <w:pPr>
              <w:spacing w:before="20" w:after="20"/>
              <w:rPr>
                <w:rFonts w:cs="Arial"/>
                <w:sz w:val="20"/>
                <w:szCs w:val="22"/>
                <w:lang w:val="en-GB" w:eastAsia="en-GB"/>
              </w:rPr>
            </w:pPr>
            <w:r w:rsidRPr="00D568EC">
              <w:rPr>
                <w:rFonts w:cs="Arial"/>
                <w:sz w:val="20"/>
                <w:szCs w:val="22"/>
                <w:lang w:val="en-GB" w:eastAsia="en-GB"/>
              </w:rPr>
              <w:t>NTI</w:t>
            </w:r>
          </w:p>
        </w:tc>
        <w:tc>
          <w:tcPr>
            <w:tcW w:w="6846" w:type="dxa"/>
            <w:shd w:val="clear" w:color="auto" w:fill="auto"/>
          </w:tcPr>
          <w:p w14:paraId="09577D34" w14:textId="77777777" w:rsidR="00251814" w:rsidRPr="00D568EC" w:rsidRDefault="00251814" w:rsidP="00D568EC">
            <w:pPr>
              <w:spacing w:before="20" w:after="20"/>
              <w:rPr>
                <w:rFonts w:cs="Arial"/>
                <w:sz w:val="20"/>
                <w:szCs w:val="22"/>
                <w:lang w:val="en-GB" w:eastAsia="en-GB"/>
              </w:rPr>
            </w:pPr>
            <w:r w:rsidRPr="00D568EC">
              <w:rPr>
                <w:rFonts w:cs="Arial"/>
                <w:sz w:val="20"/>
                <w:szCs w:val="22"/>
                <w:lang w:val="en-GB" w:eastAsia="en-GB"/>
              </w:rPr>
              <w:t>National training institution</w:t>
            </w:r>
          </w:p>
        </w:tc>
      </w:tr>
      <w:tr w:rsidR="00EF59E3" w:rsidRPr="00D568EC" w14:paraId="772398BA" w14:textId="77777777" w:rsidTr="00AB1F5E">
        <w:tc>
          <w:tcPr>
            <w:tcW w:w="1376" w:type="dxa"/>
            <w:shd w:val="clear" w:color="auto" w:fill="E2EFD9" w:themeFill="accent6" w:themeFillTint="33"/>
          </w:tcPr>
          <w:p w14:paraId="2E79B8F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NTP </w:t>
            </w:r>
          </w:p>
        </w:tc>
        <w:tc>
          <w:tcPr>
            <w:tcW w:w="6846" w:type="dxa"/>
            <w:shd w:val="clear" w:color="auto" w:fill="auto"/>
          </w:tcPr>
          <w:p w14:paraId="0EB955F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National Tutor Program </w:t>
            </w:r>
          </w:p>
        </w:tc>
      </w:tr>
      <w:tr w:rsidR="00EF59E3" w:rsidRPr="00D568EC" w14:paraId="7F90ADEC" w14:textId="77777777" w:rsidTr="00AB1F5E">
        <w:tc>
          <w:tcPr>
            <w:tcW w:w="1376" w:type="dxa"/>
            <w:shd w:val="clear" w:color="auto" w:fill="E2EFD9" w:themeFill="accent6" w:themeFillTint="33"/>
          </w:tcPr>
          <w:p w14:paraId="2BA71A0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NTPC </w:t>
            </w:r>
          </w:p>
        </w:tc>
        <w:tc>
          <w:tcPr>
            <w:tcW w:w="6846" w:type="dxa"/>
            <w:shd w:val="clear" w:color="auto" w:fill="auto"/>
          </w:tcPr>
          <w:p w14:paraId="449E14C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National Training and Productivity Centre </w:t>
            </w:r>
          </w:p>
        </w:tc>
      </w:tr>
      <w:tr w:rsidR="00EF59E3" w:rsidRPr="00D568EC" w14:paraId="6DB5EDD1" w14:textId="77777777" w:rsidTr="00AB1F5E">
        <w:tc>
          <w:tcPr>
            <w:tcW w:w="1376" w:type="dxa"/>
            <w:shd w:val="clear" w:color="auto" w:fill="E2EFD9" w:themeFill="accent6" w:themeFillTint="33"/>
          </w:tcPr>
          <w:p w14:paraId="6C6D327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NUS </w:t>
            </w:r>
          </w:p>
        </w:tc>
        <w:tc>
          <w:tcPr>
            <w:tcW w:w="6846" w:type="dxa"/>
            <w:shd w:val="clear" w:color="auto" w:fill="auto"/>
          </w:tcPr>
          <w:p w14:paraId="3434EEB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National University of Samoa </w:t>
            </w:r>
          </w:p>
        </w:tc>
      </w:tr>
    </w:tbl>
    <w:p w14:paraId="0BB6AB3F" w14:textId="77777777" w:rsidR="007709F4" w:rsidRDefault="007709F4">
      <w:r>
        <w:br w:type="page"/>
      </w:r>
    </w:p>
    <w:tbl>
      <w:tblPr>
        <w:tblW w:w="8222" w:type="dxa"/>
        <w:tblInd w:w="93" w:type="dxa"/>
        <w:tblBorders>
          <w:top w:val="single" w:sz="4" w:space="0" w:color="A8D08D" w:themeColor="accent6" w:themeTint="99"/>
          <w:bottom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400"/>
        <w:gridCol w:w="6822"/>
      </w:tblGrid>
      <w:tr w:rsidR="00C71873" w:rsidRPr="00D568EC" w14:paraId="1CCBA1FE" w14:textId="77777777" w:rsidTr="00AB1F5E">
        <w:tc>
          <w:tcPr>
            <w:tcW w:w="1400" w:type="dxa"/>
            <w:shd w:val="clear" w:color="auto" w:fill="E2EFD9" w:themeFill="accent6" w:themeFillTint="33"/>
          </w:tcPr>
          <w:p w14:paraId="0F786AFC"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lastRenderedPageBreak/>
              <w:t xml:space="preserve">NVR </w:t>
            </w:r>
          </w:p>
        </w:tc>
        <w:tc>
          <w:tcPr>
            <w:tcW w:w="6822" w:type="dxa"/>
            <w:shd w:val="clear" w:color="auto" w:fill="auto"/>
          </w:tcPr>
          <w:p w14:paraId="19ACFF52"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 xml:space="preserve">National vocational regulator </w:t>
            </w:r>
          </w:p>
        </w:tc>
      </w:tr>
      <w:tr w:rsidR="00C71873" w:rsidRPr="00D568EC" w14:paraId="0F43B198" w14:textId="77777777" w:rsidTr="00AB1F5E">
        <w:tc>
          <w:tcPr>
            <w:tcW w:w="1400" w:type="dxa"/>
            <w:shd w:val="clear" w:color="auto" w:fill="E2EFD9" w:themeFill="accent6" w:themeFillTint="33"/>
          </w:tcPr>
          <w:p w14:paraId="4B123F66"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NZAID</w:t>
            </w:r>
          </w:p>
        </w:tc>
        <w:tc>
          <w:tcPr>
            <w:tcW w:w="6822" w:type="dxa"/>
            <w:shd w:val="clear" w:color="auto" w:fill="auto"/>
          </w:tcPr>
          <w:p w14:paraId="161719C1"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New Zealand Agency for International Development</w:t>
            </w:r>
          </w:p>
        </w:tc>
      </w:tr>
      <w:tr w:rsidR="00EF59E3" w:rsidRPr="00D568EC" w14:paraId="3707A223" w14:textId="77777777" w:rsidTr="00AB1F5E">
        <w:tc>
          <w:tcPr>
            <w:tcW w:w="1400" w:type="dxa"/>
            <w:shd w:val="clear" w:color="auto" w:fill="E2EFD9" w:themeFill="accent6" w:themeFillTint="33"/>
          </w:tcPr>
          <w:p w14:paraId="79D43C6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ODA</w:t>
            </w:r>
          </w:p>
        </w:tc>
        <w:tc>
          <w:tcPr>
            <w:tcW w:w="6822" w:type="dxa"/>
            <w:shd w:val="clear" w:color="auto" w:fill="auto"/>
          </w:tcPr>
          <w:p w14:paraId="5E1DC47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Official development assistance</w:t>
            </w:r>
          </w:p>
        </w:tc>
      </w:tr>
      <w:tr w:rsidR="00EF59E3" w:rsidRPr="00D568EC" w14:paraId="24B2A002" w14:textId="77777777" w:rsidTr="00AB1F5E">
        <w:tc>
          <w:tcPr>
            <w:tcW w:w="1400" w:type="dxa"/>
            <w:shd w:val="clear" w:color="auto" w:fill="E2EFD9" w:themeFill="accent6" w:themeFillTint="33"/>
          </w:tcPr>
          <w:p w14:paraId="3AE3F16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OECD</w:t>
            </w:r>
          </w:p>
        </w:tc>
        <w:tc>
          <w:tcPr>
            <w:tcW w:w="6822" w:type="dxa"/>
            <w:shd w:val="clear" w:color="auto" w:fill="auto"/>
          </w:tcPr>
          <w:p w14:paraId="55B1E53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Organisation for Economic Cooperation and Development</w:t>
            </w:r>
          </w:p>
        </w:tc>
      </w:tr>
      <w:tr w:rsidR="00EF59E3" w:rsidRPr="00D568EC" w14:paraId="7509DEDE" w14:textId="77777777" w:rsidTr="00AB1F5E">
        <w:tc>
          <w:tcPr>
            <w:tcW w:w="1400" w:type="dxa"/>
            <w:shd w:val="clear" w:color="auto" w:fill="E2EFD9" w:themeFill="accent6" w:themeFillTint="33"/>
          </w:tcPr>
          <w:p w14:paraId="73B1355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OHS </w:t>
            </w:r>
          </w:p>
        </w:tc>
        <w:tc>
          <w:tcPr>
            <w:tcW w:w="6822" w:type="dxa"/>
            <w:shd w:val="clear" w:color="auto" w:fill="auto"/>
          </w:tcPr>
          <w:p w14:paraId="7057D81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Occupational health and safety </w:t>
            </w:r>
          </w:p>
        </w:tc>
      </w:tr>
      <w:tr w:rsidR="00EF59E3" w:rsidRPr="00D568EC" w14:paraId="5243F286" w14:textId="77777777" w:rsidTr="00AB1F5E">
        <w:tc>
          <w:tcPr>
            <w:tcW w:w="1400" w:type="dxa"/>
            <w:shd w:val="clear" w:color="auto" w:fill="E2EFD9" w:themeFill="accent6" w:themeFillTint="33"/>
          </w:tcPr>
          <w:p w14:paraId="16B7D5E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PAF </w:t>
            </w:r>
          </w:p>
        </w:tc>
        <w:tc>
          <w:tcPr>
            <w:tcW w:w="6822" w:type="dxa"/>
            <w:shd w:val="clear" w:color="auto" w:fill="auto"/>
          </w:tcPr>
          <w:p w14:paraId="2594A32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Performance assessment framework </w:t>
            </w:r>
          </w:p>
        </w:tc>
      </w:tr>
      <w:tr w:rsidR="00EF59E3" w:rsidRPr="00D568EC" w14:paraId="470C2264" w14:textId="77777777" w:rsidTr="00AB1F5E">
        <w:tc>
          <w:tcPr>
            <w:tcW w:w="1400" w:type="dxa"/>
            <w:shd w:val="clear" w:color="auto" w:fill="E2EFD9" w:themeFill="accent6" w:themeFillTint="33"/>
          </w:tcPr>
          <w:p w14:paraId="13BBD2F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PCG </w:t>
            </w:r>
          </w:p>
        </w:tc>
        <w:tc>
          <w:tcPr>
            <w:tcW w:w="6822" w:type="dxa"/>
            <w:shd w:val="clear" w:color="auto" w:fill="auto"/>
          </w:tcPr>
          <w:p w14:paraId="2799818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Project control group </w:t>
            </w:r>
          </w:p>
        </w:tc>
      </w:tr>
      <w:tr w:rsidR="00EF59E3" w:rsidRPr="00D568EC" w14:paraId="171BBD0F" w14:textId="77777777" w:rsidTr="00AB1F5E">
        <w:tc>
          <w:tcPr>
            <w:tcW w:w="1400" w:type="dxa"/>
            <w:shd w:val="clear" w:color="auto" w:fill="E2EFD9" w:themeFill="accent6" w:themeFillTint="33"/>
          </w:tcPr>
          <w:p w14:paraId="37902F3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PD </w:t>
            </w:r>
          </w:p>
        </w:tc>
        <w:tc>
          <w:tcPr>
            <w:tcW w:w="6822" w:type="dxa"/>
            <w:shd w:val="clear" w:color="auto" w:fill="auto"/>
          </w:tcPr>
          <w:p w14:paraId="316F54F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Position description </w:t>
            </w:r>
          </w:p>
        </w:tc>
      </w:tr>
      <w:tr w:rsidR="00DF2B94" w:rsidRPr="00D568EC" w14:paraId="452E78B9" w14:textId="77777777" w:rsidTr="00AB1F5E">
        <w:tc>
          <w:tcPr>
            <w:tcW w:w="1400" w:type="dxa"/>
            <w:shd w:val="clear" w:color="auto" w:fill="E2EFD9" w:themeFill="accent6" w:themeFillTint="33"/>
          </w:tcPr>
          <w:p w14:paraId="0E839C00" w14:textId="22DA3C0F" w:rsidR="00DF2B94" w:rsidRPr="00D568EC" w:rsidRDefault="00DF2B94" w:rsidP="00D568EC">
            <w:pPr>
              <w:spacing w:before="20" w:after="20"/>
              <w:rPr>
                <w:rFonts w:cs="Arial"/>
                <w:sz w:val="20"/>
                <w:szCs w:val="22"/>
                <w:lang w:val="en-GB" w:eastAsia="en-GB"/>
              </w:rPr>
            </w:pPr>
            <w:r>
              <w:rPr>
                <w:rFonts w:cs="Arial"/>
                <w:sz w:val="20"/>
                <w:szCs w:val="22"/>
                <w:lang w:val="en-GB" w:eastAsia="en-GB"/>
              </w:rPr>
              <w:t>PEDF</w:t>
            </w:r>
          </w:p>
        </w:tc>
        <w:tc>
          <w:tcPr>
            <w:tcW w:w="6822" w:type="dxa"/>
            <w:shd w:val="clear" w:color="auto" w:fill="auto"/>
          </w:tcPr>
          <w:p w14:paraId="6A0461F2" w14:textId="293EBFAD" w:rsidR="00DF2B94" w:rsidRPr="00D568EC" w:rsidRDefault="00DF2B94" w:rsidP="00D568EC">
            <w:pPr>
              <w:spacing w:before="20" w:after="20"/>
              <w:rPr>
                <w:rFonts w:cs="Arial"/>
                <w:sz w:val="20"/>
                <w:szCs w:val="22"/>
                <w:lang w:val="en-GB" w:eastAsia="en-GB"/>
              </w:rPr>
            </w:pPr>
            <w:r>
              <w:rPr>
                <w:rFonts w:cs="Arial"/>
                <w:sz w:val="20"/>
                <w:szCs w:val="22"/>
                <w:lang w:val="en-GB" w:eastAsia="en-GB"/>
              </w:rPr>
              <w:t>Pacific Education Development Framework</w:t>
            </w:r>
          </w:p>
        </w:tc>
      </w:tr>
      <w:tr w:rsidR="00DF2B94" w:rsidRPr="00D568EC" w14:paraId="66BD5F7A" w14:textId="77777777" w:rsidTr="00AB1F5E">
        <w:tc>
          <w:tcPr>
            <w:tcW w:w="1400" w:type="dxa"/>
            <w:shd w:val="clear" w:color="auto" w:fill="E2EFD9" w:themeFill="accent6" w:themeFillTint="33"/>
          </w:tcPr>
          <w:p w14:paraId="43E24042" w14:textId="24A3433B" w:rsidR="00DF2B94" w:rsidRDefault="00DF2B94" w:rsidP="00D568EC">
            <w:pPr>
              <w:spacing w:before="20" w:after="20"/>
              <w:rPr>
                <w:rFonts w:cs="Arial"/>
                <w:sz w:val="20"/>
                <w:szCs w:val="22"/>
                <w:lang w:val="en-GB" w:eastAsia="en-GB"/>
              </w:rPr>
            </w:pPr>
            <w:r>
              <w:rPr>
                <w:rFonts w:cs="Arial"/>
                <w:sz w:val="20"/>
                <w:szCs w:val="22"/>
                <w:lang w:val="en-GB" w:eastAsia="en-GB"/>
              </w:rPr>
              <w:t>PESDA</w:t>
            </w:r>
          </w:p>
        </w:tc>
        <w:tc>
          <w:tcPr>
            <w:tcW w:w="6822" w:type="dxa"/>
            <w:shd w:val="clear" w:color="auto" w:fill="auto"/>
          </w:tcPr>
          <w:p w14:paraId="59C7F2E0" w14:textId="2AB93D02" w:rsidR="00DF2B94" w:rsidRDefault="00DF2B94" w:rsidP="00D568EC">
            <w:pPr>
              <w:spacing w:before="20" w:after="20"/>
              <w:rPr>
                <w:rFonts w:cs="Arial"/>
                <w:sz w:val="20"/>
                <w:szCs w:val="22"/>
                <w:lang w:val="en-GB" w:eastAsia="en-GB"/>
              </w:rPr>
            </w:pPr>
            <w:r w:rsidRPr="00DF2B94">
              <w:rPr>
                <w:rFonts w:cs="Arial"/>
                <w:sz w:val="20"/>
                <w:szCs w:val="22"/>
                <w:lang w:val="en-GB" w:eastAsia="en-GB"/>
              </w:rPr>
              <w:t>Pacific Education and Skills Development Agenda</w:t>
            </w:r>
          </w:p>
        </w:tc>
      </w:tr>
      <w:tr w:rsidR="00EF59E3" w:rsidRPr="00D568EC" w14:paraId="2C40BB08" w14:textId="77777777" w:rsidTr="00AB1F5E">
        <w:tc>
          <w:tcPr>
            <w:tcW w:w="1400" w:type="dxa"/>
            <w:shd w:val="clear" w:color="auto" w:fill="E2EFD9" w:themeFill="accent6" w:themeFillTint="33"/>
          </w:tcPr>
          <w:p w14:paraId="1E30B1C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PIC </w:t>
            </w:r>
          </w:p>
        </w:tc>
        <w:tc>
          <w:tcPr>
            <w:tcW w:w="6822" w:type="dxa"/>
            <w:shd w:val="clear" w:color="auto" w:fill="auto"/>
          </w:tcPr>
          <w:p w14:paraId="4D21FF0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Pacific Island country </w:t>
            </w:r>
          </w:p>
        </w:tc>
      </w:tr>
      <w:tr w:rsidR="00EF59E3" w:rsidRPr="00D568EC" w14:paraId="3F98AC19" w14:textId="77777777" w:rsidTr="00AB1F5E">
        <w:tc>
          <w:tcPr>
            <w:tcW w:w="1400" w:type="dxa"/>
            <w:shd w:val="clear" w:color="auto" w:fill="E2EFD9" w:themeFill="accent6" w:themeFillTint="33"/>
          </w:tcPr>
          <w:p w14:paraId="4A53EA7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PIF </w:t>
            </w:r>
          </w:p>
        </w:tc>
        <w:tc>
          <w:tcPr>
            <w:tcW w:w="6822" w:type="dxa"/>
            <w:shd w:val="clear" w:color="auto" w:fill="auto"/>
          </w:tcPr>
          <w:p w14:paraId="10559DF0" w14:textId="0624B323"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Pacific Island Forum (member countries include Australia, Cook Islands, Federated States of Micronesia, Fiji, Kiribati, Nauru, New Zealand, Niue, Palau, Papua New Guinea, Republic of Marshall Islands, Samoa, Solomon Islands, Tonga, Tuvalu and Vanuatu) </w:t>
            </w:r>
          </w:p>
        </w:tc>
      </w:tr>
      <w:tr w:rsidR="00EF59E3" w:rsidRPr="00D568EC" w14:paraId="2087E971" w14:textId="77777777" w:rsidTr="00AB1F5E">
        <w:tc>
          <w:tcPr>
            <w:tcW w:w="1400" w:type="dxa"/>
            <w:shd w:val="clear" w:color="auto" w:fill="E2EFD9" w:themeFill="accent6" w:themeFillTint="33"/>
          </w:tcPr>
          <w:p w14:paraId="5F0EFF7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PQF</w:t>
            </w:r>
          </w:p>
        </w:tc>
        <w:tc>
          <w:tcPr>
            <w:tcW w:w="6822" w:type="dxa"/>
            <w:shd w:val="clear" w:color="auto" w:fill="auto"/>
          </w:tcPr>
          <w:p w14:paraId="5D6C586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Pacific Qualifications Framework</w:t>
            </w:r>
          </w:p>
        </w:tc>
      </w:tr>
      <w:tr w:rsidR="00EF59E3" w:rsidRPr="00D568EC" w14:paraId="33D8E43F" w14:textId="77777777" w:rsidTr="00AB1F5E">
        <w:tc>
          <w:tcPr>
            <w:tcW w:w="1400" w:type="dxa"/>
            <w:shd w:val="clear" w:color="auto" w:fill="E2EFD9" w:themeFill="accent6" w:themeFillTint="33"/>
          </w:tcPr>
          <w:p w14:paraId="19136A3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PKG</w:t>
            </w:r>
          </w:p>
        </w:tc>
        <w:tc>
          <w:tcPr>
            <w:tcW w:w="6822" w:type="dxa"/>
            <w:shd w:val="clear" w:color="auto" w:fill="auto"/>
          </w:tcPr>
          <w:p w14:paraId="18DEBBD7" w14:textId="48F8EA48"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PNG kina (approximately = 0.426 AUD)</w:t>
            </w:r>
          </w:p>
        </w:tc>
      </w:tr>
      <w:tr w:rsidR="00EF59E3" w:rsidRPr="00D568EC" w14:paraId="127152AC" w14:textId="77777777" w:rsidTr="00AB1F5E">
        <w:tc>
          <w:tcPr>
            <w:tcW w:w="1400" w:type="dxa"/>
            <w:shd w:val="clear" w:color="auto" w:fill="E2EFD9" w:themeFill="accent6" w:themeFillTint="33"/>
          </w:tcPr>
          <w:p w14:paraId="22B9271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PNG </w:t>
            </w:r>
          </w:p>
        </w:tc>
        <w:tc>
          <w:tcPr>
            <w:tcW w:w="6822" w:type="dxa"/>
            <w:shd w:val="clear" w:color="auto" w:fill="auto"/>
          </w:tcPr>
          <w:p w14:paraId="341E88C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Papua New Guinea </w:t>
            </w:r>
          </w:p>
        </w:tc>
      </w:tr>
      <w:tr w:rsidR="00EF59E3" w:rsidRPr="00D568EC" w14:paraId="3E7744B9" w14:textId="77777777" w:rsidTr="00AB1F5E">
        <w:tc>
          <w:tcPr>
            <w:tcW w:w="1400" w:type="dxa"/>
            <w:shd w:val="clear" w:color="auto" w:fill="E2EFD9" w:themeFill="accent6" w:themeFillTint="33"/>
          </w:tcPr>
          <w:p w14:paraId="207D3BF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POMTech </w:t>
            </w:r>
          </w:p>
        </w:tc>
        <w:tc>
          <w:tcPr>
            <w:tcW w:w="6822" w:type="dxa"/>
            <w:shd w:val="clear" w:color="auto" w:fill="auto"/>
          </w:tcPr>
          <w:p w14:paraId="7F7173E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Port Moresby Technical College </w:t>
            </w:r>
          </w:p>
        </w:tc>
      </w:tr>
      <w:tr w:rsidR="00EF59E3" w:rsidRPr="00D568EC" w14:paraId="303F648B" w14:textId="77777777" w:rsidTr="00AB1F5E">
        <w:tc>
          <w:tcPr>
            <w:tcW w:w="1400" w:type="dxa"/>
            <w:shd w:val="clear" w:color="auto" w:fill="E2EFD9" w:themeFill="accent6" w:themeFillTint="33"/>
          </w:tcPr>
          <w:p w14:paraId="009439D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PSET </w:t>
            </w:r>
          </w:p>
        </w:tc>
        <w:tc>
          <w:tcPr>
            <w:tcW w:w="6822" w:type="dxa"/>
            <w:shd w:val="clear" w:color="auto" w:fill="auto"/>
          </w:tcPr>
          <w:p w14:paraId="517C7FC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Post-secondary education provider (Samoa) </w:t>
            </w:r>
          </w:p>
        </w:tc>
      </w:tr>
      <w:tr w:rsidR="00EF59E3" w:rsidRPr="00D568EC" w14:paraId="42BDD4DA" w14:textId="77777777" w:rsidTr="00AB1F5E">
        <w:tc>
          <w:tcPr>
            <w:tcW w:w="1400" w:type="dxa"/>
            <w:shd w:val="clear" w:color="auto" w:fill="E2EFD9" w:themeFill="accent6" w:themeFillTint="33"/>
          </w:tcPr>
          <w:p w14:paraId="0B00E69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QMS </w:t>
            </w:r>
          </w:p>
        </w:tc>
        <w:tc>
          <w:tcPr>
            <w:tcW w:w="6822" w:type="dxa"/>
            <w:shd w:val="clear" w:color="auto" w:fill="auto"/>
          </w:tcPr>
          <w:p w14:paraId="3C9BDEC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Quality management system</w:t>
            </w:r>
          </w:p>
        </w:tc>
      </w:tr>
      <w:tr w:rsidR="00EF59E3" w:rsidRPr="00D568EC" w14:paraId="13A9933E" w14:textId="77777777" w:rsidTr="00AB1F5E">
        <w:tc>
          <w:tcPr>
            <w:tcW w:w="1400" w:type="dxa"/>
            <w:shd w:val="clear" w:color="auto" w:fill="E2EFD9" w:themeFill="accent6" w:themeFillTint="33"/>
          </w:tcPr>
          <w:p w14:paraId="079B8C4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QPR </w:t>
            </w:r>
          </w:p>
        </w:tc>
        <w:tc>
          <w:tcPr>
            <w:tcW w:w="6822" w:type="dxa"/>
            <w:shd w:val="clear" w:color="auto" w:fill="auto"/>
          </w:tcPr>
          <w:p w14:paraId="75608A6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Quality performance and research unit (of APTC)</w:t>
            </w:r>
          </w:p>
        </w:tc>
      </w:tr>
      <w:tr w:rsidR="00EF59E3" w:rsidRPr="00D568EC" w14:paraId="3747AB77" w14:textId="77777777" w:rsidTr="00AB1F5E">
        <w:tc>
          <w:tcPr>
            <w:tcW w:w="1400" w:type="dxa"/>
            <w:shd w:val="clear" w:color="auto" w:fill="E2EFD9" w:themeFill="accent6" w:themeFillTint="33"/>
          </w:tcPr>
          <w:p w14:paraId="6B82697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Qualification</w:t>
            </w:r>
          </w:p>
        </w:tc>
        <w:tc>
          <w:tcPr>
            <w:tcW w:w="6822" w:type="dxa"/>
            <w:shd w:val="clear" w:color="auto" w:fill="auto"/>
          </w:tcPr>
          <w:p w14:paraId="0515FAE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Credential awarded on successful achievement of standards</w:t>
            </w:r>
          </w:p>
        </w:tc>
      </w:tr>
      <w:tr w:rsidR="00EF59E3" w:rsidRPr="00D568EC" w14:paraId="4BCFC4CC" w14:textId="77777777" w:rsidTr="00AB1F5E">
        <w:tc>
          <w:tcPr>
            <w:tcW w:w="1400" w:type="dxa"/>
            <w:shd w:val="clear" w:color="auto" w:fill="E2EFD9" w:themeFill="accent6" w:themeFillTint="33"/>
          </w:tcPr>
          <w:p w14:paraId="5389C08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ROGS</w:t>
            </w:r>
          </w:p>
        </w:tc>
        <w:tc>
          <w:tcPr>
            <w:tcW w:w="6822" w:type="dxa"/>
            <w:shd w:val="clear" w:color="auto" w:fill="auto"/>
          </w:tcPr>
          <w:p w14:paraId="66AB119E" w14:textId="11C7F77C"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Report of Government Services</w:t>
            </w:r>
            <w:r w:rsidR="00BB7ED2">
              <w:rPr>
                <w:rFonts w:cs="Arial"/>
                <w:sz w:val="20"/>
                <w:szCs w:val="22"/>
                <w:lang w:val="en-GB" w:eastAsia="en-GB"/>
              </w:rPr>
              <w:t>, Australia</w:t>
            </w:r>
          </w:p>
        </w:tc>
      </w:tr>
      <w:tr w:rsidR="00EF59E3" w:rsidRPr="00D568EC" w14:paraId="5933A5C0" w14:textId="77777777" w:rsidTr="00AB1F5E">
        <w:tc>
          <w:tcPr>
            <w:tcW w:w="1400" w:type="dxa"/>
            <w:shd w:val="clear" w:color="auto" w:fill="E2EFD9" w:themeFill="accent6" w:themeFillTint="33"/>
          </w:tcPr>
          <w:p w14:paraId="7CBD9D3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RPL </w:t>
            </w:r>
          </w:p>
        </w:tc>
        <w:tc>
          <w:tcPr>
            <w:tcW w:w="6822" w:type="dxa"/>
            <w:shd w:val="clear" w:color="auto" w:fill="auto"/>
          </w:tcPr>
          <w:p w14:paraId="1146839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Recognition of prior learning </w:t>
            </w:r>
          </w:p>
        </w:tc>
      </w:tr>
      <w:tr w:rsidR="00EF59E3" w:rsidRPr="00D568EC" w14:paraId="5CC0B4BE" w14:textId="77777777" w:rsidTr="00AB1F5E">
        <w:tc>
          <w:tcPr>
            <w:tcW w:w="1400" w:type="dxa"/>
            <w:shd w:val="clear" w:color="auto" w:fill="E2EFD9" w:themeFill="accent6" w:themeFillTint="33"/>
          </w:tcPr>
          <w:p w14:paraId="2D6AABC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RTO </w:t>
            </w:r>
          </w:p>
        </w:tc>
        <w:tc>
          <w:tcPr>
            <w:tcW w:w="6822" w:type="dxa"/>
            <w:shd w:val="clear" w:color="auto" w:fill="auto"/>
          </w:tcPr>
          <w:p w14:paraId="704D339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Registered training organisation (Australia)</w:t>
            </w:r>
          </w:p>
        </w:tc>
      </w:tr>
      <w:tr w:rsidR="00EF59E3" w:rsidRPr="00D568EC" w14:paraId="71D593D5" w14:textId="77777777" w:rsidTr="00AB1F5E">
        <w:tc>
          <w:tcPr>
            <w:tcW w:w="1400" w:type="dxa"/>
            <w:shd w:val="clear" w:color="auto" w:fill="E2EFD9" w:themeFill="accent6" w:themeFillTint="33"/>
          </w:tcPr>
          <w:p w14:paraId="67E2C02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SACEM</w:t>
            </w:r>
          </w:p>
        </w:tc>
        <w:tc>
          <w:tcPr>
            <w:tcW w:w="6822" w:type="dxa"/>
            <w:shd w:val="clear" w:color="auto" w:fill="auto"/>
          </w:tcPr>
          <w:p w14:paraId="00F27DE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Schools of Automotive, Construction/Electrical &amp; Manufacturing </w:t>
            </w:r>
            <w:r w:rsidR="00AB5D80">
              <w:rPr>
                <w:rFonts w:cs="Arial"/>
                <w:sz w:val="20"/>
                <w:szCs w:val="22"/>
                <w:lang w:val="en-GB" w:eastAsia="en-GB"/>
              </w:rPr>
              <w:br/>
            </w:r>
            <w:r w:rsidRPr="00D568EC">
              <w:rPr>
                <w:rFonts w:cs="Arial"/>
                <w:sz w:val="20"/>
                <w:szCs w:val="22"/>
                <w:lang w:val="en-GB" w:eastAsia="en-GB"/>
              </w:rPr>
              <w:t>(APTC Stage I)</w:t>
            </w:r>
          </w:p>
        </w:tc>
      </w:tr>
      <w:tr w:rsidR="00EF59E3" w:rsidRPr="00D568EC" w14:paraId="0302A017" w14:textId="77777777" w:rsidTr="00AB1F5E">
        <w:tc>
          <w:tcPr>
            <w:tcW w:w="1400" w:type="dxa"/>
            <w:shd w:val="clear" w:color="auto" w:fill="E2EFD9" w:themeFill="accent6" w:themeFillTint="33"/>
          </w:tcPr>
          <w:p w14:paraId="29954F1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SBD</w:t>
            </w:r>
          </w:p>
        </w:tc>
        <w:tc>
          <w:tcPr>
            <w:tcW w:w="6822" w:type="dxa"/>
            <w:shd w:val="clear" w:color="auto" w:fill="auto"/>
          </w:tcPr>
          <w:p w14:paraId="6006E16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Solomon Islands dollar (approximately = 0.146 AUD)</w:t>
            </w:r>
          </w:p>
        </w:tc>
      </w:tr>
      <w:tr w:rsidR="00EF59E3" w:rsidRPr="00D568EC" w14:paraId="2D80322C" w14:textId="77777777" w:rsidTr="00AB1F5E">
        <w:tc>
          <w:tcPr>
            <w:tcW w:w="1400" w:type="dxa"/>
            <w:shd w:val="clear" w:color="auto" w:fill="E2EFD9" w:themeFill="accent6" w:themeFillTint="33"/>
          </w:tcPr>
          <w:p w14:paraId="16C43A2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SCH</w:t>
            </w:r>
          </w:p>
        </w:tc>
        <w:tc>
          <w:tcPr>
            <w:tcW w:w="6822" w:type="dxa"/>
            <w:shd w:val="clear" w:color="auto" w:fill="auto"/>
          </w:tcPr>
          <w:p w14:paraId="00F7623B" w14:textId="57985DDA" w:rsidR="00EF59E3" w:rsidRPr="00D568EC" w:rsidRDefault="00EF59E3" w:rsidP="00AB5D80">
            <w:pPr>
              <w:spacing w:before="20" w:after="20"/>
              <w:rPr>
                <w:rFonts w:cs="Arial"/>
                <w:sz w:val="20"/>
                <w:szCs w:val="22"/>
                <w:lang w:val="en-GB" w:eastAsia="en-GB"/>
              </w:rPr>
            </w:pPr>
            <w:r w:rsidRPr="00D568EC">
              <w:rPr>
                <w:rFonts w:cs="Arial"/>
                <w:sz w:val="20"/>
                <w:szCs w:val="22"/>
                <w:lang w:val="en-GB" w:eastAsia="en-GB"/>
              </w:rPr>
              <w:t>Student contact hour</w:t>
            </w:r>
            <w:r w:rsidR="00AB5D80">
              <w:rPr>
                <w:rFonts w:cs="Arial"/>
                <w:sz w:val="20"/>
                <w:szCs w:val="22"/>
                <w:lang w:val="en-GB" w:eastAsia="en-GB"/>
              </w:rPr>
              <w:t>, also known as a</w:t>
            </w:r>
            <w:r w:rsidR="00AB5D80" w:rsidRPr="00D568EC">
              <w:rPr>
                <w:rFonts w:cs="Arial"/>
                <w:sz w:val="20"/>
                <w:szCs w:val="22"/>
                <w:lang w:val="en-GB" w:eastAsia="en-GB"/>
              </w:rPr>
              <w:t>nnual hour of curriculum</w:t>
            </w:r>
            <w:r w:rsidR="00AB5D80">
              <w:rPr>
                <w:rFonts w:cs="Arial"/>
                <w:sz w:val="20"/>
                <w:szCs w:val="22"/>
                <w:lang w:val="en-GB" w:eastAsia="en-GB"/>
              </w:rPr>
              <w:t xml:space="preserve"> (AHC) </w:t>
            </w:r>
            <w:r w:rsidR="006E540E">
              <w:rPr>
                <w:rFonts w:cs="Arial"/>
                <w:sz w:val="20"/>
                <w:szCs w:val="22"/>
                <w:lang w:val="en-GB" w:eastAsia="en-GB"/>
              </w:rPr>
              <w:br/>
            </w:r>
            <w:r w:rsidR="00AB5D80">
              <w:rPr>
                <w:rFonts w:cs="Arial"/>
                <w:sz w:val="20"/>
                <w:szCs w:val="22"/>
                <w:lang w:val="en-GB" w:eastAsia="en-GB"/>
              </w:rPr>
              <w:t>and student training hour (STH</w:t>
            </w:r>
            <w:r w:rsidR="00AB5D80" w:rsidRPr="00D568EC">
              <w:rPr>
                <w:rFonts w:cs="Arial"/>
                <w:sz w:val="20"/>
                <w:szCs w:val="22"/>
                <w:lang w:val="en-GB" w:eastAsia="en-GB"/>
              </w:rPr>
              <w:t>)</w:t>
            </w:r>
            <w:r w:rsidRPr="00D568EC">
              <w:rPr>
                <w:rFonts w:cs="Arial"/>
                <w:sz w:val="20"/>
                <w:szCs w:val="22"/>
                <w:lang w:val="en-GB" w:eastAsia="en-GB"/>
              </w:rPr>
              <w:t xml:space="preserve"> </w:t>
            </w:r>
          </w:p>
        </w:tc>
      </w:tr>
      <w:tr w:rsidR="00EF59E3" w:rsidRPr="00D568EC" w14:paraId="780BAC30" w14:textId="77777777" w:rsidTr="00AB1F5E">
        <w:tc>
          <w:tcPr>
            <w:tcW w:w="1400" w:type="dxa"/>
            <w:shd w:val="clear" w:color="auto" w:fill="E2EFD9" w:themeFill="accent6" w:themeFillTint="33"/>
          </w:tcPr>
          <w:p w14:paraId="2A11996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School </w:t>
            </w:r>
          </w:p>
        </w:tc>
        <w:tc>
          <w:tcPr>
            <w:tcW w:w="6822" w:type="dxa"/>
            <w:shd w:val="clear" w:color="auto" w:fill="auto"/>
          </w:tcPr>
          <w:p w14:paraId="0037CEF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Refers to the grouping of relevant training courses </w:t>
            </w:r>
          </w:p>
        </w:tc>
      </w:tr>
      <w:tr w:rsidR="00EF59E3" w:rsidRPr="00D568EC" w14:paraId="295448A9" w14:textId="77777777" w:rsidTr="00AB1F5E">
        <w:tc>
          <w:tcPr>
            <w:tcW w:w="1400" w:type="dxa"/>
            <w:shd w:val="clear" w:color="auto" w:fill="E2EFD9" w:themeFill="accent6" w:themeFillTint="33"/>
          </w:tcPr>
          <w:p w14:paraId="72D9967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SCIT</w:t>
            </w:r>
          </w:p>
        </w:tc>
        <w:tc>
          <w:tcPr>
            <w:tcW w:w="6822" w:type="dxa"/>
            <w:shd w:val="clear" w:color="auto" w:fill="auto"/>
          </w:tcPr>
          <w:p w14:paraId="206DA4B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Sunshine Coast Institute of TAFE</w:t>
            </w:r>
          </w:p>
        </w:tc>
      </w:tr>
      <w:tr w:rsidR="00EF59E3" w:rsidRPr="00D568EC" w14:paraId="2D7A8506" w14:textId="77777777" w:rsidTr="00AB1F5E">
        <w:tc>
          <w:tcPr>
            <w:tcW w:w="1400" w:type="dxa"/>
            <w:shd w:val="clear" w:color="auto" w:fill="E2EFD9" w:themeFill="accent6" w:themeFillTint="33"/>
          </w:tcPr>
          <w:p w14:paraId="217448D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SHCS </w:t>
            </w:r>
          </w:p>
        </w:tc>
        <w:tc>
          <w:tcPr>
            <w:tcW w:w="6822" w:type="dxa"/>
            <w:shd w:val="clear" w:color="auto" w:fill="auto"/>
          </w:tcPr>
          <w:p w14:paraId="051C65D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School of Hospitality and Community Services </w:t>
            </w:r>
            <w:r w:rsidR="00501B3B">
              <w:rPr>
                <w:rFonts w:cs="Arial"/>
                <w:sz w:val="20"/>
                <w:szCs w:val="22"/>
                <w:lang w:val="en-GB" w:eastAsia="en-GB"/>
              </w:rPr>
              <w:br/>
            </w:r>
            <w:r w:rsidRPr="00D568EC">
              <w:rPr>
                <w:rFonts w:cs="Arial"/>
                <w:sz w:val="20"/>
                <w:szCs w:val="22"/>
                <w:lang w:val="en-GB" w:eastAsia="en-GB"/>
              </w:rPr>
              <w:t xml:space="preserve">(incorporating Stage I School of Health and Community Services) </w:t>
            </w:r>
          </w:p>
        </w:tc>
      </w:tr>
      <w:tr w:rsidR="00EF59E3" w:rsidRPr="00D568EC" w14:paraId="4585CDFD" w14:textId="77777777" w:rsidTr="00AB1F5E">
        <w:tc>
          <w:tcPr>
            <w:tcW w:w="1400" w:type="dxa"/>
            <w:shd w:val="clear" w:color="auto" w:fill="E2EFD9" w:themeFill="accent6" w:themeFillTint="33"/>
          </w:tcPr>
          <w:p w14:paraId="504E145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SICHE </w:t>
            </w:r>
          </w:p>
        </w:tc>
        <w:tc>
          <w:tcPr>
            <w:tcW w:w="6822" w:type="dxa"/>
            <w:shd w:val="clear" w:color="auto" w:fill="auto"/>
          </w:tcPr>
          <w:p w14:paraId="5E6E38C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Solomon Islands College of Higher Education </w:t>
            </w:r>
          </w:p>
        </w:tc>
      </w:tr>
      <w:tr w:rsidR="00EF59E3" w:rsidRPr="00D568EC" w14:paraId="521AE284" w14:textId="77777777" w:rsidTr="00AB1F5E">
        <w:tc>
          <w:tcPr>
            <w:tcW w:w="1400" w:type="dxa"/>
            <w:shd w:val="clear" w:color="auto" w:fill="E2EFD9" w:themeFill="accent6" w:themeFillTint="33"/>
          </w:tcPr>
          <w:p w14:paraId="393C419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SINU </w:t>
            </w:r>
          </w:p>
        </w:tc>
        <w:tc>
          <w:tcPr>
            <w:tcW w:w="6822" w:type="dxa"/>
            <w:shd w:val="clear" w:color="auto" w:fill="auto"/>
          </w:tcPr>
          <w:p w14:paraId="57AE3B0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Solomon Islands National University </w:t>
            </w:r>
          </w:p>
        </w:tc>
      </w:tr>
      <w:tr w:rsidR="00EF59E3" w:rsidRPr="00D568EC" w14:paraId="03342FAD" w14:textId="77777777" w:rsidTr="00AB1F5E">
        <w:tc>
          <w:tcPr>
            <w:tcW w:w="1400" w:type="dxa"/>
            <w:shd w:val="clear" w:color="auto" w:fill="E2EFD9" w:themeFill="accent6" w:themeFillTint="33"/>
          </w:tcPr>
          <w:p w14:paraId="6C70C88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SIS </w:t>
            </w:r>
          </w:p>
        </w:tc>
        <w:tc>
          <w:tcPr>
            <w:tcW w:w="6822" w:type="dxa"/>
            <w:shd w:val="clear" w:color="auto" w:fill="auto"/>
          </w:tcPr>
          <w:p w14:paraId="3DC9D66F" w14:textId="0B5564D1"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Small island state (included are Cook Islands, Federated States of Micronesia, Kiribati, Republic of the Marshall Islands, Nauru, Niue, </w:t>
            </w:r>
            <w:r w:rsidR="006E540E">
              <w:rPr>
                <w:rFonts w:cs="Arial"/>
                <w:sz w:val="20"/>
                <w:szCs w:val="22"/>
                <w:lang w:val="en-GB" w:eastAsia="en-GB"/>
              </w:rPr>
              <w:br/>
            </w:r>
            <w:r w:rsidRPr="00D568EC">
              <w:rPr>
                <w:rFonts w:cs="Arial"/>
                <w:sz w:val="20"/>
                <w:szCs w:val="22"/>
                <w:lang w:val="en-GB" w:eastAsia="en-GB"/>
              </w:rPr>
              <w:t>Palau</w:t>
            </w:r>
            <w:r w:rsidR="00316C39" w:rsidRPr="00D568EC">
              <w:rPr>
                <w:rFonts w:cs="Arial"/>
                <w:sz w:val="20"/>
                <w:szCs w:val="22"/>
                <w:lang w:val="en-GB" w:eastAsia="en-GB"/>
              </w:rPr>
              <w:t>, Tonga</w:t>
            </w:r>
            <w:r w:rsidRPr="00D568EC">
              <w:rPr>
                <w:rFonts w:cs="Arial"/>
                <w:sz w:val="20"/>
                <w:szCs w:val="22"/>
                <w:lang w:val="en-GB" w:eastAsia="en-GB"/>
              </w:rPr>
              <w:t xml:space="preserve"> and Tuvalu) </w:t>
            </w:r>
          </w:p>
        </w:tc>
      </w:tr>
      <w:tr w:rsidR="00EF59E3" w:rsidRPr="00D568EC" w14:paraId="4E856907" w14:textId="77777777" w:rsidTr="00AB1F5E">
        <w:tc>
          <w:tcPr>
            <w:tcW w:w="1400" w:type="dxa"/>
            <w:shd w:val="clear" w:color="auto" w:fill="E2EFD9" w:themeFill="accent6" w:themeFillTint="33"/>
          </w:tcPr>
          <w:p w14:paraId="0415C10A"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SMART</w:t>
            </w:r>
          </w:p>
        </w:tc>
        <w:tc>
          <w:tcPr>
            <w:tcW w:w="6822" w:type="dxa"/>
            <w:shd w:val="clear" w:color="auto" w:fill="auto"/>
          </w:tcPr>
          <w:p w14:paraId="519B5129" w14:textId="191C111B" w:rsidR="00EF59E3" w:rsidRPr="00D568EC" w:rsidRDefault="00EF59E3" w:rsidP="00501B3B">
            <w:pPr>
              <w:spacing w:before="20" w:after="20"/>
              <w:rPr>
                <w:rFonts w:cs="Arial"/>
                <w:sz w:val="20"/>
                <w:szCs w:val="22"/>
                <w:lang w:val="en-GB" w:eastAsia="en-GB"/>
              </w:rPr>
            </w:pPr>
            <w:r w:rsidRPr="00D568EC">
              <w:rPr>
                <w:rFonts w:cs="Arial"/>
                <w:sz w:val="20"/>
                <w:szCs w:val="22"/>
                <w:lang w:val="en-GB" w:eastAsia="en-GB"/>
              </w:rPr>
              <w:t xml:space="preserve">Forecasting, planning, and inventory </w:t>
            </w:r>
            <w:r w:rsidR="00501B3B" w:rsidRPr="00D568EC">
              <w:rPr>
                <w:rFonts w:cs="Arial"/>
                <w:sz w:val="20"/>
                <w:szCs w:val="22"/>
                <w:lang w:val="en-GB" w:eastAsia="en-GB"/>
              </w:rPr>
              <w:t>optimi</w:t>
            </w:r>
            <w:r w:rsidR="00501B3B">
              <w:rPr>
                <w:rFonts w:cs="Arial"/>
                <w:sz w:val="20"/>
                <w:szCs w:val="22"/>
                <w:lang w:val="en-GB" w:eastAsia="en-GB"/>
              </w:rPr>
              <w:t>s</w:t>
            </w:r>
            <w:r w:rsidR="00501B3B" w:rsidRPr="00D568EC">
              <w:rPr>
                <w:rFonts w:cs="Arial"/>
                <w:sz w:val="20"/>
                <w:szCs w:val="22"/>
                <w:lang w:val="en-GB" w:eastAsia="en-GB"/>
              </w:rPr>
              <w:t xml:space="preserve">ation </w:t>
            </w:r>
            <w:r w:rsidRPr="00D568EC">
              <w:rPr>
                <w:rFonts w:cs="Arial"/>
                <w:sz w:val="20"/>
                <w:szCs w:val="22"/>
                <w:lang w:val="en-GB" w:eastAsia="en-GB"/>
              </w:rPr>
              <w:t>software (http://www.smartcorp.com/)</w:t>
            </w:r>
          </w:p>
        </w:tc>
      </w:tr>
      <w:tr w:rsidR="00EF59E3" w:rsidRPr="00D568EC" w14:paraId="4667FD50" w14:textId="77777777" w:rsidTr="00AB1F5E">
        <w:tc>
          <w:tcPr>
            <w:tcW w:w="1400" w:type="dxa"/>
            <w:shd w:val="clear" w:color="auto" w:fill="E2EFD9" w:themeFill="accent6" w:themeFillTint="33"/>
          </w:tcPr>
          <w:p w14:paraId="6F1B059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SNR </w:t>
            </w:r>
          </w:p>
        </w:tc>
        <w:tc>
          <w:tcPr>
            <w:tcW w:w="6822" w:type="dxa"/>
            <w:shd w:val="clear" w:color="auto" w:fill="auto"/>
          </w:tcPr>
          <w:p w14:paraId="7AB32A3A" w14:textId="660959A0"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Standard for NVR (National VET Regulator) for RTO. </w:t>
            </w:r>
            <w:r w:rsidR="006E540E">
              <w:rPr>
                <w:rFonts w:cs="Arial"/>
                <w:sz w:val="20"/>
                <w:szCs w:val="22"/>
                <w:lang w:val="en-GB" w:eastAsia="en-GB"/>
              </w:rPr>
              <w:br/>
            </w:r>
            <w:r w:rsidRPr="00D568EC">
              <w:rPr>
                <w:rFonts w:cs="Arial"/>
                <w:sz w:val="20"/>
                <w:szCs w:val="22"/>
                <w:lang w:val="en-GB" w:eastAsia="en-GB"/>
              </w:rPr>
              <w:t xml:space="preserve">This replaces the AQTF standards. </w:t>
            </w:r>
          </w:p>
        </w:tc>
      </w:tr>
      <w:tr w:rsidR="00EF59E3" w:rsidRPr="00D568EC" w14:paraId="5F2E1107" w14:textId="77777777" w:rsidTr="00AB1F5E">
        <w:tc>
          <w:tcPr>
            <w:tcW w:w="1400" w:type="dxa"/>
            <w:shd w:val="clear" w:color="auto" w:fill="E2EFD9" w:themeFill="accent6" w:themeFillTint="33"/>
          </w:tcPr>
          <w:p w14:paraId="1E6DC4D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SOL</w:t>
            </w:r>
          </w:p>
        </w:tc>
        <w:tc>
          <w:tcPr>
            <w:tcW w:w="6822" w:type="dxa"/>
            <w:shd w:val="clear" w:color="auto" w:fill="auto"/>
          </w:tcPr>
          <w:p w14:paraId="74258A0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Skilled Occupations List</w:t>
            </w:r>
          </w:p>
        </w:tc>
      </w:tr>
      <w:tr w:rsidR="00EF59E3" w:rsidRPr="00D568EC" w14:paraId="5089EB93" w14:textId="77777777" w:rsidTr="00AB1F5E">
        <w:tc>
          <w:tcPr>
            <w:tcW w:w="1400" w:type="dxa"/>
            <w:shd w:val="clear" w:color="auto" w:fill="E2EFD9" w:themeFill="accent6" w:themeFillTint="33"/>
          </w:tcPr>
          <w:p w14:paraId="0550209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SoS </w:t>
            </w:r>
          </w:p>
        </w:tc>
        <w:tc>
          <w:tcPr>
            <w:tcW w:w="6822" w:type="dxa"/>
            <w:shd w:val="clear" w:color="auto" w:fill="auto"/>
          </w:tcPr>
          <w:p w14:paraId="6DFE5182" w14:textId="64C90934" w:rsidR="00EF59E3" w:rsidRPr="00D568EC" w:rsidRDefault="00EF59E3" w:rsidP="00C7137B">
            <w:pPr>
              <w:spacing w:before="20" w:after="20"/>
              <w:rPr>
                <w:rFonts w:cs="Arial"/>
                <w:sz w:val="20"/>
                <w:szCs w:val="22"/>
                <w:lang w:val="en-GB" w:eastAsia="en-GB"/>
              </w:rPr>
            </w:pPr>
            <w:r w:rsidRPr="00D568EC">
              <w:rPr>
                <w:rFonts w:cs="Arial"/>
                <w:sz w:val="20"/>
                <w:szCs w:val="22"/>
                <w:lang w:val="en-GB" w:eastAsia="en-GB"/>
              </w:rPr>
              <w:t xml:space="preserve">Scope of </w:t>
            </w:r>
            <w:r w:rsidR="00C7137B">
              <w:rPr>
                <w:rFonts w:cs="Arial"/>
                <w:sz w:val="20"/>
                <w:szCs w:val="22"/>
                <w:lang w:val="en-GB" w:eastAsia="en-GB"/>
              </w:rPr>
              <w:t>S</w:t>
            </w:r>
            <w:r w:rsidR="00C7137B" w:rsidRPr="00D568EC">
              <w:rPr>
                <w:rFonts w:cs="Arial"/>
                <w:sz w:val="20"/>
                <w:szCs w:val="22"/>
                <w:lang w:val="en-GB" w:eastAsia="en-GB"/>
              </w:rPr>
              <w:t xml:space="preserve">ervices </w:t>
            </w:r>
          </w:p>
        </w:tc>
      </w:tr>
      <w:tr w:rsidR="00EF59E3" w:rsidRPr="00D568EC" w14:paraId="59EA4827" w14:textId="77777777" w:rsidTr="00AB1F5E">
        <w:tc>
          <w:tcPr>
            <w:tcW w:w="1400" w:type="dxa"/>
            <w:shd w:val="clear" w:color="auto" w:fill="E2EFD9" w:themeFill="accent6" w:themeFillTint="33"/>
          </w:tcPr>
          <w:p w14:paraId="561F504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SPBEA</w:t>
            </w:r>
          </w:p>
        </w:tc>
        <w:tc>
          <w:tcPr>
            <w:tcW w:w="6822" w:type="dxa"/>
            <w:shd w:val="clear" w:color="auto" w:fill="auto"/>
          </w:tcPr>
          <w:p w14:paraId="0A57808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South Pacific Board for Educational Assessment</w:t>
            </w:r>
          </w:p>
        </w:tc>
      </w:tr>
      <w:tr w:rsidR="00EF59E3" w:rsidRPr="00D568EC" w14:paraId="7917E461" w14:textId="77777777" w:rsidTr="00AB1F5E">
        <w:tc>
          <w:tcPr>
            <w:tcW w:w="1400" w:type="dxa"/>
            <w:shd w:val="clear" w:color="auto" w:fill="E2EFD9" w:themeFill="accent6" w:themeFillTint="33"/>
          </w:tcPr>
          <w:p w14:paraId="0BDEF83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SQA </w:t>
            </w:r>
          </w:p>
        </w:tc>
        <w:tc>
          <w:tcPr>
            <w:tcW w:w="6822" w:type="dxa"/>
            <w:shd w:val="clear" w:color="auto" w:fill="auto"/>
          </w:tcPr>
          <w:p w14:paraId="03E4BC4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Samoa Qualifications Authority </w:t>
            </w:r>
          </w:p>
        </w:tc>
      </w:tr>
      <w:tr w:rsidR="00EF59E3" w:rsidRPr="00D568EC" w14:paraId="2B1F7406" w14:textId="77777777" w:rsidTr="00AB1F5E">
        <w:tc>
          <w:tcPr>
            <w:tcW w:w="1400" w:type="dxa"/>
            <w:shd w:val="clear" w:color="auto" w:fill="E2EFD9" w:themeFill="accent6" w:themeFillTint="33"/>
          </w:tcPr>
          <w:p w14:paraId="24A14F5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STA </w:t>
            </w:r>
          </w:p>
        </w:tc>
        <w:tc>
          <w:tcPr>
            <w:tcW w:w="6822" w:type="dxa"/>
            <w:shd w:val="clear" w:color="auto" w:fill="auto"/>
          </w:tcPr>
          <w:p w14:paraId="5B6E221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Short-term advisor </w:t>
            </w:r>
          </w:p>
        </w:tc>
      </w:tr>
    </w:tbl>
    <w:p w14:paraId="64F1C945" w14:textId="77777777" w:rsidR="007709F4" w:rsidRDefault="007709F4">
      <w:r>
        <w:br w:type="page"/>
      </w:r>
    </w:p>
    <w:tbl>
      <w:tblPr>
        <w:tblW w:w="8222" w:type="dxa"/>
        <w:tblInd w:w="93" w:type="dxa"/>
        <w:tblBorders>
          <w:top w:val="single" w:sz="4" w:space="0" w:color="A8D08D" w:themeColor="accent6" w:themeTint="99"/>
          <w:bottom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400"/>
        <w:gridCol w:w="6"/>
        <w:gridCol w:w="6816"/>
      </w:tblGrid>
      <w:tr w:rsidR="00C71873" w:rsidRPr="00D568EC" w14:paraId="48FE8A24" w14:textId="77777777" w:rsidTr="00E63DD3">
        <w:tc>
          <w:tcPr>
            <w:tcW w:w="1400" w:type="dxa"/>
            <w:shd w:val="clear" w:color="auto" w:fill="E2EFD9" w:themeFill="accent6" w:themeFillTint="33"/>
          </w:tcPr>
          <w:p w14:paraId="7F2D5708"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lastRenderedPageBreak/>
              <w:t>STH</w:t>
            </w:r>
          </w:p>
        </w:tc>
        <w:tc>
          <w:tcPr>
            <w:tcW w:w="6822" w:type="dxa"/>
            <w:gridSpan w:val="2"/>
            <w:shd w:val="clear" w:color="auto" w:fill="auto"/>
          </w:tcPr>
          <w:p w14:paraId="0970D741" w14:textId="0FC035B5"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Student training hour</w:t>
            </w:r>
            <w:r>
              <w:rPr>
                <w:rFonts w:cs="Arial"/>
                <w:sz w:val="20"/>
                <w:szCs w:val="22"/>
                <w:lang w:val="en-GB" w:eastAsia="en-GB"/>
              </w:rPr>
              <w:t>, also known as</w:t>
            </w:r>
            <w:r w:rsidRPr="00D568EC">
              <w:rPr>
                <w:rFonts w:cs="Arial"/>
                <w:sz w:val="20"/>
                <w:szCs w:val="22"/>
                <w:lang w:val="en-GB" w:eastAsia="en-GB"/>
              </w:rPr>
              <w:t xml:space="preserve"> </w:t>
            </w:r>
            <w:r>
              <w:rPr>
                <w:rFonts w:cs="Arial"/>
                <w:sz w:val="20"/>
                <w:szCs w:val="22"/>
                <w:lang w:val="en-GB" w:eastAsia="en-GB"/>
              </w:rPr>
              <w:t>a</w:t>
            </w:r>
            <w:r w:rsidRPr="00D568EC">
              <w:rPr>
                <w:rFonts w:cs="Arial"/>
                <w:sz w:val="20"/>
                <w:szCs w:val="22"/>
                <w:lang w:val="en-GB" w:eastAsia="en-GB"/>
              </w:rPr>
              <w:t>nnual hour of curriculum</w:t>
            </w:r>
            <w:r>
              <w:rPr>
                <w:rFonts w:cs="Arial"/>
                <w:sz w:val="20"/>
                <w:szCs w:val="22"/>
                <w:lang w:val="en-GB" w:eastAsia="en-GB"/>
              </w:rPr>
              <w:t xml:space="preserve"> (AHC) </w:t>
            </w:r>
            <w:r w:rsidR="006E540E">
              <w:rPr>
                <w:rFonts w:cs="Arial"/>
                <w:sz w:val="20"/>
                <w:szCs w:val="22"/>
                <w:lang w:val="en-GB" w:eastAsia="en-GB"/>
              </w:rPr>
              <w:br/>
            </w:r>
            <w:r>
              <w:rPr>
                <w:rFonts w:cs="Arial"/>
                <w:sz w:val="20"/>
                <w:szCs w:val="22"/>
                <w:lang w:val="en-GB" w:eastAsia="en-GB"/>
              </w:rPr>
              <w:t>and student contact hour (SCH)</w:t>
            </w:r>
          </w:p>
        </w:tc>
      </w:tr>
      <w:tr w:rsidR="00C71873" w:rsidRPr="00D568EC" w14:paraId="55CCCAC7" w14:textId="77777777" w:rsidTr="00E63DD3">
        <w:tc>
          <w:tcPr>
            <w:tcW w:w="1400" w:type="dxa"/>
            <w:shd w:val="clear" w:color="auto" w:fill="E2EFD9" w:themeFill="accent6" w:themeFillTint="33"/>
          </w:tcPr>
          <w:p w14:paraId="68066363"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 xml:space="preserve">STT </w:t>
            </w:r>
          </w:p>
        </w:tc>
        <w:tc>
          <w:tcPr>
            <w:tcW w:w="6822" w:type="dxa"/>
            <w:gridSpan w:val="2"/>
            <w:shd w:val="clear" w:color="auto" w:fill="auto"/>
          </w:tcPr>
          <w:p w14:paraId="581FC4C6" w14:textId="77777777" w:rsidR="00C71873" w:rsidRPr="00D568EC" w:rsidRDefault="00C71873" w:rsidP="00DB0AE5">
            <w:pPr>
              <w:spacing w:before="20" w:after="20"/>
              <w:rPr>
                <w:rFonts w:cs="Arial"/>
                <w:sz w:val="20"/>
                <w:szCs w:val="22"/>
                <w:lang w:val="en-GB" w:eastAsia="en-GB"/>
              </w:rPr>
            </w:pPr>
            <w:r w:rsidRPr="00D568EC">
              <w:rPr>
                <w:rFonts w:cs="Arial"/>
                <w:sz w:val="20"/>
                <w:szCs w:val="22"/>
                <w:lang w:val="en-GB" w:eastAsia="en-GB"/>
              </w:rPr>
              <w:t xml:space="preserve">School of Trades and Technology (ACEM in Stage I) </w:t>
            </w:r>
          </w:p>
        </w:tc>
      </w:tr>
      <w:tr w:rsidR="00EF59E3" w:rsidRPr="00D568EC" w14:paraId="33A2FF37" w14:textId="77777777" w:rsidTr="00E63DD3">
        <w:tc>
          <w:tcPr>
            <w:tcW w:w="1406" w:type="dxa"/>
            <w:gridSpan w:val="2"/>
            <w:shd w:val="clear" w:color="auto" w:fill="E2EFD9" w:themeFill="accent6" w:themeFillTint="33"/>
          </w:tcPr>
          <w:p w14:paraId="2AC3508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TAE </w:t>
            </w:r>
          </w:p>
        </w:tc>
        <w:tc>
          <w:tcPr>
            <w:tcW w:w="6816" w:type="dxa"/>
            <w:shd w:val="clear" w:color="auto" w:fill="auto"/>
          </w:tcPr>
          <w:p w14:paraId="21F4490B" w14:textId="3DC4BEFD" w:rsidR="00EF59E3" w:rsidRPr="00D568EC" w:rsidRDefault="009425BA" w:rsidP="00D568EC">
            <w:pPr>
              <w:spacing w:before="20" w:after="20"/>
              <w:rPr>
                <w:rFonts w:cs="Arial"/>
                <w:sz w:val="20"/>
                <w:szCs w:val="22"/>
                <w:lang w:val="en-GB" w:eastAsia="en-GB"/>
              </w:rPr>
            </w:pPr>
            <w:r w:rsidRPr="00D568EC">
              <w:rPr>
                <w:rFonts w:cs="Arial"/>
                <w:sz w:val="20"/>
                <w:szCs w:val="22"/>
                <w:lang w:val="en-GB" w:eastAsia="en-GB"/>
              </w:rPr>
              <w:t xml:space="preserve">TAE10 </w:t>
            </w:r>
            <w:r w:rsidR="00C21AE7">
              <w:rPr>
                <w:rFonts w:cs="Arial"/>
                <w:sz w:val="20"/>
                <w:szCs w:val="22"/>
                <w:lang w:val="en-GB" w:eastAsia="en-GB"/>
              </w:rPr>
              <w:t xml:space="preserve">– </w:t>
            </w:r>
            <w:r w:rsidRPr="00D568EC">
              <w:rPr>
                <w:rFonts w:cs="Arial"/>
                <w:sz w:val="20"/>
                <w:szCs w:val="22"/>
                <w:lang w:val="en-GB" w:eastAsia="en-GB"/>
              </w:rPr>
              <w:t xml:space="preserve">Training and Education training package. </w:t>
            </w:r>
            <w:r w:rsidR="00D35D2B">
              <w:rPr>
                <w:rFonts w:cs="Arial"/>
                <w:sz w:val="20"/>
                <w:szCs w:val="22"/>
                <w:lang w:val="en-GB" w:eastAsia="en-GB"/>
              </w:rPr>
              <w:br/>
            </w:r>
            <w:r w:rsidRPr="00D568EC">
              <w:rPr>
                <w:rFonts w:cs="Arial"/>
                <w:sz w:val="20"/>
                <w:szCs w:val="22"/>
                <w:lang w:val="en-GB" w:eastAsia="en-GB"/>
              </w:rPr>
              <w:t>Of particular relevance are the qualifications Certificate IV in Training and Assessment (TAE40110) and the Diploma of Vocational Education and Training (TAE50111)</w:t>
            </w:r>
          </w:p>
        </w:tc>
      </w:tr>
      <w:tr w:rsidR="00EF59E3" w:rsidRPr="00D568EC" w14:paraId="412A0493" w14:textId="77777777" w:rsidTr="00E63DD3">
        <w:tc>
          <w:tcPr>
            <w:tcW w:w="1406" w:type="dxa"/>
            <w:gridSpan w:val="2"/>
            <w:shd w:val="clear" w:color="auto" w:fill="E2EFD9" w:themeFill="accent6" w:themeFillTint="33"/>
          </w:tcPr>
          <w:p w14:paraId="0F25C11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TAFE </w:t>
            </w:r>
          </w:p>
        </w:tc>
        <w:tc>
          <w:tcPr>
            <w:tcW w:w="6816" w:type="dxa"/>
            <w:shd w:val="clear" w:color="auto" w:fill="auto"/>
          </w:tcPr>
          <w:p w14:paraId="366E511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Technical and Further Education </w:t>
            </w:r>
          </w:p>
        </w:tc>
      </w:tr>
      <w:tr w:rsidR="00EF59E3" w:rsidRPr="00D568EC" w14:paraId="26C61590" w14:textId="77777777" w:rsidTr="00E63DD3">
        <w:tc>
          <w:tcPr>
            <w:tcW w:w="1406" w:type="dxa"/>
            <w:gridSpan w:val="2"/>
            <w:shd w:val="clear" w:color="auto" w:fill="E2EFD9" w:themeFill="accent6" w:themeFillTint="33"/>
          </w:tcPr>
          <w:p w14:paraId="03FE42BD"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TCFC</w:t>
            </w:r>
          </w:p>
        </w:tc>
        <w:tc>
          <w:tcPr>
            <w:tcW w:w="6816" w:type="dxa"/>
            <w:shd w:val="clear" w:color="auto" w:fill="auto"/>
          </w:tcPr>
          <w:p w14:paraId="4C52FD2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Textile Clothing and Footwear Council (Fiji)</w:t>
            </w:r>
          </w:p>
        </w:tc>
      </w:tr>
      <w:tr w:rsidR="00EF59E3" w:rsidRPr="00D568EC" w14:paraId="29E3D984" w14:textId="77777777" w:rsidTr="00E63DD3">
        <w:tc>
          <w:tcPr>
            <w:tcW w:w="1406" w:type="dxa"/>
            <w:gridSpan w:val="2"/>
            <w:shd w:val="clear" w:color="auto" w:fill="E2EFD9" w:themeFill="accent6" w:themeFillTint="33"/>
          </w:tcPr>
          <w:p w14:paraId="1835F3B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TF </w:t>
            </w:r>
          </w:p>
        </w:tc>
        <w:tc>
          <w:tcPr>
            <w:tcW w:w="6816" w:type="dxa"/>
            <w:shd w:val="clear" w:color="auto" w:fill="auto"/>
          </w:tcPr>
          <w:p w14:paraId="68D40C2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Tuition fee </w:t>
            </w:r>
          </w:p>
        </w:tc>
      </w:tr>
      <w:tr w:rsidR="00EF59E3" w:rsidRPr="00D568EC" w14:paraId="2BD6F85B" w14:textId="77777777" w:rsidTr="00E63DD3">
        <w:tc>
          <w:tcPr>
            <w:tcW w:w="1406" w:type="dxa"/>
            <w:gridSpan w:val="2"/>
            <w:shd w:val="clear" w:color="auto" w:fill="E2EFD9" w:themeFill="accent6" w:themeFillTint="33"/>
          </w:tcPr>
          <w:p w14:paraId="251C552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TOR</w:t>
            </w:r>
          </w:p>
        </w:tc>
        <w:tc>
          <w:tcPr>
            <w:tcW w:w="6816" w:type="dxa"/>
            <w:shd w:val="clear" w:color="auto" w:fill="auto"/>
          </w:tcPr>
          <w:p w14:paraId="4AFB757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Terms of reference</w:t>
            </w:r>
          </w:p>
        </w:tc>
      </w:tr>
      <w:tr w:rsidR="00EF59E3" w:rsidRPr="00D568EC" w14:paraId="6D91AA18" w14:textId="77777777" w:rsidTr="00E63DD3">
        <w:tc>
          <w:tcPr>
            <w:tcW w:w="1406" w:type="dxa"/>
            <w:gridSpan w:val="2"/>
            <w:shd w:val="clear" w:color="auto" w:fill="E2EFD9" w:themeFill="accent6" w:themeFillTint="33"/>
          </w:tcPr>
          <w:p w14:paraId="71027A8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TPAF</w:t>
            </w:r>
          </w:p>
        </w:tc>
        <w:tc>
          <w:tcPr>
            <w:tcW w:w="6816" w:type="dxa"/>
            <w:shd w:val="clear" w:color="auto" w:fill="auto"/>
          </w:tcPr>
          <w:p w14:paraId="07233AC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(former) Training and Productivity Authority of Fiji</w:t>
            </w:r>
          </w:p>
        </w:tc>
      </w:tr>
      <w:tr w:rsidR="00EF59E3" w:rsidRPr="00D568EC" w14:paraId="766F1703" w14:textId="77777777" w:rsidTr="00E63DD3">
        <w:tc>
          <w:tcPr>
            <w:tcW w:w="1406" w:type="dxa"/>
            <w:gridSpan w:val="2"/>
            <w:shd w:val="clear" w:color="auto" w:fill="E2EFD9" w:themeFill="accent6" w:themeFillTint="33"/>
          </w:tcPr>
          <w:p w14:paraId="08374C7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Training package</w:t>
            </w:r>
          </w:p>
        </w:tc>
        <w:tc>
          <w:tcPr>
            <w:tcW w:w="6816" w:type="dxa"/>
            <w:shd w:val="clear" w:color="auto" w:fill="auto"/>
          </w:tcPr>
          <w:p w14:paraId="4C7D1A84" w14:textId="2EFA52A0"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A set of nationally endorsed standards and qualifications for </w:t>
            </w:r>
            <w:r w:rsidR="003075DF">
              <w:rPr>
                <w:rFonts w:cs="Arial"/>
                <w:sz w:val="20"/>
                <w:szCs w:val="22"/>
                <w:lang w:val="en-GB" w:eastAsia="en-GB"/>
              </w:rPr>
              <w:br/>
            </w:r>
            <w:r w:rsidRPr="00D568EC">
              <w:rPr>
                <w:rFonts w:cs="Arial"/>
                <w:sz w:val="20"/>
                <w:szCs w:val="22"/>
                <w:lang w:val="en-GB" w:eastAsia="en-GB"/>
              </w:rPr>
              <w:t xml:space="preserve">recognising and assessing people's skills in a specific industry, </w:t>
            </w:r>
            <w:r w:rsidR="003075DF">
              <w:rPr>
                <w:rFonts w:cs="Arial"/>
                <w:sz w:val="20"/>
                <w:szCs w:val="22"/>
                <w:lang w:val="en-GB" w:eastAsia="en-GB"/>
              </w:rPr>
              <w:br/>
            </w:r>
            <w:r w:rsidRPr="00D568EC">
              <w:rPr>
                <w:rFonts w:cs="Arial"/>
                <w:sz w:val="20"/>
                <w:szCs w:val="22"/>
                <w:lang w:val="en-GB" w:eastAsia="en-GB"/>
              </w:rPr>
              <w:t>industry sector or enterprise.</w:t>
            </w:r>
          </w:p>
        </w:tc>
      </w:tr>
      <w:tr w:rsidR="00EF59E3" w:rsidRPr="00D568EC" w14:paraId="4FF48F27" w14:textId="77777777" w:rsidTr="00E63DD3">
        <w:tc>
          <w:tcPr>
            <w:tcW w:w="1406" w:type="dxa"/>
            <w:gridSpan w:val="2"/>
            <w:shd w:val="clear" w:color="auto" w:fill="E2EFD9" w:themeFill="accent6" w:themeFillTint="33"/>
          </w:tcPr>
          <w:p w14:paraId="1ED2BEDC"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TVET </w:t>
            </w:r>
          </w:p>
        </w:tc>
        <w:tc>
          <w:tcPr>
            <w:tcW w:w="6816" w:type="dxa"/>
            <w:shd w:val="clear" w:color="auto" w:fill="auto"/>
          </w:tcPr>
          <w:p w14:paraId="15F0BFA3"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Technical and vocational education and training </w:t>
            </w:r>
          </w:p>
        </w:tc>
      </w:tr>
      <w:tr w:rsidR="00EF59E3" w:rsidRPr="00D568EC" w14:paraId="3C55053B" w14:textId="77777777" w:rsidTr="00E63DD3">
        <w:tc>
          <w:tcPr>
            <w:tcW w:w="1406" w:type="dxa"/>
            <w:gridSpan w:val="2"/>
            <w:shd w:val="clear" w:color="auto" w:fill="E2EFD9" w:themeFill="accent6" w:themeFillTint="33"/>
          </w:tcPr>
          <w:p w14:paraId="7424BB2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USP </w:t>
            </w:r>
          </w:p>
        </w:tc>
        <w:tc>
          <w:tcPr>
            <w:tcW w:w="6816" w:type="dxa"/>
            <w:shd w:val="clear" w:color="auto" w:fill="auto"/>
          </w:tcPr>
          <w:p w14:paraId="402DE91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University of the South Pacific </w:t>
            </w:r>
          </w:p>
        </w:tc>
      </w:tr>
      <w:tr w:rsidR="00EF59E3" w:rsidRPr="00D568EC" w14:paraId="32A82C92" w14:textId="77777777" w:rsidTr="00E63DD3">
        <w:tc>
          <w:tcPr>
            <w:tcW w:w="1406" w:type="dxa"/>
            <w:gridSpan w:val="2"/>
            <w:shd w:val="clear" w:color="auto" w:fill="E2EFD9" w:themeFill="accent6" w:themeFillTint="33"/>
          </w:tcPr>
          <w:p w14:paraId="24B6806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USP MI </w:t>
            </w:r>
          </w:p>
        </w:tc>
        <w:tc>
          <w:tcPr>
            <w:tcW w:w="6816" w:type="dxa"/>
            <w:shd w:val="clear" w:color="auto" w:fill="auto"/>
          </w:tcPr>
          <w:p w14:paraId="0868AC57"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University of South Pacific</w:t>
            </w:r>
            <w:r w:rsidR="00C21AE7">
              <w:rPr>
                <w:rFonts w:cs="Arial"/>
                <w:sz w:val="20"/>
                <w:szCs w:val="22"/>
                <w:lang w:val="en-GB" w:eastAsia="en-GB"/>
              </w:rPr>
              <w:t>,</w:t>
            </w:r>
            <w:r w:rsidRPr="00D568EC">
              <w:rPr>
                <w:rFonts w:cs="Arial"/>
                <w:sz w:val="20"/>
                <w:szCs w:val="22"/>
                <w:lang w:val="en-GB" w:eastAsia="en-GB"/>
              </w:rPr>
              <w:t xml:space="preserve"> Marshall Islands </w:t>
            </w:r>
          </w:p>
        </w:tc>
      </w:tr>
      <w:tr w:rsidR="00EF59E3" w:rsidRPr="00D568EC" w14:paraId="21956F4D" w14:textId="77777777" w:rsidTr="00E63DD3">
        <w:tc>
          <w:tcPr>
            <w:tcW w:w="1406" w:type="dxa"/>
            <w:gridSpan w:val="2"/>
            <w:shd w:val="clear" w:color="auto" w:fill="E2EFD9" w:themeFill="accent6" w:themeFillTint="33"/>
          </w:tcPr>
          <w:p w14:paraId="78C2A1E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VET </w:t>
            </w:r>
          </w:p>
        </w:tc>
        <w:tc>
          <w:tcPr>
            <w:tcW w:w="6816" w:type="dxa"/>
            <w:shd w:val="clear" w:color="auto" w:fill="auto"/>
          </w:tcPr>
          <w:p w14:paraId="5DC9CB9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Vocational education and training </w:t>
            </w:r>
          </w:p>
        </w:tc>
      </w:tr>
      <w:tr w:rsidR="00EF59E3" w:rsidRPr="00D568EC" w14:paraId="6C99F1FB" w14:textId="77777777" w:rsidTr="00E63DD3">
        <w:tc>
          <w:tcPr>
            <w:tcW w:w="1406" w:type="dxa"/>
            <w:gridSpan w:val="2"/>
            <w:shd w:val="clear" w:color="auto" w:fill="E2EFD9" w:themeFill="accent6" w:themeFillTint="33"/>
          </w:tcPr>
          <w:p w14:paraId="7CDB9CF5"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VETASSESS</w:t>
            </w:r>
          </w:p>
        </w:tc>
        <w:tc>
          <w:tcPr>
            <w:tcW w:w="6816" w:type="dxa"/>
            <w:shd w:val="clear" w:color="auto" w:fill="auto"/>
          </w:tcPr>
          <w:p w14:paraId="102167DB"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Australian agency providing VET assessments</w:t>
            </w:r>
          </w:p>
        </w:tc>
      </w:tr>
      <w:tr w:rsidR="00EF59E3" w:rsidRPr="00D568EC" w14:paraId="51E1190C" w14:textId="77777777" w:rsidTr="00E63DD3">
        <w:tc>
          <w:tcPr>
            <w:tcW w:w="1406" w:type="dxa"/>
            <w:gridSpan w:val="2"/>
            <w:shd w:val="clear" w:color="auto" w:fill="E2EFD9" w:themeFill="accent6" w:themeFillTint="33"/>
          </w:tcPr>
          <w:p w14:paraId="68E5179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VfM</w:t>
            </w:r>
          </w:p>
        </w:tc>
        <w:tc>
          <w:tcPr>
            <w:tcW w:w="6816" w:type="dxa"/>
            <w:shd w:val="clear" w:color="auto" w:fill="auto"/>
          </w:tcPr>
          <w:p w14:paraId="37C66A19"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Value for money</w:t>
            </w:r>
          </w:p>
        </w:tc>
      </w:tr>
      <w:tr w:rsidR="00EF59E3" w:rsidRPr="00D568EC" w14:paraId="3AAB4D24" w14:textId="77777777" w:rsidTr="00E63DD3">
        <w:tc>
          <w:tcPr>
            <w:tcW w:w="1406" w:type="dxa"/>
            <w:gridSpan w:val="2"/>
            <w:shd w:val="clear" w:color="auto" w:fill="E2EFD9" w:themeFill="accent6" w:themeFillTint="33"/>
          </w:tcPr>
          <w:p w14:paraId="438AC4A4"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VIT</w:t>
            </w:r>
          </w:p>
        </w:tc>
        <w:tc>
          <w:tcPr>
            <w:tcW w:w="6816" w:type="dxa"/>
            <w:shd w:val="clear" w:color="auto" w:fill="auto"/>
          </w:tcPr>
          <w:p w14:paraId="3DA694E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Vanuatu Institute of Technology</w:t>
            </w:r>
          </w:p>
        </w:tc>
      </w:tr>
      <w:tr w:rsidR="00251814" w:rsidRPr="00D568EC" w14:paraId="1843A56F" w14:textId="77777777" w:rsidTr="00E63DD3">
        <w:tc>
          <w:tcPr>
            <w:tcW w:w="1406" w:type="dxa"/>
            <w:gridSpan w:val="2"/>
            <w:shd w:val="clear" w:color="auto" w:fill="E2EFD9" w:themeFill="accent6" w:themeFillTint="33"/>
          </w:tcPr>
          <w:p w14:paraId="58BB3525" w14:textId="77777777" w:rsidR="00251814" w:rsidRPr="00D568EC" w:rsidRDefault="00251814" w:rsidP="00D568EC">
            <w:pPr>
              <w:spacing w:before="20" w:after="20"/>
              <w:rPr>
                <w:rFonts w:cs="Arial"/>
                <w:sz w:val="20"/>
                <w:szCs w:val="22"/>
                <w:lang w:val="en-GB" w:eastAsia="en-GB"/>
              </w:rPr>
            </w:pPr>
            <w:r w:rsidRPr="00D568EC">
              <w:rPr>
                <w:sz w:val="20"/>
              </w:rPr>
              <w:t>VKS</w:t>
            </w:r>
          </w:p>
        </w:tc>
        <w:tc>
          <w:tcPr>
            <w:tcW w:w="6816" w:type="dxa"/>
            <w:shd w:val="clear" w:color="auto" w:fill="auto"/>
          </w:tcPr>
          <w:p w14:paraId="20F2A8D5" w14:textId="77777777" w:rsidR="00251814" w:rsidRPr="00D568EC" w:rsidRDefault="00251814" w:rsidP="00D568EC">
            <w:pPr>
              <w:spacing w:before="20" w:after="20"/>
              <w:rPr>
                <w:rFonts w:cs="Arial"/>
                <w:sz w:val="20"/>
                <w:szCs w:val="22"/>
                <w:lang w:val="en-GB" w:eastAsia="en-GB"/>
              </w:rPr>
            </w:pPr>
            <w:r w:rsidRPr="00D568EC">
              <w:rPr>
                <w:sz w:val="20"/>
              </w:rPr>
              <w:t>Vocational knowledge and skills assessment</w:t>
            </w:r>
          </w:p>
        </w:tc>
      </w:tr>
      <w:tr w:rsidR="00EF59E3" w:rsidRPr="00D568EC" w14:paraId="35B1A22D" w14:textId="77777777" w:rsidTr="00E63DD3">
        <w:tc>
          <w:tcPr>
            <w:tcW w:w="1406" w:type="dxa"/>
            <w:gridSpan w:val="2"/>
            <w:shd w:val="clear" w:color="auto" w:fill="E2EFD9" w:themeFill="accent6" w:themeFillTint="33"/>
          </w:tcPr>
          <w:p w14:paraId="762E53A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VTC</w:t>
            </w:r>
          </w:p>
        </w:tc>
        <w:tc>
          <w:tcPr>
            <w:tcW w:w="6816" w:type="dxa"/>
            <w:shd w:val="clear" w:color="auto" w:fill="auto"/>
          </w:tcPr>
          <w:p w14:paraId="6A4D61E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Vivekananda Technical Centre (Fiji) </w:t>
            </w:r>
          </w:p>
        </w:tc>
      </w:tr>
      <w:tr w:rsidR="00EF59E3" w:rsidRPr="00D568EC" w14:paraId="19D5A12E" w14:textId="77777777" w:rsidTr="00E63DD3">
        <w:tc>
          <w:tcPr>
            <w:tcW w:w="1406" w:type="dxa"/>
            <w:gridSpan w:val="2"/>
            <w:shd w:val="clear" w:color="auto" w:fill="E2EFD9" w:themeFill="accent6" w:themeFillTint="33"/>
          </w:tcPr>
          <w:p w14:paraId="7AA7683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VQF </w:t>
            </w:r>
          </w:p>
        </w:tc>
        <w:tc>
          <w:tcPr>
            <w:tcW w:w="6816" w:type="dxa"/>
            <w:shd w:val="clear" w:color="auto" w:fill="auto"/>
          </w:tcPr>
          <w:p w14:paraId="03561E50"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VET Quality Framework (formerly AQTF) </w:t>
            </w:r>
          </w:p>
        </w:tc>
      </w:tr>
      <w:tr w:rsidR="00EF59E3" w:rsidRPr="00D568EC" w14:paraId="15077917" w14:textId="77777777" w:rsidTr="00E63DD3">
        <w:tc>
          <w:tcPr>
            <w:tcW w:w="1406" w:type="dxa"/>
            <w:gridSpan w:val="2"/>
            <w:shd w:val="clear" w:color="auto" w:fill="E2EFD9" w:themeFill="accent6" w:themeFillTint="33"/>
          </w:tcPr>
          <w:p w14:paraId="33952B7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VUV</w:t>
            </w:r>
          </w:p>
        </w:tc>
        <w:tc>
          <w:tcPr>
            <w:tcW w:w="6816" w:type="dxa"/>
            <w:shd w:val="clear" w:color="auto" w:fill="auto"/>
          </w:tcPr>
          <w:p w14:paraId="7CB05DB2"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Vanuatu vatu (approximately = 0.011 AUD)</w:t>
            </w:r>
          </w:p>
        </w:tc>
      </w:tr>
      <w:tr w:rsidR="00EF59E3" w:rsidRPr="00D568EC" w14:paraId="0BC04571" w14:textId="77777777" w:rsidTr="00E63DD3">
        <w:tc>
          <w:tcPr>
            <w:tcW w:w="1406" w:type="dxa"/>
            <w:gridSpan w:val="2"/>
            <w:shd w:val="clear" w:color="auto" w:fill="E2EFD9" w:themeFill="accent6" w:themeFillTint="33"/>
          </w:tcPr>
          <w:p w14:paraId="5ABD31E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WES </w:t>
            </w:r>
          </w:p>
        </w:tc>
        <w:tc>
          <w:tcPr>
            <w:tcW w:w="6816" w:type="dxa"/>
            <w:shd w:val="clear" w:color="auto" w:fill="auto"/>
          </w:tcPr>
          <w:p w14:paraId="27308738"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Workforce employment strategy </w:t>
            </w:r>
          </w:p>
        </w:tc>
      </w:tr>
      <w:tr w:rsidR="00EF59E3" w:rsidRPr="00D568EC" w14:paraId="2AF0B762" w14:textId="77777777" w:rsidTr="00E63DD3">
        <w:tc>
          <w:tcPr>
            <w:tcW w:w="1406" w:type="dxa"/>
            <w:gridSpan w:val="2"/>
            <w:shd w:val="clear" w:color="auto" w:fill="E2EFD9" w:themeFill="accent6" w:themeFillTint="33"/>
          </w:tcPr>
          <w:p w14:paraId="6A34A836"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WST</w:t>
            </w:r>
          </w:p>
        </w:tc>
        <w:tc>
          <w:tcPr>
            <w:tcW w:w="6816" w:type="dxa"/>
            <w:shd w:val="clear" w:color="auto" w:fill="auto"/>
          </w:tcPr>
          <w:p w14:paraId="0126073F"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Samoa tala (approximately = 0.451 AUD)</w:t>
            </w:r>
          </w:p>
        </w:tc>
      </w:tr>
      <w:tr w:rsidR="00EF59E3" w:rsidRPr="00D568EC" w14:paraId="7E27124C" w14:textId="77777777" w:rsidTr="00E63DD3">
        <w:tc>
          <w:tcPr>
            <w:tcW w:w="1406" w:type="dxa"/>
            <w:gridSpan w:val="2"/>
            <w:shd w:val="clear" w:color="auto" w:fill="E2EFD9" w:themeFill="accent6" w:themeFillTint="33"/>
          </w:tcPr>
          <w:p w14:paraId="6FB7E69E"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 xml:space="preserve">YTD </w:t>
            </w:r>
          </w:p>
        </w:tc>
        <w:tc>
          <w:tcPr>
            <w:tcW w:w="6816" w:type="dxa"/>
            <w:shd w:val="clear" w:color="auto" w:fill="auto"/>
          </w:tcPr>
          <w:p w14:paraId="7D1733B1" w14:textId="77777777" w:rsidR="00EF59E3" w:rsidRPr="00D568EC" w:rsidRDefault="00EF59E3" w:rsidP="00D568EC">
            <w:pPr>
              <w:spacing w:before="20" w:after="20"/>
              <w:rPr>
                <w:rFonts w:cs="Arial"/>
                <w:sz w:val="20"/>
                <w:szCs w:val="22"/>
                <w:lang w:val="en-GB" w:eastAsia="en-GB"/>
              </w:rPr>
            </w:pPr>
            <w:r w:rsidRPr="00D568EC">
              <w:rPr>
                <w:rFonts w:cs="Arial"/>
                <w:sz w:val="20"/>
                <w:szCs w:val="22"/>
                <w:lang w:val="en-GB" w:eastAsia="en-GB"/>
              </w:rPr>
              <w:t>Year-to-date</w:t>
            </w:r>
          </w:p>
        </w:tc>
      </w:tr>
    </w:tbl>
    <w:p w14:paraId="3BF5D755" w14:textId="77777777" w:rsidR="00A91FF7" w:rsidRDefault="00A91FF7" w:rsidP="00A91FF7">
      <w:pPr>
        <w:rPr>
          <w:rFonts w:cs="Arial"/>
        </w:rPr>
      </w:pPr>
    </w:p>
    <w:p w14:paraId="000F0EE4" w14:textId="77777777" w:rsidR="003309FA" w:rsidRPr="006D7C73" w:rsidRDefault="003309FA" w:rsidP="00A91FF7">
      <w:pPr>
        <w:rPr>
          <w:rFonts w:cs="Arial"/>
        </w:rPr>
      </w:pPr>
    </w:p>
    <w:p w14:paraId="6152BD1B" w14:textId="77777777" w:rsidR="00A91FF7" w:rsidRPr="0052395C" w:rsidRDefault="00395FC0" w:rsidP="00A91FF7">
      <w:pPr>
        <w:pStyle w:val="ERFHeading"/>
        <w:rPr>
          <w:color w:val="365F91"/>
        </w:rPr>
      </w:pPr>
      <w:r w:rsidRPr="006D7C73">
        <w:br w:type="page"/>
      </w:r>
      <w:r>
        <w:lastRenderedPageBreak/>
        <w:t>Table of c</w:t>
      </w:r>
      <w:r w:rsidRPr="006D7C73">
        <w:t>ontents</w:t>
      </w:r>
      <w:r>
        <w:t xml:space="preserve"> </w:t>
      </w:r>
    </w:p>
    <w:p w14:paraId="3E2D9DDC" w14:textId="77777777" w:rsidR="00A91FF7" w:rsidRPr="00BA1B9E" w:rsidRDefault="00A91FF7" w:rsidP="00BA1B9E">
      <w:pPr>
        <w:pStyle w:val="GridTable31"/>
        <w:spacing w:before="0"/>
        <w:rPr>
          <w:sz w:val="2"/>
        </w:rPr>
      </w:pPr>
    </w:p>
    <w:p w14:paraId="02C16D5E" w14:textId="77777777" w:rsidR="00A03D75" w:rsidRPr="00A03D75" w:rsidRDefault="00E268FC" w:rsidP="00027774">
      <w:pPr>
        <w:pStyle w:val="TOC1"/>
        <w:rPr>
          <w:rFonts w:eastAsiaTheme="minorEastAsia" w:cstheme="minorBidi"/>
          <w:noProof/>
          <w:lang w:val="en-US" w:eastAsia="ja-JP"/>
        </w:rPr>
      </w:pPr>
      <w:r w:rsidRPr="00A03D75">
        <w:fldChar w:fldCharType="begin"/>
      </w:r>
      <w:r w:rsidR="00395FC0" w:rsidRPr="00A03D75">
        <w:instrText xml:space="preserve"> TOC \o "1-3" \h \z \u </w:instrText>
      </w:r>
      <w:r w:rsidRPr="00A03D75">
        <w:fldChar w:fldCharType="separate"/>
      </w:r>
      <w:r w:rsidR="00A03D75" w:rsidRPr="00A03D75">
        <w:rPr>
          <w:noProof/>
        </w:rPr>
        <w:t>Executive summary</w:t>
      </w:r>
      <w:r w:rsidR="00A03D75" w:rsidRPr="00A03D75">
        <w:rPr>
          <w:noProof/>
        </w:rPr>
        <w:tab/>
      </w:r>
      <w:r w:rsidR="00A03D75" w:rsidRPr="00A03D75">
        <w:rPr>
          <w:noProof/>
        </w:rPr>
        <w:fldChar w:fldCharType="begin"/>
      </w:r>
      <w:r w:rsidR="00A03D75" w:rsidRPr="00A03D75">
        <w:rPr>
          <w:noProof/>
        </w:rPr>
        <w:instrText xml:space="preserve"> PAGEREF _Toc278710483 \h </w:instrText>
      </w:r>
      <w:r w:rsidR="00A03D75" w:rsidRPr="00A03D75">
        <w:rPr>
          <w:noProof/>
        </w:rPr>
      </w:r>
      <w:r w:rsidR="00A03D75" w:rsidRPr="00A03D75">
        <w:rPr>
          <w:noProof/>
        </w:rPr>
        <w:fldChar w:fldCharType="separate"/>
      </w:r>
      <w:r w:rsidR="009C026F">
        <w:rPr>
          <w:noProof/>
        </w:rPr>
        <w:t>x</w:t>
      </w:r>
      <w:r w:rsidR="00A03D75" w:rsidRPr="00A03D75">
        <w:rPr>
          <w:noProof/>
        </w:rPr>
        <w:fldChar w:fldCharType="end"/>
      </w:r>
    </w:p>
    <w:p w14:paraId="518D5FB4" w14:textId="77777777" w:rsidR="00A03D75" w:rsidRPr="00A03D75" w:rsidRDefault="00A03D75" w:rsidP="00A03D75">
      <w:pPr>
        <w:pStyle w:val="TOC2"/>
        <w:tabs>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Introduction</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_Toc278710484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x</w:t>
      </w:r>
      <w:r w:rsidRPr="00A03D75">
        <w:rPr>
          <w:rFonts w:ascii="Arial" w:hAnsi="Arial"/>
          <w:noProof/>
          <w:sz w:val="20"/>
          <w:szCs w:val="20"/>
        </w:rPr>
        <w:fldChar w:fldCharType="end"/>
      </w:r>
    </w:p>
    <w:p w14:paraId="379D4AD8" w14:textId="77777777" w:rsidR="00A03D75" w:rsidRPr="00A03D75" w:rsidRDefault="00A03D75" w:rsidP="00A03D75">
      <w:pPr>
        <w:pStyle w:val="TOC2"/>
        <w:tabs>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Main findings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_Toc278710485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x</w:t>
      </w:r>
      <w:r w:rsidRPr="00A03D75">
        <w:rPr>
          <w:rFonts w:ascii="Arial" w:hAnsi="Arial"/>
          <w:noProof/>
          <w:sz w:val="20"/>
          <w:szCs w:val="20"/>
        </w:rPr>
        <w:fldChar w:fldCharType="end"/>
      </w:r>
    </w:p>
    <w:p w14:paraId="284D11C5" w14:textId="77777777" w:rsidR="00A03D75" w:rsidRPr="00A03D75" w:rsidRDefault="00A03D75" w:rsidP="00A03D75">
      <w:pPr>
        <w:pStyle w:val="TOC3"/>
        <w:tabs>
          <w:tab w:val="right" w:leader="dot" w:pos="8489"/>
        </w:tabs>
        <w:spacing w:after="20"/>
        <w:rPr>
          <w:rFonts w:eastAsiaTheme="minorEastAsia" w:cstheme="minorBidi"/>
          <w:noProof/>
          <w:sz w:val="20"/>
          <w:szCs w:val="20"/>
          <w:lang w:val="en-US" w:eastAsia="ja-JP"/>
        </w:rPr>
      </w:pPr>
      <w:r w:rsidRPr="00A03D75">
        <w:rPr>
          <w:noProof/>
          <w:sz w:val="20"/>
          <w:szCs w:val="20"/>
        </w:rPr>
        <w:t>Evaluation questions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_Toc278710486 \h </w:instrText>
      </w:r>
      <w:r w:rsidRPr="00A03D75">
        <w:rPr>
          <w:noProof/>
          <w:sz w:val="20"/>
          <w:szCs w:val="20"/>
        </w:rPr>
      </w:r>
      <w:r w:rsidRPr="00A03D75">
        <w:rPr>
          <w:noProof/>
          <w:sz w:val="20"/>
          <w:szCs w:val="20"/>
        </w:rPr>
        <w:fldChar w:fldCharType="separate"/>
      </w:r>
      <w:r w:rsidR="009C026F">
        <w:rPr>
          <w:noProof/>
          <w:sz w:val="20"/>
          <w:szCs w:val="20"/>
        </w:rPr>
        <w:t>xi</w:t>
      </w:r>
      <w:r w:rsidRPr="00A03D75">
        <w:rPr>
          <w:noProof/>
          <w:sz w:val="20"/>
          <w:szCs w:val="20"/>
        </w:rPr>
        <w:fldChar w:fldCharType="end"/>
      </w:r>
    </w:p>
    <w:p w14:paraId="2FAF691E" w14:textId="77777777" w:rsidR="00A03D75" w:rsidRPr="00A03D75" w:rsidRDefault="00A03D75" w:rsidP="00A03D75">
      <w:pPr>
        <w:pStyle w:val="TOC3"/>
        <w:tabs>
          <w:tab w:val="right" w:leader="dot" w:pos="8489"/>
        </w:tabs>
        <w:spacing w:after="20"/>
        <w:rPr>
          <w:rFonts w:eastAsiaTheme="minorEastAsia" w:cstheme="minorBidi"/>
          <w:noProof/>
          <w:sz w:val="20"/>
          <w:szCs w:val="20"/>
          <w:lang w:val="en-US" w:eastAsia="ja-JP"/>
        </w:rPr>
      </w:pPr>
      <w:r w:rsidRPr="00A03D75">
        <w:rPr>
          <w:noProof/>
          <w:sz w:val="20"/>
          <w:szCs w:val="20"/>
        </w:rPr>
        <w:t>Recommendations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_Toc278710487 \h </w:instrText>
      </w:r>
      <w:r w:rsidRPr="00A03D75">
        <w:rPr>
          <w:noProof/>
          <w:sz w:val="20"/>
          <w:szCs w:val="20"/>
        </w:rPr>
      </w:r>
      <w:r w:rsidRPr="00A03D75">
        <w:rPr>
          <w:noProof/>
          <w:sz w:val="20"/>
          <w:szCs w:val="20"/>
        </w:rPr>
        <w:fldChar w:fldCharType="separate"/>
      </w:r>
      <w:r w:rsidR="009C026F">
        <w:rPr>
          <w:noProof/>
          <w:sz w:val="20"/>
          <w:szCs w:val="20"/>
        </w:rPr>
        <w:t>xii</w:t>
      </w:r>
      <w:r w:rsidRPr="00A03D75">
        <w:rPr>
          <w:noProof/>
          <w:sz w:val="20"/>
          <w:szCs w:val="20"/>
        </w:rPr>
        <w:fldChar w:fldCharType="end"/>
      </w:r>
    </w:p>
    <w:p w14:paraId="7760605D" w14:textId="77777777" w:rsidR="00A03D75" w:rsidRPr="00A03D75" w:rsidRDefault="00A03D75" w:rsidP="00027774">
      <w:pPr>
        <w:pStyle w:val="TOC1"/>
        <w:rPr>
          <w:rFonts w:eastAsiaTheme="minorEastAsia" w:cstheme="minorBidi"/>
          <w:noProof/>
          <w:lang w:val="en-US" w:eastAsia="ja-JP"/>
        </w:rPr>
      </w:pPr>
      <w:r w:rsidRPr="00A03D75">
        <w:rPr>
          <w:noProof/>
        </w:rPr>
        <w:t>Chapter overview of this report</w:t>
      </w:r>
      <w:r w:rsidRPr="00A03D75">
        <w:rPr>
          <w:noProof/>
        </w:rPr>
        <w:tab/>
      </w:r>
      <w:r w:rsidRPr="00A03D75">
        <w:rPr>
          <w:noProof/>
        </w:rPr>
        <w:fldChar w:fldCharType="begin"/>
      </w:r>
      <w:r w:rsidRPr="00A03D75">
        <w:rPr>
          <w:noProof/>
        </w:rPr>
        <w:instrText xml:space="preserve"> PAGEREF _Toc278710488 \h </w:instrText>
      </w:r>
      <w:r w:rsidRPr="00A03D75">
        <w:rPr>
          <w:noProof/>
        </w:rPr>
      </w:r>
      <w:r w:rsidRPr="00A03D75">
        <w:rPr>
          <w:noProof/>
        </w:rPr>
        <w:fldChar w:fldCharType="separate"/>
      </w:r>
      <w:r w:rsidR="009C026F">
        <w:rPr>
          <w:noProof/>
        </w:rPr>
        <w:t>xiii</w:t>
      </w:r>
      <w:r w:rsidRPr="00A03D75">
        <w:rPr>
          <w:noProof/>
        </w:rPr>
        <w:fldChar w:fldCharType="end"/>
      </w:r>
    </w:p>
    <w:p w14:paraId="2C4458AE" w14:textId="77777777" w:rsidR="00A03D75" w:rsidRPr="00A03D75" w:rsidRDefault="00A03D75" w:rsidP="00027774">
      <w:pPr>
        <w:pStyle w:val="TOC1"/>
        <w:rPr>
          <w:rFonts w:eastAsiaTheme="minorEastAsia" w:cstheme="minorBidi"/>
          <w:noProof/>
          <w:lang w:val="en-US" w:eastAsia="ja-JP"/>
        </w:rPr>
      </w:pPr>
      <w:r w:rsidRPr="00A03D75">
        <w:rPr>
          <w:noProof/>
        </w:rPr>
        <w:t>1</w:t>
      </w:r>
      <w:r w:rsidRPr="00A03D75">
        <w:rPr>
          <w:rFonts w:eastAsiaTheme="minorEastAsia" w:cstheme="minorBidi"/>
          <w:noProof/>
          <w:lang w:val="en-US" w:eastAsia="ja-JP"/>
        </w:rPr>
        <w:tab/>
      </w:r>
      <w:r w:rsidRPr="00A03D75">
        <w:rPr>
          <w:noProof/>
        </w:rPr>
        <w:t>Introduction</w:t>
      </w:r>
      <w:r w:rsidRPr="00A03D75">
        <w:rPr>
          <w:noProof/>
        </w:rPr>
        <w:tab/>
      </w:r>
      <w:r w:rsidRPr="00A03D75">
        <w:rPr>
          <w:noProof/>
        </w:rPr>
        <w:fldChar w:fldCharType="begin"/>
      </w:r>
      <w:r w:rsidRPr="00A03D75">
        <w:rPr>
          <w:noProof/>
        </w:rPr>
        <w:instrText xml:space="preserve"> PAGEREF _Toc278710496 \h </w:instrText>
      </w:r>
      <w:r w:rsidRPr="00A03D75">
        <w:rPr>
          <w:noProof/>
        </w:rPr>
      </w:r>
      <w:r w:rsidRPr="00A03D75">
        <w:rPr>
          <w:noProof/>
        </w:rPr>
        <w:fldChar w:fldCharType="separate"/>
      </w:r>
      <w:r w:rsidR="009C026F">
        <w:rPr>
          <w:noProof/>
        </w:rPr>
        <w:t>1</w:t>
      </w:r>
      <w:r w:rsidRPr="00A03D75">
        <w:rPr>
          <w:noProof/>
        </w:rPr>
        <w:fldChar w:fldCharType="end"/>
      </w:r>
    </w:p>
    <w:p w14:paraId="550ADED4"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1.1</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Origins and objectives of the APTC</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_Toc278710497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w:t>
      </w:r>
      <w:r w:rsidRPr="00A03D75">
        <w:rPr>
          <w:rFonts w:ascii="Arial" w:hAnsi="Arial"/>
          <w:noProof/>
          <w:sz w:val="20"/>
          <w:szCs w:val="20"/>
        </w:rPr>
        <w:fldChar w:fldCharType="end"/>
      </w:r>
    </w:p>
    <w:p w14:paraId="1D136022"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1.2</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Objectives of the independent evaluation</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_Toc278710498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w:t>
      </w:r>
      <w:r w:rsidRPr="00A03D75">
        <w:rPr>
          <w:rFonts w:ascii="Arial" w:hAnsi="Arial"/>
          <w:noProof/>
          <w:sz w:val="20"/>
          <w:szCs w:val="20"/>
        </w:rPr>
        <w:fldChar w:fldCharType="end"/>
      </w:r>
    </w:p>
    <w:p w14:paraId="0B5BA829"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1.3</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Target audiences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_Toc278710499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w:t>
      </w:r>
      <w:r w:rsidRPr="00A03D75">
        <w:rPr>
          <w:rFonts w:ascii="Arial" w:hAnsi="Arial"/>
          <w:noProof/>
          <w:sz w:val="20"/>
          <w:szCs w:val="20"/>
        </w:rPr>
        <w:fldChar w:fldCharType="end"/>
      </w:r>
    </w:p>
    <w:p w14:paraId="564EDC06"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1.4</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Primary evaluation questions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_Toc278710500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w:t>
      </w:r>
      <w:r w:rsidRPr="00A03D75">
        <w:rPr>
          <w:rFonts w:ascii="Arial" w:hAnsi="Arial"/>
          <w:noProof/>
          <w:sz w:val="20"/>
          <w:szCs w:val="20"/>
        </w:rPr>
        <w:fldChar w:fldCharType="end"/>
      </w:r>
    </w:p>
    <w:p w14:paraId="2A5BB5B0"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1.5</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Methodology</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_Toc278710501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w:t>
      </w:r>
      <w:r w:rsidRPr="00A03D75">
        <w:rPr>
          <w:rFonts w:ascii="Arial" w:hAnsi="Arial"/>
          <w:noProof/>
          <w:sz w:val="20"/>
          <w:szCs w:val="20"/>
        </w:rPr>
        <w:fldChar w:fldCharType="end"/>
      </w:r>
    </w:p>
    <w:p w14:paraId="1B55DCC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1.6</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Activities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_Toc278710502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w:t>
      </w:r>
      <w:r w:rsidRPr="00A03D75">
        <w:rPr>
          <w:rFonts w:ascii="Arial" w:hAnsi="Arial"/>
          <w:noProof/>
          <w:sz w:val="20"/>
          <w:szCs w:val="20"/>
        </w:rPr>
        <w:fldChar w:fldCharType="end"/>
      </w:r>
    </w:p>
    <w:p w14:paraId="4804A9B2"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1.7</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Limitations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4</w:t>
      </w:r>
      <w:r w:rsidRPr="00A03D75">
        <w:rPr>
          <w:rFonts w:ascii="Arial" w:hAnsi="Arial"/>
          <w:noProof/>
          <w:sz w:val="20"/>
          <w:szCs w:val="20"/>
        </w:rPr>
        <w:fldChar w:fldCharType="end"/>
      </w:r>
    </w:p>
    <w:p w14:paraId="75EEE9DA"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1.8</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Context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5</w:t>
      </w:r>
      <w:r w:rsidRPr="00A03D75">
        <w:rPr>
          <w:rFonts w:ascii="Arial" w:hAnsi="Arial"/>
          <w:noProof/>
          <w:sz w:val="20"/>
          <w:szCs w:val="20"/>
        </w:rPr>
        <w:fldChar w:fldCharType="end"/>
      </w:r>
    </w:p>
    <w:p w14:paraId="698E4861"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rFonts w:eastAsia="Calibri"/>
          <w:noProof/>
          <w:sz w:val="20"/>
          <w:szCs w:val="20"/>
          <w:lang w:val="en-US"/>
        </w:rPr>
        <w:t>1.8.1</w:t>
      </w:r>
      <w:r w:rsidRPr="00A03D75">
        <w:rPr>
          <w:rFonts w:eastAsiaTheme="minorEastAsia" w:cstheme="minorBidi"/>
          <w:noProof/>
          <w:sz w:val="20"/>
          <w:szCs w:val="20"/>
          <w:lang w:val="en-US" w:eastAsia="ja-JP"/>
        </w:rPr>
        <w:tab/>
      </w:r>
      <w:r w:rsidRPr="00A03D75">
        <w:rPr>
          <w:rFonts w:eastAsia="Calibri"/>
          <w:noProof/>
          <w:sz w:val="20"/>
          <w:szCs w:val="20"/>
          <w:lang w:val="en-US"/>
        </w:rPr>
        <w:t>APTC’s unique characteristics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_Toc278710505 \h </w:instrText>
      </w:r>
      <w:r w:rsidRPr="00A03D75">
        <w:rPr>
          <w:noProof/>
          <w:sz w:val="20"/>
          <w:szCs w:val="20"/>
        </w:rPr>
      </w:r>
      <w:r w:rsidRPr="00A03D75">
        <w:rPr>
          <w:noProof/>
          <w:sz w:val="20"/>
          <w:szCs w:val="20"/>
        </w:rPr>
        <w:fldChar w:fldCharType="separate"/>
      </w:r>
      <w:r w:rsidR="009C026F">
        <w:rPr>
          <w:noProof/>
          <w:sz w:val="20"/>
          <w:szCs w:val="20"/>
        </w:rPr>
        <w:t>5</w:t>
      </w:r>
      <w:r w:rsidRPr="00A03D75">
        <w:rPr>
          <w:noProof/>
          <w:sz w:val="20"/>
          <w:szCs w:val="20"/>
        </w:rPr>
        <w:fldChar w:fldCharType="end"/>
      </w:r>
    </w:p>
    <w:p w14:paraId="127B9891"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rFonts w:eastAsia="Calibri"/>
          <w:noProof/>
          <w:sz w:val="20"/>
          <w:szCs w:val="20"/>
          <w:lang w:val="en-US"/>
        </w:rPr>
        <w:t>1.8.2</w:t>
      </w:r>
      <w:r w:rsidRPr="00A03D75">
        <w:rPr>
          <w:rFonts w:eastAsiaTheme="minorEastAsia" w:cstheme="minorBidi"/>
          <w:noProof/>
          <w:sz w:val="20"/>
          <w:szCs w:val="20"/>
          <w:lang w:val="en-US" w:eastAsia="ja-JP"/>
        </w:rPr>
        <w:tab/>
      </w:r>
      <w:r w:rsidRPr="00A03D75">
        <w:rPr>
          <w:rFonts w:eastAsia="Calibri"/>
          <w:noProof/>
          <w:sz w:val="20"/>
          <w:szCs w:val="20"/>
          <w:lang w:val="en-US"/>
        </w:rPr>
        <w:t>Country settings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_Toc278710506 \h </w:instrText>
      </w:r>
      <w:r w:rsidRPr="00A03D75">
        <w:rPr>
          <w:noProof/>
          <w:sz w:val="20"/>
          <w:szCs w:val="20"/>
        </w:rPr>
      </w:r>
      <w:r w:rsidRPr="00A03D75">
        <w:rPr>
          <w:noProof/>
          <w:sz w:val="20"/>
          <w:szCs w:val="20"/>
        </w:rPr>
        <w:fldChar w:fldCharType="separate"/>
      </w:r>
      <w:r w:rsidR="009C026F">
        <w:rPr>
          <w:noProof/>
          <w:sz w:val="20"/>
          <w:szCs w:val="20"/>
        </w:rPr>
        <w:t>5</w:t>
      </w:r>
      <w:r w:rsidRPr="00A03D75">
        <w:rPr>
          <w:noProof/>
          <w:sz w:val="20"/>
          <w:szCs w:val="20"/>
        </w:rPr>
        <w:fldChar w:fldCharType="end"/>
      </w:r>
    </w:p>
    <w:p w14:paraId="2A98B8A9"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rFonts w:eastAsia="Calibri"/>
          <w:noProof/>
          <w:sz w:val="20"/>
          <w:szCs w:val="20"/>
          <w:lang w:val="en-US"/>
        </w:rPr>
        <w:t>1.8.3</w:t>
      </w:r>
      <w:r w:rsidRPr="00A03D75">
        <w:rPr>
          <w:rFonts w:eastAsiaTheme="minorEastAsia" w:cstheme="minorBidi"/>
          <w:noProof/>
          <w:sz w:val="20"/>
          <w:szCs w:val="20"/>
          <w:lang w:val="en-US" w:eastAsia="ja-JP"/>
        </w:rPr>
        <w:tab/>
      </w:r>
      <w:r w:rsidRPr="00A03D75">
        <w:rPr>
          <w:rFonts w:eastAsia="Calibri"/>
          <w:noProof/>
          <w:sz w:val="20"/>
          <w:szCs w:val="20"/>
          <w:lang w:val="en-US"/>
        </w:rPr>
        <w:t>Strategic/policy context</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_Toc278710507 \h </w:instrText>
      </w:r>
      <w:r w:rsidRPr="00A03D75">
        <w:rPr>
          <w:noProof/>
          <w:sz w:val="20"/>
          <w:szCs w:val="20"/>
        </w:rPr>
      </w:r>
      <w:r w:rsidRPr="00A03D75">
        <w:rPr>
          <w:noProof/>
          <w:sz w:val="20"/>
          <w:szCs w:val="20"/>
        </w:rPr>
        <w:fldChar w:fldCharType="separate"/>
      </w:r>
      <w:r w:rsidR="009C026F">
        <w:rPr>
          <w:noProof/>
          <w:sz w:val="20"/>
          <w:szCs w:val="20"/>
        </w:rPr>
        <w:t>6</w:t>
      </w:r>
      <w:r w:rsidRPr="00A03D75">
        <w:rPr>
          <w:noProof/>
          <w:sz w:val="20"/>
          <w:szCs w:val="20"/>
        </w:rPr>
        <w:fldChar w:fldCharType="end"/>
      </w:r>
    </w:p>
    <w:p w14:paraId="3FF0F7E6"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1.9</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Organisation of the report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_Toc278710508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8</w:t>
      </w:r>
      <w:r w:rsidRPr="00A03D75">
        <w:rPr>
          <w:rFonts w:ascii="Arial" w:hAnsi="Arial"/>
          <w:noProof/>
          <w:sz w:val="20"/>
          <w:szCs w:val="20"/>
        </w:rPr>
        <w:fldChar w:fldCharType="end"/>
      </w:r>
    </w:p>
    <w:p w14:paraId="1A62F77E" w14:textId="77777777" w:rsidR="00A03D75" w:rsidRPr="00A03D75" w:rsidRDefault="00A03D75" w:rsidP="00027774">
      <w:pPr>
        <w:pStyle w:val="TOC1"/>
        <w:rPr>
          <w:rFonts w:eastAsiaTheme="minorEastAsia" w:cstheme="minorBidi"/>
          <w:noProof/>
          <w:lang w:val="en-US" w:eastAsia="ja-JP"/>
        </w:rPr>
      </w:pPr>
      <w:r w:rsidRPr="00A03D75">
        <w:rPr>
          <w:noProof/>
        </w:rPr>
        <w:t>2</w:t>
      </w:r>
      <w:r w:rsidRPr="00A03D75">
        <w:rPr>
          <w:rFonts w:eastAsiaTheme="minorEastAsia" w:cstheme="minorBidi"/>
          <w:noProof/>
          <w:lang w:val="en-US" w:eastAsia="ja-JP"/>
        </w:rPr>
        <w:tab/>
      </w:r>
      <w:r w:rsidRPr="00A03D75">
        <w:rPr>
          <w:noProof/>
        </w:rPr>
        <w:t>TVET capacity</w:t>
      </w:r>
      <w:r w:rsidRPr="00A03D75">
        <w:rPr>
          <w:noProof/>
        </w:rPr>
        <w:tab/>
      </w:r>
      <w:r w:rsidRPr="00A03D75">
        <w:rPr>
          <w:noProof/>
        </w:rPr>
        <w:fldChar w:fldCharType="begin"/>
      </w:r>
      <w:r w:rsidRPr="00A03D75">
        <w:rPr>
          <w:noProof/>
        </w:rPr>
        <w:instrText xml:space="preserve"> PAGEREF _Toc278710509 \h </w:instrText>
      </w:r>
      <w:r w:rsidRPr="00A03D75">
        <w:rPr>
          <w:noProof/>
        </w:rPr>
      </w:r>
      <w:r w:rsidRPr="00A03D75">
        <w:rPr>
          <w:noProof/>
        </w:rPr>
        <w:fldChar w:fldCharType="separate"/>
      </w:r>
      <w:r w:rsidR="009C026F">
        <w:rPr>
          <w:noProof/>
        </w:rPr>
        <w:t>8</w:t>
      </w:r>
      <w:r w:rsidRPr="00A03D75">
        <w:rPr>
          <w:noProof/>
        </w:rPr>
        <w:fldChar w:fldCharType="end"/>
      </w:r>
    </w:p>
    <w:p w14:paraId="61BD5472"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2.1</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Overview</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_Toc278710510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8</w:t>
      </w:r>
      <w:r w:rsidRPr="00A03D75">
        <w:rPr>
          <w:rFonts w:ascii="Arial" w:hAnsi="Arial"/>
          <w:noProof/>
          <w:sz w:val="20"/>
          <w:szCs w:val="20"/>
        </w:rPr>
        <w:fldChar w:fldCharType="end"/>
      </w:r>
    </w:p>
    <w:p w14:paraId="375D71AE"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2.2</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Context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_Toc278710511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8</w:t>
      </w:r>
      <w:r w:rsidRPr="00A03D75">
        <w:rPr>
          <w:rFonts w:ascii="Arial" w:hAnsi="Arial"/>
          <w:noProof/>
          <w:sz w:val="20"/>
          <w:szCs w:val="20"/>
        </w:rPr>
        <w:fldChar w:fldCharType="end"/>
      </w:r>
    </w:p>
    <w:p w14:paraId="16DEF901"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2.3</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APTC’s capacity for skills development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_Toc278710512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9</w:t>
      </w:r>
      <w:r w:rsidRPr="00A03D75">
        <w:rPr>
          <w:rFonts w:ascii="Arial" w:hAnsi="Arial"/>
          <w:noProof/>
          <w:sz w:val="20"/>
          <w:szCs w:val="20"/>
        </w:rPr>
        <w:fldChar w:fldCharType="end"/>
      </w:r>
    </w:p>
    <w:p w14:paraId="03035836"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2.3.1</w:t>
      </w:r>
      <w:r w:rsidRPr="00A03D75">
        <w:rPr>
          <w:rFonts w:eastAsiaTheme="minorEastAsia" w:cstheme="minorBidi"/>
          <w:noProof/>
          <w:sz w:val="20"/>
          <w:szCs w:val="20"/>
          <w:lang w:val="en-US" w:eastAsia="ja-JP"/>
        </w:rPr>
        <w:tab/>
      </w:r>
      <w:r w:rsidRPr="00A03D75">
        <w:rPr>
          <w:noProof/>
          <w:sz w:val="20"/>
          <w:szCs w:val="20"/>
        </w:rPr>
        <w:t>Quantitative capacity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_Toc278710513 \h </w:instrText>
      </w:r>
      <w:r w:rsidRPr="00A03D75">
        <w:rPr>
          <w:noProof/>
          <w:sz w:val="20"/>
          <w:szCs w:val="20"/>
        </w:rPr>
      </w:r>
      <w:r w:rsidRPr="00A03D75">
        <w:rPr>
          <w:noProof/>
          <w:sz w:val="20"/>
          <w:szCs w:val="20"/>
        </w:rPr>
        <w:fldChar w:fldCharType="separate"/>
      </w:r>
      <w:r w:rsidR="009C026F">
        <w:rPr>
          <w:noProof/>
          <w:sz w:val="20"/>
          <w:szCs w:val="20"/>
        </w:rPr>
        <w:t>9</w:t>
      </w:r>
      <w:r w:rsidRPr="00A03D75">
        <w:rPr>
          <w:noProof/>
          <w:sz w:val="20"/>
          <w:szCs w:val="20"/>
        </w:rPr>
        <w:fldChar w:fldCharType="end"/>
      </w:r>
    </w:p>
    <w:p w14:paraId="325BAF9D"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2.3.2</w:t>
      </w:r>
      <w:r w:rsidRPr="00A03D75">
        <w:rPr>
          <w:rFonts w:eastAsiaTheme="minorEastAsia" w:cstheme="minorBidi"/>
          <w:noProof/>
          <w:sz w:val="20"/>
          <w:szCs w:val="20"/>
          <w:lang w:val="en-US" w:eastAsia="ja-JP"/>
        </w:rPr>
        <w:tab/>
      </w:r>
      <w:r w:rsidRPr="00A03D75">
        <w:rPr>
          <w:noProof/>
          <w:sz w:val="20"/>
          <w:szCs w:val="20"/>
        </w:rPr>
        <w:t>Quality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_Toc278710514 \h </w:instrText>
      </w:r>
      <w:r w:rsidRPr="00A03D75">
        <w:rPr>
          <w:noProof/>
          <w:sz w:val="20"/>
          <w:szCs w:val="20"/>
        </w:rPr>
      </w:r>
      <w:r w:rsidRPr="00A03D75">
        <w:rPr>
          <w:noProof/>
          <w:sz w:val="20"/>
          <w:szCs w:val="20"/>
        </w:rPr>
        <w:fldChar w:fldCharType="separate"/>
      </w:r>
      <w:r w:rsidR="009C026F">
        <w:rPr>
          <w:noProof/>
          <w:sz w:val="20"/>
          <w:szCs w:val="20"/>
        </w:rPr>
        <w:t>9</w:t>
      </w:r>
      <w:r w:rsidRPr="00A03D75">
        <w:rPr>
          <w:noProof/>
          <w:sz w:val="20"/>
          <w:szCs w:val="20"/>
        </w:rPr>
        <w:fldChar w:fldCharType="end"/>
      </w:r>
    </w:p>
    <w:p w14:paraId="026CE306"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2.3.3</w:t>
      </w:r>
      <w:r w:rsidRPr="00A03D75">
        <w:rPr>
          <w:rFonts w:eastAsiaTheme="minorEastAsia" w:cstheme="minorBidi"/>
          <w:noProof/>
          <w:sz w:val="20"/>
          <w:szCs w:val="20"/>
          <w:lang w:val="en-US" w:eastAsia="ja-JP"/>
        </w:rPr>
        <w:tab/>
      </w:r>
      <w:r w:rsidRPr="00A03D75">
        <w:rPr>
          <w:noProof/>
          <w:sz w:val="20"/>
          <w:szCs w:val="20"/>
        </w:rPr>
        <w:t>Nationalisation of the teaching workforce</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_Toc278710515 \h </w:instrText>
      </w:r>
      <w:r w:rsidRPr="00A03D75">
        <w:rPr>
          <w:noProof/>
          <w:sz w:val="20"/>
          <w:szCs w:val="20"/>
        </w:rPr>
      </w:r>
      <w:r w:rsidRPr="00A03D75">
        <w:rPr>
          <w:noProof/>
          <w:sz w:val="20"/>
          <w:szCs w:val="20"/>
        </w:rPr>
        <w:fldChar w:fldCharType="separate"/>
      </w:r>
      <w:r w:rsidR="009C026F">
        <w:rPr>
          <w:noProof/>
          <w:sz w:val="20"/>
          <w:szCs w:val="20"/>
        </w:rPr>
        <w:t>9</w:t>
      </w:r>
      <w:r w:rsidRPr="00A03D75">
        <w:rPr>
          <w:noProof/>
          <w:sz w:val="20"/>
          <w:szCs w:val="20"/>
        </w:rPr>
        <w:fldChar w:fldCharType="end"/>
      </w:r>
    </w:p>
    <w:p w14:paraId="264DFE26"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2.3.4</w:t>
      </w:r>
      <w:r w:rsidRPr="00A03D75">
        <w:rPr>
          <w:rFonts w:eastAsiaTheme="minorEastAsia" w:cstheme="minorBidi"/>
          <w:noProof/>
          <w:sz w:val="20"/>
          <w:szCs w:val="20"/>
          <w:lang w:val="en-US" w:eastAsia="ja-JP"/>
        </w:rPr>
        <w:tab/>
      </w:r>
      <w:r w:rsidRPr="00A03D75">
        <w:rPr>
          <w:noProof/>
          <w:sz w:val="20"/>
          <w:szCs w:val="20"/>
        </w:rPr>
        <w:t>Challenges faced by staff and students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_Toc278710516 \h </w:instrText>
      </w:r>
      <w:r w:rsidRPr="00A03D75">
        <w:rPr>
          <w:noProof/>
          <w:sz w:val="20"/>
          <w:szCs w:val="20"/>
        </w:rPr>
      </w:r>
      <w:r w:rsidRPr="00A03D75">
        <w:rPr>
          <w:noProof/>
          <w:sz w:val="20"/>
          <w:szCs w:val="20"/>
        </w:rPr>
        <w:fldChar w:fldCharType="separate"/>
      </w:r>
      <w:r w:rsidR="009C026F">
        <w:rPr>
          <w:noProof/>
          <w:sz w:val="20"/>
          <w:szCs w:val="20"/>
        </w:rPr>
        <w:t>10</w:t>
      </w:r>
      <w:r w:rsidRPr="00A03D75">
        <w:rPr>
          <w:noProof/>
          <w:sz w:val="20"/>
          <w:szCs w:val="20"/>
        </w:rPr>
        <w:fldChar w:fldCharType="end"/>
      </w:r>
    </w:p>
    <w:p w14:paraId="191BCEA7"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2.3.5</w:t>
      </w:r>
      <w:r w:rsidRPr="00A03D75">
        <w:rPr>
          <w:rFonts w:eastAsiaTheme="minorEastAsia" w:cstheme="minorBidi"/>
          <w:noProof/>
          <w:sz w:val="20"/>
          <w:szCs w:val="20"/>
          <w:lang w:val="en-US" w:eastAsia="ja-JP"/>
        </w:rPr>
        <w:tab/>
      </w:r>
      <w:r w:rsidRPr="00A03D75">
        <w:rPr>
          <w:noProof/>
          <w:sz w:val="20"/>
          <w:szCs w:val="20"/>
        </w:rPr>
        <w:t>Delivery strategies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_Toc278710517 \h </w:instrText>
      </w:r>
      <w:r w:rsidRPr="00A03D75">
        <w:rPr>
          <w:noProof/>
          <w:sz w:val="20"/>
          <w:szCs w:val="20"/>
        </w:rPr>
      </w:r>
      <w:r w:rsidRPr="00A03D75">
        <w:rPr>
          <w:noProof/>
          <w:sz w:val="20"/>
          <w:szCs w:val="20"/>
        </w:rPr>
        <w:fldChar w:fldCharType="separate"/>
      </w:r>
      <w:r w:rsidR="009C026F">
        <w:rPr>
          <w:noProof/>
          <w:sz w:val="20"/>
          <w:szCs w:val="20"/>
        </w:rPr>
        <w:t>10</w:t>
      </w:r>
      <w:r w:rsidRPr="00A03D75">
        <w:rPr>
          <w:noProof/>
          <w:sz w:val="20"/>
          <w:szCs w:val="20"/>
        </w:rPr>
        <w:fldChar w:fldCharType="end"/>
      </w:r>
    </w:p>
    <w:p w14:paraId="5AD394CA"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2.3.6</w:t>
      </w:r>
      <w:r w:rsidRPr="00A03D75">
        <w:rPr>
          <w:rFonts w:eastAsiaTheme="minorEastAsia" w:cstheme="minorBidi"/>
          <w:noProof/>
          <w:sz w:val="20"/>
          <w:szCs w:val="20"/>
          <w:lang w:val="en-US" w:eastAsia="ja-JP"/>
        </w:rPr>
        <w:tab/>
      </w:r>
      <w:r w:rsidRPr="00A03D75">
        <w:rPr>
          <w:noProof/>
          <w:sz w:val="20"/>
          <w:szCs w:val="20"/>
        </w:rPr>
        <w:t>Partnerships and articulation pathways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_Toc278710518 \h </w:instrText>
      </w:r>
      <w:r w:rsidRPr="00A03D75">
        <w:rPr>
          <w:noProof/>
          <w:sz w:val="20"/>
          <w:szCs w:val="20"/>
        </w:rPr>
      </w:r>
      <w:r w:rsidRPr="00A03D75">
        <w:rPr>
          <w:noProof/>
          <w:sz w:val="20"/>
          <w:szCs w:val="20"/>
        </w:rPr>
        <w:fldChar w:fldCharType="separate"/>
      </w:r>
      <w:r w:rsidR="009C026F">
        <w:rPr>
          <w:noProof/>
          <w:sz w:val="20"/>
          <w:szCs w:val="20"/>
        </w:rPr>
        <w:t>10</w:t>
      </w:r>
      <w:r w:rsidRPr="00A03D75">
        <w:rPr>
          <w:noProof/>
          <w:sz w:val="20"/>
          <w:szCs w:val="20"/>
        </w:rPr>
        <w:fldChar w:fldCharType="end"/>
      </w:r>
    </w:p>
    <w:p w14:paraId="01FFE519"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2.3.7</w:t>
      </w:r>
      <w:r w:rsidRPr="00A03D75">
        <w:rPr>
          <w:rFonts w:eastAsiaTheme="minorEastAsia" w:cstheme="minorBidi"/>
          <w:noProof/>
          <w:sz w:val="20"/>
          <w:szCs w:val="20"/>
          <w:lang w:val="en-US" w:eastAsia="ja-JP"/>
        </w:rPr>
        <w:tab/>
      </w:r>
      <w:r w:rsidRPr="00A03D75">
        <w:rPr>
          <w:noProof/>
          <w:sz w:val="20"/>
          <w:szCs w:val="20"/>
        </w:rPr>
        <w:t>Catering for country characteristics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_Toc278710519 \h </w:instrText>
      </w:r>
      <w:r w:rsidRPr="00A03D75">
        <w:rPr>
          <w:noProof/>
          <w:sz w:val="20"/>
          <w:szCs w:val="20"/>
        </w:rPr>
      </w:r>
      <w:r w:rsidRPr="00A03D75">
        <w:rPr>
          <w:noProof/>
          <w:sz w:val="20"/>
          <w:szCs w:val="20"/>
        </w:rPr>
        <w:fldChar w:fldCharType="separate"/>
      </w:r>
      <w:r w:rsidR="009C026F">
        <w:rPr>
          <w:noProof/>
          <w:sz w:val="20"/>
          <w:szCs w:val="20"/>
        </w:rPr>
        <w:t>10</w:t>
      </w:r>
      <w:r w:rsidRPr="00A03D75">
        <w:rPr>
          <w:noProof/>
          <w:sz w:val="20"/>
          <w:szCs w:val="20"/>
        </w:rPr>
        <w:fldChar w:fldCharType="end"/>
      </w:r>
    </w:p>
    <w:p w14:paraId="5104B025"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2.4</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APTC’s engagement with industry and employers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_Toc278710520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11</w:t>
      </w:r>
      <w:r w:rsidRPr="00A03D75">
        <w:rPr>
          <w:rFonts w:ascii="Arial" w:hAnsi="Arial"/>
          <w:noProof/>
          <w:sz w:val="20"/>
          <w:szCs w:val="20"/>
        </w:rPr>
        <w:fldChar w:fldCharType="end"/>
      </w:r>
    </w:p>
    <w:p w14:paraId="3BE660E6"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2.5</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Equitable provision of APTC services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_Toc278710521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12</w:t>
      </w:r>
      <w:r w:rsidRPr="00A03D75">
        <w:rPr>
          <w:rFonts w:ascii="Arial" w:hAnsi="Arial"/>
          <w:noProof/>
          <w:sz w:val="20"/>
          <w:szCs w:val="20"/>
        </w:rPr>
        <w:fldChar w:fldCharType="end"/>
      </w:r>
    </w:p>
    <w:p w14:paraId="10201FCA"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2.6</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Governance and management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_Toc278710522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13</w:t>
      </w:r>
      <w:r w:rsidRPr="00A03D75">
        <w:rPr>
          <w:rFonts w:ascii="Arial" w:hAnsi="Arial"/>
          <w:noProof/>
          <w:sz w:val="20"/>
          <w:szCs w:val="20"/>
        </w:rPr>
        <w:fldChar w:fldCharType="end"/>
      </w:r>
    </w:p>
    <w:p w14:paraId="3B703FC1"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2.7</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Constraints and opportunities for further development of  APTC’s capacity</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14</w:t>
      </w:r>
      <w:r w:rsidRPr="00A03D75">
        <w:rPr>
          <w:rFonts w:ascii="Arial" w:hAnsi="Arial"/>
          <w:noProof/>
          <w:sz w:val="20"/>
          <w:szCs w:val="20"/>
        </w:rPr>
        <w:fldChar w:fldCharType="end"/>
      </w:r>
    </w:p>
    <w:p w14:paraId="5C4AB1DE"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2.8</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APTC’s influence on building capacity of other Pacific TVET institutions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15</w:t>
      </w:r>
      <w:r w:rsidRPr="00A03D75">
        <w:rPr>
          <w:rFonts w:ascii="Arial" w:hAnsi="Arial"/>
          <w:noProof/>
          <w:sz w:val="20"/>
          <w:szCs w:val="20"/>
        </w:rPr>
        <w:fldChar w:fldCharType="end"/>
      </w:r>
    </w:p>
    <w:p w14:paraId="38967AEC"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2.9</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Findings and conclusions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_Toc278710525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15</w:t>
      </w:r>
      <w:r w:rsidRPr="00A03D75">
        <w:rPr>
          <w:rFonts w:ascii="Arial" w:hAnsi="Arial"/>
          <w:noProof/>
          <w:sz w:val="20"/>
          <w:szCs w:val="20"/>
        </w:rPr>
        <w:fldChar w:fldCharType="end"/>
      </w:r>
    </w:p>
    <w:p w14:paraId="7FF69170" w14:textId="77777777" w:rsidR="00A03D75" w:rsidRPr="00A03D75" w:rsidRDefault="00A03D75" w:rsidP="00027774">
      <w:pPr>
        <w:pStyle w:val="TOC1"/>
        <w:rPr>
          <w:rFonts w:eastAsiaTheme="minorEastAsia" w:cstheme="minorBidi"/>
          <w:noProof/>
          <w:lang w:val="en-US" w:eastAsia="ja-JP"/>
        </w:rPr>
      </w:pPr>
      <w:r w:rsidRPr="00A03D75">
        <w:rPr>
          <w:noProof/>
        </w:rPr>
        <w:t>3</w:t>
      </w:r>
      <w:r w:rsidRPr="00A03D75">
        <w:rPr>
          <w:rFonts w:eastAsiaTheme="minorEastAsia" w:cstheme="minorBidi"/>
          <w:noProof/>
          <w:lang w:val="en-US" w:eastAsia="ja-JP"/>
        </w:rPr>
        <w:tab/>
      </w:r>
      <w:r w:rsidRPr="00A03D75">
        <w:rPr>
          <w:noProof/>
        </w:rPr>
        <w:t>Labour mobility</w:t>
      </w:r>
      <w:r w:rsidRPr="00A03D75">
        <w:rPr>
          <w:noProof/>
        </w:rPr>
        <w:tab/>
      </w:r>
      <w:r w:rsidRPr="00A03D75">
        <w:rPr>
          <w:noProof/>
        </w:rPr>
        <w:fldChar w:fldCharType="begin"/>
      </w:r>
      <w:r w:rsidRPr="00A03D75">
        <w:rPr>
          <w:noProof/>
        </w:rPr>
        <w:instrText xml:space="preserve"> PAGEREF _Toc278710526 \h </w:instrText>
      </w:r>
      <w:r w:rsidRPr="00A03D75">
        <w:rPr>
          <w:noProof/>
        </w:rPr>
      </w:r>
      <w:r w:rsidRPr="00A03D75">
        <w:rPr>
          <w:noProof/>
        </w:rPr>
        <w:fldChar w:fldCharType="separate"/>
      </w:r>
      <w:r w:rsidR="009C026F">
        <w:rPr>
          <w:noProof/>
        </w:rPr>
        <w:t>16</w:t>
      </w:r>
      <w:r w:rsidRPr="00A03D75">
        <w:rPr>
          <w:noProof/>
        </w:rPr>
        <w:fldChar w:fldCharType="end"/>
      </w:r>
    </w:p>
    <w:p w14:paraId="3136707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3.1</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APTC training and access to regional and international labour markets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_Toc278710527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16</w:t>
      </w:r>
      <w:r w:rsidRPr="00A03D75">
        <w:rPr>
          <w:rFonts w:ascii="Arial" w:hAnsi="Arial"/>
          <w:noProof/>
          <w:sz w:val="20"/>
          <w:szCs w:val="20"/>
        </w:rPr>
        <w:fldChar w:fldCharType="end"/>
      </w:r>
    </w:p>
    <w:p w14:paraId="108686E4"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3.1.1</w:t>
      </w:r>
      <w:r w:rsidRPr="00A03D75">
        <w:rPr>
          <w:rFonts w:eastAsiaTheme="minorEastAsia" w:cstheme="minorBidi"/>
          <w:noProof/>
          <w:sz w:val="20"/>
          <w:szCs w:val="20"/>
          <w:lang w:val="en-US" w:eastAsia="ja-JP"/>
        </w:rPr>
        <w:tab/>
      </w:r>
      <w:r w:rsidRPr="00A03D75">
        <w:rPr>
          <w:noProof/>
          <w:sz w:val="20"/>
          <w:szCs w:val="20"/>
        </w:rPr>
        <w:t>Background</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_Toc278710528 \h </w:instrText>
      </w:r>
      <w:r w:rsidRPr="00A03D75">
        <w:rPr>
          <w:noProof/>
          <w:sz w:val="20"/>
          <w:szCs w:val="20"/>
        </w:rPr>
      </w:r>
      <w:r w:rsidRPr="00A03D75">
        <w:rPr>
          <w:noProof/>
          <w:sz w:val="20"/>
          <w:szCs w:val="20"/>
        </w:rPr>
        <w:fldChar w:fldCharType="separate"/>
      </w:r>
      <w:r w:rsidR="009C026F">
        <w:rPr>
          <w:noProof/>
          <w:sz w:val="20"/>
          <w:szCs w:val="20"/>
        </w:rPr>
        <w:t>16</w:t>
      </w:r>
      <w:r w:rsidRPr="00A03D75">
        <w:rPr>
          <w:noProof/>
          <w:sz w:val="20"/>
          <w:szCs w:val="20"/>
        </w:rPr>
        <w:fldChar w:fldCharType="end"/>
      </w:r>
    </w:p>
    <w:p w14:paraId="13F188A3" w14:textId="143071BD" w:rsidR="00A03D75" w:rsidRPr="00A03D75" w:rsidRDefault="00A03D75" w:rsidP="00027774">
      <w:pPr>
        <w:pStyle w:val="TOC3"/>
        <w:tabs>
          <w:tab w:val="left" w:pos="1169"/>
          <w:tab w:val="right" w:leader="dot" w:pos="8489"/>
        </w:tabs>
        <w:spacing w:after="20"/>
        <w:ind w:left="1160" w:hanging="720"/>
        <w:rPr>
          <w:rFonts w:eastAsiaTheme="minorEastAsia" w:cstheme="minorBidi"/>
          <w:noProof/>
          <w:sz w:val="20"/>
          <w:szCs w:val="20"/>
          <w:lang w:val="en-US" w:eastAsia="ja-JP"/>
        </w:rPr>
      </w:pPr>
      <w:r w:rsidRPr="00A03D75">
        <w:rPr>
          <w:noProof/>
          <w:sz w:val="20"/>
          <w:szCs w:val="20"/>
        </w:rPr>
        <w:t>3.1.2</w:t>
      </w:r>
      <w:r w:rsidRPr="00A03D75">
        <w:rPr>
          <w:rFonts w:eastAsiaTheme="minorEastAsia" w:cstheme="minorBidi"/>
          <w:noProof/>
          <w:sz w:val="20"/>
          <w:szCs w:val="20"/>
          <w:lang w:val="en-US" w:eastAsia="ja-JP"/>
        </w:rPr>
        <w:tab/>
      </w:r>
      <w:r w:rsidRPr="00A03D75">
        <w:rPr>
          <w:noProof/>
          <w:sz w:val="20"/>
          <w:szCs w:val="20"/>
        </w:rPr>
        <w:t xml:space="preserve">The extent to which graduates have taken up Pacific regional and </w:t>
      </w:r>
      <w:r w:rsidR="00027774">
        <w:rPr>
          <w:noProof/>
          <w:sz w:val="20"/>
          <w:szCs w:val="20"/>
        </w:rPr>
        <w:br/>
      </w:r>
      <w:r w:rsidRPr="00A03D75">
        <w:rPr>
          <w:noProof/>
          <w:sz w:val="20"/>
          <w:szCs w:val="20"/>
        </w:rPr>
        <w:t>international employment</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_Toc278710529 \h </w:instrText>
      </w:r>
      <w:r w:rsidRPr="00A03D75">
        <w:rPr>
          <w:noProof/>
          <w:sz w:val="20"/>
          <w:szCs w:val="20"/>
        </w:rPr>
      </w:r>
      <w:r w:rsidRPr="00A03D75">
        <w:rPr>
          <w:noProof/>
          <w:sz w:val="20"/>
          <w:szCs w:val="20"/>
        </w:rPr>
        <w:fldChar w:fldCharType="separate"/>
      </w:r>
      <w:r w:rsidR="009C026F">
        <w:rPr>
          <w:noProof/>
          <w:sz w:val="20"/>
          <w:szCs w:val="20"/>
        </w:rPr>
        <w:t>17</w:t>
      </w:r>
      <w:r w:rsidRPr="00A03D75">
        <w:rPr>
          <w:noProof/>
          <w:sz w:val="20"/>
          <w:szCs w:val="20"/>
        </w:rPr>
        <w:fldChar w:fldCharType="end"/>
      </w:r>
    </w:p>
    <w:p w14:paraId="34138459"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3.1.3</w:t>
      </w:r>
      <w:r w:rsidRPr="00A03D75">
        <w:rPr>
          <w:rFonts w:eastAsiaTheme="minorEastAsia" w:cstheme="minorBidi"/>
          <w:noProof/>
          <w:sz w:val="20"/>
          <w:szCs w:val="20"/>
          <w:lang w:val="en-US" w:eastAsia="ja-JP"/>
        </w:rPr>
        <w:tab/>
      </w:r>
      <w:r w:rsidRPr="00A03D75">
        <w:rPr>
          <w:noProof/>
          <w:sz w:val="20"/>
          <w:szCs w:val="20"/>
        </w:rPr>
        <w:t>Major factors influencing graduate choices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_Toc278710530 \h </w:instrText>
      </w:r>
      <w:r w:rsidRPr="00A03D75">
        <w:rPr>
          <w:noProof/>
          <w:sz w:val="20"/>
          <w:szCs w:val="20"/>
        </w:rPr>
      </w:r>
      <w:r w:rsidRPr="00A03D75">
        <w:rPr>
          <w:noProof/>
          <w:sz w:val="20"/>
          <w:szCs w:val="20"/>
        </w:rPr>
        <w:fldChar w:fldCharType="separate"/>
      </w:r>
      <w:r w:rsidR="009C026F">
        <w:rPr>
          <w:noProof/>
          <w:sz w:val="20"/>
          <w:szCs w:val="20"/>
        </w:rPr>
        <w:t>18</w:t>
      </w:r>
      <w:r w:rsidRPr="00A03D75">
        <w:rPr>
          <w:noProof/>
          <w:sz w:val="20"/>
          <w:szCs w:val="20"/>
        </w:rPr>
        <w:fldChar w:fldCharType="end"/>
      </w:r>
    </w:p>
    <w:p w14:paraId="6BC90779"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en-AU"/>
        </w:rPr>
        <w:t>3.1.4</w:t>
      </w:r>
      <w:r w:rsidRPr="00A03D75">
        <w:rPr>
          <w:rFonts w:eastAsiaTheme="minorEastAsia" w:cstheme="minorBidi"/>
          <w:noProof/>
          <w:sz w:val="20"/>
          <w:szCs w:val="20"/>
          <w:lang w:val="en-US" w:eastAsia="ja-JP"/>
        </w:rPr>
        <w:tab/>
      </w:r>
      <w:r w:rsidRPr="00A03D75">
        <w:rPr>
          <w:noProof/>
          <w:sz w:val="20"/>
          <w:szCs w:val="20"/>
          <w:lang w:eastAsia="en-AU"/>
        </w:rPr>
        <w:t>Obstacles to migration</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_Toc278710531 \h </w:instrText>
      </w:r>
      <w:r w:rsidRPr="00A03D75">
        <w:rPr>
          <w:noProof/>
          <w:sz w:val="20"/>
          <w:szCs w:val="20"/>
        </w:rPr>
      </w:r>
      <w:r w:rsidRPr="00A03D75">
        <w:rPr>
          <w:noProof/>
          <w:sz w:val="20"/>
          <w:szCs w:val="20"/>
        </w:rPr>
        <w:fldChar w:fldCharType="separate"/>
      </w:r>
      <w:r w:rsidR="009C026F">
        <w:rPr>
          <w:noProof/>
          <w:sz w:val="20"/>
          <w:szCs w:val="20"/>
        </w:rPr>
        <w:t>18</w:t>
      </w:r>
      <w:r w:rsidRPr="00A03D75">
        <w:rPr>
          <w:noProof/>
          <w:sz w:val="20"/>
          <w:szCs w:val="20"/>
        </w:rPr>
        <w:fldChar w:fldCharType="end"/>
      </w:r>
    </w:p>
    <w:p w14:paraId="1A308F31"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3.1.5</w:t>
      </w:r>
      <w:r w:rsidRPr="00A03D75">
        <w:rPr>
          <w:rFonts w:eastAsiaTheme="minorEastAsia" w:cstheme="minorBidi"/>
          <w:noProof/>
          <w:sz w:val="20"/>
          <w:szCs w:val="20"/>
          <w:lang w:val="en-US" w:eastAsia="ja-JP"/>
        </w:rPr>
        <w:tab/>
      </w:r>
      <w:r w:rsidRPr="00A03D75">
        <w:rPr>
          <w:noProof/>
          <w:sz w:val="20"/>
          <w:szCs w:val="20"/>
          <w:lang w:eastAsia="zh-CN"/>
        </w:rPr>
        <w:t>Changes in Australia’s skilled migrant system</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_Toc278710532 \h </w:instrText>
      </w:r>
      <w:r w:rsidRPr="00A03D75">
        <w:rPr>
          <w:noProof/>
          <w:sz w:val="20"/>
          <w:szCs w:val="20"/>
        </w:rPr>
      </w:r>
      <w:r w:rsidRPr="00A03D75">
        <w:rPr>
          <w:noProof/>
          <w:sz w:val="20"/>
          <w:szCs w:val="20"/>
        </w:rPr>
        <w:fldChar w:fldCharType="separate"/>
      </w:r>
      <w:r w:rsidR="009C026F">
        <w:rPr>
          <w:noProof/>
          <w:sz w:val="20"/>
          <w:szCs w:val="20"/>
        </w:rPr>
        <w:t>19</w:t>
      </w:r>
      <w:r w:rsidRPr="00A03D75">
        <w:rPr>
          <w:noProof/>
          <w:sz w:val="20"/>
          <w:szCs w:val="20"/>
        </w:rPr>
        <w:fldChar w:fldCharType="end"/>
      </w:r>
    </w:p>
    <w:p w14:paraId="53F2035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3.2</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 xml:space="preserve">Match between APTC qualifications and Australian labour  </w:t>
      </w:r>
      <w:r w:rsidRPr="00A03D75">
        <w:rPr>
          <w:rFonts w:ascii="Arial" w:hAnsi="Arial"/>
          <w:noProof/>
          <w:sz w:val="20"/>
          <w:szCs w:val="20"/>
        </w:rPr>
        <w:t>market demand</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20</w:t>
      </w:r>
      <w:r w:rsidRPr="00A03D75">
        <w:rPr>
          <w:rFonts w:ascii="Arial" w:hAnsi="Arial"/>
          <w:noProof/>
          <w:sz w:val="20"/>
          <w:szCs w:val="20"/>
        </w:rPr>
        <w:fldChar w:fldCharType="end"/>
      </w:r>
    </w:p>
    <w:p w14:paraId="067832AD"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3.3</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APTC provision of valid international qualifications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20</w:t>
      </w:r>
      <w:r w:rsidRPr="00A03D75">
        <w:rPr>
          <w:rFonts w:ascii="Arial" w:hAnsi="Arial"/>
          <w:noProof/>
          <w:sz w:val="20"/>
          <w:szCs w:val="20"/>
        </w:rPr>
        <w:fldChar w:fldCharType="end"/>
      </w:r>
    </w:p>
    <w:p w14:paraId="4C3CBE2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3.4</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Information, search skills and support for regional and international</w:t>
      </w:r>
      <w:r w:rsidRPr="00A03D75">
        <w:rPr>
          <w:rFonts w:ascii="Arial" w:hAnsi="Arial"/>
          <w:noProof/>
          <w:sz w:val="20"/>
          <w:szCs w:val="20"/>
          <w:lang w:eastAsia="zh-CN"/>
        </w:rPr>
        <w:t xml:space="preserve"> employment</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_Toc278710535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20</w:t>
      </w:r>
      <w:r w:rsidRPr="00A03D75">
        <w:rPr>
          <w:rFonts w:ascii="Arial" w:hAnsi="Arial"/>
          <w:noProof/>
          <w:sz w:val="20"/>
          <w:szCs w:val="20"/>
        </w:rPr>
        <w:fldChar w:fldCharType="end"/>
      </w:r>
    </w:p>
    <w:p w14:paraId="5158F8C6"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3.5</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Conclusions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_Toc278710536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21</w:t>
      </w:r>
      <w:r w:rsidRPr="00A03D75">
        <w:rPr>
          <w:rFonts w:ascii="Arial" w:hAnsi="Arial"/>
          <w:noProof/>
          <w:sz w:val="20"/>
          <w:szCs w:val="20"/>
        </w:rPr>
        <w:fldChar w:fldCharType="end"/>
      </w:r>
    </w:p>
    <w:p w14:paraId="4DF82A72" w14:textId="77777777" w:rsidR="002F090D" w:rsidRDefault="002F090D">
      <w:pPr>
        <w:spacing w:after="0"/>
        <w:rPr>
          <w:b/>
          <w:noProof/>
          <w:sz w:val="20"/>
          <w:lang w:eastAsia="zh-CN"/>
        </w:rPr>
      </w:pPr>
      <w:r>
        <w:rPr>
          <w:noProof/>
          <w:lang w:eastAsia="zh-CN"/>
        </w:rPr>
        <w:br w:type="page"/>
      </w:r>
    </w:p>
    <w:p w14:paraId="44812364" w14:textId="77777777" w:rsidR="002F090D" w:rsidRDefault="002F090D" w:rsidP="00027774">
      <w:pPr>
        <w:pStyle w:val="TOC1"/>
        <w:rPr>
          <w:noProof/>
          <w:lang w:eastAsia="zh-CN"/>
        </w:rPr>
      </w:pPr>
    </w:p>
    <w:p w14:paraId="5D4CACC1" w14:textId="5D457DCE" w:rsidR="00A03D75" w:rsidRPr="00A03D75" w:rsidRDefault="00A03D75" w:rsidP="00027774">
      <w:pPr>
        <w:pStyle w:val="TOC1"/>
        <w:rPr>
          <w:rFonts w:eastAsiaTheme="minorEastAsia" w:cstheme="minorBidi"/>
          <w:noProof/>
          <w:lang w:val="en-US" w:eastAsia="ja-JP"/>
        </w:rPr>
      </w:pPr>
      <w:r w:rsidRPr="00A03D75">
        <w:rPr>
          <w:noProof/>
          <w:lang w:eastAsia="zh-CN"/>
        </w:rPr>
        <w:t>4</w:t>
      </w:r>
      <w:r w:rsidRPr="00A03D75">
        <w:rPr>
          <w:rFonts w:eastAsiaTheme="minorEastAsia" w:cstheme="minorBidi"/>
          <w:noProof/>
          <w:lang w:val="en-US" w:eastAsia="ja-JP"/>
        </w:rPr>
        <w:tab/>
      </w:r>
      <w:r w:rsidRPr="00A03D75">
        <w:rPr>
          <w:noProof/>
          <w:lang w:eastAsia="zh-CN"/>
        </w:rPr>
        <w:t>Impact on graduates and employers</w:t>
      </w:r>
      <w:r w:rsidRPr="00A03D75">
        <w:rPr>
          <w:noProof/>
        </w:rPr>
        <w:tab/>
      </w:r>
      <w:r w:rsidRPr="00A03D75">
        <w:rPr>
          <w:noProof/>
        </w:rPr>
        <w:fldChar w:fldCharType="begin"/>
      </w:r>
      <w:r w:rsidRPr="00A03D75">
        <w:rPr>
          <w:noProof/>
        </w:rPr>
        <w:instrText xml:space="preserve"> PAGEREF _Toc278710537 \h </w:instrText>
      </w:r>
      <w:r w:rsidRPr="00A03D75">
        <w:rPr>
          <w:noProof/>
        </w:rPr>
      </w:r>
      <w:r w:rsidRPr="00A03D75">
        <w:rPr>
          <w:noProof/>
        </w:rPr>
        <w:fldChar w:fldCharType="separate"/>
      </w:r>
      <w:r w:rsidR="009C026F">
        <w:rPr>
          <w:noProof/>
        </w:rPr>
        <w:t>21</w:t>
      </w:r>
      <w:r w:rsidRPr="00A03D75">
        <w:rPr>
          <w:noProof/>
        </w:rPr>
        <w:fldChar w:fldCharType="end"/>
      </w:r>
    </w:p>
    <w:p w14:paraId="618C465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4.1</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Overview</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_Toc278710538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21</w:t>
      </w:r>
      <w:r w:rsidRPr="00A03D75">
        <w:rPr>
          <w:rFonts w:ascii="Arial" w:hAnsi="Arial"/>
          <w:noProof/>
          <w:sz w:val="20"/>
          <w:szCs w:val="20"/>
        </w:rPr>
        <w:fldChar w:fldCharType="end"/>
      </w:r>
    </w:p>
    <w:p w14:paraId="5D7497AE"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4.2</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Employment rates of APTC graduates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_Toc278710539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22</w:t>
      </w:r>
      <w:r w:rsidRPr="00A03D75">
        <w:rPr>
          <w:rFonts w:ascii="Arial" w:hAnsi="Arial"/>
          <w:noProof/>
          <w:sz w:val="20"/>
          <w:szCs w:val="20"/>
        </w:rPr>
        <w:fldChar w:fldCharType="end"/>
      </w:r>
    </w:p>
    <w:p w14:paraId="5CEBE100"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4.2.1</w:t>
      </w:r>
      <w:r w:rsidRPr="00A03D75">
        <w:rPr>
          <w:rFonts w:eastAsiaTheme="minorEastAsia" w:cstheme="minorBidi"/>
          <w:noProof/>
          <w:sz w:val="20"/>
          <w:szCs w:val="20"/>
          <w:lang w:val="en-US" w:eastAsia="ja-JP"/>
        </w:rPr>
        <w:tab/>
      </w:r>
      <w:r w:rsidRPr="00A03D75">
        <w:rPr>
          <w:noProof/>
          <w:sz w:val="20"/>
          <w:szCs w:val="20"/>
          <w:lang w:eastAsia="zh-CN"/>
        </w:rPr>
        <w:t>Stage I graduates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_Toc278710540 \h </w:instrText>
      </w:r>
      <w:r w:rsidRPr="00A03D75">
        <w:rPr>
          <w:noProof/>
          <w:sz w:val="20"/>
          <w:szCs w:val="20"/>
        </w:rPr>
      </w:r>
      <w:r w:rsidRPr="00A03D75">
        <w:rPr>
          <w:noProof/>
          <w:sz w:val="20"/>
          <w:szCs w:val="20"/>
        </w:rPr>
        <w:fldChar w:fldCharType="separate"/>
      </w:r>
      <w:r w:rsidR="009C026F">
        <w:rPr>
          <w:noProof/>
          <w:sz w:val="20"/>
          <w:szCs w:val="20"/>
        </w:rPr>
        <w:t>22</w:t>
      </w:r>
      <w:r w:rsidRPr="00A03D75">
        <w:rPr>
          <w:noProof/>
          <w:sz w:val="20"/>
          <w:szCs w:val="20"/>
        </w:rPr>
        <w:fldChar w:fldCharType="end"/>
      </w:r>
    </w:p>
    <w:p w14:paraId="6023A154"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4.2.2</w:t>
      </w:r>
      <w:r w:rsidRPr="00A03D75">
        <w:rPr>
          <w:rFonts w:eastAsiaTheme="minorEastAsia" w:cstheme="minorBidi"/>
          <w:noProof/>
          <w:sz w:val="20"/>
          <w:szCs w:val="20"/>
          <w:lang w:val="en-US" w:eastAsia="ja-JP"/>
        </w:rPr>
        <w:tab/>
      </w:r>
      <w:r w:rsidRPr="00A03D75">
        <w:rPr>
          <w:noProof/>
          <w:sz w:val="20"/>
          <w:szCs w:val="20"/>
          <w:lang w:eastAsia="zh-CN"/>
        </w:rPr>
        <w:t>Stage II graduates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_Toc278710541 \h </w:instrText>
      </w:r>
      <w:r w:rsidRPr="00A03D75">
        <w:rPr>
          <w:noProof/>
          <w:sz w:val="20"/>
          <w:szCs w:val="20"/>
        </w:rPr>
      </w:r>
      <w:r w:rsidRPr="00A03D75">
        <w:rPr>
          <w:noProof/>
          <w:sz w:val="20"/>
          <w:szCs w:val="20"/>
        </w:rPr>
        <w:fldChar w:fldCharType="separate"/>
      </w:r>
      <w:r w:rsidR="009C026F">
        <w:rPr>
          <w:noProof/>
          <w:sz w:val="20"/>
          <w:szCs w:val="20"/>
        </w:rPr>
        <w:t>23</w:t>
      </w:r>
      <w:r w:rsidRPr="00A03D75">
        <w:rPr>
          <w:noProof/>
          <w:sz w:val="20"/>
          <w:szCs w:val="20"/>
        </w:rPr>
        <w:fldChar w:fldCharType="end"/>
      </w:r>
    </w:p>
    <w:p w14:paraId="51F0F5AC"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4.2.3</w:t>
      </w:r>
      <w:r w:rsidRPr="00A03D75">
        <w:rPr>
          <w:rFonts w:eastAsiaTheme="minorEastAsia" w:cstheme="minorBidi"/>
          <w:noProof/>
          <w:sz w:val="20"/>
          <w:szCs w:val="20"/>
          <w:lang w:val="en-US" w:eastAsia="ja-JP"/>
        </w:rPr>
        <w:tab/>
      </w:r>
      <w:r w:rsidRPr="00A03D75">
        <w:rPr>
          <w:noProof/>
          <w:sz w:val="20"/>
          <w:szCs w:val="20"/>
          <w:lang w:eastAsia="zh-CN"/>
        </w:rPr>
        <w:t>Current employment status of APTC graduates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_Toc278710542 \h </w:instrText>
      </w:r>
      <w:r w:rsidRPr="00A03D75">
        <w:rPr>
          <w:noProof/>
          <w:sz w:val="20"/>
          <w:szCs w:val="20"/>
        </w:rPr>
      </w:r>
      <w:r w:rsidRPr="00A03D75">
        <w:rPr>
          <w:noProof/>
          <w:sz w:val="20"/>
          <w:szCs w:val="20"/>
        </w:rPr>
        <w:fldChar w:fldCharType="separate"/>
      </w:r>
      <w:r w:rsidR="009C026F">
        <w:rPr>
          <w:noProof/>
          <w:sz w:val="20"/>
          <w:szCs w:val="20"/>
        </w:rPr>
        <w:t>24</w:t>
      </w:r>
      <w:r w:rsidRPr="00A03D75">
        <w:rPr>
          <w:noProof/>
          <w:sz w:val="20"/>
          <w:szCs w:val="20"/>
        </w:rPr>
        <w:fldChar w:fldCharType="end"/>
      </w:r>
    </w:p>
    <w:p w14:paraId="240D9F61"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4.3</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Graduate employment in the same field as they were trained</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_Toc278710543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24</w:t>
      </w:r>
      <w:r w:rsidRPr="00A03D75">
        <w:rPr>
          <w:rFonts w:ascii="Arial" w:hAnsi="Arial"/>
          <w:noProof/>
          <w:sz w:val="20"/>
          <w:szCs w:val="20"/>
        </w:rPr>
        <w:fldChar w:fldCharType="end"/>
      </w:r>
    </w:p>
    <w:p w14:paraId="39A80230"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4.4</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Wage levels of graduates, before and after APTC training</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_Toc278710544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25</w:t>
      </w:r>
      <w:r w:rsidRPr="00A03D75">
        <w:rPr>
          <w:rFonts w:ascii="Arial" w:hAnsi="Arial"/>
          <w:noProof/>
          <w:sz w:val="20"/>
          <w:szCs w:val="20"/>
        </w:rPr>
        <w:fldChar w:fldCharType="end"/>
      </w:r>
    </w:p>
    <w:p w14:paraId="7D68BCE2"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4.5</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Evidence on job satisfaction, stability or promotions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_Toc278710545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25</w:t>
      </w:r>
      <w:r w:rsidRPr="00A03D75">
        <w:rPr>
          <w:rFonts w:ascii="Arial" w:hAnsi="Arial"/>
          <w:noProof/>
          <w:sz w:val="20"/>
          <w:szCs w:val="20"/>
        </w:rPr>
        <w:fldChar w:fldCharType="end"/>
      </w:r>
    </w:p>
    <w:p w14:paraId="362314F3"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4.6</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Evidence of APTC impact from employers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_Toc278710546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25</w:t>
      </w:r>
      <w:r w:rsidRPr="00A03D75">
        <w:rPr>
          <w:rFonts w:ascii="Arial" w:hAnsi="Arial"/>
          <w:noProof/>
          <w:sz w:val="20"/>
          <w:szCs w:val="20"/>
        </w:rPr>
        <w:fldChar w:fldCharType="end"/>
      </w:r>
    </w:p>
    <w:p w14:paraId="7AE78903"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4.6.1</w:t>
      </w:r>
      <w:r w:rsidRPr="00A03D75">
        <w:rPr>
          <w:rFonts w:eastAsiaTheme="minorEastAsia" w:cstheme="minorBidi"/>
          <w:noProof/>
          <w:sz w:val="20"/>
          <w:szCs w:val="20"/>
          <w:lang w:val="en-US" w:eastAsia="ja-JP"/>
        </w:rPr>
        <w:tab/>
      </w:r>
      <w:r w:rsidRPr="00A03D75">
        <w:rPr>
          <w:noProof/>
          <w:sz w:val="20"/>
          <w:szCs w:val="20"/>
          <w:lang w:eastAsia="zh-CN"/>
        </w:rPr>
        <w:t>Comparison of APTC graduates with other TVET graduates at  the same level</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_Toc278710547 \h </w:instrText>
      </w:r>
      <w:r w:rsidRPr="00A03D75">
        <w:rPr>
          <w:noProof/>
          <w:sz w:val="20"/>
          <w:szCs w:val="20"/>
        </w:rPr>
      </w:r>
      <w:r w:rsidRPr="00A03D75">
        <w:rPr>
          <w:noProof/>
          <w:sz w:val="20"/>
          <w:szCs w:val="20"/>
        </w:rPr>
        <w:fldChar w:fldCharType="separate"/>
      </w:r>
      <w:r w:rsidR="009C026F">
        <w:rPr>
          <w:noProof/>
          <w:sz w:val="20"/>
          <w:szCs w:val="20"/>
        </w:rPr>
        <w:t>26</w:t>
      </w:r>
      <w:r w:rsidRPr="00A03D75">
        <w:rPr>
          <w:noProof/>
          <w:sz w:val="20"/>
          <w:szCs w:val="20"/>
        </w:rPr>
        <w:fldChar w:fldCharType="end"/>
      </w:r>
    </w:p>
    <w:p w14:paraId="1F803705"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4.6.2</w:t>
      </w:r>
      <w:r w:rsidRPr="00A03D75">
        <w:rPr>
          <w:rFonts w:eastAsiaTheme="minorEastAsia" w:cstheme="minorBidi"/>
          <w:noProof/>
          <w:sz w:val="20"/>
          <w:szCs w:val="20"/>
          <w:lang w:val="en-US" w:eastAsia="ja-JP"/>
        </w:rPr>
        <w:tab/>
      </w:r>
      <w:r w:rsidRPr="00A03D75">
        <w:rPr>
          <w:noProof/>
          <w:sz w:val="20"/>
          <w:szCs w:val="20"/>
          <w:lang w:eastAsia="zh-CN"/>
        </w:rPr>
        <w:t>APTC graduate training of co-workers and introduction of new technologies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_Toc278710548 \h </w:instrText>
      </w:r>
      <w:r w:rsidRPr="00A03D75">
        <w:rPr>
          <w:noProof/>
          <w:sz w:val="20"/>
          <w:szCs w:val="20"/>
        </w:rPr>
      </w:r>
      <w:r w:rsidRPr="00A03D75">
        <w:rPr>
          <w:noProof/>
          <w:sz w:val="20"/>
          <w:szCs w:val="20"/>
        </w:rPr>
        <w:fldChar w:fldCharType="separate"/>
      </w:r>
      <w:r w:rsidR="009C026F">
        <w:rPr>
          <w:noProof/>
          <w:sz w:val="20"/>
          <w:szCs w:val="20"/>
        </w:rPr>
        <w:t>26</w:t>
      </w:r>
      <w:r w:rsidRPr="00A03D75">
        <w:rPr>
          <w:noProof/>
          <w:sz w:val="20"/>
          <w:szCs w:val="20"/>
        </w:rPr>
        <w:fldChar w:fldCharType="end"/>
      </w:r>
    </w:p>
    <w:p w14:paraId="14CB8945"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4.7</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APTC graduate productivity compared with others with  the same</w:t>
      </w:r>
      <w:r w:rsidRPr="00A03D75">
        <w:rPr>
          <w:rFonts w:ascii="Arial" w:hAnsi="Arial"/>
          <w:noProof/>
          <w:sz w:val="20"/>
          <w:szCs w:val="20"/>
          <w:lang w:eastAsia="zh-CN"/>
        </w:rPr>
        <w:t xml:space="preserve"> qualifications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_Toc278710549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26</w:t>
      </w:r>
      <w:r w:rsidRPr="00A03D75">
        <w:rPr>
          <w:rFonts w:ascii="Arial" w:hAnsi="Arial"/>
          <w:noProof/>
          <w:sz w:val="20"/>
          <w:szCs w:val="20"/>
        </w:rPr>
        <w:fldChar w:fldCharType="end"/>
      </w:r>
    </w:p>
    <w:p w14:paraId="5F5DD65C"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4.8</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Value of APTC graduates to employers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_Toc278710550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27</w:t>
      </w:r>
      <w:r w:rsidRPr="00A03D75">
        <w:rPr>
          <w:rFonts w:ascii="Arial" w:hAnsi="Arial"/>
          <w:noProof/>
          <w:sz w:val="20"/>
          <w:szCs w:val="20"/>
        </w:rPr>
        <w:fldChar w:fldCharType="end"/>
      </w:r>
    </w:p>
    <w:p w14:paraId="2DF56D67"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zh-CN"/>
        </w:rPr>
        <w:t>4.9</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zh-CN"/>
        </w:rPr>
        <w:t>Conclusions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_Toc278710551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27</w:t>
      </w:r>
      <w:r w:rsidRPr="00A03D75">
        <w:rPr>
          <w:rFonts w:ascii="Arial" w:hAnsi="Arial"/>
          <w:noProof/>
          <w:sz w:val="20"/>
          <w:szCs w:val="20"/>
        </w:rPr>
        <w:fldChar w:fldCharType="end"/>
      </w:r>
    </w:p>
    <w:p w14:paraId="3B72C410" w14:textId="77777777" w:rsidR="00A03D75" w:rsidRPr="00A03D75" w:rsidRDefault="00A03D75" w:rsidP="00027774">
      <w:pPr>
        <w:pStyle w:val="TOC1"/>
        <w:rPr>
          <w:rFonts w:eastAsiaTheme="minorEastAsia" w:cstheme="minorBidi"/>
          <w:noProof/>
          <w:lang w:val="en-US" w:eastAsia="ja-JP"/>
        </w:rPr>
      </w:pPr>
      <w:r w:rsidRPr="00A03D75">
        <w:rPr>
          <w:noProof/>
        </w:rPr>
        <w:t>5</w:t>
      </w:r>
      <w:r w:rsidRPr="00A03D75">
        <w:rPr>
          <w:rFonts w:eastAsiaTheme="minorEastAsia" w:cstheme="minorBidi"/>
          <w:noProof/>
          <w:lang w:val="en-US" w:eastAsia="ja-JP"/>
        </w:rPr>
        <w:tab/>
      </w:r>
      <w:r w:rsidRPr="00A03D75">
        <w:rPr>
          <w:noProof/>
        </w:rPr>
        <w:t>Value for money</w:t>
      </w:r>
      <w:r w:rsidRPr="00A03D75">
        <w:rPr>
          <w:noProof/>
        </w:rPr>
        <w:tab/>
      </w:r>
      <w:r w:rsidRPr="00A03D75">
        <w:rPr>
          <w:noProof/>
        </w:rPr>
        <w:fldChar w:fldCharType="begin"/>
      </w:r>
      <w:r w:rsidRPr="00A03D75">
        <w:rPr>
          <w:noProof/>
        </w:rPr>
        <w:instrText xml:space="preserve"> PAGEREF _Toc278710552 \h </w:instrText>
      </w:r>
      <w:r w:rsidRPr="00A03D75">
        <w:rPr>
          <w:noProof/>
        </w:rPr>
      </w:r>
      <w:r w:rsidRPr="00A03D75">
        <w:rPr>
          <w:noProof/>
        </w:rPr>
        <w:fldChar w:fldCharType="separate"/>
      </w:r>
      <w:r w:rsidR="009C026F">
        <w:rPr>
          <w:noProof/>
        </w:rPr>
        <w:t>28</w:t>
      </w:r>
      <w:r w:rsidRPr="00A03D75">
        <w:rPr>
          <w:noProof/>
        </w:rPr>
        <w:fldChar w:fldCharType="end"/>
      </w:r>
    </w:p>
    <w:p w14:paraId="3CD863C4"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lang w:eastAsia="en-GB"/>
        </w:rPr>
        <w:t>5.1</w:t>
      </w:r>
      <w:r w:rsidRPr="00A03D75">
        <w:rPr>
          <w:rFonts w:ascii="Arial" w:eastAsiaTheme="minorEastAsia" w:hAnsi="Arial" w:cstheme="minorBidi"/>
          <w:noProof/>
          <w:sz w:val="20"/>
          <w:szCs w:val="20"/>
          <w:lang w:val="en-US" w:eastAsia="ja-JP"/>
        </w:rPr>
        <w:tab/>
      </w:r>
      <w:r w:rsidRPr="00A03D75">
        <w:rPr>
          <w:rFonts w:ascii="Arial" w:hAnsi="Arial"/>
          <w:noProof/>
          <w:sz w:val="20"/>
          <w:szCs w:val="20"/>
          <w:lang w:eastAsia="en-GB"/>
        </w:rPr>
        <w:t>Introduction</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28</w:t>
      </w:r>
      <w:r w:rsidRPr="00A03D75">
        <w:rPr>
          <w:rFonts w:ascii="Arial" w:hAnsi="Arial"/>
          <w:noProof/>
          <w:sz w:val="20"/>
          <w:szCs w:val="20"/>
        </w:rPr>
        <w:fldChar w:fldCharType="end"/>
      </w:r>
    </w:p>
    <w:p w14:paraId="54783AC2"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5.2</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Financial and education management information systems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29</w:t>
      </w:r>
      <w:r w:rsidRPr="00A03D75">
        <w:rPr>
          <w:rFonts w:ascii="Arial" w:hAnsi="Arial"/>
          <w:noProof/>
          <w:sz w:val="20"/>
          <w:szCs w:val="20"/>
        </w:rPr>
        <w:fldChar w:fldCharType="end"/>
      </w:r>
    </w:p>
    <w:p w14:paraId="2372F52D"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5.3</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Economy of inputs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_Toc278710555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29</w:t>
      </w:r>
      <w:r w:rsidRPr="00A03D75">
        <w:rPr>
          <w:rFonts w:ascii="Arial" w:hAnsi="Arial"/>
          <w:noProof/>
          <w:sz w:val="20"/>
          <w:szCs w:val="20"/>
        </w:rPr>
        <w:fldChar w:fldCharType="end"/>
      </w:r>
    </w:p>
    <w:p w14:paraId="0C348AE1"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5.4</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Cost structure analysis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_Toc278710556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29</w:t>
      </w:r>
      <w:r w:rsidRPr="00A03D75">
        <w:rPr>
          <w:rFonts w:ascii="Arial" w:hAnsi="Arial"/>
          <w:noProof/>
          <w:sz w:val="20"/>
          <w:szCs w:val="20"/>
        </w:rPr>
        <w:fldChar w:fldCharType="end"/>
      </w:r>
    </w:p>
    <w:p w14:paraId="56C090CF"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5.4.1</w:t>
      </w:r>
      <w:r w:rsidRPr="00A03D75">
        <w:rPr>
          <w:rFonts w:eastAsiaTheme="minorEastAsia" w:cstheme="minorBidi"/>
          <w:noProof/>
          <w:sz w:val="20"/>
          <w:szCs w:val="20"/>
          <w:lang w:val="en-US" w:eastAsia="ja-JP"/>
        </w:rPr>
        <w:tab/>
      </w:r>
      <w:r w:rsidRPr="00A03D75">
        <w:rPr>
          <w:noProof/>
          <w:sz w:val="20"/>
          <w:szCs w:val="20"/>
        </w:rPr>
        <w:t>Total costs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_Toc278710557 \h </w:instrText>
      </w:r>
      <w:r w:rsidRPr="00A03D75">
        <w:rPr>
          <w:noProof/>
          <w:sz w:val="20"/>
          <w:szCs w:val="20"/>
        </w:rPr>
      </w:r>
      <w:r w:rsidRPr="00A03D75">
        <w:rPr>
          <w:noProof/>
          <w:sz w:val="20"/>
          <w:szCs w:val="20"/>
        </w:rPr>
        <w:fldChar w:fldCharType="separate"/>
      </w:r>
      <w:r w:rsidR="009C026F">
        <w:rPr>
          <w:noProof/>
          <w:sz w:val="20"/>
          <w:szCs w:val="20"/>
        </w:rPr>
        <w:t>29</w:t>
      </w:r>
      <w:r w:rsidRPr="00A03D75">
        <w:rPr>
          <w:noProof/>
          <w:sz w:val="20"/>
          <w:szCs w:val="20"/>
        </w:rPr>
        <w:fldChar w:fldCharType="end"/>
      </w:r>
    </w:p>
    <w:p w14:paraId="34804272"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5.4.2</w:t>
      </w:r>
      <w:r w:rsidRPr="00A03D75">
        <w:rPr>
          <w:rFonts w:eastAsiaTheme="minorEastAsia" w:cstheme="minorBidi"/>
          <w:noProof/>
          <w:sz w:val="20"/>
          <w:szCs w:val="20"/>
          <w:lang w:val="en-US" w:eastAsia="ja-JP"/>
        </w:rPr>
        <w:tab/>
      </w:r>
      <w:r w:rsidRPr="00A03D75">
        <w:rPr>
          <w:noProof/>
          <w:sz w:val="20"/>
          <w:szCs w:val="20"/>
        </w:rPr>
        <w:t>Analysis of unit costs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_Toc278710558 \h </w:instrText>
      </w:r>
      <w:r w:rsidRPr="00A03D75">
        <w:rPr>
          <w:noProof/>
          <w:sz w:val="20"/>
          <w:szCs w:val="20"/>
        </w:rPr>
      </w:r>
      <w:r w:rsidRPr="00A03D75">
        <w:rPr>
          <w:noProof/>
          <w:sz w:val="20"/>
          <w:szCs w:val="20"/>
        </w:rPr>
        <w:fldChar w:fldCharType="separate"/>
      </w:r>
      <w:r w:rsidR="009C026F">
        <w:rPr>
          <w:noProof/>
          <w:sz w:val="20"/>
          <w:szCs w:val="20"/>
        </w:rPr>
        <w:t>30</w:t>
      </w:r>
      <w:r w:rsidRPr="00A03D75">
        <w:rPr>
          <w:noProof/>
          <w:sz w:val="20"/>
          <w:szCs w:val="20"/>
        </w:rPr>
        <w:fldChar w:fldCharType="end"/>
      </w:r>
    </w:p>
    <w:p w14:paraId="3781E2CF"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5.4.3</w:t>
      </w:r>
      <w:r w:rsidRPr="00A03D75">
        <w:rPr>
          <w:rFonts w:eastAsiaTheme="minorEastAsia" w:cstheme="minorBidi"/>
          <w:noProof/>
          <w:sz w:val="20"/>
          <w:szCs w:val="20"/>
          <w:lang w:val="en-US" w:eastAsia="ja-JP"/>
        </w:rPr>
        <w:tab/>
      </w:r>
      <w:r w:rsidRPr="00A03D75">
        <w:rPr>
          <w:noProof/>
          <w:sz w:val="20"/>
          <w:szCs w:val="20"/>
        </w:rPr>
        <w:t>Unit costs by training location</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_Toc278710559 \h </w:instrText>
      </w:r>
      <w:r w:rsidRPr="00A03D75">
        <w:rPr>
          <w:noProof/>
          <w:sz w:val="20"/>
          <w:szCs w:val="20"/>
        </w:rPr>
      </w:r>
      <w:r w:rsidRPr="00A03D75">
        <w:rPr>
          <w:noProof/>
          <w:sz w:val="20"/>
          <w:szCs w:val="20"/>
        </w:rPr>
        <w:fldChar w:fldCharType="separate"/>
      </w:r>
      <w:r w:rsidR="009C026F">
        <w:rPr>
          <w:noProof/>
          <w:sz w:val="20"/>
          <w:szCs w:val="20"/>
        </w:rPr>
        <w:t>31</w:t>
      </w:r>
      <w:r w:rsidRPr="00A03D75">
        <w:rPr>
          <w:noProof/>
          <w:sz w:val="20"/>
          <w:szCs w:val="20"/>
        </w:rPr>
        <w:fldChar w:fldCharType="end"/>
      </w:r>
    </w:p>
    <w:p w14:paraId="0CE6FF69"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5.4.4</w:t>
      </w:r>
      <w:r w:rsidRPr="00A03D75">
        <w:rPr>
          <w:rFonts w:eastAsiaTheme="minorEastAsia" w:cstheme="minorBidi"/>
          <w:noProof/>
          <w:sz w:val="20"/>
          <w:szCs w:val="20"/>
          <w:lang w:val="en-US" w:eastAsia="ja-JP"/>
        </w:rPr>
        <w:tab/>
      </w:r>
      <w:r w:rsidRPr="00A03D75">
        <w:rPr>
          <w:noProof/>
          <w:sz w:val="20"/>
          <w:szCs w:val="20"/>
        </w:rPr>
        <w:t>Student–teacher ratios, double-blocking and economies of scale</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_Toc278710560 \h </w:instrText>
      </w:r>
      <w:r w:rsidRPr="00A03D75">
        <w:rPr>
          <w:noProof/>
          <w:sz w:val="20"/>
          <w:szCs w:val="20"/>
        </w:rPr>
      </w:r>
      <w:r w:rsidRPr="00A03D75">
        <w:rPr>
          <w:noProof/>
          <w:sz w:val="20"/>
          <w:szCs w:val="20"/>
        </w:rPr>
        <w:fldChar w:fldCharType="separate"/>
      </w:r>
      <w:r w:rsidR="009C026F">
        <w:rPr>
          <w:noProof/>
          <w:sz w:val="20"/>
          <w:szCs w:val="20"/>
        </w:rPr>
        <w:t>32</w:t>
      </w:r>
      <w:r w:rsidRPr="00A03D75">
        <w:rPr>
          <w:noProof/>
          <w:sz w:val="20"/>
          <w:szCs w:val="20"/>
        </w:rPr>
        <w:fldChar w:fldCharType="end"/>
      </w:r>
    </w:p>
    <w:p w14:paraId="14E11B51"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5.4.5</w:t>
      </w:r>
      <w:r w:rsidRPr="00A03D75">
        <w:rPr>
          <w:rFonts w:eastAsiaTheme="minorEastAsia" w:cstheme="minorBidi"/>
          <w:noProof/>
          <w:sz w:val="20"/>
          <w:szCs w:val="20"/>
          <w:lang w:val="en-US" w:eastAsia="ja-JP"/>
        </w:rPr>
        <w:tab/>
      </w:r>
      <w:r w:rsidRPr="00A03D75">
        <w:rPr>
          <w:noProof/>
          <w:sz w:val="20"/>
          <w:szCs w:val="20"/>
        </w:rPr>
        <w:t>Nationalisation of APTC staff</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_Toc278710561 \h </w:instrText>
      </w:r>
      <w:r w:rsidRPr="00A03D75">
        <w:rPr>
          <w:noProof/>
          <w:sz w:val="20"/>
          <w:szCs w:val="20"/>
        </w:rPr>
      </w:r>
      <w:r w:rsidRPr="00A03D75">
        <w:rPr>
          <w:noProof/>
          <w:sz w:val="20"/>
          <w:szCs w:val="20"/>
        </w:rPr>
        <w:fldChar w:fldCharType="separate"/>
      </w:r>
      <w:r w:rsidR="009C026F">
        <w:rPr>
          <w:noProof/>
          <w:sz w:val="20"/>
          <w:szCs w:val="20"/>
        </w:rPr>
        <w:t>32</w:t>
      </w:r>
      <w:r w:rsidRPr="00A03D75">
        <w:rPr>
          <w:noProof/>
          <w:sz w:val="20"/>
          <w:szCs w:val="20"/>
        </w:rPr>
        <w:fldChar w:fldCharType="end"/>
      </w:r>
    </w:p>
    <w:p w14:paraId="1AE1A06F"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5.5</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Cost–benefit analysis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_Toc278710562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32</w:t>
      </w:r>
      <w:r w:rsidRPr="00A03D75">
        <w:rPr>
          <w:rFonts w:ascii="Arial" w:hAnsi="Arial"/>
          <w:noProof/>
          <w:sz w:val="20"/>
          <w:szCs w:val="20"/>
        </w:rPr>
        <w:fldChar w:fldCharType="end"/>
      </w:r>
    </w:p>
    <w:p w14:paraId="5CD48A07"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5.6</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Sustainability</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_Toc278710563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34</w:t>
      </w:r>
      <w:r w:rsidRPr="00A03D75">
        <w:rPr>
          <w:rFonts w:ascii="Arial" w:hAnsi="Arial"/>
          <w:noProof/>
          <w:sz w:val="20"/>
          <w:szCs w:val="20"/>
        </w:rPr>
        <w:fldChar w:fldCharType="end"/>
      </w:r>
    </w:p>
    <w:p w14:paraId="60C0283A"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5.7</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Conclusions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_Toc278710564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35</w:t>
      </w:r>
      <w:r w:rsidRPr="00A03D75">
        <w:rPr>
          <w:rFonts w:ascii="Arial" w:hAnsi="Arial"/>
          <w:noProof/>
          <w:sz w:val="20"/>
          <w:szCs w:val="20"/>
        </w:rPr>
        <w:fldChar w:fldCharType="end"/>
      </w:r>
    </w:p>
    <w:p w14:paraId="46D4124F" w14:textId="77777777" w:rsidR="00A03D75" w:rsidRPr="00A03D75" w:rsidRDefault="00A03D75" w:rsidP="00027774">
      <w:pPr>
        <w:pStyle w:val="TOC1"/>
        <w:rPr>
          <w:rFonts w:eastAsiaTheme="minorEastAsia" w:cstheme="minorBidi"/>
          <w:noProof/>
          <w:lang w:val="en-US" w:eastAsia="ja-JP"/>
        </w:rPr>
      </w:pPr>
      <w:r w:rsidRPr="00A03D75">
        <w:rPr>
          <w:rFonts w:eastAsia="Calibri"/>
          <w:noProof/>
        </w:rPr>
        <w:t>6</w:t>
      </w:r>
      <w:r w:rsidRPr="00A03D75">
        <w:rPr>
          <w:rFonts w:eastAsiaTheme="minorEastAsia" w:cstheme="minorBidi"/>
          <w:noProof/>
          <w:lang w:val="en-US" w:eastAsia="ja-JP"/>
        </w:rPr>
        <w:tab/>
      </w:r>
      <w:r w:rsidRPr="00A03D75">
        <w:rPr>
          <w:rFonts w:eastAsia="Calibri"/>
          <w:noProof/>
        </w:rPr>
        <w:t>Future of the APTC</w:t>
      </w:r>
      <w:r w:rsidRPr="00A03D75">
        <w:rPr>
          <w:noProof/>
        </w:rPr>
        <w:tab/>
      </w:r>
      <w:r w:rsidRPr="00A03D75">
        <w:rPr>
          <w:noProof/>
        </w:rPr>
        <w:fldChar w:fldCharType="begin"/>
      </w:r>
      <w:r w:rsidRPr="00A03D75">
        <w:rPr>
          <w:noProof/>
        </w:rPr>
        <w:instrText xml:space="preserve"> PAGEREF _Toc278710565 \h </w:instrText>
      </w:r>
      <w:r w:rsidRPr="00A03D75">
        <w:rPr>
          <w:noProof/>
        </w:rPr>
      </w:r>
      <w:r w:rsidRPr="00A03D75">
        <w:rPr>
          <w:noProof/>
        </w:rPr>
        <w:fldChar w:fldCharType="separate"/>
      </w:r>
      <w:r w:rsidR="009C026F">
        <w:rPr>
          <w:noProof/>
        </w:rPr>
        <w:t>36</w:t>
      </w:r>
      <w:r w:rsidRPr="00A03D75">
        <w:rPr>
          <w:noProof/>
        </w:rPr>
        <w:fldChar w:fldCharType="end"/>
      </w:r>
    </w:p>
    <w:p w14:paraId="50CF475A"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eastAsia="Calibri" w:hAnsi="Arial"/>
          <w:noProof/>
          <w:sz w:val="20"/>
          <w:szCs w:val="20"/>
        </w:rPr>
        <w:t>6.1</w:t>
      </w:r>
      <w:r w:rsidRPr="00A03D75">
        <w:rPr>
          <w:rFonts w:ascii="Arial" w:eastAsiaTheme="minorEastAsia" w:hAnsi="Arial" w:cstheme="minorBidi"/>
          <w:noProof/>
          <w:sz w:val="20"/>
          <w:szCs w:val="20"/>
          <w:lang w:val="en-US" w:eastAsia="ja-JP"/>
        </w:rPr>
        <w:tab/>
      </w:r>
      <w:r w:rsidRPr="00A03D75">
        <w:rPr>
          <w:rFonts w:ascii="Arial" w:eastAsia="Calibri" w:hAnsi="Arial"/>
          <w:noProof/>
          <w:sz w:val="20"/>
          <w:szCs w:val="20"/>
        </w:rPr>
        <w:t>Short-term measures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_Toc278710566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36</w:t>
      </w:r>
      <w:r w:rsidRPr="00A03D75">
        <w:rPr>
          <w:rFonts w:ascii="Arial" w:hAnsi="Arial"/>
          <w:noProof/>
          <w:sz w:val="20"/>
          <w:szCs w:val="20"/>
        </w:rPr>
        <w:fldChar w:fldCharType="end"/>
      </w:r>
    </w:p>
    <w:p w14:paraId="3AF11BB1"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rFonts w:eastAsia="Calibri"/>
          <w:noProof/>
          <w:sz w:val="20"/>
          <w:szCs w:val="20"/>
        </w:rPr>
        <w:t>6.1.1</w:t>
      </w:r>
      <w:r w:rsidRPr="00A03D75">
        <w:rPr>
          <w:rFonts w:eastAsiaTheme="minorEastAsia" w:cstheme="minorBidi"/>
          <w:noProof/>
          <w:sz w:val="20"/>
          <w:szCs w:val="20"/>
          <w:lang w:val="en-US" w:eastAsia="ja-JP"/>
        </w:rPr>
        <w:tab/>
      </w:r>
      <w:r w:rsidRPr="00A03D75">
        <w:rPr>
          <w:rFonts w:eastAsia="Calibri"/>
          <w:noProof/>
          <w:sz w:val="20"/>
          <w:szCs w:val="20"/>
        </w:rPr>
        <w:t>Actions for APTC</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_Toc278710567 \h </w:instrText>
      </w:r>
      <w:r w:rsidRPr="00A03D75">
        <w:rPr>
          <w:noProof/>
          <w:sz w:val="20"/>
          <w:szCs w:val="20"/>
        </w:rPr>
      </w:r>
      <w:r w:rsidRPr="00A03D75">
        <w:rPr>
          <w:noProof/>
          <w:sz w:val="20"/>
          <w:szCs w:val="20"/>
        </w:rPr>
        <w:fldChar w:fldCharType="separate"/>
      </w:r>
      <w:r w:rsidR="009C026F">
        <w:rPr>
          <w:noProof/>
          <w:sz w:val="20"/>
          <w:szCs w:val="20"/>
        </w:rPr>
        <w:t>36</w:t>
      </w:r>
      <w:r w:rsidRPr="00A03D75">
        <w:rPr>
          <w:noProof/>
          <w:sz w:val="20"/>
          <w:szCs w:val="20"/>
        </w:rPr>
        <w:fldChar w:fldCharType="end"/>
      </w:r>
    </w:p>
    <w:p w14:paraId="4EC02087"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rFonts w:eastAsia="Calibri"/>
          <w:noProof/>
          <w:sz w:val="20"/>
          <w:szCs w:val="20"/>
        </w:rPr>
        <w:t>6.1.2</w:t>
      </w:r>
      <w:r w:rsidRPr="00A03D75">
        <w:rPr>
          <w:rFonts w:eastAsiaTheme="minorEastAsia" w:cstheme="minorBidi"/>
          <w:noProof/>
          <w:sz w:val="20"/>
          <w:szCs w:val="20"/>
          <w:lang w:val="en-US" w:eastAsia="ja-JP"/>
        </w:rPr>
        <w:tab/>
      </w:r>
      <w:r w:rsidRPr="00A03D75">
        <w:rPr>
          <w:rFonts w:eastAsia="Calibri"/>
          <w:noProof/>
          <w:sz w:val="20"/>
          <w:szCs w:val="20"/>
        </w:rPr>
        <w:t>Actions for DFAT</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_Toc278710568 \h </w:instrText>
      </w:r>
      <w:r w:rsidRPr="00A03D75">
        <w:rPr>
          <w:noProof/>
          <w:sz w:val="20"/>
          <w:szCs w:val="20"/>
        </w:rPr>
      </w:r>
      <w:r w:rsidRPr="00A03D75">
        <w:rPr>
          <w:noProof/>
          <w:sz w:val="20"/>
          <w:szCs w:val="20"/>
        </w:rPr>
        <w:fldChar w:fldCharType="separate"/>
      </w:r>
      <w:r w:rsidR="009C026F">
        <w:rPr>
          <w:noProof/>
          <w:sz w:val="20"/>
          <w:szCs w:val="20"/>
        </w:rPr>
        <w:t>36</w:t>
      </w:r>
      <w:r w:rsidRPr="00A03D75">
        <w:rPr>
          <w:noProof/>
          <w:sz w:val="20"/>
          <w:szCs w:val="20"/>
        </w:rPr>
        <w:fldChar w:fldCharType="end"/>
      </w:r>
    </w:p>
    <w:p w14:paraId="3BACC2F8"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6.2</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Form and conditions for APTC in the medium to long term</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_Toc278710569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37</w:t>
      </w:r>
      <w:r w:rsidRPr="00A03D75">
        <w:rPr>
          <w:rFonts w:ascii="Arial" w:hAnsi="Arial"/>
          <w:noProof/>
          <w:sz w:val="20"/>
          <w:szCs w:val="20"/>
        </w:rPr>
        <w:fldChar w:fldCharType="end"/>
      </w:r>
    </w:p>
    <w:p w14:paraId="6DC07B75"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6.2.1</w:t>
      </w:r>
      <w:r w:rsidRPr="00A03D75">
        <w:rPr>
          <w:rFonts w:eastAsiaTheme="minorEastAsia" w:cstheme="minorBidi"/>
          <w:noProof/>
          <w:sz w:val="20"/>
          <w:szCs w:val="20"/>
          <w:lang w:val="en-US" w:eastAsia="ja-JP"/>
        </w:rPr>
        <w:tab/>
      </w:r>
      <w:r w:rsidRPr="00A03D75">
        <w:rPr>
          <w:noProof/>
          <w:sz w:val="20"/>
          <w:szCs w:val="20"/>
        </w:rPr>
        <w:t>Relevance of the APTC approach</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_Toc278710570 \h </w:instrText>
      </w:r>
      <w:r w:rsidRPr="00A03D75">
        <w:rPr>
          <w:noProof/>
          <w:sz w:val="20"/>
          <w:szCs w:val="20"/>
        </w:rPr>
      </w:r>
      <w:r w:rsidRPr="00A03D75">
        <w:rPr>
          <w:noProof/>
          <w:sz w:val="20"/>
          <w:szCs w:val="20"/>
        </w:rPr>
        <w:fldChar w:fldCharType="separate"/>
      </w:r>
      <w:r w:rsidR="009C026F">
        <w:rPr>
          <w:noProof/>
          <w:sz w:val="20"/>
          <w:szCs w:val="20"/>
        </w:rPr>
        <w:t>37</w:t>
      </w:r>
      <w:r w:rsidRPr="00A03D75">
        <w:rPr>
          <w:noProof/>
          <w:sz w:val="20"/>
          <w:szCs w:val="20"/>
        </w:rPr>
        <w:fldChar w:fldCharType="end"/>
      </w:r>
    </w:p>
    <w:p w14:paraId="0C4D2FC4"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6.2.2</w:t>
      </w:r>
      <w:r w:rsidRPr="00A03D75">
        <w:rPr>
          <w:rFonts w:eastAsiaTheme="minorEastAsia" w:cstheme="minorBidi"/>
          <w:noProof/>
          <w:sz w:val="20"/>
          <w:szCs w:val="20"/>
          <w:lang w:val="en-US" w:eastAsia="ja-JP"/>
        </w:rPr>
        <w:tab/>
      </w:r>
      <w:r w:rsidRPr="00A03D75">
        <w:rPr>
          <w:noProof/>
          <w:sz w:val="20"/>
          <w:szCs w:val="20"/>
        </w:rPr>
        <w:t>APTC sustainability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_Toc278710571 \h </w:instrText>
      </w:r>
      <w:r w:rsidRPr="00A03D75">
        <w:rPr>
          <w:noProof/>
          <w:sz w:val="20"/>
          <w:szCs w:val="20"/>
        </w:rPr>
      </w:r>
      <w:r w:rsidRPr="00A03D75">
        <w:rPr>
          <w:noProof/>
          <w:sz w:val="20"/>
          <w:szCs w:val="20"/>
        </w:rPr>
        <w:fldChar w:fldCharType="separate"/>
      </w:r>
      <w:r w:rsidR="009C026F">
        <w:rPr>
          <w:noProof/>
          <w:sz w:val="20"/>
          <w:szCs w:val="20"/>
        </w:rPr>
        <w:t>38</w:t>
      </w:r>
      <w:r w:rsidRPr="00A03D75">
        <w:rPr>
          <w:noProof/>
          <w:sz w:val="20"/>
          <w:szCs w:val="20"/>
        </w:rPr>
        <w:fldChar w:fldCharType="end"/>
      </w:r>
    </w:p>
    <w:p w14:paraId="082E3A37"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6.2.3</w:t>
      </w:r>
      <w:r w:rsidRPr="00A03D75">
        <w:rPr>
          <w:rFonts w:eastAsiaTheme="minorEastAsia" w:cstheme="minorBidi"/>
          <w:noProof/>
          <w:sz w:val="20"/>
          <w:szCs w:val="20"/>
          <w:lang w:val="en-US" w:eastAsia="ja-JP"/>
        </w:rPr>
        <w:tab/>
      </w:r>
      <w:r w:rsidRPr="00A03D75">
        <w:rPr>
          <w:noProof/>
          <w:sz w:val="20"/>
          <w:szCs w:val="20"/>
        </w:rPr>
        <w:t>APTC fit within DFAT aid policies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_Toc278710572 \h </w:instrText>
      </w:r>
      <w:r w:rsidRPr="00A03D75">
        <w:rPr>
          <w:noProof/>
          <w:sz w:val="20"/>
          <w:szCs w:val="20"/>
        </w:rPr>
      </w:r>
      <w:r w:rsidRPr="00A03D75">
        <w:rPr>
          <w:noProof/>
          <w:sz w:val="20"/>
          <w:szCs w:val="20"/>
        </w:rPr>
        <w:fldChar w:fldCharType="separate"/>
      </w:r>
      <w:r w:rsidR="009C026F">
        <w:rPr>
          <w:noProof/>
          <w:sz w:val="20"/>
          <w:szCs w:val="20"/>
        </w:rPr>
        <w:t>38</w:t>
      </w:r>
      <w:r w:rsidRPr="00A03D75">
        <w:rPr>
          <w:noProof/>
          <w:sz w:val="20"/>
          <w:szCs w:val="20"/>
        </w:rPr>
        <w:fldChar w:fldCharType="end"/>
      </w:r>
    </w:p>
    <w:p w14:paraId="707BF272"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6.2.4</w:t>
      </w:r>
      <w:r w:rsidRPr="00A03D75">
        <w:rPr>
          <w:rFonts w:eastAsiaTheme="minorEastAsia" w:cstheme="minorBidi"/>
          <w:noProof/>
          <w:sz w:val="20"/>
          <w:szCs w:val="20"/>
          <w:lang w:val="en-US" w:eastAsia="ja-JP"/>
        </w:rPr>
        <w:tab/>
      </w:r>
      <w:r w:rsidRPr="00A03D75">
        <w:rPr>
          <w:noProof/>
          <w:sz w:val="20"/>
          <w:szCs w:val="20"/>
        </w:rPr>
        <w:t>Guiding principles and lessons for APTC</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_Toc278710573 \h </w:instrText>
      </w:r>
      <w:r w:rsidRPr="00A03D75">
        <w:rPr>
          <w:noProof/>
          <w:sz w:val="20"/>
          <w:szCs w:val="20"/>
        </w:rPr>
      </w:r>
      <w:r w:rsidRPr="00A03D75">
        <w:rPr>
          <w:noProof/>
          <w:sz w:val="20"/>
          <w:szCs w:val="20"/>
        </w:rPr>
        <w:fldChar w:fldCharType="separate"/>
      </w:r>
      <w:r w:rsidR="009C026F">
        <w:rPr>
          <w:noProof/>
          <w:sz w:val="20"/>
          <w:szCs w:val="20"/>
        </w:rPr>
        <w:t>39</w:t>
      </w:r>
      <w:r w:rsidRPr="00A03D75">
        <w:rPr>
          <w:noProof/>
          <w:sz w:val="20"/>
          <w:szCs w:val="20"/>
        </w:rPr>
        <w:fldChar w:fldCharType="end"/>
      </w:r>
    </w:p>
    <w:p w14:paraId="5E10EE88"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6.3</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Options for the long-term success of the APTC</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_Toc278710574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41</w:t>
      </w:r>
      <w:r w:rsidRPr="00A03D75">
        <w:rPr>
          <w:rFonts w:ascii="Arial" w:hAnsi="Arial"/>
          <w:noProof/>
          <w:sz w:val="20"/>
          <w:szCs w:val="20"/>
        </w:rPr>
        <w:fldChar w:fldCharType="end"/>
      </w:r>
    </w:p>
    <w:p w14:paraId="4A9BBFA2" w14:textId="77777777" w:rsidR="00A03D75" w:rsidRPr="00A03D75" w:rsidRDefault="00A03D75" w:rsidP="00027774">
      <w:pPr>
        <w:pStyle w:val="TOC1"/>
        <w:rPr>
          <w:rFonts w:eastAsiaTheme="minorEastAsia" w:cstheme="minorBidi"/>
          <w:noProof/>
          <w:lang w:val="en-US" w:eastAsia="ja-JP"/>
        </w:rPr>
      </w:pPr>
      <w:r w:rsidRPr="00A03D75">
        <w:rPr>
          <w:noProof/>
        </w:rPr>
        <w:t>7</w:t>
      </w:r>
      <w:r w:rsidRPr="00A03D75">
        <w:rPr>
          <w:rFonts w:eastAsiaTheme="minorEastAsia" w:cstheme="minorBidi"/>
          <w:noProof/>
          <w:lang w:val="en-US" w:eastAsia="ja-JP"/>
        </w:rPr>
        <w:tab/>
      </w:r>
      <w:r w:rsidRPr="00A03D75">
        <w:rPr>
          <w:noProof/>
        </w:rPr>
        <w:t>Recommendations</w:t>
      </w:r>
      <w:r w:rsidRPr="00A03D75">
        <w:rPr>
          <w:noProof/>
        </w:rPr>
        <w:tab/>
      </w:r>
      <w:r w:rsidRPr="00A03D75">
        <w:rPr>
          <w:noProof/>
        </w:rPr>
        <w:fldChar w:fldCharType="begin"/>
      </w:r>
      <w:r w:rsidRPr="00A03D75">
        <w:rPr>
          <w:noProof/>
        </w:rPr>
        <w:instrText xml:space="preserve"> PAGEREF _Toc278710575 \h </w:instrText>
      </w:r>
      <w:r w:rsidRPr="00A03D75">
        <w:rPr>
          <w:noProof/>
        </w:rPr>
      </w:r>
      <w:r w:rsidRPr="00A03D75">
        <w:rPr>
          <w:noProof/>
        </w:rPr>
        <w:fldChar w:fldCharType="separate"/>
      </w:r>
      <w:r w:rsidR="009C026F">
        <w:rPr>
          <w:noProof/>
        </w:rPr>
        <w:t>44</w:t>
      </w:r>
      <w:r w:rsidRPr="00A03D75">
        <w:rPr>
          <w:noProof/>
        </w:rPr>
        <w:fldChar w:fldCharType="end"/>
      </w:r>
    </w:p>
    <w:p w14:paraId="541376BA"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7.1</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Recommendations in sequence</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_Toc278710576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44</w:t>
      </w:r>
      <w:r w:rsidRPr="00A03D75">
        <w:rPr>
          <w:rFonts w:ascii="Arial" w:hAnsi="Arial"/>
          <w:noProof/>
          <w:sz w:val="20"/>
          <w:szCs w:val="20"/>
        </w:rPr>
        <w:fldChar w:fldCharType="end"/>
      </w:r>
    </w:p>
    <w:p w14:paraId="09BEA55A"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7.1.1</w:t>
      </w:r>
      <w:r w:rsidRPr="00A03D75">
        <w:rPr>
          <w:rFonts w:eastAsiaTheme="minorEastAsia" w:cstheme="minorBidi"/>
          <w:noProof/>
          <w:sz w:val="20"/>
          <w:szCs w:val="20"/>
          <w:lang w:val="en-US" w:eastAsia="ja-JP"/>
        </w:rPr>
        <w:tab/>
      </w:r>
      <w:r w:rsidRPr="00A03D75">
        <w:rPr>
          <w:noProof/>
          <w:sz w:val="20"/>
          <w:szCs w:val="20"/>
        </w:rPr>
        <w:t>Recommendations related to Chapter 2: TVET capacity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_Toc278710577 \h </w:instrText>
      </w:r>
      <w:r w:rsidRPr="00A03D75">
        <w:rPr>
          <w:noProof/>
          <w:sz w:val="20"/>
          <w:szCs w:val="20"/>
        </w:rPr>
      </w:r>
      <w:r w:rsidRPr="00A03D75">
        <w:rPr>
          <w:noProof/>
          <w:sz w:val="20"/>
          <w:szCs w:val="20"/>
        </w:rPr>
        <w:fldChar w:fldCharType="separate"/>
      </w:r>
      <w:r w:rsidR="009C026F">
        <w:rPr>
          <w:noProof/>
          <w:sz w:val="20"/>
          <w:szCs w:val="20"/>
        </w:rPr>
        <w:t>44</w:t>
      </w:r>
      <w:r w:rsidRPr="00A03D75">
        <w:rPr>
          <w:noProof/>
          <w:sz w:val="20"/>
          <w:szCs w:val="20"/>
        </w:rPr>
        <w:fldChar w:fldCharType="end"/>
      </w:r>
    </w:p>
    <w:p w14:paraId="71DA10C2"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rPr>
        <w:t>7.1.2</w:t>
      </w:r>
      <w:r w:rsidRPr="00A03D75">
        <w:rPr>
          <w:rFonts w:eastAsiaTheme="minorEastAsia" w:cstheme="minorBidi"/>
          <w:noProof/>
          <w:sz w:val="20"/>
          <w:szCs w:val="20"/>
          <w:lang w:val="en-US" w:eastAsia="ja-JP"/>
        </w:rPr>
        <w:tab/>
      </w:r>
      <w:r w:rsidRPr="00A03D75">
        <w:rPr>
          <w:noProof/>
          <w:sz w:val="20"/>
          <w:szCs w:val="20"/>
        </w:rPr>
        <w:t>Recommendations related to Chapter 3: Labour mobility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_Toc278710578 \h </w:instrText>
      </w:r>
      <w:r w:rsidRPr="00A03D75">
        <w:rPr>
          <w:noProof/>
          <w:sz w:val="20"/>
          <w:szCs w:val="20"/>
        </w:rPr>
      </w:r>
      <w:r w:rsidRPr="00A03D75">
        <w:rPr>
          <w:noProof/>
          <w:sz w:val="20"/>
          <w:szCs w:val="20"/>
        </w:rPr>
        <w:fldChar w:fldCharType="separate"/>
      </w:r>
      <w:r w:rsidR="009C026F">
        <w:rPr>
          <w:noProof/>
          <w:sz w:val="20"/>
          <w:szCs w:val="20"/>
        </w:rPr>
        <w:t>45</w:t>
      </w:r>
      <w:r w:rsidRPr="00A03D75">
        <w:rPr>
          <w:noProof/>
          <w:sz w:val="20"/>
          <w:szCs w:val="20"/>
        </w:rPr>
        <w:fldChar w:fldCharType="end"/>
      </w:r>
    </w:p>
    <w:p w14:paraId="55C1E2FA"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7.1.3</w:t>
      </w:r>
      <w:r w:rsidRPr="00A03D75">
        <w:rPr>
          <w:rFonts w:eastAsiaTheme="minorEastAsia" w:cstheme="minorBidi"/>
          <w:noProof/>
          <w:sz w:val="20"/>
          <w:szCs w:val="20"/>
          <w:lang w:val="en-US" w:eastAsia="ja-JP"/>
        </w:rPr>
        <w:tab/>
      </w:r>
      <w:r w:rsidRPr="00A03D75">
        <w:rPr>
          <w:noProof/>
          <w:sz w:val="20"/>
          <w:szCs w:val="20"/>
        </w:rPr>
        <w:t>Recommendations related to</w:t>
      </w:r>
      <w:r w:rsidRPr="00A03D75">
        <w:rPr>
          <w:noProof/>
          <w:color w:val="000000" w:themeColor="text1"/>
          <w:sz w:val="20"/>
          <w:szCs w:val="20"/>
        </w:rPr>
        <w:t xml:space="preserve"> </w:t>
      </w:r>
      <w:r w:rsidRPr="00A03D75">
        <w:rPr>
          <w:noProof/>
          <w:sz w:val="20"/>
          <w:szCs w:val="20"/>
          <w:lang w:eastAsia="zh-CN"/>
        </w:rPr>
        <w:t>Chapter 4: Impact on graduates and employers</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_Toc278710579 \h </w:instrText>
      </w:r>
      <w:r w:rsidRPr="00A03D75">
        <w:rPr>
          <w:noProof/>
          <w:sz w:val="20"/>
          <w:szCs w:val="20"/>
        </w:rPr>
      </w:r>
      <w:r w:rsidRPr="00A03D75">
        <w:rPr>
          <w:noProof/>
          <w:sz w:val="20"/>
          <w:szCs w:val="20"/>
        </w:rPr>
        <w:fldChar w:fldCharType="separate"/>
      </w:r>
      <w:r w:rsidR="009C026F">
        <w:rPr>
          <w:noProof/>
          <w:sz w:val="20"/>
          <w:szCs w:val="20"/>
        </w:rPr>
        <w:t>46</w:t>
      </w:r>
      <w:r w:rsidRPr="00A03D75">
        <w:rPr>
          <w:noProof/>
          <w:sz w:val="20"/>
          <w:szCs w:val="20"/>
        </w:rPr>
        <w:fldChar w:fldCharType="end"/>
      </w:r>
    </w:p>
    <w:p w14:paraId="0A2D7E72"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7.1.4</w:t>
      </w:r>
      <w:r w:rsidRPr="00A03D75">
        <w:rPr>
          <w:rFonts w:eastAsiaTheme="minorEastAsia" w:cstheme="minorBidi"/>
          <w:noProof/>
          <w:sz w:val="20"/>
          <w:szCs w:val="20"/>
          <w:lang w:val="en-US" w:eastAsia="ja-JP"/>
        </w:rPr>
        <w:tab/>
      </w:r>
      <w:r w:rsidRPr="00A03D75">
        <w:rPr>
          <w:noProof/>
          <w:sz w:val="20"/>
          <w:szCs w:val="20"/>
        </w:rPr>
        <w:t xml:space="preserve">Recommendations related to </w:t>
      </w:r>
      <w:r w:rsidRPr="00A03D75">
        <w:rPr>
          <w:noProof/>
          <w:sz w:val="20"/>
          <w:szCs w:val="20"/>
          <w:lang w:eastAsia="zh-CN"/>
        </w:rPr>
        <w:t>Chapter 5: Value for money</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_Toc278710580 \h </w:instrText>
      </w:r>
      <w:r w:rsidRPr="00A03D75">
        <w:rPr>
          <w:noProof/>
          <w:sz w:val="20"/>
          <w:szCs w:val="20"/>
        </w:rPr>
      </w:r>
      <w:r w:rsidRPr="00A03D75">
        <w:rPr>
          <w:noProof/>
          <w:sz w:val="20"/>
          <w:szCs w:val="20"/>
        </w:rPr>
        <w:fldChar w:fldCharType="separate"/>
      </w:r>
      <w:r w:rsidR="009C026F">
        <w:rPr>
          <w:noProof/>
          <w:sz w:val="20"/>
          <w:szCs w:val="20"/>
        </w:rPr>
        <w:t>47</w:t>
      </w:r>
      <w:r w:rsidRPr="00A03D75">
        <w:rPr>
          <w:noProof/>
          <w:sz w:val="20"/>
          <w:szCs w:val="20"/>
        </w:rPr>
        <w:fldChar w:fldCharType="end"/>
      </w:r>
    </w:p>
    <w:p w14:paraId="0E5884ED" w14:textId="77777777" w:rsidR="00A03D75" w:rsidRPr="00A03D75" w:rsidRDefault="00A03D75" w:rsidP="00A03D75">
      <w:pPr>
        <w:pStyle w:val="TOC3"/>
        <w:tabs>
          <w:tab w:val="left" w:pos="1169"/>
          <w:tab w:val="right" w:leader="dot" w:pos="8489"/>
        </w:tabs>
        <w:spacing w:after="20"/>
        <w:rPr>
          <w:rFonts w:eastAsiaTheme="minorEastAsia" w:cstheme="minorBidi"/>
          <w:noProof/>
          <w:sz w:val="20"/>
          <w:szCs w:val="20"/>
          <w:lang w:val="en-US" w:eastAsia="ja-JP"/>
        </w:rPr>
      </w:pPr>
      <w:r w:rsidRPr="00A03D75">
        <w:rPr>
          <w:noProof/>
          <w:sz w:val="20"/>
          <w:szCs w:val="20"/>
          <w:lang w:eastAsia="zh-CN"/>
        </w:rPr>
        <w:t>7.1.5</w:t>
      </w:r>
      <w:r w:rsidRPr="00A03D75">
        <w:rPr>
          <w:rFonts w:eastAsiaTheme="minorEastAsia" w:cstheme="minorBidi"/>
          <w:noProof/>
          <w:sz w:val="20"/>
          <w:szCs w:val="20"/>
          <w:lang w:val="en-US" w:eastAsia="ja-JP"/>
        </w:rPr>
        <w:tab/>
      </w:r>
      <w:r w:rsidRPr="00A03D75">
        <w:rPr>
          <w:noProof/>
          <w:sz w:val="20"/>
          <w:szCs w:val="20"/>
        </w:rPr>
        <w:t>Recommendations related to</w:t>
      </w:r>
      <w:r w:rsidRPr="00A03D75">
        <w:rPr>
          <w:noProof/>
          <w:color w:val="000000" w:themeColor="text1"/>
          <w:sz w:val="20"/>
          <w:szCs w:val="20"/>
        </w:rPr>
        <w:t xml:space="preserve"> </w:t>
      </w:r>
      <w:r w:rsidRPr="00A03D75">
        <w:rPr>
          <w:noProof/>
          <w:sz w:val="20"/>
          <w:szCs w:val="20"/>
          <w:lang w:eastAsia="zh-CN"/>
        </w:rPr>
        <w:t>Chapter 6: The future of APTC</w:t>
      </w:r>
      <w:r w:rsidRPr="00A03D75">
        <w:rPr>
          <w:noProof/>
          <w:sz w:val="20"/>
          <w:szCs w:val="20"/>
        </w:rPr>
        <w:tab/>
      </w:r>
      <w:r w:rsidRPr="00A03D75">
        <w:rPr>
          <w:noProof/>
          <w:sz w:val="20"/>
          <w:szCs w:val="20"/>
        </w:rPr>
        <w:fldChar w:fldCharType="begin"/>
      </w:r>
      <w:r w:rsidRPr="00A03D75">
        <w:rPr>
          <w:noProof/>
          <w:sz w:val="20"/>
          <w:szCs w:val="20"/>
        </w:rPr>
        <w:instrText xml:space="preserve"> PAGEREF _Toc278710581 \h </w:instrText>
      </w:r>
      <w:r w:rsidRPr="00A03D75">
        <w:rPr>
          <w:noProof/>
          <w:sz w:val="20"/>
          <w:szCs w:val="20"/>
        </w:rPr>
      </w:r>
      <w:r w:rsidRPr="00A03D75">
        <w:rPr>
          <w:noProof/>
          <w:sz w:val="20"/>
          <w:szCs w:val="20"/>
        </w:rPr>
        <w:fldChar w:fldCharType="separate"/>
      </w:r>
      <w:r w:rsidR="009C026F">
        <w:rPr>
          <w:noProof/>
          <w:sz w:val="20"/>
          <w:szCs w:val="20"/>
        </w:rPr>
        <w:t>47</w:t>
      </w:r>
      <w:r w:rsidRPr="00A03D75">
        <w:rPr>
          <w:noProof/>
          <w:sz w:val="20"/>
          <w:szCs w:val="20"/>
        </w:rPr>
        <w:fldChar w:fldCharType="end"/>
      </w:r>
    </w:p>
    <w:p w14:paraId="74F043B3"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7.2</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Recommendations by issue</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_Toc278710582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48</w:t>
      </w:r>
      <w:r w:rsidRPr="00A03D75">
        <w:rPr>
          <w:rFonts w:ascii="Arial" w:hAnsi="Arial"/>
          <w:noProof/>
          <w:sz w:val="20"/>
          <w:szCs w:val="20"/>
        </w:rPr>
        <w:fldChar w:fldCharType="end"/>
      </w:r>
    </w:p>
    <w:p w14:paraId="40620E6E"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7.3</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Priorities and phasing of recommendations</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_Toc278710583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49</w:t>
      </w:r>
      <w:r w:rsidRPr="00A03D75">
        <w:rPr>
          <w:rFonts w:ascii="Arial" w:hAnsi="Arial"/>
          <w:noProof/>
          <w:sz w:val="20"/>
          <w:szCs w:val="20"/>
        </w:rPr>
        <w:fldChar w:fldCharType="end"/>
      </w:r>
    </w:p>
    <w:p w14:paraId="0CD07B17" w14:textId="77777777" w:rsidR="00A03D75" w:rsidRPr="00A03D75" w:rsidRDefault="00A03D75" w:rsidP="00A03D75">
      <w:pPr>
        <w:pStyle w:val="TOC2"/>
        <w:tabs>
          <w:tab w:val="left" w:pos="519"/>
          <w:tab w:val="right" w:leader="dot" w:pos="8489"/>
        </w:tabs>
        <w:spacing w:after="20"/>
        <w:rPr>
          <w:rFonts w:ascii="Arial" w:eastAsiaTheme="minorEastAsia" w:hAnsi="Arial" w:cstheme="minorBidi"/>
          <w:noProof/>
          <w:sz w:val="20"/>
          <w:szCs w:val="20"/>
          <w:lang w:val="en-US" w:eastAsia="ja-JP"/>
        </w:rPr>
      </w:pPr>
      <w:r w:rsidRPr="00A03D75">
        <w:rPr>
          <w:rFonts w:ascii="Arial" w:hAnsi="Arial"/>
          <w:noProof/>
          <w:sz w:val="20"/>
          <w:szCs w:val="20"/>
        </w:rPr>
        <w:t>7.4</w:t>
      </w:r>
      <w:r w:rsidRPr="00A03D75">
        <w:rPr>
          <w:rFonts w:ascii="Arial" w:eastAsiaTheme="minorEastAsia" w:hAnsi="Arial" w:cstheme="minorBidi"/>
          <w:noProof/>
          <w:sz w:val="20"/>
          <w:szCs w:val="20"/>
          <w:lang w:val="en-US" w:eastAsia="ja-JP"/>
        </w:rPr>
        <w:tab/>
      </w:r>
      <w:r w:rsidRPr="00A03D75">
        <w:rPr>
          <w:rFonts w:ascii="Arial" w:hAnsi="Arial"/>
          <w:noProof/>
          <w:sz w:val="20"/>
          <w:szCs w:val="20"/>
        </w:rPr>
        <w:t>Conclusion</w:t>
      </w:r>
      <w:r w:rsidRPr="00A03D75">
        <w:rPr>
          <w:rFonts w:ascii="Arial" w:hAnsi="Arial"/>
          <w:noProof/>
          <w:sz w:val="20"/>
          <w:szCs w:val="20"/>
        </w:rPr>
        <w:tab/>
      </w:r>
      <w:r w:rsidRPr="00A03D75">
        <w:rPr>
          <w:rFonts w:ascii="Arial" w:hAnsi="Arial"/>
          <w:noProof/>
          <w:sz w:val="20"/>
          <w:szCs w:val="20"/>
        </w:rPr>
        <w:fldChar w:fldCharType="begin"/>
      </w:r>
      <w:r w:rsidRPr="00A03D75">
        <w:rPr>
          <w:rFonts w:ascii="Arial" w:hAnsi="Arial"/>
          <w:noProof/>
          <w:sz w:val="20"/>
          <w:szCs w:val="20"/>
        </w:rPr>
        <w:instrText xml:space="preserve"> PAGEREF _Toc278710584 \h </w:instrText>
      </w:r>
      <w:r w:rsidRPr="00A03D75">
        <w:rPr>
          <w:rFonts w:ascii="Arial" w:hAnsi="Arial"/>
          <w:noProof/>
          <w:sz w:val="20"/>
          <w:szCs w:val="20"/>
        </w:rPr>
      </w:r>
      <w:r w:rsidRPr="00A03D75">
        <w:rPr>
          <w:rFonts w:ascii="Arial" w:hAnsi="Arial"/>
          <w:noProof/>
          <w:sz w:val="20"/>
          <w:szCs w:val="20"/>
        </w:rPr>
        <w:fldChar w:fldCharType="separate"/>
      </w:r>
      <w:r w:rsidR="009C026F">
        <w:rPr>
          <w:rFonts w:ascii="Arial" w:hAnsi="Arial"/>
          <w:noProof/>
          <w:sz w:val="20"/>
          <w:szCs w:val="20"/>
        </w:rPr>
        <w:t>50</w:t>
      </w:r>
      <w:r w:rsidRPr="00A03D75">
        <w:rPr>
          <w:rFonts w:ascii="Arial" w:hAnsi="Arial"/>
          <w:noProof/>
          <w:sz w:val="20"/>
          <w:szCs w:val="20"/>
        </w:rPr>
        <w:fldChar w:fldCharType="end"/>
      </w:r>
    </w:p>
    <w:p w14:paraId="222BDBAA" w14:textId="77777777" w:rsidR="00A91FF7" w:rsidRPr="00865469" w:rsidRDefault="00E268FC" w:rsidP="00A03D75">
      <w:pPr>
        <w:tabs>
          <w:tab w:val="right" w:leader="dot" w:pos="8505"/>
        </w:tabs>
        <w:spacing w:after="20"/>
        <w:rPr>
          <w:color w:val="000000"/>
          <w:sz w:val="20"/>
        </w:rPr>
      </w:pPr>
      <w:r w:rsidRPr="00A03D75">
        <w:rPr>
          <w:sz w:val="20"/>
          <w:szCs w:val="20"/>
        </w:rPr>
        <w:fldChar w:fldCharType="end"/>
      </w:r>
    </w:p>
    <w:p w14:paraId="7C1979F8" w14:textId="77777777" w:rsidR="00027774" w:rsidRDefault="00027774">
      <w:pPr>
        <w:spacing w:after="0"/>
        <w:rPr>
          <w:b/>
        </w:rPr>
      </w:pPr>
      <w:r>
        <w:rPr>
          <w:b/>
        </w:rPr>
        <w:br w:type="page"/>
      </w:r>
    </w:p>
    <w:p w14:paraId="0796D32A" w14:textId="218811A4" w:rsidR="00962E35" w:rsidRDefault="00395FC0">
      <w:pPr>
        <w:pStyle w:val="TableofFigures"/>
        <w:tabs>
          <w:tab w:val="right" w:leader="dot" w:pos="8489"/>
        </w:tabs>
        <w:rPr>
          <w:b/>
        </w:rPr>
      </w:pPr>
      <w:r w:rsidRPr="002F0D29">
        <w:rPr>
          <w:b/>
        </w:rPr>
        <w:lastRenderedPageBreak/>
        <w:t xml:space="preserve">List of </w:t>
      </w:r>
      <w:r>
        <w:rPr>
          <w:b/>
        </w:rPr>
        <w:t>t</w:t>
      </w:r>
      <w:r w:rsidRPr="002F0D29">
        <w:rPr>
          <w:b/>
        </w:rPr>
        <w:t>ables</w:t>
      </w:r>
    </w:p>
    <w:p w14:paraId="20889EC1" w14:textId="39DAB4D1" w:rsidR="00E21085" w:rsidRPr="00D02B1A" w:rsidRDefault="00E268FC">
      <w:pPr>
        <w:pStyle w:val="TableofFigures"/>
        <w:tabs>
          <w:tab w:val="right" w:leader="dot" w:pos="8489"/>
        </w:tabs>
        <w:rPr>
          <w:rFonts w:asciiTheme="minorHAnsi" w:eastAsiaTheme="minorEastAsia" w:hAnsiTheme="minorHAnsi" w:cstheme="minorBidi"/>
          <w:noProof/>
          <w:sz w:val="20"/>
          <w:szCs w:val="20"/>
          <w:lang w:val="en-US" w:eastAsia="ja-JP"/>
        </w:rPr>
      </w:pPr>
      <w:r w:rsidRPr="00E21085">
        <w:rPr>
          <w:b/>
          <w:sz w:val="20"/>
          <w:szCs w:val="20"/>
        </w:rPr>
        <w:fldChar w:fldCharType="begin"/>
      </w:r>
      <w:r w:rsidR="00395FC0" w:rsidRPr="00D02B1A">
        <w:rPr>
          <w:b/>
          <w:sz w:val="20"/>
          <w:szCs w:val="20"/>
        </w:rPr>
        <w:instrText xml:space="preserve"> TOC \t "Table heading" \c </w:instrText>
      </w:r>
      <w:r w:rsidRPr="00E21085">
        <w:rPr>
          <w:b/>
          <w:sz w:val="20"/>
          <w:szCs w:val="20"/>
        </w:rPr>
        <w:fldChar w:fldCharType="separate"/>
      </w:r>
      <w:r w:rsidR="00E21085" w:rsidRPr="00D02B1A">
        <w:rPr>
          <w:noProof/>
          <w:sz w:val="20"/>
          <w:szCs w:val="20"/>
        </w:rPr>
        <w:t>Table 1: Number of focus group meetings by country and by stakeholder group</w:t>
      </w:r>
      <w:r w:rsidR="00E21085" w:rsidRPr="00D02B1A">
        <w:rPr>
          <w:noProof/>
          <w:sz w:val="20"/>
          <w:szCs w:val="20"/>
        </w:rPr>
        <w:tab/>
      </w:r>
      <w:r w:rsidR="00E21085" w:rsidRPr="00D02B1A">
        <w:rPr>
          <w:noProof/>
          <w:sz w:val="20"/>
          <w:szCs w:val="20"/>
        </w:rPr>
        <w:fldChar w:fldCharType="begin"/>
      </w:r>
      <w:r w:rsidR="00E21085" w:rsidRPr="00D02B1A">
        <w:rPr>
          <w:noProof/>
          <w:sz w:val="20"/>
          <w:szCs w:val="20"/>
        </w:rPr>
        <w:instrText xml:space="preserve"> PAGEREF _Toc274832806 \h </w:instrText>
      </w:r>
      <w:r w:rsidR="00E21085" w:rsidRPr="00D02B1A">
        <w:rPr>
          <w:noProof/>
          <w:sz w:val="20"/>
          <w:szCs w:val="20"/>
        </w:rPr>
      </w:r>
      <w:r w:rsidR="00E21085" w:rsidRPr="00D02B1A">
        <w:rPr>
          <w:noProof/>
          <w:sz w:val="20"/>
          <w:szCs w:val="20"/>
        </w:rPr>
        <w:fldChar w:fldCharType="separate"/>
      </w:r>
      <w:r w:rsidR="009C026F">
        <w:rPr>
          <w:noProof/>
          <w:sz w:val="20"/>
          <w:szCs w:val="20"/>
        </w:rPr>
        <w:t>3</w:t>
      </w:r>
      <w:r w:rsidR="00E21085" w:rsidRPr="00D02B1A">
        <w:rPr>
          <w:noProof/>
          <w:sz w:val="20"/>
          <w:szCs w:val="20"/>
        </w:rPr>
        <w:fldChar w:fldCharType="end"/>
      </w:r>
    </w:p>
    <w:p w14:paraId="343F0CC8" w14:textId="16577817" w:rsidR="00E21085" w:rsidRPr="00D02B1A" w:rsidRDefault="00E21085">
      <w:pPr>
        <w:pStyle w:val="TableofFigures"/>
        <w:tabs>
          <w:tab w:val="right" w:leader="dot" w:pos="8489"/>
        </w:tabs>
        <w:rPr>
          <w:rFonts w:asciiTheme="minorHAnsi" w:eastAsiaTheme="minorEastAsia" w:hAnsiTheme="minorHAnsi" w:cstheme="minorBidi"/>
          <w:noProof/>
          <w:sz w:val="20"/>
          <w:szCs w:val="20"/>
          <w:lang w:val="en-US" w:eastAsia="ja-JP"/>
        </w:rPr>
      </w:pPr>
      <w:r w:rsidRPr="00D02B1A">
        <w:rPr>
          <w:noProof/>
          <w:sz w:val="20"/>
          <w:szCs w:val="20"/>
          <w:lang w:eastAsia="zh-CN"/>
        </w:rPr>
        <w:t xml:space="preserve">Table 2: Proportion of Stage I APTC graduates by qualification not in the same job prior to </w:t>
      </w:r>
      <w:r>
        <w:rPr>
          <w:noProof/>
          <w:sz w:val="20"/>
          <w:szCs w:val="20"/>
          <w:lang w:eastAsia="zh-CN"/>
        </w:rPr>
        <w:br/>
        <w:t xml:space="preserve">    </w:t>
      </w:r>
      <w:r w:rsidRPr="00D02B1A">
        <w:rPr>
          <w:noProof/>
          <w:sz w:val="20"/>
          <w:szCs w:val="20"/>
          <w:lang w:eastAsia="zh-CN"/>
        </w:rPr>
        <w:t>APTC who are employed, 2007–June 2011 (%)</w:t>
      </w:r>
      <w:r w:rsidRPr="00D02B1A">
        <w:rPr>
          <w:noProof/>
          <w:sz w:val="20"/>
          <w:szCs w:val="20"/>
        </w:rPr>
        <w:tab/>
      </w:r>
      <w:r w:rsidRPr="00D02B1A">
        <w:rPr>
          <w:noProof/>
          <w:sz w:val="20"/>
          <w:szCs w:val="20"/>
        </w:rPr>
        <w:fldChar w:fldCharType="begin"/>
      </w:r>
      <w:r w:rsidRPr="00D02B1A">
        <w:rPr>
          <w:noProof/>
          <w:sz w:val="20"/>
          <w:szCs w:val="20"/>
        </w:rPr>
        <w:instrText xml:space="preserve"> PAGEREF _Toc274832807 \h </w:instrText>
      </w:r>
      <w:r w:rsidRPr="00D02B1A">
        <w:rPr>
          <w:noProof/>
          <w:sz w:val="20"/>
          <w:szCs w:val="20"/>
        </w:rPr>
      </w:r>
      <w:r w:rsidRPr="00D02B1A">
        <w:rPr>
          <w:noProof/>
          <w:sz w:val="20"/>
          <w:szCs w:val="20"/>
        </w:rPr>
        <w:fldChar w:fldCharType="separate"/>
      </w:r>
      <w:r w:rsidR="009C026F">
        <w:rPr>
          <w:noProof/>
          <w:sz w:val="20"/>
          <w:szCs w:val="20"/>
        </w:rPr>
        <w:t>22</w:t>
      </w:r>
      <w:r w:rsidRPr="00D02B1A">
        <w:rPr>
          <w:noProof/>
          <w:sz w:val="20"/>
          <w:szCs w:val="20"/>
        </w:rPr>
        <w:fldChar w:fldCharType="end"/>
      </w:r>
    </w:p>
    <w:p w14:paraId="71DA371C" w14:textId="34A6CCBE" w:rsidR="00E21085" w:rsidRPr="00D02B1A" w:rsidRDefault="00E21085">
      <w:pPr>
        <w:pStyle w:val="TableofFigures"/>
        <w:tabs>
          <w:tab w:val="right" w:leader="dot" w:pos="8489"/>
        </w:tabs>
        <w:rPr>
          <w:rFonts w:asciiTheme="minorHAnsi" w:eastAsiaTheme="minorEastAsia" w:hAnsiTheme="minorHAnsi" w:cstheme="minorBidi"/>
          <w:noProof/>
          <w:sz w:val="20"/>
          <w:szCs w:val="20"/>
          <w:lang w:val="en-US" w:eastAsia="ja-JP"/>
        </w:rPr>
      </w:pPr>
      <w:r w:rsidRPr="00D02B1A">
        <w:rPr>
          <w:noProof/>
          <w:sz w:val="20"/>
          <w:szCs w:val="20"/>
          <w:lang w:eastAsia="zh-CN"/>
        </w:rPr>
        <w:t xml:space="preserve">Table 3: Proportion of Stage II APTC past students now not in employment and in other than </w:t>
      </w:r>
      <w:r>
        <w:rPr>
          <w:noProof/>
          <w:sz w:val="20"/>
          <w:szCs w:val="20"/>
          <w:lang w:eastAsia="zh-CN"/>
        </w:rPr>
        <w:br/>
        <w:t xml:space="preserve">    </w:t>
      </w:r>
      <w:r w:rsidRPr="00D02B1A">
        <w:rPr>
          <w:noProof/>
          <w:sz w:val="20"/>
          <w:szCs w:val="20"/>
          <w:lang w:eastAsia="zh-CN"/>
        </w:rPr>
        <w:t xml:space="preserve">full-time work one year after graduation, proportion of enrolled students by qualification </w:t>
      </w:r>
      <w:r>
        <w:rPr>
          <w:noProof/>
          <w:sz w:val="20"/>
          <w:szCs w:val="20"/>
          <w:lang w:eastAsia="zh-CN"/>
        </w:rPr>
        <w:br/>
        <w:t xml:space="preserve">    </w:t>
      </w:r>
      <w:r w:rsidRPr="00D02B1A">
        <w:rPr>
          <w:noProof/>
          <w:sz w:val="20"/>
          <w:szCs w:val="20"/>
          <w:lang w:eastAsia="zh-CN"/>
        </w:rPr>
        <w:t xml:space="preserve">employed prior to starting APTC and </w:t>
      </w:r>
      <w:r w:rsidRPr="00E21085">
        <w:rPr>
          <w:noProof/>
          <w:sz w:val="20"/>
          <w:szCs w:val="20"/>
          <w:lang w:eastAsia="zh-CN"/>
        </w:rPr>
        <w:t>response rate per qualification</w:t>
      </w:r>
      <w:r w:rsidRPr="00D02B1A">
        <w:rPr>
          <w:noProof/>
          <w:sz w:val="20"/>
          <w:szCs w:val="20"/>
          <w:lang w:eastAsia="zh-CN"/>
        </w:rPr>
        <w:t xml:space="preserve"> (%)</w:t>
      </w:r>
      <w:r w:rsidRPr="00D02B1A">
        <w:rPr>
          <w:noProof/>
          <w:sz w:val="20"/>
          <w:szCs w:val="20"/>
        </w:rPr>
        <w:tab/>
      </w:r>
      <w:r w:rsidRPr="00D02B1A">
        <w:rPr>
          <w:noProof/>
          <w:sz w:val="20"/>
          <w:szCs w:val="20"/>
        </w:rPr>
        <w:fldChar w:fldCharType="begin"/>
      </w:r>
      <w:r w:rsidRPr="00D02B1A">
        <w:rPr>
          <w:noProof/>
          <w:sz w:val="20"/>
          <w:szCs w:val="20"/>
        </w:rPr>
        <w:instrText xml:space="preserve"> PAGEREF _Toc274832808 \h </w:instrText>
      </w:r>
      <w:r w:rsidRPr="00D02B1A">
        <w:rPr>
          <w:noProof/>
          <w:sz w:val="20"/>
          <w:szCs w:val="20"/>
        </w:rPr>
      </w:r>
      <w:r w:rsidRPr="00D02B1A">
        <w:rPr>
          <w:noProof/>
          <w:sz w:val="20"/>
          <w:szCs w:val="20"/>
        </w:rPr>
        <w:fldChar w:fldCharType="separate"/>
      </w:r>
      <w:r w:rsidR="009C026F">
        <w:rPr>
          <w:noProof/>
          <w:sz w:val="20"/>
          <w:szCs w:val="20"/>
        </w:rPr>
        <w:t>23</w:t>
      </w:r>
      <w:r w:rsidRPr="00D02B1A">
        <w:rPr>
          <w:noProof/>
          <w:sz w:val="20"/>
          <w:szCs w:val="20"/>
        </w:rPr>
        <w:fldChar w:fldCharType="end"/>
      </w:r>
    </w:p>
    <w:p w14:paraId="5B8120EF" w14:textId="7E096C50" w:rsidR="00E21085" w:rsidRPr="00D02B1A" w:rsidRDefault="00E21085">
      <w:pPr>
        <w:pStyle w:val="TableofFigures"/>
        <w:tabs>
          <w:tab w:val="right" w:leader="dot" w:pos="8489"/>
        </w:tabs>
        <w:rPr>
          <w:rFonts w:asciiTheme="minorHAnsi" w:eastAsiaTheme="minorEastAsia" w:hAnsiTheme="minorHAnsi" w:cstheme="minorBidi"/>
          <w:noProof/>
          <w:sz w:val="20"/>
          <w:szCs w:val="20"/>
          <w:lang w:val="en-US" w:eastAsia="ja-JP"/>
        </w:rPr>
      </w:pPr>
      <w:r w:rsidRPr="00D02B1A">
        <w:rPr>
          <w:noProof/>
          <w:sz w:val="20"/>
          <w:szCs w:val="20"/>
        </w:rPr>
        <w:t>Table 4: Issues and linked recommendations</w:t>
      </w:r>
      <w:r w:rsidRPr="00D02B1A">
        <w:rPr>
          <w:noProof/>
          <w:sz w:val="20"/>
          <w:szCs w:val="20"/>
        </w:rPr>
        <w:tab/>
      </w:r>
      <w:r w:rsidRPr="00D02B1A">
        <w:rPr>
          <w:noProof/>
          <w:sz w:val="20"/>
          <w:szCs w:val="20"/>
        </w:rPr>
        <w:fldChar w:fldCharType="begin"/>
      </w:r>
      <w:r w:rsidRPr="00D02B1A">
        <w:rPr>
          <w:noProof/>
          <w:sz w:val="20"/>
          <w:szCs w:val="20"/>
        </w:rPr>
        <w:instrText xml:space="preserve"> PAGEREF _Toc274832809 \h </w:instrText>
      </w:r>
      <w:r w:rsidRPr="00D02B1A">
        <w:rPr>
          <w:noProof/>
          <w:sz w:val="20"/>
          <w:szCs w:val="20"/>
        </w:rPr>
      </w:r>
      <w:r w:rsidRPr="00D02B1A">
        <w:rPr>
          <w:noProof/>
          <w:sz w:val="20"/>
          <w:szCs w:val="20"/>
        </w:rPr>
        <w:fldChar w:fldCharType="separate"/>
      </w:r>
      <w:r w:rsidR="009C026F">
        <w:rPr>
          <w:noProof/>
          <w:sz w:val="20"/>
          <w:szCs w:val="20"/>
        </w:rPr>
        <w:t>48</w:t>
      </w:r>
      <w:r w:rsidRPr="00D02B1A">
        <w:rPr>
          <w:noProof/>
          <w:sz w:val="20"/>
          <w:szCs w:val="20"/>
        </w:rPr>
        <w:fldChar w:fldCharType="end"/>
      </w:r>
    </w:p>
    <w:p w14:paraId="03D96318" w14:textId="4A8D2A5B" w:rsidR="00E21085" w:rsidRDefault="00E21085">
      <w:pPr>
        <w:pStyle w:val="TableofFigures"/>
        <w:tabs>
          <w:tab w:val="right" w:leader="dot" w:pos="8489"/>
        </w:tabs>
        <w:rPr>
          <w:noProof/>
          <w:sz w:val="20"/>
          <w:szCs w:val="20"/>
        </w:rPr>
      </w:pPr>
      <w:r w:rsidRPr="00D02B1A">
        <w:rPr>
          <w:noProof/>
          <w:sz w:val="20"/>
          <w:szCs w:val="20"/>
        </w:rPr>
        <w:t>Table 5: Priorities and phasing of recommendations</w:t>
      </w:r>
      <w:r w:rsidRPr="00D02B1A">
        <w:rPr>
          <w:noProof/>
          <w:sz w:val="20"/>
          <w:szCs w:val="20"/>
        </w:rPr>
        <w:tab/>
      </w:r>
      <w:r w:rsidRPr="00D02B1A">
        <w:rPr>
          <w:noProof/>
          <w:sz w:val="20"/>
          <w:szCs w:val="20"/>
        </w:rPr>
        <w:fldChar w:fldCharType="begin"/>
      </w:r>
      <w:r w:rsidRPr="00D02B1A">
        <w:rPr>
          <w:noProof/>
          <w:sz w:val="20"/>
          <w:szCs w:val="20"/>
        </w:rPr>
        <w:instrText xml:space="preserve"> PAGEREF _Toc274832810 \h </w:instrText>
      </w:r>
      <w:r w:rsidRPr="00D02B1A">
        <w:rPr>
          <w:noProof/>
          <w:sz w:val="20"/>
          <w:szCs w:val="20"/>
        </w:rPr>
      </w:r>
      <w:r w:rsidRPr="00D02B1A">
        <w:rPr>
          <w:noProof/>
          <w:sz w:val="20"/>
          <w:szCs w:val="20"/>
        </w:rPr>
        <w:fldChar w:fldCharType="separate"/>
      </w:r>
      <w:r w:rsidR="009C026F">
        <w:rPr>
          <w:noProof/>
          <w:sz w:val="20"/>
          <w:szCs w:val="20"/>
        </w:rPr>
        <w:t>49</w:t>
      </w:r>
      <w:r w:rsidRPr="00D02B1A">
        <w:rPr>
          <w:noProof/>
          <w:sz w:val="20"/>
          <w:szCs w:val="20"/>
        </w:rPr>
        <w:fldChar w:fldCharType="end"/>
      </w:r>
    </w:p>
    <w:p w14:paraId="4BC7C063" w14:textId="77777777" w:rsidR="00E21085" w:rsidRPr="00D02B1A" w:rsidRDefault="00E21085" w:rsidP="00D02B1A">
      <w:pPr>
        <w:rPr>
          <w:rFonts w:eastAsiaTheme="minorEastAsia"/>
          <w:noProof/>
        </w:rPr>
      </w:pPr>
    </w:p>
    <w:p w14:paraId="46F57896" w14:textId="1AA533DF" w:rsidR="00E21085" w:rsidRPr="00F469D0" w:rsidRDefault="00E268FC" w:rsidP="00F469D0">
      <w:pPr>
        <w:rPr>
          <w:b/>
        </w:rPr>
      </w:pPr>
      <w:r w:rsidRPr="00E21085">
        <w:fldChar w:fldCharType="end"/>
      </w:r>
      <w:r w:rsidR="00260BF9" w:rsidRPr="00F469D0">
        <w:rPr>
          <w:b/>
        </w:rPr>
        <w:t>Annexes</w:t>
      </w:r>
    </w:p>
    <w:p w14:paraId="6ABDBA60" w14:textId="77777777" w:rsidR="00A21989" w:rsidRPr="00F469D0" w:rsidRDefault="00A21989" w:rsidP="003A5063">
      <w:pPr>
        <w:spacing w:after="60"/>
        <w:rPr>
          <w:sz w:val="20"/>
          <w:szCs w:val="20"/>
        </w:rPr>
      </w:pPr>
      <w:r w:rsidRPr="00F469D0">
        <w:rPr>
          <w:sz w:val="20"/>
          <w:szCs w:val="20"/>
        </w:rPr>
        <w:t xml:space="preserve">Annex 1: Terms of reference </w:t>
      </w:r>
    </w:p>
    <w:p w14:paraId="0BA3EF3D" w14:textId="77777777" w:rsidR="00A21989" w:rsidRPr="00F469D0" w:rsidRDefault="00A21989" w:rsidP="003A5063">
      <w:pPr>
        <w:spacing w:after="60"/>
        <w:rPr>
          <w:sz w:val="20"/>
          <w:szCs w:val="20"/>
        </w:rPr>
      </w:pPr>
      <w:r w:rsidRPr="00F469D0">
        <w:rPr>
          <w:sz w:val="20"/>
          <w:szCs w:val="20"/>
        </w:rPr>
        <w:t xml:space="preserve">Annex 2: People and organisations met </w:t>
      </w:r>
    </w:p>
    <w:p w14:paraId="2B1D9C07" w14:textId="77777777" w:rsidR="00A21989" w:rsidRPr="00F469D0" w:rsidRDefault="00A21989" w:rsidP="003A5063">
      <w:pPr>
        <w:spacing w:after="60"/>
        <w:rPr>
          <w:sz w:val="20"/>
          <w:szCs w:val="20"/>
        </w:rPr>
      </w:pPr>
      <w:r w:rsidRPr="00F469D0">
        <w:rPr>
          <w:sz w:val="20"/>
          <w:szCs w:val="20"/>
        </w:rPr>
        <w:t xml:space="preserve">Annex 3: Evaluation plan – primary and secondary questions </w:t>
      </w:r>
    </w:p>
    <w:p w14:paraId="29F77A1B" w14:textId="77777777" w:rsidR="00A21989" w:rsidRPr="00F469D0" w:rsidRDefault="00A21989" w:rsidP="003A5063">
      <w:pPr>
        <w:spacing w:after="60"/>
        <w:rPr>
          <w:sz w:val="20"/>
          <w:szCs w:val="20"/>
        </w:rPr>
      </w:pPr>
      <w:r w:rsidRPr="00F469D0">
        <w:rPr>
          <w:sz w:val="20"/>
          <w:szCs w:val="20"/>
        </w:rPr>
        <w:t xml:space="preserve">Annex 4: APTC statistical profile </w:t>
      </w:r>
    </w:p>
    <w:p w14:paraId="1614352E" w14:textId="77777777" w:rsidR="00A21989" w:rsidRPr="00F469D0" w:rsidRDefault="00A21989" w:rsidP="003A5063">
      <w:pPr>
        <w:spacing w:after="60"/>
        <w:rPr>
          <w:sz w:val="20"/>
          <w:szCs w:val="20"/>
        </w:rPr>
      </w:pPr>
      <w:r w:rsidRPr="00F469D0">
        <w:rPr>
          <w:sz w:val="20"/>
          <w:szCs w:val="20"/>
        </w:rPr>
        <w:t xml:space="preserve">Annex 5: Questionnaire results </w:t>
      </w:r>
    </w:p>
    <w:p w14:paraId="5179EF25" w14:textId="6D6794C0" w:rsidR="0054272E" w:rsidRPr="00F469D0" w:rsidRDefault="00A21989" w:rsidP="003A5063">
      <w:pPr>
        <w:spacing w:after="60"/>
        <w:rPr>
          <w:sz w:val="20"/>
          <w:szCs w:val="20"/>
        </w:rPr>
      </w:pPr>
      <w:r w:rsidRPr="00F469D0">
        <w:rPr>
          <w:sz w:val="20"/>
          <w:szCs w:val="20"/>
        </w:rPr>
        <w:t xml:space="preserve">Annex 6: TVET capacity </w:t>
      </w:r>
      <w:r w:rsidR="003A5063">
        <w:rPr>
          <w:sz w:val="20"/>
          <w:szCs w:val="20"/>
        </w:rPr>
        <w:br/>
      </w:r>
      <w:r w:rsidR="0054272E">
        <w:rPr>
          <w:sz w:val="20"/>
          <w:szCs w:val="20"/>
        </w:rPr>
        <w:tab/>
        <w:t>Attachment 1: Overview of RTO audit schedules</w:t>
      </w:r>
      <w:r w:rsidR="003A5063">
        <w:rPr>
          <w:sz w:val="20"/>
          <w:szCs w:val="20"/>
        </w:rPr>
        <w:br/>
      </w:r>
      <w:r w:rsidR="0054272E">
        <w:rPr>
          <w:sz w:val="20"/>
          <w:szCs w:val="20"/>
        </w:rPr>
        <w:tab/>
        <w:t>Attachment 2: The future of APTC scholarships</w:t>
      </w:r>
      <w:r w:rsidR="003A5063">
        <w:rPr>
          <w:sz w:val="20"/>
          <w:szCs w:val="20"/>
        </w:rPr>
        <w:br/>
      </w:r>
      <w:r w:rsidR="0054272E">
        <w:rPr>
          <w:sz w:val="20"/>
          <w:szCs w:val="20"/>
        </w:rPr>
        <w:tab/>
        <w:t>Attachment 3: APTC engagement with the Pacific TVET sector</w:t>
      </w:r>
    </w:p>
    <w:p w14:paraId="249025D2" w14:textId="39C27798" w:rsidR="00A21989" w:rsidRPr="00F469D0" w:rsidRDefault="00A21989" w:rsidP="003A5063">
      <w:pPr>
        <w:spacing w:after="60"/>
        <w:rPr>
          <w:sz w:val="20"/>
          <w:szCs w:val="20"/>
        </w:rPr>
      </w:pPr>
      <w:r w:rsidRPr="00F469D0">
        <w:rPr>
          <w:sz w:val="20"/>
          <w:szCs w:val="20"/>
        </w:rPr>
        <w:t>Annex 7: Labour mobility</w:t>
      </w:r>
      <w:r w:rsidR="003A5063">
        <w:rPr>
          <w:sz w:val="20"/>
          <w:szCs w:val="20"/>
        </w:rPr>
        <w:br/>
      </w:r>
      <w:r w:rsidR="003A5063">
        <w:rPr>
          <w:sz w:val="20"/>
          <w:szCs w:val="20"/>
        </w:rPr>
        <w:tab/>
        <w:t>Attachment 1: Identifying demand for APTC qualifications</w:t>
      </w:r>
    </w:p>
    <w:p w14:paraId="4907AB27" w14:textId="0B903636" w:rsidR="00A21989" w:rsidRPr="00F469D0" w:rsidRDefault="00A21989" w:rsidP="003A5063">
      <w:pPr>
        <w:spacing w:after="60"/>
        <w:rPr>
          <w:sz w:val="20"/>
          <w:szCs w:val="20"/>
        </w:rPr>
      </w:pPr>
      <w:r w:rsidRPr="00F469D0">
        <w:rPr>
          <w:sz w:val="20"/>
          <w:szCs w:val="20"/>
        </w:rPr>
        <w:t>Annex 8: Impact on graduates and employers</w:t>
      </w:r>
      <w:r w:rsidR="006054D7">
        <w:rPr>
          <w:sz w:val="20"/>
          <w:szCs w:val="20"/>
        </w:rPr>
        <w:br/>
      </w:r>
      <w:r w:rsidR="006054D7">
        <w:rPr>
          <w:sz w:val="20"/>
          <w:szCs w:val="20"/>
        </w:rPr>
        <w:tab/>
        <w:t>Attachment 1: Program evaluation</w:t>
      </w:r>
    </w:p>
    <w:p w14:paraId="463DC40B" w14:textId="77777777" w:rsidR="00A21989" w:rsidRPr="00F469D0" w:rsidRDefault="00A21989" w:rsidP="003A5063">
      <w:pPr>
        <w:spacing w:after="60"/>
        <w:rPr>
          <w:sz w:val="20"/>
          <w:szCs w:val="20"/>
        </w:rPr>
      </w:pPr>
      <w:r w:rsidRPr="00F469D0">
        <w:rPr>
          <w:sz w:val="20"/>
          <w:szCs w:val="20"/>
        </w:rPr>
        <w:t>Annex 9: Value for money</w:t>
      </w:r>
    </w:p>
    <w:p w14:paraId="4A96C1C5" w14:textId="77777777" w:rsidR="00A21989" w:rsidRPr="00F469D0" w:rsidRDefault="00A21989" w:rsidP="003A5063">
      <w:pPr>
        <w:spacing w:after="60"/>
        <w:rPr>
          <w:sz w:val="20"/>
          <w:szCs w:val="20"/>
        </w:rPr>
      </w:pPr>
      <w:r w:rsidRPr="00F469D0">
        <w:rPr>
          <w:sz w:val="20"/>
          <w:szCs w:val="20"/>
        </w:rPr>
        <w:t>Annex 10: Future of the APTC</w:t>
      </w:r>
    </w:p>
    <w:p w14:paraId="367C6B57" w14:textId="77777777" w:rsidR="006054D7" w:rsidRDefault="00A21989" w:rsidP="003A5063">
      <w:pPr>
        <w:spacing w:after="60"/>
        <w:rPr>
          <w:sz w:val="20"/>
          <w:szCs w:val="20"/>
        </w:rPr>
      </w:pPr>
      <w:r w:rsidRPr="00F469D0">
        <w:rPr>
          <w:sz w:val="20"/>
          <w:szCs w:val="20"/>
        </w:rPr>
        <w:t>References</w:t>
      </w:r>
    </w:p>
    <w:p w14:paraId="30974993" w14:textId="5E2ECB82" w:rsidR="00E21085" w:rsidRDefault="00E21085" w:rsidP="003A5063">
      <w:pPr>
        <w:spacing w:after="60"/>
        <w:rPr>
          <w:rFonts w:cs="Arial"/>
          <w:b/>
          <w:bCs/>
          <w:color w:val="76923C"/>
          <w:sz w:val="20"/>
          <w:szCs w:val="20"/>
        </w:rPr>
      </w:pPr>
      <w:r>
        <w:rPr>
          <w:sz w:val="20"/>
          <w:szCs w:val="20"/>
        </w:rPr>
        <w:br w:type="page"/>
      </w:r>
    </w:p>
    <w:p w14:paraId="70D3FB5A" w14:textId="521FFF70" w:rsidR="00A91FF7" w:rsidRPr="006D7C73" w:rsidRDefault="008009D4" w:rsidP="00F17ABF">
      <w:pPr>
        <w:pStyle w:val="Heading1"/>
        <w:numPr>
          <w:ilvl w:val="0"/>
          <w:numId w:val="0"/>
        </w:numPr>
      </w:pPr>
      <w:bookmarkStart w:id="1" w:name="_Toc278710483"/>
      <w:r>
        <w:lastRenderedPageBreak/>
        <w:t>Executive s</w:t>
      </w:r>
      <w:r w:rsidR="00395FC0" w:rsidRPr="006D7C73">
        <w:t>ummary</w:t>
      </w:r>
      <w:bookmarkEnd w:id="1"/>
      <w:r w:rsidR="00395FC0" w:rsidRPr="006D7C73">
        <w:t xml:space="preserve"> </w:t>
      </w:r>
    </w:p>
    <w:p w14:paraId="0F5E9F8A" w14:textId="77777777" w:rsidR="00EF59E3" w:rsidRDefault="008009D4" w:rsidP="009C76A7">
      <w:pPr>
        <w:pStyle w:val="Heading2"/>
        <w:numPr>
          <w:ilvl w:val="0"/>
          <w:numId w:val="0"/>
        </w:numPr>
      </w:pPr>
      <w:bookmarkStart w:id="2" w:name="_Toc278710484"/>
      <w:r>
        <w:t>Introduction</w:t>
      </w:r>
      <w:bookmarkEnd w:id="2"/>
    </w:p>
    <w:p w14:paraId="17E91C13" w14:textId="4C819B6F" w:rsidR="004F4DF1" w:rsidRDefault="003F6E00">
      <w:pPr>
        <w:rPr>
          <w:rFonts w:cs="Arial"/>
        </w:rPr>
      </w:pPr>
      <w:r>
        <w:rPr>
          <w:rFonts w:cs="Arial"/>
        </w:rPr>
        <w:t>The Australia</w:t>
      </w:r>
      <w:r w:rsidR="00637D93">
        <w:rPr>
          <w:rFonts w:cs="Arial"/>
        </w:rPr>
        <w:t>–</w:t>
      </w:r>
      <w:r>
        <w:rPr>
          <w:rFonts w:cs="Arial"/>
        </w:rPr>
        <w:t xml:space="preserve">Pacific Technical College </w:t>
      </w:r>
      <w:r w:rsidR="00637D93">
        <w:rPr>
          <w:rFonts w:cs="Arial"/>
        </w:rPr>
        <w:t xml:space="preserve">(APTC) </w:t>
      </w:r>
      <w:r w:rsidR="004F4DF1">
        <w:rPr>
          <w:rFonts w:cs="Arial"/>
        </w:rPr>
        <w:t xml:space="preserve">was established in 2007 </w:t>
      </w:r>
      <w:r w:rsidR="00723A1B">
        <w:rPr>
          <w:rFonts w:cs="Arial"/>
        </w:rPr>
        <w:t>to deliver</w:t>
      </w:r>
      <w:r w:rsidR="00723A1B" w:rsidRPr="00E12183">
        <w:rPr>
          <w:rFonts w:cs="Arial"/>
        </w:rPr>
        <w:t xml:space="preserve"> full Australian qualifications to upgrade the skills of established workers</w:t>
      </w:r>
      <w:r w:rsidR="00723A1B">
        <w:rPr>
          <w:rFonts w:cs="Arial"/>
        </w:rPr>
        <w:t xml:space="preserve"> in </w:t>
      </w:r>
      <w:r w:rsidR="00030E98">
        <w:rPr>
          <w:rFonts w:cs="Arial"/>
        </w:rPr>
        <w:t xml:space="preserve">the </w:t>
      </w:r>
      <w:r w:rsidR="00723A1B">
        <w:rPr>
          <w:rFonts w:cs="Arial"/>
        </w:rPr>
        <w:t xml:space="preserve">Pacific </w:t>
      </w:r>
      <w:r w:rsidR="00030E98">
        <w:rPr>
          <w:rFonts w:cs="Arial"/>
        </w:rPr>
        <w:t>region</w:t>
      </w:r>
      <w:r w:rsidR="00723A1B">
        <w:rPr>
          <w:rFonts w:cs="Arial"/>
        </w:rPr>
        <w:t>. I</w:t>
      </w:r>
      <w:r w:rsidR="004F4DF1">
        <w:rPr>
          <w:rFonts w:cs="Arial"/>
        </w:rPr>
        <w:t xml:space="preserve">t </w:t>
      </w:r>
      <w:r w:rsidRPr="00E12183">
        <w:rPr>
          <w:rFonts w:cs="Arial"/>
        </w:rPr>
        <w:t>enrols students from 14 countries at</w:t>
      </w:r>
      <w:r w:rsidR="00236E9D">
        <w:rPr>
          <w:rFonts w:cs="Arial"/>
        </w:rPr>
        <w:t xml:space="preserve"> </w:t>
      </w:r>
      <w:r w:rsidRPr="00E12183">
        <w:rPr>
          <w:rFonts w:cs="Arial"/>
        </w:rPr>
        <w:t>campus</w:t>
      </w:r>
      <w:r>
        <w:rPr>
          <w:rFonts w:cs="Arial"/>
        </w:rPr>
        <w:t>es</w:t>
      </w:r>
      <w:r w:rsidRPr="00E12183">
        <w:rPr>
          <w:rFonts w:cs="Arial"/>
        </w:rPr>
        <w:t xml:space="preserve"> </w:t>
      </w:r>
      <w:r w:rsidR="00236E9D">
        <w:rPr>
          <w:rFonts w:cs="Arial"/>
        </w:rPr>
        <w:t>across</w:t>
      </w:r>
      <w:r>
        <w:rPr>
          <w:rFonts w:cs="Arial"/>
        </w:rPr>
        <w:t xml:space="preserve"> five </w:t>
      </w:r>
      <w:r w:rsidRPr="00E12183">
        <w:rPr>
          <w:rFonts w:cs="Arial"/>
        </w:rPr>
        <w:t xml:space="preserve">countries. </w:t>
      </w:r>
      <w:r w:rsidR="004F4DF1">
        <w:rPr>
          <w:rFonts w:cs="Arial"/>
        </w:rPr>
        <w:t xml:space="preserve">Australia has funded APTC over two stages – Stage I </w:t>
      </w:r>
      <w:r w:rsidR="00030E98">
        <w:rPr>
          <w:rFonts w:cs="Arial"/>
        </w:rPr>
        <w:t xml:space="preserve">from </w:t>
      </w:r>
      <w:r w:rsidR="004F4DF1">
        <w:rPr>
          <w:rFonts w:cs="Arial"/>
        </w:rPr>
        <w:t xml:space="preserve">mid-2007 to mid-2011, </w:t>
      </w:r>
      <w:r w:rsidR="00030E98">
        <w:rPr>
          <w:rFonts w:cs="Arial"/>
        </w:rPr>
        <w:t xml:space="preserve">at a cost of </w:t>
      </w:r>
      <w:r w:rsidR="004F4DF1">
        <w:rPr>
          <w:rFonts w:cs="Arial"/>
        </w:rPr>
        <w:t xml:space="preserve">$134 million and Stage II </w:t>
      </w:r>
      <w:r w:rsidR="00030E98">
        <w:rPr>
          <w:rFonts w:cs="Arial"/>
        </w:rPr>
        <w:t xml:space="preserve">from </w:t>
      </w:r>
      <w:r w:rsidR="004F4DF1">
        <w:rPr>
          <w:rFonts w:cs="Arial"/>
        </w:rPr>
        <w:t xml:space="preserve">mid-2011 to mid-2015, </w:t>
      </w:r>
      <w:r w:rsidR="00030E98">
        <w:rPr>
          <w:rFonts w:cs="Arial"/>
        </w:rPr>
        <w:t xml:space="preserve">at a </w:t>
      </w:r>
      <w:r w:rsidR="004F4DF1">
        <w:rPr>
          <w:rFonts w:cs="Arial"/>
        </w:rPr>
        <w:t xml:space="preserve">projected cost </w:t>
      </w:r>
      <w:r w:rsidR="00030E98">
        <w:rPr>
          <w:rFonts w:cs="Arial"/>
        </w:rPr>
        <w:t xml:space="preserve">of </w:t>
      </w:r>
      <w:r w:rsidR="004F4DF1">
        <w:rPr>
          <w:rFonts w:cs="Arial"/>
        </w:rPr>
        <w:t xml:space="preserve">$143 million. </w:t>
      </w:r>
      <w:r w:rsidR="004F4DF1" w:rsidRPr="00E12183">
        <w:rPr>
          <w:rFonts w:cs="Arial"/>
        </w:rPr>
        <w:t xml:space="preserve">Current Australian funding </w:t>
      </w:r>
      <w:r w:rsidR="00DF2B94">
        <w:rPr>
          <w:rFonts w:cs="Arial"/>
        </w:rPr>
        <w:t xml:space="preserve">for APTC </w:t>
      </w:r>
      <w:r w:rsidR="004F4DF1" w:rsidRPr="00E12183">
        <w:rPr>
          <w:rFonts w:cs="Arial"/>
        </w:rPr>
        <w:t>is scheduled to end in mid-2015.</w:t>
      </w:r>
    </w:p>
    <w:p w14:paraId="5064D43A" w14:textId="474D8523" w:rsidR="004F4DF1" w:rsidRPr="00723A1B" w:rsidRDefault="00637D93">
      <w:pPr>
        <w:rPr>
          <w:rFonts w:cs="Arial"/>
        </w:rPr>
      </w:pPr>
      <w:r>
        <w:rPr>
          <w:rFonts w:cs="Arial"/>
        </w:rPr>
        <w:t>The Department of Foreign Affairs and Trade (</w:t>
      </w:r>
      <w:r w:rsidR="003F6E00" w:rsidRPr="00E12183">
        <w:rPr>
          <w:rFonts w:cs="Arial"/>
        </w:rPr>
        <w:t>DFAT</w:t>
      </w:r>
      <w:r>
        <w:rPr>
          <w:rFonts w:cs="Arial"/>
        </w:rPr>
        <w:t>) has</w:t>
      </w:r>
      <w:r w:rsidR="003F6E00" w:rsidRPr="00E12183">
        <w:rPr>
          <w:rFonts w:cs="Arial"/>
        </w:rPr>
        <w:t xml:space="preserve"> commissioned this </w:t>
      </w:r>
      <w:r w:rsidR="001747D1">
        <w:rPr>
          <w:rFonts w:cs="Arial"/>
        </w:rPr>
        <w:t xml:space="preserve">independent </w:t>
      </w:r>
      <w:r w:rsidR="003F6E00" w:rsidRPr="00E12183">
        <w:rPr>
          <w:rFonts w:cs="Arial"/>
        </w:rPr>
        <w:t xml:space="preserve">review to evaluate the performance of APTC against its </w:t>
      </w:r>
      <w:r w:rsidR="004F4DF1">
        <w:rPr>
          <w:rFonts w:cs="Arial"/>
        </w:rPr>
        <w:t xml:space="preserve">three </w:t>
      </w:r>
      <w:r w:rsidR="003F6E00" w:rsidRPr="00E12183">
        <w:rPr>
          <w:rFonts w:cs="Arial"/>
        </w:rPr>
        <w:t>stated objectives of training, employment and productivity.</w:t>
      </w:r>
      <w:r w:rsidR="00723A1B">
        <w:rPr>
          <w:rFonts w:cs="Arial"/>
        </w:rPr>
        <w:t xml:space="preserve"> </w:t>
      </w:r>
      <w:r w:rsidR="004F4DF1" w:rsidRPr="00E12183">
        <w:rPr>
          <w:rFonts w:cs="Arial"/>
        </w:rPr>
        <w:t>The review also seeks to</w:t>
      </w:r>
      <w:r w:rsidR="00BE456B">
        <w:rPr>
          <w:rFonts w:cs="Arial"/>
        </w:rPr>
        <w:t>:</w:t>
      </w:r>
      <w:r w:rsidR="004F4DF1" w:rsidRPr="00E12183">
        <w:rPr>
          <w:rFonts w:cs="Arial"/>
        </w:rPr>
        <w:t xml:space="preserve"> assess the contribution and impact of the APTC to skills development in the Pac</w:t>
      </w:r>
      <w:r w:rsidR="00BE456B">
        <w:rPr>
          <w:rFonts w:cs="Arial"/>
        </w:rPr>
        <w:t xml:space="preserve">ific; </w:t>
      </w:r>
      <w:r w:rsidR="004F4DF1" w:rsidRPr="00E12183">
        <w:rPr>
          <w:rFonts w:cs="Arial"/>
        </w:rPr>
        <w:t xml:space="preserve">identify ways in which APTC’s value for </w:t>
      </w:r>
      <w:r w:rsidR="00BE456B">
        <w:rPr>
          <w:rFonts w:cs="Arial"/>
        </w:rPr>
        <w:t xml:space="preserve">money could be enhanced; and </w:t>
      </w:r>
      <w:r w:rsidR="004F4DF1" w:rsidRPr="00E12183">
        <w:rPr>
          <w:rFonts w:cs="Arial"/>
        </w:rPr>
        <w:t>provide an evidence base that will inform future DFAT programming beyond 2015.</w:t>
      </w:r>
    </w:p>
    <w:p w14:paraId="774FD23D" w14:textId="220AE468" w:rsidR="008009D4" w:rsidRPr="008009D4" w:rsidRDefault="008009D4" w:rsidP="009C76A7">
      <w:pPr>
        <w:pStyle w:val="Heading2"/>
        <w:numPr>
          <w:ilvl w:val="0"/>
          <w:numId w:val="0"/>
        </w:numPr>
      </w:pPr>
      <w:bookmarkStart w:id="3" w:name="_Toc278710485"/>
      <w:r>
        <w:t>Main findings</w:t>
      </w:r>
      <w:bookmarkEnd w:id="3"/>
    </w:p>
    <w:p w14:paraId="04760012" w14:textId="5FEA088D" w:rsidR="00AF55E0" w:rsidRPr="00270F2C" w:rsidRDefault="002239C3" w:rsidP="009C76A7">
      <w:r w:rsidRPr="00270F2C">
        <w:t xml:space="preserve">APTC’s achievements and shortcomings </w:t>
      </w:r>
      <w:r w:rsidRPr="00DE39FD">
        <w:t>are summarised in the following table</w:t>
      </w:r>
      <w:r w:rsidR="00FC7DFF" w:rsidRPr="00DE39FD">
        <w:t>.</w:t>
      </w:r>
      <w:r w:rsidR="00270F2C" w:rsidRPr="00DE39FD" w:rsidDel="00270F2C">
        <w:t xml:space="preserve"> </w:t>
      </w:r>
    </w:p>
    <w:tbl>
      <w:tblPr>
        <w:tblStyle w:val="TableGrid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EF59E3" w:rsidRPr="000729BD" w14:paraId="351B9D79" w14:textId="77777777" w:rsidTr="00883620">
        <w:tc>
          <w:tcPr>
            <w:tcW w:w="4247" w:type="dxa"/>
            <w:tcBorders>
              <w:right w:val="single" w:sz="4" w:space="0" w:color="A8D08D" w:themeColor="accent6" w:themeTint="99"/>
            </w:tcBorders>
            <w:shd w:val="clear" w:color="auto" w:fill="C5E0B3" w:themeFill="accent6" w:themeFillTint="66"/>
          </w:tcPr>
          <w:p w14:paraId="3DED6FFB" w14:textId="77777777" w:rsidR="00EF59E3" w:rsidRPr="009C76A7" w:rsidRDefault="00EF59E3" w:rsidP="009C76A7">
            <w:pPr>
              <w:spacing w:before="40" w:after="40"/>
              <w:rPr>
                <w:rFonts w:cs="Arial"/>
                <w:b/>
                <w:sz w:val="20"/>
                <w:szCs w:val="20"/>
                <w:lang w:val="en-AU"/>
              </w:rPr>
            </w:pPr>
            <w:r w:rsidRPr="009C76A7">
              <w:rPr>
                <w:rFonts w:cs="Arial"/>
                <w:b/>
                <w:sz w:val="20"/>
                <w:szCs w:val="20"/>
              </w:rPr>
              <w:t>Main achievements</w:t>
            </w:r>
          </w:p>
        </w:tc>
        <w:tc>
          <w:tcPr>
            <w:tcW w:w="4258" w:type="dxa"/>
            <w:tcBorders>
              <w:left w:val="single" w:sz="4" w:space="0" w:color="A8D08D" w:themeColor="accent6" w:themeTint="99"/>
            </w:tcBorders>
            <w:shd w:val="clear" w:color="auto" w:fill="C5E0B3" w:themeFill="accent6" w:themeFillTint="66"/>
          </w:tcPr>
          <w:p w14:paraId="58EDC7EC" w14:textId="77777777" w:rsidR="00EF59E3" w:rsidRPr="009C76A7" w:rsidRDefault="00EF59E3" w:rsidP="009C76A7">
            <w:pPr>
              <w:spacing w:before="40" w:after="40"/>
              <w:rPr>
                <w:rFonts w:cs="Arial"/>
                <w:b/>
                <w:sz w:val="20"/>
                <w:szCs w:val="20"/>
                <w:lang w:val="en-AU"/>
              </w:rPr>
            </w:pPr>
            <w:r w:rsidRPr="009C76A7">
              <w:rPr>
                <w:rFonts w:cs="Arial"/>
                <w:b/>
                <w:sz w:val="20"/>
                <w:szCs w:val="20"/>
              </w:rPr>
              <w:t>Main shortcomings</w:t>
            </w:r>
          </w:p>
        </w:tc>
      </w:tr>
      <w:tr w:rsidR="00EF59E3" w:rsidRPr="00581A5B" w14:paraId="3DF97DB4" w14:textId="77777777" w:rsidTr="00883620">
        <w:tc>
          <w:tcPr>
            <w:tcW w:w="4247" w:type="dxa"/>
            <w:tcBorders>
              <w:right w:val="single" w:sz="4" w:space="0" w:color="A8D08D" w:themeColor="accent6" w:themeTint="99"/>
            </w:tcBorders>
          </w:tcPr>
          <w:p w14:paraId="7F7504A5"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Economic relevance</w:t>
            </w:r>
          </w:p>
          <w:p w14:paraId="4740180A" w14:textId="77777777" w:rsidR="00EF59E3" w:rsidRPr="00581A5B" w:rsidRDefault="00EF59E3" w:rsidP="00DE39FD">
            <w:pPr>
              <w:numPr>
                <w:ilvl w:val="0"/>
                <w:numId w:val="7"/>
              </w:numPr>
              <w:spacing w:after="0"/>
              <w:contextualSpacing/>
              <w:rPr>
                <w:rFonts w:cs="Arial"/>
                <w:sz w:val="18"/>
                <w:szCs w:val="20"/>
                <w:lang w:val="en-AU"/>
              </w:rPr>
            </w:pPr>
            <w:r w:rsidRPr="00581A5B">
              <w:rPr>
                <w:rFonts w:cs="Arial"/>
                <w:sz w:val="18"/>
                <w:szCs w:val="20"/>
                <w:lang w:val="en-AU"/>
              </w:rPr>
              <w:t xml:space="preserve">APTC has increased the supply of </w:t>
            </w:r>
            <w:r w:rsidR="003F00C1" w:rsidRPr="00581A5B">
              <w:rPr>
                <w:rFonts w:cs="Arial"/>
                <w:sz w:val="18"/>
                <w:szCs w:val="20"/>
                <w:lang w:val="en-AU"/>
              </w:rPr>
              <w:t xml:space="preserve">people with relevant </w:t>
            </w:r>
            <w:r w:rsidRPr="00581A5B">
              <w:rPr>
                <w:rFonts w:cs="Arial"/>
                <w:sz w:val="18"/>
                <w:szCs w:val="20"/>
                <w:lang w:val="en-AU"/>
              </w:rPr>
              <w:t xml:space="preserve">skills </w:t>
            </w:r>
            <w:r w:rsidR="003F00C1" w:rsidRPr="00581A5B">
              <w:rPr>
                <w:rFonts w:cs="Arial"/>
                <w:sz w:val="18"/>
                <w:szCs w:val="20"/>
                <w:lang w:val="en-AU"/>
              </w:rPr>
              <w:t xml:space="preserve">and </w:t>
            </w:r>
            <w:r w:rsidRPr="00581A5B">
              <w:rPr>
                <w:rFonts w:cs="Arial"/>
                <w:sz w:val="18"/>
                <w:szCs w:val="20"/>
                <w:lang w:val="en-AU"/>
              </w:rPr>
              <w:t>Australian qualifications</w:t>
            </w:r>
          </w:p>
          <w:p w14:paraId="00E71945" w14:textId="77777777" w:rsidR="00EF59E3" w:rsidRPr="00581A5B" w:rsidRDefault="00EF59E3" w:rsidP="00DE39FD">
            <w:pPr>
              <w:numPr>
                <w:ilvl w:val="0"/>
                <w:numId w:val="7"/>
              </w:numPr>
              <w:spacing w:after="0"/>
              <w:contextualSpacing/>
              <w:rPr>
                <w:rFonts w:cs="Arial"/>
                <w:sz w:val="18"/>
                <w:szCs w:val="20"/>
                <w:lang w:val="en-AU"/>
              </w:rPr>
            </w:pPr>
            <w:r w:rsidRPr="00581A5B">
              <w:rPr>
                <w:rFonts w:cs="Arial"/>
                <w:sz w:val="18"/>
                <w:szCs w:val="20"/>
                <w:lang w:val="en-AU"/>
              </w:rPr>
              <w:t xml:space="preserve">Employment rates are high among graduates and most graduates are in the same occupations as training received </w:t>
            </w:r>
          </w:p>
          <w:p w14:paraId="3CC1132E" w14:textId="77777777" w:rsidR="00EF59E3" w:rsidRPr="00581A5B" w:rsidRDefault="00EF59E3" w:rsidP="00DE39FD">
            <w:pPr>
              <w:numPr>
                <w:ilvl w:val="0"/>
                <w:numId w:val="7"/>
              </w:numPr>
              <w:spacing w:after="0"/>
              <w:contextualSpacing/>
              <w:rPr>
                <w:rFonts w:cs="Arial"/>
                <w:sz w:val="18"/>
                <w:szCs w:val="20"/>
                <w:lang w:val="en-AU"/>
              </w:rPr>
            </w:pPr>
            <w:r w:rsidRPr="00581A5B">
              <w:rPr>
                <w:rFonts w:cs="Arial"/>
                <w:sz w:val="18"/>
                <w:szCs w:val="20"/>
                <w:lang w:val="en-AU"/>
              </w:rPr>
              <w:t>APTC has close involvement with employers in program delivery</w:t>
            </w:r>
          </w:p>
          <w:p w14:paraId="40F68120" w14:textId="77777777" w:rsidR="00EF59E3" w:rsidRDefault="00EF59E3" w:rsidP="005B4D80">
            <w:pPr>
              <w:numPr>
                <w:ilvl w:val="0"/>
                <w:numId w:val="7"/>
              </w:numPr>
              <w:spacing w:after="0"/>
              <w:contextualSpacing/>
              <w:rPr>
                <w:rFonts w:cs="Arial"/>
                <w:sz w:val="18"/>
                <w:szCs w:val="20"/>
                <w:lang w:val="en-AU"/>
              </w:rPr>
            </w:pPr>
            <w:r w:rsidRPr="00581A5B">
              <w:rPr>
                <w:rFonts w:cs="Arial"/>
                <w:sz w:val="18"/>
                <w:szCs w:val="20"/>
                <w:lang w:val="en-AU"/>
              </w:rPr>
              <w:t>Employers are generally satisfied with APTC graduates</w:t>
            </w:r>
          </w:p>
          <w:p w14:paraId="56099E82" w14:textId="740F7FE2" w:rsidR="00743A61" w:rsidRPr="00581A5B" w:rsidRDefault="00743A61" w:rsidP="00743A61">
            <w:pPr>
              <w:numPr>
                <w:ilvl w:val="0"/>
                <w:numId w:val="7"/>
              </w:numPr>
              <w:spacing w:after="0"/>
              <w:contextualSpacing/>
              <w:rPr>
                <w:rFonts w:cs="Arial"/>
                <w:sz w:val="18"/>
                <w:szCs w:val="20"/>
                <w:lang w:val="en-AU"/>
              </w:rPr>
            </w:pPr>
            <w:r w:rsidRPr="00743A61">
              <w:rPr>
                <w:rFonts w:cs="Arial"/>
                <w:sz w:val="18"/>
                <w:szCs w:val="20"/>
                <w:lang w:val="en-AU"/>
              </w:rPr>
              <w:t>Students gain a regional perspective on education and employment opportunities</w:t>
            </w:r>
            <w:r w:rsidR="000B460E">
              <w:rPr>
                <w:rFonts w:cs="Arial"/>
                <w:sz w:val="18"/>
                <w:szCs w:val="20"/>
                <w:lang w:val="en-AU"/>
              </w:rPr>
              <w:br/>
            </w:r>
          </w:p>
        </w:tc>
        <w:tc>
          <w:tcPr>
            <w:tcW w:w="4258" w:type="dxa"/>
            <w:tcBorders>
              <w:left w:val="single" w:sz="4" w:space="0" w:color="A8D08D" w:themeColor="accent6" w:themeTint="99"/>
            </w:tcBorders>
          </w:tcPr>
          <w:p w14:paraId="4A12BB84"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Economic relevance</w:t>
            </w:r>
          </w:p>
          <w:p w14:paraId="4BB08C12" w14:textId="77777777"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Inadequate labour market analysis to find out what skills Pacific countries need/want</w:t>
            </w:r>
          </w:p>
          <w:p w14:paraId="4EFA7591" w14:textId="76716DA3"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 xml:space="preserve">Graduates in some fields have lower rates of </w:t>
            </w:r>
            <w:r w:rsidR="00B568CF">
              <w:rPr>
                <w:rFonts w:cs="Arial"/>
                <w:sz w:val="18"/>
                <w:szCs w:val="20"/>
                <w:lang w:val="en-AU"/>
              </w:rPr>
              <w:t xml:space="preserve">paid </w:t>
            </w:r>
            <w:r w:rsidRPr="00581A5B">
              <w:rPr>
                <w:rFonts w:cs="Arial"/>
                <w:sz w:val="18"/>
                <w:szCs w:val="20"/>
                <w:lang w:val="en-AU"/>
              </w:rPr>
              <w:t>employment, e.g. community services</w:t>
            </w:r>
          </w:p>
          <w:p w14:paraId="797D0C25" w14:textId="3056F0A0" w:rsidR="00EF59E3" w:rsidRPr="00581A5B" w:rsidRDefault="0085782F" w:rsidP="00DE39FD">
            <w:pPr>
              <w:numPr>
                <w:ilvl w:val="0"/>
                <w:numId w:val="8"/>
              </w:numPr>
              <w:spacing w:after="0"/>
              <w:contextualSpacing/>
              <w:rPr>
                <w:rFonts w:cs="Arial"/>
                <w:sz w:val="18"/>
                <w:szCs w:val="20"/>
                <w:lang w:val="en-AU"/>
              </w:rPr>
            </w:pPr>
            <w:r w:rsidRPr="00581A5B">
              <w:rPr>
                <w:rFonts w:eastAsia="Times New Roman" w:cs="Arial"/>
                <w:sz w:val="18"/>
                <w:szCs w:val="20"/>
                <w:lang w:val="en-AU"/>
              </w:rPr>
              <w:t>Employers do not necessarily require full qualifications</w:t>
            </w:r>
          </w:p>
          <w:p w14:paraId="4D47EACA" w14:textId="77777777"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 xml:space="preserve">Inadequate information and support for labour migration </w:t>
            </w:r>
          </w:p>
          <w:p w14:paraId="5B073141" w14:textId="1259F714" w:rsidR="00EF59E3" w:rsidRPr="00581A5B" w:rsidRDefault="00EF59E3" w:rsidP="005B4D80">
            <w:pPr>
              <w:numPr>
                <w:ilvl w:val="0"/>
                <w:numId w:val="8"/>
              </w:numPr>
              <w:spacing w:after="0"/>
              <w:contextualSpacing/>
              <w:rPr>
                <w:rFonts w:cs="Arial"/>
                <w:sz w:val="18"/>
                <w:szCs w:val="20"/>
                <w:lang w:val="en-AU"/>
              </w:rPr>
            </w:pPr>
            <w:r w:rsidRPr="00581A5B">
              <w:rPr>
                <w:rFonts w:cs="Arial"/>
                <w:sz w:val="18"/>
                <w:szCs w:val="20"/>
                <w:lang w:val="en-AU"/>
              </w:rPr>
              <w:t xml:space="preserve">Insufficient </w:t>
            </w:r>
            <w:r w:rsidR="00C47302">
              <w:rPr>
                <w:rFonts w:cs="Arial"/>
                <w:sz w:val="18"/>
                <w:szCs w:val="20"/>
                <w:lang w:val="en-AU"/>
              </w:rPr>
              <w:t>monitoring and evaluation</w:t>
            </w:r>
            <w:r w:rsidRPr="00581A5B">
              <w:rPr>
                <w:rFonts w:cs="Arial"/>
                <w:sz w:val="18"/>
                <w:szCs w:val="20"/>
                <w:lang w:val="en-AU"/>
              </w:rPr>
              <w:t xml:space="preserve"> systems focused on economic results and impact, including productivity and earnings</w:t>
            </w:r>
          </w:p>
        </w:tc>
      </w:tr>
      <w:tr w:rsidR="00EF59E3" w:rsidRPr="00581A5B" w14:paraId="5779C4A7" w14:textId="77777777" w:rsidTr="00883620">
        <w:tc>
          <w:tcPr>
            <w:tcW w:w="4247" w:type="dxa"/>
            <w:tcBorders>
              <w:right w:val="single" w:sz="4" w:space="0" w:color="A8D08D" w:themeColor="accent6" w:themeTint="99"/>
            </w:tcBorders>
            <w:shd w:val="clear" w:color="auto" w:fill="E2EFD9" w:themeFill="accent6" w:themeFillTint="33"/>
          </w:tcPr>
          <w:p w14:paraId="27583C3B"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Equity</w:t>
            </w:r>
          </w:p>
          <w:p w14:paraId="7F0B751A" w14:textId="42A66195" w:rsidR="00EF59E3" w:rsidRPr="00581A5B" w:rsidRDefault="00EF59E3" w:rsidP="00DE39FD">
            <w:pPr>
              <w:numPr>
                <w:ilvl w:val="0"/>
                <w:numId w:val="8"/>
              </w:numPr>
              <w:spacing w:after="0"/>
              <w:ind w:left="357" w:hanging="357"/>
              <w:rPr>
                <w:rFonts w:cs="Arial"/>
                <w:sz w:val="18"/>
                <w:szCs w:val="20"/>
                <w:lang w:val="en-AU"/>
              </w:rPr>
            </w:pPr>
            <w:r w:rsidRPr="00581A5B">
              <w:rPr>
                <w:rFonts w:cs="Arial"/>
                <w:sz w:val="18"/>
                <w:szCs w:val="20"/>
                <w:lang w:val="en-AU"/>
              </w:rPr>
              <w:t xml:space="preserve">Gives target group a </w:t>
            </w:r>
            <w:r w:rsidR="0085782F" w:rsidRPr="00581A5B">
              <w:rPr>
                <w:rFonts w:cs="Arial"/>
                <w:sz w:val="18"/>
                <w:szCs w:val="20"/>
                <w:lang w:val="en-AU"/>
              </w:rPr>
              <w:t xml:space="preserve">second </w:t>
            </w:r>
            <w:r w:rsidRPr="00581A5B">
              <w:rPr>
                <w:rFonts w:cs="Arial"/>
                <w:sz w:val="18"/>
                <w:szCs w:val="20"/>
                <w:lang w:val="en-AU"/>
              </w:rPr>
              <w:t>chance</w:t>
            </w:r>
            <w:r w:rsidR="00F81F21">
              <w:rPr>
                <w:rFonts w:cs="Arial"/>
                <w:sz w:val="18"/>
                <w:szCs w:val="20"/>
                <w:lang w:val="en-AU"/>
              </w:rPr>
              <w:t xml:space="preserve"> at acquiring a qualification</w:t>
            </w:r>
          </w:p>
          <w:p w14:paraId="75986632" w14:textId="77777777" w:rsidR="00EF59E3" w:rsidRPr="00581A5B" w:rsidRDefault="00EF59E3" w:rsidP="00DE39FD">
            <w:pPr>
              <w:numPr>
                <w:ilvl w:val="0"/>
                <w:numId w:val="8"/>
              </w:numPr>
              <w:spacing w:after="0"/>
              <w:ind w:left="357" w:hanging="357"/>
              <w:rPr>
                <w:rFonts w:cs="Arial"/>
                <w:sz w:val="18"/>
                <w:szCs w:val="20"/>
                <w:lang w:val="en-AU"/>
              </w:rPr>
            </w:pPr>
            <w:r w:rsidRPr="00581A5B">
              <w:rPr>
                <w:rFonts w:cs="Arial"/>
                <w:sz w:val="18"/>
                <w:szCs w:val="20"/>
                <w:lang w:val="en-AU"/>
              </w:rPr>
              <w:t>Relatively high female participation</w:t>
            </w:r>
          </w:p>
          <w:p w14:paraId="729580D3" w14:textId="4EF9F0E8" w:rsidR="00EF59E3" w:rsidRPr="00581A5B" w:rsidRDefault="00EF59E3" w:rsidP="00930D94">
            <w:pPr>
              <w:numPr>
                <w:ilvl w:val="0"/>
                <w:numId w:val="8"/>
              </w:numPr>
              <w:spacing w:after="0"/>
              <w:rPr>
                <w:rFonts w:cs="Arial"/>
                <w:sz w:val="18"/>
                <w:szCs w:val="20"/>
                <w:lang w:val="en-AU"/>
              </w:rPr>
            </w:pPr>
            <w:r w:rsidRPr="00581A5B">
              <w:rPr>
                <w:rFonts w:cs="Arial"/>
                <w:sz w:val="18"/>
                <w:szCs w:val="20"/>
                <w:lang w:val="en-AU"/>
              </w:rPr>
              <w:t xml:space="preserve">Individuals from </w:t>
            </w:r>
            <w:r w:rsidR="00E730F4" w:rsidRPr="00581A5B">
              <w:rPr>
                <w:rFonts w:cs="Arial"/>
                <w:sz w:val="18"/>
                <w:szCs w:val="20"/>
                <w:lang w:val="en-AU"/>
              </w:rPr>
              <w:t>small island states (</w:t>
            </w:r>
            <w:r w:rsidRPr="00581A5B">
              <w:rPr>
                <w:rFonts w:cs="Arial"/>
                <w:sz w:val="18"/>
                <w:szCs w:val="20"/>
                <w:lang w:val="en-AU"/>
              </w:rPr>
              <w:t>SIS</w:t>
            </w:r>
            <w:r w:rsidR="00E730F4" w:rsidRPr="00581A5B">
              <w:rPr>
                <w:rFonts w:cs="Arial"/>
                <w:sz w:val="18"/>
                <w:szCs w:val="20"/>
                <w:lang w:val="en-AU"/>
              </w:rPr>
              <w:t>)</w:t>
            </w:r>
            <w:r w:rsidRPr="00581A5B">
              <w:rPr>
                <w:rFonts w:cs="Arial"/>
                <w:sz w:val="18"/>
                <w:szCs w:val="20"/>
                <w:lang w:val="en-AU"/>
              </w:rPr>
              <w:t xml:space="preserve"> </w:t>
            </w:r>
            <w:r w:rsidR="00C47302">
              <w:rPr>
                <w:rFonts w:cs="Arial"/>
                <w:sz w:val="18"/>
                <w:szCs w:val="20"/>
                <w:lang w:val="en-AU"/>
              </w:rPr>
              <w:t xml:space="preserve">are </w:t>
            </w:r>
            <w:r w:rsidRPr="00581A5B">
              <w:rPr>
                <w:rFonts w:cs="Arial"/>
                <w:sz w:val="18"/>
                <w:szCs w:val="20"/>
                <w:lang w:val="en-AU"/>
              </w:rPr>
              <w:t>well represented</w:t>
            </w:r>
            <w:r w:rsidR="00930D94">
              <w:t xml:space="preserve"> </w:t>
            </w:r>
            <w:r w:rsidR="00930D94" w:rsidRPr="00930D94">
              <w:rPr>
                <w:rFonts w:cs="Arial"/>
                <w:sz w:val="18"/>
                <w:szCs w:val="20"/>
                <w:lang w:val="en-AU"/>
              </w:rPr>
              <w:t xml:space="preserve">and have access to training they would not otherwise </w:t>
            </w:r>
            <w:r w:rsidR="00E634A2">
              <w:rPr>
                <w:rFonts w:cs="Arial"/>
                <w:sz w:val="18"/>
                <w:szCs w:val="20"/>
                <w:lang w:val="en-AU"/>
              </w:rPr>
              <w:t xml:space="preserve">obtain </w:t>
            </w:r>
          </w:p>
          <w:p w14:paraId="2D92AAAC" w14:textId="77777777" w:rsidR="00EF59E3" w:rsidRDefault="00EF59E3" w:rsidP="005B4D80">
            <w:pPr>
              <w:numPr>
                <w:ilvl w:val="0"/>
                <w:numId w:val="8"/>
              </w:numPr>
              <w:spacing w:after="0"/>
              <w:ind w:left="357" w:hanging="357"/>
              <w:rPr>
                <w:rFonts w:cs="Arial"/>
                <w:sz w:val="18"/>
                <w:szCs w:val="20"/>
                <w:lang w:val="en-AU"/>
              </w:rPr>
            </w:pPr>
            <w:r w:rsidRPr="00581A5B">
              <w:rPr>
                <w:rFonts w:cs="Arial"/>
                <w:sz w:val="18"/>
                <w:szCs w:val="20"/>
                <w:lang w:val="en-AU"/>
              </w:rPr>
              <w:t>Programs include training in disability</w:t>
            </w:r>
          </w:p>
          <w:p w14:paraId="6C7C17CF" w14:textId="25670D65" w:rsidR="00743A61" w:rsidRPr="00581A5B" w:rsidRDefault="00743A61" w:rsidP="00FB645D">
            <w:pPr>
              <w:numPr>
                <w:ilvl w:val="0"/>
                <w:numId w:val="8"/>
              </w:numPr>
              <w:spacing w:after="0"/>
              <w:rPr>
                <w:rFonts w:cs="Arial"/>
                <w:sz w:val="18"/>
                <w:szCs w:val="20"/>
                <w:lang w:val="en-AU"/>
              </w:rPr>
            </w:pPr>
            <w:r w:rsidRPr="00743A61">
              <w:rPr>
                <w:rFonts w:cs="Arial"/>
                <w:sz w:val="18"/>
                <w:szCs w:val="20"/>
                <w:lang w:val="en-AU"/>
              </w:rPr>
              <w:t xml:space="preserve">Pacific </w:t>
            </w:r>
            <w:r w:rsidR="00FB645D">
              <w:rPr>
                <w:rFonts w:cs="Arial"/>
                <w:sz w:val="18"/>
                <w:szCs w:val="20"/>
                <w:lang w:val="en-AU"/>
              </w:rPr>
              <w:t>I</w:t>
            </w:r>
            <w:r w:rsidRPr="00743A61">
              <w:rPr>
                <w:rFonts w:cs="Arial"/>
                <w:sz w:val="18"/>
                <w:szCs w:val="20"/>
                <w:lang w:val="en-AU"/>
              </w:rPr>
              <w:t xml:space="preserve">slanders have the opportunity to work alongside and gain firsthand experience of the cultures of other Pacific </w:t>
            </w:r>
            <w:r w:rsidR="00FB645D">
              <w:rPr>
                <w:rFonts w:cs="Arial"/>
                <w:sz w:val="18"/>
                <w:szCs w:val="20"/>
                <w:lang w:val="en-AU"/>
              </w:rPr>
              <w:t>I</w:t>
            </w:r>
            <w:r w:rsidRPr="00743A61">
              <w:rPr>
                <w:rFonts w:cs="Arial"/>
                <w:sz w:val="18"/>
                <w:szCs w:val="20"/>
                <w:lang w:val="en-AU"/>
              </w:rPr>
              <w:t>slanders</w:t>
            </w:r>
          </w:p>
        </w:tc>
        <w:tc>
          <w:tcPr>
            <w:tcW w:w="4258" w:type="dxa"/>
            <w:tcBorders>
              <w:left w:val="single" w:sz="4" w:space="0" w:color="A8D08D" w:themeColor="accent6" w:themeTint="99"/>
            </w:tcBorders>
            <w:shd w:val="clear" w:color="auto" w:fill="E2EFD9" w:themeFill="accent6" w:themeFillTint="33"/>
          </w:tcPr>
          <w:p w14:paraId="6FAA5576"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Equity</w:t>
            </w:r>
          </w:p>
          <w:p w14:paraId="749D740B" w14:textId="39C810C4" w:rsidR="00EF59E3" w:rsidRPr="00581A5B" w:rsidRDefault="00EF59E3" w:rsidP="00DE39FD">
            <w:pPr>
              <w:numPr>
                <w:ilvl w:val="0"/>
                <w:numId w:val="10"/>
              </w:numPr>
              <w:spacing w:after="0"/>
              <w:ind w:left="357" w:hanging="357"/>
              <w:rPr>
                <w:rFonts w:cs="Arial"/>
                <w:sz w:val="18"/>
                <w:szCs w:val="20"/>
                <w:lang w:val="en-AU"/>
              </w:rPr>
            </w:pPr>
            <w:r w:rsidRPr="00581A5B">
              <w:rPr>
                <w:rFonts w:cs="Arial"/>
                <w:sz w:val="18"/>
                <w:szCs w:val="20"/>
                <w:lang w:val="en-AU"/>
              </w:rPr>
              <w:t xml:space="preserve">Individuals from </w:t>
            </w:r>
            <w:r w:rsidR="00C47302">
              <w:rPr>
                <w:rFonts w:cs="Arial"/>
                <w:sz w:val="18"/>
                <w:szCs w:val="20"/>
                <w:lang w:val="en-AU"/>
              </w:rPr>
              <w:t>Papua New Guinea</w:t>
            </w:r>
            <w:r w:rsidR="00C47302" w:rsidRPr="00581A5B">
              <w:rPr>
                <w:rFonts w:cs="Arial"/>
                <w:sz w:val="18"/>
                <w:szCs w:val="20"/>
                <w:lang w:val="en-AU"/>
              </w:rPr>
              <w:t xml:space="preserve"> </w:t>
            </w:r>
            <w:r w:rsidRPr="00581A5B">
              <w:rPr>
                <w:rFonts w:cs="Arial"/>
                <w:sz w:val="18"/>
                <w:szCs w:val="20"/>
                <w:lang w:val="en-AU"/>
              </w:rPr>
              <w:t xml:space="preserve">and </w:t>
            </w:r>
            <w:r w:rsidR="00C47302">
              <w:rPr>
                <w:rFonts w:cs="Arial"/>
                <w:sz w:val="18"/>
                <w:szCs w:val="20"/>
                <w:lang w:val="en-AU"/>
              </w:rPr>
              <w:t xml:space="preserve">the </w:t>
            </w:r>
            <w:r w:rsidRPr="00581A5B">
              <w:rPr>
                <w:rFonts w:cs="Arial"/>
                <w:sz w:val="18"/>
                <w:szCs w:val="20"/>
                <w:lang w:val="en-AU"/>
              </w:rPr>
              <w:t>S</w:t>
            </w:r>
            <w:r w:rsidR="00E730F4" w:rsidRPr="00581A5B">
              <w:rPr>
                <w:rFonts w:cs="Arial"/>
                <w:sz w:val="18"/>
                <w:szCs w:val="20"/>
                <w:lang w:val="en-AU"/>
              </w:rPr>
              <w:t xml:space="preserve">olomon Islands </w:t>
            </w:r>
            <w:r w:rsidRPr="00581A5B">
              <w:rPr>
                <w:rFonts w:cs="Arial"/>
                <w:sz w:val="18"/>
                <w:szCs w:val="20"/>
                <w:lang w:val="en-AU"/>
              </w:rPr>
              <w:t>are under</w:t>
            </w:r>
            <w:r w:rsidR="00C47302">
              <w:rPr>
                <w:rFonts w:cs="Arial"/>
                <w:sz w:val="18"/>
                <w:szCs w:val="20"/>
                <w:lang w:val="en-AU"/>
              </w:rPr>
              <w:t>-</w:t>
            </w:r>
            <w:r w:rsidRPr="00581A5B">
              <w:rPr>
                <w:rFonts w:cs="Arial"/>
                <w:sz w:val="18"/>
                <w:szCs w:val="20"/>
                <w:lang w:val="en-AU"/>
              </w:rPr>
              <w:t xml:space="preserve">represented in relation to the size of </w:t>
            </w:r>
            <w:r w:rsidR="00643FB0">
              <w:rPr>
                <w:rFonts w:cs="Arial"/>
                <w:sz w:val="18"/>
                <w:szCs w:val="20"/>
                <w:lang w:val="en-AU"/>
              </w:rPr>
              <w:t xml:space="preserve">their </w:t>
            </w:r>
            <w:r w:rsidRPr="00581A5B">
              <w:rPr>
                <w:rFonts w:cs="Arial"/>
                <w:sz w:val="18"/>
                <w:szCs w:val="20"/>
                <w:lang w:val="en-AU"/>
              </w:rPr>
              <w:t>population</w:t>
            </w:r>
            <w:r w:rsidR="00643FB0">
              <w:rPr>
                <w:rFonts w:cs="Arial"/>
                <w:sz w:val="18"/>
                <w:szCs w:val="20"/>
                <w:lang w:val="en-AU"/>
              </w:rPr>
              <w:t>s</w:t>
            </w:r>
          </w:p>
        </w:tc>
      </w:tr>
      <w:tr w:rsidR="00EF59E3" w:rsidRPr="00581A5B" w14:paraId="29604470" w14:textId="77777777" w:rsidTr="00883620">
        <w:tc>
          <w:tcPr>
            <w:tcW w:w="4247" w:type="dxa"/>
            <w:tcBorders>
              <w:right w:val="single" w:sz="4" w:space="0" w:color="A8D08D" w:themeColor="accent6" w:themeTint="99"/>
            </w:tcBorders>
          </w:tcPr>
          <w:p w14:paraId="757A21D7" w14:textId="383E47B8" w:rsidR="00EF59E3" w:rsidRPr="00581A5B" w:rsidRDefault="000B460E" w:rsidP="009C76A7">
            <w:pPr>
              <w:spacing w:after="0"/>
              <w:rPr>
                <w:rFonts w:eastAsia="Times New Roman" w:cs="Arial"/>
                <w:b/>
                <w:sz w:val="18"/>
                <w:szCs w:val="20"/>
                <w:lang w:val="en-AU"/>
              </w:rPr>
            </w:pPr>
            <w:r>
              <w:rPr>
                <w:rFonts w:cs="Arial"/>
                <w:b/>
                <w:sz w:val="18"/>
                <w:szCs w:val="20"/>
                <w:lang w:val="en-AU"/>
              </w:rPr>
              <w:br/>
            </w:r>
            <w:r w:rsidR="00EF59E3" w:rsidRPr="00581A5B">
              <w:rPr>
                <w:rFonts w:cs="Arial"/>
                <w:b/>
                <w:sz w:val="18"/>
                <w:szCs w:val="20"/>
                <w:lang w:val="en-AU"/>
              </w:rPr>
              <w:t>Quality</w:t>
            </w:r>
          </w:p>
          <w:p w14:paraId="697139E0" w14:textId="77777777" w:rsidR="00EF59E3" w:rsidRPr="00581A5B" w:rsidRDefault="00EF59E3" w:rsidP="00DE39FD">
            <w:pPr>
              <w:numPr>
                <w:ilvl w:val="0"/>
                <w:numId w:val="9"/>
              </w:numPr>
              <w:spacing w:after="0"/>
              <w:contextualSpacing/>
              <w:rPr>
                <w:rFonts w:cs="Arial"/>
                <w:sz w:val="18"/>
                <w:szCs w:val="20"/>
                <w:lang w:val="en-AU"/>
              </w:rPr>
            </w:pPr>
            <w:r w:rsidRPr="00581A5B">
              <w:rPr>
                <w:rFonts w:cs="Arial"/>
                <w:sz w:val="18"/>
                <w:szCs w:val="20"/>
                <w:lang w:val="en-AU"/>
              </w:rPr>
              <w:t>Widely recognised quality in Australian certificates despite formidable challenges</w:t>
            </w:r>
          </w:p>
          <w:p w14:paraId="37C6417C" w14:textId="3E82E73B" w:rsidR="00EF59E3" w:rsidRPr="00581A5B" w:rsidRDefault="00EF59E3" w:rsidP="00DE39FD">
            <w:pPr>
              <w:numPr>
                <w:ilvl w:val="0"/>
                <w:numId w:val="9"/>
              </w:numPr>
              <w:spacing w:after="0"/>
              <w:contextualSpacing/>
              <w:rPr>
                <w:rFonts w:cs="Arial"/>
                <w:sz w:val="18"/>
                <w:szCs w:val="20"/>
                <w:lang w:val="en-AU"/>
              </w:rPr>
            </w:pPr>
            <w:r w:rsidRPr="00581A5B">
              <w:rPr>
                <w:rFonts w:cs="Arial"/>
                <w:sz w:val="18"/>
                <w:szCs w:val="20"/>
                <w:lang w:val="en-AU"/>
              </w:rPr>
              <w:t xml:space="preserve">Some influence on raising of quality in </w:t>
            </w:r>
            <w:r w:rsidR="00643FB0">
              <w:rPr>
                <w:rFonts w:cs="Arial"/>
                <w:sz w:val="18"/>
                <w:szCs w:val="20"/>
                <w:lang w:val="en-AU"/>
              </w:rPr>
              <w:t xml:space="preserve">technical </w:t>
            </w:r>
            <w:r w:rsidR="00E34C25">
              <w:rPr>
                <w:rFonts w:cs="Arial"/>
                <w:sz w:val="18"/>
                <w:szCs w:val="20"/>
                <w:lang w:val="en-AU"/>
              </w:rPr>
              <w:t xml:space="preserve">and </w:t>
            </w:r>
            <w:r w:rsidR="00643FB0">
              <w:rPr>
                <w:rFonts w:cs="Arial"/>
                <w:sz w:val="18"/>
                <w:szCs w:val="20"/>
                <w:lang w:val="en-AU"/>
              </w:rPr>
              <w:t xml:space="preserve">vocational education </w:t>
            </w:r>
            <w:r w:rsidR="00E34C25">
              <w:rPr>
                <w:rFonts w:cs="Arial"/>
                <w:sz w:val="18"/>
                <w:szCs w:val="20"/>
                <w:lang w:val="en-AU"/>
              </w:rPr>
              <w:t xml:space="preserve">and </w:t>
            </w:r>
            <w:r w:rsidR="00643FB0">
              <w:rPr>
                <w:rFonts w:cs="Arial"/>
                <w:sz w:val="18"/>
                <w:szCs w:val="20"/>
                <w:lang w:val="en-AU"/>
              </w:rPr>
              <w:t>training (</w:t>
            </w:r>
            <w:r w:rsidRPr="00581A5B">
              <w:rPr>
                <w:rFonts w:cs="Arial"/>
                <w:sz w:val="18"/>
                <w:szCs w:val="20"/>
                <w:lang w:val="en-AU"/>
              </w:rPr>
              <w:t>TVET</w:t>
            </w:r>
            <w:r w:rsidR="00643FB0">
              <w:rPr>
                <w:rFonts w:cs="Arial"/>
                <w:sz w:val="18"/>
                <w:szCs w:val="20"/>
                <w:lang w:val="en-AU"/>
              </w:rPr>
              <w:t>)</w:t>
            </w:r>
            <w:r w:rsidRPr="00581A5B">
              <w:rPr>
                <w:rFonts w:cs="Arial"/>
                <w:sz w:val="18"/>
                <w:szCs w:val="20"/>
                <w:lang w:val="en-AU"/>
              </w:rPr>
              <w:t xml:space="preserve"> systems in the region, especially by raising TVET trainer qualifications</w:t>
            </w:r>
            <w:r w:rsidR="000B460E">
              <w:rPr>
                <w:rFonts w:cs="Arial"/>
                <w:sz w:val="18"/>
                <w:szCs w:val="20"/>
                <w:lang w:val="en-AU"/>
              </w:rPr>
              <w:br/>
            </w:r>
          </w:p>
        </w:tc>
        <w:tc>
          <w:tcPr>
            <w:tcW w:w="4258" w:type="dxa"/>
            <w:tcBorders>
              <w:left w:val="single" w:sz="4" w:space="0" w:color="A8D08D" w:themeColor="accent6" w:themeTint="99"/>
            </w:tcBorders>
          </w:tcPr>
          <w:p w14:paraId="4BCAF63B"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Quality</w:t>
            </w:r>
          </w:p>
          <w:p w14:paraId="44551A83" w14:textId="3E83A1E6" w:rsidR="00EF59E3" w:rsidRPr="00581A5B" w:rsidRDefault="008C0158" w:rsidP="009C76A7">
            <w:pPr>
              <w:spacing w:after="0"/>
              <w:rPr>
                <w:rFonts w:eastAsia="Times New Roman" w:cs="Arial"/>
                <w:sz w:val="18"/>
                <w:szCs w:val="20"/>
                <w:lang w:val="en-AU"/>
              </w:rPr>
            </w:pPr>
            <w:r>
              <w:rPr>
                <w:rFonts w:cs="Arial"/>
                <w:sz w:val="18"/>
                <w:szCs w:val="20"/>
                <w:lang w:val="en-AU"/>
              </w:rPr>
              <w:t>N</w:t>
            </w:r>
            <w:r w:rsidR="00EF59E3" w:rsidRPr="00581A5B">
              <w:rPr>
                <w:rFonts w:cs="Arial"/>
                <w:sz w:val="18"/>
                <w:szCs w:val="20"/>
                <w:lang w:val="en-AU"/>
              </w:rPr>
              <w:t>o notable weaknesses in training delivery</w:t>
            </w:r>
          </w:p>
          <w:p w14:paraId="0FE6EEB5" w14:textId="77777777" w:rsidR="00EF59E3" w:rsidRPr="00581A5B" w:rsidRDefault="00EF59E3" w:rsidP="00DE39FD">
            <w:pPr>
              <w:numPr>
                <w:ilvl w:val="0"/>
                <w:numId w:val="11"/>
              </w:numPr>
              <w:spacing w:after="0"/>
              <w:contextualSpacing/>
              <w:rPr>
                <w:rFonts w:cs="Arial"/>
                <w:sz w:val="18"/>
                <w:szCs w:val="20"/>
                <w:lang w:val="en-AU"/>
              </w:rPr>
            </w:pPr>
            <w:r w:rsidRPr="00581A5B">
              <w:rPr>
                <w:rFonts w:cs="Arial"/>
                <w:sz w:val="18"/>
                <w:szCs w:val="20"/>
                <w:lang w:val="en-AU"/>
              </w:rPr>
              <w:t>Potential quality risks from nationalisation of trainers (needs to be mitigated)</w:t>
            </w:r>
          </w:p>
        </w:tc>
      </w:tr>
      <w:tr w:rsidR="00EF59E3" w:rsidRPr="00581A5B" w14:paraId="48A500B0" w14:textId="77777777" w:rsidTr="00883620">
        <w:tc>
          <w:tcPr>
            <w:tcW w:w="4247" w:type="dxa"/>
            <w:tcBorders>
              <w:right w:val="single" w:sz="4" w:space="0" w:color="A8D08D" w:themeColor="accent6" w:themeTint="99"/>
            </w:tcBorders>
            <w:shd w:val="clear" w:color="auto" w:fill="E2EFD9" w:themeFill="accent6" w:themeFillTint="33"/>
          </w:tcPr>
          <w:p w14:paraId="6D2E3661"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Organisational effectiveness</w:t>
            </w:r>
          </w:p>
          <w:p w14:paraId="20E92233" w14:textId="77777777" w:rsidR="00EF59E3" w:rsidRPr="00581A5B" w:rsidRDefault="00EF59E3" w:rsidP="00DE39FD">
            <w:pPr>
              <w:numPr>
                <w:ilvl w:val="0"/>
                <w:numId w:val="9"/>
              </w:numPr>
              <w:spacing w:after="0"/>
              <w:contextualSpacing/>
              <w:rPr>
                <w:rFonts w:cs="Arial"/>
                <w:sz w:val="18"/>
                <w:szCs w:val="20"/>
                <w:lang w:val="en-AU"/>
              </w:rPr>
            </w:pPr>
            <w:r w:rsidRPr="00581A5B">
              <w:rPr>
                <w:rFonts w:cs="Arial"/>
                <w:sz w:val="18"/>
                <w:szCs w:val="20"/>
                <w:lang w:val="en-AU"/>
              </w:rPr>
              <w:t>Good program management in a complex environment both at the centre and in most campus countries</w:t>
            </w:r>
          </w:p>
          <w:p w14:paraId="2AD1B4DA" w14:textId="77777777" w:rsidR="00EF59E3" w:rsidRPr="00581A5B" w:rsidRDefault="00EF59E3" w:rsidP="009C76A7">
            <w:pPr>
              <w:spacing w:after="0"/>
              <w:rPr>
                <w:rFonts w:eastAsia="Times New Roman" w:cs="Arial"/>
                <w:sz w:val="18"/>
                <w:szCs w:val="20"/>
                <w:lang w:val="en-AU"/>
              </w:rPr>
            </w:pPr>
          </w:p>
        </w:tc>
        <w:tc>
          <w:tcPr>
            <w:tcW w:w="4258" w:type="dxa"/>
            <w:tcBorders>
              <w:left w:val="single" w:sz="4" w:space="0" w:color="A8D08D" w:themeColor="accent6" w:themeTint="99"/>
            </w:tcBorders>
            <w:shd w:val="clear" w:color="auto" w:fill="E2EFD9" w:themeFill="accent6" w:themeFillTint="33"/>
          </w:tcPr>
          <w:p w14:paraId="4A13DD1F"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Organisational effectiveness</w:t>
            </w:r>
          </w:p>
          <w:p w14:paraId="7716C480" w14:textId="520E1AAB"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 xml:space="preserve">APTC operates in </w:t>
            </w:r>
            <w:r w:rsidR="008C0158">
              <w:rPr>
                <w:rFonts w:cs="Arial"/>
                <w:sz w:val="18"/>
                <w:szCs w:val="20"/>
                <w:lang w:val="en-AU"/>
              </w:rPr>
              <w:t xml:space="preserve">a </w:t>
            </w:r>
            <w:r w:rsidRPr="00581A5B">
              <w:rPr>
                <w:rFonts w:cs="Arial"/>
                <w:sz w:val="18"/>
                <w:szCs w:val="20"/>
                <w:lang w:val="en-AU"/>
              </w:rPr>
              <w:t>strategic vacuum</w:t>
            </w:r>
          </w:p>
          <w:p w14:paraId="3F7D6553" w14:textId="15A069F1"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 xml:space="preserve">Inefficiencies </w:t>
            </w:r>
            <w:r w:rsidR="00E730F4" w:rsidRPr="00581A5B">
              <w:rPr>
                <w:rFonts w:cs="Arial"/>
                <w:sz w:val="18"/>
                <w:szCs w:val="20"/>
                <w:lang w:val="en-AU"/>
              </w:rPr>
              <w:t xml:space="preserve">and duplications </w:t>
            </w:r>
            <w:r w:rsidRPr="00581A5B">
              <w:rPr>
                <w:rFonts w:cs="Arial"/>
                <w:sz w:val="18"/>
                <w:szCs w:val="20"/>
                <w:lang w:val="en-AU"/>
              </w:rPr>
              <w:t xml:space="preserve">in implementing </w:t>
            </w:r>
            <w:r w:rsidR="00CD0453">
              <w:rPr>
                <w:rFonts w:cs="Arial"/>
                <w:sz w:val="18"/>
                <w:szCs w:val="20"/>
                <w:lang w:val="en-AU"/>
              </w:rPr>
              <w:t xml:space="preserve">the </w:t>
            </w:r>
            <w:r w:rsidRPr="00581A5B">
              <w:rPr>
                <w:rFonts w:cs="Arial"/>
                <w:sz w:val="18"/>
                <w:szCs w:val="20"/>
                <w:lang w:val="en-AU"/>
              </w:rPr>
              <w:t xml:space="preserve">program through </w:t>
            </w:r>
            <w:r w:rsidR="00CD0453">
              <w:rPr>
                <w:rFonts w:cs="Arial"/>
                <w:sz w:val="18"/>
                <w:szCs w:val="20"/>
                <w:lang w:val="en-AU"/>
              </w:rPr>
              <w:t xml:space="preserve">having </w:t>
            </w:r>
            <w:r w:rsidRPr="00581A5B">
              <w:rPr>
                <w:rFonts w:cs="Arial"/>
                <w:sz w:val="18"/>
                <w:szCs w:val="20"/>
                <w:lang w:val="en-AU"/>
              </w:rPr>
              <w:t xml:space="preserve">two </w:t>
            </w:r>
            <w:r w:rsidR="00E730F4" w:rsidRPr="00581A5B">
              <w:rPr>
                <w:rFonts w:cs="Arial"/>
                <w:sz w:val="18"/>
                <w:szCs w:val="20"/>
                <w:lang w:val="en-AU"/>
              </w:rPr>
              <w:t>registered training organisations (</w:t>
            </w:r>
            <w:r w:rsidRPr="00581A5B">
              <w:rPr>
                <w:rFonts w:cs="Arial"/>
                <w:sz w:val="18"/>
                <w:szCs w:val="20"/>
                <w:lang w:val="en-AU"/>
              </w:rPr>
              <w:t>RTOs</w:t>
            </w:r>
            <w:r w:rsidR="00E730F4" w:rsidRPr="00581A5B">
              <w:rPr>
                <w:rFonts w:cs="Arial"/>
                <w:sz w:val="18"/>
                <w:szCs w:val="20"/>
                <w:lang w:val="en-AU"/>
              </w:rPr>
              <w:t>)</w:t>
            </w:r>
            <w:r w:rsidRPr="00581A5B">
              <w:rPr>
                <w:rFonts w:cs="Arial"/>
                <w:sz w:val="18"/>
                <w:szCs w:val="20"/>
                <w:lang w:val="en-AU"/>
              </w:rPr>
              <w:t xml:space="preserve"> </w:t>
            </w:r>
          </w:p>
        </w:tc>
      </w:tr>
      <w:tr w:rsidR="007A5D70" w:rsidRPr="000729BD" w14:paraId="6CB9D6A4" w14:textId="77777777" w:rsidTr="006517CF">
        <w:tc>
          <w:tcPr>
            <w:tcW w:w="4247" w:type="dxa"/>
            <w:tcBorders>
              <w:right w:val="single" w:sz="4" w:space="0" w:color="A8D08D" w:themeColor="accent6" w:themeTint="99"/>
            </w:tcBorders>
            <w:shd w:val="clear" w:color="auto" w:fill="C5E0B3" w:themeFill="accent6" w:themeFillTint="66"/>
          </w:tcPr>
          <w:p w14:paraId="4D2AA2B9" w14:textId="77777777" w:rsidR="007A5D70" w:rsidRPr="009C76A7" w:rsidRDefault="007A5D70" w:rsidP="006517CF">
            <w:pPr>
              <w:spacing w:before="40" w:after="40"/>
              <w:rPr>
                <w:rFonts w:cs="Arial"/>
                <w:b/>
                <w:sz w:val="20"/>
                <w:szCs w:val="20"/>
                <w:lang w:val="en-AU"/>
              </w:rPr>
            </w:pPr>
            <w:r w:rsidRPr="009C76A7">
              <w:rPr>
                <w:rFonts w:cs="Arial"/>
                <w:b/>
                <w:sz w:val="20"/>
                <w:szCs w:val="20"/>
              </w:rPr>
              <w:lastRenderedPageBreak/>
              <w:t>Main achievements</w:t>
            </w:r>
          </w:p>
        </w:tc>
        <w:tc>
          <w:tcPr>
            <w:tcW w:w="4258" w:type="dxa"/>
            <w:tcBorders>
              <w:left w:val="single" w:sz="4" w:space="0" w:color="A8D08D" w:themeColor="accent6" w:themeTint="99"/>
            </w:tcBorders>
            <w:shd w:val="clear" w:color="auto" w:fill="C5E0B3" w:themeFill="accent6" w:themeFillTint="66"/>
          </w:tcPr>
          <w:p w14:paraId="77B16D45" w14:textId="77777777" w:rsidR="007A5D70" w:rsidRPr="009C76A7" w:rsidRDefault="007A5D70" w:rsidP="006517CF">
            <w:pPr>
              <w:spacing w:before="40" w:after="40"/>
              <w:rPr>
                <w:rFonts w:cs="Arial"/>
                <w:b/>
                <w:sz w:val="20"/>
                <w:szCs w:val="20"/>
                <w:lang w:val="en-AU"/>
              </w:rPr>
            </w:pPr>
            <w:r w:rsidRPr="009C76A7">
              <w:rPr>
                <w:rFonts w:cs="Arial"/>
                <w:b/>
                <w:sz w:val="20"/>
                <w:szCs w:val="20"/>
              </w:rPr>
              <w:t>Main shortcomings</w:t>
            </w:r>
          </w:p>
        </w:tc>
      </w:tr>
      <w:tr w:rsidR="00EF59E3" w:rsidRPr="00581A5B" w14:paraId="353833A3" w14:textId="77777777" w:rsidTr="00883620">
        <w:tc>
          <w:tcPr>
            <w:tcW w:w="4247" w:type="dxa"/>
            <w:tcBorders>
              <w:right w:val="single" w:sz="4" w:space="0" w:color="A8D08D" w:themeColor="accent6" w:themeTint="99"/>
            </w:tcBorders>
          </w:tcPr>
          <w:p w14:paraId="7D182A1D"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Internal efficiency</w:t>
            </w:r>
          </w:p>
          <w:p w14:paraId="231493FF" w14:textId="5AE6BDD5"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High completion rates, averaging 91</w:t>
            </w:r>
            <w:r w:rsidR="00270F2C">
              <w:rPr>
                <w:rFonts w:cs="Arial"/>
                <w:sz w:val="18"/>
                <w:szCs w:val="20"/>
                <w:lang w:val="en-AU"/>
              </w:rPr>
              <w:t xml:space="preserve"> per cent</w:t>
            </w:r>
          </w:p>
          <w:p w14:paraId="677E620B" w14:textId="3EED851F"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Progress on nationalisation of teaching staff</w:t>
            </w:r>
            <w:r w:rsidR="000B460E">
              <w:rPr>
                <w:rFonts w:cs="Arial"/>
                <w:sz w:val="18"/>
                <w:szCs w:val="20"/>
                <w:lang w:val="en-AU"/>
              </w:rPr>
              <w:br/>
            </w:r>
          </w:p>
        </w:tc>
        <w:tc>
          <w:tcPr>
            <w:tcW w:w="4258" w:type="dxa"/>
            <w:tcBorders>
              <w:left w:val="single" w:sz="4" w:space="0" w:color="A8D08D" w:themeColor="accent6" w:themeTint="99"/>
            </w:tcBorders>
          </w:tcPr>
          <w:p w14:paraId="768439FA"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Internal efficiency</w:t>
            </w:r>
          </w:p>
          <w:p w14:paraId="49B120EF" w14:textId="6C87108E"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Relatively few graduates</w:t>
            </w:r>
            <w:r w:rsidR="00F81F21">
              <w:rPr>
                <w:rFonts w:cs="Arial"/>
                <w:sz w:val="18"/>
                <w:szCs w:val="20"/>
                <w:lang w:val="en-AU"/>
              </w:rPr>
              <w:t xml:space="preserve"> in relation to costs</w:t>
            </w:r>
          </w:p>
          <w:p w14:paraId="2B494711" w14:textId="774D89BB" w:rsidR="00EF59E3" w:rsidRPr="00581A5B" w:rsidRDefault="00815D2A" w:rsidP="006B670E">
            <w:pPr>
              <w:numPr>
                <w:ilvl w:val="0"/>
                <w:numId w:val="8"/>
              </w:numPr>
              <w:spacing w:after="0"/>
              <w:contextualSpacing/>
              <w:rPr>
                <w:rFonts w:cs="Arial"/>
                <w:sz w:val="18"/>
                <w:szCs w:val="20"/>
                <w:lang w:val="en-AU"/>
              </w:rPr>
            </w:pPr>
            <w:r>
              <w:rPr>
                <w:rFonts w:cs="Arial"/>
                <w:sz w:val="18"/>
                <w:szCs w:val="20"/>
                <w:lang w:val="en-AU"/>
              </w:rPr>
              <w:t>H</w:t>
            </w:r>
            <w:r w:rsidR="00EF59E3" w:rsidRPr="00581A5B">
              <w:rPr>
                <w:rFonts w:cs="Arial"/>
                <w:sz w:val="18"/>
                <w:szCs w:val="20"/>
                <w:lang w:val="en-AU"/>
              </w:rPr>
              <w:t>igh unit costs</w:t>
            </w:r>
            <w:r w:rsidR="00F81F21">
              <w:rPr>
                <w:rFonts w:cs="Arial"/>
                <w:sz w:val="18"/>
                <w:szCs w:val="20"/>
                <w:lang w:val="en-AU"/>
              </w:rPr>
              <w:t xml:space="preserve"> compared to </w:t>
            </w:r>
            <w:r w:rsidR="006B670E">
              <w:rPr>
                <w:rFonts w:cs="Arial"/>
                <w:sz w:val="18"/>
                <w:szCs w:val="20"/>
              </w:rPr>
              <w:t>national training institutions</w:t>
            </w:r>
            <w:r w:rsidR="00F81F21" w:rsidRPr="009B3DE5">
              <w:rPr>
                <w:rFonts w:cs="Arial"/>
                <w:sz w:val="18"/>
                <w:szCs w:val="20"/>
              </w:rPr>
              <w:t xml:space="preserve"> and </w:t>
            </w:r>
            <w:r w:rsidR="006B670E">
              <w:rPr>
                <w:rFonts w:cs="Arial"/>
                <w:sz w:val="18"/>
                <w:szCs w:val="20"/>
              </w:rPr>
              <w:t xml:space="preserve">Australian </w:t>
            </w:r>
            <w:r w:rsidR="00F81F21" w:rsidRPr="009B3DE5">
              <w:rPr>
                <w:rFonts w:cs="Arial"/>
                <w:sz w:val="18"/>
                <w:szCs w:val="20"/>
              </w:rPr>
              <w:t>TAFEs</w:t>
            </w:r>
            <w:r w:rsidR="006B670E">
              <w:rPr>
                <w:rFonts w:cs="Arial"/>
                <w:sz w:val="18"/>
                <w:szCs w:val="20"/>
              </w:rPr>
              <w:br/>
            </w:r>
          </w:p>
        </w:tc>
      </w:tr>
      <w:tr w:rsidR="00EF59E3" w:rsidRPr="00581A5B" w14:paraId="21136B6F" w14:textId="77777777" w:rsidTr="00883620">
        <w:tc>
          <w:tcPr>
            <w:tcW w:w="4247" w:type="dxa"/>
            <w:tcBorders>
              <w:right w:val="single" w:sz="4" w:space="0" w:color="A8D08D" w:themeColor="accent6" w:themeTint="99"/>
            </w:tcBorders>
            <w:shd w:val="clear" w:color="auto" w:fill="E2EFD9" w:themeFill="accent6" w:themeFillTint="33"/>
          </w:tcPr>
          <w:p w14:paraId="4821D399"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External efficiency</w:t>
            </w:r>
          </w:p>
          <w:p w14:paraId="54BF7730" w14:textId="06001DA0" w:rsidR="00EF59E3" w:rsidRPr="00581A5B" w:rsidRDefault="00EF59E3" w:rsidP="00DE39FD">
            <w:pPr>
              <w:numPr>
                <w:ilvl w:val="0"/>
                <w:numId w:val="8"/>
              </w:numPr>
              <w:spacing w:after="0"/>
              <w:contextualSpacing/>
              <w:rPr>
                <w:rFonts w:cs="Arial"/>
                <w:b/>
                <w:sz w:val="18"/>
                <w:szCs w:val="20"/>
                <w:lang w:val="en-AU"/>
              </w:rPr>
            </w:pPr>
            <w:r w:rsidRPr="00581A5B">
              <w:rPr>
                <w:rFonts w:cs="Arial"/>
                <w:sz w:val="18"/>
                <w:szCs w:val="20"/>
                <w:lang w:val="en-AU"/>
              </w:rPr>
              <w:t>Economic rate of return on investment beyond 2015 could be above market discount rate, depending on reductions in unit costs and increased output of graduates</w:t>
            </w:r>
          </w:p>
        </w:tc>
        <w:tc>
          <w:tcPr>
            <w:tcW w:w="4258" w:type="dxa"/>
            <w:tcBorders>
              <w:left w:val="single" w:sz="4" w:space="0" w:color="A8D08D" w:themeColor="accent6" w:themeTint="99"/>
            </w:tcBorders>
            <w:shd w:val="clear" w:color="auto" w:fill="E2EFD9" w:themeFill="accent6" w:themeFillTint="33"/>
          </w:tcPr>
          <w:p w14:paraId="504C47C6"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External efficiency</w:t>
            </w:r>
          </w:p>
          <w:p w14:paraId="196A60E2" w14:textId="77777777" w:rsidR="00EF59E3" w:rsidRPr="00581A5B" w:rsidRDefault="00EF59E3" w:rsidP="00DE39FD">
            <w:pPr>
              <w:pStyle w:val="ListParagraph"/>
              <w:numPr>
                <w:ilvl w:val="0"/>
                <w:numId w:val="12"/>
              </w:numPr>
              <w:spacing w:after="0"/>
              <w:rPr>
                <w:rFonts w:cs="Arial"/>
                <w:sz w:val="18"/>
                <w:szCs w:val="20"/>
                <w:lang w:val="en-AU"/>
              </w:rPr>
            </w:pPr>
            <w:r w:rsidRPr="00581A5B">
              <w:rPr>
                <w:rFonts w:cs="Arial"/>
                <w:sz w:val="18"/>
                <w:szCs w:val="20"/>
                <w:lang w:val="en-AU"/>
              </w:rPr>
              <w:t>Economic rate of return on investment in Stages I and II below market discount rate</w:t>
            </w:r>
          </w:p>
        </w:tc>
      </w:tr>
      <w:tr w:rsidR="00EF59E3" w:rsidRPr="00581A5B" w14:paraId="7F780613" w14:textId="77777777" w:rsidTr="00883620">
        <w:tc>
          <w:tcPr>
            <w:tcW w:w="4247" w:type="dxa"/>
            <w:tcBorders>
              <w:bottom w:val="single" w:sz="4" w:space="0" w:color="A8D08D" w:themeColor="accent6" w:themeTint="99"/>
              <w:right w:val="single" w:sz="4" w:space="0" w:color="A8D08D" w:themeColor="accent6" w:themeTint="99"/>
            </w:tcBorders>
          </w:tcPr>
          <w:p w14:paraId="010D570C" w14:textId="4D7D2A50" w:rsidR="00EF59E3" w:rsidRPr="00581A5B" w:rsidRDefault="000B460E" w:rsidP="009C76A7">
            <w:pPr>
              <w:spacing w:after="0"/>
              <w:rPr>
                <w:rFonts w:eastAsia="Times New Roman" w:cs="Arial"/>
                <w:b/>
                <w:sz w:val="18"/>
                <w:szCs w:val="20"/>
                <w:lang w:val="en-AU"/>
              </w:rPr>
            </w:pPr>
            <w:r>
              <w:rPr>
                <w:rFonts w:cs="Arial"/>
                <w:b/>
                <w:sz w:val="18"/>
                <w:szCs w:val="20"/>
                <w:lang w:val="en-AU"/>
              </w:rPr>
              <w:br/>
            </w:r>
            <w:r w:rsidR="00EF59E3" w:rsidRPr="00581A5B">
              <w:rPr>
                <w:rFonts w:cs="Arial"/>
                <w:b/>
                <w:sz w:val="18"/>
                <w:szCs w:val="20"/>
                <w:lang w:val="en-AU"/>
              </w:rPr>
              <w:t>Sustainability</w:t>
            </w:r>
          </w:p>
          <w:p w14:paraId="77D1130A" w14:textId="610D86F1" w:rsidR="00CA6F37" w:rsidRPr="00581A5B" w:rsidRDefault="00EF59E3" w:rsidP="00DE39FD">
            <w:pPr>
              <w:numPr>
                <w:ilvl w:val="0"/>
                <w:numId w:val="8"/>
              </w:numPr>
              <w:spacing w:after="0"/>
              <w:contextualSpacing/>
              <w:rPr>
                <w:rFonts w:eastAsia="Times New Roman" w:cs="Arial"/>
                <w:sz w:val="18"/>
                <w:szCs w:val="20"/>
                <w:lang w:val="en-AU"/>
              </w:rPr>
            </w:pPr>
            <w:r w:rsidRPr="00581A5B">
              <w:rPr>
                <w:rFonts w:cs="Arial"/>
                <w:sz w:val="18"/>
                <w:szCs w:val="20"/>
                <w:lang w:val="en-AU"/>
              </w:rPr>
              <w:t>Likely long</w:t>
            </w:r>
            <w:r w:rsidR="00270F2C">
              <w:rPr>
                <w:rFonts w:cs="Arial"/>
                <w:sz w:val="18"/>
                <w:szCs w:val="20"/>
                <w:lang w:val="en-AU"/>
              </w:rPr>
              <w:t>-</w:t>
            </w:r>
            <w:r w:rsidRPr="00581A5B">
              <w:rPr>
                <w:rFonts w:cs="Arial"/>
                <w:sz w:val="18"/>
                <w:szCs w:val="20"/>
                <w:lang w:val="en-AU"/>
              </w:rPr>
              <w:t>term impact on quality of training in the Pacific</w:t>
            </w:r>
          </w:p>
        </w:tc>
        <w:tc>
          <w:tcPr>
            <w:tcW w:w="4258" w:type="dxa"/>
            <w:tcBorders>
              <w:left w:val="single" w:sz="4" w:space="0" w:color="A8D08D" w:themeColor="accent6" w:themeTint="99"/>
              <w:bottom w:val="single" w:sz="4" w:space="0" w:color="A8D08D" w:themeColor="accent6" w:themeTint="99"/>
            </w:tcBorders>
          </w:tcPr>
          <w:p w14:paraId="2AD462DE" w14:textId="77777777" w:rsidR="00EF59E3" w:rsidRPr="00581A5B" w:rsidRDefault="00EF59E3" w:rsidP="009C76A7">
            <w:pPr>
              <w:spacing w:after="0"/>
              <w:rPr>
                <w:rFonts w:eastAsia="Times New Roman" w:cs="Arial"/>
                <w:b/>
                <w:sz w:val="18"/>
                <w:szCs w:val="20"/>
                <w:lang w:val="en-AU"/>
              </w:rPr>
            </w:pPr>
            <w:r w:rsidRPr="00581A5B">
              <w:rPr>
                <w:rFonts w:cs="Arial"/>
                <w:b/>
                <w:sz w:val="18"/>
                <w:szCs w:val="20"/>
                <w:lang w:val="en-AU"/>
              </w:rPr>
              <w:t>Sustainability</w:t>
            </w:r>
          </w:p>
          <w:p w14:paraId="30E1A3CF" w14:textId="77777777"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Lack of country ownership</w:t>
            </w:r>
          </w:p>
          <w:p w14:paraId="5B5608C6" w14:textId="77777777"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Dependence on expatriate staff</w:t>
            </w:r>
          </w:p>
          <w:p w14:paraId="0E9B8633" w14:textId="77777777" w:rsidR="00EF59E3" w:rsidRPr="00581A5B" w:rsidRDefault="00EF59E3" w:rsidP="00DE39FD">
            <w:pPr>
              <w:numPr>
                <w:ilvl w:val="0"/>
                <w:numId w:val="8"/>
              </w:numPr>
              <w:spacing w:after="0"/>
              <w:contextualSpacing/>
              <w:rPr>
                <w:rFonts w:cs="Arial"/>
                <w:sz w:val="18"/>
                <w:szCs w:val="20"/>
                <w:lang w:val="en-AU"/>
              </w:rPr>
            </w:pPr>
            <w:r w:rsidRPr="00581A5B">
              <w:rPr>
                <w:rFonts w:cs="Arial"/>
                <w:sz w:val="18"/>
                <w:szCs w:val="20"/>
                <w:lang w:val="en-AU"/>
              </w:rPr>
              <w:t>Limited revenue streams from employers and students</w:t>
            </w:r>
          </w:p>
        </w:tc>
      </w:tr>
    </w:tbl>
    <w:p w14:paraId="3A8E05E8" w14:textId="5E364E1E" w:rsidR="00507223" w:rsidRDefault="00507223" w:rsidP="009D0D30">
      <w:pPr>
        <w:rPr>
          <w:rFonts w:cs="Arial"/>
        </w:rPr>
      </w:pPr>
    </w:p>
    <w:p w14:paraId="7496F750" w14:textId="56E2D5A3" w:rsidR="007C32EC" w:rsidRDefault="007C32EC" w:rsidP="009D0D30">
      <w:pPr>
        <w:rPr>
          <w:rFonts w:cs="Arial"/>
        </w:rPr>
      </w:pPr>
      <w:r>
        <w:rPr>
          <w:rFonts w:cs="Arial"/>
        </w:rPr>
        <w:t xml:space="preserve">APTC </w:t>
      </w:r>
      <w:r w:rsidRPr="00E12183">
        <w:rPr>
          <w:rFonts w:cs="Arial"/>
        </w:rPr>
        <w:t xml:space="preserve">has largely performed well on its first </w:t>
      </w:r>
      <w:r>
        <w:rPr>
          <w:rFonts w:cs="Arial"/>
        </w:rPr>
        <w:t>goal –</w:t>
      </w:r>
      <w:r w:rsidRPr="00E12183">
        <w:rPr>
          <w:rFonts w:cs="Arial"/>
        </w:rPr>
        <w:t xml:space="preserve"> increasing the supply of skills to the Pacific. Stakeholders in all countries visited </w:t>
      </w:r>
      <w:r w:rsidRPr="006B00FD">
        <w:rPr>
          <w:rFonts w:cs="Arial"/>
        </w:rPr>
        <w:t xml:space="preserve">by the review team </w:t>
      </w:r>
      <w:r w:rsidRPr="00E12183">
        <w:rPr>
          <w:rFonts w:cs="Arial"/>
        </w:rPr>
        <w:t xml:space="preserve">were highly positive about the quality of APTC training and skill development. Achievement of APTC’s second goal </w:t>
      </w:r>
      <w:r>
        <w:rPr>
          <w:rFonts w:cs="Arial"/>
        </w:rPr>
        <w:t>–</w:t>
      </w:r>
      <w:r w:rsidRPr="00E12183">
        <w:rPr>
          <w:rFonts w:cs="Arial"/>
        </w:rPr>
        <w:t xml:space="preserve"> to improve employment opportunities nationally, regionally and internationally </w:t>
      </w:r>
      <w:r>
        <w:rPr>
          <w:rFonts w:cs="Arial"/>
        </w:rPr>
        <w:t>–</w:t>
      </w:r>
      <w:r w:rsidRPr="00E12183">
        <w:rPr>
          <w:rFonts w:cs="Arial"/>
        </w:rPr>
        <w:t xml:space="preserve"> is uneven. Few graduates have migrated to work overseas. Employment rates for graduates in domestic labour markets are generally high but vary according to qualification. APTC’s third goal</w:t>
      </w:r>
      <w:r>
        <w:rPr>
          <w:rFonts w:cs="Arial"/>
        </w:rPr>
        <w:t> –</w:t>
      </w:r>
      <w:r w:rsidRPr="00E12183">
        <w:rPr>
          <w:rFonts w:cs="Arial"/>
        </w:rPr>
        <w:t xml:space="preserve"> to lift the productivity of graduates and enterprises</w:t>
      </w:r>
      <w:r>
        <w:rPr>
          <w:rFonts w:cs="Arial"/>
        </w:rPr>
        <w:t> –</w:t>
      </w:r>
      <w:r w:rsidRPr="00E12183">
        <w:rPr>
          <w:rFonts w:cs="Arial"/>
        </w:rPr>
        <w:t xml:space="preserve"> has been achieved based on the feedback from surveys. Meeting APTC’s objectives has involved considerable cost, far above that of alternative sources of skills training.</w:t>
      </w:r>
    </w:p>
    <w:p w14:paraId="122A7A09" w14:textId="029874C7" w:rsidR="00E81BBB" w:rsidRDefault="00E81BBB" w:rsidP="009C76A7">
      <w:pPr>
        <w:pStyle w:val="Heading3"/>
        <w:numPr>
          <w:ilvl w:val="0"/>
          <w:numId w:val="0"/>
        </w:numPr>
        <w:ind w:left="851" w:hanging="851"/>
      </w:pPr>
      <w:bookmarkStart w:id="4" w:name="_Toc278710486"/>
      <w:r>
        <w:t>Evaluation questions</w:t>
      </w:r>
      <w:bookmarkEnd w:id="4"/>
    </w:p>
    <w:p w14:paraId="75856A9F" w14:textId="5EFEC156" w:rsidR="009D0D30" w:rsidRDefault="009D0D30" w:rsidP="009D0D30">
      <w:pPr>
        <w:rPr>
          <w:rFonts w:cs="Arial"/>
        </w:rPr>
      </w:pPr>
      <w:r>
        <w:rPr>
          <w:rFonts w:cs="Arial"/>
        </w:rPr>
        <w:t xml:space="preserve">The review set out to answer </w:t>
      </w:r>
      <w:r w:rsidRPr="00E12183">
        <w:rPr>
          <w:rFonts w:cs="Arial"/>
        </w:rPr>
        <w:t xml:space="preserve">five </w:t>
      </w:r>
      <w:r>
        <w:rPr>
          <w:rFonts w:cs="Arial"/>
        </w:rPr>
        <w:t xml:space="preserve">primary </w:t>
      </w:r>
      <w:r w:rsidRPr="00E12183">
        <w:rPr>
          <w:rFonts w:cs="Arial"/>
        </w:rPr>
        <w:t xml:space="preserve">evaluation </w:t>
      </w:r>
      <w:r>
        <w:rPr>
          <w:rFonts w:cs="Arial"/>
        </w:rPr>
        <w:t>questions in the evaluation plan</w:t>
      </w:r>
      <w:r w:rsidR="00AD232E">
        <w:rPr>
          <w:rFonts w:cs="Arial"/>
        </w:rPr>
        <w:t>.</w:t>
      </w:r>
    </w:p>
    <w:p w14:paraId="1A5851B2" w14:textId="6E4BEEC2" w:rsidR="009D0D30" w:rsidRPr="009C76A7" w:rsidRDefault="006E234C" w:rsidP="009C76A7">
      <w:pPr>
        <w:spacing w:after="80"/>
        <w:rPr>
          <w:rFonts w:cs="Arial"/>
          <w:b/>
        </w:rPr>
      </w:pPr>
      <w:r>
        <w:rPr>
          <w:rFonts w:cs="Arial"/>
          <w:b/>
        </w:rPr>
        <w:t xml:space="preserve">1. </w:t>
      </w:r>
      <w:r w:rsidR="009D0D30" w:rsidRPr="008009D4">
        <w:rPr>
          <w:rFonts w:cs="Arial"/>
          <w:b/>
        </w:rPr>
        <w:t>TVET capacity:</w:t>
      </w:r>
      <w:r w:rsidR="009D0D30">
        <w:rPr>
          <w:rFonts w:cs="Arial"/>
        </w:rPr>
        <w:t xml:space="preserve"> </w:t>
      </w:r>
      <w:r w:rsidR="009D0D30" w:rsidRPr="009C76A7">
        <w:rPr>
          <w:rFonts w:cs="Arial"/>
          <w:b/>
        </w:rPr>
        <w:t>To what extent has APTC succeeded in building national and regional capacity for market-responsive skills development in the Pacific?</w:t>
      </w:r>
    </w:p>
    <w:p w14:paraId="4942DDEC" w14:textId="01FE14CF" w:rsidR="009D0D30" w:rsidRPr="00540F04" w:rsidRDefault="00973CEB" w:rsidP="009D0D30">
      <w:pPr>
        <w:rPr>
          <w:rFonts w:cs="Arial"/>
        </w:rPr>
      </w:pPr>
      <w:r w:rsidRPr="0085782F">
        <w:rPr>
          <w:rFonts w:cs="Arial"/>
        </w:rPr>
        <w:t xml:space="preserve">Overall, APTC has achieved success in </w:t>
      </w:r>
      <w:r w:rsidR="00F649F2">
        <w:rPr>
          <w:rFonts w:cs="Arial"/>
        </w:rPr>
        <w:t>increasing the supply of skills in</w:t>
      </w:r>
      <w:r w:rsidR="003F6E00" w:rsidRPr="00E12183">
        <w:rPr>
          <w:rFonts w:cs="Arial"/>
        </w:rPr>
        <w:t xml:space="preserve"> the Pacific</w:t>
      </w:r>
      <w:r w:rsidR="00F649F2">
        <w:rPr>
          <w:rFonts w:cs="Arial"/>
        </w:rPr>
        <w:t>.</w:t>
      </w:r>
      <w:r w:rsidR="003F6E00" w:rsidRPr="00E12183">
        <w:rPr>
          <w:rFonts w:cs="Arial"/>
        </w:rPr>
        <w:t xml:space="preserve"> </w:t>
      </w:r>
      <w:r w:rsidR="0047668F">
        <w:rPr>
          <w:rFonts w:cs="Arial"/>
        </w:rPr>
        <w:t>It </w:t>
      </w:r>
      <w:r>
        <w:rPr>
          <w:rFonts w:cs="Arial"/>
        </w:rPr>
        <w:t xml:space="preserve">has </w:t>
      </w:r>
      <w:r w:rsidR="00581EB5" w:rsidRPr="00E12183">
        <w:rPr>
          <w:rFonts w:cs="Arial"/>
        </w:rPr>
        <w:t>graduat</w:t>
      </w:r>
      <w:r>
        <w:rPr>
          <w:rFonts w:cs="Arial"/>
        </w:rPr>
        <w:t>ed</w:t>
      </w:r>
      <w:r w:rsidR="00581EB5" w:rsidRPr="00E12183">
        <w:rPr>
          <w:rFonts w:cs="Arial"/>
        </w:rPr>
        <w:t xml:space="preserve"> a high proportion of entrants with skills </w:t>
      </w:r>
      <w:r w:rsidR="00F649F2">
        <w:rPr>
          <w:rFonts w:cs="Arial"/>
        </w:rPr>
        <w:t xml:space="preserve">at </w:t>
      </w:r>
      <w:r w:rsidR="00581EB5" w:rsidRPr="00E12183">
        <w:rPr>
          <w:rFonts w:cs="Arial"/>
        </w:rPr>
        <w:t xml:space="preserve">Australian standards. These achievements are all the more remarkable given the complex and challenging environment in which APTC operates. </w:t>
      </w:r>
      <w:r w:rsidR="0085782F" w:rsidRPr="0085782F">
        <w:rPr>
          <w:rFonts w:cs="Arial"/>
        </w:rPr>
        <w:t>However, there is scope to realise a range of cost efficiencies, generate more fee-for-service revenue and improve responsiveness to Pacific labour markets.</w:t>
      </w:r>
      <w:r w:rsidR="00581EB5">
        <w:rPr>
          <w:rFonts w:cs="Arial"/>
        </w:rPr>
        <w:t xml:space="preserve"> </w:t>
      </w:r>
      <w:r w:rsidR="00581EB5" w:rsidRPr="00E12183">
        <w:rPr>
          <w:rFonts w:cs="Arial"/>
        </w:rPr>
        <w:t xml:space="preserve">Greater </w:t>
      </w:r>
      <w:r w:rsidR="00F649F2">
        <w:rPr>
          <w:rFonts w:cs="Arial"/>
        </w:rPr>
        <w:t xml:space="preserve">employer </w:t>
      </w:r>
      <w:r w:rsidR="00581EB5" w:rsidRPr="00E12183">
        <w:rPr>
          <w:rFonts w:cs="Arial"/>
        </w:rPr>
        <w:t>responsiveness means shifting the orientation of APTC to targeted training programs</w:t>
      </w:r>
      <w:r w:rsidR="000850FF">
        <w:rPr>
          <w:rFonts w:cs="Arial"/>
        </w:rPr>
        <w:t>,</w:t>
      </w:r>
      <w:r w:rsidR="00581EB5" w:rsidRPr="00E12183">
        <w:rPr>
          <w:rFonts w:cs="Arial"/>
        </w:rPr>
        <w:t xml:space="preserve"> such as skill sets</w:t>
      </w:r>
      <w:r w:rsidR="009E66E3">
        <w:rPr>
          <w:rFonts w:cs="Arial"/>
        </w:rPr>
        <w:t xml:space="preserve"> and short courses</w:t>
      </w:r>
      <w:r w:rsidR="000850FF">
        <w:rPr>
          <w:rFonts w:cs="Arial"/>
        </w:rPr>
        <w:t>,</w:t>
      </w:r>
      <w:r w:rsidR="00581EB5" w:rsidRPr="00E12183">
        <w:rPr>
          <w:rFonts w:cs="Arial"/>
        </w:rPr>
        <w:t xml:space="preserve"> at the expense of full qualifications.</w:t>
      </w:r>
    </w:p>
    <w:p w14:paraId="254892C8" w14:textId="36FD8B96" w:rsidR="009D0D30" w:rsidRPr="009C76A7" w:rsidRDefault="00AD232E" w:rsidP="009C76A7">
      <w:pPr>
        <w:spacing w:after="80"/>
        <w:rPr>
          <w:rFonts w:cs="Arial"/>
          <w:b/>
        </w:rPr>
      </w:pPr>
      <w:r>
        <w:rPr>
          <w:rFonts w:cs="Arial"/>
          <w:b/>
        </w:rPr>
        <w:t xml:space="preserve">2. </w:t>
      </w:r>
      <w:r w:rsidR="009D0D30" w:rsidRPr="008009D4">
        <w:rPr>
          <w:rFonts w:cs="Arial"/>
          <w:b/>
        </w:rPr>
        <w:t>Labour mobility:</w:t>
      </w:r>
      <w:r w:rsidR="009D0D30">
        <w:rPr>
          <w:rFonts w:cs="Arial"/>
        </w:rPr>
        <w:t xml:space="preserve"> </w:t>
      </w:r>
      <w:r w:rsidR="009D0D30" w:rsidRPr="009C76A7">
        <w:rPr>
          <w:rFonts w:cs="Arial"/>
          <w:b/>
        </w:rPr>
        <w:t>To what extent has APTC training enhanced access to regional and international labour markets, and why?</w:t>
      </w:r>
    </w:p>
    <w:p w14:paraId="6C33D9A5" w14:textId="707E2A25" w:rsidR="009D0D30" w:rsidRPr="00540F04" w:rsidRDefault="0085782F" w:rsidP="009D0D30">
      <w:pPr>
        <w:rPr>
          <w:rFonts w:cs="Arial"/>
        </w:rPr>
      </w:pPr>
      <w:r w:rsidRPr="0085782F">
        <w:rPr>
          <w:rFonts w:eastAsia="Calibri" w:cs="Arial"/>
          <w:szCs w:val="22"/>
        </w:rPr>
        <w:t>APTC has had little success improving access to regional and international labour markets despite the strong interest from APTC graduates in doing so. Reasons for this include the lack of eligibility of many APTC qualifications for skilled migrant entry to Australia or New Zealand</w:t>
      </w:r>
      <w:r w:rsidR="000630AC">
        <w:rPr>
          <w:rFonts w:eastAsia="Calibri" w:cs="Arial"/>
          <w:szCs w:val="22"/>
        </w:rPr>
        <w:t>,</w:t>
      </w:r>
      <w:r w:rsidRPr="0085782F">
        <w:rPr>
          <w:rFonts w:eastAsia="Calibri" w:cs="Arial"/>
          <w:szCs w:val="22"/>
        </w:rPr>
        <w:t xml:space="preserve"> and the lack of information or support from APTC on the skilled migrant entry requirements.</w:t>
      </w:r>
      <w:r w:rsidR="00F75B20">
        <w:rPr>
          <w:rFonts w:eastAsia="Calibri" w:cs="Arial"/>
          <w:szCs w:val="22"/>
        </w:rPr>
        <w:t xml:space="preserve"> </w:t>
      </w:r>
      <w:r w:rsidR="00F75B20" w:rsidRPr="00F75B20">
        <w:rPr>
          <w:rFonts w:eastAsia="Calibri" w:cs="Arial"/>
          <w:szCs w:val="22"/>
        </w:rPr>
        <w:t xml:space="preserve">As the APTC is a fully-funded Australian aid program set up to deliver Australian qualifications </w:t>
      </w:r>
      <w:r w:rsidR="002E659B">
        <w:rPr>
          <w:rFonts w:eastAsia="Calibri" w:cs="Arial"/>
          <w:szCs w:val="22"/>
        </w:rPr>
        <w:t xml:space="preserve">partly </w:t>
      </w:r>
      <w:r w:rsidR="00F75B20" w:rsidRPr="00F75B20">
        <w:rPr>
          <w:rFonts w:eastAsia="Calibri" w:cs="Arial"/>
          <w:szCs w:val="22"/>
        </w:rPr>
        <w:t xml:space="preserve">as a means of promoting labour mobility, evidence of its limited success in doing </w:t>
      </w:r>
      <w:r w:rsidR="002E659B">
        <w:rPr>
          <w:rFonts w:eastAsia="Calibri" w:cs="Arial"/>
          <w:szCs w:val="22"/>
        </w:rPr>
        <w:t>this</w:t>
      </w:r>
      <w:r w:rsidR="00F75B20">
        <w:rPr>
          <w:rFonts w:eastAsia="Calibri" w:cs="Arial"/>
          <w:szCs w:val="22"/>
        </w:rPr>
        <w:t xml:space="preserve"> may </w:t>
      </w:r>
      <w:r w:rsidR="00F75B20" w:rsidRPr="00F75B20">
        <w:rPr>
          <w:rFonts w:eastAsia="Calibri" w:cs="Arial"/>
          <w:szCs w:val="22"/>
        </w:rPr>
        <w:t>undermine APTC's reputation among students, graduates and the wider community in the Pacific.</w:t>
      </w:r>
    </w:p>
    <w:p w14:paraId="1C318ABA" w14:textId="09A41DCB" w:rsidR="009D0D30" w:rsidRPr="009C76A7" w:rsidRDefault="00AD232E" w:rsidP="009C76A7">
      <w:pPr>
        <w:spacing w:after="80"/>
        <w:rPr>
          <w:rFonts w:cs="Arial"/>
          <w:b/>
        </w:rPr>
      </w:pPr>
      <w:r>
        <w:rPr>
          <w:rFonts w:cs="Arial"/>
          <w:b/>
        </w:rPr>
        <w:t xml:space="preserve">3. </w:t>
      </w:r>
      <w:r w:rsidR="009D0D30" w:rsidRPr="008009D4">
        <w:rPr>
          <w:rFonts w:cs="Arial"/>
          <w:b/>
        </w:rPr>
        <w:t>Impact:</w:t>
      </w:r>
      <w:r w:rsidR="009D0D30">
        <w:rPr>
          <w:rFonts w:cs="Arial"/>
        </w:rPr>
        <w:t xml:space="preserve"> </w:t>
      </w:r>
      <w:r w:rsidR="009D0D30" w:rsidRPr="009C76A7">
        <w:rPr>
          <w:rFonts w:cs="Arial"/>
          <w:b/>
        </w:rPr>
        <w:t>What tangible differences has APTC made to its primary beneficiaries –</w:t>
      </w:r>
      <w:r w:rsidR="000C682C">
        <w:rPr>
          <w:rFonts w:cs="Arial"/>
          <w:b/>
        </w:rPr>
        <w:t xml:space="preserve"> </w:t>
      </w:r>
      <w:r w:rsidR="009D0D30" w:rsidRPr="009C76A7">
        <w:rPr>
          <w:rFonts w:cs="Arial"/>
          <w:b/>
        </w:rPr>
        <w:t>graduates and industry?</w:t>
      </w:r>
    </w:p>
    <w:p w14:paraId="33A3B7BF" w14:textId="0DF2D233" w:rsidR="009D0D30" w:rsidRPr="0085782F" w:rsidRDefault="0085782F" w:rsidP="0085782F">
      <w:pPr>
        <w:rPr>
          <w:rFonts w:eastAsia="Calibri" w:cs="Arial"/>
          <w:szCs w:val="22"/>
        </w:rPr>
      </w:pPr>
      <w:r w:rsidRPr="0085782F">
        <w:rPr>
          <w:rFonts w:eastAsia="Calibri" w:cs="Arial"/>
          <w:szCs w:val="22"/>
        </w:rPr>
        <w:t>APTC has been successful in improving the employment prospects of its graduates, with many also obtaining higher wages and other benefits</w:t>
      </w:r>
      <w:r w:rsidR="000C682C">
        <w:rPr>
          <w:rFonts w:eastAsia="Calibri" w:cs="Arial"/>
          <w:szCs w:val="22"/>
        </w:rPr>
        <w:t>,</w:t>
      </w:r>
      <w:r w:rsidRPr="0085782F">
        <w:rPr>
          <w:rFonts w:eastAsia="Calibri" w:cs="Arial"/>
          <w:szCs w:val="22"/>
        </w:rPr>
        <w:t xml:space="preserve"> such as promotion. </w:t>
      </w:r>
      <w:r w:rsidR="00F75B20" w:rsidRPr="00F75B20">
        <w:rPr>
          <w:rFonts w:eastAsia="Calibri" w:cs="Arial"/>
          <w:szCs w:val="22"/>
        </w:rPr>
        <w:lastRenderedPageBreak/>
        <w:t xml:space="preserve">However, some graduates in community services and hospitality are unemployed, indicating that APTC could do more to help </w:t>
      </w:r>
      <w:r w:rsidR="00AB3206">
        <w:rPr>
          <w:rFonts w:eastAsia="Calibri" w:cs="Arial"/>
          <w:szCs w:val="22"/>
        </w:rPr>
        <w:t xml:space="preserve">those </w:t>
      </w:r>
      <w:r w:rsidR="00F75B20" w:rsidRPr="00F75B20">
        <w:rPr>
          <w:rFonts w:eastAsia="Calibri" w:cs="Arial"/>
          <w:szCs w:val="22"/>
        </w:rPr>
        <w:t xml:space="preserve">graduates </w:t>
      </w:r>
      <w:r w:rsidR="00AB3206">
        <w:rPr>
          <w:rFonts w:eastAsia="Calibri" w:cs="Arial"/>
          <w:szCs w:val="22"/>
        </w:rPr>
        <w:t xml:space="preserve">not in work to </w:t>
      </w:r>
      <w:r w:rsidR="00F75B20" w:rsidRPr="00F75B20">
        <w:rPr>
          <w:rFonts w:eastAsia="Calibri" w:cs="Arial"/>
          <w:szCs w:val="22"/>
        </w:rPr>
        <w:t xml:space="preserve">find jobs matched to their qualifications. </w:t>
      </w:r>
      <w:r w:rsidRPr="0085782F">
        <w:rPr>
          <w:rFonts w:eastAsia="Calibri" w:cs="Arial"/>
          <w:szCs w:val="22"/>
        </w:rPr>
        <w:t xml:space="preserve">Employers </w:t>
      </w:r>
      <w:r>
        <w:rPr>
          <w:rFonts w:eastAsia="Calibri" w:cs="Arial"/>
          <w:szCs w:val="22"/>
        </w:rPr>
        <w:t xml:space="preserve">also </w:t>
      </w:r>
      <w:r w:rsidRPr="0085782F">
        <w:rPr>
          <w:rFonts w:eastAsia="Calibri" w:cs="Arial"/>
          <w:szCs w:val="22"/>
        </w:rPr>
        <w:t>say they have benefited, with one</w:t>
      </w:r>
      <w:r w:rsidR="000C682C">
        <w:rPr>
          <w:rFonts w:eastAsia="Calibri" w:cs="Arial"/>
          <w:szCs w:val="22"/>
        </w:rPr>
        <w:t>-</w:t>
      </w:r>
      <w:r w:rsidRPr="0085782F">
        <w:rPr>
          <w:rFonts w:eastAsia="Calibri" w:cs="Arial"/>
          <w:szCs w:val="22"/>
        </w:rPr>
        <w:t>third of employers surveyed indicating they have gained significant benefits.</w:t>
      </w:r>
      <w:r w:rsidR="00F75B20">
        <w:rPr>
          <w:rFonts w:eastAsia="Calibri" w:cs="Arial"/>
          <w:szCs w:val="22"/>
        </w:rPr>
        <w:t xml:space="preserve"> </w:t>
      </w:r>
      <w:r w:rsidR="00685064">
        <w:rPr>
          <w:rFonts w:eastAsia="Calibri" w:cs="Arial"/>
          <w:szCs w:val="22"/>
        </w:rPr>
        <w:t>M</w:t>
      </w:r>
      <w:r w:rsidR="00F75B20" w:rsidRPr="00F75B20">
        <w:rPr>
          <w:rFonts w:eastAsia="Calibri" w:cs="Arial"/>
          <w:szCs w:val="22"/>
        </w:rPr>
        <w:t>ore systematic evidence is needed to show the nature and extent of the impact of APTC graduates on enterprise productivity.</w:t>
      </w:r>
      <w:r w:rsidRPr="0085782F">
        <w:rPr>
          <w:rFonts w:eastAsia="Calibri" w:cs="Arial"/>
          <w:szCs w:val="22"/>
        </w:rPr>
        <w:t xml:space="preserve">  </w:t>
      </w:r>
    </w:p>
    <w:p w14:paraId="2ACCDA61" w14:textId="4665FD92" w:rsidR="009D0D30" w:rsidRPr="009C76A7" w:rsidRDefault="00AD232E" w:rsidP="009C76A7">
      <w:pPr>
        <w:spacing w:after="80"/>
        <w:rPr>
          <w:rFonts w:cs="Arial"/>
          <w:b/>
        </w:rPr>
      </w:pPr>
      <w:r>
        <w:rPr>
          <w:rFonts w:cs="Arial"/>
          <w:b/>
        </w:rPr>
        <w:t xml:space="preserve">4. </w:t>
      </w:r>
      <w:r w:rsidR="009D0D30" w:rsidRPr="008009D4">
        <w:rPr>
          <w:rFonts w:cs="Arial"/>
          <w:b/>
        </w:rPr>
        <w:t>Value for money:</w:t>
      </w:r>
      <w:r w:rsidR="009D0D30">
        <w:rPr>
          <w:rFonts w:cs="Arial"/>
        </w:rPr>
        <w:t xml:space="preserve"> </w:t>
      </w:r>
      <w:r w:rsidR="009D0D30" w:rsidRPr="009C76A7">
        <w:rPr>
          <w:rFonts w:cs="Arial"/>
          <w:b/>
        </w:rPr>
        <w:t>To what extent have APTC activities been cost-efficient and implemented in the most efficient way compared to possible alternatives?</w:t>
      </w:r>
    </w:p>
    <w:p w14:paraId="0FE2735D" w14:textId="306C450B" w:rsidR="00CA6F37" w:rsidRDefault="00FB3B46">
      <w:pPr>
        <w:spacing w:before="120"/>
        <w:rPr>
          <w:rFonts w:cs="Arial"/>
        </w:rPr>
      </w:pPr>
      <w:r w:rsidRPr="00FB3B46">
        <w:rPr>
          <w:rFonts w:cs="Arial"/>
        </w:rPr>
        <w:t xml:space="preserve">While effective in terms of the quality of training provided, APTC has been costly in terms of outputs produced. The number of graduates since the College was established in 2007 is low in relation to expenditure. A retrospective cost-benefit analysis (CBA) shows an economic rate of return (ERR) of 6.4 per cent for Stages I and II combined, and an ERR of 8.8 per cent for Stage II alone, treating all Stage I costs as </w:t>
      </w:r>
      <w:r w:rsidR="000C682C">
        <w:rPr>
          <w:rFonts w:cs="Arial"/>
        </w:rPr>
        <w:t>‘</w:t>
      </w:r>
      <w:r w:rsidRPr="00FB3B46">
        <w:rPr>
          <w:rFonts w:cs="Arial"/>
        </w:rPr>
        <w:t>sunk costs</w:t>
      </w:r>
      <w:r w:rsidR="000C682C">
        <w:rPr>
          <w:rFonts w:cs="Arial"/>
        </w:rPr>
        <w:t>’.</w:t>
      </w:r>
      <w:r w:rsidRPr="00FB3B46">
        <w:rPr>
          <w:rFonts w:cs="Arial"/>
        </w:rPr>
        <w:t xml:space="preserve"> Neither calculation reaches the break-even level of 10 or </w:t>
      </w:r>
      <w:r w:rsidR="00BA3B22" w:rsidRPr="00FB3B46">
        <w:rPr>
          <w:rFonts w:cs="Arial"/>
        </w:rPr>
        <w:t>11</w:t>
      </w:r>
      <w:r w:rsidR="00BA3B22">
        <w:rPr>
          <w:rFonts w:cs="Arial"/>
        </w:rPr>
        <w:t> </w:t>
      </w:r>
      <w:r w:rsidR="00BA3B22" w:rsidRPr="00FB3B46">
        <w:rPr>
          <w:rFonts w:cs="Arial"/>
        </w:rPr>
        <w:t>per</w:t>
      </w:r>
      <w:r w:rsidR="00BA3B22">
        <w:rPr>
          <w:rFonts w:cs="Arial"/>
        </w:rPr>
        <w:t> </w:t>
      </w:r>
      <w:r w:rsidRPr="00FB3B46">
        <w:rPr>
          <w:rFonts w:cs="Arial"/>
        </w:rPr>
        <w:t>cent. Looking ahead, beyond 2015, if the cost</w:t>
      </w:r>
      <w:r w:rsidR="00BA3B22">
        <w:rPr>
          <w:rFonts w:cs="Arial"/>
        </w:rPr>
        <w:t>-</w:t>
      </w:r>
      <w:r w:rsidRPr="00FB3B46">
        <w:rPr>
          <w:rFonts w:cs="Arial"/>
        </w:rPr>
        <w:t>saving measures recommended in this review are achieved and if all Stage I and Stage II expenditures are treated as sunk costs, the net present value of the investment could be positive, particularly if measures are also taken to facilitate labour migration to overseas destinations</w:t>
      </w:r>
      <w:r w:rsidR="00BA3B22">
        <w:rPr>
          <w:rFonts w:cs="Arial"/>
        </w:rPr>
        <w:t>,</w:t>
      </w:r>
      <w:r w:rsidRPr="00FB3B46">
        <w:rPr>
          <w:rFonts w:cs="Arial"/>
        </w:rPr>
        <w:t xml:space="preserve"> and if more foreign workers in middle-skill occupations </w:t>
      </w:r>
      <w:r w:rsidR="007A5D70">
        <w:rPr>
          <w:rFonts w:cs="Arial"/>
        </w:rPr>
        <w:t xml:space="preserve">in the region </w:t>
      </w:r>
      <w:r w:rsidRPr="00FB3B46">
        <w:rPr>
          <w:rFonts w:cs="Arial"/>
        </w:rPr>
        <w:t>are replaced by APTC graduates.</w:t>
      </w:r>
    </w:p>
    <w:p w14:paraId="7D706C21" w14:textId="3AC6E7EA" w:rsidR="009D0D30" w:rsidRPr="00BD3218" w:rsidRDefault="00BD3218" w:rsidP="009C76A7">
      <w:pPr>
        <w:spacing w:after="80"/>
        <w:rPr>
          <w:rFonts w:cs="Arial"/>
          <w:b/>
          <w:szCs w:val="22"/>
        </w:rPr>
      </w:pPr>
      <w:r>
        <w:rPr>
          <w:rFonts w:cs="Arial"/>
          <w:b/>
        </w:rPr>
        <w:t xml:space="preserve">5. </w:t>
      </w:r>
      <w:r w:rsidR="009D0D30" w:rsidRPr="008009D4">
        <w:rPr>
          <w:rFonts w:cs="Arial"/>
          <w:b/>
        </w:rPr>
        <w:t>Future of APTC:</w:t>
      </w:r>
      <w:r w:rsidR="009D0D30">
        <w:rPr>
          <w:rFonts w:cs="Arial"/>
        </w:rPr>
        <w:t xml:space="preserve"> </w:t>
      </w:r>
      <w:r w:rsidR="009D0D30" w:rsidRPr="009C76A7">
        <w:rPr>
          <w:rFonts w:cs="Arial"/>
          <w:b/>
          <w:szCs w:val="22"/>
        </w:rPr>
        <w:t>What do the findings, evidence and lessons suggest for the future of APTC?</w:t>
      </w:r>
    </w:p>
    <w:p w14:paraId="2D68C9D2" w14:textId="305C7057" w:rsidR="00AF55E0" w:rsidRDefault="00581EB5" w:rsidP="009C76A7">
      <w:pPr>
        <w:rPr>
          <w:rFonts w:cs="Arial"/>
        </w:rPr>
      </w:pPr>
      <w:r w:rsidRPr="00E12183">
        <w:rPr>
          <w:rFonts w:cs="Arial"/>
        </w:rPr>
        <w:t xml:space="preserve">The current APTC model is not sustainable educationally, </w:t>
      </w:r>
      <w:r w:rsidR="006800A1" w:rsidRPr="00E12183">
        <w:rPr>
          <w:rFonts w:cs="Arial"/>
        </w:rPr>
        <w:t>organi</w:t>
      </w:r>
      <w:r w:rsidR="006800A1">
        <w:rPr>
          <w:rFonts w:cs="Arial"/>
        </w:rPr>
        <w:t>s</w:t>
      </w:r>
      <w:r w:rsidR="006800A1" w:rsidRPr="00E12183">
        <w:rPr>
          <w:rFonts w:cs="Arial"/>
        </w:rPr>
        <w:t xml:space="preserve">ationally </w:t>
      </w:r>
      <w:r w:rsidRPr="00E12183">
        <w:rPr>
          <w:rFonts w:cs="Arial"/>
        </w:rPr>
        <w:t>or financially</w:t>
      </w:r>
      <w:r>
        <w:rPr>
          <w:rFonts w:cs="Arial"/>
        </w:rPr>
        <w:t>.</w:t>
      </w:r>
      <w:r w:rsidRPr="00E12183">
        <w:rPr>
          <w:rFonts w:cs="Arial"/>
        </w:rPr>
        <w:t xml:space="preserve"> </w:t>
      </w:r>
      <w:r>
        <w:rPr>
          <w:rFonts w:cs="Arial"/>
        </w:rPr>
        <w:t>E</w:t>
      </w:r>
      <w:r w:rsidRPr="00E12183">
        <w:rPr>
          <w:rFonts w:cs="Arial"/>
        </w:rPr>
        <w:t>ducationally</w:t>
      </w:r>
      <w:r>
        <w:rPr>
          <w:rFonts w:cs="Arial"/>
        </w:rPr>
        <w:t>,</w:t>
      </w:r>
      <w:r w:rsidRPr="00E12183">
        <w:rPr>
          <w:rFonts w:cs="Arial"/>
        </w:rPr>
        <w:t xml:space="preserve"> more national trainers are needed; organisational</w:t>
      </w:r>
      <w:r>
        <w:rPr>
          <w:rFonts w:cs="Arial"/>
        </w:rPr>
        <w:t>ly,</w:t>
      </w:r>
      <w:r w:rsidRPr="00E12183">
        <w:rPr>
          <w:rFonts w:cs="Arial"/>
        </w:rPr>
        <w:t xml:space="preserve"> arrangements need to be streamlined</w:t>
      </w:r>
      <w:r w:rsidRPr="00251814">
        <w:rPr>
          <w:rFonts w:cs="Arial"/>
        </w:rPr>
        <w:t>, adapted more to suit APTC needs</w:t>
      </w:r>
      <w:r w:rsidRPr="00E12183">
        <w:rPr>
          <w:rFonts w:cs="Arial"/>
        </w:rPr>
        <w:t xml:space="preserve"> and</w:t>
      </w:r>
      <w:r>
        <w:rPr>
          <w:rFonts w:cs="Arial"/>
        </w:rPr>
        <w:t xml:space="preserve"> </w:t>
      </w:r>
      <w:r w:rsidRPr="00E12183">
        <w:rPr>
          <w:rFonts w:cs="Arial"/>
        </w:rPr>
        <w:t xml:space="preserve">duplications eliminated; </w:t>
      </w:r>
      <w:r>
        <w:rPr>
          <w:rFonts w:cs="Arial"/>
        </w:rPr>
        <w:t xml:space="preserve">and </w:t>
      </w:r>
      <w:r w:rsidRPr="00E12183">
        <w:rPr>
          <w:rFonts w:cs="Arial"/>
        </w:rPr>
        <w:t>financially, increased revenues need to be raised from employers and students.</w:t>
      </w:r>
      <w:r w:rsidRPr="00581EB5">
        <w:rPr>
          <w:rFonts w:cs="Arial"/>
        </w:rPr>
        <w:t xml:space="preserve"> </w:t>
      </w:r>
      <w:r w:rsidRPr="00E12183">
        <w:rPr>
          <w:rFonts w:cs="Arial"/>
        </w:rPr>
        <w:t xml:space="preserve">DFAT needs to define what success will look like for APTC in the long term. </w:t>
      </w:r>
      <w:r>
        <w:rPr>
          <w:rFonts w:cs="Arial"/>
        </w:rPr>
        <w:t>E</w:t>
      </w:r>
      <w:r w:rsidRPr="00E12183">
        <w:rPr>
          <w:rFonts w:cs="Arial"/>
        </w:rPr>
        <w:t>ven with reduced costs and increased revenue, major Australian assistance will be needed at least through the medium term under all identified options.</w:t>
      </w:r>
      <w:r>
        <w:rPr>
          <w:rFonts w:cs="Arial"/>
        </w:rPr>
        <w:t xml:space="preserve"> Greater country ownerships need to be sought </w:t>
      </w:r>
      <w:r w:rsidR="006F27E8">
        <w:rPr>
          <w:rFonts w:cs="Arial"/>
        </w:rPr>
        <w:t xml:space="preserve">around </w:t>
      </w:r>
      <w:r>
        <w:rPr>
          <w:rFonts w:cs="Arial"/>
        </w:rPr>
        <w:t>options for long-term planning.</w:t>
      </w:r>
    </w:p>
    <w:p w14:paraId="6CC0A385" w14:textId="0759D56A" w:rsidR="00837BF5" w:rsidRPr="004811AA" w:rsidRDefault="004811AA" w:rsidP="004811AA">
      <w:pPr>
        <w:pStyle w:val="Heading3"/>
        <w:numPr>
          <w:ilvl w:val="0"/>
          <w:numId w:val="0"/>
        </w:numPr>
        <w:ind w:left="851" w:hanging="851"/>
      </w:pPr>
      <w:bookmarkStart w:id="5" w:name="_Toc278710487"/>
      <w:r>
        <w:t>Recommendations</w:t>
      </w:r>
      <w:bookmarkEnd w:id="5"/>
    </w:p>
    <w:p w14:paraId="523B218D" w14:textId="16C96DB1" w:rsidR="004811AA" w:rsidRDefault="004811AA" w:rsidP="009C76A7">
      <w:pPr>
        <w:rPr>
          <w:rFonts w:cs="Arial"/>
          <w:szCs w:val="22"/>
        </w:rPr>
      </w:pPr>
      <w:r w:rsidRPr="00E12183">
        <w:rPr>
          <w:rFonts w:cs="Arial"/>
        </w:rPr>
        <w:t xml:space="preserve">The review </w:t>
      </w:r>
      <w:r w:rsidR="006517CF">
        <w:rPr>
          <w:rFonts w:cs="Arial"/>
        </w:rPr>
        <w:t xml:space="preserve">has </w:t>
      </w:r>
      <w:r w:rsidRPr="00E12183">
        <w:rPr>
          <w:rFonts w:cs="Arial"/>
        </w:rPr>
        <w:t xml:space="preserve">identified seven long-term options for APTC, ranging from a variation on the status quo to a College owned by Pacific governments or the integration of APTC campuses with national training institutions when they are ready. </w:t>
      </w:r>
      <w:r w:rsidRPr="00E12183">
        <w:rPr>
          <w:rFonts w:eastAsia="Calibri" w:cs="Arial"/>
        </w:rPr>
        <w:t>The alternatives should be analysed further to create a long-term vision and plan for APTC.</w:t>
      </w:r>
    </w:p>
    <w:p w14:paraId="0F3C3E80" w14:textId="45424C11" w:rsidR="00186631" w:rsidRDefault="00186631" w:rsidP="00186631">
      <w:pPr>
        <w:rPr>
          <w:rFonts w:cs="Arial"/>
        </w:rPr>
      </w:pPr>
      <w:r>
        <w:rPr>
          <w:rFonts w:cs="Arial"/>
        </w:rPr>
        <w:t xml:space="preserve">The review has provided </w:t>
      </w:r>
      <w:r w:rsidRPr="00B51C01">
        <w:rPr>
          <w:rFonts w:cs="Arial"/>
        </w:rPr>
        <w:t>23</w:t>
      </w:r>
      <w:r>
        <w:rPr>
          <w:rFonts w:cs="Arial"/>
        </w:rPr>
        <w:t xml:space="preserve"> recommendations for consideration. With the current contract due to finish in mid-2015, the review recommends a two-year interim extension during which DFAT and APTC can make organisational improvements and prepare strategies for achieving the long-term vision of APTC.</w:t>
      </w:r>
    </w:p>
    <w:p w14:paraId="43E077FB" w14:textId="7BE1E02A" w:rsidR="006D6CFE" w:rsidRPr="006D6CFE" w:rsidRDefault="00186631" w:rsidP="006D6CFE">
      <w:pPr>
        <w:rPr>
          <w:rFonts w:cs="Arial"/>
        </w:rPr>
      </w:pPr>
      <w:r>
        <w:t>As noted in this review, APTC has achieved substantial outcomes while operating in a highly complex, regional environment. T</w:t>
      </w:r>
      <w:r w:rsidRPr="00837BF5">
        <w:t xml:space="preserve">he APTC program </w:t>
      </w:r>
      <w:r>
        <w:t xml:space="preserve">has been highly successful in producing Australian qualifications, it has been largely successful in meeting its equity objectives, and it has contributed to the development of national training institutions. </w:t>
      </w:r>
      <w:r w:rsidRPr="004450A7">
        <w:rPr>
          <w:rFonts w:cs="Arial"/>
        </w:rPr>
        <w:t>The challenge for DFAT is to update it</w:t>
      </w:r>
      <w:r>
        <w:rPr>
          <w:rFonts w:cs="Arial"/>
        </w:rPr>
        <w:t>s</w:t>
      </w:r>
      <w:r w:rsidRPr="004450A7">
        <w:rPr>
          <w:rFonts w:cs="Arial"/>
        </w:rPr>
        <w:t xml:space="preserve"> TVET strategy for the region</w:t>
      </w:r>
      <w:r>
        <w:rPr>
          <w:rFonts w:cs="Arial"/>
        </w:rPr>
        <w:t xml:space="preserve">, </w:t>
      </w:r>
      <w:r w:rsidRPr="004450A7">
        <w:rPr>
          <w:rFonts w:cs="Arial"/>
        </w:rPr>
        <w:t>articulate its long</w:t>
      </w:r>
      <w:r>
        <w:rPr>
          <w:rFonts w:cs="Arial"/>
        </w:rPr>
        <w:t>-</w:t>
      </w:r>
      <w:r w:rsidRPr="004450A7">
        <w:rPr>
          <w:rFonts w:cs="Arial"/>
        </w:rPr>
        <w:t>term vision for APTC</w:t>
      </w:r>
      <w:r>
        <w:rPr>
          <w:rFonts w:cs="Arial"/>
        </w:rPr>
        <w:t xml:space="preserve"> and build an M&amp;E system focused on outcomes</w:t>
      </w:r>
      <w:r w:rsidRPr="004450A7">
        <w:rPr>
          <w:rFonts w:cs="Arial"/>
        </w:rPr>
        <w:t>.</w:t>
      </w:r>
      <w:r w:rsidR="006D6CFE">
        <w:t xml:space="preserve"> </w:t>
      </w:r>
    </w:p>
    <w:p w14:paraId="24E402E8" w14:textId="77777777" w:rsidR="0046285F" w:rsidRDefault="0046285F">
      <w:pPr>
        <w:spacing w:after="0"/>
        <w:rPr>
          <w:rFonts w:cs="Arial"/>
          <w:b/>
          <w:bCs/>
          <w:color w:val="76923C"/>
          <w:sz w:val="24"/>
          <w:szCs w:val="28"/>
        </w:rPr>
      </w:pPr>
      <w:r>
        <w:br w:type="page"/>
      </w:r>
    </w:p>
    <w:p w14:paraId="28135BDA" w14:textId="76FD6705" w:rsidR="00EF59E3" w:rsidRPr="00DF7C96" w:rsidRDefault="0046285F" w:rsidP="00396283">
      <w:pPr>
        <w:pStyle w:val="Heading1"/>
        <w:numPr>
          <w:ilvl w:val="0"/>
          <w:numId w:val="0"/>
        </w:numPr>
      </w:pPr>
      <w:bookmarkStart w:id="6" w:name="_Toc278710488"/>
      <w:r w:rsidRPr="00DF7C96">
        <w:lastRenderedPageBreak/>
        <w:t xml:space="preserve">Chapter </w:t>
      </w:r>
      <w:r w:rsidR="00C91B28">
        <w:t xml:space="preserve">overview </w:t>
      </w:r>
      <w:r w:rsidR="00B37E72" w:rsidRPr="00DF7C96">
        <w:t>of this report</w:t>
      </w:r>
      <w:bookmarkEnd w:id="6"/>
      <w:r w:rsidR="00EF59E3" w:rsidRPr="00DF7C96">
        <w:t xml:space="preserve"> </w:t>
      </w:r>
    </w:p>
    <w:p w14:paraId="09B77684" w14:textId="1ED9F824" w:rsidR="00CA6F37" w:rsidRDefault="00251814" w:rsidP="00CA1D7C">
      <w:pPr>
        <w:pStyle w:val="Heading3"/>
        <w:numPr>
          <w:ilvl w:val="0"/>
          <w:numId w:val="0"/>
        </w:numPr>
      </w:pPr>
      <w:bookmarkStart w:id="7" w:name="_Toc274832647"/>
      <w:bookmarkStart w:id="8" w:name="_Toc278710489"/>
      <w:r>
        <w:t>Introduction</w:t>
      </w:r>
      <w:bookmarkEnd w:id="7"/>
      <w:r w:rsidR="00BC752F">
        <w:t>: Chapter 1</w:t>
      </w:r>
      <w:bookmarkEnd w:id="8"/>
    </w:p>
    <w:p w14:paraId="4E61B7E3" w14:textId="4AF56FA2" w:rsidR="00EF59E3" w:rsidRPr="00E12183" w:rsidRDefault="0066176A" w:rsidP="00EF59E3">
      <w:pPr>
        <w:rPr>
          <w:rFonts w:cs="Arial"/>
        </w:rPr>
      </w:pPr>
      <w:r>
        <w:rPr>
          <w:rFonts w:cs="Arial"/>
        </w:rPr>
        <w:t xml:space="preserve">Chapter 1 explains why </w:t>
      </w:r>
      <w:r w:rsidR="00EF59E3" w:rsidRPr="00E12183">
        <w:rPr>
          <w:rFonts w:cs="Arial"/>
        </w:rPr>
        <w:t xml:space="preserve">APTC </w:t>
      </w:r>
      <w:r>
        <w:rPr>
          <w:rFonts w:cs="Arial"/>
        </w:rPr>
        <w:t xml:space="preserve">was established and </w:t>
      </w:r>
      <w:r w:rsidR="00F8024D">
        <w:rPr>
          <w:rFonts w:cs="Arial"/>
        </w:rPr>
        <w:t xml:space="preserve">its goals and </w:t>
      </w:r>
      <w:r w:rsidR="00141992">
        <w:rPr>
          <w:rFonts w:cs="Arial"/>
        </w:rPr>
        <w:t xml:space="preserve">purpose, as well as the objectives and methodology of this </w:t>
      </w:r>
      <w:r w:rsidR="002D6556">
        <w:rPr>
          <w:rFonts w:cs="Arial"/>
        </w:rPr>
        <w:t xml:space="preserve">independent </w:t>
      </w:r>
      <w:r w:rsidR="00141992">
        <w:rPr>
          <w:rFonts w:cs="Arial"/>
        </w:rPr>
        <w:t xml:space="preserve">evaluation. </w:t>
      </w:r>
    </w:p>
    <w:p w14:paraId="15D851AA" w14:textId="64AB826A" w:rsidR="00EF59E3" w:rsidRPr="00E12183" w:rsidRDefault="00EF59E3" w:rsidP="00CA1D7C">
      <w:pPr>
        <w:pStyle w:val="Heading3"/>
        <w:numPr>
          <w:ilvl w:val="0"/>
          <w:numId w:val="0"/>
        </w:numPr>
      </w:pPr>
      <w:bookmarkStart w:id="9" w:name="_Toc274832648"/>
      <w:bookmarkStart w:id="10" w:name="_Toc278710490"/>
      <w:r w:rsidRPr="00E12183">
        <w:t xml:space="preserve">TVET </w:t>
      </w:r>
      <w:r w:rsidR="00F63B5B">
        <w:t>c</w:t>
      </w:r>
      <w:r w:rsidR="00F63B5B" w:rsidRPr="00E12183">
        <w:t>apacit</w:t>
      </w:r>
      <w:bookmarkEnd w:id="9"/>
      <w:r w:rsidR="00F121C8">
        <w:t>y: Chapter 2</w:t>
      </w:r>
      <w:bookmarkEnd w:id="10"/>
    </w:p>
    <w:p w14:paraId="6DC51044" w14:textId="389970C8" w:rsidR="00EF59E3" w:rsidRPr="00E12183" w:rsidRDefault="00A46528" w:rsidP="00EF59E3">
      <w:pPr>
        <w:rPr>
          <w:rFonts w:cs="Arial"/>
        </w:rPr>
      </w:pPr>
      <w:r>
        <w:rPr>
          <w:rFonts w:cs="Arial"/>
        </w:rPr>
        <w:t xml:space="preserve">Chapter 2 shows that </w:t>
      </w:r>
      <w:r w:rsidRPr="00E12183">
        <w:rPr>
          <w:rFonts w:cs="Arial"/>
          <w:bCs/>
        </w:rPr>
        <w:t xml:space="preserve">APTC has achieved success in building national and regional capacity for skills development in the Pacific. However, there is scope for </w:t>
      </w:r>
      <w:r w:rsidR="003565AD">
        <w:rPr>
          <w:rFonts w:cs="Arial"/>
          <w:bCs/>
        </w:rPr>
        <w:t>improvement</w:t>
      </w:r>
      <w:r w:rsidRPr="00E12183">
        <w:rPr>
          <w:rFonts w:cs="Arial"/>
          <w:bCs/>
        </w:rPr>
        <w:t xml:space="preserve">. </w:t>
      </w:r>
      <w:r w:rsidR="00EF59E3" w:rsidRPr="00E12183">
        <w:rPr>
          <w:rFonts w:cs="Arial"/>
        </w:rPr>
        <w:t xml:space="preserve">APTC delivers 38 specific qualifications, mainly at </w:t>
      </w:r>
      <w:r w:rsidR="00D06B2A">
        <w:rPr>
          <w:rFonts w:cs="Arial"/>
        </w:rPr>
        <w:t>C</w:t>
      </w:r>
      <w:r w:rsidR="00D06B2A" w:rsidRPr="00E12183">
        <w:rPr>
          <w:rFonts w:cs="Arial"/>
        </w:rPr>
        <w:t xml:space="preserve">ertificate </w:t>
      </w:r>
      <w:r w:rsidR="00EF59E3" w:rsidRPr="00E12183">
        <w:rPr>
          <w:rFonts w:cs="Arial"/>
        </w:rPr>
        <w:t>level III.</w:t>
      </w:r>
      <w:r w:rsidR="0063494C">
        <w:rPr>
          <w:rFonts w:cs="Arial"/>
        </w:rPr>
        <w:t xml:space="preserve"> A</w:t>
      </w:r>
      <w:r w:rsidR="00EF59E3" w:rsidRPr="00E12183">
        <w:rPr>
          <w:rFonts w:cs="Arial"/>
        </w:rPr>
        <w:t xml:space="preserve">lmost 6800 students have graduated, an impressive </w:t>
      </w:r>
      <w:r w:rsidR="00D06B2A" w:rsidRPr="00E12183">
        <w:rPr>
          <w:rFonts w:cs="Arial"/>
        </w:rPr>
        <w:t>91</w:t>
      </w:r>
      <w:r w:rsidR="00D06B2A">
        <w:rPr>
          <w:rFonts w:cs="Arial"/>
        </w:rPr>
        <w:t> </w:t>
      </w:r>
      <w:r w:rsidR="00EF59E3" w:rsidRPr="00E12183">
        <w:rPr>
          <w:rFonts w:cs="Arial"/>
        </w:rPr>
        <w:t xml:space="preserve">per cent of entrants. APTC has also been largely successful in satisfying equity goals. Females account for an increasing share of enrolments, reaching 42 per cent of the total in </w:t>
      </w:r>
      <w:r w:rsidR="00D06B2A">
        <w:rPr>
          <w:rFonts w:cs="Arial"/>
        </w:rPr>
        <w:t>S</w:t>
      </w:r>
      <w:r w:rsidR="00D06B2A" w:rsidRPr="00E12183">
        <w:rPr>
          <w:rFonts w:cs="Arial"/>
        </w:rPr>
        <w:t xml:space="preserve">tage </w:t>
      </w:r>
      <w:r w:rsidR="00EF59E3" w:rsidRPr="00E12183">
        <w:rPr>
          <w:rFonts w:cs="Arial"/>
        </w:rPr>
        <w:t>II. However, nationals of PNG and Solomon Islands are seriously under</w:t>
      </w:r>
      <w:r w:rsidR="00D06B2A">
        <w:rPr>
          <w:rFonts w:cs="Arial"/>
        </w:rPr>
        <w:t>-</w:t>
      </w:r>
      <w:r w:rsidR="00EF59E3" w:rsidRPr="00E12183">
        <w:rPr>
          <w:rFonts w:cs="Arial"/>
        </w:rPr>
        <w:t xml:space="preserve">represented in relation to </w:t>
      </w:r>
      <w:r w:rsidR="00D06B2A">
        <w:rPr>
          <w:rFonts w:cs="Arial"/>
        </w:rPr>
        <w:t xml:space="preserve">their </w:t>
      </w:r>
      <w:r w:rsidR="00EF59E3" w:rsidRPr="00E12183">
        <w:rPr>
          <w:rFonts w:cs="Arial"/>
        </w:rPr>
        <w:t>population</w:t>
      </w:r>
      <w:r w:rsidR="00D06B2A">
        <w:rPr>
          <w:rFonts w:cs="Arial"/>
        </w:rPr>
        <w:t>s</w:t>
      </w:r>
      <w:r w:rsidR="00EF59E3" w:rsidRPr="00E12183">
        <w:rPr>
          <w:rFonts w:cs="Arial"/>
        </w:rPr>
        <w:t>.</w:t>
      </w:r>
    </w:p>
    <w:p w14:paraId="3C0DF571" w14:textId="44C87AE2" w:rsidR="00EF59E3" w:rsidRPr="00E12183" w:rsidRDefault="00EF59E3" w:rsidP="00EF59E3">
      <w:pPr>
        <w:rPr>
          <w:rFonts w:cs="Arial"/>
        </w:rPr>
      </w:pPr>
      <w:r w:rsidRPr="00E12183">
        <w:rPr>
          <w:rFonts w:cs="Arial"/>
        </w:rPr>
        <w:t xml:space="preserve">Students, graduates, partner institutions, government agencies and employers were virtually unanimous in their high regard for APTC’s training. The review found evidence that APTC is influencing the wider TVET systems in campus countries through its quality standards, upgrading of local teaching staff, support to partner institutions and assistance in quality assurance. </w:t>
      </w:r>
      <w:r w:rsidR="00F3005F">
        <w:rPr>
          <w:rFonts w:cs="Arial"/>
        </w:rPr>
        <w:t>M</w:t>
      </w:r>
      <w:r w:rsidR="00F3005F" w:rsidRPr="00E12183">
        <w:rPr>
          <w:rFonts w:cs="Arial"/>
        </w:rPr>
        <w:t xml:space="preserve">any </w:t>
      </w:r>
      <w:r w:rsidRPr="00E12183">
        <w:rPr>
          <w:rFonts w:cs="Arial"/>
        </w:rPr>
        <w:t>policy</w:t>
      </w:r>
      <w:r w:rsidR="00F3005F">
        <w:rPr>
          <w:rFonts w:cs="Arial"/>
        </w:rPr>
        <w:t>-</w:t>
      </w:r>
      <w:r w:rsidRPr="00E12183">
        <w:rPr>
          <w:rFonts w:cs="Arial"/>
        </w:rPr>
        <w:t xml:space="preserve">makers and TVET authorities </w:t>
      </w:r>
      <w:r w:rsidR="00F3005F">
        <w:rPr>
          <w:rFonts w:cs="Arial"/>
        </w:rPr>
        <w:t xml:space="preserve">view APTC </w:t>
      </w:r>
      <w:r w:rsidRPr="00E12183">
        <w:rPr>
          <w:rFonts w:cs="Arial"/>
        </w:rPr>
        <w:t>as setting the benchmark for quality training in the Pacific. This is achieved at high unit costs</w:t>
      </w:r>
      <w:r w:rsidR="00F3005F">
        <w:rPr>
          <w:rFonts w:cs="Arial"/>
        </w:rPr>
        <w:t>,</w:t>
      </w:r>
      <w:r w:rsidRPr="00E12183">
        <w:rPr>
          <w:rFonts w:cs="Arial"/>
        </w:rPr>
        <w:t xml:space="preserve"> in part </w:t>
      </w:r>
      <w:r w:rsidR="00123B95">
        <w:rPr>
          <w:rFonts w:cs="Arial"/>
        </w:rPr>
        <w:t xml:space="preserve">due </w:t>
      </w:r>
      <w:r w:rsidRPr="00E12183">
        <w:rPr>
          <w:rFonts w:cs="Arial"/>
        </w:rPr>
        <w:t xml:space="preserve">to the </w:t>
      </w:r>
      <w:r w:rsidR="00F3005F">
        <w:rPr>
          <w:rFonts w:cs="Arial"/>
        </w:rPr>
        <w:t>high number</w:t>
      </w:r>
      <w:r w:rsidRPr="00E12183">
        <w:rPr>
          <w:rFonts w:cs="Arial"/>
        </w:rPr>
        <w:t xml:space="preserve"> of expatriate</w:t>
      </w:r>
      <w:r w:rsidR="00123B95">
        <w:rPr>
          <w:rFonts w:cs="Arial"/>
        </w:rPr>
        <w:t xml:space="preserve"> </w:t>
      </w:r>
      <w:r w:rsidRPr="00E12183">
        <w:rPr>
          <w:rFonts w:cs="Arial"/>
        </w:rPr>
        <w:t>s</w:t>
      </w:r>
      <w:r w:rsidR="00123B95">
        <w:rPr>
          <w:rFonts w:cs="Arial"/>
        </w:rPr>
        <w:t>taff</w:t>
      </w:r>
      <w:r w:rsidRPr="00E12183">
        <w:rPr>
          <w:rFonts w:cs="Arial"/>
        </w:rPr>
        <w:t xml:space="preserve">. Efforts are underway to reduce dependence on expatriate staff through a nationalisation strategy. The risks associated with nationalisation need to be managed. </w:t>
      </w:r>
      <w:r w:rsidR="00123B95">
        <w:rPr>
          <w:rFonts w:cs="Arial"/>
        </w:rPr>
        <w:t>A</w:t>
      </w:r>
      <w:r w:rsidR="00123B95" w:rsidRPr="00E12183">
        <w:rPr>
          <w:rFonts w:cs="Arial"/>
        </w:rPr>
        <w:t>nother factor responsible for high unit costs</w:t>
      </w:r>
      <w:r w:rsidR="00123B95" w:rsidRPr="00E12183" w:rsidDel="00067D9C">
        <w:rPr>
          <w:rFonts w:cs="Arial"/>
        </w:rPr>
        <w:t xml:space="preserve"> </w:t>
      </w:r>
      <w:r w:rsidR="00123B95">
        <w:rPr>
          <w:rFonts w:cs="Arial"/>
        </w:rPr>
        <w:t>is that t</w:t>
      </w:r>
      <w:r w:rsidR="00067D9C" w:rsidRPr="00E12183">
        <w:rPr>
          <w:rFonts w:cs="Arial"/>
        </w:rPr>
        <w:t>hree</w:t>
      </w:r>
      <w:r w:rsidR="00067D9C">
        <w:rPr>
          <w:rFonts w:cs="Arial"/>
        </w:rPr>
        <w:t>-</w:t>
      </w:r>
      <w:r w:rsidR="00B43A2C">
        <w:rPr>
          <w:rFonts w:cs="Arial"/>
        </w:rPr>
        <w:t>quarter</w:t>
      </w:r>
      <w:r w:rsidR="00B43A2C" w:rsidRPr="00E12183">
        <w:rPr>
          <w:rFonts w:cs="Arial"/>
        </w:rPr>
        <w:t xml:space="preserve">s </w:t>
      </w:r>
      <w:r w:rsidRPr="00E12183">
        <w:rPr>
          <w:rFonts w:cs="Arial"/>
        </w:rPr>
        <w:t>of students receive scholarships</w:t>
      </w:r>
      <w:r w:rsidR="00123B95">
        <w:rPr>
          <w:rFonts w:cs="Arial"/>
        </w:rPr>
        <w:t>.</w:t>
      </w:r>
    </w:p>
    <w:p w14:paraId="7E8DC9E3" w14:textId="083BE946" w:rsidR="00EF59E3" w:rsidRPr="00E12183" w:rsidRDefault="00EF59E3" w:rsidP="00EF59E3">
      <w:pPr>
        <w:rPr>
          <w:rFonts w:cs="Arial"/>
        </w:rPr>
      </w:pPr>
      <w:r w:rsidRPr="00E12183">
        <w:rPr>
          <w:rFonts w:cs="Arial"/>
        </w:rPr>
        <w:t xml:space="preserve">APTC is forging new ground in the Pacific by </w:t>
      </w:r>
      <w:r w:rsidR="0072056E">
        <w:rPr>
          <w:rFonts w:cs="Arial"/>
        </w:rPr>
        <w:t>setting up</w:t>
      </w:r>
      <w:r w:rsidR="0072056E" w:rsidRPr="00E12183">
        <w:rPr>
          <w:rFonts w:cs="Arial"/>
        </w:rPr>
        <w:t xml:space="preserve"> </w:t>
      </w:r>
      <w:r w:rsidRPr="00E12183">
        <w:rPr>
          <w:rFonts w:cs="Arial"/>
        </w:rPr>
        <w:t xml:space="preserve">closer </w:t>
      </w:r>
      <w:r w:rsidR="0072056E">
        <w:rPr>
          <w:rFonts w:cs="Arial"/>
        </w:rPr>
        <w:t>links</w:t>
      </w:r>
      <w:r w:rsidR="0072056E" w:rsidRPr="00E12183">
        <w:rPr>
          <w:rFonts w:cs="Arial"/>
        </w:rPr>
        <w:t xml:space="preserve"> </w:t>
      </w:r>
      <w:r w:rsidRPr="00E12183">
        <w:rPr>
          <w:rFonts w:cs="Arial"/>
        </w:rPr>
        <w:t xml:space="preserve">with enterprises in program delivery. However, few formal industry partnerships have been established. APTC’s adjustment to labour market demands could be improved. APTC’s </w:t>
      </w:r>
      <w:r w:rsidR="0072056E">
        <w:rPr>
          <w:rFonts w:cs="Arial"/>
        </w:rPr>
        <w:t xml:space="preserve">graduate </w:t>
      </w:r>
      <w:r w:rsidRPr="00E12183">
        <w:rPr>
          <w:rFonts w:cs="Arial"/>
        </w:rPr>
        <w:t xml:space="preserve">tracer studies lack information about employment outcomes for specific qualifications. </w:t>
      </w:r>
    </w:p>
    <w:p w14:paraId="20870181" w14:textId="4DBE7ABF" w:rsidR="00EF59E3" w:rsidRPr="00E12183" w:rsidRDefault="009D1E5A" w:rsidP="00EF59E3">
      <w:pPr>
        <w:rPr>
          <w:rFonts w:cs="Arial"/>
        </w:rPr>
      </w:pPr>
      <w:r>
        <w:rPr>
          <w:rFonts w:cs="Arial"/>
        </w:rPr>
        <w:t xml:space="preserve">The evaluation found strong </w:t>
      </w:r>
      <w:r w:rsidRPr="009D1E5A">
        <w:rPr>
          <w:rFonts w:cs="Arial"/>
        </w:rPr>
        <w:t>program management in a complex environment both at the centre and in most campus countries</w:t>
      </w:r>
      <w:r>
        <w:rPr>
          <w:rFonts w:cs="Arial"/>
        </w:rPr>
        <w:t>.</w:t>
      </w:r>
      <w:r w:rsidRPr="009D1E5A">
        <w:rPr>
          <w:rFonts w:cs="Arial"/>
        </w:rPr>
        <w:t xml:space="preserve"> </w:t>
      </w:r>
      <w:r w:rsidR="00EF59E3" w:rsidRPr="00E12183">
        <w:rPr>
          <w:rFonts w:cs="Arial"/>
        </w:rPr>
        <w:t xml:space="preserve">The evaluation also identified several issues associated with APTC’s governance and management. APTC </w:t>
      </w:r>
      <w:r w:rsidR="00D7205B" w:rsidRPr="00D7205B">
        <w:rPr>
          <w:rFonts w:cs="Arial"/>
        </w:rPr>
        <w:t>responds to its contractual obligations within a four</w:t>
      </w:r>
      <w:r w:rsidR="009674BB">
        <w:rPr>
          <w:rFonts w:cs="Arial"/>
        </w:rPr>
        <w:t>-</w:t>
      </w:r>
      <w:r w:rsidR="00D7205B" w:rsidRPr="00D7205B">
        <w:rPr>
          <w:rFonts w:cs="Arial"/>
        </w:rPr>
        <w:t>year cycle. It effectively operates in a strategic vacuum</w:t>
      </w:r>
      <w:r w:rsidR="00003B05">
        <w:rPr>
          <w:rStyle w:val="FootnoteReference"/>
          <w:rFonts w:cs="Arial"/>
        </w:rPr>
        <w:footnoteReference w:id="1"/>
      </w:r>
      <w:r w:rsidR="00D7205B" w:rsidRPr="00D7205B">
        <w:rPr>
          <w:rFonts w:cs="Arial"/>
        </w:rPr>
        <w:t xml:space="preserve"> without a clear vision and guidelines from DFAT for its long-term success. This </w:t>
      </w:r>
      <w:r w:rsidR="00EF59E3" w:rsidRPr="00E12183">
        <w:rPr>
          <w:rFonts w:cs="Arial"/>
        </w:rPr>
        <w:t>impedes planning and stifles local ownership. Management achievements are impressive, given the complex operating environment</w:t>
      </w:r>
      <w:r w:rsidR="006469F4">
        <w:rPr>
          <w:rFonts w:cs="Arial"/>
        </w:rPr>
        <w:t>,</w:t>
      </w:r>
      <w:r w:rsidR="004E178F">
        <w:rPr>
          <w:rFonts w:cs="Arial"/>
        </w:rPr>
        <w:t xml:space="preserve"> but</w:t>
      </w:r>
      <w:r w:rsidR="00EF59E3" w:rsidRPr="00E12183">
        <w:rPr>
          <w:rFonts w:cs="Arial"/>
        </w:rPr>
        <w:t xml:space="preserve"> the consortium arrangements </w:t>
      </w:r>
      <w:r w:rsidR="00352E6E">
        <w:rPr>
          <w:rFonts w:cs="Arial"/>
        </w:rPr>
        <w:t>result in</w:t>
      </w:r>
      <w:r w:rsidR="00352E6E" w:rsidRPr="00E12183">
        <w:rPr>
          <w:rFonts w:cs="Arial"/>
        </w:rPr>
        <w:t xml:space="preserve"> </w:t>
      </w:r>
      <w:r w:rsidR="00EF59E3" w:rsidRPr="00E12183">
        <w:rPr>
          <w:rFonts w:cs="Arial"/>
        </w:rPr>
        <w:t xml:space="preserve">costly duplication.  </w:t>
      </w:r>
    </w:p>
    <w:p w14:paraId="76516509" w14:textId="6DA03BED" w:rsidR="00EF59E3" w:rsidRPr="00E12183" w:rsidRDefault="00EF59E3" w:rsidP="00EF59E3">
      <w:pPr>
        <w:rPr>
          <w:rFonts w:cs="Arial"/>
        </w:rPr>
      </w:pPr>
      <w:r w:rsidRPr="00E12183">
        <w:rPr>
          <w:rFonts w:cs="Arial"/>
        </w:rPr>
        <w:t xml:space="preserve">The recommendations </w:t>
      </w:r>
      <w:r w:rsidR="00BB121F">
        <w:rPr>
          <w:rFonts w:cs="Arial"/>
        </w:rPr>
        <w:t>in</w:t>
      </w:r>
      <w:r w:rsidRPr="00E12183">
        <w:rPr>
          <w:rFonts w:cs="Arial"/>
        </w:rPr>
        <w:t xml:space="preserve"> </w:t>
      </w:r>
      <w:r w:rsidR="00BB121F">
        <w:rPr>
          <w:rFonts w:cs="Arial"/>
        </w:rPr>
        <w:t>C</w:t>
      </w:r>
      <w:r w:rsidR="00BB121F" w:rsidRPr="00E12183">
        <w:rPr>
          <w:rFonts w:cs="Arial"/>
        </w:rPr>
        <w:t xml:space="preserve">hapter </w:t>
      </w:r>
      <w:r w:rsidR="00BB121F">
        <w:rPr>
          <w:rFonts w:cs="Arial"/>
        </w:rPr>
        <w:t xml:space="preserve">2 </w:t>
      </w:r>
      <w:r w:rsidRPr="00E12183">
        <w:rPr>
          <w:rFonts w:cs="Arial"/>
        </w:rPr>
        <w:t>can be summarised around themes</w:t>
      </w:r>
      <w:r w:rsidR="00CC117C">
        <w:rPr>
          <w:rFonts w:cs="Arial"/>
        </w:rPr>
        <w:t xml:space="preserve">: (1) </w:t>
      </w:r>
      <w:r w:rsidRPr="00E12183">
        <w:rPr>
          <w:rFonts w:cs="Arial"/>
        </w:rPr>
        <w:t>better long range planning by DFAT, both in a regional TVET strategy and the articulation of a long-term vision for APTC</w:t>
      </w:r>
      <w:r w:rsidR="00CC117C">
        <w:rPr>
          <w:rFonts w:cs="Arial"/>
        </w:rPr>
        <w:t>; (2)</w:t>
      </w:r>
      <w:r w:rsidRPr="00E12183">
        <w:rPr>
          <w:rFonts w:cs="Arial"/>
        </w:rPr>
        <w:t xml:space="preserve"> greater country focus, starting with strategic plans for each campus country and </w:t>
      </w:r>
      <w:r w:rsidR="00BB121F">
        <w:rPr>
          <w:rFonts w:cs="Arial"/>
        </w:rPr>
        <w:t>setting up</w:t>
      </w:r>
      <w:r w:rsidRPr="00E12183">
        <w:rPr>
          <w:rFonts w:cs="Arial"/>
        </w:rPr>
        <w:t xml:space="preserve"> country-based </w:t>
      </w:r>
      <w:r w:rsidR="00EC11EE">
        <w:rPr>
          <w:rFonts w:cs="Arial"/>
        </w:rPr>
        <w:t>C</w:t>
      </w:r>
      <w:r w:rsidR="00EC11EE" w:rsidRPr="00E12183">
        <w:rPr>
          <w:rFonts w:cs="Arial"/>
        </w:rPr>
        <w:t xml:space="preserve">onsultative </w:t>
      </w:r>
      <w:r w:rsidR="00EC11EE">
        <w:rPr>
          <w:rFonts w:cs="Arial"/>
        </w:rPr>
        <w:t>F</w:t>
      </w:r>
      <w:r w:rsidR="00EC11EE" w:rsidRPr="00E12183">
        <w:rPr>
          <w:rFonts w:cs="Arial"/>
        </w:rPr>
        <w:t>orums</w:t>
      </w:r>
      <w:r w:rsidR="00CC117C">
        <w:rPr>
          <w:rFonts w:cs="Arial"/>
        </w:rPr>
        <w:t>; (3)</w:t>
      </w:r>
      <w:r w:rsidRPr="00E12183">
        <w:rPr>
          <w:rFonts w:cs="Arial"/>
        </w:rPr>
        <w:t xml:space="preserve"> </w:t>
      </w:r>
      <w:r w:rsidR="0039282D">
        <w:rPr>
          <w:rFonts w:cs="Arial"/>
        </w:rPr>
        <w:t xml:space="preserve">the need to </w:t>
      </w:r>
      <w:r w:rsidRPr="00E12183">
        <w:rPr>
          <w:rFonts w:cs="Arial"/>
        </w:rPr>
        <w:t xml:space="preserve">unify </w:t>
      </w:r>
      <w:r w:rsidR="00C40267">
        <w:rPr>
          <w:rFonts w:cs="Arial"/>
        </w:rPr>
        <w:t>APTC</w:t>
      </w:r>
      <w:r w:rsidRPr="00E12183">
        <w:rPr>
          <w:rFonts w:cs="Arial"/>
        </w:rPr>
        <w:t xml:space="preserve"> under a single </w:t>
      </w:r>
      <w:r w:rsidR="007A5D70">
        <w:rPr>
          <w:rFonts w:cs="Arial"/>
        </w:rPr>
        <w:t>registered training organisation (</w:t>
      </w:r>
      <w:r w:rsidRPr="00E12183">
        <w:rPr>
          <w:rFonts w:cs="Arial"/>
        </w:rPr>
        <w:t>RTO</w:t>
      </w:r>
      <w:r w:rsidR="007A5D70">
        <w:rPr>
          <w:rFonts w:cs="Arial"/>
        </w:rPr>
        <w:t>)</w:t>
      </w:r>
      <w:r w:rsidRPr="00E12183">
        <w:rPr>
          <w:rFonts w:cs="Arial"/>
        </w:rPr>
        <w:t xml:space="preserve"> and a single set of policies and procedures</w:t>
      </w:r>
      <w:r w:rsidR="00E8590D">
        <w:rPr>
          <w:rFonts w:cs="Arial"/>
        </w:rPr>
        <w:t>; (4)</w:t>
      </w:r>
      <w:r w:rsidRPr="00E12183">
        <w:rPr>
          <w:rFonts w:cs="Arial"/>
        </w:rPr>
        <w:t xml:space="preserve"> better labour market analysis to support adjustments in the APTC training plan</w:t>
      </w:r>
      <w:r w:rsidR="00E8590D">
        <w:rPr>
          <w:rFonts w:cs="Arial"/>
        </w:rPr>
        <w:t xml:space="preserve">; and (5) </w:t>
      </w:r>
      <w:r w:rsidRPr="00E12183">
        <w:rPr>
          <w:rFonts w:cs="Arial"/>
        </w:rPr>
        <w:t>the need both to build capacity in the Pacific and to reduce operating costs</w:t>
      </w:r>
      <w:r w:rsidR="00352E6E">
        <w:rPr>
          <w:rFonts w:cs="Arial"/>
        </w:rPr>
        <w:t>,</w:t>
      </w:r>
      <w:r w:rsidRPr="00E12183">
        <w:rPr>
          <w:rFonts w:cs="Arial"/>
        </w:rPr>
        <w:t xml:space="preserve"> in part by setting and meeting higher nationalisation targets. </w:t>
      </w:r>
    </w:p>
    <w:p w14:paraId="0B25B611" w14:textId="77777777" w:rsidR="00DF7C96" w:rsidRDefault="00DF7C96">
      <w:pPr>
        <w:spacing w:after="0"/>
        <w:rPr>
          <w:rFonts w:cs="Arial"/>
          <w:b/>
          <w:bCs/>
          <w:color w:val="76923C"/>
          <w:szCs w:val="28"/>
        </w:rPr>
      </w:pPr>
      <w:bookmarkStart w:id="11" w:name="_Toc274832649"/>
      <w:r>
        <w:br w:type="page"/>
      </w:r>
    </w:p>
    <w:p w14:paraId="2B9E0CCC" w14:textId="199F30F4" w:rsidR="00EF59E3" w:rsidRPr="00E12183" w:rsidRDefault="00EF59E3" w:rsidP="00CA1D7C">
      <w:pPr>
        <w:pStyle w:val="Heading3"/>
        <w:numPr>
          <w:ilvl w:val="0"/>
          <w:numId w:val="0"/>
        </w:numPr>
      </w:pPr>
      <w:bookmarkStart w:id="12" w:name="_Toc278710491"/>
      <w:r w:rsidRPr="00E12183">
        <w:lastRenderedPageBreak/>
        <w:t>Labour mobility</w:t>
      </w:r>
      <w:bookmarkEnd w:id="11"/>
      <w:r w:rsidR="006002A3">
        <w:t>: Chapter 3</w:t>
      </w:r>
      <w:bookmarkEnd w:id="12"/>
      <w:r w:rsidRPr="00E12183">
        <w:t xml:space="preserve"> </w:t>
      </w:r>
    </w:p>
    <w:p w14:paraId="695DB1C4" w14:textId="0573D1DF" w:rsidR="00EF59E3" w:rsidRPr="00E12183" w:rsidRDefault="00B53D1F" w:rsidP="00EF59E3">
      <w:pPr>
        <w:spacing w:before="120"/>
        <w:rPr>
          <w:rFonts w:cs="Arial"/>
          <w:lang w:eastAsia="zh-CN"/>
        </w:rPr>
      </w:pPr>
      <w:r>
        <w:rPr>
          <w:rFonts w:cs="Arial"/>
          <w:lang w:eastAsia="zh-CN"/>
        </w:rPr>
        <w:t>Chapter 3 notes that while l</w:t>
      </w:r>
      <w:r w:rsidRPr="00E12183">
        <w:rPr>
          <w:rFonts w:cs="Arial"/>
          <w:lang w:eastAsia="zh-CN"/>
        </w:rPr>
        <w:t xml:space="preserve">abour </w:t>
      </w:r>
      <w:r w:rsidR="00EF59E3" w:rsidRPr="00E12183">
        <w:rPr>
          <w:rFonts w:cs="Arial"/>
          <w:lang w:eastAsia="zh-CN"/>
        </w:rPr>
        <w:t xml:space="preserve">mobility </w:t>
      </w:r>
      <w:r>
        <w:rPr>
          <w:rFonts w:cs="Arial"/>
          <w:lang w:eastAsia="zh-CN"/>
        </w:rPr>
        <w:t>is</w:t>
      </w:r>
      <w:r w:rsidR="00EF59E3" w:rsidRPr="00E12183">
        <w:rPr>
          <w:rFonts w:cs="Arial"/>
          <w:lang w:eastAsia="zh-CN"/>
        </w:rPr>
        <w:t xml:space="preserve"> a core objective</w:t>
      </w:r>
      <w:r>
        <w:rPr>
          <w:rFonts w:cs="Arial"/>
          <w:lang w:eastAsia="zh-CN"/>
        </w:rPr>
        <w:t xml:space="preserve">, </w:t>
      </w:r>
      <w:r w:rsidR="000768E0">
        <w:rPr>
          <w:rFonts w:cs="Arial"/>
          <w:lang w:eastAsia="zh-CN"/>
        </w:rPr>
        <w:t>it has received little</w:t>
      </w:r>
      <w:r w:rsidRPr="00E12183">
        <w:rPr>
          <w:rFonts w:cs="Arial"/>
          <w:lang w:eastAsia="zh-CN"/>
        </w:rPr>
        <w:t xml:space="preserve"> attention</w:t>
      </w:r>
      <w:r w:rsidR="000768E0">
        <w:rPr>
          <w:rFonts w:cs="Arial"/>
          <w:lang w:eastAsia="zh-CN"/>
        </w:rPr>
        <w:t>,</w:t>
      </w:r>
      <w:r w:rsidRPr="00E12183">
        <w:rPr>
          <w:rFonts w:cs="Arial"/>
          <w:lang w:eastAsia="zh-CN"/>
        </w:rPr>
        <w:t xml:space="preserve"> </w:t>
      </w:r>
      <w:r>
        <w:rPr>
          <w:rFonts w:cs="Arial"/>
          <w:lang w:eastAsia="zh-CN"/>
        </w:rPr>
        <w:t xml:space="preserve">partly due to </w:t>
      </w:r>
      <w:r w:rsidR="000768E0">
        <w:rPr>
          <w:rFonts w:cs="Arial"/>
          <w:lang w:eastAsia="zh-CN"/>
        </w:rPr>
        <w:t>APTC’s</w:t>
      </w:r>
      <w:r>
        <w:rPr>
          <w:rFonts w:cs="Arial"/>
          <w:lang w:eastAsia="zh-CN"/>
        </w:rPr>
        <w:t xml:space="preserve"> relationship with Pacific employers.</w:t>
      </w:r>
      <w:r w:rsidR="00EF59E3" w:rsidRPr="00E12183">
        <w:rPr>
          <w:rFonts w:cs="Arial"/>
          <w:lang w:eastAsia="zh-CN"/>
        </w:rPr>
        <w:t xml:space="preserve"> </w:t>
      </w:r>
      <w:r>
        <w:rPr>
          <w:rFonts w:cs="Arial"/>
          <w:lang w:eastAsia="zh-CN"/>
        </w:rPr>
        <w:t>APTC’s</w:t>
      </w:r>
      <w:r w:rsidR="00EF59E3" w:rsidRPr="00E12183">
        <w:rPr>
          <w:rFonts w:cs="Arial"/>
          <w:lang w:eastAsia="zh-CN"/>
        </w:rPr>
        <w:t xml:space="preserve"> sole focus on delivering Australia qualifications to existing employees through scholarships </w:t>
      </w:r>
      <w:r w:rsidR="0039282D">
        <w:rPr>
          <w:rFonts w:cs="Arial"/>
          <w:lang w:eastAsia="zh-CN"/>
        </w:rPr>
        <w:t xml:space="preserve">has </w:t>
      </w:r>
      <w:r w:rsidR="00EF59E3" w:rsidRPr="00E12183">
        <w:rPr>
          <w:rFonts w:cs="Arial"/>
          <w:lang w:eastAsia="zh-CN"/>
        </w:rPr>
        <w:t xml:space="preserve">sent mixed signals to Pacific employers and their governments who feared a brain drain would result. </w:t>
      </w:r>
    </w:p>
    <w:p w14:paraId="4A79AD3B" w14:textId="320580B4" w:rsidR="00EF59E3" w:rsidRPr="00E12183" w:rsidRDefault="00B53D1F" w:rsidP="00EF59E3">
      <w:pPr>
        <w:spacing w:before="120"/>
        <w:rPr>
          <w:rFonts w:cs="Arial"/>
          <w:lang w:eastAsia="zh-CN"/>
        </w:rPr>
      </w:pPr>
      <w:r>
        <w:rPr>
          <w:rFonts w:cs="Arial"/>
          <w:lang w:eastAsia="zh-CN"/>
        </w:rPr>
        <w:t>M</w:t>
      </w:r>
      <w:r w:rsidR="00EF59E3" w:rsidRPr="00E12183">
        <w:rPr>
          <w:rFonts w:cs="Arial"/>
          <w:lang w:eastAsia="zh-CN"/>
        </w:rPr>
        <w:t xml:space="preserve">ost students and graduates view the Australian qualifications as a passport to work overseas, especially in Australia. </w:t>
      </w:r>
      <w:r w:rsidR="00C16E78">
        <w:rPr>
          <w:rFonts w:cs="Arial"/>
          <w:lang w:eastAsia="zh-CN"/>
        </w:rPr>
        <w:t>The majority of</w:t>
      </w:r>
      <w:r w:rsidR="00EF59E3" w:rsidRPr="00E12183">
        <w:rPr>
          <w:rFonts w:cs="Arial"/>
          <w:lang w:eastAsia="zh-CN"/>
        </w:rPr>
        <w:t xml:space="preserve"> APTC students and graduates surveyed by this review have taken steps </w:t>
      </w:r>
      <w:r w:rsidR="00246060">
        <w:rPr>
          <w:rFonts w:cs="Arial"/>
          <w:lang w:eastAsia="zh-CN"/>
        </w:rPr>
        <w:t xml:space="preserve">or indicated a wish </w:t>
      </w:r>
      <w:r w:rsidR="00EF59E3" w:rsidRPr="00E12183">
        <w:rPr>
          <w:rFonts w:cs="Arial"/>
          <w:lang w:eastAsia="zh-CN"/>
        </w:rPr>
        <w:t xml:space="preserve">to migrate. However, few graduates have </w:t>
      </w:r>
      <w:r w:rsidR="00C16E78">
        <w:rPr>
          <w:rFonts w:cs="Arial"/>
          <w:lang w:eastAsia="zh-CN"/>
        </w:rPr>
        <w:t xml:space="preserve">actually </w:t>
      </w:r>
      <w:r w:rsidR="00EF59E3" w:rsidRPr="00E12183">
        <w:rPr>
          <w:rFonts w:cs="Arial"/>
          <w:lang w:eastAsia="zh-CN"/>
        </w:rPr>
        <w:t xml:space="preserve">migrated to work in Australia or New Zealand and fewer still elsewhere in the Pacific. A comparison of APTC qualifications and Australia’s approved occupations </w:t>
      </w:r>
      <w:r w:rsidR="00DE3CF8" w:rsidRPr="00DE3CF8">
        <w:rPr>
          <w:rFonts w:cs="Arial"/>
          <w:lang w:eastAsia="zh-CN"/>
        </w:rPr>
        <w:t xml:space="preserve">and required qualification levels </w:t>
      </w:r>
      <w:r w:rsidR="00EF59E3" w:rsidRPr="00E12183">
        <w:rPr>
          <w:rFonts w:cs="Arial"/>
          <w:lang w:eastAsia="zh-CN"/>
        </w:rPr>
        <w:t>for skill migration shows that most APTC graduates are not eligible. Th</w:t>
      </w:r>
      <w:r w:rsidR="00C16E78">
        <w:rPr>
          <w:rFonts w:cs="Arial"/>
          <w:lang w:eastAsia="zh-CN"/>
        </w:rPr>
        <w:t>is</w:t>
      </w:r>
      <w:r w:rsidR="00EF59E3" w:rsidRPr="00E12183">
        <w:rPr>
          <w:rFonts w:cs="Arial"/>
          <w:lang w:eastAsia="zh-CN"/>
        </w:rPr>
        <w:t xml:space="preserve"> report recommends that DFAT </w:t>
      </w:r>
      <w:r w:rsidR="00246060">
        <w:rPr>
          <w:rFonts w:cs="Arial"/>
          <w:lang w:eastAsia="zh-CN"/>
        </w:rPr>
        <w:t xml:space="preserve">clarify </w:t>
      </w:r>
      <w:r w:rsidR="00EF59E3" w:rsidRPr="00E12183">
        <w:rPr>
          <w:rFonts w:cs="Arial"/>
          <w:lang w:eastAsia="zh-CN"/>
        </w:rPr>
        <w:t xml:space="preserve">the importance of the labour mobility objective. To promote the labour mobility goal, APTC should provide </w:t>
      </w:r>
      <w:r w:rsidR="00962DD5" w:rsidRPr="00E12183">
        <w:rPr>
          <w:rFonts w:cs="Arial"/>
          <w:lang w:eastAsia="zh-CN"/>
        </w:rPr>
        <w:t>more</w:t>
      </w:r>
      <w:r w:rsidR="00962DD5">
        <w:rPr>
          <w:rFonts w:cs="Arial"/>
          <w:lang w:eastAsia="zh-CN"/>
        </w:rPr>
        <w:t xml:space="preserve"> information about the process,</w:t>
      </w:r>
      <w:r w:rsidR="00962DD5" w:rsidRPr="00E12183">
        <w:rPr>
          <w:rFonts w:cs="Arial"/>
          <w:lang w:eastAsia="zh-CN"/>
        </w:rPr>
        <w:t xml:space="preserve"> including identification of qualifications that are eligible for migration</w:t>
      </w:r>
      <w:r w:rsidR="00962DD5">
        <w:rPr>
          <w:rFonts w:cs="Arial"/>
          <w:lang w:eastAsia="zh-CN"/>
        </w:rPr>
        <w:t>,</w:t>
      </w:r>
      <w:r w:rsidR="00962DD5" w:rsidRPr="00E12183">
        <w:rPr>
          <w:rFonts w:cs="Arial"/>
          <w:lang w:eastAsia="zh-CN"/>
        </w:rPr>
        <w:t xml:space="preserve"> </w:t>
      </w:r>
      <w:r w:rsidR="00EF59E3" w:rsidRPr="00E12183">
        <w:rPr>
          <w:rFonts w:cs="Arial"/>
          <w:lang w:eastAsia="zh-CN"/>
        </w:rPr>
        <w:t xml:space="preserve">job counselling, access to </w:t>
      </w:r>
      <w:r w:rsidR="00CD5B57">
        <w:rPr>
          <w:rFonts w:cs="Arial"/>
          <w:lang w:eastAsia="zh-CN"/>
        </w:rPr>
        <w:t xml:space="preserve">IELTS </w:t>
      </w:r>
      <w:r w:rsidR="00EF59E3" w:rsidRPr="00E12183">
        <w:rPr>
          <w:rFonts w:cs="Arial"/>
          <w:lang w:eastAsia="zh-CN"/>
        </w:rPr>
        <w:t>testing</w:t>
      </w:r>
      <w:r w:rsidR="00246060">
        <w:rPr>
          <w:rFonts w:cs="Arial"/>
          <w:lang w:eastAsia="zh-CN"/>
        </w:rPr>
        <w:t>,</w:t>
      </w:r>
      <w:r w:rsidR="00EF59E3" w:rsidRPr="00E12183">
        <w:rPr>
          <w:rFonts w:cs="Arial"/>
          <w:lang w:eastAsia="zh-CN"/>
        </w:rPr>
        <w:t xml:space="preserve"> and links with employers abroad. </w:t>
      </w:r>
    </w:p>
    <w:p w14:paraId="38F78208" w14:textId="1618BE8F" w:rsidR="00EF59E3" w:rsidRPr="00E12183" w:rsidRDefault="00EF59E3" w:rsidP="00CA1D7C">
      <w:pPr>
        <w:pStyle w:val="Heading3"/>
        <w:numPr>
          <w:ilvl w:val="0"/>
          <w:numId w:val="0"/>
        </w:numPr>
        <w:rPr>
          <w:lang w:eastAsia="zh-CN"/>
        </w:rPr>
      </w:pPr>
      <w:bookmarkStart w:id="13" w:name="_Toc274832650"/>
      <w:bookmarkStart w:id="14" w:name="_Toc278710492"/>
      <w:r w:rsidRPr="00E12183">
        <w:rPr>
          <w:lang w:eastAsia="zh-CN"/>
        </w:rPr>
        <w:t xml:space="preserve">Impact on graduates and </w:t>
      </w:r>
      <w:r w:rsidR="003A018A">
        <w:rPr>
          <w:lang w:eastAsia="zh-CN"/>
        </w:rPr>
        <w:t>employers</w:t>
      </w:r>
      <w:bookmarkEnd w:id="13"/>
      <w:r w:rsidR="00422315">
        <w:rPr>
          <w:lang w:eastAsia="zh-CN"/>
        </w:rPr>
        <w:t>: Chapter 4</w:t>
      </w:r>
      <w:bookmarkEnd w:id="14"/>
      <w:r w:rsidR="003A018A">
        <w:rPr>
          <w:lang w:eastAsia="zh-CN"/>
        </w:rPr>
        <w:t xml:space="preserve"> </w:t>
      </w:r>
    </w:p>
    <w:p w14:paraId="0A443F55" w14:textId="53E00B52" w:rsidR="00EF59E3" w:rsidRPr="00E12183" w:rsidRDefault="00EF59E3" w:rsidP="00EF59E3">
      <w:pPr>
        <w:rPr>
          <w:rFonts w:cs="Arial"/>
          <w:lang w:eastAsia="zh-CN"/>
        </w:rPr>
      </w:pPr>
      <w:r w:rsidRPr="00E12183">
        <w:rPr>
          <w:rFonts w:cs="Arial"/>
          <w:lang w:eastAsia="zh-CN"/>
        </w:rPr>
        <w:t xml:space="preserve">Chapter </w:t>
      </w:r>
      <w:r w:rsidR="00B15822">
        <w:rPr>
          <w:rFonts w:cs="Arial"/>
          <w:lang w:eastAsia="zh-CN"/>
        </w:rPr>
        <w:t xml:space="preserve">4 </w:t>
      </w:r>
      <w:r w:rsidRPr="00E12183">
        <w:rPr>
          <w:rFonts w:cs="Arial"/>
          <w:lang w:eastAsia="zh-CN"/>
        </w:rPr>
        <w:t>presents evidence on APTC’s mandate to provide improved employment opportunities for its graduates in domestic labour markets and to increase the productivity of individuals and enterprises. Overall, about 95 per cent of APTC graduates are in employment and 81 per cent of Stage II graduates are in full</w:t>
      </w:r>
      <w:r w:rsidR="00B15822">
        <w:rPr>
          <w:rFonts w:cs="Arial"/>
          <w:lang w:eastAsia="zh-CN"/>
        </w:rPr>
        <w:t>-</w:t>
      </w:r>
      <w:r w:rsidRPr="00E12183">
        <w:rPr>
          <w:rFonts w:cs="Arial"/>
          <w:lang w:eastAsia="zh-CN"/>
        </w:rPr>
        <w:t xml:space="preserve">time work. Most graduates are employed in the same field in which they were trained, and three-in-five graduates from APTC’s Stage I and II have received a pay increase. Graduates in </w:t>
      </w:r>
      <w:r w:rsidRPr="00E12183">
        <w:rPr>
          <w:rFonts w:cs="Arial"/>
        </w:rPr>
        <w:t xml:space="preserve">children's services, hospitality operations, youth work and home and community care/aged care tend to have </w:t>
      </w:r>
      <w:r w:rsidRPr="00E12183">
        <w:rPr>
          <w:rFonts w:cs="Arial"/>
          <w:lang w:eastAsia="zh-CN"/>
        </w:rPr>
        <w:t xml:space="preserve">higher rates of unemployment. </w:t>
      </w:r>
    </w:p>
    <w:p w14:paraId="773E4BDC" w14:textId="3727D674" w:rsidR="00EF59E3" w:rsidRPr="00E12183" w:rsidRDefault="00EF59E3" w:rsidP="00EF59E3">
      <w:pPr>
        <w:spacing w:before="120"/>
        <w:rPr>
          <w:rFonts w:cs="Arial"/>
          <w:lang w:eastAsia="zh-CN"/>
        </w:rPr>
      </w:pPr>
      <w:r w:rsidRPr="00E12183">
        <w:rPr>
          <w:rFonts w:cs="Arial"/>
          <w:lang w:eastAsia="zh-CN"/>
        </w:rPr>
        <w:t xml:space="preserve">Employers, for their part, expressed overall satisfaction with their APTC graduates and the APTC training program. An average of one-in-three employers surveyed stated that the APTC training had produced a positive impact in their organisation and </w:t>
      </w:r>
      <w:r w:rsidR="00A953E0">
        <w:rPr>
          <w:rFonts w:cs="Arial"/>
          <w:lang w:eastAsia="zh-CN"/>
        </w:rPr>
        <w:t xml:space="preserve">also </w:t>
      </w:r>
      <w:r w:rsidRPr="00E12183">
        <w:rPr>
          <w:rFonts w:cs="Arial"/>
          <w:lang w:eastAsia="zh-CN"/>
        </w:rPr>
        <w:t xml:space="preserve">agreed strongly with eight statements about the benefits of improved work performance of their APTC graduates. This suggests that only a </w:t>
      </w:r>
      <w:r w:rsidRPr="00A953E0">
        <w:rPr>
          <w:rFonts w:cs="Arial"/>
          <w:lang w:eastAsia="zh-CN"/>
        </w:rPr>
        <w:t>minority of employers</w:t>
      </w:r>
      <w:r w:rsidRPr="00E12183">
        <w:rPr>
          <w:rFonts w:cs="Arial"/>
          <w:lang w:eastAsia="zh-CN"/>
        </w:rPr>
        <w:t xml:space="preserve"> gained a significant economic benefit from having employees with Australian qualifications. APTC needs to focus more on understanding the skill needs of employers in the Pacific. </w:t>
      </w:r>
      <w:r w:rsidR="001735AF" w:rsidRPr="00E12183">
        <w:rPr>
          <w:rFonts w:cs="Arial"/>
          <w:lang w:eastAsia="zh-CN"/>
        </w:rPr>
        <w:t>Th</w:t>
      </w:r>
      <w:r w:rsidR="001735AF">
        <w:rPr>
          <w:rFonts w:cs="Arial"/>
          <w:lang w:eastAsia="zh-CN"/>
        </w:rPr>
        <w:t>is</w:t>
      </w:r>
      <w:r w:rsidR="001735AF" w:rsidRPr="00E12183">
        <w:rPr>
          <w:rFonts w:cs="Arial"/>
          <w:lang w:eastAsia="zh-CN"/>
        </w:rPr>
        <w:t xml:space="preserve"> </w:t>
      </w:r>
      <w:r w:rsidRPr="00E12183">
        <w:rPr>
          <w:rFonts w:cs="Arial"/>
          <w:lang w:eastAsia="zh-CN"/>
        </w:rPr>
        <w:t xml:space="preserve">review recommends strengthening APTC’s employer databases, more systematic assessment </w:t>
      </w:r>
      <w:r w:rsidR="00DE3CF8">
        <w:rPr>
          <w:rFonts w:cs="Arial"/>
          <w:lang w:eastAsia="zh-CN"/>
        </w:rPr>
        <w:t xml:space="preserve">by DFAT </w:t>
      </w:r>
      <w:r w:rsidRPr="00E12183">
        <w:rPr>
          <w:rFonts w:cs="Arial"/>
          <w:lang w:eastAsia="zh-CN"/>
        </w:rPr>
        <w:t>of the economic demand for skills for a regional TVET strategy and ways to fortify AP</w:t>
      </w:r>
      <w:r w:rsidR="00D97E5B">
        <w:rPr>
          <w:rFonts w:cs="Arial"/>
          <w:lang w:eastAsia="zh-CN"/>
        </w:rPr>
        <w:t>T</w:t>
      </w:r>
      <w:r w:rsidRPr="00E12183">
        <w:rPr>
          <w:rFonts w:cs="Arial"/>
          <w:lang w:eastAsia="zh-CN"/>
        </w:rPr>
        <w:t xml:space="preserve">C’s </w:t>
      </w:r>
      <w:r w:rsidR="00DE3CF8">
        <w:rPr>
          <w:rFonts w:cs="Arial"/>
          <w:lang w:eastAsia="zh-CN"/>
        </w:rPr>
        <w:t xml:space="preserve">own </w:t>
      </w:r>
      <w:r w:rsidRPr="00E12183">
        <w:rPr>
          <w:rFonts w:cs="Arial"/>
          <w:lang w:eastAsia="zh-CN"/>
        </w:rPr>
        <w:t>collection and use of information</w:t>
      </w:r>
      <w:r w:rsidR="007A5D70">
        <w:rPr>
          <w:rFonts w:cs="Arial"/>
          <w:lang w:eastAsia="zh-CN"/>
        </w:rPr>
        <w:t>,</w:t>
      </w:r>
      <w:r w:rsidRPr="00E12183">
        <w:rPr>
          <w:rFonts w:cs="Arial"/>
          <w:lang w:eastAsia="zh-CN"/>
        </w:rPr>
        <w:t xml:space="preserve"> </w:t>
      </w:r>
      <w:r w:rsidR="00DE3CF8" w:rsidRPr="00DE3CF8">
        <w:rPr>
          <w:rFonts w:cs="Arial"/>
          <w:lang w:eastAsia="zh-CN"/>
        </w:rPr>
        <w:t>such as tracer surveys and advertised job vacancies</w:t>
      </w:r>
      <w:r w:rsidR="00DE3CF8" w:rsidRPr="00E12183">
        <w:rPr>
          <w:rFonts w:cs="Arial"/>
          <w:lang w:eastAsia="zh-CN"/>
        </w:rPr>
        <w:t xml:space="preserve"> </w:t>
      </w:r>
      <w:r w:rsidRPr="00E12183">
        <w:rPr>
          <w:rFonts w:cs="Arial"/>
          <w:lang w:eastAsia="zh-CN"/>
        </w:rPr>
        <w:t xml:space="preserve">on labour demand. </w:t>
      </w:r>
    </w:p>
    <w:p w14:paraId="2BF128AA" w14:textId="7C64CFEC" w:rsidR="00EF59E3" w:rsidRPr="00E12183" w:rsidRDefault="00EF59E3" w:rsidP="00CA1D7C">
      <w:pPr>
        <w:pStyle w:val="Heading3"/>
        <w:numPr>
          <w:ilvl w:val="0"/>
          <w:numId w:val="0"/>
        </w:numPr>
      </w:pPr>
      <w:bookmarkStart w:id="15" w:name="_Toc274832651"/>
      <w:bookmarkStart w:id="16" w:name="_Toc278710493"/>
      <w:r w:rsidRPr="00E12183">
        <w:t>Value for money</w:t>
      </w:r>
      <w:bookmarkEnd w:id="15"/>
      <w:r w:rsidR="002D301C">
        <w:t>: Chapter 5</w:t>
      </w:r>
      <w:bookmarkEnd w:id="16"/>
      <w:r w:rsidR="0056119E">
        <w:t xml:space="preserve"> </w:t>
      </w:r>
    </w:p>
    <w:p w14:paraId="5DB1D168" w14:textId="24D65426" w:rsidR="00EF59E3" w:rsidRPr="00E12183" w:rsidRDefault="00EF59E3" w:rsidP="00EF59E3">
      <w:pPr>
        <w:spacing w:before="120"/>
        <w:rPr>
          <w:rFonts w:cs="Arial"/>
        </w:rPr>
      </w:pPr>
      <w:r w:rsidRPr="00E12183">
        <w:rPr>
          <w:rFonts w:cs="Arial"/>
        </w:rPr>
        <w:t xml:space="preserve">Chapter </w:t>
      </w:r>
      <w:r w:rsidR="003E4336">
        <w:rPr>
          <w:rFonts w:cs="Arial"/>
        </w:rPr>
        <w:t>5</w:t>
      </w:r>
      <w:r w:rsidR="003E4336" w:rsidRPr="00E12183">
        <w:rPr>
          <w:rFonts w:cs="Arial"/>
        </w:rPr>
        <w:t xml:space="preserve"> </w:t>
      </w:r>
      <w:r w:rsidRPr="00E12183">
        <w:rPr>
          <w:rFonts w:cs="Arial"/>
        </w:rPr>
        <w:t xml:space="preserve">addresses questions of value for money (VfM): </w:t>
      </w:r>
      <w:r w:rsidR="0045784A" w:rsidRPr="0045784A">
        <w:t>Do the high quality and other benefits generated by APTC justify its high cost?</w:t>
      </w:r>
      <w:r w:rsidR="0045784A">
        <w:rPr>
          <w:rFonts w:cs="Arial"/>
          <w:sz w:val="30"/>
          <w:szCs w:val="30"/>
          <w:lang w:val="en-US" w:eastAsia="en-AU"/>
        </w:rPr>
        <w:t xml:space="preserve"> </w:t>
      </w:r>
      <w:r w:rsidRPr="00E12183">
        <w:rPr>
          <w:rFonts w:cs="Arial"/>
        </w:rPr>
        <w:t xml:space="preserve">Could the $278 million spent on APTC between 2007 and 2015 have been spent differently so as to deliver greater </w:t>
      </w:r>
      <w:r w:rsidR="008E2986">
        <w:rPr>
          <w:rFonts w:cs="Arial"/>
        </w:rPr>
        <w:t>‘</w:t>
      </w:r>
      <w:r w:rsidRPr="00E12183">
        <w:rPr>
          <w:rFonts w:cs="Arial"/>
        </w:rPr>
        <w:t>value</w:t>
      </w:r>
      <w:r w:rsidR="008E2986">
        <w:rPr>
          <w:rFonts w:cs="Arial"/>
        </w:rPr>
        <w:t>’</w:t>
      </w:r>
      <w:r w:rsidR="008E2986" w:rsidRPr="00E12183">
        <w:rPr>
          <w:rFonts w:cs="Arial"/>
        </w:rPr>
        <w:t xml:space="preserve"> </w:t>
      </w:r>
      <w:r w:rsidRPr="00E12183">
        <w:rPr>
          <w:rFonts w:cs="Arial"/>
        </w:rPr>
        <w:t xml:space="preserve">to the Australian taxpayer? Even though APTC is shown to be a high-cost TVET program, can an economic case still be made for extending Australia’s support beyond </w:t>
      </w:r>
      <w:r w:rsidR="00A92980">
        <w:rPr>
          <w:rFonts w:cs="Arial"/>
        </w:rPr>
        <w:t>mid-</w:t>
      </w:r>
      <w:r w:rsidRPr="00E12183">
        <w:rPr>
          <w:rFonts w:cs="Arial"/>
        </w:rPr>
        <w:t>2015 with a third tranche of funding?</w:t>
      </w:r>
    </w:p>
    <w:p w14:paraId="08C67204" w14:textId="3E00E51D" w:rsidR="00EF59E3" w:rsidRPr="00E12183" w:rsidRDefault="00EF59E3" w:rsidP="00EF59E3">
      <w:pPr>
        <w:spacing w:before="120"/>
        <w:rPr>
          <w:rFonts w:cs="Arial"/>
        </w:rPr>
      </w:pPr>
      <w:r w:rsidRPr="00E12183">
        <w:rPr>
          <w:rFonts w:cs="Arial"/>
        </w:rPr>
        <w:t xml:space="preserve">Unit costs (the cost per student, cost per </w:t>
      </w:r>
      <w:r w:rsidR="002C2C67">
        <w:rPr>
          <w:rFonts w:cs="Arial"/>
        </w:rPr>
        <w:t>full-time equivalent student (</w:t>
      </w:r>
      <w:r w:rsidRPr="00E12183">
        <w:rPr>
          <w:rFonts w:cs="Arial"/>
        </w:rPr>
        <w:t>FTE</w:t>
      </w:r>
      <w:r w:rsidR="002C2C67">
        <w:rPr>
          <w:rFonts w:cs="Arial"/>
        </w:rPr>
        <w:t>)</w:t>
      </w:r>
      <w:r w:rsidRPr="00E12183">
        <w:rPr>
          <w:rFonts w:cs="Arial"/>
        </w:rPr>
        <w:t xml:space="preserve">, and cost per graduate) over APTC’s first eight years are found to be well above those of national training institutions in the Pacific and more than double the average for RTOs in Australia. </w:t>
      </w:r>
      <w:r w:rsidR="00B5381E">
        <w:rPr>
          <w:rFonts w:cs="Arial"/>
        </w:rPr>
        <w:t>As noted above in the evaluation questions</w:t>
      </w:r>
      <w:r w:rsidR="00B5381E" w:rsidRPr="0022193A">
        <w:rPr>
          <w:rFonts w:cs="Arial"/>
        </w:rPr>
        <w:t xml:space="preserve">, </w:t>
      </w:r>
      <w:r w:rsidR="00B5381E" w:rsidRPr="009C76A7">
        <w:rPr>
          <w:rFonts w:cs="Arial"/>
        </w:rPr>
        <w:t>a</w:t>
      </w:r>
      <w:r w:rsidRPr="0022193A">
        <w:rPr>
          <w:rFonts w:cs="Arial"/>
        </w:rPr>
        <w:t xml:space="preserve"> retrospective cost-benefit analysis (CBA) shows </w:t>
      </w:r>
      <w:r w:rsidRPr="00591611">
        <w:rPr>
          <w:rFonts w:cs="Arial"/>
        </w:rPr>
        <w:t xml:space="preserve">the ERRs </w:t>
      </w:r>
      <w:r w:rsidR="00B5381E" w:rsidRPr="009C76A7">
        <w:rPr>
          <w:rFonts w:cs="Arial"/>
        </w:rPr>
        <w:t>do not reach</w:t>
      </w:r>
      <w:r w:rsidR="00B5381E" w:rsidRPr="0022193A">
        <w:rPr>
          <w:rFonts w:cs="Arial"/>
        </w:rPr>
        <w:t xml:space="preserve"> </w:t>
      </w:r>
      <w:r w:rsidRPr="00A552FB">
        <w:rPr>
          <w:rFonts w:cs="Arial"/>
        </w:rPr>
        <w:t xml:space="preserve">the break-even level of 10 or 11 per cent. </w:t>
      </w:r>
      <w:r w:rsidRPr="00591611">
        <w:rPr>
          <w:rFonts w:cs="Arial"/>
        </w:rPr>
        <w:t>However</w:t>
      </w:r>
      <w:r w:rsidRPr="00E12183">
        <w:rPr>
          <w:rFonts w:cs="Arial"/>
        </w:rPr>
        <w:t>, an ex-ante CBA from the perspective of 2015 (the end of Stage II)</w:t>
      </w:r>
      <w:r w:rsidR="0012085E">
        <w:rPr>
          <w:rFonts w:cs="Arial"/>
        </w:rPr>
        <w:t xml:space="preserve"> that treats </w:t>
      </w:r>
      <w:r w:rsidR="0012085E">
        <w:rPr>
          <w:rFonts w:cs="Arial"/>
        </w:rPr>
        <w:lastRenderedPageBreak/>
        <w:t>all costs over APTC’s first eight years as sunk costs</w:t>
      </w:r>
      <w:r w:rsidRPr="00E12183">
        <w:rPr>
          <w:rFonts w:cs="Arial"/>
        </w:rPr>
        <w:t xml:space="preserve"> </w:t>
      </w:r>
      <w:r w:rsidR="00246060">
        <w:rPr>
          <w:rFonts w:cs="Arial"/>
        </w:rPr>
        <w:t xml:space="preserve">results in an ERR that </w:t>
      </w:r>
      <w:r w:rsidRPr="00E12183">
        <w:rPr>
          <w:rFonts w:cs="Arial"/>
        </w:rPr>
        <w:t>approach</w:t>
      </w:r>
      <w:r w:rsidR="00246060">
        <w:rPr>
          <w:rFonts w:cs="Arial"/>
        </w:rPr>
        <w:t>es</w:t>
      </w:r>
      <w:r w:rsidRPr="00E12183">
        <w:rPr>
          <w:rFonts w:cs="Arial"/>
        </w:rPr>
        <w:t xml:space="preserve"> or exceed</w:t>
      </w:r>
      <w:r w:rsidR="00246060">
        <w:rPr>
          <w:rFonts w:cs="Arial"/>
        </w:rPr>
        <w:t>s</w:t>
      </w:r>
      <w:r w:rsidRPr="00E12183">
        <w:rPr>
          <w:rFonts w:cs="Arial"/>
        </w:rPr>
        <w:t xml:space="preserve"> the break-even level. This </w:t>
      </w:r>
      <w:r w:rsidR="0012085E">
        <w:rPr>
          <w:rFonts w:cs="Arial"/>
        </w:rPr>
        <w:t xml:space="preserve">result is based on </w:t>
      </w:r>
      <w:r w:rsidR="006B00FD">
        <w:rPr>
          <w:rFonts w:cs="Arial"/>
        </w:rPr>
        <w:t xml:space="preserve">specific </w:t>
      </w:r>
      <w:r w:rsidR="0012085E">
        <w:rPr>
          <w:rFonts w:cs="Arial"/>
        </w:rPr>
        <w:t xml:space="preserve">assumptions about </w:t>
      </w:r>
      <w:r w:rsidRPr="00E12183">
        <w:rPr>
          <w:rFonts w:cs="Arial"/>
        </w:rPr>
        <w:t xml:space="preserve">projected enrolments and graduates and </w:t>
      </w:r>
      <w:r w:rsidR="0012085E">
        <w:rPr>
          <w:rFonts w:cs="Arial"/>
        </w:rPr>
        <w:t xml:space="preserve">about the level of </w:t>
      </w:r>
      <w:r w:rsidRPr="00E12183">
        <w:rPr>
          <w:rFonts w:cs="Arial"/>
        </w:rPr>
        <w:t>cost</w:t>
      </w:r>
      <w:r w:rsidR="004811AA">
        <w:rPr>
          <w:rFonts w:cs="Arial"/>
        </w:rPr>
        <w:t>-</w:t>
      </w:r>
      <w:r w:rsidRPr="00E12183">
        <w:rPr>
          <w:rFonts w:cs="Arial"/>
        </w:rPr>
        <w:t xml:space="preserve">savings resulting from the efficiency measures recommended throughout this review. Looking ahead, therefore, </w:t>
      </w:r>
      <w:r w:rsidR="0012085E">
        <w:rPr>
          <w:rFonts w:cs="Arial"/>
        </w:rPr>
        <w:t xml:space="preserve">the CBA might </w:t>
      </w:r>
      <w:r w:rsidRPr="00E12183">
        <w:rPr>
          <w:rFonts w:cs="Arial"/>
        </w:rPr>
        <w:t xml:space="preserve">lead to a positive decision by DFAT on the question of renewed funding for APTC. </w:t>
      </w:r>
    </w:p>
    <w:p w14:paraId="4010BB6D" w14:textId="436256A3" w:rsidR="00EF59E3" w:rsidRPr="00E12183" w:rsidRDefault="00EF59E3" w:rsidP="00EF59E3">
      <w:pPr>
        <w:spacing w:before="120"/>
        <w:rPr>
          <w:rFonts w:cs="Arial"/>
        </w:rPr>
      </w:pPr>
      <w:r w:rsidRPr="00E12183">
        <w:rPr>
          <w:rFonts w:cs="Arial"/>
        </w:rPr>
        <w:t xml:space="preserve">The ERR is highly sensitive to assumptions about the migration of APTC graduates to higher income countries. This means that economic returns could be increased by efforts to facilitate the migration of graduates to Australia and other high-income economies. Another way to increase APTC’s ERR is to target the replacement of </w:t>
      </w:r>
      <w:r w:rsidR="004811AA">
        <w:rPr>
          <w:rFonts w:cs="Arial"/>
        </w:rPr>
        <w:br/>
      </w:r>
      <w:r w:rsidRPr="00E12183">
        <w:rPr>
          <w:rFonts w:cs="Arial"/>
        </w:rPr>
        <w:t xml:space="preserve">non-Pacific foreigners working in the region. </w:t>
      </w:r>
    </w:p>
    <w:p w14:paraId="5CF3125F" w14:textId="3C2EEA01" w:rsidR="00EF59E3" w:rsidRPr="00E12183" w:rsidRDefault="004811AA" w:rsidP="00CA1D7C">
      <w:pPr>
        <w:pStyle w:val="Heading3"/>
        <w:numPr>
          <w:ilvl w:val="0"/>
          <w:numId w:val="0"/>
        </w:numPr>
      </w:pPr>
      <w:bookmarkStart w:id="17" w:name="_Toc274832652"/>
      <w:bookmarkStart w:id="18" w:name="_Toc278710494"/>
      <w:r>
        <w:t>F</w:t>
      </w:r>
      <w:r w:rsidR="00BD01F2" w:rsidRPr="00E12183">
        <w:t xml:space="preserve">uture </w:t>
      </w:r>
      <w:r w:rsidR="00EF59E3" w:rsidRPr="00E12183">
        <w:t xml:space="preserve">of </w:t>
      </w:r>
      <w:r>
        <w:t xml:space="preserve">the </w:t>
      </w:r>
      <w:r w:rsidR="00EF59E3" w:rsidRPr="00E12183">
        <w:t>APTC</w:t>
      </w:r>
      <w:bookmarkEnd w:id="17"/>
      <w:r w:rsidR="00A552FB">
        <w:t>: Chapter 6</w:t>
      </w:r>
      <w:bookmarkEnd w:id="18"/>
      <w:r w:rsidR="0056119E">
        <w:t xml:space="preserve"> </w:t>
      </w:r>
    </w:p>
    <w:p w14:paraId="7414B52E" w14:textId="7F80E8D4" w:rsidR="00EF59E3" w:rsidRPr="00E12183" w:rsidRDefault="00591611" w:rsidP="00EF59E3">
      <w:pPr>
        <w:rPr>
          <w:rFonts w:cs="Arial"/>
        </w:rPr>
      </w:pPr>
      <w:r>
        <w:rPr>
          <w:rFonts w:cs="Arial"/>
        </w:rPr>
        <w:t xml:space="preserve">Chapter 6 discusses options for APTC’s future. </w:t>
      </w:r>
      <w:r w:rsidR="00E42E88">
        <w:rPr>
          <w:rFonts w:cs="Arial"/>
        </w:rPr>
        <w:t xml:space="preserve">While </w:t>
      </w:r>
      <w:r w:rsidR="00EF59E3" w:rsidRPr="00E12183">
        <w:rPr>
          <w:rFonts w:cs="Arial"/>
        </w:rPr>
        <w:t>APTC’s provision of high-quality training will likely continue to be valued in the region, local ownership needs to be created. APTC is regarded as a foreign institution. Moreover, to remain relevant to Pacific skills</w:t>
      </w:r>
      <w:r w:rsidR="00DE3CF8">
        <w:rPr>
          <w:rFonts w:cs="Arial"/>
        </w:rPr>
        <w:t xml:space="preserve"> needs</w:t>
      </w:r>
      <w:r w:rsidR="00E376D9">
        <w:rPr>
          <w:rFonts w:cs="Arial"/>
        </w:rPr>
        <w:t>,</w:t>
      </w:r>
      <w:r w:rsidR="00EF59E3" w:rsidRPr="00E12183">
        <w:rPr>
          <w:rFonts w:cs="Arial"/>
        </w:rPr>
        <w:t xml:space="preserve"> APTC needs to identify new sources of economic demand for training. </w:t>
      </w:r>
    </w:p>
    <w:p w14:paraId="59778A6A" w14:textId="1645225E" w:rsidR="00EF59E3" w:rsidRPr="00E12183" w:rsidRDefault="00EF59E3" w:rsidP="00EF59E3">
      <w:pPr>
        <w:rPr>
          <w:rFonts w:cs="Arial"/>
        </w:rPr>
      </w:pPr>
      <w:r w:rsidRPr="00E12183">
        <w:rPr>
          <w:rFonts w:cs="Arial"/>
        </w:rPr>
        <w:t xml:space="preserve">The current model is not sustainable in the long term. APTC as presently structured is likely to depend indefinitely on substantial Australian financial assistance. In any extension of DFAT funding, it will be important to implement substantial measures to reduce unit costs and to significantly </w:t>
      </w:r>
      <w:r w:rsidR="004811AA" w:rsidRPr="00E12183">
        <w:rPr>
          <w:rFonts w:cs="Arial"/>
        </w:rPr>
        <w:t xml:space="preserve">diversify </w:t>
      </w:r>
      <w:r w:rsidRPr="00E12183">
        <w:rPr>
          <w:rFonts w:cs="Arial"/>
        </w:rPr>
        <w:t>sources of funding</w:t>
      </w:r>
      <w:r w:rsidR="0012085E">
        <w:rPr>
          <w:rFonts w:cs="Arial"/>
        </w:rPr>
        <w:t>.</w:t>
      </w:r>
    </w:p>
    <w:p w14:paraId="753E01AB" w14:textId="0F364CF4" w:rsidR="00C82A0A" w:rsidRDefault="00EF59E3" w:rsidP="00F4695C">
      <w:pPr>
        <w:rPr>
          <w:rFonts w:cs="Arial"/>
        </w:rPr>
      </w:pPr>
      <w:r w:rsidRPr="00E12183">
        <w:rPr>
          <w:rFonts w:cs="Arial"/>
        </w:rPr>
        <w:t>APTC fits well with the new Australian policy on aid</w:t>
      </w:r>
      <w:r w:rsidRPr="00E12183">
        <w:rPr>
          <w:rFonts w:cs="Arial"/>
          <w:vertAlign w:val="superscript"/>
        </w:rPr>
        <w:footnoteReference w:id="2"/>
      </w:r>
      <w:r w:rsidRPr="00E12183">
        <w:rPr>
          <w:rFonts w:cs="Arial"/>
        </w:rPr>
        <w:t xml:space="preserve"> from both geographic and sectoral perspectives. </w:t>
      </w:r>
      <w:r w:rsidR="0012085E">
        <w:rPr>
          <w:rFonts w:cs="Arial"/>
        </w:rPr>
        <w:t>The e</w:t>
      </w:r>
      <w:r w:rsidR="0012085E" w:rsidRPr="00E12183">
        <w:rPr>
          <w:rFonts w:cs="Arial"/>
        </w:rPr>
        <w:t xml:space="preserve">ducation </w:t>
      </w:r>
      <w:r w:rsidRPr="00E12183">
        <w:rPr>
          <w:rFonts w:cs="Arial"/>
        </w:rPr>
        <w:t xml:space="preserve">and health </w:t>
      </w:r>
      <w:r w:rsidR="0012085E">
        <w:rPr>
          <w:rFonts w:cs="Arial"/>
        </w:rPr>
        <w:t xml:space="preserve">sector </w:t>
      </w:r>
      <w:r w:rsidRPr="00E12183">
        <w:rPr>
          <w:rFonts w:cs="Arial"/>
        </w:rPr>
        <w:t xml:space="preserve">is one of the six priorities for investment. TVET is explicitly included among the five education priorities. Useful lessons from past experience would enable APTC performance to continue improving. </w:t>
      </w:r>
    </w:p>
    <w:p w14:paraId="2EE7C5BA" w14:textId="3132DDA5" w:rsidR="00EF59E3" w:rsidRPr="00E12183" w:rsidRDefault="00EF59E3" w:rsidP="00EF59E3">
      <w:pPr>
        <w:rPr>
          <w:rFonts w:eastAsia="Calibri" w:cs="Arial"/>
        </w:rPr>
      </w:pPr>
      <w:r w:rsidRPr="00E12183">
        <w:rPr>
          <w:rFonts w:cs="Arial"/>
        </w:rPr>
        <w:t xml:space="preserve">The review identified seven long-term options for APTC, ranging from a variation on the status quo to a College owned by Pacific governments or the integration of APTC campuses with national training institutions when they are ready. </w:t>
      </w:r>
      <w:r w:rsidRPr="00E12183">
        <w:rPr>
          <w:rFonts w:eastAsia="Calibri" w:cs="Arial"/>
        </w:rPr>
        <w:t xml:space="preserve">The alternatives should be analysed further to create a long-term vision and plan for APTC. </w:t>
      </w:r>
    </w:p>
    <w:p w14:paraId="706F2850" w14:textId="12E5499A" w:rsidR="00CA6F37" w:rsidRDefault="007D2506" w:rsidP="00CA1D7C">
      <w:pPr>
        <w:pStyle w:val="Heading3"/>
        <w:numPr>
          <w:ilvl w:val="0"/>
          <w:numId w:val="0"/>
        </w:numPr>
      </w:pPr>
      <w:bookmarkStart w:id="19" w:name="_Toc274832653"/>
      <w:bookmarkStart w:id="20" w:name="_Toc278710495"/>
      <w:r w:rsidRPr="007D2506">
        <w:t>Recommendations</w:t>
      </w:r>
      <w:bookmarkEnd w:id="19"/>
      <w:r w:rsidR="0066609B">
        <w:t>: Chapter 7</w:t>
      </w:r>
      <w:bookmarkEnd w:id="20"/>
      <w:r w:rsidRPr="007D2506">
        <w:t xml:space="preserve"> </w:t>
      </w:r>
    </w:p>
    <w:p w14:paraId="002E7573" w14:textId="6976CA75" w:rsidR="00817D44" w:rsidRDefault="007D5019">
      <w:r>
        <w:t xml:space="preserve">Chapter 7 provides a list of the review’s 23 recommendations by area. The following table shows the recommendations linked to each major issue facing APTC. </w:t>
      </w:r>
      <w:r w:rsidR="00001EC3">
        <w:br/>
      </w:r>
    </w:p>
    <w:p w14:paraId="599E6B4E" w14:textId="77777777" w:rsidR="00001EC3" w:rsidRPr="00ED1357" w:rsidRDefault="00001EC3" w:rsidP="00DF7C96">
      <w:pPr>
        <w:spacing w:after="0"/>
        <w:rPr>
          <w:sz w:val="6"/>
        </w:rPr>
      </w:pPr>
    </w:p>
    <w:tbl>
      <w:tblPr>
        <w:tblStyle w:val="TableGrid1"/>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6443"/>
      </w:tblGrid>
      <w:tr w:rsidR="00001EC3" w:rsidRPr="00CA6F37" w14:paraId="57635ED2" w14:textId="77777777" w:rsidTr="00817D44">
        <w:tc>
          <w:tcPr>
            <w:tcW w:w="1779" w:type="dxa"/>
            <w:shd w:val="clear" w:color="auto" w:fill="C5E0B3" w:themeFill="accent6" w:themeFillTint="66"/>
          </w:tcPr>
          <w:p w14:paraId="115C761A" w14:textId="77777777" w:rsidR="00001EC3" w:rsidRPr="00CA6F37" w:rsidRDefault="00001EC3" w:rsidP="006C69F0">
            <w:pPr>
              <w:spacing w:before="40" w:after="40"/>
              <w:rPr>
                <w:rFonts w:eastAsia="Calibri" w:cs="Arial"/>
                <w:b/>
                <w:sz w:val="18"/>
                <w:szCs w:val="20"/>
                <w:lang w:val="en-AU"/>
              </w:rPr>
            </w:pPr>
            <w:r w:rsidRPr="00CA6F37">
              <w:rPr>
                <w:rFonts w:eastAsia="Calibri" w:cs="Arial"/>
                <w:b/>
                <w:sz w:val="18"/>
                <w:szCs w:val="20"/>
                <w:lang w:val="en-AU"/>
              </w:rPr>
              <w:t>Issue</w:t>
            </w:r>
          </w:p>
        </w:tc>
        <w:tc>
          <w:tcPr>
            <w:tcW w:w="6443" w:type="dxa"/>
            <w:shd w:val="clear" w:color="auto" w:fill="C5E0B3" w:themeFill="accent6" w:themeFillTint="66"/>
          </w:tcPr>
          <w:p w14:paraId="232B8393" w14:textId="77777777" w:rsidR="00001EC3" w:rsidRPr="00CA6F37" w:rsidRDefault="00001EC3" w:rsidP="006C69F0">
            <w:pPr>
              <w:spacing w:before="40" w:after="40"/>
              <w:rPr>
                <w:rFonts w:eastAsia="Calibri" w:cs="Arial"/>
                <w:b/>
                <w:sz w:val="18"/>
                <w:szCs w:val="20"/>
                <w:lang w:val="en-AU"/>
              </w:rPr>
            </w:pPr>
            <w:r w:rsidRPr="00CA6F37">
              <w:rPr>
                <w:rFonts w:eastAsia="Calibri" w:cs="Arial"/>
                <w:b/>
                <w:sz w:val="18"/>
                <w:szCs w:val="20"/>
                <w:lang w:val="en-AU"/>
              </w:rPr>
              <w:t xml:space="preserve">Recommendations </w:t>
            </w:r>
            <w:r w:rsidRPr="00CA6F37">
              <w:rPr>
                <w:rFonts w:eastAsia="Calibri" w:cs="Arial"/>
                <w:sz w:val="18"/>
                <w:szCs w:val="20"/>
                <w:lang w:val="en-AU"/>
              </w:rPr>
              <w:t>(number in bold)</w:t>
            </w:r>
          </w:p>
        </w:tc>
      </w:tr>
      <w:tr w:rsidR="00001EC3" w:rsidRPr="00CA6F37" w14:paraId="1D4C12A1" w14:textId="77777777" w:rsidTr="00817D44">
        <w:trPr>
          <w:trHeight w:val="1410"/>
        </w:trPr>
        <w:tc>
          <w:tcPr>
            <w:tcW w:w="1779" w:type="dxa"/>
            <w:tcBorders>
              <w:bottom w:val="single" w:sz="4" w:space="0" w:color="A8D08D" w:themeColor="accent6" w:themeTint="99"/>
            </w:tcBorders>
          </w:tcPr>
          <w:p w14:paraId="1A398817" w14:textId="77777777"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t>Inadequate identification of labour market requirements and economic impact</w:t>
            </w:r>
          </w:p>
        </w:tc>
        <w:tc>
          <w:tcPr>
            <w:tcW w:w="6443" w:type="dxa"/>
            <w:tcBorders>
              <w:bottom w:val="single" w:sz="4" w:space="0" w:color="A8D08D" w:themeColor="accent6" w:themeTint="99"/>
            </w:tcBorders>
          </w:tcPr>
          <w:p w14:paraId="2C26A01E" w14:textId="77777777" w:rsidR="00001EC3" w:rsidRPr="00CA6F37" w:rsidRDefault="00001EC3" w:rsidP="006C69F0">
            <w:pPr>
              <w:numPr>
                <w:ilvl w:val="0"/>
                <w:numId w:val="6"/>
              </w:numPr>
              <w:spacing w:before="80" w:after="0"/>
              <w:ind w:left="357" w:hanging="357"/>
              <w:rPr>
                <w:rFonts w:eastAsia="Calibri" w:cs="Arial"/>
                <w:sz w:val="18"/>
                <w:szCs w:val="20"/>
                <w:lang w:val="en-AU"/>
              </w:rPr>
            </w:pPr>
            <w:r w:rsidRPr="00CA6F37">
              <w:rPr>
                <w:rFonts w:eastAsia="Calibri" w:cs="Arial"/>
                <w:sz w:val="18"/>
                <w:szCs w:val="20"/>
                <w:lang w:val="en-AU"/>
              </w:rPr>
              <w:t xml:space="preserve">APTC gives priority to identifying economic impact of its activities and outputs </w:t>
            </w:r>
            <w:r w:rsidRPr="00CA6F37">
              <w:rPr>
                <w:rFonts w:eastAsia="Calibri" w:cs="Arial"/>
                <w:b/>
                <w:sz w:val="18"/>
                <w:szCs w:val="20"/>
                <w:lang w:val="en-AU"/>
              </w:rPr>
              <w:t>R18</w:t>
            </w:r>
          </w:p>
          <w:p w14:paraId="60D9567E" w14:textId="51D340B5" w:rsidR="00001EC3" w:rsidRPr="00CA6F37" w:rsidRDefault="00001EC3" w:rsidP="006C69F0">
            <w:pPr>
              <w:numPr>
                <w:ilvl w:val="0"/>
                <w:numId w:val="6"/>
              </w:numPr>
              <w:spacing w:after="0"/>
              <w:contextualSpacing/>
              <w:rPr>
                <w:rFonts w:eastAsia="Calibri" w:cs="Arial"/>
                <w:sz w:val="18"/>
                <w:szCs w:val="20"/>
                <w:lang w:val="en-AU"/>
              </w:rPr>
            </w:pPr>
            <w:r w:rsidRPr="00CA6F37">
              <w:rPr>
                <w:rFonts w:eastAsia="Calibri" w:cs="Arial"/>
                <w:sz w:val="18"/>
                <w:szCs w:val="20"/>
                <w:lang w:val="en-AU"/>
              </w:rPr>
              <w:t xml:space="preserve">DFAT provides sufficient resources </w:t>
            </w:r>
            <w:r w:rsidR="00D25C1B">
              <w:rPr>
                <w:rFonts w:eastAsia="Calibri" w:cs="Arial"/>
                <w:sz w:val="18"/>
                <w:szCs w:val="20"/>
                <w:lang w:val="en-AU"/>
              </w:rPr>
              <w:t xml:space="preserve">to APTC </w:t>
            </w:r>
            <w:r w:rsidRPr="00CA6F37">
              <w:rPr>
                <w:rFonts w:eastAsia="Calibri" w:cs="Arial"/>
                <w:sz w:val="18"/>
                <w:szCs w:val="20"/>
                <w:lang w:val="en-AU"/>
              </w:rPr>
              <w:t xml:space="preserve">for </w:t>
            </w:r>
            <w:r w:rsidR="00D25C1B">
              <w:rPr>
                <w:rFonts w:eastAsia="Calibri" w:cs="Arial"/>
                <w:sz w:val="18"/>
                <w:szCs w:val="20"/>
                <w:lang w:val="en-AU"/>
              </w:rPr>
              <w:t xml:space="preserve">appropriate </w:t>
            </w:r>
            <w:r w:rsidRPr="00CA6F37">
              <w:rPr>
                <w:rFonts w:eastAsia="Calibri" w:cs="Arial"/>
                <w:sz w:val="18"/>
                <w:szCs w:val="20"/>
                <w:lang w:val="en-AU"/>
              </w:rPr>
              <w:t xml:space="preserve">labour market analysis </w:t>
            </w:r>
            <w:r w:rsidR="00D25C1B" w:rsidRPr="00D25C1B">
              <w:rPr>
                <w:rFonts w:eastAsia="Calibri" w:cs="Arial"/>
                <w:sz w:val="18"/>
                <w:szCs w:val="20"/>
                <w:lang w:val="en-AU"/>
              </w:rPr>
              <w:t xml:space="preserve">to enable APTC to inform prospective students, employers and governments of the economic demand for specific qualifications </w:t>
            </w:r>
            <w:r w:rsidR="00ED1357" w:rsidRPr="00CA6F37">
              <w:rPr>
                <w:rFonts w:eastAsia="Calibri" w:cs="Arial"/>
                <w:b/>
                <w:sz w:val="18"/>
                <w:szCs w:val="20"/>
                <w:lang w:val="en-AU"/>
              </w:rPr>
              <w:t>R</w:t>
            </w:r>
            <w:r w:rsidR="00ED1357">
              <w:rPr>
                <w:rFonts w:eastAsia="Calibri" w:cs="Arial"/>
                <w:b/>
                <w:sz w:val="18"/>
                <w:szCs w:val="20"/>
                <w:lang w:val="en-AU"/>
              </w:rPr>
              <w:t>17</w:t>
            </w:r>
            <w:r w:rsidR="00ED1357" w:rsidRPr="00CA6F37">
              <w:rPr>
                <w:rFonts w:eastAsia="Calibri" w:cs="Arial"/>
                <w:b/>
                <w:sz w:val="18"/>
                <w:szCs w:val="20"/>
                <w:lang w:val="en-AU"/>
              </w:rPr>
              <w:t xml:space="preserve"> </w:t>
            </w:r>
          </w:p>
          <w:p w14:paraId="0CD81770" w14:textId="7B4DA906" w:rsidR="00001EC3" w:rsidRPr="00CA6F37" w:rsidRDefault="00001EC3" w:rsidP="006C69F0">
            <w:pPr>
              <w:numPr>
                <w:ilvl w:val="0"/>
                <w:numId w:val="6"/>
              </w:numPr>
              <w:spacing w:after="0"/>
              <w:contextualSpacing/>
              <w:rPr>
                <w:rFonts w:eastAsia="Calibri" w:cs="Arial"/>
                <w:sz w:val="18"/>
                <w:szCs w:val="20"/>
                <w:lang w:val="en-AU"/>
              </w:rPr>
            </w:pPr>
            <w:r w:rsidRPr="00CA6F37">
              <w:rPr>
                <w:rFonts w:eastAsia="Calibri" w:cs="Arial"/>
                <w:sz w:val="18"/>
                <w:szCs w:val="20"/>
                <w:lang w:val="en-AU"/>
              </w:rPr>
              <w:t xml:space="preserve">APTC prioritises graduate tracer studies on outcomes by qualification </w:t>
            </w:r>
            <w:r w:rsidR="00ED1357" w:rsidRPr="00CA6F37">
              <w:rPr>
                <w:rFonts w:eastAsia="Calibri" w:cs="Arial"/>
                <w:b/>
                <w:sz w:val="18"/>
                <w:szCs w:val="20"/>
                <w:lang w:val="en-AU"/>
              </w:rPr>
              <w:t>R</w:t>
            </w:r>
            <w:r w:rsidR="00ED1357">
              <w:rPr>
                <w:rFonts w:eastAsia="Calibri" w:cs="Arial"/>
                <w:b/>
                <w:sz w:val="18"/>
                <w:szCs w:val="20"/>
                <w:lang w:val="en-AU"/>
              </w:rPr>
              <w:t>17</w:t>
            </w:r>
            <w:r w:rsidR="00ED1357" w:rsidRPr="00CA6F37">
              <w:rPr>
                <w:rFonts w:eastAsia="Calibri" w:cs="Arial"/>
                <w:b/>
                <w:sz w:val="18"/>
                <w:szCs w:val="20"/>
                <w:lang w:val="en-AU"/>
              </w:rPr>
              <w:t xml:space="preserve"> </w:t>
            </w:r>
          </w:p>
          <w:p w14:paraId="5907DA3C" w14:textId="6D5A3A4C" w:rsidR="00001EC3" w:rsidRPr="00CA6F37" w:rsidRDefault="00001EC3" w:rsidP="00ED1357">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strengthens employer databases and provides more support for unemployed graduates </w:t>
            </w:r>
            <w:r w:rsidR="00ED1357" w:rsidRPr="00CA6F37">
              <w:rPr>
                <w:rFonts w:eastAsia="Calibri" w:cs="Arial"/>
                <w:b/>
                <w:sz w:val="18"/>
                <w:szCs w:val="20"/>
                <w:lang w:val="en-AU"/>
              </w:rPr>
              <w:t>R</w:t>
            </w:r>
            <w:r w:rsidR="00ED1357">
              <w:rPr>
                <w:rFonts w:eastAsia="Calibri" w:cs="Arial"/>
                <w:b/>
                <w:sz w:val="18"/>
                <w:szCs w:val="20"/>
                <w:lang w:val="en-AU"/>
              </w:rPr>
              <w:t>17</w:t>
            </w:r>
          </w:p>
        </w:tc>
      </w:tr>
    </w:tbl>
    <w:p w14:paraId="7941FAA4" w14:textId="77777777" w:rsidR="00817D44" w:rsidRDefault="00817D44">
      <w:r>
        <w:br w:type="page"/>
      </w:r>
    </w:p>
    <w:tbl>
      <w:tblPr>
        <w:tblStyle w:val="TableGrid1"/>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6443"/>
      </w:tblGrid>
      <w:tr w:rsidR="00001EC3" w:rsidRPr="00CA6F37" w14:paraId="67805B91" w14:textId="77777777" w:rsidTr="00817D44">
        <w:tc>
          <w:tcPr>
            <w:tcW w:w="1779" w:type="dxa"/>
            <w:shd w:val="clear" w:color="auto" w:fill="E2EFD9" w:themeFill="accent6" w:themeFillTint="33"/>
          </w:tcPr>
          <w:p w14:paraId="0A73745F" w14:textId="34C4B434"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lastRenderedPageBreak/>
              <w:t>Lack of labour mobility among APTC graduates</w:t>
            </w:r>
          </w:p>
        </w:tc>
        <w:tc>
          <w:tcPr>
            <w:tcW w:w="6443" w:type="dxa"/>
            <w:shd w:val="clear" w:color="auto" w:fill="E2EFD9" w:themeFill="accent6" w:themeFillTint="33"/>
          </w:tcPr>
          <w:p w14:paraId="0A4417BD" w14:textId="397B5DD6" w:rsidR="00001EC3" w:rsidRPr="00CA6F37" w:rsidRDefault="00001EC3" w:rsidP="006C69F0">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DFAT clarifies its expectations of APTC on labour mobility</w:t>
            </w:r>
            <w:r w:rsidRPr="00CA6F37">
              <w:rPr>
                <w:rFonts w:eastAsia="Calibri" w:cs="Arial"/>
                <w:sz w:val="18"/>
                <w:lang w:val="en-AU"/>
              </w:rPr>
              <w:t xml:space="preserve"> </w:t>
            </w:r>
            <w:r w:rsidRPr="00CA6F37">
              <w:rPr>
                <w:rFonts w:eastAsia="Calibri" w:cs="Arial"/>
                <w:sz w:val="18"/>
                <w:szCs w:val="20"/>
                <w:lang w:val="en-AU"/>
              </w:rPr>
              <w:t xml:space="preserve">and engages with Australian immigration authorities to reach a coordinated approach to promoting labour mobility in the Pacific </w:t>
            </w:r>
            <w:r w:rsidRPr="00CA6F37">
              <w:rPr>
                <w:rFonts w:eastAsia="Calibri" w:cs="Arial"/>
                <w:b/>
                <w:sz w:val="18"/>
                <w:szCs w:val="20"/>
                <w:lang w:val="en-AU"/>
              </w:rPr>
              <w:t>R1</w:t>
            </w:r>
            <w:r w:rsidR="00ED1357">
              <w:rPr>
                <w:rFonts w:eastAsia="Calibri" w:cs="Arial"/>
                <w:b/>
                <w:sz w:val="18"/>
                <w:szCs w:val="20"/>
                <w:lang w:val="en-AU"/>
              </w:rPr>
              <w:t>1</w:t>
            </w:r>
          </w:p>
          <w:p w14:paraId="714F5C1D" w14:textId="4CCBA7B1"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information to students and graduates about migration processes, requirements and costs, including eligible qualifications </w:t>
            </w:r>
            <w:r w:rsidRPr="00CA6F37">
              <w:rPr>
                <w:rFonts w:eastAsia="Calibri" w:cs="Arial"/>
                <w:b/>
                <w:sz w:val="18"/>
                <w:szCs w:val="20"/>
                <w:lang w:val="en-AU"/>
              </w:rPr>
              <w:t>R1</w:t>
            </w:r>
            <w:r w:rsidR="00ED1357">
              <w:rPr>
                <w:rFonts w:eastAsia="Calibri" w:cs="Arial"/>
                <w:b/>
                <w:sz w:val="18"/>
                <w:szCs w:val="20"/>
                <w:lang w:val="en-AU"/>
              </w:rPr>
              <w:t>2</w:t>
            </w:r>
          </w:p>
          <w:p w14:paraId="0C8DB60E" w14:textId="3BED200C"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support to students/graduates wishing to migrate, in part through language testing </w:t>
            </w:r>
            <w:r w:rsidRPr="00CA6F37">
              <w:rPr>
                <w:rFonts w:eastAsia="Calibri" w:cs="Arial"/>
                <w:b/>
                <w:sz w:val="18"/>
                <w:szCs w:val="20"/>
                <w:lang w:val="en-AU"/>
              </w:rPr>
              <w:t>R1</w:t>
            </w:r>
            <w:r w:rsidR="00ED1357">
              <w:rPr>
                <w:rFonts w:eastAsia="Calibri" w:cs="Arial"/>
                <w:b/>
                <w:sz w:val="18"/>
                <w:szCs w:val="20"/>
                <w:lang w:val="en-AU"/>
              </w:rPr>
              <w:t>3</w:t>
            </w:r>
          </w:p>
          <w:p w14:paraId="338DF1C2" w14:textId="12F331AC"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links with employers in Australia and New Zealand </w:t>
            </w:r>
            <w:r w:rsidRPr="00CA6F37">
              <w:rPr>
                <w:rFonts w:eastAsia="Calibri" w:cs="Arial"/>
                <w:b/>
                <w:sz w:val="18"/>
                <w:szCs w:val="20"/>
                <w:lang w:val="en-AU"/>
              </w:rPr>
              <w:t>R1</w:t>
            </w:r>
            <w:r w:rsidR="00ED1357">
              <w:rPr>
                <w:rFonts w:eastAsia="Calibri" w:cs="Arial"/>
                <w:b/>
                <w:sz w:val="18"/>
                <w:szCs w:val="20"/>
                <w:lang w:val="en-AU"/>
              </w:rPr>
              <w:t>4</w:t>
            </w:r>
          </w:p>
        </w:tc>
      </w:tr>
      <w:tr w:rsidR="00001EC3" w:rsidRPr="00CA6F37" w14:paraId="66E181AF" w14:textId="77777777" w:rsidTr="00817D44">
        <w:trPr>
          <w:trHeight w:val="347"/>
        </w:trPr>
        <w:tc>
          <w:tcPr>
            <w:tcW w:w="1779" w:type="dxa"/>
          </w:tcPr>
          <w:p w14:paraId="4245BD71" w14:textId="77777777"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t xml:space="preserve">Geographical inequities </w:t>
            </w:r>
          </w:p>
        </w:tc>
        <w:tc>
          <w:tcPr>
            <w:tcW w:w="6443" w:type="dxa"/>
          </w:tcPr>
          <w:p w14:paraId="088163E2" w14:textId="16C547A3" w:rsidR="00001EC3" w:rsidRPr="00CA6F37" w:rsidRDefault="00001EC3" w:rsidP="006C69F0">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 xml:space="preserve">APTC creates more training places for PNG and Solomon Islands nationals </w:t>
            </w:r>
            <w:r w:rsidRPr="00CA6F37">
              <w:rPr>
                <w:rFonts w:eastAsia="Calibri" w:cs="Arial"/>
                <w:b/>
                <w:sz w:val="18"/>
                <w:szCs w:val="20"/>
                <w:lang w:val="en-AU"/>
              </w:rPr>
              <w:t>R1</w:t>
            </w:r>
            <w:r w:rsidR="00ED1357">
              <w:rPr>
                <w:rFonts w:eastAsia="Calibri" w:cs="Arial"/>
                <w:b/>
                <w:sz w:val="18"/>
                <w:szCs w:val="20"/>
                <w:lang w:val="en-AU"/>
              </w:rPr>
              <w:t>0</w:t>
            </w:r>
          </w:p>
        </w:tc>
      </w:tr>
      <w:tr w:rsidR="00001EC3" w:rsidRPr="00CA6F37" w14:paraId="6E94BFFD" w14:textId="77777777" w:rsidTr="00817D44">
        <w:tc>
          <w:tcPr>
            <w:tcW w:w="1779" w:type="dxa"/>
            <w:shd w:val="clear" w:color="auto" w:fill="E2EFD9" w:themeFill="accent6" w:themeFillTint="33"/>
          </w:tcPr>
          <w:p w14:paraId="7438F355" w14:textId="77777777"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t xml:space="preserve">Weak strategic planning regionally and by campus country </w:t>
            </w:r>
          </w:p>
        </w:tc>
        <w:tc>
          <w:tcPr>
            <w:tcW w:w="6443" w:type="dxa"/>
            <w:shd w:val="clear" w:color="auto" w:fill="E2EFD9" w:themeFill="accent6" w:themeFillTint="33"/>
          </w:tcPr>
          <w:p w14:paraId="47DBFF23" w14:textId="77777777" w:rsidR="00001EC3" w:rsidRPr="00CA6F37" w:rsidRDefault="00001EC3" w:rsidP="006C69F0">
            <w:pPr>
              <w:numPr>
                <w:ilvl w:val="0"/>
                <w:numId w:val="4"/>
              </w:numPr>
              <w:spacing w:before="80" w:after="0"/>
              <w:ind w:left="357" w:hanging="357"/>
              <w:rPr>
                <w:rFonts w:eastAsia="Calibri" w:cs="Arial"/>
                <w:sz w:val="18"/>
                <w:szCs w:val="20"/>
                <w:lang w:val="en-AU"/>
              </w:rPr>
            </w:pPr>
            <w:r w:rsidRPr="00CA6F37">
              <w:rPr>
                <w:rFonts w:eastAsia="Calibri" w:cs="Arial"/>
                <w:sz w:val="18"/>
                <w:szCs w:val="20"/>
                <w:lang w:val="en-AU"/>
              </w:rPr>
              <w:t xml:space="preserve">DFAT consults with stakeholders on a regional TVET strategy and defines its long-range vision and strategy for APTC </w:t>
            </w:r>
            <w:r w:rsidRPr="00CA6F37">
              <w:rPr>
                <w:rFonts w:eastAsia="Calibri" w:cs="Arial"/>
                <w:b/>
                <w:sz w:val="18"/>
                <w:szCs w:val="20"/>
                <w:lang w:val="en-AU"/>
              </w:rPr>
              <w:t>R1</w:t>
            </w:r>
          </w:p>
          <w:p w14:paraId="5DD7B3E9" w14:textId="2959FBE0" w:rsidR="00001EC3" w:rsidRPr="00CA6F37" w:rsidRDefault="00001EC3" w:rsidP="006C69F0">
            <w:pPr>
              <w:numPr>
                <w:ilvl w:val="0"/>
                <w:numId w:val="4"/>
              </w:numPr>
              <w:spacing w:after="0"/>
              <w:contextualSpacing/>
              <w:rPr>
                <w:rFonts w:eastAsia="Calibri" w:cs="Arial"/>
                <w:sz w:val="18"/>
                <w:szCs w:val="20"/>
                <w:lang w:val="en-AU"/>
              </w:rPr>
            </w:pPr>
            <w:r w:rsidRPr="00CA6F37">
              <w:rPr>
                <w:rFonts w:eastAsia="Calibri" w:cs="Arial"/>
                <w:sz w:val="18"/>
                <w:szCs w:val="20"/>
                <w:lang w:val="en-AU"/>
              </w:rPr>
              <w:t xml:space="preserve">DFAT assesses the economic demand for skills as part of the regional strategy </w:t>
            </w:r>
            <w:r w:rsidR="00742BBC" w:rsidRPr="00CA6F37">
              <w:rPr>
                <w:rFonts w:eastAsia="Calibri" w:cs="Arial"/>
                <w:b/>
                <w:sz w:val="18"/>
                <w:szCs w:val="20"/>
                <w:lang w:val="en-AU"/>
              </w:rPr>
              <w:t>R</w:t>
            </w:r>
            <w:r w:rsidR="00742BBC">
              <w:rPr>
                <w:rFonts w:eastAsia="Calibri" w:cs="Arial"/>
                <w:b/>
                <w:sz w:val="18"/>
                <w:szCs w:val="20"/>
                <w:lang w:val="en-AU"/>
              </w:rPr>
              <w:t>21</w:t>
            </w:r>
          </w:p>
          <w:p w14:paraId="371DD573" w14:textId="77777777"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prepares country-specific strategic plans </w:t>
            </w:r>
            <w:r w:rsidRPr="00CA6F37">
              <w:rPr>
                <w:rFonts w:eastAsia="Calibri" w:cs="Arial"/>
                <w:b/>
                <w:sz w:val="18"/>
                <w:szCs w:val="20"/>
                <w:lang w:val="en-AU"/>
              </w:rPr>
              <w:t>R2</w:t>
            </w:r>
          </w:p>
          <w:p w14:paraId="0E927486" w14:textId="7C209B09"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DFAT establishes Country Consultative Forums </w:t>
            </w:r>
            <w:r w:rsidRPr="00CA6F37">
              <w:rPr>
                <w:rFonts w:eastAsia="Calibri" w:cs="Arial"/>
                <w:b/>
                <w:sz w:val="18"/>
                <w:szCs w:val="20"/>
                <w:lang w:val="en-AU"/>
              </w:rPr>
              <w:t>R</w:t>
            </w:r>
            <w:r w:rsidR="00742BBC">
              <w:rPr>
                <w:rFonts w:eastAsia="Calibri" w:cs="Arial"/>
                <w:b/>
                <w:sz w:val="18"/>
                <w:szCs w:val="20"/>
                <w:lang w:val="en-AU"/>
              </w:rPr>
              <w:t>8</w:t>
            </w:r>
          </w:p>
          <w:p w14:paraId="238CE0B2" w14:textId="0EEA88C7" w:rsidR="00001EC3" w:rsidRPr="00CA6F37" w:rsidRDefault="00001EC3" w:rsidP="00F06FF3">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DFAT draws regional forum members from </w:t>
            </w:r>
            <w:r w:rsidR="00F06FF3">
              <w:rPr>
                <w:rFonts w:eastAsia="Calibri" w:cs="Arial"/>
                <w:sz w:val="18"/>
                <w:szCs w:val="20"/>
                <w:lang w:val="en-AU"/>
              </w:rPr>
              <w:t>the C</w:t>
            </w:r>
            <w:r w:rsidR="00F06FF3" w:rsidRPr="00CA6F37">
              <w:rPr>
                <w:rFonts w:eastAsia="Calibri" w:cs="Arial"/>
                <w:sz w:val="18"/>
                <w:szCs w:val="20"/>
                <w:lang w:val="en-AU"/>
              </w:rPr>
              <w:t xml:space="preserve">ountry </w:t>
            </w:r>
            <w:r w:rsidR="00F06FF3">
              <w:rPr>
                <w:rFonts w:eastAsia="Calibri" w:cs="Arial"/>
                <w:sz w:val="18"/>
                <w:szCs w:val="20"/>
                <w:lang w:val="en-AU"/>
              </w:rPr>
              <w:t>F</w:t>
            </w:r>
            <w:r w:rsidR="00F06FF3" w:rsidRPr="00CA6F37">
              <w:rPr>
                <w:rFonts w:eastAsia="Calibri" w:cs="Arial"/>
                <w:sz w:val="18"/>
                <w:szCs w:val="20"/>
                <w:lang w:val="en-AU"/>
              </w:rPr>
              <w:t xml:space="preserve">orums </w:t>
            </w:r>
            <w:r w:rsidR="006C69F0" w:rsidRPr="00CA6F37">
              <w:rPr>
                <w:rFonts w:eastAsia="Calibri" w:cs="Arial"/>
                <w:b/>
                <w:sz w:val="18"/>
                <w:szCs w:val="20"/>
                <w:lang w:val="en-AU"/>
              </w:rPr>
              <w:t>R</w:t>
            </w:r>
            <w:r w:rsidR="006C69F0">
              <w:rPr>
                <w:rFonts w:eastAsia="Calibri" w:cs="Arial"/>
                <w:b/>
                <w:sz w:val="18"/>
                <w:szCs w:val="20"/>
                <w:lang w:val="en-AU"/>
              </w:rPr>
              <w:t>8</w:t>
            </w:r>
          </w:p>
        </w:tc>
      </w:tr>
      <w:tr w:rsidR="00001EC3" w:rsidRPr="00CA6F37" w14:paraId="25D7C086" w14:textId="77777777" w:rsidTr="00817D44">
        <w:tc>
          <w:tcPr>
            <w:tcW w:w="1779" w:type="dxa"/>
          </w:tcPr>
          <w:p w14:paraId="5B963702" w14:textId="77777777"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t>Organisational inefficiencies</w:t>
            </w:r>
          </w:p>
        </w:tc>
        <w:tc>
          <w:tcPr>
            <w:tcW w:w="6443" w:type="dxa"/>
          </w:tcPr>
          <w:p w14:paraId="2CC9295C" w14:textId="568E018C" w:rsidR="00001EC3" w:rsidRPr="00CA6F37" w:rsidRDefault="00001EC3" w:rsidP="006C69F0">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DFAT contracts with a single RTO to</w:t>
            </w:r>
            <w:r w:rsidRPr="00CA6F37">
              <w:rPr>
                <w:rFonts w:eastAsia="Calibri" w:cs="Arial"/>
                <w:sz w:val="18"/>
                <w:szCs w:val="20"/>
              </w:rPr>
              <w:t xml:space="preserve"> implement a single set of educational policies, procedures and processes and separates the administrative/</w:t>
            </w:r>
            <w:r>
              <w:rPr>
                <w:rFonts w:eastAsia="Calibri" w:cs="Arial"/>
                <w:sz w:val="18"/>
                <w:szCs w:val="20"/>
              </w:rPr>
              <w:t xml:space="preserve"> </w:t>
            </w:r>
            <w:r w:rsidRPr="00CA6F37">
              <w:rPr>
                <w:rFonts w:eastAsia="Calibri" w:cs="Arial"/>
                <w:sz w:val="18"/>
                <w:szCs w:val="20"/>
              </w:rPr>
              <w:t>employment function from the education function</w:t>
            </w:r>
            <w:r w:rsidRPr="00CA6F37">
              <w:rPr>
                <w:rFonts w:eastAsia="Calibri" w:cs="Arial"/>
                <w:sz w:val="18"/>
                <w:szCs w:val="20"/>
                <w:lang w:val="en-AU"/>
              </w:rPr>
              <w:t xml:space="preserve"> </w:t>
            </w:r>
            <w:r w:rsidRPr="00CA6F37">
              <w:rPr>
                <w:rFonts w:eastAsia="Calibri" w:cs="Arial"/>
                <w:b/>
                <w:sz w:val="18"/>
                <w:szCs w:val="20"/>
                <w:lang w:val="en-AU"/>
              </w:rPr>
              <w:t>R3</w:t>
            </w:r>
          </w:p>
          <w:p w14:paraId="3C447BE6" w14:textId="20DE4E19"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strengthens the authority of the CEO and country managers </w:t>
            </w:r>
            <w:r w:rsidRPr="00CA6F37">
              <w:rPr>
                <w:rFonts w:eastAsia="Calibri" w:cs="Arial"/>
                <w:b/>
                <w:sz w:val="18"/>
                <w:szCs w:val="20"/>
                <w:lang w:val="en-AU"/>
              </w:rPr>
              <w:t>R</w:t>
            </w:r>
            <w:r w:rsidR="00742BBC">
              <w:rPr>
                <w:rFonts w:eastAsia="Calibri" w:cs="Arial"/>
                <w:b/>
                <w:sz w:val="18"/>
                <w:szCs w:val="20"/>
                <w:lang w:val="en-AU"/>
              </w:rPr>
              <w:t>4</w:t>
            </w:r>
          </w:p>
          <w:p w14:paraId="2A51F95A" w14:textId="0B66E0B0" w:rsidR="00001EC3" w:rsidRPr="00CA6F37" w:rsidRDefault="00001EC3" w:rsidP="006C69F0">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rationalises the organisational structure and locations to eliminate duplications </w:t>
            </w:r>
            <w:r w:rsidRPr="00CA6F37">
              <w:rPr>
                <w:rFonts w:eastAsia="Calibri" w:cs="Arial"/>
                <w:b/>
                <w:sz w:val="18"/>
                <w:szCs w:val="20"/>
                <w:lang w:val="en-AU"/>
              </w:rPr>
              <w:t>R</w:t>
            </w:r>
            <w:r w:rsidR="00742BBC">
              <w:rPr>
                <w:rFonts w:eastAsia="Calibri" w:cs="Arial"/>
                <w:b/>
                <w:sz w:val="18"/>
                <w:szCs w:val="20"/>
                <w:lang w:val="en-AU"/>
              </w:rPr>
              <w:t>5</w:t>
            </w:r>
          </w:p>
        </w:tc>
      </w:tr>
      <w:tr w:rsidR="00001EC3" w:rsidRPr="00CA6F37" w14:paraId="27F2DB19" w14:textId="77777777" w:rsidTr="00817D44">
        <w:tc>
          <w:tcPr>
            <w:tcW w:w="1779" w:type="dxa"/>
            <w:shd w:val="clear" w:color="auto" w:fill="E2EFD9" w:themeFill="accent6" w:themeFillTint="33"/>
          </w:tcPr>
          <w:p w14:paraId="61018B73" w14:textId="77777777" w:rsidR="00001EC3" w:rsidRPr="004838AC" w:rsidRDefault="00001EC3" w:rsidP="006C69F0">
            <w:pPr>
              <w:spacing w:before="80" w:after="80"/>
              <w:rPr>
                <w:rFonts w:eastAsia="Calibri" w:cs="Arial"/>
                <w:b/>
                <w:sz w:val="18"/>
                <w:szCs w:val="20"/>
                <w:lang w:val="en-AU"/>
              </w:rPr>
            </w:pPr>
            <w:r w:rsidRPr="004838AC">
              <w:rPr>
                <w:rFonts w:eastAsia="Calibri" w:cs="Arial"/>
                <w:b/>
                <w:sz w:val="18"/>
                <w:szCs w:val="20"/>
              </w:rPr>
              <w:t>High unit costs</w:t>
            </w:r>
          </w:p>
          <w:p w14:paraId="134FB284" w14:textId="77777777" w:rsidR="00001EC3" w:rsidRPr="004838AC" w:rsidRDefault="00001EC3" w:rsidP="006C69F0">
            <w:pPr>
              <w:spacing w:before="80" w:after="80"/>
              <w:rPr>
                <w:rFonts w:eastAsia="Calibri" w:cs="Arial"/>
                <w:b/>
                <w:sz w:val="18"/>
                <w:szCs w:val="20"/>
                <w:lang w:val="en-AU"/>
              </w:rPr>
            </w:pPr>
          </w:p>
        </w:tc>
        <w:tc>
          <w:tcPr>
            <w:tcW w:w="6443" w:type="dxa"/>
            <w:shd w:val="clear" w:color="auto" w:fill="E2EFD9" w:themeFill="accent6" w:themeFillTint="33"/>
          </w:tcPr>
          <w:p w14:paraId="7087E1EB" w14:textId="174B7B6A" w:rsidR="00001EC3" w:rsidRPr="00CA6F37" w:rsidRDefault="000379DD" w:rsidP="009C76A7">
            <w:pPr>
              <w:spacing w:before="80" w:after="0"/>
              <w:rPr>
                <w:rFonts w:eastAsia="Calibri" w:cs="Arial"/>
                <w:sz w:val="18"/>
                <w:szCs w:val="20"/>
                <w:lang w:val="en-AU"/>
              </w:rPr>
            </w:pPr>
            <w:r w:rsidRPr="00CA6F37">
              <w:rPr>
                <w:rFonts w:eastAsia="Calibri" w:cs="Arial"/>
                <w:sz w:val="18"/>
                <w:szCs w:val="20"/>
                <w:lang w:val="en-AU"/>
              </w:rPr>
              <w:t xml:space="preserve">APTC intensifies efforts, in addition to </w:t>
            </w:r>
            <w:r w:rsidRPr="00CA6F37">
              <w:rPr>
                <w:rFonts w:eastAsia="Calibri" w:cs="Arial"/>
                <w:b/>
                <w:sz w:val="18"/>
                <w:szCs w:val="20"/>
                <w:lang w:val="en-AU"/>
              </w:rPr>
              <w:t>R</w:t>
            </w:r>
            <w:r w:rsidR="00742BBC">
              <w:rPr>
                <w:rFonts w:eastAsia="Calibri" w:cs="Arial"/>
                <w:b/>
                <w:sz w:val="18"/>
                <w:szCs w:val="20"/>
                <w:lang w:val="en-AU"/>
              </w:rPr>
              <w:t>5</w:t>
            </w:r>
            <w:r w:rsidRPr="00CA6F37">
              <w:rPr>
                <w:rFonts w:eastAsia="Calibri" w:cs="Arial"/>
                <w:sz w:val="18"/>
                <w:szCs w:val="20"/>
                <w:lang w:val="en-AU"/>
              </w:rPr>
              <w:t>, to reduce costs by:</w:t>
            </w:r>
            <w:r w:rsidRPr="00CA6F37">
              <w:rPr>
                <w:rFonts w:eastAsia="Calibri" w:cs="Arial"/>
                <w:b/>
                <w:sz w:val="18"/>
                <w:szCs w:val="20"/>
                <w:lang w:val="en-AU"/>
              </w:rPr>
              <w:t xml:space="preserve"> </w:t>
            </w:r>
            <w:r w:rsidRPr="00CA6F37">
              <w:rPr>
                <w:rFonts w:eastAsia="Calibri" w:cs="Arial"/>
                <w:sz w:val="18"/>
                <w:szCs w:val="20"/>
                <w:lang w:val="en-AU"/>
              </w:rPr>
              <w:t>accelerating nationali</w:t>
            </w:r>
            <w:r>
              <w:rPr>
                <w:rFonts w:eastAsia="Calibri" w:cs="Arial"/>
                <w:sz w:val="18"/>
                <w:szCs w:val="20"/>
                <w:lang w:val="en-AU"/>
              </w:rPr>
              <w:t>s</w:t>
            </w:r>
            <w:r w:rsidRPr="00CA6F37">
              <w:rPr>
                <w:rFonts w:eastAsia="Calibri" w:cs="Arial"/>
                <w:sz w:val="18"/>
                <w:szCs w:val="20"/>
                <w:lang w:val="en-AU"/>
              </w:rPr>
              <w:t>ation of APTC staff</w:t>
            </w:r>
            <w:r w:rsidR="005C173C">
              <w:rPr>
                <w:rFonts w:eastAsia="Calibri" w:cs="Arial"/>
                <w:sz w:val="18"/>
                <w:szCs w:val="20"/>
                <w:lang w:val="en-AU"/>
              </w:rPr>
              <w:t xml:space="preserve">; </w:t>
            </w:r>
            <w:r w:rsidRPr="00CA6F37">
              <w:rPr>
                <w:rFonts w:eastAsia="Calibri" w:cs="Arial"/>
                <w:sz w:val="18"/>
                <w:szCs w:val="20"/>
                <w:lang w:val="en-AU"/>
              </w:rPr>
              <w:t>double</w:t>
            </w:r>
            <w:r w:rsidR="006C69F0">
              <w:rPr>
                <w:rFonts w:eastAsia="Calibri" w:cs="Arial"/>
                <w:sz w:val="18"/>
                <w:szCs w:val="20"/>
                <w:lang w:val="en-AU"/>
              </w:rPr>
              <w:t>-</w:t>
            </w:r>
            <w:r w:rsidRPr="00CA6F37">
              <w:rPr>
                <w:rFonts w:eastAsia="Calibri" w:cs="Arial"/>
                <w:sz w:val="18"/>
                <w:szCs w:val="20"/>
                <w:lang w:val="en-AU"/>
              </w:rPr>
              <w:t>blocking where possible</w:t>
            </w:r>
            <w:r w:rsidR="005C173C">
              <w:rPr>
                <w:rFonts w:eastAsia="Calibri" w:cs="Arial"/>
                <w:sz w:val="18"/>
                <w:szCs w:val="20"/>
                <w:lang w:val="en-AU"/>
              </w:rPr>
              <w:t xml:space="preserve">; and </w:t>
            </w:r>
            <w:r w:rsidRPr="000379DD">
              <w:rPr>
                <w:rFonts w:eastAsia="Calibri" w:cs="Arial"/>
                <w:sz w:val="18"/>
                <w:szCs w:val="20"/>
                <w:lang w:val="en-AU"/>
              </w:rPr>
              <w:t>increasing course specialisation by campus</w:t>
            </w:r>
            <w:r w:rsidRPr="000379DD">
              <w:rPr>
                <w:rFonts w:eastAsia="Calibri" w:cs="Arial"/>
                <w:b/>
                <w:sz w:val="18"/>
                <w:szCs w:val="20"/>
                <w:lang w:val="en-AU"/>
              </w:rPr>
              <w:t xml:space="preserve"> R</w:t>
            </w:r>
            <w:r w:rsidR="00742BBC">
              <w:rPr>
                <w:rFonts w:eastAsia="Calibri" w:cs="Arial"/>
                <w:b/>
                <w:sz w:val="18"/>
                <w:szCs w:val="20"/>
                <w:lang w:val="en-AU"/>
              </w:rPr>
              <w:t>18</w:t>
            </w:r>
            <w:r w:rsidRPr="000379DD">
              <w:rPr>
                <w:rFonts w:eastAsia="Calibri" w:cs="Arial"/>
                <w:sz w:val="18"/>
                <w:szCs w:val="20"/>
                <w:lang w:val="en-AU"/>
              </w:rPr>
              <w:t xml:space="preserve"> </w:t>
            </w:r>
          </w:p>
        </w:tc>
      </w:tr>
      <w:tr w:rsidR="00001EC3" w:rsidRPr="00CA6F37" w14:paraId="57A36687" w14:textId="77777777" w:rsidTr="00817D44">
        <w:tc>
          <w:tcPr>
            <w:tcW w:w="1779" w:type="dxa"/>
            <w:tcBorders>
              <w:bottom w:val="single" w:sz="4" w:space="0" w:color="A8D08D" w:themeColor="accent6" w:themeTint="99"/>
            </w:tcBorders>
          </w:tcPr>
          <w:p w14:paraId="2ACC291F" w14:textId="77777777" w:rsidR="00001EC3" w:rsidRPr="004838AC" w:rsidRDefault="00001EC3" w:rsidP="006C69F0">
            <w:pPr>
              <w:spacing w:before="80" w:after="80"/>
              <w:rPr>
                <w:rFonts w:eastAsia="Calibri" w:cs="Arial"/>
                <w:b/>
                <w:sz w:val="18"/>
                <w:szCs w:val="20"/>
              </w:rPr>
            </w:pPr>
            <w:r w:rsidRPr="004838AC">
              <w:rPr>
                <w:rFonts w:eastAsia="Calibri" w:cs="Arial"/>
                <w:b/>
                <w:sz w:val="18"/>
                <w:szCs w:val="20"/>
              </w:rPr>
              <w:t xml:space="preserve">Low sustainability </w:t>
            </w:r>
          </w:p>
        </w:tc>
        <w:tc>
          <w:tcPr>
            <w:tcW w:w="6443" w:type="dxa"/>
            <w:tcBorders>
              <w:bottom w:val="single" w:sz="4" w:space="0" w:color="A8D08D" w:themeColor="accent6" w:themeTint="99"/>
            </w:tcBorders>
          </w:tcPr>
          <w:p w14:paraId="75525856" w14:textId="09926472" w:rsidR="00001EC3" w:rsidRPr="00CA6F37" w:rsidRDefault="00001EC3" w:rsidP="00532FE2">
            <w:pPr>
              <w:numPr>
                <w:ilvl w:val="0"/>
                <w:numId w:val="32"/>
              </w:numPr>
              <w:spacing w:before="80" w:after="0"/>
              <w:ind w:left="357" w:hanging="357"/>
              <w:rPr>
                <w:rFonts w:eastAsia="Calibri" w:cs="Arial"/>
                <w:sz w:val="18"/>
                <w:szCs w:val="20"/>
              </w:rPr>
            </w:pPr>
            <w:r w:rsidRPr="00CA6F37">
              <w:rPr>
                <w:rFonts w:eastAsia="Calibri" w:cs="Arial"/>
                <w:sz w:val="18"/>
                <w:szCs w:val="20"/>
              </w:rPr>
              <w:t xml:space="preserve">In addition to </w:t>
            </w:r>
            <w:r w:rsidR="00742BBC" w:rsidRPr="00CA6F37">
              <w:rPr>
                <w:rFonts w:eastAsia="Calibri" w:cs="Arial"/>
                <w:b/>
                <w:sz w:val="18"/>
                <w:szCs w:val="20"/>
              </w:rPr>
              <w:t>R</w:t>
            </w:r>
            <w:r w:rsidR="00742BBC">
              <w:rPr>
                <w:rFonts w:eastAsia="Calibri" w:cs="Arial"/>
                <w:b/>
                <w:sz w:val="18"/>
                <w:szCs w:val="20"/>
              </w:rPr>
              <w:t>6</w:t>
            </w:r>
            <w:r w:rsidRPr="00CA6F37">
              <w:rPr>
                <w:rFonts w:eastAsia="Calibri" w:cs="Arial"/>
                <w:sz w:val="18"/>
                <w:szCs w:val="20"/>
              </w:rPr>
              <w:t>, APTC</w:t>
            </w:r>
            <w:r w:rsidRPr="00CA6F37">
              <w:rPr>
                <w:rFonts w:eastAsia="Calibri" w:cs="Arial"/>
                <w:sz w:val="18"/>
                <w:szCs w:val="20"/>
                <w:lang w:val="en-AU"/>
              </w:rPr>
              <w:t xml:space="preserve"> reduces the percentage of students on scholarships </w:t>
            </w:r>
            <w:r w:rsidR="00742BBC" w:rsidRPr="00CA6F37">
              <w:rPr>
                <w:rFonts w:eastAsia="Calibri" w:cs="Arial"/>
                <w:b/>
                <w:sz w:val="18"/>
                <w:szCs w:val="20"/>
                <w:lang w:val="en-AU"/>
              </w:rPr>
              <w:t>R</w:t>
            </w:r>
            <w:r w:rsidR="00742BBC">
              <w:rPr>
                <w:rFonts w:eastAsia="Calibri" w:cs="Arial"/>
                <w:b/>
                <w:sz w:val="18"/>
                <w:szCs w:val="20"/>
                <w:lang w:val="en-AU"/>
              </w:rPr>
              <w:t>18</w:t>
            </w:r>
            <w:r w:rsidR="00742BBC" w:rsidRPr="00CA6F37">
              <w:rPr>
                <w:rFonts w:eastAsia="Calibri" w:cs="Arial"/>
                <w:sz w:val="18"/>
                <w:szCs w:val="20"/>
              </w:rPr>
              <w:t xml:space="preserve"> </w:t>
            </w:r>
          </w:p>
          <w:p w14:paraId="7313BF6B" w14:textId="502422E2" w:rsidR="00001EC3" w:rsidRPr="00CA6F37" w:rsidRDefault="00001EC3" w:rsidP="00532FE2">
            <w:pPr>
              <w:numPr>
                <w:ilvl w:val="0"/>
                <w:numId w:val="32"/>
              </w:numPr>
              <w:spacing w:after="0"/>
              <w:contextualSpacing/>
              <w:rPr>
                <w:rFonts w:eastAsia="Calibri" w:cs="Arial"/>
                <w:sz w:val="18"/>
                <w:szCs w:val="20"/>
              </w:rPr>
            </w:pPr>
            <w:r w:rsidRPr="00CA6F37">
              <w:rPr>
                <w:rFonts w:eastAsia="Calibri" w:cs="Arial"/>
                <w:sz w:val="18"/>
                <w:szCs w:val="20"/>
              </w:rPr>
              <w:t xml:space="preserve">APTC considers introducing student loans </w:t>
            </w:r>
            <w:r w:rsidRPr="00CA6F37">
              <w:rPr>
                <w:rFonts w:eastAsia="Calibri" w:cs="Arial"/>
                <w:b/>
                <w:sz w:val="18"/>
                <w:szCs w:val="20"/>
              </w:rPr>
              <w:t>R</w:t>
            </w:r>
            <w:r w:rsidR="00126869">
              <w:rPr>
                <w:rFonts w:eastAsia="Calibri" w:cs="Arial"/>
                <w:b/>
                <w:sz w:val="18"/>
                <w:szCs w:val="20"/>
              </w:rPr>
              <w:t>18</w:t>
            </w:r>
          </w:p>
        </w:tc>
      </w:tr>
    </w:tbl>
    <w:p w14:paraId="32A13038" w14:textId="77777777" w:rsidR="00001EC3" w:rsidRPr="009C76A7" w:rsidRDefault="00001EC3" w:rsidP="00001EC3">
      <w:pPr>
        <w:rPr>
          <w:rFonts w:eastAsia="Calibri" w:cs="Arial"/>
          <w:sz w:val="18"/>
        </w:rPr>
      </w:pPr>
    </w:p>
    <w:p w14:paraId="4A6C5C06" w14:textId="63A0A724" w:rsidR="00E376D9" w:rsidRDefault="00F35610" w:rsidP="00F35610">
      <w:r>
        <w:t>The review suggests an interim renewal of funding for two years before DFAT commits to any longer</w:t>
      </w:r>
      <w:r w:rsidR="00F20A43">
        <w:t>-</w:t>
      </w:r>
      <w:r>
        <w:t xml:space="preserve">term funding. A two-year extension would allow DFAT to complete strategic planning and for APTC to demonstrate increased cost effectiveness. </w:t>
      </w:r>
    </w:p>
    <w:p w14:paraId="0D5004B3" w14:textId="1632EE5C" w:rsidR="00E376D9" w:rsidRDefault="00F35610" w:rsidP="00F35610">
      <w:r>
        <w:t>By the end of the two</w:t>
      </w:r>
      <w:r w:rsidR="00E376D9">
        <w:t>-</w:t>
      </w:r>
      <w:r>
        <w:t>year extension (mid-2017)</w:t>
      </w:r>
      <w:r w:rsidR="00E376D9">
        <w:t>:</w:t>
      </w:r>
      <w:r>
        <w:t xml:space="preserve"> </w:t>
      </w:r>
    </w:p>
    <w:p w14:paraId="57554D7C" w14:textId="2263B61D" w:rsidR="00E376D9" w:rsidRDefault="00F35610" w:rsidP="00532FE2">
      <w:pPr>
        <w:pStyle w:val="ListParagraph"/>
        <w:numPr>
          <w:ilvl w:val="0"/>
          <w:numId w:val="33"/>
        </w:numPr>
      </w:pPr>
      <w:r>
        <w:t>DFAT should prepare a regional TVET strategy and long</w:t>
      </w:r>
      <w:r w:rsidR="00E376D9">
        <w:t>-</w:t>
      </w:r>
      <w:r>
        <w:t xml:space="preserve">term vision/plan for APTC, establish country </w:t>
      </w:r>
      <w:r w:rsidR="00F20A43">
        <w:t xml:space="preserve">Consultative Forums </w:t>
      </w:r>
      <w:r>
        <w:t>and clarify its expectations for APTC on labour mobility, and strengthen the evaluation of economic impact</w:t>
      </w:r>
    </w:p>
    <w:p w14:paraId="736A7BF9" w14:textId="4AF04349" w:rsidR="00F35610" w:rsidRDefault="00F35610" w:rsidP="00532FE2">
      <w:pPr>
        <w:pStyle w:val="ListParagraph"/>
        <w:numPr>
          <w:ilvl w:val="0"/>
          <w:numId w:val="33"/>
        </w:numPr>
      </w:pPr>
      <w:r>
        <w:t>APTC should prepare country strategies, strengthen its business development plan and intensify efforts at cost</w:t>
      </w:r>
      <w:r w:rsidR="00F904F6">
        <w:t>-</w:t>
      </w:r>
      <w:r>
        <w:t xml:space="preserve">cutting.   </w:t>
      </w:r>
    </w:p>
    <w:p w14:paraId="417E5C7C" w14:textId="77777777" w:rsidR="009B3DE5" w:rsidRDefault="00F35610" w:rsidP="001D5181">
      <w:pPr>
        <w:sectPr w:rsidR="009B3DE5" w:rsidSect="00904CB8">
          <w:headerReference w:type="default" r:id="rId9"/>
          <w:footerReference w:type="default" r:id="rId10"/>
          <w:headerReference w:type="first" r:id="rId11"/>
          <w:footerReference w:type="first" r:id="rId12"/>
          <w:type w:val="continuous"/>
          <w:pgSz w:w="11901" w:h="16834"/>
          <w:pgMar w:top="1440" w:right="1701" w:bottom="1440" w:left="1701" w:header="709" w:footer="709" w:gutter="0"/>
          <w:pgNumType w:fmt="lowerRoman"/>
          <w:cols w:space="708"/>
          <w:titlePg/>
          <w:docGrid w:linePitch="326"/>
        </w:sectPr>
      </w:pPr>
      <w:r>
        <w:t>The review recommends that DFAT base its decision on Stage III APTC funding (i.e</w:t>
      </w:r>
      <w:r w:rsidR="00E376D9">
        <w:t>. </w:t>
      </w:r>
      <w:r>
        <w:t xml:space="preserve">beyond mid 2017) on a forward-looking ERR that considers only future costs and benefits and treats the costs of Stages I and II as sunk costs. Attention to labour mobility and replacement of foreign workers would bolster the economic returns. In addition, DFAT may wish to factor in non-quantifiable benefits of externalities and the extensive goodwill </w:t>
      </w:r>
      <w:r w:rsidR="00E376D9">
        <w:t xml:space="preserve">that </w:t>
      </w:r>
      <w:r>
        <w:t>APTC has created among stakeholders.</w:t>
      </w:r>
    </w:p>
    <w:p w14:paraId="707DF8C4" w14:textId="77777777" w:rsidR="00EF59E3" w:rsidRPr="00EF59E3" w:rsidRDefault="00EF59E3" w:rsidP="00EF59E3">
      <w:pPr>
        <w:pStyle w:val="Heading1"/>
      </w:pPr>
      <w:bookmarkStart w:id="21" w:name="_Toc278710496"/>
      <w:r w:rsidRPr="00EF59E3">
        <w:lastRenderedPageBreak/>
        <w:t>Introduction</w:t>
      </w:r>
      <w:bookmarkEnd w:id="21"/>
    </w:p>
    <w:p w14:paraId="2BBD668C" w14:textId="77777777" w:rsidR="00EF59E3" w:rsidRPr="00E12183" w:rsidRDefault="00EF59E3" w:rsidP="00EF59E3">
      <w:pPr>
        <w:pStyle w:val="Heading2"/>
      </w:pPr>
      <w:bookmarkStart w:id="22" w:name="_Toc278710497"/>
      <w:r w:rsidRPr="00E12183">
        <w:t>Origins and objectives of the APTC</w:t>
      </w:r>
      <w:bookmarkEnd w:id="22"/>
    </w:p>
    <w:p w14:paraId="1C13DFB4" w14:textId="74EDFED0" w:rsidR="00EF59E3" w:rsidRPr="00E12183" w:rsidRDefault="00EF59E3" w:rsidP="00EF59E3">
      <w:pPr>
        <w:rPr>
          <w:rFonts w:cs="Arial"/>
        </w:rPr>
      </w:pPr>
      <w:r w:rsidRPr="00E12183">
        <w:rPr>
          <w:rFonts w:cs="Arial"/>
        </w:rPr>
        <w:t>The Australian Prime Minister announced the setting up of an Australian Technical College for the Pacific at the Pacific Islands Forum in October 2005, an initiative endorsed by PIC leaders.</w:t>
      </w:r>
      <w:r w:rsidRPr="00E12183">
        <w:rPr>
          <w:rStyle w:val="FootnoteReference"/>
          <w:rFonts w:eastAsiaTheme="minorHAnsi" w:cs="Arial"/>
          <w:szCs w:val="22"/>
          <w:lang w:val="en-AU"/>
        </w:rPr>
        <w:footnoteReference w:id="3"/>
      </w:r>
      <w:r w:rsidRPr="00E12183">
        <w:rPr>
          <w:rFonts w:cs="Arial"/>
        </w:rPr>
        <w:t xml:space="preserve"> The two main objectives were skills upgrading and enhanced labour mobility. The Prime </w:t>
      </w:r>
      <w:r w:rsidR="004F411D" w:rsidRPr="00E12183">
        <w:rPr>
          <w:rFonts w:cs="Arial"/>
        </w:rPr>
        <w:t>Minister</w:t>
      </w:r>
      <w:r w:rsidR="004F411D">
        <w:rPr>
          <w:rFonts w:cs="Arial"/>
        </w:rPr>
        <w:t>’</w:t>
      </w:r>
      <w:r w:rsidR="004F411D" w:rsidRPr="00E12183">
        <w:rPr>
          <w:rFonts w:cs="Arial"/>
        </w:rPr>
        <w:t xml:space="preserve">s </w:t>
      </w:r>
      <w:r w:rsidRPr="00E12183">
        <w:rPr>
          <w:rFonts w:cs="Arial"/>
        </w:rPr>
        <w:t xml:space="preserve">press release noted that the new College would </w:t>
      </w:r>
      <w:r w:rsidR="004F411D">
        <w:rPr>
          <w:rFonts w:cs="Arial"/>
        </w:rPr>
        <w:t>‘</w:t>
      </w:r>
      <w:r w:rsidRPr="00E12183">
        <w:rPr>
          <w:rFonts w:cs="Arial"/>
        </w:rPr>
        <w:t>significantly upgrade the supply of trade skills in the Pacific. It [would] also enable much greater labour mobility of skilled and semi-skilled workers between the Pacific and Australia (and other developed economies)</w:t>
      </w:r>
      <w:r w:rsidR="004F411D">
        <w:rPr>
          <w:rFonts w:cs="Arial"/>
        </w:rPr>
        <w:t>’</w:t>
      </w:r>
      <w:r w:rsidRPr="00E12183">
        <w:rPr>
          <w:rFonts w:cs="Arial"/>
        </w:rPr>
        <w:t xml:space="preserve">.  </w:t>
      </w:r>
    </w:p>
    <w:p w14:paraId="4179C3DF" w14:textId="73C17F22" w:rsidR="00EF59E3" w:rsidRPr="00E12183" w:rsidRDefault="00EF59E3" w:rsidP="00EF59E3">
      <w:pPr>
        <w:rPr>
          <w:rFonts w:cs="Arial"/>
        </w:rPr>
      </w:pPr>
      <w:r w:rsidRPr="00E12183">
        <w:rPr>
          <w:rFonts w:cs="Arial"/>
        </w:rPr>
        <w:t xml:space="preserve">The original concept paper for Stage I of the APTC stated that </w:t>
      </w:r>
      <w:r w:rsidR="004F411D">
        <w:rPr>
          <w:rFonts w:cs="Arial"/>
        </w:rPr>
        <w:t>‘</w:t>
      </w:r>
      <w:r w:rsidRPr="00E12183">
        <w:rPr>
          <w:rFonts w:cs="Arial"/>
        </w:rPr>
        <w:t>graduates will benefit from portable qualifications and improved employment opportunities domestically as well as in an increasingly international market for skilled labour</w:t>
      </w:r>
      <w:r w:rsidR="004F411D">
        <w:rPr>
          <w:rFonts w:cs="Arial"/>
        </w:rPr>
        <w:t>’</w:t>
      </w:r>
      <w:r w:rsidR="004F411D" w:rsidRPr="00E12183">
        <w:rPr>
          <w:rFonts w:cs="Arial"/>
        </w:rPr>
        <w:t xml:space="preserve">. </w:t>
      </w:r>
      <w:r w:rsidRPr="00E12183">
        <w:rPr>
          <w:rFonts w:cs="Arial"/>
        </w:rPr>
        <w:t>The College’s objective was to facilitate</w:t>
      </w:r>
      <w:r w:rsidR="00D556F5">
        <w:rPr>
          <w:rFonts w:cs="Arial"/>
        </w:rPr>
        <w:t>,</w:t>
      </w:r>
      <w:r w:rsidRPr="00E12183">
        <w:rPr>
          <w:rFonts w:cs="Arial"/>
        </w:rPr>
        <w:t xml:space="preserve"> </w:t>
      </w:r>
      <w:r w:rsidR="00D556F5" w:rsidRPr="00E12183">
        <w:rPr>
          <w:rFonts w:cs="Arial"/>
        </w:rPr>
        <w:t>but not guarantee</w:t>
      </w:r>
      <w:r w:rsidR="00D556F5">
        <w:rPr>
          <w:rFonts w:cs="Arial"/>
        </w:rPr>
        <w:t>,</w:t>
      </w:r>
      <w:r w:rsidR="00D556F5" w:rsidRPr="00E12183">
        <w:rPr>
          <w:rFonts w:cs="Arial"/>
        </w:rPr>
        <w:t xml:space="preserve"> </w:t>
      </w:r>
      <w:r w:rsidR="00D556F5">
        <w:rPr>
          <w:rFonts w:cs="Arial"/>
        </w:rPr>
        <w:t xml:space="preserve">for those who chose to, </w:t>
      </w:r>
      <w:r w:rsidRPr="00E12183">
        <w:rPr>
          <w:rFonts w:cs="Arial"/>
        </w:rPr>
        <w:t xml:space="preserve">migration to Australia or other overseas labour markets on a permanent or temporary basis through </w:t>
      </w:r>
      <w:r w:rsidR="00D556F5">
        <w:rPr>
          <w:rFonts w:cs="Arial"/>
        </w:rPr>
        <w:t xml:space="preserve">the </w:t>
      </w:r>
      <w:r w:rsidRPr="00E12183">
        <w:rPr>
          <w:rFonts w:cs="Arial"/>
        </w:rPr>
        <w:t>provision of in-demand portable qualifications. A footnote to the above text noted that other Australian migration criteria include</w:t>
      </w:r>
      <w:r w:rsidR="004F411D">
        <w:rPr>
          <w:rFonts w:cs="Arial"/>
        </w:rPr>
        <w:t>d</w:t>
      </w:r>
      <w:r w:rsidRPr="00E12183">
        <w:rPr>
          <w:rFonts w:cs="Arial"/>
        </w:rPr>
        <w:t xml:space="preserve"> age, English language, and work experience. The footnote add</w:t>
      </w:r>
      <w:r w:rsidR="00343EFF">
        <w:rPr>
          <w:rFonts w:cs="Arial"/>
        </w:rPr>
        <w:t>ed:</w:t>
      </w:r>
      <w:r w:rsidRPr="00E12183">
        <w:rPr>
          <w:rFonts w:cs="Arial"/>
        </w:rPr>
        <w:t xml:space="preserve"> ‘For employer driven schemes there was no certainty migration opportunities for graduates would materialise’.</w:t>
      </w:r>
      <w:r w:rsidRPr="00E12183">
        <w:rPr>
          <w:rStyle w:val="FootnoteReference"/>
          <w:rFonts w:eastAsiaTheme="minorHAnsi" w:cs="Arial"/>
          <w:szCs w:val="22"/>
          <w:lang w:val="en-AU"/>
        </w:rPr>
        <w:footnoteReference w:id="4"/>
      </w:r>
      <w:r w:rsidRPr="00E12183">
        <w:rPr>
          <w:rFonts w:cs="Arial"/>
        </w:rPr>
        <w:t xml:space="preserve"> </w:t>
      </w:r>
    </w:p>
    <w:p w14:paraId="775C26CA" w14:textId="30663E8A" w:rsidR="00EF59E3" w:rsidRPr="00E12183" w:rsidRDefault="00EF59E3" w:rsidP="00EF59E3">
      <w:pPr>
        <w:rPr>
          <w:rFonts w:cs="Arial"/>
        </w:rPr>
      </w:pPr>
      <w:r w:rsidRPr="00E12183">
        <w:rPr>
          <w:rFonts w:cs="Arial"/>
        </w:rPr>
        <w:t xml:space="preserve">The purpose and objectives of the APTC </w:t>
      </w:r>
      <w:r w:rsidR="005940FC">
        <w:rPr>
          <w:rFonts w:cs="Arial"/>
        </w:rPr>
        <w:t xml:space="preserve">have </w:t>
      </w:r>
      <w:r w:rsidRPr="00E12183">
        <w:rPr>
          <w:rFonts w:cs="Arial"/>
        </w:rPr>
        <w:t>changed some</w:t>
      </w:r>
      <w:r w:rsidR="005940FC">
        <w:rPr>
          <w:rFonts w:cs="Arial"/>
        </w:rPr>
        <w:t>what</w:t>
      </w:r>
      <w:r w:rsidRPr="00E12183">
        <w:rPr>
          <w:rFonts w:cs="Arial"/>
        </w:rPr>
        <w:t xml:space="preserve"> over time. </w:t>
      </w:r>
      <w:r w:rsidR="009674BB" w:rsidRPr="00E12183">
        <w:rPr>
          <w:rFonts w:cs="Arial"/>
        </w:rPr>
        <w:t>The</w:t>
      </w:r>
      <w:r w:rsidR="009674BB">
        <w:rPr>
          <w:rFonts w:cs="Arial"/>
        </w:rPr>
        <w:t> </w:t>
      </w:r>
      <w:r w:rsidRPr="00E12183">
        <w:rPr>
          <w:rFonts w:cs="Arial"/>
        </w:rPr>
        <w:t xml:space="preserve">design reports for </w:t>
      </w:r>
      <w:r w:rsidR="005940FC">
        <w:rPr>
          <w:rFonts w:cs="Arial"/>
        </w:rPr>
        <w:t>its</w:t>
      </w:r>
      <w:r w:rsidR="005940FC" w:rsidRPr="00E12183">
        <w:rPr>
          <w:rFonts w:cs="Arial"/>
        </w:rPr>
        <w:t xml:space="preserve"> </w:t>
      </w:r>
      <w:r w:rsidRPr="00E12183">
        <w:rPr>
          <w:rFonts w:cs="Arial"/>
        </w:rPr>
        <w:t>establishment in February 2007</w:t>
      </w:r>
      <w:r w:rsidRPr="00E12183">
        <w:rPr>
          <w:rStyle w:val="FootnoteReference"/>
          <w:rFonts w:eastAsiaTheme="minorHAnsi" w:cs="Arial"/>
          <w:szCs w:val="22"/>
          <w:lang w:val="en-AU"/>
        </w:rPr>
        <w:footnoteReference w:id="5"/>
      </w:r>
      <w:r w:rsidRPr="00E12183">
        <w:rPr>
          <w:rFonts w:cs="Arial"/>
        </w:rPr>
        <w:t xml:space="preserve"> stated that: </w:t>
      </w:r>
    </w:p>
    <w:p w14:paraId="2548F8FD" w14:textId="1607D100" w:rsidR="00EF59E3" w:rsidRPr="00E12183" w:rsidRDefault="0059641D" w:rsidP="00EF59E3">
      <w:pPr>
        <w:ind w:left="720"/>
        <w:rPr>
          <w:rFonts w:cs="Arial"/>
        </w:rPr>
      </w:pPr>
      <w:r>
        <w:rPr>
          <w:rFonts w:cs="Arial"/>
        </w:rPr>
        <w:t>‘</w:t>
      </w:r>
      <w:r w:rsidR="00EF59E3" w:rsidRPr="00E12183">
        <w:rPr>
          <w:rFonts w:cs="Arial"/>
        </w:rPr>
        <w:t xml:space="preserve">The </w:t>
      </w:r>
      <w:r w:rsidR="00EF59E3" w:rsidRPr="00E12183">
        <w:rPr>
          <w:rFonts w:cs="Arial"/>
          <w:b/>
        </w:rPr>
        <w:t xml:space="preserve">Goal </w:t>
      </w:r>
      <w:r w:rsidR="00EF59E3" w:rsidRPr="00E12183">
        <w:rPr>
          <w:rFonts w:cs="Arial"/>
        </w:rPr>
        <w:t>of the Australia</w:t>
      </w:r>
      <w:r w:rsidR="005940FC">
        <w:rPr>
          <w:rFonts w:cs="Arial"/>
        </w:rPr>
        <w:t>–</w:t>
      </w:r>
      <w:r w:rsidR="00EF59E3" w:rsidRPr="00E12183">
        <w:rPr>
          <w:rFonts w:cs="Arial"/>
        </w:rPr>
        <w:t xml:space="preserve">Pacific Technical College is: Increased supply of skilled workers and increased productivity in targeted sectors in the Pacific region; and Pacific Islander women and men </w:t>
      </w:r>
      <w:r w:rsidRPr="00E12183">
        <w:rPr>
          <w:rFonts w:cs="Arial"/>
        </w:rPr>
        <w:t>reali</w:t>
      </w:r>
      <w:r>
        <w:rPr>
          <w:rFonts w:cs="Arial"/>
        </w:rPr>
        <w:t>s</w:t>
      </w:r>
      <w:r w:rsidRPr="00E12183">
        <w:rPr>
          <w:rFonts w:cs="Arial"/>
        </w:rPr>
        <w:t xml:space="preserve">e </w:t>
      </w:r>
      <w:r w:rsidR="00EF59E3" w:rsidRPr="00E12183">
        <w:rPr>
          <w:rFonts w:cs="Arial"/>
        </w:rPr>
        <w:t>improved employment opportunities nationally, regionally and internationally.</w:t>
      </w:r>
    </w:p>
    <w:p w14:paraId="7B84C112" w14:textId="783F6EF7" w:rsidR="00EF59E3" w:rsidRPr="00E12183" w:rsidRDefault="00EF59E3" w:rsidP="00EF59E3">
      <w:pPr>
        <w:ind w:left="720"/>
        <w:rPr>
          <w:rFonts w:cs="Arial"/>
        </w:rPr>
      </w:pPr>
      <w:r w:rsidRPr="00E12183">
        <w:rPr>
          <w:rFonts w:cs="Arial"/>
        </w:rPr>
        <w:t xml:space="preserve">The </w:t>
      </w:r>
      <w:r w:rsidRPr="00E12183">
        <w:rPr>
          <w:rFonts w:cs="Arial"/>
          <w:b/>
        </w:rPr>
        <w:t>Purpose</w:t>
      </w:r>
      <w:r w:rsidRPr="00E12183">
        <w:rPr>
          <w:rFonts w:cs="Arial"/>
        </w:rPr>
        <w:t xml:space="preserve"> of the College is: Pacific Island women and men with Australian qualifications able to find employment in targeted sectors</w:t>
      </w:r>
      <w:r w:rsidR="0059641D">
        <w:rPr>
          <w:rFonts w:cs="Arial"/>
        </w:rPr>
        <w:t>’</w:t>
      </w:r>
      <w:r w:rsidRPr="00E12183">
        <w:rPr>
          <w:rFonts w:cs="Arial"/>
        </w:rPr>
        <w:t>.</w:t>
      </w:r>
    </w:p>
    <w:p w14:paraId="2EEFD477" w14:textId="522E54F3" w:rsidR="00EF59E3" w:rsidRPr="00E12183" w:rsidRDefault="00EF59E3" w:rsidP="00EF59E3">
      <w:pPr>
        <w:rPr>
          <w:rFonts w:cs="Arial"/>
        </w:rPr>
      </w:pPr>
      <w:r w:rsidRPr="00E12183">
        <w:rPr>
          <w:rFonts w:cs="Arial"/>
        </w:rPr>
        <w:t xml:space="preserve">The </w:t>
      </w:r>
      <w:r w:rsidR="0059641D">
        <w:rPr>
          <w:rFonts w:cs="Arial"/>
        </w:rPr>
        <w:t>m</w:t>
      </w:r>
      <w:r w:rsidR="0059641D" w:rsidRPr="00E12183">
        <w:rPr>
          <w:rFonts w:cs="Arial"/>
        </w:rPr>
        <w:t>id</w:t>
      </w:r>
      <w:r w:rsidRPr="00E12183">
        <w:rPr>
          <w:rFonts w:cs="Arial"/>
        </w:rPr>
        <w:t xml:space="preserve">-term </w:t>
      </w:r>
      <w:r w:rsidR="0059641D">
        <w:rPr>
          <w:rFonts w:cs="Arial"/>
        </w:rPr>
        <w:t>r</w:t>
      </w:r>
      <w:r w:rsidR="0059641D" w:rsidRPr="00E12183">
        <w:rPr>
          <w:rFonts w:cs="Arial"/>
        </w:rPr>
        <w:t xml:space="preserve">eview </w:t>
      </w:r>
      <w:r w:rsidRPr="00E12183">
        <w:rPr>
          <w:rFonts w:cs="Arial"/>
        </w:rPr>
        <w:t xml:space="preserve">of Stage I presented different wording, separating the training goal from the productivity goal, and added a new purpose – to support Pacific skills development.  </w:t>
      </w:r>
    </w:p>
    <w:p w14:paraId="41B695B3" w14:textId="4320840C" w:rsidR="00EF59E3" w:rsidRPr="00E12183" w:rsidRDefault="0059641D" w:rsidP="00EF59E3">
      <w:pPr>
        <w:ind w:left="360"/>
        <w:rPr>
          <w:rFonts w:cs="Arial"/>
        </w:rPr>
      </w:pPr>
      <w:r>
        <w:rPr>
          <w:rFonts w:cs="Arial"/>
        </w:rPr>
        <w:t>‘</w:t>
      </w:r>
      <w:r w:rsidR="00EF59E3" w:rsidRPr="00E12183">
        <w:rPr>
          <w:rFonts w:cs="Arial"/>
        </w:rPr>
        <w:t xml:space="preserve">The APTC has three </w:t>
      </w:r>
      <w:r w:rsidR="00EF59E3" w:rsidRPr="00E12183">
        <w:rPr>
          <w:rFonts w:cs="Arial"/>
          <w:b/>
        </w:rPr>
        <w:t>Goals</w:t>
      </w:r>
      <w:r w:rsidR="00EF59E3" w:rsidRPr="00E12183">
        <w:rPr>
          <w:rFonts w:cs="Arial"/>
        </w:rPr>
        <w:t>.</w:t>
      </w:r>
    </w:p>
    <w:p w14:paraId="1499BDE9" w14:textId="77777777" w:rsidR="00EF59E3" w:rsidRPr="00E12183" w:rsidRDefault="00EF59E3" w:rsidP="008F117B">
      <w:pPr>
        <w:pStyle w:val="ListParagraph"/>
        <w:numPr>
          <w:ilvl w:val="0"/>
          <w:numId w:val="13"/>
        </w:numPr>
        <w:ind w:left="1440"/>
        <w:rPr>
          <w:rFonts w:cs="Arial"/>
          <w:szCs w:val="22"/>
        </w:rPr>
      </w:pPr>
      <w:r w:rsidRPr="00E12183">
        <w:rPr>
          <w:rFonts w:cs="Arial"/>
          <w:szCs w:val="22"/>
        </w:rPr>
        <w:t>Training: Increased supply of skilled workers in targeted sectors in the Pacific region.</w:t>
      </w:r>
    </w:p>
    <w:p w14:paraId="69174ADD" w14:textId="77777777" w:rsidR="00EF59E3" w:rsidRPr="00E12183" w:rsidRDefault="00EF59E3" w:rsidP="008F117B">
      <w:pPr>
        <w:pStyle w:val="ListParagraph"/>
        <w:numPr>
          <w:ilvl w:val="0"/>
          <w:numId w:val="13"/>
        </w:numPr>
        <w:ind w:left="1440"/>
        <w:rPr>
          <w:rFonts w:cs="Arial"/>
          <w:szCs w:val="22"/>
        </w:rPr>
      </w:pPr>
      <w:r w:rsidRPr="00E12183">
        <w:rPr>
          <w:rFonts w:cs="Arial"/>
          <w:szCs w:val="22"/>
        </w:rPr>
        <w:t>Employment: Pacific Islander women and men with Australian qualifications realise improved employment opportunities nationally, regionally and internationally in targeted sectors.</w:t>
      </w:r>
    </w:p>
    <w:p w14:paraId="3D9FFB78" w14:textId="77777777" w:rsidR="00EF59E3" w:rsidRPr="00E12183" w:rsidRDefault="00EF59E3" w:rsidP="008F117B">
      <w:pPr>
        <w:pStyle w:val="ListParagraph"/>
        <w:numPr>
          <w:ilvl w:val="0"/>
          <w:numId w:val="13"/>
        </w:numPr>
        <w:ind w:left="1440"/>
        <w:rPr>
          <w:rFonts w:cs="Arial"/>
          <w:szCs w:val="22"/>
        </w:rPr>
      </w:pPr>
      <w:r w:rsidRPr="00E12183">
        <w:rPr>
          <w:rFonts w:cs="Arial"/>
          <w:szCs w:val="22"/>
        </w:rPr>
        <w:t>Productivity: Increased productivity of individuals and organisations in targeted industries and sectors.</w:t>
      </w:r>
    </w:p>
    <w:p w14:paraId="3D7EF5BF" w14:textId="77777777" w:rsidR="00EF59E3" w:rsidRPr="00E12183" w:rsidRDefault="00EF59E3" w:rsidP="00EF59E3">
      <w:pPr>
        <w:ind w:left="360"/>
        <w:rPr>
          <w:rFonts w:cs="Arial"/>
        </w:rPr>
      </w:pPr>
      <w:r w:rsidRPr="00E12183">
        <w:rPr>
          <w:rFonts w:cs="Arial"/>
        </w:rPr>
        <w:t xml:space="preserve">The </w:t>
      </w:r>
      <w:r w:rsidRPr="00E12183">
        <w:rPr>
          <w:rFonts w:cs="Arial"/>
          <w:b/>
        </w:rPr>
        <w:t>Purpose</w:t>
      </w:r>
      <w:r w:rsidRPr="00E12183">
        <w:rPr>
          <w:rFonts w:cs="Arial"/>
        </w:rPr>
        <w:t xml:space="preserve"> of the APTC is to:</w:t>
      </w:r>
    </w:p>
    <w:p w14:paraId="4AA68158" w14:textId="55FC2A68" w:rsidR="00EF59E3" w:rsidRPr="00E12183" w:rsidRDefault="00EF59E3" w:rsidP="008F117B">
      <w:pPr>
        <w:pStyle w:val="ListParagraph"/>
        <w:numPr>
          <w:ilvl w:val="0"/>
          <w:numId w:val="14"/>
        </w:numPr>
        <w:ind w:left="1440"/>
        <w:rPr>
          <w:rFonts w:cs="Arial"/>
          <w:szCs w:val="22"/>
        </w:rPr>
      </w:pPr>
      <w:r w:rsidRPr="00E12183">
        <w:rPr>
          <w:rFonts w:cs="Arial"/>
          <w:szCs w:val="22"/>
        </w:rPr>
        <w:t xml:space="preserve">provide Pacific Islander women and men with Australian qualifications that present opportunities to be able to find employment in targeted sectors nationally and internationally </w:t>
      </w:r>
    </w:p>
    <w:p w14:paraId="70BCE874" w14:textId="20EF990A" w:rsidR="00EF59E3" w:rsidRPr="00E12183" w:rsidRDefault="00EF59E3" w:rsidP="008F117B">
      <w:pPr>
        <w:pStyle w:val="ListParagraph"/>
        <w:numPr>
          <w:ilvl w:val="0"/>
          <w:numId w:val="14"/>
        </w:numPr>
        <w:ind w:left="1440"/>
        <w:rPr>
          <w:rFonts w:cs="Arial"/>
          <w:szCs w:val="22"/>
        </w:rPr>
      </w:pPr>
      <w:r w:rsidRPr="00E12183">
        <w:rPr>
          <w:rFonts w:cs="Arial"/>
          <w:szCs w:val="22"/>
        </w:rPr>
        <w:lastRenderedPageBreak/>
        <w:t>support skills development in the Pacific in response to labour market requirements.</w:t>
      </w:r>
      <w:r w:rsidR="0059641D">
        <w:rPr>
          <w:rFonts w:cs="Arial"/>
          <w:szCs w:val="22"/>
        </w:rPr>
        <w:t>’</w:t>
      </w:r>
      <w:r w:rsidRPr="00E12183">
        <w:rPr>
          <w:rStyle w:val="FootnoteReference"/>
          <w:rFonts w:cs="Arial"/>
          <w:szCs w:val="22"/>
          <w:lang w:val="en-AU"/>
        </w:rPr>
        <w:footnoteReference w:id="6"/>
      </w:r>
      <w:r w:rsidRPr="00E12183">
        <w:rPr>
          <w:rFonts w:cs="Arial"/>
          <w:szCs w:val="22"/>
        </w:rPr>
        <w:t xml:space="preserve"> </w:t>
      </w:r>
    </w:p>
    <w:p w14:paraId="1A2EA207" w14:textId="77777777" w:rsidR="00EF59E3" w:rsidRPr="00E12183" w:rsidRDefault="00EF59E3" w:rsidP="00EF59E3">
      <w:pPr>
        <w:rPr>
          <w:rFonts w:cs="Arial"/>
        </w:rPr>
      </w:pPr>
      <w:r w:rsidRPr="00E12183">
        <w:rPr>
          <w:rFonts w:cs="Arial"/>
        </w:rPr>
        <w:t>This formulation remained, both in the design document for Stage II and in Schedule 1 of the APTC Scope of Services for Stage II.</w:t>
      </w:r>
    </w:p>
    <w:p w14:paraId="0A0AB200" w14:textId="5D7A055B" w:rsidR="00EF59E3" w:rsidRPr="00E12183" w:rsidRDefault="00EF59E3" w:rsidP="00EF59E3">
      <w:pPr>
        <w:rPr>
          <w:rFonts w:cs="Arial"/>
        </w:rPr>
      </w:pPr>
      <w:r w:rsidRPr="00E12183">
        <w:rPr>
          <w:rFonts w:cs="Arial"/>
        </w:rPr>
        <w:t>Stage I covered four years from mid-2007 to mid-2011</w:t>
      </w:r>
      <w:r w:rsidR="00902E39">
        <w:rPr>
          <w:rFonts w:cs="Arial"/>
        </w:rPr>
        <w:t xml:space="preserve"> and cost $</w:t>
      </w:r>
      <w:r w:rsidR="00973A95">
        <w:rPr>
          <w:rFonts w:cs="Arial"/>
        </w:rPr>
        <w:t>134 million</w:t>
      </w:r>
      <w:r w:rsidRPr="00E12183">
        <w:rPr>
          <w:rFonts w:cs="Arial"/>
        </w:rPr>
        <w:t xml:space="preserve">. </w:t>
      </w:r>
      <w:r w:rsidR="009674BB">
        <w:rPr>
          <w:rFonts w:cs="Arial"/>
        </w:rPr>
        <w:br/>
      </w:r>
      <w:r w:rsidRPr="00E12183">
        <w:rPr>
          <w:rFonts w:cs="Arial"/>
        </w:rPr>
        <w:t xml:space="preserve">A mid-term review was conducted in 2009 to provide guidance on the extension of Australian funding for the program. The </w:t>
      </w:r>
      <w:r w:rsidR="00902E39">
        <w:rPr>
          <w:rFonts w:cs="Arial"/>
        </w:rPr>
        <w:t>$15</w:t>
      </w:r>
      <w:r w:rsidR="00973A95">
        <w:rPr>
          <w:rFonts w:cs="Arial"/>
        </w:rPr>
        <w:t xml:space="preserve">2 </w:t>
      </w:r>
      <w:r w:rsidR="00902E39">
        <w:rPr>
          <w:rFonts w:cs="Arial"/>
        </w:rPr>
        <w:t xml:space="preserve">million </w:t>
      </w:r>
      <w:r w:rsidR="004869CC">
        <w:rPr>
          <w:rFonts w:cs="Arial"/>
        </w:rPr>
        <w:t xml:space="preserve">budget for the </w:t>
      </w:r>
      <w:r w:rsidR="00170926" w:rsidRPr="00E12183">
        <w:rPr>
          <w:rFonts w:cs="Arial"/>
        </w:rPr>
        <w:t>four</w:t>
      </w:r>
      <w:r w:rsidR="00170926">
        <w:rPr>
          <w:rFonts w:cs="Arial"/>
        </w:rPr>
        <w:t>-</w:t>
      </w:r>
      <w:r w:rsidRPr="00E12183">
        <w:rPr>
          <w:rFonts w:cs="Arial"/>
        </w:rPr>
        <w:t xml:space="preserve">year Stage II covers mid-2011 to mid-2015 and was preceded by a design stage.  </w:t>
      </w:r>
    </w:p>
    <w:p w14:paraId="575B5A1A" w14:textId="77777777" w:rsidR="00EF59E3" w:rsidRPr="00EF59E3" w:rsidRDefault="00EF59E3" w:rsidP="00EF59E3">
      <w:pPr>
        <w:pStyle w:val="Heading2"/>
      </w:pPr>
      <w:bookmarkStart w:id="23" w:name="_Toc278710498"/>
      <w:r w:rsidRPr="00EF59E3">
        <w:t>Objectives of the independent evaluation</w:t>
      </w:r>
      <w:bookmarkEnd w:id="23"/>
    </w:p>
    <w:p w14:paraId="4A15BD0A" w14:textId="56E9B246" w:rsidR="006A6BA0" w:rsidRDefault="00D9185D" w:rsidP="00EF59E3">
      <w:pPr>
        <w:rPr>
          <w:rFonts w:cs="Arial"/>
        </w:rPr>
      </w:pPr>
      <w:r w:rsidRPr="00E12183">
        <w:rPr>
          <w:rFonts w:cs="Arial"/>
        </w:rPr>
        <w:t>This independent evaluation constitutes a belated mid-term review of Stage II.</w:t>
      </w:r>
      <w:r>
        <w:rPr>
          <w:rFonts w:cs="Arial"/>
        </w:rPr>
        <w:t xml:space="preserve"> </w:t>
      </w:r>
      <w:r w:rsidR="00EF59E3" w:rsidRPr="00E12183">
        <w:rPr>
          <w:rFonts w:cs="Arial"/>
        </w:rPr>
        <w:t>Annex 1 presents the</w:t>
      </w:r>
      <w:r w:rsidR="00170926">
        <w:rPr>
          <w:rFonts w:cs="Arial"/>
        </w:rPr>
        <w:t xml:space="preserve"> T</w:t>
      </w:r>
      <w:r w:rsidR="00EF59E3" w:rsidRPr="00E12183">
        <w:rPr>
          <w:rFonts w:cs="Arial"/>
        </w:rPr>
        <w:t xml:space="preserve">erms of </w:t>
      </w:r>
      <w:r w:rsidR="00170926">
        <w:rPr>
          <w:rFonts w:cs="Arial"/>
        </w:rPr>
        <w:t>R</w:t>
      </w:r>
      <w:r w:rsidR="00170926" w:rsidRPr="00E12183">
        <w:rPr>
          <w:rFonts w:cs="Arial"/>
        </w:rPr>
        <w:t xml:space="preserve">eference </w:t>
      </w:r>
      <w:r w:rsidR="00170926">
        <w:rPr>
          <w:rFonts w:cs="Arial"/>
        </w:rPr>
        <w:t>(T</w:t>
      </w:r>
      <w:r w:rsidR="00EB11B5">
        <w:rPr>
          <w:rFonts w:cs="Arial"/>
        </w:rPr>
        <w:t>O</w:t>
      </w:r>
      <w:r w:rsidR="00170926">
        <w:rPr>
          <w:rFonts w:cs="Arial"/>
        </w:rPr>
        <w:t xml:space="preserve">Rs) </w:t>
      </w:r>
      <w:r w:rsidR="00EF59E3" w:rsidRPr="00E12183">
        <w:rPr>
          <w:rFonts w:cs="Arial"/>
        </w:rPr>
        <w:t>for the evaluation. The objectives are stated as follows</w:t>
      </w:r>
      <w:r w:rsidR="006A6BA0">
        <w:rPr>
          <w:rFonts w:cs="Arial"/>
        </w:rPr>
        <w:t>.</w:t>
      </w:r>
      <w:r w:rsidR="00EF59E3" w:rsidRPr="00E12183">
        <w:rPr>
          <w:rFonts w:cs="Arial"/>
        </w:rPr>
        <w:t xml:space="preserve"> </w:t>
      </w:r>
    </w:p>
    <w:p w14:paraId="669C88CF" w14:textId="5003556A" w:rsidR="00EF59E3" w:rsidRPr="00E12183" w:rsidRDefault="006A6BA0" w:rsidP="00FA394F">
      <w:pPr>
        <w:ind w:left="360"/>
        <w:rPr>
          <w:rFonts w:cs="Arial"/>
        </w:rPr>
      </w:pPr>
      <w:r>
        <w:rPr>
          <w:rFonts w:cs="Arial"/>
        </w:rPr>
        <w:t>‘</w:t>
      </w:r>
      <w:r w:rsidR="00EF59E3" w:rsidRPr="00E12183">
        <w:rPr>
          <w:rFonts w:cs="Arial"/>
        </w:rPr>
        <w:t xml:space="preserve">DFAT is conducting an independent evaluation of Australian aid to the APTC in order to:  </w:t>
      </w:r>
    </w:p>
    <w:p w14:paraId="1E396696" w14:textId="45F1CCA0" w:rsidR="00EF59E3" w:rsidRPr="00E12183" w:rsidRDefault="00EF59E3" w:rsidP="008F117B">
      <w:pPr>
        <w:numPr>
          <w:ilvl w:val="0"/>
          <w:numId w:val="16"/>
        </w:numPr>
        <w:rPr>
          <w:rFonts w:cs="Arial"/>
        </w:rPr>
      </w:pPr>
      <w:r w:rsidRPr="00E12183">
        <w:rPr>
          <w:rFonts w:cs="Arial"/>
        </w:rPr>
        <w:t xml:space="preserve">assess the performance of the APTC against its three stated objectives </w:t>
      </w:r>
      <w:r w:rsidR="00FA394F">
        <w:rPr>
          <w:rFonts w:cs="Arial"/>
        </w:rPr>
        <w:br/>
      </w:r>
      <w:r w:rsidRPr="00E12183">
        <w:rPr>
          <w:rFonts w:cs="Arial"/>
        </w:rPr>
        <w:t>[</w:t>
      </w:r>
      <w:r w:rsidR="002144B3">
        <w:rPr>
          <w:rFonts w:cs="Arial"/>
        </w:rPr>
        <w:t xml:space="preserve">points </w:t>
      </w:r>
      <w:r w:rsidRPr="00E12183">
        <w:rPr>
          <w:rFonts w:cs="Arial"/>
        </w:rPr>
        <w:t>a</w:t>
      </w:r>
      <w:r w:rsidR="002144B3">
        <w:rPr>
          <w:rFonts w:cs="Arial"/>
        </w:rPr>
        <w:t xml:space="preserve"> to </w:t>
      </w:r>
      <w:r w:rsidRPr="00E12183">
        <w:rPr>
          <w:rFonts w:cs="Arial"/>
        </w:rPr>
        <w:t>c</w:t>
      </w:r>
      <w:r w:rsidR="002144B3">
        <w:rPr>
          <w:rFonts w:cs="Arial"/>
        </w:rPr>
        <w:t xml:space="preserve"> </w:t>
      </w:r>
      <w:r w:rsidRPr="00E12183">
        <w:rPr>
          <w:rFonts w:cs="Arial"/>
        </w:rPr>
        <w:t xml:space="preserve">directly above] with regard to its relevance, effectiveness, efficiency and sustainability </w:t>
      </w:r>
    </w:p>
    <w:p w14:paraId="1B2145DC" w14:textId="6843E925" w:rsidR="00EF59E3" w:rsidRPr="00E12183" w:rsidRDefault="00EF59E3" w:rsidP="008F117B">
      <w:pPr>
        <w:numPr>
          <w:ilvl w:val="0"/>
          <w:numId w:val="16"/>
        </w:numPr>
        <w:rPr>
          <w:rFonts w:cs="Arial"/>
        </w:rPr>
      </w:pPr>
      <w:r w:rsidRPr="00E12183">
        <w:rPr>
          <w:rFonts w:cs="Arial"/>
        </w:rPr>
        <w:t xml:space="preserve">assess the contribution and impact of the APTC to skills development in </w:t>
      </w:r>
      <w:r w:rsidR="00FA394F">
        <w:rPr>
          <w:rFonts w:cs="Arial"/>
        </w:rPr>
        <w:br/>
      </w:r>
      <w:r w:rsidRPr="00E12183">
        <w:rPr>
          <w:rFonts w:cs="Arial"/>
        </w:rPr>
        <w:t>the Pacific</w:t>
      </w:r>
    </w:p>
    <w:p w14:paraId="6681D9B1" w14:textId="77777777" w:rsidR="00EF59E3" w:rsidRPr="00E12183" w:rsidRDefault="00EF59E3" w:rsidP="008F117B">
      <w:pPr>
        <w:numPr>
          <w:ilvl w:val="0"/>
          <w:numId w:val="16"/>
        </w:numPr>
        <w:rPr>
          <w:rFonts w:cs="Arial"/>
        </w:rPr>
      </w:pPr>
      <w:r w:rsidRPr="00E12183">
        <w:rPr>
          <w:rFonts w:cs="Arial"/>
        </w:rPr>
        <w:t xml:space="preserve">identify ways in which APTC’s value for money (i.e. economy, efficiency and effectiveness) could be enhanced during the remaining years of the program cycle </w:t>
      </w:r>
    </w:p>
    <w:p w14:paraId="1E89542A" w14:textId="5B0C7A1D" w:rsidR="00EF59E3" w:rsidRPr="00E12183" w:rsidRDefault="00EF59E3" w:rsidP="008F117B">
      <w:pPr>
        <w:numPr>
          <w:ilvl w:val="0"/>
          <w:numId w:val="16"/>
        </w:numPr>
        <w:rPr>
          <w:rFonts w:cs="Arial"/>
        </w:rPr>
      </w:pPr>
      <w:r w:rsidRPr="00E12183">
        <w:rPr>
          <w:rFonts w:cs="Arial"/>
        </w:rPr>
        <w:t>provide an evidence base that will inform future programming decisions beyond 2015.</w:t>
      </w:r>
      <w:r w:rsidR="006A6BA0">
        <w:rPr>
          <w:rFonts w:cs="Arial"/>
        </w:rPr>
        <w:t>’</w:t>
      </w:r>
      <w:r w:rsidRPr="00E12183">
        <w:rPr>
          <w:rFonts w:cs="Arial"/>
        </w:rPr>
        <w:t xml:space="preserve"> (TORs, 1.3)</w:t>
      </w:r>
    </w:p>
    <w:p w14:paraId="156E8236" w14:textId="08B5965C" w:rsidR="00EF59E3" w:rsidRPr="00EF59E3" w:rsidRDefault="00EF59E3" w:rsidP="00EF59E3">
      <w:pPr>
        <w:pStyle w:val="Heading2"/>
      </w:pPr>
      <w:bookmarkStart w:id="24" w:name="_Toc278710499"/>
      <w:r w:rsidRPr="00EF59E3">
        <w:t xml:space="preserve">Target </w:t>
      </w:r>
      <w:r w:rsidR="00BD01F2">
        <w:t>a</w:t>
      </w:r>
      <w:r w:rsidR="00BD01F2" w:rsidRPr="00EF59E3">
        <w:t>udiences</w:t>
      </w:r>
      <w:bookmarkEnd w:id="24"/>
    </w:p>
    <w:p w14:paraId="4B8618E0" w14:textId="39560982" w:rsidR="00EF59E3" w:rsidRPr="00E12183" w:rsidRDefault="00EF59E3" w:rsidP="00EF59E3">
      <w:pPr>
        <w:rPr>
          <w:rFonts w:cs="Arial"/>
        </w:rPr>
      </w:pPr>
      <w:r w:rsidRPr="00E12183">
        <w:rPr>
          <w:rFonts w:cs="Arial"/>
        </w:rPr>
        <w:t>The primary users of the evaluation are</w:t>
      </w:r>
      <w:r w:rsidR="002144B3">
        <w:rPr>
          <w:rFonts w:cs="Arial"/>
        </w:rPr>
        <w:t>:</w:t>
      </w:r>
      <w:r w:rsidRPr="00E12183">
        <w:rPr>
          <w:rFonts w:cs="Arial"/>
        </w:rPr>
        <w:t xml:space="preserve"> staff of the Department of Foreign Affairs and Trade, including its Australian Aid Program (senior executives and program staff in Canberra and in the field); Pacific regional stakeholders including partner government and TVET providers; industry and employers; RTO management in Australia</w:t>
      </w:r>
      <w:r w:rsidR="00CA567C">
        <w:rPr>
          <w:rFonts w:cs="Arial"/>
        </w:rPr>
        <w:t>;</w:t>
      </w:r>
      <w:r w:rsidRPr="00E12183">
        <w:rPr>
          <w:rFonts w:cs="Arial"/>
        </w:rPr>
        <w:t xml:space="preserve"> and APTC management and staff. (TORs, 1.4)</w:t>
      </w:r>
    </w:p>
    <w:p w14:paraId="7275193F" w14:textId="77777777" w:rsidR="00EF59E3" w:rsidRPr="00EF59E3" w:rsidRDefault="00EF59E3" w:rsidP="00EF59E3">
      <w:pPr>
        <w:pStyle w:val="Heading2"/>
      </w:pPr>
      <w:bookmarkStart w:id="25" w:name="_Toc278710500"/>
      <w:r w:rsidRPr="00EF59E3">
        <w:t>Primary evaluation questions</w:t>
      </w:r>
      <w:bookmarkEnd w:id="25"/>
    </w:p>
    <w:p w14:paraId="115677DB" w14:textId="34B7A202" w:rsidR="00EF59E3" w:rsidRPr="00E12183" w:rsidRDefault="00EF59E3" w:rsidP="00EF59E3">
      <w:pPr>
        <w:rPr>
          <w:rFonts w:cs="Arial"/>
        </w:rPr>
      </w:pPr>
      <w:r w:rsidRPr="00E12183">
        <w:rPr>
          <w:rFonts w:cs="Arial"/>
        </w:rPr>
        <w:t>The evaluation has focused its work on answering five primary evaluation questions</w:t>
      </w:r>
      <w:r w:rsidR="002144B3">
        <w:rPr>
          <w:rFonts w:cs="Arial"/>
        </w:rPr>
        <w:t>.</w:t>
      </w:r>
    </w:p>
    <w:p w14:paraId="3D40CAAD" w14:textId="5D02B82F" w:rsidR="00EF59E3" w:rsidRPr="00E12183" w:rsidRDefault="00EF59E3" w:rsidP="006E5C8A">
      <w:pPr>
        <w:numPr>
          <w:ilvl w:val="0"/>
          <w:numId w:val="30"/>
        </w:numPr>
        <w:rPr>
          <w:rFonts w:cs="Arial"/>
        </w:rPr>
      </w:pPr>
      <w:r w:rsidRPr="00E12183">
        <w:rPr>
          <w:rFonts w:cs="Arial"/>
        </w:rPr>
        <w:t xml:space="preserve">TVET </w:t>
      </w:r>
      <w:r w:rsidR="005E3C1B">
        <w:rPr>
          <w:rFonts w:cs="Arial"/>
        </w:rPr>
        <w:t>c</w:t>
      </w:r>
      <w:r w:rsidR="005E3C1B" w:rsidRPr="00E12183">
        <w:rPr>
          <w:rFonts w:cs="Arial"/>
        </w:rPr>
        <w:t>apacity</w:t>
      </w:r>
      <w:r w:rsidRPr="00E12183">
        <w:rPr>
          <w:rFonts w:cs="Arial"/>
        </w:rPr>
        <w:t>: To what extent has APTC succeeded in building national and regional capacity for market-responsive skills development in the Pacific?</w:t>
      </w:r>
    </w:p>
    <w:p w14:paraId="79AC1893" w14:textId="77777777" w:rsidR="00EF59E3" w:rsidRPr="00E12183" w:rsidRDefault="00EF59E3" w:rsidP="00532FE2">
      <w:pPr>
        <w:numPr>
          <w:ilvl w:val="0"/>
          <w:numId w:val="30"/>
        </w:numPr>
        <w:rPr>
          <w:rFonts w:cs="Arial"/>
        </w:rPr>
      </w:pPr>
      <w:r w:rsidRPr="00E12183">
        <w:rPr>
          <w:rFonts w:cs="Arial"/>
        </w:rPr>
        <w:t xml:space="preserve">Labour mobility: To what extent has APTC training enhanced access to regional and international labour markets?  </w:t>
      </w:r>
    </w:p>
    <w:p w14:paraId="5A37B56A" w14:textId="4C60D950" w:rsidR="00EF59E3" w:rsidRPr="00E12183" w:rsidRDefault="00EF59E3" w:rsidP="00532FE2">
      <w:pPr>
        <w:numPr>
          <w:ilvl w:val="0"/>
          <w:numId w:val="30"/>
        </w:numPr>
        <w:rPr>
          <w:rFonts w:cs="Arial"/>
        </w:rPr>
      </w:pPr>
      <w:r w:rsidRPr="00E12183">
        <w:rPr>
          <w:rFonts w:cs="Arial"/>
        </w:rPr>
        <w:t>Impact: What tangible differences has APTC made to its primary beneficiaries –</w:t>
      </w:r>
      <w:r w:rsidR="005E3C1B">
        <w:rPr>
          <w:rFonts w:cs="Arial"/>
        </w:rPr>
        <w:t xml:space="preserve"> </w:t>
      </w:r>
      <w:r w:rsidRPr="00E12183">
        <w:rPr>
          <w:rFonts w:cs="Arial"/>
        </w:rPr>
        <w:t>graduates and industry?</w:t>
      </w:r>
    </w:p>
    <w:p w14:paraId="263780A5" w14:textId="3791E9A2" w:rsidR="00EF59E3" w:rsidRPr="00E12183" w:rsidRDefault="00EF59E3" w:rsidP="00532FE2">
      <w:pPr>
        <w:numPr>
          <w:ilvl w:val="0"/>
          <w:numId w:val="30"/>
        </w:numPr>
        <w:rPr>
          <w:rFonts w:cs="Arial"/>
        </w:rPr>
      </w:pPr>
      <w:r w:rsidRPr="00E12183">
        <w:rPr>
          <w:rFonts w:cs="Arial"/>
        </w:rPr>
        <w:t xml:space="preserve">Value for money: To what extent have APTC activities been cost-effective and implemented in the most efficient way compared to possible alternatives? </w:t>
      </w:r>
    </w:p>
    <w:p w14:paraId="3A4F0B50" w14:textId="77777777" w:rsidR="00EF59E3" w:rsidRPr="00E12183" w:rsidRDefault="00EF59E3" w:rsidP="00532FE2">
      <w:pPr>
        <w:numPr>
          <w:ilvl w:val="0"/>
          <w:numId w:val="30"/>
        </w:numPr>
        <w:rPr>
          <w:rFonts w:cs="Arial"/>
        </w:rPr>
      </w:pPr>
      <w:r w:rsidRPr="00E12183">
        <w:rPr>
          <w:rFonts w:cs="Arial"/>
        </w:rPr>
        <w:t xml:space="preserve">Future of the APTC: What do the findings, evidence and lessons suggest for the future of the APTC?  </w:t>
      </w:r>
    </w:p>
    <w:p w14:paraId="0571DFF2" w14:textId="73BCBB6C" w:rsidR="00EF59E3" w:rsidRPr="00E12183" w:rsidRDefault="00EF59E3" w:rsidP="00EF59E3">
      <w:pPr>
        <w:rPr>
          <w:rFonts w:cs="Arial"/>
        </w:rPr>
      </w:pPr>
      <w:r w:rsidRPr="00E12183">
        <w:rPr>
          <w:rFonts w:cs="Arial"/>
        </w:rPr>
        <w:lastRenderedPageBreak/>
        <w:t xml:space="preserve">Annex </w:t>
      </w:r>
      <w:r w:rsidR="00B02475">
        <w:rPr>
          <w:rFonts w:cs="Arial"/>
        </w:rPr>
        <w:t>3</w:t>
      </w:r>
      <w:r w:rsidR="00B02475" w:rsidRPr="00E12183">
        <w:rPr>
          <w:rFonts w:cs="Arial"/>
        </w:rPr>
        <w:t xml:space="preserve"> </w:t>
      </w:r>
      <w:r w:rsidRPr="00E12183">
        <w:rPr>
          <w:rFonts w:cs="Arial"/>
        </w:rPr>
        <w:t>shows the secondary questions that guided the evaluation.</w:t>
      </w:r>
    </w:p>
    <w:p w14:paraId="7CA8FF42" w14:textId="77777777" w:rsidR="00EF59E3" w:rsidRPr="00EF59E3" w:rsidRDefault="00EF59E3" w:rsidP="00EF59E3">
      <w:pPr>
        <w:pStyle w:val="Heading2"/>
      </w:pPr>
      <w:bookmarkStart w:id="26" w:name="_Toc278710501"/>
      <w:r w:rsidRPr="00EF59E3">
        <w:t>Methodology</w:t>
      </w:r>
      <w:bookmarkEnd w:id="26"/>
    </w:p>
    <w:p w14:paraId="482A4DBB" w14:textId="396D0225" w:rsidR="006049DD" w:rsidRDefault="00715447" w:rsidP="00EF59E3">
      <w:pPr>
        <w:rPr>
          <w:rFonts w:cs="Arial"/>
        </w:rPr>
      </w:pPr>
      <w:r w:rsidRPr="00715447">
        <w:rPr>
          <w:rFonts w:cs="Arial"/>
        </w:rPr>
        <w:t>To address the research questions posed in the evaluation plan for this review, the methodology involved</w:t>
      </w:r>
      <w:r w:rsidR="00D66A16">
        <w:rPr>
          <w:rFonts w:cs="Arial"/>
        </w:rPr>
        <w:t>:</w:t>
      </w:r>
      <w:r w:rsidRPr="00715447">
        <w:rPr>
          <w:rFonts w:cs="Arial"/>
        </w:rPr>
        <w:t xml:space="preserve"> </w:t>
      </w:r>
      <w:r w:rsidR="00D66A16">
        <w:rPr>
          <w:rFonts w:cs="Arial"/>
        </w:rPr>
        <w:t xml:space="preserve">(1) </w:t>
      </w:r>
      <w:r>
        <w:rPr>
          <w:rFonts w:cs="Arial"/>
        </w:rPr>
        <w:t xml:space="preserve">the </w:t>
      </w:r>
      <w:r w:rsidR="0090502F" w:rsidRPr="0090502F">
        <w:rPr>
          <w:rFonts w:cs="Arial"/>
        </w:rPr>
        <w:t>design, collection and analysis of primary data from students, gradu</w:t>
      </w:r>
      <w:r w:rsidR="0090502F">
        <w:rPr>
          <w:rFonts w:cs="Arial"/>
        </w:rPr>
        <w:t>ates, employers and APTC staff;</w:t>
      </w:r>
      <w:r w:rsidR="0090502F" w:rsidRPr="0090502F">
        <w:rPr>
          <w:rFonts w:cs="Arial"/>
        </w:rPr>
        <w:t xml:space="preserve"> (2) face-to-face group consultations and interviews with a</w:t>
      </w:r>
      <w:r w:rsidR="0090502F">
        <w:rPr>
          <w:rFonts w:cs="Arial"/>
        </w:rPr>
        <w:t xml:space="preserve"> range of key stakeholders; and (3)</w:t>
      </w:r>
      <w:r w:rsidR="0090502F" w:rsidRPr="0090502F">
        <w:rPr>
          <w:rFonts w:cs="Arial"/>
        </w:rPr>
        <w:t xml:space="preserve"> the analysis of data collected and processed by APTC or the use of published research, reports, and documents related to APTC</w:t>
      </w:r>
      <w:r w:rsidR="0090502F">
        <w:rPr>
          <w:rFonts w:cs="Arial"/>
        </w:rPr>
        <w:t>.</w:t>
      </w:r>
      <w:r w:rsidR="0090502F" w:rsidRPr="0090502F">
        <w:rPr>
          <w:rFonts w:cs="Arial"/>
        </w:rPr>
        <w:t xml:space="preserve"> The data sources included the following five elements</w:t>
      </w:r>
      <w:r w:rsidR="00D66A16">
        <w:rPr>
          <w:rFonts w:cs="Arial"/>
        </w:rPr>
        <w:t>.</w:t>
      </w:r>
      <w:r w:rsidR="0090502F" w:rsidRPr="0090502F" w:rsidDel="00715447">
        <w:rPr>
          <w:rFonts w:cs="Arial"/>
        </w:rPr>
        <w:t xml:space="preserve"> </w:t>
      </w:r>
      <w:r w:rsidR="00EF59E3" w:rsidRPr="00E12183">
        <w:rPr>
          <w:rFonts w:cs="Arial"/>
        </w:rPr>
        <w:t xml:space="preserve"> </w:t>
      </w:r>
    </w:p>
    <w:p w14:paraId="61D5E196" w14:textId="1E17CCF8" w:rsidR="006049DD" w:rsidRDefault="00715447" w:rsidP="00DF7C96">
      <w:pPr>
        <w:pStyle w:val="ListParagraph"/>
        <w:numPr>
          <w:ilvl w:val="0"/>
          <w:numId w:val="44"/>
        </w:numPr>
        <w:rPr>
          <w:rFonts w:cs="Arial"/>
        </w:rPr>
      </w:pPr>
      <w:r>
        <w:rPr>
          <w:rFonts w:cs="Arial"/>
        </w:rPr>
        <w:t xml:space="preserve">A </w:t>
      </w:r>
      <w:r w:rsidR="00EF59E3" w:rsidRPr="009C76A7">
        <w:rPr>
          <w:rFonts w:cs="Arial"/>
        </w:rPr>
        <w:t>literature review</w:t>
      </w:r>
      <w:r>
        <w:rPr>
          <w:rFonts w:cs="Arial"/>
        </w:rPr>
        <w:t xml:space="preserve"> of available documentation on APTC</w:t>
      </w:r>
      <w:r w:rsidR="00EF59E3" w:rsidRPr="006049DD">
        <w:rPr>
          <w:rFonts w:cs="Arial"/>
        </w:rPr>
        <w:t xml:space="preserve">, including </w:t>
      </w:r>
      <w:r>
        <w:rPr>
          <w:rFonts w:cs="Arial"/>
        </w:rPr>
        <w:t>the original and subsequent design documents</w:t>
      </w:r>
      <w:r w:rsidR="006E5C8A">
        <w:rPr>
          <w:rFonts w:cs="Arial"/>
        </w:rPr>
        <w:t>.</w:t>
      </w:r>
      <w:r>
        <w:rPr>
          <w:rFonts w:cs="Arial"/>
        </w:rPr>
        <w:t xml:space="preserve"> </w:t>
      </w:r>
    </w:p>
    <w:p w14:paraId="7115D260" w14:textId="121EFDD8" w:rsidR="00715447" w:rsidRPr="00715447" w:rsidRDefault="00715447" w:rsidP="00DF7C96">
      <w:pPr>
        <w:pStyle w:val="ListParagraph"/>
        <w:numPr>
          <w:ilvl w:val="0"/>
          <w:numId w:val="44"/>
        </w:numPr>
        <w:rPr>
          <w:rFonts w:cs="Arial"/>
        </w:rPr>
      </w:pPr>
      <w:r>
        <w:rPr>
          <w:rFonts w:cs="Arial"/>
        </w:rPr>
        <w:t xml:space="preserve">New analysis of prior APTC annual and Stage I tracer surveys </w:t>
      </w:r>
      <w:r w:rsidRPr="00715447">
        <w:rPr>
          <w:rFonts w:cs="Arial"/>
        </w:rPr>
        <w:t>and APTC survey of employers of graduates</w:t>
      </w:r>
      <w:r>
        <w:rPr>
          <w:rFonts w:cs="Arial"/>
        </w:rPr>
        <w:t xml:space="preserve">; </w:t>
      </w:r>
      <w:r w:rsidR="00B568CF">
        <w:rPr>
          <w:rFonts w:cs="Arial"/>
        </w:rPr>
        <w:t xml:space="preserve">and a </w:t>
      </w:r>
      <w:r>
        <w:rPr>
          <w:rFonts w:cs="Arial"/>
        </w:rPr>
        <w:t>n</w:t>
      </w:r>
      <w:r w:rsidRPr="00715447">
        <w:rPr>
          <w:rFonts w:cs="Arial"/>
        </w:rPr>
        <w:t>ew analysis of a database of APTC graduates who had migrated overseas compiled by APTC from social media and other sources</w:t>
      </w:r>
      <w:r w:rsidR="006E5C8A">
        <w:rPr>
          <w:rFonts w:cs="Arial"/>
        </w:rPr>
        <w:t>.</w:t>
      </w:r>
    </w:p>
    <w:p w14:paraId="046A2CF5" w14:textId="49FD0057" w:rsidR="006049DD" w:rsidRPr="00FE3C5E" w:rsidRDefault="00715447" w:rsidP="00DF7C96">
      <w:pPr>
        <w:pStyle w:val="ListParagraph"/>
        <w:numPr>
          <w:ilvl w:val="0"/>
          <w:numId w:val="44"/>
        </w:numPr>
        <w:rPr>
          <w:rFonts w:cs="Arial"/>
        </w:rPr>
      </w:pPr>
      <w:r>
        <w:rPr>
          <w:rFonts w:cs="Arial"/>
        </w:rPr>
        <w:t>I</w:t>
      </w:r>
      <w:r w:rsidR="00EF59E3" w:rsidRPr="009C76A7">
        <w:rPr>
          <w:rFonts w:cs="Arial"/>
        </w:rPr>
        <w:t>ndividual meetings</w:t>
      </w:r>
      <w:r w:rsidR="00EF59E3" w:rsidRPr="006049DD">
        <w:rPr>
          <w:rFonts w:cs="Arial"/>
        </w:rPr>
        <w:t xml:space="preserve"> </w:t>
      </w:r>
      <w:r w:rsidR="00A411DC" w:rsidRPr="006049DD">
        <w:rPr>
          <w:rFonts w:cs="Arial"/>
        </w:rPr>
        <w:t>–</w:t>
      </w:r>
      <w:r w:rsidR="00EF59E3" w:rsidRPr="006049DD">
        <w:rPr>
          <w:rFonts w:cs="Arial"/>
        </w:rPr>
        <w:t xml:space="preserve"> </w:t>
      </w:r>
      <w:r w:rsidR="00A411DC" w:rsidRPr="00FE3C5E">
        <w:rPr>
          <w:rFonts w:cs="Arial"/>
        </w:rPr>
        <w:t>in-</w:t>
      </w:r>
      <w:r w:rsidR="00EF59E3" w:rsidRPr="00FE3C5E">
        <w:rPr>
          <w:rFonts w:cs="Arial"/>
        </w:rPr>
        <w:t>country meetings with donors, government officials, TVET providers and APTC management</w:t>
      </w:r>
      <w:r w:rsidR="006E5C8A">
        <w:rPr>
          <w:rFonts w:cs="Arial"/>
        </w:rPr>
        <w:t>.</w:t>
      </w:r>
      <w:r w:rsidR="00EF59E3" w:rsidRPr="00FE3C5E">
        <w:rPr>
          <w:rFonts w:cs="Arial"/>
        </w:rPr>
        <w:t xml:space="preserve"> </w:t>
      </w:r>
      <w:r w:rsidR="006E5C8A">
        <w:rPr>
          <w:rFonts w:cs="Arial"/>
        </w:rPr>
        <w:t>I</w:t>
      </w:r>
      <w:r w:rsidR="00EF59E3" w:rsidRPr="00FE3C5E">
        <w:rPr>
          <w:rFonts w:cs="Arial"/>
        </w:rPr>
        <w:t>n addition, members of the evaluation team met management/staff of the two RTOs</w:t>
      </w:r>
      <w:r>
        <w:rPr>
          <w:rFonts w:cs="Arial"/>
        </w:rPr>
        <w:t>, qualifications assessment agency</w:t>
      </w:r>
      <w:r w:rsidR="00EF59E3" w:rsidRPr="00FE3C5E">
        <w:rPr>
          <w:rFonts w:cs="Arial"/>
        </w:rPr>
        <w:t xml:space="preserve"> and immigration authorities in Australia</w:t>
      </w:r>
      <w:r w:rsidR="006E5C8A">
        <w:rPr>
          <w:rFonts w:cs="Arial"/>
        </w:rPr>
        <w:t>.</w:t>
      </w:r>
    </w:p>
    <w:p w14:paraId="38DB4225" w14:textId="0A02DE47" w:rsidR="006049DD" w:rsidRPr="00FE3C5E" w:rsidRDefault="00715447" w:rsidP="00DF7C96">
      <w:pPr>
        <w:pStyle w:val="ListParagraph"/>
        <w:numPr>
          <w:ilvl w:val="0"/>
          <w:numId w:val="44"/>
        </w:numPr>
        <w:rPr>
          <w:rFonts w:cs="Arial"/>
        </w:rPr>
      </w:pPr>
      <w:r>
        <w:rPr>
          <w:rFonts w:cs="Arial"/>
        </w:rPr>
        <w:t>F</w:t>
      </w:r>
      <w:r w:rsidR="00EF59E3" w:rsidRPr="009C76A7">
        <w:rPr>
          <w:rFonts w:cs="Arial"/>
        </w:rPr>
        <w:t>ocus group meetings</w:t>
      </w:r>
      <w:r w:rsidR="00EF59E3" w:rsidRPr="006049DD">
        <w:rPr>
          <w:rFonts w:cs="Arial"/>
        </w:rPr>
        <w:t xml:space="preserve"> with employers, and with APTC trainers, tutors, administrative staff, students and graduates</w:t>
      </w:r>
      <w:r w:rsidR="006E5C8A">
        <w:rPr>
          <w:rFonts w:cs="Arial"/>
        </w:rPr>
        <w:t>.</w:t>
      </w:r>
    </w:p>
    <w:p w14:paraId="7A557797" w14:textId="25E27BDB" w:rsidR="00EF59E3" w:rsidRPr="00FE3C5E" w:rsidRDefault="002C2C67" w:rsidP="00DF7C96">
      <w:pPr>
        <w:pStyle w:val="ListParagraph"/>
        <w:numPr>
          <w:ilvl w:val="0"/>
          <w:numId w:val="44"/>
        </w:numPr>
        <w:rPr>
          <w:rFonts w:cs="Arial"/>
        </w:rPr>
      </w:pPr>
      <w:r>
        <w:rPr>
          <w:rFonts w:cs="Arial"/>
        </w:rPr>
        <w:t>Q</w:t>
      </w:r>
      <w:r w:rsidR="00EF59E3" w:rsidRPr="009C76A7">
        <w:rPr>
          <w:rFonts w:cs="Arial"/>
        </w:rPr>
        <w:t xml:space="preserve">uestionnaires </w:t>
      </w:r>
      <w:r>
        <w:rPr>
          <w:rFonts w:cs="Arial"/>
        </w:rPr>
        <w:t xml:space="preserve">that </w:t>
      </w:r>
      <w:r w:rsidR="00EF59E3" w:rsidRPr="006049DD">
        <w:rPr>
          <w:rFonts w:cs="Arial"/>
        </w:rPr>
        <w:t>were administered separately to all of the groups mentioned in (</w:t>
      </w:r>
      <w:r w:rsidR="00A756F8">
        <w:rPr>
          <w:rFonts w:cs="Arial"/>
        </w:rPr>
        <w:t>4</w:t>
      </w:r>
      <w:r w:rsidR="00EF59E3" w:rsidRPr="006049DD">
        <w:rPr>
          <w:rFonts w:cs="Arial"/>
        </w:rPr>
        <w:t xml:space="preserve">) above. In addition, APTC country managers completed a questionnaire asking about APTC links with industry. </w:t>
      </w:r>
      <w:r w:rsidR="00715447">
        <w:rPr>
          <w:rFonts w:cs="Arial"/>
        </w:rPr>
        <w:t>Data from t</w:t>
      </w:r>
      <w:r w:rsidR="00EF59E3" w:rsidRPr="00FE3C5E">
        <w:rPr>
          <w:rFonts w:cs="Arial"/>
        </w:rPr>
        <w:t xml:space="preserve">he questionnaires were </w:t>
      </w:r>
      <w:r w:rsidR="00715447">
        <w:rPr>
          <w:rFonts w:cs="Arial"/>
        </w:rPr>
        <w:t xml:space="preserve">coded and entered </w:t>
      </w:r>
      <w:r w:rsidR="00EF59E3" w:rsidRPr="00FE3C5E">
        <w:rPr>
          <w:rFonts w:cs="Arial"/>
        </w:rPr>
        <w:t xml:space="preserve">by the Australian Council for Educational Research (ACER).   </w:t>
      </w:r>
    </w:p>
    <w:p w14:paraId="3BD9DC5C" w14:textId="77777777" w:rsidR="00EF59E3" w:rsidRPr="00EF59E3" w:rsidRDefault="00EF59E3" w:rsidP="00EF59E3">
      <w:pPr>
        <w:pStyle w:val="Heading2"/>
      </w:pPr>
      <w:bookmarkStart w:id="27" w:name="_Toc278710502"/>
      <w:r w:rsidRPr="00EF59E3">
        <w:t>Activities</w:t>
      </w:r>
      <w:bookmarkEnd w:id="27"/>
    </w:p>
    <w:p w14:paraId="2FE77CAE" w14:textId="63FEF2B6" w:rsidR="00EF59E3" w:rsidRPr="00E12183" w:rsidRDefault="00EF59E3" w:rsidP="00EF59E3">
      <w:pPr>
        <w:rPr>
          <w:rFonts w:cs="Arial"/>
        </w:rPr>
      </w:pPr>
      <w:r w:rsidRPr="00E12183">
        <w:rPr>
          <w:rFonts w:cs="Arial"/>
        </w:rPr>
        <w:t>Members of the review team undertook two field visits that together covered all five campus countries. In total</w:t>
      </w:r>
      <w:r w:rsidR="00843F5A">
        <w:rPr>
          <w:rFonts w:cs="Arial"/>
        </w:rPr>
        <w:t>,</w:t>
      </w:r>
      <w:r w:rsidRPr="00E12183">
        <w:rPr>
          <w:rFonts w:cs="Arial"/>
        </w:rPr>
        <w:t xml:space="preserve"> 48 focus group meetings were held, distributed by campus country and group as </w:t>
      </w:r>
      <w:r w:rsidR="009E6BCF">
        <w:rPr>
          <w:rFonts w:cs="Arial"/>
        </w:rPr>
        <w:t>shown in Table 1.</w:t>
      </w:r>
    </w:p>
    <w:p w14:paraId="5EA6EF15" w14:textId="30795518" w:rsidR="00AF55E0" w:rsidRDefault="00EF59E3" w:rsidP="009C76A7">
      <w:pPr>
        <w:pStyle w:val="Tableheading"/>
      </w:pPr>
      <w:bookmarkStart w:id="28" w:name="_Toc274832806"/>
      <w:r w:rsidRPr="00E12183">
        <w:t xml:space="preserve">Table </w:t>
      </w:r>
      <w:r w:rsidR="00843F5A">
        <w:t>1</w:t>
      </w:r>
      <w:r w:rsidR="00EE53E9">
        <w:t>:</w:t>
      </w:r>
      <w:r w:rsidRPr="00E12183">
        <w:t xml:space="preserve"> Number of focus group meetings by country and by stakeholder group</w:t>
      </w:r>
      <w:bookmarkEnd w:id="2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020"/>
        <w:gridCol w:w="1021"/>
        <w:gridCol w:w="1020"/>
        <w:gridCol w:w="1021"/>
        <w:gridCol w:w="1021"/>
      </w:tblGrid>
      <w:tr w:rsidR="00DF7C96" w:rsidRPr="00EE53E9" w14:paraId="40D8C7B3" w14:textId="77777777" w:rsidTr="00976964">
        <w:tc>
          <w:tcPr>
            <w:tcW w:w="2268" w:type="dxa"/>
            <w:shd w:val="clear" w:color="auto" w:fill="C5E0B3" w:themeFill="accent6" w:themeFillTint="66"/>
          </w:tcPr>
          <w:p w14:paraId="452EEA98" w14:textId="39C254FB" w:rsidR="00EF59E3" w:rsidRPr="00EE53E9" w:rsidRDefault="00EF59E3" w:rsidP="00976964">
            <w:pPr>
              <w:spacing w:before="80" w:after="80"/>
              <w:rPr>
                <w:rFonts w:cs="Arial"/>
                <w:b/>
                <w:sz w:val="18"/>
                <w:szCs w:val="22"/>
              </w:rPr>
            </w:pPr>
            <w:r w:rsidRPr="00EE53E9">
              <w:rPr>
                <w:rFonts w:cs="Arial"/>
                <w:b/>
                <w:sz w:val="18"/>
                <w:szCs w:val="22"/>
              </w:rPr>
              <w:t xml:space="preserve">Focus </w:t>
            </w:r>
            <w:r w:rsidR="00EE53E9">
              <w:rPr>
                <w:rFonts w:cs="Arial"/>
                <w:b/>
                <w:sz w:val="18"/>
                <w:szCs w:val="22"/>
              </w:rPr>
              <w:t>g</w:t>
            </w:r>
            <w:r w:rsidR="00EE53E9" w:rsidRPr="00EE53E9">
              <w:rPr>
                <w:rFonts w:cs="Arial"/>
                <w:b/>
                <w:sz w:val="18"/>
                <w:szCs w:val="22"/>
              </w:rPr>
              <w:t>roup</w:t>
            </w:r>
          </w:p>
        </w:tc>
        <w:tc>
          <w:tcPr>
            <w:tcW w:w="1020" w:type="dxa"/>
            <w:shd w:val="clear" w:color="auto" w:fill="C5E0B3" w:themeFill="accent6" w:themeFillTint="66"/>
          </w:tcPr>
          <w:p w14:paraId="33EAADA0" w14:textId="77777777" w:rsidR="00EF59E3" w:rsidRPr="00EE53E9" w:rsidRDefault="00EF59E3" w:rsidP="00976964">
            <w:pPr>
              <w:spacing w:before="80" w:after="80"/>
              <w:jc w:val="center"/>
              <w:rPr>
                <w:rFonts w:cs="Arial"/>
                <w:b/>
                <w:sz w:val="18"/>
                <w:szCs w:val="22"/>
              </w:rPr>
            </w:pPr>
            <w:r w:rsidRPr="00EE53E9">
              <w:rPr>
                <w:rFonts w:cs="Arial"/>
                <w:b/>
                <w:sz w:val="18"/>
                <w:szCs w:val="22"/>
              </w:rPr>
              <w:t>Fiji</w:t>
            </w:r>
          </w:p>
        </w:tc>
        <w:tc>
          <w:tcPr>
            <w:tcW w:w="1021" w:type="dxa"/>
            <w:shd w:val="clear" w:color="auto" w:fill="C5E0B3" w:themeFill="accent6" w:themeFillTint="66"/>
          </w:tcPr>
          <w:p w14:paraId="4D1395E3" w14:textId="77777777" w:rsidR="00EF59E3" w:rsidRPr="00EE53E9" w:rsidRDefault="00EF59E3" w:rsidP="00976964">
            <w:pPr>
              <w:spacing w:before="80" w:after="80"/>
              <w:jc w:val="center"/>
              <w:rPr>
                <w:rFonts w:cs="Arial"/>
                <w:b/>
                <w:sz w:val="18"/>
                <w:szCs w:val="22"/>
              </w:rPr>
            </w:pPr>
            <w:r w:rsidRPr="00EE53E9">
              <w:rPr>
                <w:rFonts w:cs="Arial"/>
                <w:b/>
                <w:sz w:val="18"/>
                <w:szCs w:val="22"/>
              </w:rPr>
              <w:t>PNG</w:t>
            </w:r>
          </w:p>
        </w:tc>
        <w:tc>
          <w:tcPr>
            <w:tcW w:w="1020" w:type="dxa"/>
            <w:shd w:val="clear" w:color="auto" w:fill="C5E0B3" w:themeFill="accent6" w:themeFillTint="66"/>
          </w:tcPr>
          <w:p w14:paraId="0369F93D" w14:textId="77777777" w:rsidR="00EF59E3" w:rsidRPr="00EE53E9" w:rsidRDefault="00EF59E3" w:rsidP="00976964">
            <w:pPr>
              <w:spacing w:before="80" w:after="80"/>
              <w:jc w:val="center"/>
              <w:rPr>
                <w:rFonts w:cs="Arial"/>
                <w:b/>
                <w:sz w:val="18"/>
                <w:szCs w:val="22"/>
              </w:rPr>
            </w:pPr>
            <w:r w:rsidRPr="00EE53E9">
              <w:rPr>
                <w:rFonts w:cs="Arial"/>
                <w:b/>
                <w:sz w:val="18"/>
                <w:szCs w:val="22"/>
              </w:rPr>
              <w:t>Solomon Islands</w:t>
            </w:r>
          </w:p>
        </w:tc>
        <w:tc>
          <w:tcPr>
            <w:tcW w:w="1021" w:type="dxa"/>
            <w:shd w:val="clear" w:color="auto" w:fill="C5E0B3" w:themeFill="accent6" w:themeFillTint="66"/>
          </w:tcPr>
          <w:p w14:paraId="138B4F7C" w14:textId="77777777" w:rsidR="00EF59E3" w:rsidRPr="00EE53E9" w:rsidRDefault="00EF59E3" w:rsidP="00976964">
            <w:pPr>
              <w:spacing w:before="80" w:after="80"/>
              <w:jc w:val="center"/>
              <w:rPr>
                <w:rFonts w:cs="Arial"/>
                <w:b/>
                <w:sz w:val="18"/>
                <w:szCs w:val="22"/>
              </w:rPr>
            </w:pPr>
            <w:r w:rsidRPr="00EE53E9">
              <w:rPr>
                <w:rFonts w:cs="Arial"/>
                <w:b/>
                <w:sz w:val="18"/>
                <w:szCs w:val="22"/>
              </w:rPr>
              <w:t>Samoa</w:t>
            </w:r>
          </w:p>
        </w:tc>
        <w:tc>
          <w:tcPr>
            <w:tcW w:w="1021" w:type="dxa"/>
            <w:shd w:val="clear" w:color="auto" w:fill="C5E0B3" w:themeFill="accent6" w:themeFillTint="66"/>
          </w:tcPr>
          <w:p w14:paraId="627515F8" w14:textId="77777777" w:rsidR="00EF59E3" w:rsidRPr="00EE53E9" w:rsidRDefault="00EF59E3" w:rsidP="00976964">
            <w:pPr>
              <w:spacing w:before="80" w:after="80"/>
              <w:jc w:val="center"/>
              <w:rPr>
                <w:rFonts w:cs="Arial"/>
                <w:b/>
                <w:sz w:val="18"/>
                <w:szCs w:val="22"/>
              </w:rPr>
            </w:pPr>
            <w:r w:rsidRPr="00EE53E9">
              <w:rPr>
                <w:rFonts w:cs="Arial"/>
                <w:b/>
                <w:sz w:val="18"/>
                <w:szCs w:val="22"/>
              </w:rPr>
              <w:t>Vanuatu</w:t>
            </w:r>
          </w:p>
        </w:tc>
      </w:tr>
      <w:tr w:rsidR="00DF7C96" w:rsidRPr="00EE53E9" w14:paraId="3FCB4C39" w14:textId="77777777" w:rsidTr="00976964">
        <w:tc>
          <w:tcPr>
            <w:tcW w:w="2268" w:type="dxa"/>
          </w:tcPr>
          <w:p w14:paraId="5771FA7D" w14:textId="77777777" w:rsidR="00EF59E3" w:rsidRPr="00EE53E9" w:rsidRDefault="00EF59E3" w:rsidP="00EE53E9">
            <w:pPr>
              <w:spacing w:before="20" w:after="20"/>
              <w:rPr>
                <w:rFonts w:cs="Arial"/>
                <w:sz w:val="18"/>
                <w:szCs w:val="22"/>
              </w:rPr>
            </w:pPr>
            <w:r w:rsidRPr="00EE53E9">
              <w:rPr>
                <w:rFonts w:cs="Arial"/>
                <w:sz w:val="18"/>
                <w:szCs w:val="22"/>
              </w:rPr>
              <w:t>Employers</w:t>
            </w:r>
          </w:p>
        </w:tc>
        <w:tc>
          <w:tcPr>
            <w:tcW w:w="1020" w:type="dxa"/>
          </w:tcPr>
          <w:p w14:paraId="4AA36CCB" w14:textId="77777777" w:rsidR="00EF59E3" w:rsidRPr="00EE53E9" w:rsidRDefault="00EF59E3" w:rsidP="00EE53E9">
            <w:pPr>
              <w:spacing w:before="20" w:after="20"/>
              <w:jc w:val="center"/>
              <w:rPr>
                <w:rFonts w:cs="Arial"/>
                <w:sz w:val="18"/>
                <w:szCs w:val="22"/>
              </w:rPr>
            </w:pPr>
            <w:r w:rsidRPr="00EE53E9">
              <w:rPr>
                <w:rFonts w:cs="Arial"/>
                <w:sz w:val="18"/>
                <w:szCs w:val="22"/>
              </w:rPr>
              <w:t>3</w:t>
            </w:r>
          </w:p>
        </w:tc>
        <w:tc>
          <w:tcPr>
            <w:tcW w:w="1021" w:type="dxa"/>
          </w:tcPr>
          <w:p w14:paraId="7A918A59"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0" w:type="dxa"/>
          </w:tcPr>
          <w:p w14:paraId="3C757A09"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01D76EEF" w14:textId="77777777" w:rsidR="00EF59E3" w:rsidRPr="00EE53E9" w:rsidRDefault="00EF59E3" w:rsidP="00EE53E9">
            <w:pPr>
              <w:spacing w:before="20" w:after="20"/>
              <w:jc w:val="center"/>
              <w:rPr>
                <w:rFonts w:cs="Arial"/>
                <w:sz w:val="18"/>
                <w:szCs w:val="22"/>
              </w:rPr>
            </w:pPr>
            <w:r w:rsidRPr="00EE53E9">
              <w:rPr>
                <w:rFonts w:cs="Arial"/>
                <w:sz w:val="18"/>
                <w:szCs w:val="22"/>
              </w:rPr>
              <w:t>3</w:t>
            </w:r>
          </w:p>
        </w:tc>
        <w:tc>
          <w:tcPr>
            <w:tcW w:w="1021" w:type="dxa"/>
          </w:tcPr>
          <w:p w14:paraId="40C77B20" w14:textId="77777777" w:rsidR="00EF59E3" w:rsidRPr="00EE53E9" w:rsidRDefault="00EF59E3" w:rsidP="00EE53E9">
            <w:pPr>
              <w:spacing w:before="20" w:after="20"/>
              <w:jc w:val="center"/>
              <w:rPr>
                <w:rFonts w:cs="Arial"/>
                <w:sz w:val="18"/>
                <w:szCs w:val="22"/>
              </w:rPr>
            </w:pPr>
            <w:r w:rsidRPr="00EE53E9">
              <w:rPr>
                <w:rFonts w:cs="Arial"/>
                <w:sz w:val="18"/>
                <w:szCs w:val="22"/>
              </w:rPr>
              <w:t>2</w:t>
            </w:r>
          </w:p>
        </w:tc>
      </w:tr>
      <w:tr w:rsidR="00DF7C96" w:rsidRPr="00EE53E9" w14:paraId="324E0B1C" w14:textId="77777777" w:rsidTr="00976964">
        <w:tc>
          <w:tcPr>
            <w:tcW w:w="2268" w:type="dxa"/>
          </w:tcPr>
          <w:p w14:paraId="75381021" w14:textId="77777777" w:rsidR="00EF59E3" w:rsidRPr="00EE53E9" w:rsidRDefault="00EF59E3" w:rsidP="00EE53E9">
            <w:pPr>
              <w:spacing w:before="20" w:after="20"/>
              <w:rPr>
                <w:rFonts w:cs="Arial"/>
                <w:sz w:val="18"/>
                <w:szCs w:val="22"/>
              </w:rPr>
            </w:pPr>
            <w:r w:rsidRPr="00EE53E9">
              <w:rPr>
                <w:rFonts w:cs="Arial"/>
                <w:sz w:val="18"/>
                <w:szCs w:val="22"/>
              </w:rPr>
              <w:t xml:space="preserve">Trainers </w:t>
            </w:r>
          </w:p>
        </w:tc>
        <w:tc>
          <w:tcPr>
            <w:tcW w:w="1020" w:type="dxa"/>
          </w:tcPr>
          <w:p w14:paraId="02CFB1A3" w14:textId="77777777" w:rsidR="00EF59E3" w:rsidRPr="00EE53E9" w:rsidRDefault="00EF59E3" w:rsidP="00EE53E9">
            <w:pPr>
              <w:spacing w:before="20" w:after="20"/>
              <w:jc w:val="center"/>
              <w:rPr>
                <w:rFonts w:cs="Arial"/>
                <w:sz w:val="18"/>
                <w:szCs w:val="22"/>
              </w:rPr>
            </w:pPr>
            <w:r w:rsidRPr="00EE53E9">
              <w:rPr>
                <w:rFonts w:cs="Arial"/>
                <w:sz w:val="18"/>
                <w:szCs w:val="22"/>
              </w:rPr>
              <w:t>3</w:t>
            </w:r>
          </w:p>
        </w:tc>
        <w:tc>
          <w:tcPr>
            <w:tcW w:w="1021" w:type="dxa"/>
          </w:tcPr>
          <w:p w14:paraId="74DE6033"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0" w:type="dxa"/>
          </w:tcPr>
          <w:p w14:paraId="121D8842"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1200FC9C"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4AE79BBA"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r>
      <w:tr w:rsidR="00DF7C96" w:rsidRPr="00EE53E9" w14:paraId="29446D9F" w14:textId="77777777" w:rsidTr="00976964">
        <w:tc>
          <w:tcPr>
            <w:tcW w:w="2268" w:type="dxa"/>
          </w:tcPr>
          <w:p w14:paraId="770CF128" w14:textId="77777777" w:rsidR="00EF59E3" w:rsidRPr="00EE53E9" w:rsidRDefault="00EF59E3" w:rsidP="00EE53E9">
            <w:pPr>
              <w:spacing w:before="20" w:after="20"/>
              <w:rPr>
                <w:rFonts w:cs="Arial"/>
                <w:sz w:val="18"/>
                <w:szCs w:val="22"/>
              </w:rPr>
            </w:pPr>
            <w:r w:rsidRPr="00EE53E9">
              <w:rPr>
                <w:rFonts w:cs="Arial"/>
                <w:sz w:val="18"/>
                <w:szCs w:val="22"/>
              </w:rPr>
              <w:t>Tutors</w:t>
            </w:r>
          </w:p>
        </w:tc>
        <w:tc>
          <w:tcPr>
            <w:tcW w:w="1020" w:type="dxa"/>
          </w:tcPr>
          <w:p w14:paraId="468C9061" w14:textId="77777777" w:rsidR="00EF59E3" w:rsidRPr="00EE53E9" w:rsidRDefault="00EF59E3" w:rsidP="00EE53E9">
            <w:pPr>
              <w:spacing w:before="20" w:after="20"/>
              <w:jc w:val="center"/>
              <w:rPr>
                <w:rFonts w:cs="Arial"/>
                <w:sz w:val="18"/>
                <w:szCs w:val="22"/>
              </w:rPr>
            </w:pPr>
            <w:r w:rsidRPr="00EE53E9">
              <w:rPr>
                <w:rFonts w:cs="Arial"/>
                <w:sz w:val="18"/>
                <w:szCs w:val="22"/>
              </w:rPr>
              <w:t>2</w:t>
            </w:r>
          </w:p>
        </w:tc>
        <w:tc>
          <w:tcPr>
            <w:tcW w:w="1021" w:type="dxa"/>
          </w:tcPr>
          <w:p w14:paraId="198BB507"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0" w:type="dxa"/>
          </w:tcPr>
          <w:p w14:paraId="1FAC9494" w14:textId="77777777" w:rsidR="00EF59E3" w:rsidRPr="00EE53E9" w:rsidRDefault="00EF59E3" w:rsidP="00EE53E9">
            <w:pPr>
              <w:spacing w:before="20" w:after="20"/>
              <w:jc w:val="center"/>
              <w:rPr>
                <w:rFonts w:cs="Arial"/>
                <w:sz w:val="18"/>
                <w:szCs w:val="22"/>
              </w:rPr>
            </w:pPr>
          </w:p>
        </w:tc>
        <w:tc>
          <w:tcPr>
            <w:tcW w:w="1021" w:type="dxa"/>
          </w:tcPr>
          <w:p w14:paraId="3ACCACBC"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590B8043"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r>
      <w:tr w:rsidR="00DF7C96" w:rsidRPr="00EE53E9" w14:paraId="2C741D62" w14:textId="77777777" w:rsidTr="00976964">
        <w:tc>
          <w:tcPr>
            <w:tcW w:w="2268" w:type="dxa"/>
          </w:tcPr>
          <w:p w14:paraId="412E3A17" w14:textId="77777777" w:rsidR="00EF59E3" w:rsidRPr="00EE53E9" w:rsidRDefault="00EF59E3" w:rsidP="00EE53E9">
            <w:pPr>
              <w:spacing w:before="20" w:after="20"/>
              <w:rPr>
                <w:rFonts w:cs="Arial"/>
                <w:sz w:val="18"/>
                <w:szCs w:val="22"/>
              </w:rPr>
            </w:pPr>
            <w:r w:rsidRPr="00EE53E9">
              <w:rPr>
                <w:rFonts w:cs="Arial"/>
                <w:sz w:val="18"/>
                <w:szCs w:val="22"/>
              </w:rPr>
              <w:t>Students</w:t>
            </w:r>
          </w:p>
        </w:tc>
        <w:tc>
          <w:tcPr>
            <w:tcW w:w="1020" w:type="dxa"/>
          </w:tcPr>
          <w:p w14:paraId="25774937" w14:textId="77777777" w:rsidR="00EF59E3" w:rsidRPr="00EE53E9" w:rsidRDefault="00EF59E3" w:rsidP="00EE53E9">
            <w:pPr>
              <w:spacing w:before="20" w:after="20"/>
              <w:jc w:val="center"/>
              <w:rPr>
                <w:rFonts w:cs="Arial"/>
                <w:sz w:val="18"/>
                <w:szCs w:val="22"/>
              </w:rPr>
            </w:pPr>
            <w:r w:rsidRPr="00EE53E9">
              <w:rPr>
                <w:rFonts w:cs="Arial"/>
                <w:sz w:val="18"/>
                <w:szCs w:val="22"/>
              </w:rPr>
              <w:t>4</w:t>
            </w:r>
          </w:p>
        </w:tc>
        <w:tc>
          <w:tcPr>
            <w:tcW w:w="1021" w:type="dxa"/>
          </w:tcPr>
          <w:p w14:paraId="6C409A0B" w14:textId="77777777" w:rsidR="00EF59E3" w:rsidRPr="00EE53E9" w:rsidRDefault="00EF59E3" w:rsidP="00EE53E9">
            <w:pPr>
              <w:spacing w:before="20" w:after="20"/>
              <w:jc w:val="center"/>
              <w:rPr>
                <w:rFonts w:cs="Arial"/>
                <w:sz w:val="18"/>
                <w:szCs w:val="22"/>
              </w:rPr>
            </w:pPr>
            <w:r w:rsidRPr="00EE53E9">
              <w:rPr>
                <w:rFonts w:cs="Arial"/>
                <w:sz w:val="18"/>
                <w:szCs w:val="22"/>
              </w:rPr>
              <w:t>2</w:t>
            </w:r>
          </w:p>
        </w:tc>
        <w:tc>
          <w:tcPr>
            <w:tcW w:w="1020" w:type="dxa"/>
          </w:tcPr>
          <w:p w14:paraId="05629AC0"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32D769E1" w14:textId="77777777" w:rsidR="00EF59E3" w:rsidRPr="00EE53E9" w:rsidRDefault="00EF59E3" w:rsidP="00EE53E9">
            <w:pPr>
              <w:spacing w:before="20" w:after="20"/>
              <w:jc w:val="center"/>
              <w:rPr>
                <w:rFonts w:cs="Arial"/>
                <w:sz w:val="18"/>
                <w:szCs w:val="22"/>
              </w:rPr>
            </w:pPr>
            <w:r w:rsidRPr="00EE53E9">
              <w:rPr>
                <w:rFonts w:cs="Arial"/>
                <w:sz w:val="18"/>
                <w:szCs w:val="22"/>
              </w:rPr>
              <w:t>2</w:t>
            </w:r>
          </w:p>
        </w:tc>
        <w:tc>
          <w:tcPr>
            <w:tcW w:w="1021" w:type="dxa"/>
          </w:tcPr>
          <w:p w14:paraId="0D05A413"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r>
      <w:tr w:rsidR="00DF7C96" w:rsidRPr="00EE53E9" w14:paraId="5B2576AD" w14:textId="77777777" w:rsidTr="00976964">
        <w:tc>
          <w:tcPr>
            <w:tcW w:w="2268" w:type="dxa"/>
          </w:tcPr>
          <w:p w14:paraId="7D980014" w14:textId="77777777" w:rsidR="00EF59E3" w:rsidRPr="00EE53E9" w:rsidRDefault="00EF59E3" w:rsidP="00EE53E9">
            <w:pPr>
              <w:spacing w:before="20" w:after="20"/>
              <w:rPr>
                <w:rFonts w:cs="Arial"/>
                <w:sz w:val="18"/>
                <w:szCs w:val="22"/>
              </w:rPr>
            </w:pPr>
            <w:r w:rsidRPr="00EE53E9">
              <w:rPr>
                <w:rFonts w:cs="Arial"/>
                <w:sz w:val="18"/>
                <w:szCs w:val="22"/>
              </w:rPr>
              <w:t>Graduates</w:t>
            </w:r>
          </w:p>
        </w:tc>
        <w:tc>
          <w:tcPr>
            <w:tcW w:w="1020" w:type="dxa"/>
          </w:tcPr>
          <w:p w14:paraId="4B480A68" w14:textId="77777777" w:rsidR="00EF59E3" w:rsidRPr="00EE53E9" w:rsidRDefault="00EF59E3" w:rsidP="00EE53E9">
            <w:pPr>
              <w:spacing w:before="20" w:after="20"/>
              <w:jc w:val="center"/>
              <w:rPr>
                <w:rFonts w:cs="Arial"/>
                <w:sz w:val="18"/>
                <w:szCs w:val="22"/>
              </w:rPr>
            </w:pPr>
            <w:r w:rsidRPr="00EE53E9">
              <w:rPr>
                <w:rFonts w:cs="Arial"/>
                <w:sz w:val="18"/>
                <w:szCs w:val="22"/>
              </w:rPr>
              <w:t>4</w:t>
            </w:r>
          </w:p>
        </w:tc>
        <w:tc>
          <w:tcPr>
            <w:tcW w:w="1021" w:type="dxa"/>
          </w:tcPr>
          <w:p w14:paraId="25C41D76" w14:textId="77777777" w:rsidR="00EF59E3" w:rsidRPr="00EE53E9" w:rsidRDefault="00EF59E3" w:rsidP="00EE53E9">
            <w:pPr>
              <w:spacing w:before="20" w:after="20"/>
              <w:jc w:val="center"/>
              <w:rPr>
                <w:rFonts w:cs="Arial"/>
                <w:sz w:val="18"/>
                <w:szCs w:val="22"/>
              </w:rPr>
            </w:pPr>
            <w:r w:rsidRPr="00EE53E9">
              <w:rPr>
                <w:rFonts w:cs="Arial"/>
                <w:sz w:val="18"/>
                <w:szCs w:val="22"/>
              </w:rPr>
              <w:t>2</w:t>
            </w:r>
          </w:p>
        </w:tc>
        <w:tc>
          <w:tcPr>
            <w:tcW w:w="1020" w:type="dxa"/>
          </w:tcPr>
          <w:p w14:paraId="6FAAFDFF"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0DDF2071"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43EC4BD1"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r>
      <w:tr w:rsidR="00DF7C96" w:rsidRPr="00EE53E9" w14:paraId="47FD2276" w14:textId="77777777" w:rsidTr="00976964">
        <w:tc>
          <w:tcPr>
            <w:tcW w:w="2268" w:type="dxa"/>
          </w:tcPr>
          <w:p w14:paraId="4746BE50" w14:textId="77777777" w:rsidR="00EF59E3" w:rsidRPr="00EE53E9" w:rsidRDefault="00EF59E3" w:rsidP="00EE53E9">
            <w:pPr>
              <w:spacing w:before="20" w:after="20"/>
              <w:rPr>
                <w:rFonts w:cs="Arial"/>
                <w:sz w:val="18"/>
                <w:szCs w:val="22"/>
              </w:rPr>
            </w:pPr>
            <w:r w:rsidRPr="00EE53E9">
              <w:rPr>
                <w:rFonts w:cs="Arial"/>
                <w:sz w:val="18"/>
                <w:szCs w:val="22"/>
              </w:rPr>
              <w:t>APTC administrative staff</w:t>
            </w:r>
          </w:p>
        </w:tc>
        <w:tc>
          <w:tcPr>
            <w:tcW w:w="1020" w:type="dxa"/>
          </w:tcPr>
          <w:p w14:paraId="7FFFD960"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154341AC"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0" w:type="dxa"/>
          </w:tcPr>
          <w:p w14:paraId="503B1875"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06262A75"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c>
          <w:tcPr>
            <w:tcW w:w="1021" w:type="dxa"/>
          </w:tcPr>
          <w:p w14:paraId="013777D7" w14:textId="77777777" w:rsidR="00EF59E3" w:rsidRPr="00EE53E9" w:rsidRDefault="00EF59E3" w:rsidP="00EE53E9">
            <w:pPr>
              <w:spacing w:before="20" w:after="20"/>
              <w:jc w:val="center"/>
              <w:rPr>
                <w:rFonts w:cs="Arial"/>
                <w:sz w:val="18"/>
                <w:szCs w:val="22"/>
              </w:rPr>
            </w:pPr>
            <w:r w:rsidRPr="00EE53E9">
              <w:rPr>
                <w:rFonts w:cs="Arial"/>
                <w:sz w:val="18"/>
                <w:szCs w:val="22"/>
              </w:rPr>
              <w:t>1</w:t>
            </w:r>
          </w:p>
        </w:tc>
      </w:tr>
      <w:tr w:rsidR="00DF7C96" w:rsidRPr="00177397" w14:paraId="2CDC288B" w14:textId="77777777" w:rsidTr="00642C11">
        <w:tc>
          <w:tcPr>
            <w:tcW w:w="2268" w:type="dxa"/>
            <w:shd w:val="clear" w:color="auto" w:fill="E2EFD9" w:themeFill="accent6" w:themeFillTint="33"/>
          </w:tcPr>
          <w:p w14:paraId="551FDAEA" w14:textId="77777777" w:rsidR="00EF59E3" w:rsidRPr="009C76A7" w:rsidRDefault="00EF59E3" w:rsidP="00EE53E9">
            <w:pPr>
              <w:spacing w:before="20" w:after="20"/>
              <w:rPr>
                <w:rFonts w:cs="Arial"/>
                <w:b/>
                <w:sz w:val="18"/>
                <w:szCs w:val="22"/>
              </w:rPr>
            </w:pPr>
            <w:r w:rsidRPr="009C76A7">
              <w:rPr>
                <w:rFonts w:cs="Arial"/>
                <w:b/>
                <w:sz w:val="18"/>
                <w:szCs w:val="22"/>
              </w:rPr>
              <w:t>Total</w:t>
            </w:r>
          </w:p>
        </w:tc>
        <w:tc>
          <w:tcPr>
            <w:tcW w:w="1020" w:type="dxa"/>
            <w:shd w:val="clear" w:color="auto" w:fill="E2EFD9" w:themeFill="accent6" w:themeFillTint="33"/>
          </w:tcPr>
          <w:p w14:paraId="421E2457" w14:textId="77777777" w:rsidR="00EF59E3" w:rsidRPr="009C76A7" w:rsidRDefault="00EF59E3" w:rsidP="00EE53E9">
            <w:pPr>
              <w:spacing w:before="20" w:after="20"/>
              <w:jc w:val="center"/>
              <w:rPr>
                <w:rFonts w:cs="Arial"/>
                <w:b/>
                <w:sz w:val="18"/>
                <w:szCs w:val="22"/>
              </w:rPr>
            </w:pPr>
            <w:r w:rsidRPr="009C76A7">
              <w:rPr>
                <w:rFonts w:cs="Arial"/>
                <w:b/>
                <w:sz w:val="18"/>
                <w:szCs w:val="22"/>
              </w:rPr>
              <w:t>17</w:t>
            </w:r>
          </w:p>
        </w:tc>
        <w:tc>
          <w:tcPr>
            <w:tcW w:w="1021" w:type="dxa"/>
            <w:shd w:val="clear" w:color="auto" w:fill="E2EFD9" w:themeFill="accent6" w:themeFillTint="33"/>
          </w:tcPr>
          <w:p w14:paraId="1964F593" w14:textId="77777777" w:rsidR="00EF59E3" w:rsidRPr="009C76A7" w:rsidRDefault="00EF59E3" w:rsidP="00EE53E9">
            <w:pPr>
              <w:spacing w:before="20" w:after="20"/>
              <w:jc w:val="center"/>
              <w:rPr>
                <w:rFonts w:cs="Arial"/>
                <w:b/>
                <w:sz w:val="18"/>
                <w:szCs w:val="22"/>
              </w:rPr>
            </w:pPr>
            <w:r w:rsidRPr="009C76A7">
              <w:rPr>
                <w:rFonts w:cs="Arial"/>
                <w:b/>
                <w:sz w:val="18"/>
                <w:szCs w:val="22"/>
              </w:rPr>
              <w:t>8</w:t>
            </w:r>
          </w:p>
        </w:tc>
        <w:tc>
          <w:tcPr>
            <w:tcW w:w="1020" w:type="dxa"/>
            <w:shd w:val="clear" w:color="auto" w:fill="E2EFD9" w:themeFill="accent6" w:themeFillTint="33"/>
          </w:tcPr>
          <w:p w14:paraId="512DC551" w14:textId="77777777" w:rsidR="00EF59E3" w:rsidRPr="009C76A7" w:rsidRDefault="00EF59E3" w:rsidP="00EE53E9">
            <w:pPr>
              <w:spacing w:before="20" w:after="20"/>
              <w:jc w:val="center"/>
              <w:rPr>
                <w:rFonts w:cs="Arial"/>
                <w:b/>
                <w:sz w:val="18"/>
                <w:szCs w:val="22"/>
              </w:rPr>
            </w:pPr>
            <w:r w:rsidRPr="009C76A7">
              <w:rPr>
                <w:rFonts w:cs="Arial"/>
                <w:b/>
                <w:sz w:val="18"/>
                <w:szCs w:val="22"/>
              </w:rPr>
              <w:t>5</w:t>
            </w:r>
          </w:p>
        </w:tc>
        <w:tc>
          <w:tcPr>
            <w:tcW w:w="1021" w:type="dxa"/>
            <w:shd w:val="clear" w:color="auto" w:fill="E2EFD9" w:themeFill="accent6" w:themeFillTint="33"/>
          </w:tcPr>
          <w:p w14:paraId="63F7A81D" w14:textId="77777777" w:rsidR="00EF59E3" w:rsidRPr="009C76A7" w:rsidRDefault="00EF59E3" w:rsidP="00EE53E9">
            <w:pPr>
              <w:spacing w:before="20" w:after="20"/>
              <w:jc w:val="center"/>
              <w:rPr>
                <w:rFonts w:cs="Arial"/>
                <w:b/>
                <w:sz w:val="18"/>
                <w:szCs w:val="22"/>
              </w:rPr>
            </w:pPr>
            <w:r w:rsidRPr="009C76A7">
              <w:rPr>
                <w:rFonts w:cs="Arial"/>
                <w:b/>
                <w:sz w:val="18"/>
                <w:szCs w:val="22"/>
              </w:rPr>
              <w:t>9</w:t>
            </w:r>
          </w:p>
        </w:tc>
        <w:tc>
          <w:tcPr>
            <w:tcW w:w="1021" w:type="dxa"/>
            <w:shd w:val="clear" w:color="auto" w:fill="E2EFD9" w:themeFill="accent6" w:themeFillTint="33"/>
          </w:tcPr>
          <w:p w14:paraId="2EF94BC2" w14:textId="77777777" w:rsidR="00EF59E3" w:rsidRPr="009C76A7" w:rsidRDefault="00EF59E3" w:rsidP="00EE53E9">
            <w:pPr>
              <w:spacing w:before="20" w:after="20"/>
              <w:jc w:val="center"/>
              <w:rPr>
                <w:rFonts w:cs="Arial"/>
                <w:b/>
                <w:sz w:val="18"/>
                <w:szCs w:val="22"/>
              </w:rPr>
            </w:pPr>
            <w:r w:rsidRPr="009C76A7">
              <w:rPr>
                <w:rFonts w:cs="Arial"/>
                <w:b/>
                <w:sz w:val="18"/>
                <w:szCs w:val="22"/>
              </w:rPr>
              <w:t>8</w:t>
            </w:r>
          </w:p>
        </w:tc>
      </w:tr>
    </w:tbl>
    <w:p w14:paraId="150C38E3" w14:textId="77777777" w:rsidR="00174CE0" w:rsidRDefault="00174CE0" w:rsidP="00EF59E3">
      <w:pPr>
        <w:rPr>
          <w:rFonts w:cs="Arial"/>
        </w:rPr>
      </w:pPr>
    </w:p>
    <w:p w14:paraId="10EF0E85" w14:textId="79039712" w:rsidR="00EF59E3" w:rsidRPr="00E12183" w:rsidRDefault="00EF59E3" w:rsidP="00EF59E3">
      <w:pPr>
        <w:rPr>
          <w:rFonts w:cs="Arial"/>
        </w:rPr>
      </w:pPr>
      <w:r w:rsidRPr="00E12183">
        <w:rPr>
          <w:rFonts w:cs="Arial"/>
        </w:rPr>
        <w:t xml:space="preserve">In addition, TVET officials </w:t>
      </w:r>
      <w:r w:rsidR="00177397" w:rsidRPr="00E12183">
        <w:rPr>
          <w:rFonts w:cs="Arial"/>
        </w:rPr>
        <w:t xml:space="preserve">in Vanuatu </w:t>
      </w:r>
      <w:r w:rsidRPr="00E12183">
        <w:rPr>
          <w:rFonts w:cs="Arial"/>
        </w:rPr>
        <w:t xml:space="preserve">met as a focus group. No tutors are employed yet in the Solomon Islands.  </w:t>
      </w:r>
    </w:p>
    <w:p w14:paraId="3E0CC4AE" w14:textId="60E95DF9" w:rsidR="00D66A16" w:rsidRDefault="00EF59E3" w:rsidP="00EF59E3">
      <w:pPr>
        <w:rPr>
          <w:rFonts w:cs="Arial"/>
        </w:rPr>
      </w:pPr>
      <w:r w:rsidRPr="00E12183">
        <w:rPr>
          <w:rFonts w:cs="Arial"/>
        </w:rPr>
        <w:t xml:space="preserve">Annex </w:t>
      </w:r>
      <w:r w:rsidR="008D5724">
        <w:rPr>
          <w:rFonts w:cs="Arial"/>
        </w:rPr>
        <w:t>2</w:t>
      </w:r>
      <w:r w:rsidR="008D5724" w:rsidRPr="00E12183">
        <w:rPr>
          <w:rFonts w:cs="Arial"/>
        </w:rPr>
        <w:t xml:space="preserve"> </w:t>
      </w:r>
      <w:r w:rsidRPr="00E12183">
        <w:rPr>
          <w:rFonts w:cs="Arial"/>
        </w:rPr>
        <w:t xml:space="preserve">lists the people and organisations consulted. </w:t>
      </w:r>
    </w:p>
    <w:p w14:paraId="73C70354" w14:textId="77777777" w:rsidR="00D66A16" w:rsidRDefault="00D66A16">
      <w:pPr>
        <w:spacing w:after="0"/>
        <w:rPr>
          <w:rFonts w:cs="Arial"/>
        </w:rPr>
      </w:pPr>
      <w:r>
        <w:rPr>
          <w:rFonts w:cs="Arial"/>
        </w:rPr>
        <w:br w:type="page"/>
      </w:r>
    </w:p>
    <w:p w14:paraId="0AE2222D" w14:textId="77777777" w:rsidR="00EF59E3" w:rsidRPr="00EF59E3" w:rsidRDefault="00EF59E3" w:rsidP="00EF59E3">
      <w:pPr>
        <w:pStyle w:val="Heading2"/>
      </w:pPr>
      <w:bookmarkStart w:id="29" w:name="_Toc278710503"/>
      <w:r w:rsidRPr="00EF59E3">
        <w:lastRenderedPageBreak/>
        <w:t>Limitations</w:t>
      </w:r>
      <w:bookmarkEnd w:id="29"/>
    </w:p>
    <w:p w14:paraId="6057AE39" w14:textId="7CB64317" w:rsidR="00C86D56" w:rsidRDefault="00EF59E3" w:rsidP="00715447">
      <w:pPr>
        <w:rPr>
          <w:rFonts w:cs="Arial"/>
        </w:rPr>
      </w:pPr>
      <w:r w:rsidRPr="00E12183">
        <w:rPr>
          <w:rFonts w:cs="Arial"/>
        </w:rPr>
        <w:t>Limitations of the review include</w:t>
      </w:r>
      <w:r w:rsidR="0097565A">
        <w:rPr>
          <w:rFonts w:cs="Arial"/>
        </w:rPr>
        <w:t xml:space="preserve"> the following areas.</w:t>
      </w:r>
    </w:p>
    <w:p w14:paraId="4CF8946B" w14:textId="7738D4F2" w:rsidR="00C86D56" w:rsidRDefault="0097565A" w:rsidP="00DF7C96">
      <w:pPr>
        <w:pStyle w:val="ListParagraph"/>
        <w:numPr>
          <w:ilvl w:val="0"/>
          <w:numId w:val="39"/>
        </w:numPr>
        <w:rPr>
          <w:rFonts w:cs="Arial"/>
        </w:rPr>
      </w:pPr>
      <w:r>
        <w:rPr>
          <w:rFonts w:cs="Arial"/>
        </w:rPr>
        <w:t>T</w:t>
      </w:r>
      <w:r w:rsidR="00C86D56">
        <w:rPr>
          <w:rFonts w:cs="Arial"/>
        </w:rPr>
        <w:t>he lack of access to a current, official position on DFAT’s strategy in the Pacific and long-term vision for APTC</w:t>
      </w:r>
      <w:r w:rsidR="002E3F9C">
        <w:rPr>
          <w:rFonts w:cs="Arial"/>
        </w:rPr>
        <w:t xml:space="preserve"> (see section 1.8)</w:t>
      </w:r>
      <w:r>
        <w:rPr>
          <w:rFonts w:cs="Arial"/>
        </w:rPr>
        <w:t>.</w:t>
      </w:r>
    </w:p>
    <w:p w14:paraId="6AC61050" w14:textId="04BC207B" w:rsidR="00C86D56" w:rsidRDefault="0097565A" w:rsidP="00DF7C96">
      <w:pPr>
        <w:pStyle w:val="ListParagraph"/>
        <w:numPr>
          <w:ilvl w:val="0"/>
          <w:numId w:val="39"/>
        </w:numPr>
        <w:rPr>
          <w:rFonts w:cs="Arial"/>
        </w:rPr>
      </w:pPr>
      <w:r>
        <w:rPr>
          <w:rFonts w:cs="Arial"/>
        </w:rPr>
        <w:t>G</w:t>
      </w:r>
      <w:r w:rsidR="00C86D56">
        <w:rPr>
          <w:rFonts w:cs="Arial"/>
        </w:rPr>
        <w:t xml:space="preserve">iven the complexity of APTC’s operating environment, </w:t>
      </w:r>
      <w:r w:rsidR="00EF59E3" w:rsidRPr="00C86D56">
        <w:rPr>
          <w:rFonts w:cs="Arial"/>
        </w:rPr>
        <w:t xml:space="preserve">the </w:t>
      </w:r>
      <w:r w:rsidR="00C86D56">
        <w:rPr>
          <w:rFonts w:cs="Arial"/>
        </w:rPr>
        <w:t xml:space="preserve">relatively </w:t>
      </w:r>
      <w:r w:rsidR="00EF59E3" w:rsidRPr="00C86D56">
        <w:rPr>
          <w:rFonts w:cs="Arial"/>
        </w:rPr>
        <w:t xml:space="preserve">short time </w:t>
      </w:r>
      <w:r w:rsidR="00C86D56">
        <w:rPr>
          <w:rFonts w:cs="Arial"/>
        </w:rPr>
        <w:t xml:space="preserve">spent by the team </w:t>
      </w:r>
      <w:r w:rsidR="00EF59E3" w:rsidRPr="00C86D56">
        <w:rPr>
          <w:rFonts w:cs="Arial"/>
        </w:rPr>
        <w:t>in</w:t>
      </w:r>
      <w:r w:rsidR="008D5724" w:rsidRPr="00C86D56">
        <w:rPr>
          <w:rFonts w:cs="Arial"/>
        </w:rPr>
        <w:t>-</w:t>
      </w:r>
      <w:r w:rsidR="00EF59E3" w:rsidRPr="00C86D56">
        <w:rPr>
          <w:rFonts w:cs="Arial"/>
        </w:rPr>
        <w:t>country</w:t>
      </w:r>
      <w:r w:rsidR="00EF59E3" w:rsidRPr="008D5724">
        <w:rPr>
          <w:szCs w:val="22"/>
          <w:vertAlign w:val="superscript"/>
        </w:rPr>
        <w:footnoteReference w:id="7"/>
      </w:r>
      <w:r w:rsidR="00EF59E3" w:rsidRPr="00C86D56">
        <w:rPr>
          <w:rFonts w:cs="Arial"/>
        </w:rPr>
        <w:t>,</w:t>
      </w:r>
      <w:r w:rsidR="00C86D56">
        <w:rPr>
          <w:rFonts w:cs="Arial"/>
        </w:rPr>
        <w:t xml:space="preserve"> which presented challenges in understanding and evaluating APTC’s performance and progress by campus countries</w:t>
      </w:r>
      <w:r>
        <w:rPr>
          <w:rFonts w:cs="Arial"/>
        </w:rPr>
        <w:t>.</w:t>
      </w:r>
    </w:p>
    <w:p w14:paraId="782109F7" w14:textId="02C718F8" w:rsidR="00715447" w:rsidRDefault="0097565A" w:rsidP="00DF7C96">
      <w:pPr>
        <w:pStyle w:val="ListParagraph"/>
        <w:numPr>
          <w:ilvl w:val="0"/>
          <w:numId w:val="39"/>
        </w:numPr>
        <w:rPr>
          <w:rFonts w:cs="Arial"/>
        </w:rPr>
      </w:pPr>
      <w:r>
        <w:rPr>
          <w:rFonts w:cs="Arial"/>
        </w:rPr>
        <w:t>T</w:t>
      </w:r>
      <w:r w:rsidR="00EF59E3" w:rsidRPr="00C86D56">
        <w:rPr>
          <w:rFonts w:cs="Arial"/>
        </w:rPr>
        <w:t>he lack of data on graduate outcomes</w:t>
      </w:r>
      <w:r>
        <w:rPr>
          <w:rFonts w:cs="Arial"/>
        </w:rPr>
        <w:t>:</w:t>
      </w:r>
      <w:r w:rsidRPr="00C86D56">
        <w:rPr>
          <w:rFonts w:cs="Arial"/>
        </w:rPr>
        <w:t xml:space="preserve"> </w:t>
      </w:r>
      <w:r>
        <w:rPr>
          <w:rFonts w:cs="Arial"/>
        </w:rPr>
        <w:t>i</w:t>
      </w:r>
      <w:r w:rsidR="00715447" w:rsidRPr="00C86D56">
        <w:rPr>
          <w:rFonts w:cs="Arial"/>
        </w:rPr>
        <w:t xml:space="preserve">n particular, the low response rates for APTC graduate surveys meant </w:t>
      </w:r>
      <w:r w:rsidR="00C86D56">
        <w:rPr>
          <w:rFonts w:cs="Arial"/>
        </w:rPr>
        <w:t xml:space="preserve">that </w:t>
      </w:r>
      <w:r w:rsidR="00715447" w:rsidRPr="00C86D56">
        <w:rPr>
          <w:rFonts w:cs="Arial"/>
        </w:rPr>
        <w:t xml:space="preserve">little information was available about employment outcomes for specific qualifications. These low </w:t>
      </w:r>
      <w:r w:rsidR="002E3F9C">
        <w:rPr>
          <w:rFonts w:cs="Arial"/>
        </w:rPr>
        <w:t xml:space="preserve">tracer </w:t>
      </w:r>
      <w:r w:rsidR="00715447" w:rsidRPr="00C86D56">
        <w:rPr>
          <w:rFonts w:cs="Arial"/>
        </w:rPr>
        <w:t>response rates precluded any more detailed analysis of employment outcomes by qualification for each of the campus countries. In addition, the annual tracer surveys did not collect data on the gender of the graduate, post-graduation wage or whether the graduate had migrated overseas.</w:t>
      </w:r>
      <w:r w:rsidR="00A756F8">
        <w:rPr>
          <w:rFonts w:cs="Arial"/>
        </w:rPr>
        <w:t xml:space="preserve"> Still</w:t>
      </w:r>
      <w:r w:rsidR="00A756F8" w:rsidRPr="00A756F8">
        <w:rPr>
          <w:rFonts w:cs="Arial"/>
        </w:rPr>
        <w:t xml:space="preserve">, </w:t>
      </w:r>
      <w:r w:rsidR="00A756F8">
        <w:rPr>
          <w:rFonts w:cs="Arial"/>
        </w:rPr>
        <w:t xml:space="preserve">despite their limitations, </w:t>
      </w:r>
      <w:r w:rsidR="00A756F8" w:rsidRPr="00A756F8">
        <w:rPr>
          <w:rFonts w:cs="Arial"/>
        </w:rPr>
        <w:t>the availability of different data sets on graduate and employers outcomes provide</w:t>
      </w:r>
      <w:r w:rsidR="00A756F8">
        <w:rPr>
          <w:rFonts w:cs="Arial"/>
        </w:rPr>
        <w:t>s</w:t>
      </w:r>
      <w:r w:rsidR="00A756F8" w:rsidRPr="00A756F8">
        <w:rPr>
          <w:rFonts w:cs="Arial"/>
        </w:rPr>
        <w:t xml:space="preserve"> a </w:t>
      </w:r>
      <w:r w:rsidR="00A756F8">
        <w:rPr>
          <w:rFonts w:cs="Arial"/>
        </w:rPr>
        <w:t xml:space="preserve">better </w:t>
      </w:r>
      <w:r w:rsidR="00A756F8" w:rsidRPr="00A756F8">
        <w:rPr>
          <w:rFonts w:cs="Arial"/>
        </w:rPr>
        <w:t xml:space="preserve">basis for drawing conclusions than reliance on any one </w:t>
      </w:r>
      <w:r w:rsidR="00A756F8">
        <w:rPr>
          <w:rFonts w:cs="Arial"/>
        </w:rPr>
        <w:t>source of data</w:t>
      </w:r>
      <w:r w:rsidR="00A756F8" w:rsidRPr="00A756F8">
        <w:rPr>
          <w:rFonts w:cs="Arial"/>
        </w:rPr>
        <w:t>.</w:t>
      </w:r>
    </w:p>
    <w:p w14:paraId="52C6A038" w14:textId="2B158683" w:rsidR="002E3F9C" w:rsidRDefault="0097565A" w:rsidP="002E3F9C">
      <w:pPr>
        <w:pStyle w:val="ListParagraph"/>
        <w:numPr>
          <w:ilvl w:val="0"/>
          <w:numId w:val="39"/>
        </w:numPr>
        <w:rPr>
          <w:rFonts w:cs="Arial"/>
        </w:rPr>
      </w:pPr>
      <w:r>
        <w:rPr>
          <w:rFonts w:cs="Arial"/>
        </w:rPr>
        <w:t>I</w:t>
      </w:r>
      <w:r w:rsidR="002E3F9C" w:rsidRPr="00E12183">
        <w:rPr>
          <w:rFonts w:cs="Arial"/>
        </w:rPr>
        <w:t xml:space="preserve">n advance of the review, </w:t>
      </w:r>
      <w:r w:rsidR="002E3F9C">
        <w:rPr>
          <w:rFonts w:cs="Arial"/>
        </w:rPr>
        <w:t xml:space="preserve">a </w:t>
      </w:r>
      <w:r w:rsidR="002E3F9C" w:rsidRPr="00E12183">
        <w:rPr>
          <w:rFonts w:cs="Arial"/>
        </w:rPr>
        <w:t>lack of information on the pre- and post-training earnings of APTC graduates</w:t>
      </w:r>
      <w:r>
        <w:rPr>
          <w:rFonts w:cs="Arial"/>
        </w:rPr>
        <w:t>.</w:t>
      </w:r>
    </w:p>
    <w:p w14:paraId="2688475C" w14:textId="548A13B8" w:rsidR="00715447" w:rsidRDefault="0097565A" w:rsidP="00DF7C96">
      <w:pPr>
        <w:pStyle w:val="ListParagraph"/>
        <w:numPr>
          <w:ilvl w:val="0"/>
          <w:numId w:val="39"/>
        </w:numPr>
        <w:rPr>
          <w:rFonts w:cs="Arial"/>
        </w:rPr>
      </w:pPr>
      <w:r>
        <w:rPr>
          <w:rFonts w:cs="Arial"/>
        </w:rPr>
        <w:t>P</w:t>
      </w:r>
      <w:r w:rsidR="00C86D56" w:rsidRPr="00C86D56">
        <w:rPr>
          <w:rFonts w:cs="Arial"/>
        </w:rPr>
        <w:t xml:space="preserve">ossible selection bias: </w:t>
      </w:r>
      <w:r w:rsidR="00500418">
        <w:rPr>
          <w:rFonts w:cs="Arial"/>
        </w:rPr>
        <w:t>t</w:t>
      </w:r>
      <w:r w:rsidR="00715447" w:rsidRPr="00C86D56">
        <w:rPr>
          <w:rFonts w:cs="Arial"/>
        </w:rPr>
        <w:t>he results from the questionnaires administered by the review team to the empl</w:t>
      </w:r>
      <w:r w:rsidR="002E3F9C">
        <w:rPr>
          <w:rFonts w:cs="Arial"/>
        </w:rPr>
        <w:t>oyers, students and graduates wer</w:t>
      </w:r>
      <w:r w:rsidR="00715447" w:rsidRPr="00C86D56">
        <w:rPr>
          <w:rFonts w:cs="Arial"/>
        </w:rPr>
        <w:t xml:space="preserve">e based on a self-selected sample who responded to an invitation to meet the review team. These results are not </w:t>
      </w:r>
      <w:r w:rsidR="00BC373C">
        <w:rPr>
          <w:rFonts w:cs="Arial"/>
        </w:rPr>
        <w:t xml:space="preserve">a </w:t>
      </w:r>
      <w:r w:rsidR="00715447" w:rsidRPr="00C86D56">
        <w:rPr>
          <w:rFonts w:cs="Arial"/>
        </w:rPr>
        <w:t xml:space="preserve">representative </w:t>
      </w:r>
      <w:r w:rsidR="00BC373C">
        <w:rPr>
          <w:rFonts w:cs="Arial"/>
        </w:rPr>
        <w:t xml:space="preserve">sample </w:t>
      </w:r>
      <w:r w:rsidR="00715447" w:rsidRPr="00C86D56">
        <w:rPr>
          <w:rFonts w:cs="Arial"/>
        </w:rPr>
        <w:t>of all em</w:t>
      </w:r>
      <w:r w:rsidR="00C86D56" w:rsidRPr="00C86D56">
        <w:rPr>
          <w:rFonts w:cs="Arial"/>
        </w:rPr>
        <w:t>ployers, students or graduates</w:t>
      </w:r>
      <w:r w:rsidR="00C86D56">
        <w:rPr>
          <w:rFonts w:cs="Arial"/>
        </w:rPr>
        <w:t>.</w:t>
      </w:r>
    </w:p>
    <w:p w14:paraId="6E2B1A70" w14:textId="75D8B97C" w:rsidR="00C86D56" w:rsidRDefault="00E1386D" w:rsidP="00DF7C96">
      <w:pPr>
        <w:pStyle w:val="ListParagraph"/>
        <w:numPr>
          <w:ilvl w:val="0"/>
          <w:numId w:val="39"/>
        </w:numPr>
        <w:rPr>
          <w:rFonts w:cs="Arial"/>
        </w:rPr>
      </w:pPr>
      <w:r>
        <w:rPr>
          <w:rFonts w:cs="Arial"/>
        </w:rPr>
        <w:t>N</w:t>
      </w:r>
      <w:r w:rsidR="00C86D56" w:rsidRPr="00E12183">
        <w:rPr>
          <w:rFonts w:cs="Arial"/>
        </w:rPr>
        <w:t xml:space="preserve">o identified control group (those with </w:t>
      </w:r>
      <w:r w:rsidR="00C86D56">
        <w:rPr>
          <w:rFonts w:cs="Arial"/>
        </w:rPr>
        <w:t xml:space="preserve">a </w:t>
      </w:r>
      <w:r w:rsidR="00C86D56" w:rsidRPr="00E12183">
        <w:rPr>
          <w:rFonts w:cs="Arial"/>
        </w:rPr>
        <w:t>similar background and attributes who did not receive APTC training)</w:t>
      </w:r>
      <w:r>
        <w:rPr>
          <w:rFonts w:cs="Arial"/>
        </w:rPr>
        <w:t>.</w:t>
      </w:r>
    </w:p>
    <w:p w14:paraId="7FC484A4" w14:textId="318BEC1B" w:rsidR="00C86D56" w:rsidRDefault="00E1386D" w:rsidP="00DF7C96">
      <w:pPr>
        <w:pStyle w:val="ListParagraph"/>
        <w:numPr>
          <w:ilvl w:val="0"/>
          <w:numId w:val="39"/>
        </w:numPr>
        <w:rPr>
          <w:rFonts w:cs="Arial"/>
        </w:rPr>
      </w:pPr>
      <w:r>
        <w:rPr>
          <w:rFonts w:cs="Arial"/>
        </w:rPr>
        <w:t>T</w:t>
      </w:r>
      <w:r w:rsidR="00C86D56" w:rsidRPr="00E12183">
        <w:rPr>
          <w:rFonts w:cs="Arial"/>
        </w:rPr>
        <w:t xml:space="preserve">he </w:t>
      </w:r>
      <w:r w:rsidR="00C86D56">
        <w:rPr>
          <w:rFonts w:cs="Arial"/>
        </w:rPr>
        <w:t xml:space="preserve">relatively small </w:t>
      </w:r>
      <w:r w:rsidR="00C86D56" w:rsidRPr="00E12183">
        <w:rPr>
          <w:rFonts w:cs="Arial"/>
        </w:rPr>
        <w:t>number of questionnaires administered in relation to the total numbers in each stakeholder group</w:t>
      </w:r>
      <w:r w:rsidR="00C86D56">
        <w:rPr>
          <w:rFonts w:cs="Arial"/>
        </w:rPr>
        <w:t xml:space="preserve"> </w:t>
      </w:r>
      <w:r w:rsidR="002E3F9C">
        <w:rPr>
          <w:rFonts w:cs="Arial"/>
        </w:rPr>
        <w:t>(</w:t>
      </w:r>
      <w:r w:rsidR="00C86D56">
        <w:rPr>
          <w:rFonts w:cs="Arial"/>
        </w:rPr>
        <w:t xml:space="preserve">although </w:t>
      </w:r>
      <w:r w:rsidR="002E3F9C">
        <w:rPr>
          <w:rFonts w:cs="Arial"/>
        </w:rPr>
        <w:t>this was mitigated partly by consistency between questionnaire responses, the views expressed by stakeholder groups</w:t>
      </w:r>
      <w:r>
        <w:rPr>
          <w:rFonts w:cs="Arial"/>
        </w:rPr>
        <w:t>,</w:t>
      </w:r>
      <w:r w:rsidR="002E3F9C">
        <w:rPr>
          <w:rFonts w:cs="Arial"/>
        </w:rPr>
        <w:t xml:space="preserve"> as well as team observations during field visits)</w:t>
      </w:r>
      <w:r>
        <w:rPr>
          <w:rFonts w:cs="Arial"/>
        </w:rPr>
        <w:t>.</w:t>
      </w:r>
    </w:p>
    <w:p w14:paraId="01F81961" w14:textId="795C0F11" w:rsidR="002E3F9C" w:rsidRDefault="00E1386D" w:rsidP="00DF7C96">
      <w:pPr>
        <w:pStyle w:val="ListParagraph"/>
        <w:numPr>
          <w:ilvl w:val="0"/>
          <w:numId w:val="39"/>
        </w:numPr>
        <w:rPr>
          <w:rFonts w:cs="Arial"/>
        </w:rPr>
      </w:pPr>
      <w:r>
        <w:rPr>
          <w:rFonts w:cs="Arial"/>
        </w:rPr>
        <w:t>L</w:t>
      </w:r>
      <w:r w:rsidR="002E3F9C">
        <w:rPr>
          <w:rFonts w:cs="Arial"/>
        </w:rPr>
        <w:t xml:space="preserve">imits on identifying </w:t>
      </w:r>
      <w:r w:rsidR="002E3F9C" w:rsidRPr="00E12183">
        <w:rPr>
          <w:rFonts w:cs="Arial"/>
        </w:rPr>
        <w:t xml:space="preserve">the effects of APTC training on </w:t>
      </w:r>
      <w:r w:rsidR="002E3F9C">
        <w:rPr>
          <w:rFonts w:cs="Arial"/>
        </w:rPr>
        <w:t>company</w:t>
      </w:r>
      <w:r w:rsidR="002E3F9C" w:rsidRPr="00E12183">
        <w:rPr>
          <w:rFonts w:cs="Arial"/>
        </w:rPr>
        <w:t xml:space="preserve"> productivity</w:t>
      </w:r>
      <w:r>
        <w:rPr>
          <w:rFonts w:cs="Arial"/>
        </w:rPr>
        <w:t>:</w:t>
      </w:r>
      <w:r w:rsidR="002E3F9C" w:rsidRPr="00E12183">
        <w:rPr>
          <w:rFonts w:cs="Arial"/>
        </w:rPr>
        <w:t xml:space="preserve"> </w:t>
      </w:r>
      <w:r w:rsidR="00500418">
        <w:rPr>
          <w:rFonts w:cs="Arial"/>
        </w:rPr>
        <w:t>t</w:t>
      </w:r>
      <w:r w:rsidR="002E3F9C" w:rsidRPr="00E12183">
        <w:rPr>
          <w:rFonts w:cs="Arial"/>
        </w:rPr>
        <w:t>raining effects on productivity are difficult to measure given the many other variables involved</w:t>
      </w:r>
      <w:r w:rsidR="002E3F9C">
        <w:rPr>
          <w:rFonts w:cs="Arial"/>
        </w:rPr>
        <w:t>.</w:t>
      </w:r>
      <w:r w:rsidR="002E3F9C" w:rsidRPr="00E12183">
        <w:rPr>
          <w:rFonts w:cs="Arial"/>
          <w:vertAlign w:val="superscript"/>
        </w:rPr>
        <w:footnoteReference w:id="8"/>
      </w:r>
    </w:p>
    <w:p w14:paraId="1D6658F2" w14:textId="1BCF21A8" w:rsidR="002E3F9C" w:rsidRDefault="002E3F9C" w:rsidP="00DF7C96">
      <w:pPr>
        <w:pStyle w:val="ListParagraph"/>
        <w:numPr>
          <w:ilvl w:val="0"/>
          <w:numId w:val="39"/>
        </w:numPr>
        <w:rPr>
          <w:rFonts w:cs="Arial"/>
        </w:rPr>
      </w:pPr>
      <w:r w:rsidRPr="00580EA9">
        <w:rPr>
          <w:rFonts w:cs="Arial"/>
        </w:rPr>
        <w:t>An external training audit and an audit of APTC organisational effectiveness (as was recommended in the Stage I mid-term review in 2009) were beyond the scope of this evaluation.</w:t>
      </w:r>
      <w:r>
        <w:rPr>
          <w:rStyle w:val="FootnoteReference"/>
          <w:rFonts w:cs="Arial"/>
        </w:rPr>
        <w:footnoteReference w:id="9"/>
      </w:r>
    </w:p>
    <w:p w14:paraId="2606DAE8" w14:textId="428440AD" w:rsidR="00CD41B9" w:rsidRPr="00CD41B9" w:rsidRDefault="00CD41B9" w:rsidP="00CD41B9">
      <w:pPr>
        <w:rPr>
          <w:rFonts w:cs="Arial"/>
        </w:rPr>
      </w:pPr>
      <w:r>
        <w:rPr>
          <w:rFonts w:cs="Arial"/>
        </w:rPr>
        <w:t>The limitations are elaborated in each chapter and/or corresponding annex.</w:t>
      </w:r>
    </w:p>
    <w:p w14:paraId="1E130BEE" w14:textId="77777777" w:rsidR="000A12CF" w:rsidRDefault="000A12CF">
      <w:pPr>
        <w:spacing w:after="0"/>
        <w:rPr>
          <w:rFonts w:cs="Arial"/>
          <w:b/>
          <w:bCs/>
          <w:color w:val="76923C"/>
          <w:sz w:val="24"/>
          <w:szCs w:val="28"/>
        </w:rPr>
      </w:pPr>
      <w:r>
        <w:br w:type="page"/>
      </w:r>
    </w:p>
    <w:p w14:paraId="1FB1939A" w14:textId="700F919A" w:rsidR="00643AC2" w:rsidRDefault="00643AC2" w:rsidP="002E3F9C">
      <w:pPr>
        <w:pStyle w:val="Heading2"/>
      </w:pPr>
      <w:bookmarkStart w:id="30" w:name="_Toc278710504"/>
      <w:r>
        <w:lastRenderedPageBreak/>
        <w:t>Context</w:t>
      </w:r>
      <w:bookmarkEnd w:id="30"/>
    </w:p>
    <w:p w14:paraId="6D27C87F" w14:textId="77777777" w:rsidR="00643AC2" w:rsidRPr="00643AC2" w:rsidRDefault="00643AC2" w:rsidP="00DF7C96">
      <w:pPr>
        <w:pStyle w:val="Heading3"/>
        <w:rPr>
          <w:rFonts w:eastAsia="Calibri"/>
          <w:lang w:val="en-US"/>
        </w:rPr>
      </w:pPr>
      <w:bookmarkStart w:id="31" w:name="_Toc278710505"/>
      <w:r w:rsidRPr="00643AC2">
        <w:rPr>
          <w:rFonts w:eastAsia="Calibri"/>
          <w:lang w:val="en-US"/>
        </w:rPr>
        <w:t>APTC’s unique characteristics</w:t>
      </w:r>
      <w:bookmarkEnd w:id="31"/>
    </w:p>
    <w:p w14:paraId="2A43B390" w14:textId="641E1936" w:rsidR="00643AC2" w:rsidRPr="00643AC2" w:rsidRDefault="00643AC2" w:rsidP="00DF7C96">
      <w:pPr>
        <w:spacing w:line="276" w:lineRule="auto"/>
        <w:rPr>
          <w:rFonts w:eastAsia="Calibri" w:cs="Arial"/>
          <w:szCs w:val="22"/>
          <w:lang w:val="en-US"/>
        </w:rPr>
      </w:pPr>
      <w:r w:rsidRPr="00643AC2">
        <w:rPr>
          <w:rFonts w:eastAsia="Calibri" w:cs="Arial"/>
          <w:szCs w:val="22"/>
          <w:lang w:val="en-US"/>
        </w:rPr>
        <w:t>APTC is a unique</w:t>
      </w:r>
      <w:r w:rsidRPr="00643AC2">
        <w:rPr>
          <w:rFonts w:eastAsia="Calibri" w:cs="Arial"/>
          <w:szCs w:val="22"/>
          <w:vertAlign w:val="superscript"/>
          <w:lang w:val="en-US"/>
        </w:rPr>
        <w:footnoteReference w:id="10"/>
      </w:r>
      <w:r w:rsidRPr="00643AC2">
        <w:rPr>
          <w:rFonts w:eastAsia="Calibri" w:cs="Arial"/>
          <w:szCs w:val="22"/>
          <w:lang w:val="en-US"/>
        </w:rPr>
        <w:t xml:space="preserve"> institution </w:t>
      </w:r>
      <w:r w:rsidR="006F7060">
        <w:rPr>
          <w:rFonts w:eastAsia="Calibri" w:cs="Arial"/>
          <w:szCs w:val="22"/>
          <w:lang w:val="en-US"/>
        </w:rPr>
        <w:t xml:space="preserve">in Pacific development </w:t>
      </w:r>
      <w:r w:rsidRPr="00643AC2">
        <w:rPr>
          <w:rFonts w:eastAsia="Calibri" w:cs="Arial"/>
          <w:szCs w:val="22"/>
          <w:lang w:val="en-US"/>
        </w:rPr>
        <w:t xml:space="preserve">with the following distinguishing characteristics. APTC is: </w:t>
      </w:r>
    </w:p>
    <w:p w14:paraId="024C65B8" w14:textId="71BA27A6" w:rsidR="00643AC2" w:rsidRPr="00643AC2" w:rsidRDefault="00643AC2" w:rsidP="00643AC2">
      <w:pPr>
        <w:numPr>
          <w:ilvl w:val="0"/>
          <w:numId w:val="37"/>
        </w:numPr>
        <w:spacing w:after="200" w:line="276" w:lineRule="auto"/>
        <w:contextualSpacing/>
        <w:rPr>
          <w:rFonts w:eastAsia="Calibri" w:cs="Arial"/>
          <w:szCs w:val="22"/>
          <w:lang w:val="en-US"/>
        </w:rPr>
      </w:pPr>
      <w:r w:rsidRPr="00643AC2">
        <w:rPr>
          <w:rFonts w:eastAsia="Calibri" w:cs="Arial"/>
          <w:szCs w:val="22"/>
          <w:lang w:val="en-US"/>
        </w:rPr>
        <w:t>an Australian development program, not a mutually owned regional training institution with shared governance</w:t>
      </w:r>
    </w:p>
    <w:p w14:paraId="47E7057B" w14:textId="0D8FEEE3" w:rsidR="00643AC2" w:rsidRPr="00643AC2" w:rsidRDefault="00643AC2" w:rsidP="00643AC2">
      <w:pPr>
        <w:numPr>
          <w:ilvl w:val="0"/>
          <w:numId w:val="37"/>
        </w:numPr>
        <w:spacing w:after="200" w:line="276" w:lineRule="auto"/>
        <w:contextualSpacing/>
        <w:rPr>
          <w:rFonts w:eastAsia="Calibri" w:cs="Arial"/>
          <w:szCs w:val="22"/>
          <w:lang w:val="en-US"/>
        </w:rPr>
      </w:pPr>
      <w:r w:rsidRPr="00643AC2">
        <w:rPr>
          <w:rFonts w:eastAsia="Calibri" w:cs="Arial"/>
          <w:szCs w:val="22"/>
          <w:lang w:val="en-US"/>
        </w:rPr>
        <w:t xml:space="preserve">owned and governed by Australia </w:t>
      </w:r>
    </w:p>
    <w:p w14:paraId="04CA1E06" w14:textId="65CC3D60" w:rsidR="00643AC2" w:rsidRPr="00643AC2" w:rsidRDefault="00643AC2" w:rsidP="00643AC2">
      <w:pPr>
        <w:numPr>
          <w:ilvl w:val="0"/>
          <w:numId w:val="37"/>
        </w:numPr>
        <w:spacing w:after="200" w:line="276" w:lineRule="auto"/>
        <w:contextualSpacing/>
        <w:rPr>
          <w:rFonts w:eastAsia="Calibri" w:cs="Arial"/>
          <w:szCs w:val="22"/>
          <w:lang w:val="en-US"/>
        </w:rPr>
      </w:pPr>
      <w:r w:rsidRPr="00643AC2">
        <w:rPr>
          <w:rFonts w:eastAsia="Calibri" w:cs="Arial"/>
          <w:szCs w:val="22"/>
          <w:lang w:val="en-US"/>
        </w:rPr>
        <w:t>its services are implemented through direct delivery by Australian contractors</w:t>
      </w:r>
    </w:p>
    <w:p w14:paraId="340BDC05" w14:textId="284D7B5A" w:rsidR="00BC1D54" w:rsidRPr="00BC1D54" w:rsidRDefault="00643AC2" w:rsidP="00DF7C96">
      <w:pPr>
        <w:numPr>
          <w:ilvl w:val="0"/>
          <w:numId w:val="37"/>
        </w:numPr>
        <w:spacing w:line="276" w:lineRule="auto"/>
        <w:contextualSpacing/>
        <w:rPr>
          <w:rFonts w:eastAsia="Calibri" w:cs="Arial"/>
          <w:szCs w:val="22"/>
          <w:lang w:val="en-US"/>
        </w:rPr>
      </w:pPr>
      <w:r w:rsidRPr="00643AC2">
        <w:rPr>
          <w:rFonts w:eastAsia="Calibri" w:cs="Arial"/>
          <w:szCs w:val="22"/>
          <w:lang w:val="en-US"/>
        </w:rPr>
        <w:t>Australian Aid is accountable for APTC’s result</w:t>
      </w:r>
      <w:r w:rsidR="001C0944">
        <w:rPr>
          <w:rFonts w:eastAsia="Calibri" w:cs="Arial"/>
          <w:szCs w:val="22"/>
          <w:lang w:val="en-US"/>
        </w:rPr>
        <w:t>.</w:t>
      </w:r>
      <w:r w:rsidR="001C0944">
        <w:rPr>
          <w:rFonts w:eastAsia="Calibri" w:cs="Arial"/>
          <w:szCs w:val="22"/>
          <w:lang w:val="en-US"/>
        </w:rPr>
        <w:br/>
      </w:r>
    </w:p>
    <w:p w14:paraId="5247CED2" w14:textId="77777777" w:rsidR="00643AC2" w:rsidRPr="00643AC2" w:rsidRDefault="00643AC2" w:rsidP="00DF7C96">
      <w:pPr>
        <w:spacing w:line="276" w:lineRule="auto"/>
        <w:rPr>
          <w:rFonts w:eastAsia="Calibri" w:cs="Arial"/>
          <w:szCs w:val="22"/>
          <w:lang w:val="en-US"/>
        </w:rPr>
      </w:pPr>
      <w:r w:rsidRPr="00643AC2">
        <w:rPr>
          <w:rFonts w:eastAsia="Calibri" w:cs="Arial"/>
          <w:szCs w:val="22"/>
          <w:lang w:val="en-US"/>
        </w:rPr>
        <w:t>By strategic choice, the APTC:</w:t>
      </w:r>
    </w:p>
    <w:p w14:paraId="27D633D2" w14:textId="675B6D94" w:rsidR="00643AC2" w:rsidRPr="00643AC2" w:rsidRDefault="00643AC2" w:rsidP="00643AC2">
      <w:pPr>
        <w:numPr>
          <w:ilvl w:val="0"/>
          <w:numId w:val="38"/>
        </w:numPr>
        <w:spacing w:after="200" w:line="276" w:lineRule="auto"/>
        <w:contextualSpacing/>
        <w:rPr>
          <w:rFonts w:eastAsia="Calibri" w:cs="Arial"/>
          <w:szCs w:val="22"/>
          <w:lang w:val="en-US"/>
        </w:rPr>
      </w:pPr>
      <w:r w:rsidRPr="00643AC2">
        <w:rPr>
          <w:rFonts w:eastAsia="Calibri" w:cs="Arial"/>
          <w:szCs w:val="22"/>
          <w:lang w:val="en-US"/>
        </w:rPr>
        <w:t>aims at formal sector jobs, not informal sector</w:t>
      </w:r>
    </w:p>
    <w:p w14:paraId="5F8EB77C" w14:textId="3987C193" w:rsidR="00643AC2" w:rsidRPr="00643AC2" w:rsidRDefault="00643AC2" w:rsidP="00643AC2">
      <w:pPr>
        <w:numPr>
          <w:ilvl w:val="0"/>
          <w:numId w:val="38"/>
        </w:numPr>
        <w:spacing w:after="200" w:line="276" w:lineRule="auto"/>
        <w:contextualSpacing/>
        <w:rPr>
          <w:rFonts w:eastAsia="Calibri" w:cs="Arial"/>
          <w:szCs w:val="22"/>
          <w:lang w:val="en-US"/>
        </w:rPr>
      </w:pPr>
      <w:r w:rsidRPr="00643AC2">
        <w:rPr>
          <w:rFonts w:eastAsia="Calibri" w:cs="Arial"/>
          <w:szCs w:val="22"/>
          <w:lang w:val="en-US"/>
        </w:rPr>
        <w:t>aims at upgrading skills acquired through formal or informal (on-the-job) training, rather than providing initial training</w:t>
      </w:r>
    </w:p>
    <w:p w14:paraId="0121F2BB" w14:textId="2819F314" w:rsidR="00643AC2" w:rsidRPr="00643AC2" w:rsidRDefault="00643AC2" w:rsidP="00643AC2">
      <w:pPr>
        <w:numPr>
          <w:ilvl w:val="0"/>
          <w:numId w:val="38"/>
        </w:numPr>
        <w:spacing w:after="200" w:line="276" w:lineRule="auto"/>
        <w:contextualSpacing/>
        <w:rPr>
          <w:rFonts w:eastAsia="Calibri" w:cs="Arial"/>
          <w:szCs w:val="22"/>
          <w:lang w:val="en-US"/>
        </w:rPr>
      </w:pPr>
      <w:r w:rsidRPr="00643AC2">
        <w:rPr>
          <w:rFonts w:eastAsia="Calibri" w:cs="Arial"/>
          <w:szCs w:val="22"/>
          <w:lang w:val="en-US"/>
        </w:rPr>
        <w:t>aims mostly at those in employment, not school leavers and not youth unemployment – an explicit choice to avoid duplication with activities of</w:t>
      </w:r>
      <w:r w:rsidR="005D3F41">
        <w:rPr>
          <w:rFonts w:eastAsia="Calibri" w:cs="Arial"/>
          <w:szCs w:val="22"/>
          <w:lang w:val="en-US"/>
        </w:rPr>
        <w:t xml:space="preserve"> national training institutions</w:t>
      </w:r>
    </w:p>
    <w:p w14:paraId="0E69ABE1" w14:textId="30711A98" w:rsidR="00643AC2" w:rsidRPr="00643AC2" w:rsidRDefault="00643AC2" w:rsidP="00643AC2">
      <w:pPr>
        <w:numPr>
          <w:ilvl w:val="0"/>
          <w:numId w:val="38"/>
        </w:numPr>
        <w:spacing w:after="200" w:line="276" w:lineRule="auto"/>
        <w:contextualSpacing/>
        <w:rPr>
          <w:rFonts w:eastAsia="Calibri" w:cs="Arial"/>
          <w:szCs w:val="22"/>
          <w:lang w:val="en-US"/>
        </w:rPr>
      </w:pPr>
      <w:r w:rsidRPr="00643AC2">
        <w:rPr>
          <w:rFonts w:eastAsia="Calibri" w:cs="Arial"/>
          <w:szCs w:val="22"/>
          <w:lang w:val="en-US"/>
        </w:rPr>
        <w:t xml:space="preserve">provides full qualifications (at </w:t>
      </w:r>
      <w:r w:rsidR="00073A4D">
        <w:rPr>
          <w:rFonts w:eastAsia="Calibri" w:cs="Arial"/>
          <w:szCs w:val="22"/>
          <w:lang w:val="en-US"/>
        </w:rPr>
        <w:t>C</w:t>
      </w:r>
      <w:r w:rsidRPr="00643AC2">
        <w:rPr>
          <w:rFonts w:eastAsia="Calibri" w:cs="Arial"/>
          <w:szCs w:val="22"/>
          <w:lang w:val="en-US"/>
        </w:rPr>
        <w:t xml:space="preserve">ertificate III, IV and </w:t>
      </w:r>
      <w:r w:rsidR="00073A4D">
        <w:rPr>
          <w:rFonts w:eastAsia="Calibri" w:cs="Arial"/>
          <w:szCs w:val="22"/>
          <w:lang w:val="en-US"/>
        </w:rPr>
        <w:t>D</w:t>
      </w:r>
      <w:r w:rsidRPr="00643AC2">
        <w:rPr>
          <w:rFonts w:eastAsia="Calibri" w:cs="Arial"/>
          <w:szCs w:val="22"/>
          <w:lang w:val="en-US"/>
        </w:rPr>
        <w:t xml:space="preserve">iploma) not </w:t>
      </w:r>
      <w:r w:rsidR="001E2A64">
        <w:rPr>
          <w:rFonts w:eastAsia="Calibri" w:cs="Arial"/>
          <w:szCs w:val="22"/>
          <w:lang w:val="en-US"/>
        </w:rPr>
        <w:t>available</w:t>
      </w:r>
      <w:r w:rsidRPr="00643AC2">
        <w:rPr>
          <w:rFonts w:eastAsia="Calibri" w:cs="Arial"/>
          <w:szCs w:val="22"/>
          <w:lang w:val="en-US"/>
        </w:rPr>
        <w:t xml:space="preserve"> locally, rather than partial qualifications, e.g. skill sets</w:t>
      </w:r>
      <w:r w:rsidR="009E66E3">
        <w:rPr>
          <w:rFonts w:eastAsia="Calibri" w:cs="Arial"/>
          <w:szCs w:val="22"/>
          <w:lang w:val="en-US"/>
        </w:rPr>
        <w:t xml:space="preserve"> and short courses</w:t>
      </w:r>
      <w:r w:rsidRPr="00643AC2">
        <w:rPr>
          <w:rFonts w:eastAsia="Calibri" w:cs="Arial"/>
          <w:szCs w:val="22"/>
          <w:lang w:val="en-US"/>
        </w:rPr>
        <w:t xml:space="preserve"> </w:t>
      </w:r>
    </w:p>
    <w:p w14:paraId="66D5A636" w14:textId="7E6836FC" w:rsidR="00342AA7" w:rsidRDefault="00643AC2" w:rsidP="00DF7C96">
      <w:pPr>
        <w:numPr>
          <w:ilvl w:val="0"/>
          <w:numId w:val="38"/>
        </w:numPr>
        <w:spacing w:line="276" w:lineRule="auto"/>
        <w:contextualSpacing/>
        <w:rPr>
          <w:rFonts w:eastAsia="Calibri" w:cs="Arial"/>
          <w:szCs w:val="22"/>
          <w:lang w:val="en-US"/>
        </w:rPr>
      </w:pPr>
      <w:r w:rsidRPr="00643AC2">
        <w:rPr>
          <w:rFonts w:eastAsia="Calibri" w:cs="Arial"/>
          <w:szCs w:val="22"/>
          <w:lang w:val="en-US"/>
        </w:rPr>
        <w:t>concentrates on regional training delivery, rather than focusing primarily on developing capacities of national training institutions.</w:t>
      </w:r>
    </w:p>
    <w:p w14:paraId="370B268C" w14:textId="77777777" w:rsidR="00BC1D54" w:rsidRDefault="00BC1D54" w:rsidP="00DF7C96">
      <w:pPr>
        <w:spacing w:after="200"/>
        <w:ind w:left="720"/>
        <w:contextualSpacing/>
        <w:rPr>
          <w:rFonts w:eastAsia="Calibri" w:cs="Arial"/>
          <w:szCs w:val="22"/>
          <w:lang w:val="en-US"/>
        </w:rPr>
      </w:pPr>
    </w:p>
    <w:p w14:paraId="7F126DE2" w14:textId="42E91288" w:rsidR="00342AA7" w:rsidRPr="00342AA7" w:rsidRDefault="00342AA7" w:rsidP="00DF7C96">
      <w:pPr>
        <w:spacing w:after="0"/>
        <w:contextualSpacing/>
        <w:rPr>
          <w:rFonts w:eastAsia="Calibri" w:cs="Arial"/>
          <w:szCs w:val="22"/>
          <w:lang w:val="en-US"/>
        </w:rPr>
      </w:pPr>
      <w:r>
        <w:rPr>
          <w:rFonts w:eastAsia="Calibri" w:cs="Arial"/>
          <w:szCs w:val="22"/>
          <w:lang w:val="en-US"/>
        </w:rPr>
        <w:t xml:space="preserve">As a regional program, </w:t>
      </w:r>
      <w:r w:rsidRPr="00342AA7">
        <w:rPr>
          <w:rFonts w:eastAsia="Calibri" w:cs="Arial"/>
          <w:szCs w:val="22"/>
          <w:lang w:val="en-US"/>
        </w:rPr>
        <w:t xml:space="preserve">APTC operates side-by-side and interacts with other regional programs in relation to both skills development and labour mobility. Under its Scope of Services, APTC is </w:t>
      </w:r>
      <w:r w:rsidR="00BC1D54">
        <w:rPr>
          <w:rFonts w:eastAsia="Calibri" w:cs="Arial"/>
          <w:szCs w:val="22"/>
          <w:lang w:val="en-US"/>
        </w:rPr>
        <w:t xml:space="preserve">directed </w:t>
      </w:r>
      <w:r w:rsidRPr="00342AA7">
        <w:rPr>
          <w:rFonts w:eastAsia="Calibri" w:cs="Arial"/>
          <w:szCs w:val="22"/>
          <w:lang w:val="en-US"/>
        </w:rPr>
        <w:t xml:space="preserve">to play a role in supporting </w:t>
      </w:r>
      <w:r>
        <w:rPr>
          <w:rFonts w:eastAsia="Calibri" w:cs="Arial"/>
          <w:szCs w:val="22"/>
          <w:lang w:val="en-US"/>
        </w:rPr>
        <w:t xml:space="preserve">Australian </w:t>
      </w:r>
      <w:r w:rsidRPr="00342AA7">
        <w:rPr>
          <w:rFonts w:eastAsia="Calibri" w:cs="Arial"/>
          <w:szCs w:val="22"/>
          <w:lang w:val="en-US"/>
        </w:rPr>
        <w:t xml:space="preserve">bilateral </w:t>
      </w:r>
      <w:r>
        <w:rPr>
          <w:rFonts w:eastAsia="Calibri" w:cs="Arial"/>
          <w:szCs w:val="22"/>
          <w:lang w:val="en-US"/>
        </w:rPr>
        <w:t>T</w:t>
      </w:r>
      <w:r w:rsidRPr="00342AA7">
        <w:rPr>
          <w:rFonts w:eastAsia="Calibri" w:cs="Arial"/>
          <w:szCs w:val="22"/>
          <w:lang w:val="en-US"/>
        </w:rPr>
        <w:t xml:space="preserve">VET programs and partner </w:t>
      </w:r>
      <w:r>
        <w:rPr>
          <w:rFonts w:eastAsia="Calibri" w:cs="Arial"/>
          <w:szCs w:val="22"/>
          <w:lang w:val="en-US"/>
        </w:rPr>
        <w:t>T</w:t>
      </w:r>
      <w:r w:rsidRPr="00342AA7">
        <w:rPr>
          <w:rFonts w:eastAsia="Calibri" w:cs="Arial"/>
          <w:szCs w:val="22"/>
          <w:lang w:val="en-US"/>
        </w:rPr>
        <w:t xml:space="preserve">VET institutions.  </w:t>
      </w:r>
    </w:p>
    <w:p w14:paraId="49D62876" w14:textId="77777777" w:rsidR="00643AC2" w:rsidRPr="00643AC2" w:rsidRDefault="00643AC2" w:rsidP="00DF7C96">
      <w:pPr>
        <w:pStyle w:val="Heading3"/>
        <w:rPr>
          <w:rFonts w:eastAsia="Calibri"/>
          <w:lang w:val="en-US"/>
        </w:rPr>
      </w:pPr>
      <w:bookmarkStart w:id="32" w:name="_Toc278710506"/>
      <w:r w:rsidRPr="00643AC2">
        <w:rPr>
          <w:rFonts w:eastAsia="Calibri"/>
          <w:lang w:val="en-US"/>
        </w:rPr>
        <w:t>Country settings</w:t>
      </w:r>
      <w:bookmarkEnd w:id="32"/>
    </w:p>
    <w:p w14:paraId="37DB17B6" w14:textId="10172508" w:rsidR="00643AC2" w:rsidRPr="00643AC2" w:rsidRDefault="00643AC2" w:rsidP="00DF7C96">
      <w:pPr>
        <w:spacing w:after="200"/>
        <w:rPr>
          <w:rFonts w:cs="Arial"/>
          <w:szCs w:val="22"/>
        </w:rPr>
      </w:pPr>
      <w:r w:rsidRPr="00643AC2">
        <w:rPr>
          <w:rFonts w:cs="Arial"/>
          <w:szCs w:val="22"/>
        </w:rPr>
        <w:t>APTC operates in a challenging context. It serves five campus countries (PNG, Fiji, Vanuatu, Samoa, and recently the Solomon Islands) and an additional nine countries – ranging from Palau in the north Pacific, to Kiribati in the centre and the Cook Islands in the south. It thus delivers services to nationals thousands of miles apart. This entails communications and cost challenges and risks related to distance</w:t>
      </w:r>
      <w:r w:rsidR="00073A4D">
        <w:rPr>
          <w:rFonts w:cs="Arial"/>
          <w:szCs w:val="22"/>
        </w:rPr>
        <w:t>,</w:t>
      </w:r>
      <w:r w:rsidRPr="00643AC2">
        <w:rPr>
          <w:rFonts w:cs="Arial"/>
          <w:szCs w:val="22"/>
        </w:rPr>
        <w:t xml:space="preserve"> as well as management in a multicultural and multi-political setting. </w:t>
      </w:r>
    </w:p>
    <w:p w14:paraId="6B29855E" w14:textId="530299B0" w:rsidR="00643AC2" w:rsidRPr="00643AC2" w:rsidRDefault="00643AC2" w:rsidP="00DF7C96">
      <w:pPr>
        <w:spacing w:after="200"/>
        <w:rPr>
          <w:rFonts w:eastAsia="Calibri" w:cs="Arial"/>
          <w:szCs w:val="22"/>
          <w:lang w:val="en-US"/>
        </w:rPr>
      </w:pPr>
      <w:r w:rsidRPr="00643AC2">
        <w:rPr>
          <w:rFonts w:cs="Arial"/>
          <w:szCs w:val="22"/>
        </w:rPr>
        <w:t xml:space="preserve">The APTC client countries are extremely diverse in resources and stages of development, but can be </w:t>
      </w:r>
      <w:r w:rsidR="00580EA9">
        <w:rPr>
          <w:rFonts w:cs="Arial"/>
          <w:szCs w:val="22"/>
        </w:rPr>
        <w:t xml:space="preserve">divided </w:t>
      </w:r>
      <w:r w:rsidRPr="00643AC2">
        <w:rPr>
          <w:rFonts w:cs="Arial"/>
          <w:szCs w:val="22"/>
        </w:rPr>
        <w:t xml:space="preserve">into three groups: </w:t>
      </w:r>
      <w:r w:rsidR="00073A4D">
        <w:rPr>
          <w:rFonts w:cs="Arial"/>
          <w:szCs w:val="22"/>
        </w:rPr>
        <w:t xml:space="preserve">(1) </w:t>
      </w:r>
      <w:r w:rsidRPr="00643AC2">
        <w:rPr>
          <w:rFonts w:cs="Arial"/>
          <w:szCs w:val="22"/>
        </w:rPr>
        <w:t xml:space="preserve">land-rich, low income countries with natural resources and agricultural potential (PNG, Solomon Islands and Vanuatu); </w:t>
      </w:r>
      <w:r w:rsidR="00073A4D">
        <w:rPr>
          <w:rFonts w:cs="Arial"/>
          <w:szCs w:val="22"/>
        </w:rPr>
        <w:t xml:space="preserve">(2) </w:t>
      </w:r>
      <w:r w:rsidRPr="00643AC2">
        <w:rPr>
          <w:rFonts w:cs="Arial"/>
          <w:szCs w:val="22"/>
        </w:rPr>
        <w:t>small, vulnerable island states with challenging economic prospects (Kiribati, RMI, FSM, Nauru and Tuvalu)</w:t>
      </w:r>
      <w:r w:rsidR="00073A4D">
        <w:rPr>
          <w:rFonts w:cs="Arial"/>
          <w:szCs w:val="22"/>
        </w:rPr>
        <w:t>;</w:t>
      </w:r>
      <w:r w:rsidRPr="00643AC2">
        <w:rPr>
          <w:rFonts w:cs="Arial"/>
          <w:szCs w:val="22"/>
        </w:rPr>
        <w:t xml:space="preserve"> and </w:t>
      </w:r>
      <w:r w:rsidR="00073A4D">
        <w:rPr>
          <w:rFonts w:cs="Arial"/>
          <w:szCs w:val="22"/>
        </w:rPr>
        <w:t xml:space="preserve">(3) </w:t>
      </w:r>
      <w:r w:rsidRPr="00643AC2">
        <w:rPr>
          <w:rFonts w:cs="Arial"/>
          <w:szCs w:val="22"/>
        </w:rPr>
        <w:t>more advanced island states (Fiji, Cook Islands, Palau, Samoa and Tonga) with comparatively better economic prospects</w:t>
      </w:r>
      <w:r w:rsidR="00073A4D">
        <w:rPr>
          <w:rFonts w:cs="Arial"/>
          <w:szCs w:val="22"/>
        </w:rPr>
        <w:t>.</w:t>
      </w:r>
      <w:r w:rsidRPr="00643AC2">
        <w:rPr>
          <w:rFonts w:cs="Arial"/>
          <w:szCs w:val="22"/>
          <w:vertAlign w:val="superscript"/>
        </w:rPr>
        <w:footnoteReference w:id="11"/>
      </w:r>
      <w:r w:rsidRPr="00643AC2">
        <w:rPr>
          <w:rFonts w:cs="Arial"/>
          <w:szCs w:val="22"/>
        </w:rPr>
        <w:t xml:space="preserve"> The informal sector of the economy predominates in most countries. Government is the major wage employer in most of the countries; the private sector is often small and immature. Many governments are highly aid dependent.</w:t>
      </w:r>
    </w:p>
    <w:p w14:paraId="32EE68B3" w14:textId="21DDC02E" w:rsidR="00643AC2" w:rsidRPr="00643AC2" w:rsidRDefault="00643AC2" w:rsidP="00DF7C96">
      <w:pPr>
        <w:spacing w:after="200"/>
        <w:rPr>
          <w:rFonts w:eastAsia="Calibri" w:cs="Arial"/>
          <w:szCs w:val="22"/>
          <w:lang w:val="en-US"/>
        </w:rPr>
      </w:pPr>
      <w:r w:rsidRPr="00643AC2">
        <w:rPr>
          <w:rFonts w:cs="Arial"/>
          <w:szCs w:val="22"/>
        </w:rPr>
        <w:lastRenderedPageBreak/>
        <w:t>TVET systems in the Pacific tend to be under-resourced. APTC trainees, particularly from small island states (SIS</w:t>
      </w:r>
      <w:r w:rsidR="00B61320">
        <w:rPr>
          <w:rFonts w:cs="Arial"/>
          <w:szCs w:val="22"/>
        </w:rPr>
        <w:t>s</w:t>
      </w:r>
      <w:r w:rsidRPr="00643AC2">
        <w:rPr>
          <w:rFonts w:cs="Arial"/>
          <w:szCs w:val="22"/>
        </w:rPr>
        <w:t>), tend to have highly varied levels of preparation in language, literacy and numeracy, in vocational skills</w:t>
      </w:r>
      <w:r w:rsidR="00B61320">
        <w:rPr>
          <w:rFonts w:cs="Arial"/>
          <w:szCs w:val="22"/>
        </w:rPr>
        <w:t>,</w:t>
      </w:r>
      <w:r w:rsidRPr="00643AC2">
        <w:rPr>
          <w:rFonts w:cs="Arial"/>
          <w:szCs w:val="22"/>
        </w:rPr>
        <w:t xml:space="preserve"> and </w:t>
      </w:r>
      <w:r w:rsidR="00B61320">
        <w:rPr>
          <w:rFonts w:cs="Arial"/>
          <w:szCs w:val="22"/>
        </w:rPr>
        <w:t xml:space="preserve">in </w:t>
      </w:r>
      <w:r w:rsidRPr="00643AC2">
        <w:rPr>
          <w:rFonts w:cs="Arial"/>
          <w:szCs w:val="22"/>
        </w:rPr>
        <w:t>quality of work experience. Most received th</w:t>
      </w:r>
      <w:r w:rsidR="00B61320">
        <w:rPr>
          <w:rFonts w:cs="Arial"/>
          <w:szCs w:val="22"/>
        </w:rPr>
        <w:t xml:space="preserve">eir formal education </w:t>
      </w:r>
      <w:r w:rsidR="00580EA9">
        <w:rPr>
          <w:rFonts w:cs="Arial"/>
          <w:szCs w:val="22"/>
        </w:rPr>
        <w:t xml:space="preserve">years </w:t>
      </w:r>
      <w:r w:rsidR="00B61320">
        <w:rPr>
          <w:rFonts w:cs="Arial"/>
          <w:szCs w:val="22"/>
        </w:rPr>
        <w:t xml:space="preserve">ago. </w:t>
      </w:r>
      <w:r w:rsidRPr="00643AC2">
        <w:rPr>
          <w:rFonts w:cs="Arial"/>
          <w:szCs w:val="22"/>
        </w:rPr>
        <w:t>This presents major challenges to APTC trainers.</w:t>
      </w:r>
      <w:r w:rsidRPr="00643AC2">
        <w:rPr>
          <w:rFonts w:eastAsia="Calibri" w:cs="Arial"/>
          <w:szCs w:val="22"/>
          <w:lang w:val="en-US"/>
        </w:rPr>
        <w:t xml:space="preserve"> </w:t>
      </w:r>
      <w:r w:rsidRPr="00643AC2">
        <w:rPr>
          <w:rFonts w:cs="Arial"/>
          <w:szCs w:val="22"/>
        </w:rPr>
        <w:t>On the other hand, trainees are reported to be highly motivated and eager to learn (in comparison with TAFE students in Australia).</w:t>
      </w:r>
    </w:p>
    <w:p w14:paraId="7F33771C" w14:textId="37EDB8EF" w:rsidR="00643AC2" w:rsidRPr="00643AC2" w:rsidRDefault="00643AC2" w:rsidP="00DF7C96">
      <w:pPr>
        <w:spacing w:after="200"/>
        <w:rPr>
          <w:rFonts w:eastAsia="Calibri" w:cs="Arial"/>
          <w:szCs w:val="22"/>
          <w:lang w:val="en-US"/>
        </w:rPr>
      </w:pPr>
      <w:r w:rsidRPr="00643AC2">
        <w:rPr>
          <w:rFonts w:eastAsia="Calibri" w:cs="Arial"/>
          <w:szCs w:val="22"/>
          <w:lang w:val="en-US"/>
        </w:rPr>
        <w:t>APTC has also had to deal with challenging political issues. Foremost among these was the fallout of strained diplomatic relations between Australia and Fiji fol</w:t>
      </w:r>
      <w:r w:rsidR="008E13DD">
        <w:rPr>
          <w:rFonts w:eastAsia="Calibri" w:cs="Arial"/>
          <w:szCs w:val="22"/>
          <w:lang w:val="en-US"/>
        </w:rPr>
        <w:t>lowing the coup in December 2006</w:t>
      </w:r>
      <w:r w:rsidRPr="00643AC2">
        <w:rPr>
          <w:rFonts w:eastAsia="Calibri" w:cs="Arial"/>
          <w:szCs w:val="22"/>
          <w:lang w:val="en-US"/>
        </w:rPr>
        <w:t xml:space="preserve">. Diplomatic relations were severed between the two countries from November 2009 to July 2012, </w:t>
      </w:r>
      <w:r w:rsidR="00580EA9">
        <w:rPr>
          <w:rFonts w:eastAsia="Calibri" w:cs="Arial"/>
          <w:szCs w:val="22"/>
          <w:lang w:val="en-US"/>
        </w:rPr>
        <w:t xml:space="preserve">but </w:t>
      </w:r>
      <w:r w:rsidRPr="00643AC2">
        <w:rPr>
          <w:rFonts w:eastAsia="Calibri" w:cs="Arial"/>
          <w:szCs w:val="22"/>
          <w:lang w:val="en-US"/>
        </w:rPr>
        <w:t xml:space="preserve">have improved further with the restoration of a constitution and elections in 2014. </w:t>
      </w:r>
      <w:r w:rsidR="00580EA9">
        <w:rPr>
          <w:rFonts w:eastAsia="Calibri" w:cs="Arial"/>
          <w:szCs w:val="22"/>
          <w:lang w:val="en-US"/>
        </w:rPr>
        <w:t>S</w:t>
      </w:r>
      <w:r w:rsidRPr="00643AC2">
        <w:rPr>
          <w:rFonts w:eastAsia="Calibri" w:cs="Arial"/>
          <w:szCs w:val="22"/>
          <w:lang w:val="en-US"/>
        </w:rPr>
        <w:t>ome Fijian officials felt that rather than financing Australian training in the region, it would have been more effective to invest the money in local training institutions.</w:t>
      </w:r>
      <w:r w:rsidRPr="00643AC2">
        <w:rPr>
          <w:rFonts w:eastAsia="Calibri" w:cs="Arial"/>
          <w:szCs w:val="22"/>
          <w:vertAlign w:val="superscript"/>
          <w:lang w:val="en-US"/>
        </w:rPr>
        <w:footnoteReference w:id="12"/>
      </w:r>
      <w:r w:rsidRPr="00643AC2">
        <w:rPr>
          <w:rFonts w:eastAsia="Calibri" w:cs="Arial"/>
          <w:szCs w:val="22"/>
          <w:lang w:val="en-US"/>
        </w:rPr>
        <w:t xml:space="preserve"> Because of these factors</w:t>
      </w:r>
      <w:r w:rsidR="00073A4D">
        <w:rPr>
          <w:rFonts w:eastAsia="Calibri" w:cs="Arial"/>
          <w:szCs w:val="22"/>
          <w:lang w:val="en-US"/>
        </w:rPr>
        <w:t>,</w:t>
      </w:r>
      <w:r w:rsidRPr="00643AC2">
        <w:rPr>
          <w:rFonts w:eastAsia="Calibri" w:cs="Arial"/>
          <w:szCs w:val="22"/>
          <w:lang w:val="en-US"/>
        </w:rPr>
        <w:t xml:space="preserve"> APTC has faced difficulties in establishing a working relationship with the main natio</w:t>
      </w:r>
      <w:r w:rsidR="00B61320">
        <w:rPr>
          <w:rFonts w:eastAsia="Calibri" w:cs="Arial"/>
          <w:szCs w:val="22"/>
          <w:lang w:val="en-US"/>
        </w:rPr>
        <w:t xml:space="preserve">nal training institution, </w:t>
      </w:r>
      <w:r w:rsidR="007330B1">
        <w:rPr>
          <w:rFonts w:eastAsia="Calibri" w:cs="Arial"/>
          <w:szCs w:val="22"/>
          <w:lang w:val="en-US"/>
        </w:rPr>
        <w:t>Fiji National University (</w:t>
      </w:r>
      <w:r w:rsidR="00B61320">
        <w:rPr>
          <w:rFonts w:eastAsia="Calibri" w:cs="Arial"/>
          <w:szCs w:val="22"/>
          <w:lang w:val="en-US"/>
        </w:rPr>
        <w:t>FNU</w:t>
      </w:r>
      <w:r w:rsidR="007330B1">
        <w:rPr>
          <w:rFonts w:eastAsia="Calibri" w:cs="Arial"/>
          <w:szCs w:val="22"/>
          <w:lang w:val="en-US"/>
        </w:rPr>
        <w:t>)</w:t>
      </w:r>
      <w:r w:rsidR="00B61320">
        <w:rPr>
          <w:rFonts w:eastAsia="Calibri" w:cs="Arial"/>
          <w:szCs w:val="22"/>
          <w:lang w:val="en-US"/>
        </w:rPr>
        <w:t xml:space="preserve">. </w:t>
      </w:r>
      <w:r w:rsidRPr="00643AC2">
        <w:rPr>
          <w:rFonts w:eastAsia="Calibri" w:cs="Arial"/>
          <w:szCs w:val="22"/>
          <w:lang w:val="en-US"/>
        </w:rPr>
        <w:t xml:space="preserve">Top management in FNU was critical of APTC and reportedly adverse to collaboration. Initially, APTC was able to work cooperatively with the Training and Productivity Authority of Fiji (TPAF), but this cooperation ceased after TPAF was taken over by FNU. More recently, </w:t>
      </w:r>
      <w:r w:rsidRPr="00643AC2">
        <w:rPr>
          <w:rFonts w:cs="Arial"/>
          <w:szCs w:val="22"/>
        </w:rPr>
        <w:t xml:space="preserve">strains led to the departure of APTC from a cooking training facility owned by FNU in Nadi. </w:t>
      </w:r>
      <w:r w:rsidRPr="00643AC2">
        <w:rPr>
          <w:rFonts w:eastAsia="Calibri" w:cs="Arial"/>
          <w:szCs w:val="22"/>
          <w:lang w:val="en-US"/>
        </w:rPr>
        <w:t xml:space="preserve">In addition, attempts by APTC to establish cooperation with </w:t>
      </w:r>
      <w:r w:rsidR="001D04C2">
        <w:rPr>
          <w:rFonts w:eastAsia="Calibri" w:cs="Arial"/>
          <w:szCs w:val="22"/>
          <w:lang w:val="en-US"/>
        </w:rPr>
        <w:t>Solomon Islands National University (</w:t>
      </w:r>
      <w:r w:rsidRPr="00643AC2">
        <w:rPr>
          <w:rFonts w:eastAsia="Calibri" w:cs="Arial"/>
          <w:szCs w:val="22"/>
          <w:lang w:val="en-US"/>
        </w:rPr>
        <w:t>SINU</w:t>
      </w:r>
      <w:r w:rsidR="001D04C2">
        <w:rPr>
          <w:rFonts w:eastAsia="Calibri" w:cs="Arial"/>
          <w:szCs w:val="22"/>
          <w:lang w:val="en-US"/>
        </w:rPr>
        <w:t>)</w:t>
      </w:r>
      <w:r w:rsidRPr="00643AC2">
        <w:rPr>
          <w:rFonts w:eastAsia="Calibri" w:cs="Arial"/>
          <w:szCs w:val="22"/>
          <w:lang w:val="en-US"/>
        </w:rPr>
        <w:t xml:space="preserve"> in Honiara hit a stumbling block</w:t>
      </w:r>
      <w:r w:rsidR="008E13DD" w:rsidRPr="008E13DD">
        <w:rPr>
          <w:rFonts w:eastAsia="Calibri" w:cs="Arial"/>
          <w:szCs w:val="22"/>
          <w:lang w:val="en-US"/>
        </w:rPr>
        <w:t>, although more recently there has be</w:t>
      </w:r>
      <w:r w:rsidR="008E13DD">
        <w:rPr>
          <w:rFonts w:eastAsia="Calibri" w:cs="Arial"/>
          <w:szCs w:val="22"/>
          <w:lang w:val="en-US"/>
        </w:rPr>
        <w:t>en some progress on cooperation</w:t>
      </w:r>
      <w:r w:rsidRPr="00643AC2">
        <w:rPr>
          <w:rFonts w:eastAsia="Calibri" w:cs="Arial"/>
          <w:szCs w:val="22"/>
          <w:lang w:val="en-US"/>
        </w:rPr>
        <w:t xml:space="preserve">. </w:t>
      </w:r>
    </w:p>
    <w:p w14:paraId="746D7670" w14:textId="05E9B39D" w:rsidR="00643AC2" w:rsidRPr="00643AC2" w:rsidRDefault="00643AC2" w:rsidP="00DF7C96">
      <w:pPr>
        <w:spacing w:after="200"/>
        <w:rPr>
          <w:rFonts w:eastAsia="Calibri" w:cs="Arial"/>
          <w:szCs w:val="22"/>
          <w:lang w:val="en-US"/>
        </w:rPr>
      </w:pPr>
      <w:r w:rsidRPr="00643AC2">
        <w:rPr>
          <w:rFonts w:cs="Arial"/>
          <w:szCs w:val="22"/>
        </w:rPr>
        <w:t>These factors add up to highly diverse country conditions and relations for APTC. In</w:t>
      </w:r>
      <w:r w:rsidR="00D25E3B">
        <w:rPr>
          <w:rFonts w:cs="Arial"/>
          <w:szCs w:val="22"/>
        </w:rPr>
        <w:t> </w:t>
      </w:r>
      <w:r w:rsidRPr="00643AC2">
        <w:rPr>
          <w:rFonts w:cs="Arial"/>
          <w:szCs w:val="22"/>
        </w:rPr>
        <w:t xml:space="preserve">contrast with Fiji, many things appear to have gone well </w:t>
      </w:r>
      <w:r w:rsidR="00691DA8">
        <w:rPr>
          <w:rFonts w:cs="Arial"/>
          <w:szCs w:val="22"/>
        </w:rPr>
        <w:t>for</w:t>
      </w:r>
      <w:r w:rsidRPr="00643AC2">
        <w:rPr>
          <w:rFonts w:cs="Arial"/>
          <w:szCs w:val="22"/>
        </w:rPr>
        <w:t xml:space="preserve"> the APTC in Samoa. </w:t>
      </w:r>
      <w:r w:rsidR="00D25E3B">
        <w:rPr>
          <w:rFonts w:cs="Arial"/>
          <w:szCs w:val="22"/>
        </w:rPr>
        <w:t>It </w:t>
      </w:r>
      <w:r w:rsidRPr="00643AC2">
        <w:rPr>
          <w:rFonts w:cs="Arial"/>
          <w:szCs w:val="22"/>
        </w:rPr>
        <w:t xml:space="preserve">enjoys strong political support from top national leadership; has a good working partnership with </w:t>
      </w:r>
      <w:r w:rsidR="00385097">
        <w:rPr>
          <w:rFonts w:cs="Arial"/>
          <w:szCs w:val="22"/>
        </w:rPr>
        <w:t>the National University of Samoa (</w:t>
      </w:r>
      <w:r w:rsidRPr="00643AC2">
        <w:rPr>
          <w:rFonts w:cs="Arial"/>
          <w:szCs w:val="22"/>
        </w:rPr>
        <w:t>NUS</w:t>
      </w:r>
      <w:r w:rsidR="00385097">
        <w:rPr>
          <w:rFonts w:cs="Arial"/>
          <w:szCs w:val="22"/>
        </w:rPr>
        <w:t>)</w:t>
      </w:r>
      <w:r w:rsidRPr="00643AC2">
        <w:rPr>
          <w:rFonts w:cs="Arial"/>
          <w:szCs w:val="22"/>
        </w:rPr>
        <w:t xml:space="preserve"> (following a bumpy start); has a readiness to adjust offerings as circumstances change; and seemingly has made a significant impact on the local economy. In PNG</w:t>
      </w:r>
      <w:r w:rsidR="00073A4D">
        <w:rPr>
          <w:rFonts w:cs="Arial"/>
          <w:szCs w:val="22"/>
        </w:rPr>
        <w:t>,</w:t>
      </w:r>
      <w:r w:rsidRPr="00643AC2">
        <w:rPr>
          <w:rFonts w:cs="Arial"/>
          <w:szCs w:val="22"/>
        </w:rPr>
        <w:t xml:space="preserve"> APTC enjoys strong employer interest in skills among the large employers in a context of weak government investment in TVET. Similarly, in Vanuatu strong support and interest has been registered by the hotel, catering and tourist industry. </w:t>
      </w:r>
    </w:p>
    <w:p w14:paraId="26659DE6" w14:textId="77777777" w:rsidR="00643AC2" w:rsidRPr="00643AC2" w:rsidRDefault="00643AC2" w:rsidP="00DF7C96">
      <w:pPr>
        <w:pStyle w:val="Heading3"/>
        <w:rPr>
          <w:rFonts w:eastAsia="Calibri"/>
          <w:lang w:val="en-US"/>
        </w:rPr>
      </w:pPr>
      <w:bookmarkStart w:id="33" w:name="_Toc278710507"/>
      <w:r w:rsidRPr="00643AC2">
        <w:rPr>
          <w:rFonts w:eastAsia="Calibri"/>
          <w:lang w:val="en-US"/>
        </w:rPr>
        <w:t>Strategic/policy context</w:t>
      </w:r>
      <w:bookmarkEnd w:id="33"/>
    </w:p>
    <w:p w14:paraId="23675A19" w14:textId="5412637B" w:rsidR="00643AC2" w:rsidRPr="00643AC2" w:rsidRDefault="00643AC2" w:rsidP="00DF7C96">
      <w:pPr>
        <w:spacing w:after="200"/>
        <w:rPr>
          <w:rFonts w:eastAsia="Calibri" w:cs="Arial"/>
          <w:szCs w:val="22"/>
          <w:lang w:val="en-US"/>
        </w:rPr>
      </w:pPr>
      <w:r w:rsidRPr="00643AC2">
        <w:rPr>
          <w:rFonts w:eastAsia="Calibri" w:cs="Arial"/>
          <w:szCs w:val="22"/>
          <w:lang w:val="en-US"/>
        </w:rPr>
        <w:t xml:space="preserve">APTC was developed </w:t>
      </w:r>
      <w:r w:rsidR="003F290F">
        <w:rPr>
          <w:rFonts w:eastAsia="Calibri" w:cs="Arial"/>
          <w:szCs w:val="22"/>
          <w:lang w:val="en-US"/>
        </w:rPr>
        <w:t>around</w:t>
      </w:r>
      <w:r w:rsidRPr="00643AC2">
        <w:rPr>
          <w:rFonts w:eastAsia="Calibri" w:cs="Arial"/>
          <w:szCs w:val="22"/>
          <w:lang w:val="en-US"/>
        </w:rPr>
        <w:t xml:space="preserve"> the same time as the p</w:t>
      </w:r>
      <w:r w:rsidR="00787679">
        <w:rPr>
          <w:rFonts w:eastAsia="Calibri" w:cs="Arial"/>
          <w:szCs w:val="22"/>
          <w:lang w:val="en-US"/>
        </w:rPr>
        <w:t xml:space="preserve">rinciples of aid effectiveness </w:t>
      </w:r>
      <w:r w:rsidRPr="00643AC2">
        <w:rPr>
          <w:rFonts w:eastAsia="Calibri" w:cs="Arial"/>
          <w:szCs w:val="22"/>
          <w:lang w:val="en-US"/>
        </w:rPr>
        <w:t xml:space="preserve">articulated in the </w:t>
      </w:r>
      <w:r w:rsidRPr="00643AC2">
        <w:rPr>
          <w:rFonts w:eastAsia="Calibri" w:cs="Arial"/>
          <w:i/>
          <w:szCs w:val="22"/>
          <w:lang w:val="en-US"/>
        </w:rPr>
        <w:t xml:space="preserve">Paris Declaration on Aid Effectiveness </w:t>
      </w:r>
      <w:r w:rsidRPr="00643AC2">
        <w:rPr>
          <w:rFonts w:eastAsia="Calibri" w:cs="Arial"/>
          <w:szCs w:val="22"/>
          <w:lang w:val="en-US"/>
        </w:rPr>
        <w:t xml:space="preserve">and the </w:t>
      </w:r>
      <w:r w:rsidRPr="00643AC2">
        <w:rPr>
          <w:rFonts w:eastAsia="Calibri" w:cs="Arial"/>
          <w:i/>
          <w:szCs w:val="22"/>
          <w:lang w:val="en-US"/>
        </w:rPr>
        <w:t xml:space="preserve">Accra Agenda for Action. </w:t>
      </w:r>
      <w:r w:rsidRPr="00643AC2">
        <w:rPr>
          <w:rFonts w:eastAsia="Calibri" w:cs="Arial"/>
          <w:szCs w:val="22"/>
          <w:lang w:val="en-US"/>
        </w:rPr>
        <w:t>These principles include country ownership, alignment with national priorities, harmoni</w:t>
      </w:r>
      <w:r w:rsidR="003F290F">
        <w:rPr>
          <w:rFonts w:eastAsia="Calibri" w:cs="Arial"/>
          <w:szCs w:val="22"/>
          <w:lang w:val="en-US"/>
        </w:rPr>
        <w:t>s</w:t>
      </w:r>
      <w:r w:rsidRPr="00643AC2">
        <w:rPr>
          <w:rFonts w:eastAsia="Calibri" w:cs="Arial"/>
          <w:szCs w:val="22"/>
          <w:lang w:val="en-US"/>
        </w:rPr>
        <w:t xml:space="preserve">ation of donor assistance, managing for results and mutual accountability. As pointed out in the 2009 </w:t>
      </w:r>
      <w:r w:rsidR="003F290F">
        <w:rPr>
          <w:rFonts w:eastAsia="Calibri" w:cs="Arial"/>
          <w:szCs w:val="22"/>
          <w:lang w:val="en-US"/>
        </w:rPr>
        <w:t>Mid-Term Review</w:t>
      </w:r>
      <w:r w:rsidRPr="00643AC2">
        <w:rPr>
          <w:rFonts w:eastAsia="Calibri" w:cs="Arial"/>
          <w:szCs w:val="22"/>
          <w:lang w:val="en-US"/>
        </w:rPr>
        <w:t>,</w:t>
      </w:r>
      <w:r w:rsidR="00787679">
        <w:rPr>
          <w:rFonts w:eastAsia="Calibri" w:cs="Arial"/>
          <w:szCs w:val="22"/>
          <w:lang w:val="en-US"/>
        </w:rPr>
        <w:t xml:space="preserve"> some observers feel that APTC ‘</w:t>
      </w:r>
      <w:r w:rsidRPr="00643AC2">
        <w:rPr>
          <w:rFonts w:eastAsia="Calibri" w:cs="Arial"/>
          <w:szCs w:val="22"/>
          <w:lang w:val="en-US"/>
        </w:rPr>
        <w:t>does not sit well in this context</w:t>
      </w:r>
      <w:r w:rsidR="00787679">
        <w:rPr>
          <w:rFonts w:eastAsia="Calibri" w:cs="Arial"/>
          <w:szCs w:val="22"/>
          <w:lang w:val="en-US"/>
        </w:rPr>
        <w:t>’.</w:t>
      </w:r>
      <w:r w:rsidRPr="00643AC2">
        <w:rPr>
          <w:rFonts w:eastAsia="Calibri" w:cs="Arial"/>
          <w:szCs w:val="22"/>
          <w:vertAlign w:val="superscript"/>
          <w:lang w:val="en-US"/>
        </w:rPr>
        <w:footnoteReference w:id="13"/>
      </w:r>
      <w:r w:rsidRPr="00643AC2">
        <w:rPr>
          <w:rFonts w:eastAsia="Calibri" w:cs="Arial"/>
          <w:szCs w:val="22"/>
          <w:lang w:val="en-US"/>
        </w:rPr>
        <w:t xml:space="preserve"> APTC tends not to be well integrated with national initiatives and is not managed through clear partnership arrangements. However, as also pointed out by the previous MTR, the APTC goals and objectives are aligned with the Pacific Plan and are consistent with the </w:t>
      </w:r>
      <w:r w:rsidR="00BC1D54">
        <w:rPr>
          <w:rFonts w:eastAsia="Calibri" w:cs="Arial"/>
          <w:szCs w:val="22"/>
          <w:lang w:val="en-US"/>
        </w:rPr>
        <w:t>emerging regional strategies for education and training.</w:t>
      </w:r>
      <w:r w:rsidRPr="00643AC2">
        <w:rPr>
          <w:rFonts w:eastAsia="Calibri" w:cs="Arial"/>
          <w:szCs w:val="22"/>
          <w:vertAlign w:val="superscript"/>
          <w:lang w:val="en-US"/>
        </w:rPr>
        <w:footnoteReference w:id="14"/>
      </w:r>
    </w:p>
    <w:p w14:paraId="698B7E03" w14:textId="06DF28FD" w:rsidR="00E87EDD" w:rsidRPr="00EF09D1" w:rsidRDefault="00064A53" w:rsidP="00DF7C96">
      <w:pPr>
        <w:spacing w:after="200"/>
        <w:rPr>
          <w:rFonts w:eastAsia="Calibri" w:cs="Arial"/>
          <w:szCs w:val="22"/>
          <w:lang w:val="en-US"/>
        </w:rPr>
      </w:pPr>
      <w:r>
        <w:rPr>
          <w:rFonts w:eastAsia="Calibri" w:cs="Arial"/>
          <w:szCs w:val="22"/>
          <w:lang w:val="en-US"/>
        </w:rPr>
        <w:t>Two regionally prepared and endorsed documents set out strategic directions for TVET. Neither refers to APTC directly, but the objectives and strategies are consistent with APTC’s work. First, t</w:t>
      </w:r>
      <w:r w:rsidR="00BC1D54">
        <w:rPr>
          <w:rFonts w:eastAsia="Calibri" w:cs="Arial"/>
          <w:szCs w:val="22"/>
          <w:lang w:val="en-US"/>
        </w:rPr>
        <w:t xml:space="preserve">he Pacific Education Development Framework (PEDF) </w:t>
      </w:r>
      <w:r w:rsidR="00E87EDD">
        <w:rPr>
          <w:rFonts w:eastAsia="Calibri" w:cs="Arial"/>
          <w:szCs w:val="22"/>
          <w:lang w:val="en-US"/>
        </w:rPr>
        <w:t>2009</w:t>
      </w:r>
      <w:r w:rsidR="003F290F">
        <w:rPr>
          <w:rFonts w:eastAsia="Calibri" w:cs="Arial"/>
          <w:szCs w:val="22"/>
          <w:lang w:val="en-US"/>
        </w:rPr>
        <w:t>–</w:t>
      </w:r>
      <w:r w:rsidR="00E87EDD">
        <w:rPr>
          <w:rFonts w:eastAsia="Calibri" w:cs="Arial"/>
          <w:szCs w:val="22"/>
          <w:lang w:val="en-US"/>
        </w:rPr>
        <w:t xml:space="preserve">2015 </w:t>
      </w:r>
      <w:r w:rsidR="00BC1D54">
        <w:rPr>
          <w:rFonts w:eastAsia="Calibri" w:cs="Arial"/>
          <w:szCs w:val="22"/>
          <w:lang w:val="en-US"/>
        </w:rPr>
        <w:t xml:space="preserve">sets out </w:t>
      </w:r>
      <w:r w:rsidR="00912BA5">
        <w:rPr>
          <w:rFonts w:eastAsia="Calibri" w:cs="Arial"/>
          <w:szCs w:val="22"/>
          <w:lang w:val="en-US"/>
        </w:rPr>
        <w:t xml:space="preserve">guidelines for the development of </w:t>
      </w:r>
      <w:r w:rsidR="00BC1D54">
        <w:rPr>
          <w:rFonts w:eastAsia="Calibri" w:cs="Arial"/>
          <w:szCs w:val="22"/>
          <w:lang w:val="en-US"/>
        </w:rPr>
        <w:t>educati</w:t>
      </w:r>
      <w:r w:rsidR="0056426F">
        <w:rPr>
          <w:rFonts w:eastAsia="Calibri" w:cs="Arial"/>
          <w:szCs w:val="22"/>
          <w:lang w:val="en-US"/>
        </w:rPr>
        <w:t xml:space="preserve">on and training in the region. </w:t>
      </w:r>
      <w:r w:rsidR="00912BA5">
        <w:rPr>
          <w:rFonts w:eastAsia="Calibri" w:cs="Arial"/>
          <w:szCs w:val="22"/>
          <w:lang w:val="en-US"/>
        </w:rPr>
        <w:t xml:space="preserve">The Framework covers all </w:t>
      </w:r>
      <w:r w:rsidR="00EF09D1">
        <w:rPr>
          <w:rFonts w:eastAsia="Calibri" w:cs="Arial"/>
          <w:szCs w:val="22"/>
          <w:lang w:val="en-US"/>
        </w:rPr>
        <w:t>sub-</w:t>
      </w:r>
      <w:r w:rsidR="00912BA5">
        <w:rPr>
          <w:rFonts w:eastAsia="Calibri" w:cs="Arial"/>
          <w:szCs w:val="22"/>
          <w:lang w:val="en-US"/>
        </w:rPr>
        <w:t>sectors except higher education.</w:t>
      </w:r>
      <w:r w:rsidR="00EF09D1">
        <w:rPr>
          <w:rFonts w:eastAsia="Calibri" w:cs="Arial"/>
          <w:szCs w:val="22"/>
          <w:lang w:val="en-US"/>
        </w:rPr>
        <w:t xml:space="preserve"> The challenges and </w:t>
      </w:r>
      <w:r w:rsidR="00EF09D1">
        <w:rPr>
          <w:rFonts w:eastAsia="Calibri" w:cs="Arial"/>
          <w:szCs w:val="22"/>
          <w:lang w:val="en-US"/>
        </w:rPr>
        <w:lastRenderedPageBreak/>
        <w:t xml:space="preserve">priorities for TVET draw heavily on the 2008 ADB/PIFS study, </w:t>
      </w:r>
      <w:r w:rsidR="00EF09D1">
        <w:rPr>
          <w:rFonts w:eastAsia="Calibri" w:cs="Arial"/>
          <w:i/>
          <w:szCs w:val="22"/>
          <w:lang w:val="en-US"/>
        </w:rPr>
        <w:t xml:space="preserve">Skilling the Pacific. </w:t>
      </w:r>
      <w:r w:rsidR="00F9685E">
        <w:rPr>
          <w:rFonts w:eastAsia="Calibri" w:cs="Arial"/>
          <w:szCs w:val="22"/>
          <w:lang w:val="en-US"/>
        </w:rPr>
        <w:t>The Framework stresses the importance of quality standards and equity in provision of skills</w:t>
      </w:r>
      <w:r w:rsidR="00177E55">
        <w:rPr>
          <w:rFonts w:eastAsia="Calibri" w:cs="Arial"/>
          <w:szCs w:val="22"/>
          <w:lang w:val="en-US"/>
        </w:rPr>
        <w:t>,</w:t>
      </w:r>
      <w:r w:rsidR="00F9685E">
        <w:rPr>
          <w:rFonts w:eastAsia="Calibri" w:cs="Arial"/>
          <w:szCs w:val="22"/>
          <w:lang w:val="en-US"/>
        </w:rPr>
        <w:t xml:space="preserve"> as well as organi</w:t>
      </w:r>
      <w:r w:rsidR="00177E55">
        <w:rPr>
          <w:rFonts w:eastAsia="Calibri" w:cs="Arial"/>
          <w:szCs w:val="22"/>
          <w:lang w:val="en-US"/>
        </w:rPr>
        <w:t>s</w:t>
      </w:r>
      <w:r w:rsidR="00F9685E">
        <w:rPr>
          <w:rFonts w:eastAsia="Calibri" w:cs="Arial"/>
          <w:szCs w:val="22"/>
          <w:lang w:val="en-US"/>
        </w:rPr>
        <w:t>ational development of apex training authorities and national qualification frameworks.</w:t>
      </w:r>
      <w:r w:rsidR="00F9685E">
        <w:rPr>
          <w:rStyle w:val="FootnoteReference"/>
          <w:rFonts w:eastAsia="Calibri" w:cs="Arial"/>
        </w:rPr>
        <w:footnoteReference w:id="15"/>
      </w:r>
      <w:r w:rsidR="00A96DA9">
        <w:rPr>
          <w:rFonts w:eastAsia="Calibri" w:cs="Arial"/>
          <w:szCs w:val="22"/>
          <w:lang w:val="en-US"/>
        </w:rPr>
        <w:t xml:space="preserve"> </w:t>
      </w:r>
      <w:r>
        <w:rPr>
          <w:rFonts w:eastAsia="Calibri" w:cs="Arial"/>
          <w:szCs w:val="22"/>
          <w:lang w:val="en-US"/>
        </w:rPr>
        <w:t>Second, t</w:t>
      </w:r>
      <w:r w:rsidR="00A96DA9">
        <w:rPr>
          <w:rFonts w:eastAsia="Calibri" w:cs="Arial"/>
          <w:szCs w:val="22"/>
          <w:lang w:val="en-US"/>
        </w:rPr>
        <w:t>he PEDF was followed by a Regional Framework for TVET in 2012.</w:t>
      </w:r>
      <w:r w:rsidR="00A96DA9">
        <w:rPr>
          <w:rStyle w:val="FootnoteReference"/>
          <w:rFonts w:eastAsia="Calibri" w:cs="Arial"/>
        </w:rPr>
        <w:footnoteReference w:id="16"/>
      </w:r>
      <w:r w:rsidR="00A96DA9">
        <w:rPr>
          <w:rFonts w:eastAsia="Calibri" w:cs="Arial"/>
          <w:szCs w:val="22"/>
          <w:lang w:val="en-US"/>
        </w:rPr>
        <w:t xml:space="preserve"> Among other objectives, the Framework seeks to</w:t>
      </w:r>
      <w:r w:rsidR="00177E55">
        <w:rPr>
          <w:rFonts w:eastAsia="Calibri" w:cs="Arial"/>
          <w:szCs w:val="22"/>
          <w:lang w:val="en-US"/>
        </w:rPr>
        <w:t>:</w:t>
      </w:r>
      <w:r w:rsidR="00827E77">
        <w:rPr>
          <w:rFonts w:eastAsia="Calibri" w:cs="Arial"/>
          <w:szCs w:val="22"/>
          <w:lang w:val="en-US"/>
        </w:rPr>
        <w:t xml:space="preserve"> ‘</w:t>
      </w:r>
      <w:r w:rsidR="00A96DA9">
        <w:rPr>
          <w:rFonts w:eastAsia="Calibri" w:cs="Arial"/>
          <w:szCs w:val="22"/>
          <w:lang w:val="en-US"/>
        </w:rPr>
        <w:t>position regional institutions to showcase</w:t>
      </w:r>
      <w:r w:rsidR="00827E77">
        <w:rPr>
          <w:rFonts w:eastAsia="Calibri" w:cs="Arial"/>
          <w:szCs w:val="22"/>
          <w:lang w:val="en-US"/>
        </w:rPr>
        <w:t xml:space="preserve"> best practice in TVET’</w:t>
      </w:r>
      <w:r w:rsidR="00177E55">
        <w:rPr>
          <w:rFonts w:eastAsia="Calibri" w:cs="Arial"/>
          <w:szCs w:val="22"/>
          <w:lang w:val="en-US"/>
        </w:rPr>
        <w:t xml:space="preserve">; </w:t>
      </w:r>
      <w:r w:rsidR="00827E77">
        <w:rPr>
          <w:rFonts w:eastAsia="Calibri" w:cs="Arial"/>
          <w:szCs w:val="22"/>
          <w:lang w:val="en-US"/>
        </w:rPr>
        <w:t>‘</w:t>
      </w:r>
      <w:r w:rsidR="00A96DA9">
        <w:rPr>
          <w:rFonts w:eastAsia="Calibri" w:cs="Arial"/>
          <w:szCs w:val="22"/>
          <w:lang w:val="en-US"/>
        </w:rPr>
        <w:t>strengthen regional coordi</w:t>
      </w:r>
      <w:r w:rsidR="008D0EA2">
        <w:rPr>
          <w:rFonts w:eastAsia="Calibri" w:cs="Arial"/>
          <w:szCs w:val="22"/>
          <w:lang w:val="en-US"/>
        </w:rPr>
        <w:t>nation of TVET through development, cooperation and partnerships</w:t>
      </w:r>
      <w:r w:rsidR="00827E77">
        <w:rPr>
          <w:rFonts w:eastAsia="Calibri" w:cs="Arial"/>
          <w:szCs w:val="22"/>
          <w:lang w:val="en-US"/>
        </w:rPr>
        <w:t>’</w:t>
      </w:r>
      <w:r w:rsidR="00177E55">
        <w:rPr>
          <w:rFonts w:eastAsia="Calibri" w:cs="Arial"/>
          <w:szCs w:val="22"/>
          <w:lang w:val="en-US"/>
        </w:rPr>
        <w:t>;</w:t>
      </w:r>
      <w:r w:rsidR="008D0EA2">
        <w:rPr>
          <w:rFonts w:eastAsia="Calibri" w:cs="Arial"/>
          <w:szCs w:val="22"/>
          <w:lang w:val="en-US"/>
        </w:rPr>
        <w:t xml:space="preserve"> </w:t>
      </w:r>
      <w:r w:rsidR="00A96DA9">
        <w:rPr>
          <w:rFonts w:eastAsia="Calibri" w:cs="Arial"/>
          <w:szCs w:val="22"/>
          <w:lang w:val="en-US"/>
        </w:rPr>
        <w:t xml:space="preserve">and </w:t>
      </w:r>
      <w:r w:rsidR="00827E77">
        <w:rPr>
          <w:rFonts w:eastAsia="Calibri" w:cs="Arial"/>
          <w:szCs w:val="22"/>
          <w:lang w:val="en-US"/>
        </w:rPr>
        <w:t>‘</w:t>
      </w:r>
      <w:r w:rsidR="00B61320">
        <w:rPr>
          <w:rFonts w:eastAsia="Calibri" w:cs="Arial"/>
          <w:szCs w:val="22"/>
          <w:lang w:val="en-US"/>
        </w:rPr>
        <w:t>facilitate labour mobility</w:t>
      </w:r>
      <w:r w:rsidR="00827E77">
        <w:rPr>
          <w:rFonts w:eastAsia="Calibri" w:cs="Arial"/>
          <w:szCs w:val="22"/>
          <w:lang w:val="en-US"/>
        </w:rPr>
        <w:t>’</w:t>
      </w:r>
      <w:r w:rsidR="00A96DA9">
        <w:rPr>
          <w:rFonts w:eastAsia="Calibri" w:cs="Arial"/>
          <w:szCs w:val="22"/>
          <w:lang w:val="en-US"/>
        </w:rPr>
        <w:t xml:space="preserve"> (p.</w:t>
      </w:r>
      <w:r w:rsidR="00177E55">
        <w:rPr>
          <w:rFonts w:eastAsia="Calibri" w:cs="Arial"/>
          <w:szCs w:val="22"/>
          <w:lang w:val="en-US"/>
        </w:rPr>
        <w:t xml:space="preserve"> </w:t>
      </w:r>
      <w:r w:rsidR="00A96DA9">
        <w:rPr>
          <w:rFonts w:eastAsia="Calibri" w:cs="Arial"/>
          <w:szCs w:val="22"/>
          <w:lang w:val="en-US"/>
        </w:rPr>
        <w:t>4)</w:t>
      </w:r>
      <w:r w:rsidR="00B61320">
        <w:rPr>
          <w:rFonts w:eastAsia="Calibri" w:cs="Arial"/>
          <w:szCs w:val="22"/>
          <w:lang w:val="en-US"/>
        </w:rPr>
        <w:t>.</w:t>
      </w:r>
      <w:r w:rsidR="008D0EA2">
        <w:rPr>
          <w:rFonts w:eastAsia="Calibri" w:cs="Arial"/>
          <w:szCs w:val="22"/>
          <w:lang w:val="en-US"/>
        </w:rPr>
        <w:t xml:space="preserve"> Priority areas include </w:t>
      </w:r>
      <w:r w:rsidR="00827E77">
        <w:rPr>
          <w:rFonts w:eastAsia="Calibri" w:cs="Arial"/>
          <w:szCs w:val="22"/>
          <w:lang w:val="en-US"/>
        </w:rPr>
        <w:t>‘</w:t>
      </w:r>
      <w:r w:rsidR="008D0EA2">
        <w:rPr>
          <w:rFonts w:eastAsia="Calibri" w:cs="Arial"/>
          <w:szCs w:val="22"/>
          <w:lang w:val="en-US"/>
        </w:rPr>
        <w:t>enhancing…quality assurance systems to international standards</w:t>
      </w:r>
      <w:r w:rsidR="00827E77">
        <w:rPr>
          <w:rFonts w:eastAsia="Calibri" w:cs="Arial"/>
          <w:szCs w:val="22"/>
          <w:lang w:val="en-US"/>
        </w:rPr>
        <w:t>’</w:t>
      </w:r>
      <w:r w:rsidR="008D0EA2">
        <w:rPr>
          <w:rFonts w:eastAsia="Calibri" w:cs="Arial"/>
          <w:szCs w:val="22"/>
          <w:lang w:val="en-US"/>
        </w:rPr>
        <w:t xml:space="preserve"> and </w:t>
      </w:r>
      <w:r w:rsidR="00827E77">
        <w:rPr>
          <w:rFonts w:eastAsia="Calibri" w:cs="Arial"/>
          <w:szCs w:val="22"/>
          <w:lang w:val="en-US"/>
        </w:rPr>
        <w:t>‘</w:t>
      </w:r>
      <w:r w:rsidR="008D0EA2">
        <w:rPr>
          <w:rFonts w:eastAsia="Calibri" w:cs="Arial"/>
          <w:szCs w:val="22"/>
          <w:lang w:val="en-US"/>
        </w:rPr>
        <w:t>identification and sharing of regional models and programs of excellence in TVET</w:t>
      </w:r>
      <w:r w:rsidR="00827E77">
        <w:rPr>
          <w:rFonts w:eastAsia="Calibri" w:cs="Arial"/>
          <w:szCs w:val="22"/>
          <w:lang w:val="en-US"/>
        </w:rPr>
        <w:t>’</w:t>
      </w:r>
      <w:r w:rsidR="008D0EA2">
        <w:rPr>
          <w:rFonts w:eastAsia="Calibri" w:cs="Arial"/>
          <w:szCs w:val="22"/>
          <w:lang w:val="en-US"/>
        </w:rPr>
        <w:t xml:space="preserve">. </w:t>
      </w:r>
      <w:r w:rsidR="00B61320">
        <w:rPr>
          <w:rFonts w:eastAsia="Calibri" w:cs="Arial"/>
          <w:szCs w:val="22"/>
          <w:lang w:val="en-US"/>
        </w:rPr>
        <w:t xml:space="preserve">The Regional TVET Framework </w:t>
      </w:r>
      <w:r w:rsidR="00765A74">
        <w:rPr>
          <w:rFonts w:eastAsia="Calibri" w:cs="Arial"/>
          <w:szCs w:val="22"/>
          <w:lang w:val="en-US"/>
        </w:rPr>
        <w:t>also advocates increasing TVET scholarship funding so that more Pacific Islanders can</w:t>
      </w:r>
      <w:r w:rsidR="00B61320">
        <w:rPr>
          <w:rFonts w:eastAsia="Calibri" w:cs="Arial"/>
          <w:szCs w:val="22"/>
          <w:lang w:val="en-US"/>
        </w:rPr>
        <w:t xml:space="preserve"> travel and study in the region</w:t>
      </w:r>
      <w:r w:rsidR="00765A74">
        <w:rPr>
          <w:rFonts w:eastAsia="Calibri" w:cs="Arial"/>
          <w:szCs w:val="22"/>
          <w:lang w:val="en-US"/>
        </w:rPr>
        <w:t xml:space="preserve"> </w:t>
      </w:r>
      <w:r w:rsidR="00765A74" w:rsidRPr="00765A74">
        <w:rPr>
          <w:rFonts w:eastAsia="Calibri" w:cs="Arial"/>
          <w:szCs w:val="22"/>
          <w:lang w:val="en-US"/>
        </w:rPr>
        <w:t>(pp. 4</w:t>
      </w:r>
      <w:r w:rsidR="00F14874">
        <w:rPr>
          <w:rFonts w:eastAsia="Calibri" w:cs="Arial"/>
          <w:szCs w:val="22"/>
          <w:lang w:val="en-US"/>
        </w:rPr>
        <w:t>–</w:t>
      </w:r>
      <w:r w:rsidR="00765A74" w:rsidRPr="00765A74">
        <w:rPr>
          <w:rFonts w:eastAsia="Calibri" w:cs="Arial"/>
          <w:szCs w:val="22"/>
          <w:lang w:val="en-US"/>
        </w:rPr>
        <w:t>5)</w:t>
      </w:r>
      <w:r w:rsidR="00B61320">
        <w:rPr>
          <w:rFonts w:eastAsia="Calibri" w:cs="Arial"/>
          <w:szCs w:val="22"/>
          <w:lang w:val="en-US"/>
        </w:rPr>
        <w:t>.</w:t>
      </w:r>
    </w:p>
    <w:p w14:paraId="6666BD47" w14:textId="5E0D21AF" w:rsidR="00820A89" w:rsidRDefault="00064A53" w:rsidP="00DF7C96">
      <w:pPr>
        <w:spacing w:after="200"/>
        <w:rPr>
          <w:rFonts w:eastAsia="Calibri" w:cs="Arial"/>
          <w:szCs w:val="22"/>
          <w:lang w:val="en-US"/>
        </w:rPr>
      </w:pPr>
      <w:r>
        <w:rPr>
          <w:rFonts w:eastAsia="Calibri" w:cs="Arial"/>
          <w:szCs w:val="22"/>
          <w:lang w:val="en-US"/>
        </w:rPr>
        <w:t xml:space="preserve">AusAID’s </w:t>
      </w:r>
      <w:r w:rsidR="00FF3432">
        <w:rPr>
          <w:rFonts w:eastAsia="Calibri" w:cs="Arial"/>
          <w:szCs w:val="22"/>
          <w:lang w:val="en-US"/>
        </w:rPr>
        <w:t xml:space="preserve">2011 </w:t>
      </w:r>
      <w:r w:rsidR="00643AC2" w:rsidRPr="00643AC2">
        <w:rPr>
          <w:rFonts w:eastAsia="Calibri" w:cs="Arial"/>
          <w:szCs w:val="22"/>
          <w:lang w:val="en-US"/>
        </w:rPr>
        <w:t>Pacific Education and Skills Development Agenda (PESDA) provides guidance on Australian aid for education and skills development programs across the Pacific. One of the four objectives pertains to technical</w:t>
      </w:r>
      <w:r w:rsidR="004B7B29">
        <w:rPr>
          <w:rFonts w:eastAsia="Calibri" w:cs="Arial"/>
          <w:szCs w:val="22"/>
          <w:lang w:val="en-US"/>
        </w:rPr>
        <w:t>–</w:t>
      </w:r>
      <w:r w:rsidR="00643AC2" w:rsidRPr="00643AC2">
        <w:rPr>
          <w:rFonts w:eastAsia="Calibri" w:cs="Arial"/>
          <w:szCs w:val="22"/>
          <w:lang w:val="en-US"/>
        </w:rPr>
        <w:t xml:space="preserve">vocational skills development, namely </w:t>
      </w:r>
      <w:r w:rsidR="00F00B45">
        <w:rPr>
          <w:rFonts w:eastAsia="Calibri" w:cs="Arial"/>
          <w:szCs w:val="22"/>
          <w:lang w:val="en-US"/>
        </w:rPr>
        <w:t>‘</w:t>
      </w:r>
      <w:r w:rsidR="00643AC2" w:rsidRPr="00643AC2">
        <w:rPr>
          <w:rFonts w:eastAsia="Calibri" w:cs="Arial"/>
          <w:szCs w:val="22"/>
          <w:lang w:val="en-US"/>
        </w:rPr>
        <w:t>ensuring that increased numbers of young people gain valued professional, technical or vocational qualifications through post-secondary education and training</w:t>
      </w:r>
      <w:r w:rsidR="00F00B45">
        <w:rPr>
          <w:rFonts w:eastAsia="Calibri" w:cs="Arial"/>
          <w:szCs w:val="22"/>
          <w:lang w:val="en-US"/>
        </w:rPr>
        <w:t>’</w:t>
      </w:r>
      <w:r w:rsidR="00B659ED">
        <w:rPr>
          <w:rFonts w:eastAsia="Calibri" w:cs="Arial"/>
          <w:szCs w:val="22"/>
          <w:lang w:val="en-US"/>
        </w:rPr>
        <w:t>.</w:t>
      </w:r>
      <w:r w:rsidR="00643AC2" w:rsidRPr="00643AC2">
        <w:rPr>
          <w:rFonts w:eastAsia="Calibri" w:cs="Arial"/>
          <w:szCs w:val="22"/>
          <w:vertAlign w:val="superscript"/>
          <w:lang w:val="en-US"/>
        </w:rPr>
        <w:footnoteReference w:id="17"/>
      </w:r>
      <w:r w:rsidR="00643AC2" w:rsidRPr="00643AC2">
        <w:rPr>
          <w:rFonts w:eastAsia="Calibri" w:cs="Arial"/>
          <w:szCs w:val="22"/>
          <w:lang w:val="en-US"/>
        </w:rPr>
        <w:t xml:space="preserve"> </w:t>
      </w:r>
      <w:r w:rsidR="00B61320">
        <w:rPr>
          <w:rFonts w:eastAsia="Calibri" w:cs="Arial"/>
          <w:szCs w:val="22"/>
          <w:lang w:val="en-US"/>
        </w:rPr>
        <w:t xml:space="preserve">Inter alia, </w:t>
      </w:r>
      <w:r w:rsidR="00643AC2" w:rsidRPr="00643AC2">
        <w:rPr>
          <w:rFonts w:eastAsia="Calibri" w:cs="Arial"/>
          <w:szCs w:val="22"/>
          <w:lang w:val="en-US"/>
        </w:rPr>
        <w:t>it cites the benefits of gaining internationally recogni</w:t>
      </w:r>
      <w:r w:rsidR="00B659ED">
        <w:rPr>
          <w:rFonts w:eastAsia="Calibri" w:cs="Arial"/>
          <w:szCs w:val="22"/>
          <w:lang w:val="en-US"/>
        </w:rPr>
        <w:t>s</w:t>
      </w:r>
      <w:r w:rsidR="00643AC2" w:rsidRPr="00643AC2">
        <w:rPr>
          <w:rFonts w:eastAsia="Calibri" w:cs="Arial"/>
          <w:szCs w:val="22"/>
          <w:lang w:val="en-US"/>
        </w:rPr>
        <w:t>ed qualifications and that the APTC has demonstrated that such qualifications enable citizens to move between training providers, employers and countries, including Australia.</w:t>
      </w:r>
      <w:r w:rsidR="00643AC2" w:rsidRPr="00643AC2">
        <w:rPr>
          <w:rFonts w:eastAsia="Calibri" w:cs="Arial"/>
          <w:szCs w:val="22"/>
          <w:vertAlign w:val="superscript"/>
          <w:lang w:val="en-US"/>
        </w:rPr>
        <w:footnoteReference w:id="18"/>
      </w:r>
      <w:r w:rsidR="00643AC2" w:rsidRPr="00643AC2">
        <w:rPr>
          <w:rFonts w:eastAsia="Calibri" w:cs="Arial"/>
          <w:szCs w:val="22"/>
          <w:lang w:val="en-US"/>
        </w:rPr>
        <w:t xml:space="preserve"> One of the three performance targets is </w:t>
      </w:r>
      <w:r w:rsidR="003A0D14">
        <w:rPr>
          <w:rFonts w:eastAsia="Calibri" w:cs="Arial"/>
          <w:szCs w:val="22"/>
          <w:lang w:val="en-US"/>
        </w:rPr>
        <w:t>‘</w:t>
      </w:r>
      <w:r w:rsidR="00643AC2" w:rsidRPr="00643AC2">
        <w:rPr>
          <w:rFonts w:eastAsia="Calibri" w:cs="Arial"/>
          <w:szCs w:val="22"/>
          <w:lang w:val="en-US"/>
        </w:rPr>
        <w:t>increased employability of young people</w:t>
      </w:r>
      <w:r w:rsidR="003A0D14">
        <w:rPr>
          <w:rFonts w:eastAsia="Calibri" w:cs="Arial"/>
          <w:szCs w:val="22"/>
          <w:lang w:val="en-US"/>
        </w:rPr>
        <w:t>’</w:t>
      </w:r>
      <w:r w:rsidR="00B659ED">
        <w:rPr>
          <w:rFonts w:eastAsia="Calibri" w:cs="Arial"/>
          <w:szCs w:val="22"/>
          <w:lang w:val="en-US"/>
        </w:rPr>
        <w:t>.</w:t>
      </w:r>
      <w:r w:rsidR="00643AC2" w:rsidRPr="00643AC2">
        <w:rPr>
          <w:rFonts w:eastAsia="Calibri" w:cs="Arial"/>
          <w:szCs w:val="22"/>
          <w:vertAlign w:val="superscript"/>
          <w:lang w:val="en-US"/>
        </w:rPr>
        <w:footnoteReference w:id="19"/>
      </w:r>
      <w:r w:rsidR="00643AC2" w:rsidRPr="00643AC2">
        <w:rPr>
          <w:rFonts w:eastAsia="Calibri" w:cs="Arial"/>
          <w:szCs w:val="22"/>
          <w:lang w:val="en-US"/>
        </w:rPr>
        <w:t xml:space="preserve"> One of four performance indicators is </w:t>
      </w:r>
      <w:r w:rsidR="00932788">
        <w:rPr>
          <w:rFonts w:eastAsia="Calibri" w:cs="Arial"/>
          <w:szCs w:val="22"/>
          <w:lang w:val="en-US"/>
        </w:rPr>
        <w:t>‘</w:t>
      </w:r>
      <w:r w:rsidR="00643AC2" w:rsidRPr="00643AC2">
        <w:rPr>
          <w:rFonts w:eastAsia="Calibri" w:cs="Arial"/>
          <w:szCs w:val="22"/>
          <w:lang w:val="en-US"/>
        </w:rPr>
        <w:t>increased numbers of young people with qualifications that are accepted regionally and/or internationally</w:t>
      </w:r>
      <w:r w:rsidR="00932788">
        <w:rPr>
          <w:rFonts w:eastAsia="Calibri" w:cs="Arial"/>
          <w:szCs w:val="22"/>
          <w:lang w:val="en-US"/>
        </w:rPr>
        <w:t>’</w:t>
      </w:r>
      <w:r w:rsidR="00B659ED">
        <w:rPr>
          <w:rFonts w:eastAsia="Calibri" w:cs="Arial"/>
          <w:szCs w:val="22"/>
          <w:lang w:val="en-US"/>
        </w:rPr>
        <w:t>.</w:t>
      </w:r>
      <w:r w:rsidR="00643AC2" w:rsidRPr="00643AC2">
        <w:rPr>
          <w:rFonts w:eastAsia="Calibri" w:cs="Arial"/>
          <w:szCs w:val="22"/>
          <w:vertAlign w:val="superscript"/>
          <w:lang w:val="en-US"/>
        </w:rPr>
        <w:footnoteReference w:id="20"/>
      </w:r>
      <w:r w:rsidR="00643AC2" w:rsidRPr="00643AC2">
        <w:rPr>
          <w:rFonts w:eastAsia="Calibri" w:cs="Arial"/>
          <w:szCs w:val="22"/>
          <w:lang w:val="en-US"/>
        </w:rPr>
        <w:t xml:space="preserve"> APTC is singled out among regional institutions for support</w:t>
      </w:r>
      <w:r w:rsidR="00B6386E">
        <w:rPr>
          <w:rFonts w:eastAsia="Calibri" w:cs="Arial"/>
          <w:szCs w:val="22"/>
          <w:lang w:val="en-US"/>
        </w:rPr>
        <w:t>:</w:t>
      </w:r>
      <w:r w:rsidR="00643AC2" w:rsidRPr="00643AC2">
        <w:rPr>
          <w:rFonts w:eastAsia="Calibri" w:cs="Arial"/>
          <w:szCs w:val="22"/>
          <w:lang w:val="en-US"/>
        </w:rPr>
        <w:t xml:space="preserve"> </w:t>
      </w:r>
      <w:r w:rsidR="00932788">
        <w:rPr>
          <w:rFonts w:eastAsia="Calibri" w:cs="Arial"/>
          <w:szCs w:val="22"/>
          <w:lang w:val="en-US"/>
        </w:rPr>
        <w:t>‘</w:t>
      </w:r>
      <w:r w:rsidR="00643AC2" w:rsidRPr="00643AC2">
        <w:rPr>
          <w:rFonts w:eastAsia="Calibri" w:cs="Arial"/>
          <w:szCs w:val="22"/>
          <w:lang w:val="en-US"/>
        </w:rPr>
        <w:t>To support formal skill development in the Pacific, Australia is committed to expanding and strengthening the services of the Australia</w:t>
      </w:r>
      <w:r w:rsidR="00932788">
        <w:rPr>
          <w:rFonts w:eastAsia="Calibri" w:cs="Arial"/>
          <w:szCs w:val="22"/>
          <w:lang w:val="en-US"/>
        </w:rPr>
        <w:t>–</w:t>
      </w:r>
      <w:r w:rsidR="00643AC2" w:rsidRPr="00643AC2">
        <w:rPr>
          <w:rFonts w:eastAsia="Calibri" w:cs="Arial"/>
          <w:szCs w:val="22"/>
          <w:lang w:val="en-US"/>
        </w:rPr>
        <w:t>Pacific Technical College</w:t>
      </w:r>
      <w:r w:rsidR="00932788">
        <w:rPr>
          <w:rFonts w:eastAsia="Calibri" w:cs="Arial"/>
          <w:szCs w:val="22"/>
          <w:lang w:val="en-US"/>
        </w:rPr>
        <w:t>’</w:t>
      </w:r>
      <w:r w:rsidR="00B6386E">
        <w:rPr>
          <w:rFonts w:eastAsia="Calibri" w:cs="Arial"/>
          <w:szCs w:val="22"/>
          <w:lang w:val="en-US"/>
        </w:rPr>
        <w:t>.</w:t>
      </w:r>
      <w:r w:rsidR="00643AC2" w:rsidRPr="00643AC2">
        <w:rPr>
          <w:rFonts w:eastAsia="Calibri" w:cs="Arial"/>
          <w:szCs w:val="22"/>
          <w:vertAlign w:val="superscript"/>
          <w:lang w:val="en-US"/>
        </w:rPr>
        <w:footnoteReference w:id="21"/>
      </w:r>
      <w:r w:rsidR="00643AC2" w:rsidRPr="00643AC2">
        <w:rPr>
          <w:rFonts w:eastAsia="Calibri" w:cs="Arial"/>
          <w:szCs w:val="22"/>
          <w:lang w:val="en-US"/>
        </w:rPr>
        <w:t xml:space="preserve"> In addition to delivery of Australian qualifications at </w:t>
      </w:r>
      <w:r w:rsidR="00B6386E">
        <w:rPr>
          <w:rFonts w:eastAsia="Calibri" w:cs="Arial"/>
          <w:szCs w:val="22"/>
          <w:lang w:val="en-US"/>
        </w:rPr>
        <w:t>C</w:t>
      </w:r>
      <w:r w:rsidR="00643AC2" w:rsidRPr="00643AC2">
        <w:rPr>
          <w:rFonts w:eastAsia="Calibri" w:cs="Arial"/>
          <w:szCs w:val="22"/>
          <w:lang w:val="en-US"/>
        </w:rPr>
        <w:t xml:space="preserve">ertificate III level and above to a broader range of people, the College will also build capacities of local training providers through teacher development and establishment of a Centre for Professional Development. </w:t>
      </w:r>
      <w:r w:rsidR="00C36225">
        <w:rPr>
          <w:rFonts w:eastAsia="Calibri" w:cs="Arial"/>
          <w:szCs w:val="22"/>
          <w:lang w:val="en-US"/>
        </w:rPr>
        <w:t>As stated later</w:t>
      </w:r>
      <w:r w:rsidR="00CD41B9">
        <w:rPr>
          <w:rFonts w:eastAsia="Calibri" w:cs="Arial"/>
          <w:szCs w:val="22"/>
          <w:lang w:val="en-US"/>
        </w:rPr>
        <w:t xml:space="preserve"> in this report</w:t>
      </w:r>
      <w:r w:rsidR="00C36225">
        <w:rPr>
          <w:rFonts w:eastAsia="Calibri" w:cs="Arial"/>
          <w:szCs w:val="22"/>
          <w:lang w:val="en-US"/>
        </w:rPr>
        <w:t xml:space="preserve">, while the PESDA </w:t>
      </w:r>
      <w:r w:rsidR="00820A89">
        <w:rPr>
          <w:rFonts w:eastAsia="Calibri" w:cs="Arial"/>
          <w:szCs w:val="22"/>
          <w:lang w:val="en-US"/>
        </w:rPr>
        <w:t xml:space="preserve">cites the importance of APTC, it provides </w:t>
      </w:r>
      <w:r w:rsidR="009C2FE4">
        <w:rPr>
          <w:rFonts w:eastAsia="Calibri" w:cs="Arial"/>
          <w:szCs w:val="22"/>
          <w:lang w:val="en-US"/>
        </w:rPr>
        <w:t xml:space="preserve">insufficient </w:t>
      </w:r>
      <w:r w:rsidR="00820A89">
        <w:rPr>
          <w:rFonts w:eastAsia="Calibri" w:cs="Arial"/>
          <w:szCs w:val="22"/>
          <w:lang w:val="en-US"/>
        </w:rPr>
        <w:t xml:space="preserve">strategic guidance for </w:t>
      </w:r>
      <w:r w:rsidR="00620746">
        <w:rPr>
          <w:rFonts w:eastAsia="Calibri" w:cs="Arial"/>
          <w:szCs w:val="22"/>
          <w:lang w:val="en-US"/>
        </w:rPr>
        <w:t xml:space="preserve">APTC’s </w:t>
      </w:r>
      <w:r w:rsidR="00820A89">
        <w:rPr>
          <w:rFonts w:eastAsia="Calibri" w:cs="Arial"/>
          <w:szCs w:val="22"/>
          <w:lang w:val="en-US"/>
        </w:rPr>
        <w:t>long</w:t>
      </w:r>
      <w:r w:rsidR="0070614A">
        <w:rPr>
          <w:rFonts w:eastAsia="Calibri" w:cs="Arial"/>
          <w:szCs w:val="22"/>
          <w:lang w:val="en-US"/>
        </w:rPr>
        <w:t>-</w:t>
      </w:r>
      <w:r w:rsidR="00820A89">
        <w:rPr>
          <w:rFonts w:eastAsia="Calibri" w:cs="Arial"/>
          <w:szCs w:val="22"/>
          <w:lang w:val="en-US"/>
        </w:rPr>
        <w:t>term development.</w:t>
      </w:r>
    </w:p>
    <w:p w14:paraId="7E2D5E55" w14:textId="5EB3F910" w:rsidR="007C10A7" w:rsidRPr="007C10A7" w:rsidRDefault="007C10A7" w:rsidP="00DF7C96">
      <w:pPr>
        <w:spacing w:after="200"/>
        <w:rPr>
          <w:rFonts w:cs="Arial"/>
        </w:rPr>
      </w:pPr>
      <w:r w:rsidRPr="007C10A7">
        <w:rPr>
          <w:rFonts w:cs="Arial"/>
        </w:rPr>
        <w:t>From both a geographic and thematic/investment perspective</w:t>
      </w:r>
      <w:r w:rsidR="0070614A">
        <w:rPr>
          <w:rFonts w:cs="Arial"/>
        </w:rPr>
        <w:t>,</w:t>
      </w:r>
      <w:r w:rsidRPr="007C10A7">
        <w:rPr>
          <w:rFonts w:cs="Arial"/>
        </w:rPr>
        <w:t xml:space="preserve"> APTC fits well with the new policy on aid introduced by the Australian Government in June 2014.</w:t>
      </w:r>
      <w:r w:rsidRPr="007C10A7">
        <w:rPr>
          <w:rFonts w:cs="Arial"/>
          <w:vertAlign w:val="superscript"/>
        </w:rPr>
        <w:footnoteReference w:id="22"/>
      </w:r>
      <w:r w:rsidRPr="007C10A7">
        <w:rPr>
          <w:rFonts w:cs="Arial"/>
        </w:rPr>
        <w:t xml:space="preserve"> The combined sector of education and health is one of the six investment priorities. TVET is specifically included among the five priorities for education:</w:t>
      </w:r>
    </w:p>
    <w:p w14:paraId="2D88DF69" w14:textId="4E1D067C" w:rsidR="007C10A7" w:rsidRPr="007C10A7" w:rsidRDefault="007C10A7" w:rsidP="00837BF5">
      <w:pPr>
        <w:ind w:left="720"/>
        <w:rPr>
          <w:rFonts w:cs="Arial"/>
        </w:rPr>
      </w:pPr>
      <w:r w:rsidRPr="007C10A7">
        <w:rPr>
          <w:rFonts w:cs="Arial"/>
          <w:i/>
        </w:rPr>
        <w:t>Prioritise skills for growth to enable people to be job-ready and adaptable, by improving access to quality-assured technical education and training, which matches the needs of the local private sector</w:t>
      </w:r>
      <w:r w:rsidRPr="007C10A7">
        <w:rPr>
          <w:rFonts w:cs="Arial"/>
        </w:rPr>
        <w:t>.</w:t>
      </w:r>
      <w:r w:rsidRPr="007C10A7">
        <w:rPr>
          <w:rFonts w:cs="Arial"/>
          <w:vertAlign w:val="superscript"/>
        </w:rPr>
        <w:footnoteReference w:id="23"/>
      </w:r>
      <w:r>
        <w:rPr>
          <w:rFonts w:cs="Arial"/>
        </w:rPr>
        <w:t xml:space="preserve"> (See Annex 10.3)</w:t>
      </w:r>
    </w:p>
    <w:p w14:paraId="20F86F9D" w14:textId="45B8AE4D" w:rsidR="00643AC2" w:rsidRPr="00643AC2" w:rsidRDefault="00643AC2" w:rsidP="00DF7C96">
      <w:pPr>
        <w:spacing w:after="200"/>
        <w:rPr>
          <w:rFonts w:eastAsia="Calibri" w:cs="Arial"/>
          <w:szCs w:val="22"/>
          <w:lang w:val="en-US"/>
        </w:rPr>
      </w:pPr>
      <w:r w:rsidRPr="00643AC2">
        <w:rPr>
          <w:rFonts w:eastAsia="Calibri" w:cs="Arial"/>
          <w:szCs w:val="22"/>
          <w:lang w:val="en-US"/>
        </w:rPr>
        <w:lastRenderedPageBreak/>
        <w:t>Other strategic initiatives</w:t>
      </w:r>
      <w:r w:rsidRPr="00643AC2">
        <w:rPr>
          <w:rFonts w:eastAsia="Calibri" w:cs="Arial"/>
          <w:szCs w:val="22"/>
          <w:vertAlign w:val="superscript"/>
          <w:lang w:val="en-US"/>
        </w:rPr>
        <w:footnoteReference w:id="24"/>
      </w:r>
      <w:r w:rsidRPr="00643AC2">
        <w:rPr>
          <w:rFonts w:eastAsia="Calibri" w:cs="Arial"/>
          <w:szCs w:val="22"/>
          <w:lang w:val="en-US"/>
        </w:rPr>
        <w:t xml:space="preserve"> reportedly are under preparation by DFAT, but could not be considered as part of this review as they have not been finali</w:t>
      </w:r>
      <w:r w:rsidR="00AC7B43">
        <w:rPr>
          <w:rFonts w:eastAsia="Calibri" w:cs="Arial"/>
          <w:szCs w:val="22"/>
          <w:lang w:val="en-US"/>
        </w:rPr>
        <w:t>s</w:t>
      </w:r>
      <w:r w:rsidRPr="00643AC2">
        <w:rPr>
          <w:rFonts w:eastAsia="Calibri" w:cs="Arial"/>
          <w:szCs w:val="22"/>
          <w:lang w:val="en-US"/>
        </w:rPr>
        <w:t>ed and officially adopted.</w:t>
      </w:r>
    </w:p>
    <w:p w14:paraId="4199BBE5" w14:textId="77777777" w:rsidR="00EF59E3" w:rsidRPr="00EF59E3" w:rsidRDefault="00EF59E3" w:rsidP="00EF59E3">
      <w:pPr>
        <w:pStyle w:val="Heading2"/>
      </w:pPr>
      <w:bookmarkStart w:id="34" w:name="_Toc278710508"/>
      <w:r w:rsidRPr="00EF59E3">
        <w:t>Organisation of the report</w:t>
      </w:r>
      <w:bookmarkEnd w:id="34"/>
    </w:p>
    <w:p w14:paraId="41CA23D9" w14:textId="56021A48" w:rsidR="00EF59E3" w:rsidRPr="00E12183" w:rsidRDefault="00EF59E3" w:rsidP="00EF59E3">
      <w:pPr>
        <w:rPr>
          <w:rFonts w:cs="Arial"/>
        </w:rPr>
      </w:pPr>
      <w:r w:rsidRPr="00E12183">
        <w:rPr>
          <w:rFonts w:cs="Arial"/>
        </w:rPr>
        <w:t xml:space="preserve">The report is </w:t>
      </w:r>
      <w:r w:rsidR="005D6EA4" w:rsidRPr="00E12183">
        <w:rPr>
          <w:rFonts w:cs="Arial"/>
        </w:rPr>
        <w:t>organi</w:t>
      </w:r>
      <w:r w:rsidR="005D6EA4">
        <w:rPr>
          <w:rFonts w:cs="Arial"/>
        </w:rPr>
        <w:t>s</w:t>
      </w:r>
      <w:r w:rsidR="005D6EA4" w:rsidRPr="00E12183">
        <w:rPr>
          <w:rFonts w:cs="Arial"/>
        </w:rPr>
        <w:t xml:space="preserve">ed </w:t>
      </w:r>
      <w:r w:rsidRPr="00E12183">
        <w:rPr>
          <w:rFonts w:cs="Arial"/>
        </w:rPr>
        <w:t>according to the primary evaluation questions, as follows:</w:t>
      </w:r>
    </w:p>
    <w:p w14:paraId="02CE05A4" w14:textId="62DB67AC" w:rsidR="00EF59E3" w:rsidRPr="00E12183" w:rsidRDefault="00EF59E3" w:rsidP="008F117B">
      <w:pPr>
        <w:numPr>
          <w:ilvl w:val="0"/>
          <w:numId w:val="15"/>
        </w:numPr>
        <w:rPr>
          <w:rFonts w:cs="Arial"/>
        </w:rPr>
      </w:pPr>
      <w:r w:rsidRPr="00E12183">
        <w:rPr>
          <w:rFonts w:cs="Arial"/>
        </w:rPr>
        <w:t xml:space="preserve">Chapter </w:t>
      </w:r>
      <w:r w:rsidR="005D6EA4">
        <w:rPr>
          <w:rFonts w:cs="Arial"/>
        </w:rPr>
        <w:t>2</w:t>
      </w:r>
      <w:r w:rsidR="000C3C9B">
        <w:rPr>
          <w:rFonts w:cs="Arial"/>
        </w:rPr>
        <w:t>:</w:t>
      </w:r>
      <w:r w:rsidR="000C3C9B" w:rsidRPr="00E12183">
        <w:rPr>
          <w:rFonts w:cs="Arial"/>
        </w:rPr>
        <w:t xml:space="preserve"> </w:t>
      </w:r>
      <w:r w:rsidRPr="00E12183">
        <w:rPr>
          <w:rFonts w:cs="Arial"/>
        </w:rPr>
        <w:t xml:space="preserve">TVET </w:t>
      </w:r>
      <w:r w:rsidR="000C3C9B">
        <w:rPr>
          <w:rFonts w:cs="Arial"/>
        </w:rPr>
        <w:t>c</w:t>
      </w:r>
      <w:r w:rsidR="000C3C9B" w:rsidRPr="00E12183">
        <w:rPr>
          <w:rFonts w:cs="Arial"/>
        </w:rPr>
        <w:t xml:space="preserve">apacity </w:t>
      </w:r>
    </w:p>
    <w:p w14:paraId="34BB14D5" w14:textId="26A33BA7" w:rsidR="00EF59E3" w:rsidRPr="00E12183" w:rsidRDefault="00EF59E3" w:rsidP="008F117B">
      <w:pPr>
        <w:numPr>
          <w:ilvl w:val="0"/>
          <w:numId w:val="15"/>
        </w:numPr>
        <w:rPr>
          <w:rFonts w:cs="Arial"/>
        </w:rPr>
      </w:pPr>
      <w:r w:rsidRPr="00E12183">
        <w:rPr>
          <w:rFonts w:cs="Arial"/>
        </w:rPr>
        <w:t xml:space="preserve">Chapter </w:t>
      </w:r>
      <w:r w:rsidR="005D6EA4">
        <w:rPr>
          <w:rFonts w:cs="Arial"/>
        </w:rPr>
        <w:t>3</w:t>
      </w:r>
      <w:r w:rsidR="000C3C9B">
        <w:rPr>
          <w:rFonts w:cs="Arial"/>
        </w:rPr>
        <w:t>:</w:t>
      </w:r>
      <w:r w:rsidR="000C3C9B" w:rsidRPr="00E12183">
        <w:rPr>
          <w:rFonts w:cs="Arial"/>
        </w:rPr>
        <w:t xml:space="preserve"> </w:t>
      </w:r>
      <w:r w:rsidRPr="00E12183">
        <w:rPr>
          <w:rFonts w:cs="Arial"/>
        </w:rPr>
        <w:t xml:space="preserve">Labour mobility   </w:t>
      </w:r>
    </w:p>
    <w:p w14:paraId="081B0853" w14:textId="01229939" w:rsidR="00EF59E3" w:rsidRPr="00E12183" w:rsidRDefault="00EF59E3" w:rsidP="008F117B">
      <w:pPr>
        <w:numPr>
          <w:ilvl w:val="0"/>
          <w:numId w:val="15"/>
        </w:numPr>
        <w:rPr>
          <w:rFonts w:cs="Arial"/>
        </w:rPr>
      </w:pPr>
      <w:r w:rsidRPr="00E12183">
        <w:rPr>
          <w:rFonts w:cs="Arial"/>
        </w:rPr>
        <w:t xml:space="preserve">Chapter </w:t>
      </w:r>
      <w:r w:rsidR="005D6EA4">
        <w:rPr>
          <w:rFonts w:cs="Arial"/>
        </w:rPr>
        <w:t>4</w:t>
      </w:r>
      <w:r w:rsidR="000C3C9B">
        <w:rPr>
          <w:rFonts w:cs="Arial"/>
        </w:rPr>
        <w:t>:</w:t>
      </w:r>
      <w:r w:rsidR="000C3C9B" w:rsidRPr="00E12183">
        <w:rPr>
          <w:rFonts w:cs="Arial"/>
        </w:rPr>
        <w:t xml:space="preserve"> </w:t>
      </w:r>
      <w:r w:rsidRPr="00E12183">
        <w:rPr>
          <w:rFonts w:cs="Arial"/>
        </w:rPr>
        <w:t xml:space="preserve">Impact on graduates and </w:t>
      </w:r>
      <w:r w:rsidR="007F17B6">
        <w:rPr>
          <w:rFonts w:cs="Arial"/>
        </w:rPr>
        <w:t>employers</w:t>
      </w:r>
      <w:r w:rsidRPr="00E12183">
        <w:rPr>
          <w:rFonts w:cs="Arial"/>
        </w:rPr>
        <w:t xml:space="preserve"> </w:t>
      </w:r>
    </w:p>
    <w:p w14:paraId="101B1393" w14:textId="36B23288" w:rsidR="00EF59E3" w:rsidRPr="00E12183" w:rsidRDefault="00EF59E3" w:rsidP="008F117B">
      <w:pPr>
        <w:numPr>
          <w:ilvl w:val="0"/>
          <w:numId w:val="15"/>
        </w:numPr>
        <w:rPr>
          <w:rFonts w:cs="Arial"/>
        </w:rPr>
      </w:pPr>
      <w:r w:rsidRPr="00E12183">
        <w:rPr>
          <w:rFonts w:cs="Arial"/>
        </w:rPr>
        <w:t xml:space="preserve">Chapter </w:t>
      </w:r>
      <w:r w:rsidR="005D6EA4">
        <w:rPr>
          <w:rFonts w:cs="Arial"/>
        </w:rPr>
        <w:t>5</w:t>
      </w:r>
      <w:r w:rsidR="000C3C9B">
        <w:rPr>
          <w:rFonts w:cs="Arial"/>
        </w:rPr>
        <w:t>:</w:t>
      </w:r>
      <w:r w:rsidR="000C3C9B" w:rsidRPr="00E12183">
        <w:rPr>
          <w:rFonts w:cs="Arial"/>
        </w:rPr>
        <w:t xml:space="preserve"> </w:t>
      </w:r>
      <w:r w:rsidRPr="00E12183">
        <w:rPr>
          <w:rFonts w:cs="Arial"/>
        </w:rPr>
        <w:t>Value for money</w:t>
      </w:r>
    </w:p>
    <w:p w14:paraId="11AC2E6C" w14:textId="32F06CC5" w:rsidR="005D6EA4" w:rsidRDefault="00EF59E3" w:rsidP="008F117B">
      <w:pPr>
        <w:numPr>
          <w:ilvl w:val="0"/>
          <w:numId w:val="15"/>
        </w:numPr>
        <w:rPr>
          <w:rFonts w:cs="Arial"/>
        </w:rPr>
      </w:pPr>
      <w:r w:rsidRPr="00E12183">
        <w:rPr>
          <w:rFonts w:cs="Arial"/>
        </w:rPr>
        <w:t xml:space="preserve">Chapter </w:t>
      </w:r>
      <w:r w:rsidR="005D6EA4">
        <w:rPr>
          <w:rFonts w:cs="Arial"/>
        </w:rPr>
        <w:t>6</w:t>
      </w:r>
      <w:r w:rsidR="000C3C9B">
        <w:rPr>
          <w:rFonts w:cs="Arial"/>
        </w:rPr>
        <w:t>:</w:t>
      </w:r>
      <w:r w:rsidR="000C3C9B" w:rsidRPr="00E12183">
        <w:rPr>
          <w:rFonts w:cs="Arial"/>
        </w:rPr>
        <w:t xml:space="preserve"> </w:t>
      </w:r>
      <w:r w:rsidRPr="00E12183">
        <w:rPr>
          <w:rFonts w:cs="Arial"/>
        </w:rPr>
        <w:t>Future of the APTC</w:t>
      </w:r>
    </w:p>
    <w:p w14:paraId="6DED63B1" w14:textId="53AED263" w:rsidR="00EF59E3" w:rsidRDefault="005D6EA4" w:rsidP="009C76A7">
      <w:pPr>
        <w:numPr>
          <w:ilvl w:val="0"/>
          <w:numId w:val="15"/>
        </w:numPr>
        <w:rPr>
          <w:rFonts w:cs="Arial"/>
        </w:rPr>
      </w:pPr>
      <w:r>
        <w:rPr>
          <w:rFonts w:cs="Arial"/>
        </w:rPr>
        <w:t xml:space="preserve">Chapter 7: </w:t>
      </w:r>
      <w:r w:rsidR="008E1A64">
        <w:rPr>
          <w:rFonts w:cs="Arial"/>
        </w:rPr>
        <w:t>Recommendations</w:t>
      </w:r>
      <w:r w:rsidR="00EF59E3" w:rsidRPr="00E12183">
        <w:rPr>
          <w:rFonts w:cs="Arial"/>
        </w:rPr>
        <w:t xml:space="preserve"> </w:t>
      </w:r>
    </w:p>
    <w:p w14:paraId="47167350" w14:textId="74CA0125" w:rsidR="00EF59E3" w:rsidRPr="000611AE" w:rsidRDefault="00EF59E3" w:rsidP="000611AE">
      <w:pPr>
        <w:pStyle w:val="Heading1"/>
      </w:pPr>
      <w:bookmarkStart w:id="35" w:name="_Toc278710509"/>
      <w:r w:rsidRPr="000611AE">
        <w:t xml:space="preserve">TVET </w:t>
      </w:r>
      <w:r w:rsidR="000C3C9B">
        <w:t>c</w:t>
      </w:r>
      <w:r w:rsidR="000C3C9B" w:rsidRPr="000611AE">
        <w:t>apacity</w:t>
      </w:r>
      <w:r w:rsidR="000611AE" w:rsidRPr="000611AE">
        <w:rPr>
          <w:b w:val="0"/>
          <w:bCs w:val="0"/>
          <w:color w:val="auto"/>
          <w:sz w:val="22"/>
          <w:szCs w:val="22"/>
          <w:vertAlign w:val="superscript"/>
          <w:lang w:eastAsia="sv-SE"/>
        </w:rPr>
        <w:footnoteReference w:id="25"/>
      </w:r>
      <w:bookmarkEnd w:id="35"/>
    </w:p>
    <w:p w14:paraId="4352A133" w14:textId="77777777" w:rsidR="00EF59E3" w:rsidRPr="000611AE" w:rsidRDefault="00EF59E3" w:rsidP="00EF59E3">
      <w:pPr>
        <w:pStyle w:val="Heading2"/>
        <w:rPr>
          <w:sz w:val="22"/>
          <w:szCs w:val="22"/>
        </w:rPr>
      </w:pPr>
      <w:bookmarkStart w:id="36" w:name="_Toc278710510"/>
      <w:r w:rsidRPr="00E12183">
        <w:t>Overview</w:t>
      </w:r>
      <w:bookmarkEnd w:id="36"/>
    </w:p>
    <w:p w14:paraId="4718EC47" w14:textId="5903AA72" w:rsidR="004D12F4" w:rsidRDefault="00EF59E3" w:rsidP="00EF59E3">
      <w:pPr>
        <w:keepNext/>
        <w:keepLines/>
        <w:outlineLvl w:val="0"/>
        <w:rPr>
          <w:rFonts w:cs="Arial"/>
          <w:bCs/>
        </w:rPr>
      </w:pPr>
      <w:r w:rsidRPr="00E12183">
        <w:rPr>
          <w:rFonts w:cs="Arial"/>
          <w:bCs/>
        </w:rPr>
        <w:t xml:space="preserve">The focus of this chapter is on how well APTC has provided skills training to its target groups. Overall, APTC has </w:t>
      </w:r>
      <w:r w:rsidR="008E13DD">
        <w:rPr>
          <w:rFonts w:cs="Arial"/>
          <w:bCs/>
        </w:rPr>
        <w:t xml:space="preserve">succeeded </w:t>
      </w:r>
      <w:r w:rsidRPr="00E12183">
        <w:rPr>
          <w:rFonts w:cs="Arial"/>
          <w:bCs/>
        </w:rPr>
        <w:t>in building national and regional capacity for skills development in the Pacific with discernible benefits</w:t>
      </w:r>
      <w:r w:rsidR="0047346E">
        <w:rPr>
          <w:rFonts w:cs="Arial"/>
          <w:bCs/>
        </w:rPr>
        <w:t>,</w:t>
      </w:r>
      <w:r w:rsidR="008E13DD" w:rsidRPr="008E13DD">
        <w:t xml:space="preserve"> </w:t>
      </w:r>
      <w:r w:rsidR="008E13DD" w:rsidRPr="008E13DD">
        <w:rPr>
          <w:rFonts w:cs="Arial"/>
          <w:bCs/>
        </w:rPr>
        <w:t>and in gaining a strong reputation for quality among</w:t>
      </w:r>
      <w:r w:rsidR="008E13DD">
        <w:rPr>
          <w:rFonts w:cs="Arial"/>
          <w:bCs/>
        </w:rPr>
        <w:t xml:space="preserve"> stakeholders</w:t>
      </w:r>
      <w:r w:rsidRPr="00E12183">
        <w:rPr>
          <w:rFonts w:cs="Arial"/>
          <w:bCs/>
        </w:rPr>
        <w:t>. However, there is scope for making three sets of improvements to APTC</w:t>
      </w:r>
      <w:r w:rsidR="004D12F4">
        <w:rPr>
          <w:rFonts w:cs="Arial"/>
          <w:bCs/>
        </w:rPr>
        <w:t>:</w:t>
      </w:r>
      <w:r w:rsidR="004D12F4" w:rsidRPr="00E12183">
        <w:rPr>
          <w:rFonts w:cs="Arial"/>
          <w:bCs/>
        </w:rPr>
        <w:t xml:space="preserve"> </w:t>
      </w:r>
    </w:p>
    <w:p w14:paraId="28BDD2C2" w14:textId="1EF51D8D" w:rsidR="004D12F4" w:rsidRDefault="00EF59E3" w:rsidP="00532FE2">
      <w:pPr>
        <w:pStyle w:val="ListParagraph"/>
        <w:keepNext/>
        <w:keepLines/>
        <w:numPr>
          <w:ilvl w:val="0"/>
          <w:numId w:val="34"/>
        </w:numPr>
        <w:outlineLvl w:val="0"/>
        <w:rPr>
          <w:rFonts w:cs="Arial"/>
          <w:bCs/>
        </w:rPr>
      </w:pPr>
      <w:r w:rsidRPr="004D12F4">
        <w:rPr>
          <w:rFonts w:cs="Arial"/>
          <w:bCs/>
        </w:rPr>
        <w:t xml:space="preserve">efforts should be made to </w:t>
      </w:r>
      <w:r w:rsidRPr="003827D2">
        <w:rPr>
          <w:rFonts w:cs="Arial"/>
          <w:b/>
          <w:bCs/>
        </w:rPr>
        <w:t>reduce unit operating costs</w:t>
      </w:r>
      <w:r w:rsidRPr="004D12F4">
        <w:rPr>
          <w:rFonts w:cs="Arial"/>
          <w:bCs/>
        </w:rPr>
        <w:t xml:space="preserve"> through organisation/management changes</w:t>
      </w:r>
      <w:r w:rsidR="004D12F4">
        <w:rPr>
          <w:rFonts w:cs="Arial"/>
          <w:bCs/>
        </w:rPr>
        <w:t>;</w:t>
      </w:r>
      <w:r w:rsidR="004D12F4" w:rsidRPr="004D12F4">
        <w:rPr>
          <w:rFonts w:cs="Arial"/>
          <w:bCs/>
        </w:rPr>
        <w:t xml:space="preserve"> </w:t>
      </w:r>
      <w:r w:rsidR="004D12F4">
        <w:rPr>
          <w:rFonts w:cs="Arial"/>
          <w:bCs/>
        </w:rPr>
        <w:t>t</w:t>
      </w:r>
      <w:r w:rsidR="004D12F4" w:rsidRPr="004D12F4">
        <w:rPr>
          <w:rFonts w:cs="Arial"/>
          <w:bCs/>
        </w:rPr>
        <w:t xml:space="preserve">hese </w:t>
      </w:r>
      <w:r w:rsidRPr="004D12F4">
        <w:rPr>
          <w:rFonts w:cs="Arial"/>
          <w:bCs/>
        </w:rPr>
        <w:t xml:space="preserve">include training many more national staff to become qualified trainers and removing the duplication caused by having two Australian </w:t>
      </w:r>
      <w:r w:rsidR="004D12F4" w:rsidRPr="004D12F4">
        <w:rPr>
          <w:rFonts w:cs="Arial"/>
          <w:bCs/>
        </w:rPr>
        <w:t>registered training organisations (</w:t>
      </w:r>
      <w:r w:rsidRPr="004D12F4">
        <w:rPr>
          <w:rFonts w:cs="Arial"/>
          <w:bCs/>
        </w:rPr>
        <w:t>RTOs</w:t>
      </w:r>
      <w:r w:rsidR="004D12F4" w:rsidRPr="004D12F4">
        <w:rPr>
          <w:rFonts w:cs="Arial"/>
          <w:bCs/>
        </w:rPr>
        <w:t>)</w:t>
      </w:r>
      <w:r w:rsidRPr="004D12F4">
        <w:rPr>
          <w:rFonts w:cs="Arial"/>
          <w:bCs/>
        </w:rPr>
        <w:t xml:space="preserve"> managing the </w:t>
      </w:r>
      <w:r w:rsidR="00CC3B91" w:rsidRPr="004D12F4">
        <w:rPr>
          <w:rFonts w:cs="Arial"/>
          <w:bCs/>
        </w:rPr>
        <w:t xml:space="preserve">educational and administrative </w:t>
      </w:r>
      <w:r w:rsidRPr="004D12F4">
        <w:rPr>
          <w:rFonts w:cs="Arial"/>
          <w:bCs/>
        </w:rPr>
        <w:t>procedures</w:t>
      </w:r>
    </w:p>
    <w:p w14:paraId="0F87D573" w14:textId="607FA61E" w:rsidR="004D12F4" w:rsidRDefault="00EF59E3" w:rsidP="00532FE2">
      <w:pPr>
        <w:pStyle w:val="ListParagraph"/>
        <w:keepNext/>
        <w:keepLines/>
        <w:numPr>
          <w:ilvl w:val="0"/>
          <w:numId w:val="34"/>
        </w:numPr>
        <w:outlineLvl w:val="0"/>
        <w:rPr>
          <w:rFonts w:cs="Arial"/>
          <w:bCs/>
        </w:rPr>
      </w:pPr>
      <w:r w:rsidRPr="004D12F4">
        <w:rPr>
          <w:rFonts w:cs="Arial"/>
          <w:bCs/>
        </w:rPr>
        <w:t xml:space="preserve">APTC needs to place greater emphasis on </w:t>
      </w:r>
      <w:r w:rsidRPr="003827D2">
        <w:rPr>
          <w:rFonts w:cs="Arial"/>
          <w:b/>
          <w:bCs/>
        </w:rPr>
        <w:t xml:space="preserve">generating more revenue </w:t>
      </w:r>
      <w:r w:rsidRPr="004D12F4">
        <w:rPr>
          <w:rFonts w:cs="Arial"/>
          <w:bCs/>
        </w:rPr>
        <w:t>from fee</w:t>
      </w:r>
      <w:r w:rsidR="004D12F4" w:rsidRPr="004D12F4">
        <w:rPr>
          <w:rFonts w:cs="Arial"/>
          <w:bCs/>
        </w:rPr>
        <w:t>-</w:t>
      </w:r>
      <w:r w:rsidRPr="004D12F4">
        <w:rPr>
          <w:rFonts w:cs="Arial"/>
          <w:bCs/>
        </w:rPr>
        <w:t>for</w:t>
      </w:r>
      <w:r w:rsidR="004D12F4" w:rsidRPr="004D12F4">
        <w:rPr>
          <w:rFonts w:cs="Arial"/>
          <w:bCs/>
        </w:rPr>
        <w:t>-</w:t>
      </w:r>
      <w:r w:rsidRPr="004D12F4">
        <w:rPr>
          <w:rFonts w:cs="Arial"/>
          <w:bCs/>
        </w:rPr>
        <w:t>service activities</w:t>
      </w:r>
      <w:r w:rsidR="008E13DD" w:rsidRPr="00DF7C96">
        <w:rPr>
          <w:rFonts w:cs="Arial"/>
          <w:bCs/>
          <w:szCs w:val="16"/>
          <w:vertAlign w:val="superscript"/>
          <w:lang w:val="sv-SE" w:eastAsia="sv-SE"/>
        </w:rPr>
        <w:footnoteReference w:id="26"/>
      </w:r>
      <w:r w:rsidR="008E13DD" w:rsidRPr="00DF7C96">
        <w:rPr>
          <w:rFonts w:cs="Arial"/>
          <w:bCs/>
        </w:rPr>
        <w:t xml:space="preserve"> to encourage a mindset shift away from dependence on scholarships to investment in training</w:t>
      </w:r>
    </w:p>
    <w:p w14:paraId="53FEF2E6" w14:textId="5576B4EA" w:rsidR="00EF59E3" w:rsidRPr="004D12F4" w:rsidRDefault="00EF59E3" w:rsidP="008E13DD">
      <w:pPr>
        <w:pStyle w:val="ListParagraph"/>
        <w:keepNext/>
        <w:keepLines/>
        <w:numPr>
          <w:ilvl w:val="0"/>
          <w:numId w:val="34"/>
        </w:numPr>
        <w:outlineLvl w:val="0"/>
        <w:rPr>
          <w:rFonts w:cs="Arial"/>
          <w:bCs/>
        </w:rPr>
      </w:pPr>
      <w:r w:rsidRPr="004D12F4">
        <w:rPr>
          <w:rFonts w:cs="Arial"/>
          <w:bCs/>
        </w:rPr>
        <w:t xml:space="preserve">APTC needs to </w:t>
      </w:r>
      <w:r w:rsidR="008E13DD" w:rsidRPr="008E13DD">
        <w:rPr>
          <w:rFonts w:cs="Arial"/>
          <w:bCs/>
        </w:rPr>
        <w:t xml:space="preserve">use </w:t>
      </w:r>
      <w:r w:rsidR="008E13DD" w:rsidRPr="003827D2">
        <w:rPr>
          <w:rFonts w:cs="Arial"/>
          <w:b/>
          <w:bCs/>
        </w:rPr>
        <w:t>better labour market analysis</w:t>
      </w:r>
      <w:r w:rsidR="008E13DD" w:rsidRPr="008E13DD">
        <w:rPr>
          <w:rFonts w:cs="Arial"/>
          <w:bCs/>
        </w:rPr>
        <w:t xml:space="preserve"> to ensure </w:t>
      </w:r>
      <w:r w:rsidR="008E13DD">
        <w:rPr>
          <w:rFonts w:cs="Arial"/>
          <w:bCs/>
        </w:rPr>
        <w:t xml:space="preserve">greater </w:t>
      </w:r>
      <w:r w:rsidRPr="004D12F4">
        <w:rPr>
          <w:rFonts w:cs="Arial"/>
          <w:bCs/>
        </w:rPr>
        <w:t>responsive</w:t>
      </w:r>
      <w:r w:rsidR="008E13DD">
        <w:rPr>
          <w:rFonts w:cs="Arial"/>
          <w:bCs/>
        </w:rPr>
        <w:t>ness</w:t>
      </w:r>
      <w:r w:rsidRPr="004D12F4">
        <w:rPr>
          <w:rFonts w:cs="Arial"/>
          <w:bCs/>
        </w:rPr>
        <w:t xml:space="preserve"> to the needs of Pacific.</w:t>
      </w:r>
    </w:p>
    <w:p w14:paraId="76B9456E" w14:textId="77777777" w:rsidR="00EF59E3" w:rsidRPr="00E12183" w:rsidRDefault="00EF59E3" w:rsidP="000611AE">
      <w:pPr>
        <w:pStyle w:val="Heading2"/>
      </w:pPr>
      <w:bookmarkStart w:id="37" w:name="_Toc278710511"/>
      <w:r w:rsidRPr="00E12183">
        <w:t>Context</w:t>
      </w:r>
      <w:bookmarkEnd w:id="37"/>
    </w:p>
    <w:p w14:paraId="3CA99209" w14:textId="3281000D" w:rsidR="00EF59E3" w:rsidRPr="00E12183" w:rsidRDefault="00EF59E3" w:rsidP="00EF59E3">
      <w:pPr>
        <w:rPr>
          <w:rFonts w:cs="Arial"/>
        </w:rPr>
      </w:pPr>
      <w:r w:rsidRPr="00E12183">
        <w:rPr>
          <w:rFonts w:cs="Arial"/>
        </w:rPr>
        <w:t xml:space="preserve">APTC offers training in five campus countries and to students from a further nine countries under a contract which requires that it offers full qualifications to mostly existing workers </w:t>
      </w:r>
      <w:r w:rsidR="00DE2F05">
        <w:rPr>
          <w:rFonts w:cs="Arial"/>
        </w:rPr>
        <w:t>(</w:t>
      </w:r>
      <w:r w:rsidRPr="00E12183">
        <w:rPr>
          <w:rFonts w:cs="Arial"/>
        </w:rPr>
        <w:t>with five years of relevant industrial experience</w:t>
      </w:r>
      <w:r w:rsidR="00DE2F05">
        <w:rPr>
          <w:rFonts w:cs="Arial"/>
        </w:rPr>
        <w:t xml:space="preserve">) </w:t>
      </w:r>
      <w:r w:rsidRPr="00E12183">
        <w:rPr>
          <w:rFonts w:cs="Arial"/>
        </w:rPr>
        <w:t xml:space="preserve">and a smaller number of new industry entrants </w:t>
      </w:r>
      <w:r w:rsidR="00F62543" w:rsidRPr="00F62543">
        <w:rPr>
          <w:rFonts w:cs="Arial"/>
        </w:rPr>
        <w:t>(</w:t>
      </w:r>
      <w:r w:rsidR="00F62543" w:rsidRPr="00DF7C96">
        <w:rPr>
          <w:rFonts w:cs="Arial"/>
        </w:rPr>
        <w:t>who meet the basic requirements for entry into the course but have limited or no practical work experience</w:t>
      </w:r>
      <w:r w:rsidR="00F62543" w:rsidRPr="00F62543">
        <w:rPr>
          <w:rFonts w:cs="Arial"/>
        </w:rPr>
        <w:t>).</w:t>
      </w:r>
      <w:r w:rsidR="00F62543" w:rsidRPr="00F62543">
        <w:rPr>
          <w:rFonts w:cs="Arial"/>
          <w:szCs w:val="16"/>
          <w:vertAlign w:val="superscript"/>
          <w:lang w:val="sv-SE" w:eastAsia="sv-SE"/>
        </w:rPr>
        <w:footnoteReference w:id="27"/>
      </w:r>
      <w:r w:rsidR="00F62543" w:rsidRPr="00F62543">
        <w:rPr>
          <w:rFonts w:cs="Arial"/>
        </w:rPr>
        <w:t xml:space="preserve"> </w:t>
      </w:r>
      <w:r w:rsidR="00DE2F05">
        <w:rPr>
          <w:rFonts w:cs="Arial"/>
        </w:rPr>
        <w:t>Three-quarters</w:t>
      </w:r>
      <w:r w:rsidR="00DE2F05" w:rsidRPr="00E12183">
        <w:rPr>
          <w:rFonts w:cs="Arial"/>
        </w:rPr>
        <w:t xml:space="preserve"> </w:t>
      </w:r>
      <w:r w:rsidRPr="00E12183">
        <w:rPr>
          <w:rFonts w:cs="Arial"/>
        </w:rPr>
        <w:t xml:space="preserve">of </w:t>
      </w:r>
      <w:r w:rsidR="009B5992">
        <w:rPr>
          <w:rFonts w:cs="Arial"/>
        </w:rPr>
        <w:t xml:space="preserve">all </w:t>
      </w:r>
      <w:r w:rsidRPr="00E12183">
        <w:rPr>
          <w:rFonts w:cs="Arial"/>
        </w:rPr>
        <w:t xml:space="preserve">students are on APTC scholarships. These design features have dictated what type of training APTC could deliver to whom and how it was paid for. </w:t>
      </w:r>
    </w:p>
    <w:p w14:paraId="50542D86" w14:textId="4FBE01A2" w:rsidR="00EF59E3" w:rsidRPr="00E12183" w:rsidRDefault="00EF59E3" w:rsidP="00EF59E3">
      <w:pPr>
        <w:rPr>
          <w:rFonts w:cs="Arial"/>
        </w:rPr>
      </w:pPr>
      <w:r w:rsidRPr="00E12183">
        <w:rPr>
          <w:rFonts w:cs="Arial"/>
        </w:rPr>
        <w:lastRenderedPageBreak/>
        <w:t>The resulting student cohort consists mostly of mature-aged persons (93 per cent are 25 years and over), many with clear employment goals. This group was specifically targeted to avoid competition with local institutions that cater for school leavers. Expatriate trainers based in the campus countries have been the core of the teaching workforce, but this is beginning to change.</w:t>
      </w:r>
    </w:p>
    <w:p w14:paraId="486347BE" w14:textId="77777777" w:rsidR="00EF59E3" w:rsidRPr="00E12183" w:rsidRDefault="00EF59E3" w:rsidP="000611AE">
      <w:pPr>
        <w:pStyle w:val="Heading2"/>
      </w:pPr>
      <w:bookmarkStart w:id="38" w:name="_Toc278710512"/>
      <w:r w:rsidRPr="00E12183">
        <w:t>APTC’s capacity for skills development</w:t>
      </w:r>
      <w:bookmarkEnd w:id="38"/>
    </w:p>
    <w:p w14:paraId="23C42A9A" w14:textId="3C369979" w:rsidR="00EF59E3" w:rsidRPr="00E12183" w:rsidRDefault="00EF59E3" w:rsidP="00EF59E3">
      <w:pPr>
        <w:rPr>
          <w:rFonts w:cs="Arial"/>
          <w:b/>
          <w:bCs/>
          <w:color w:val="76923C"/>
        </w:rPr>
      </w:pPr>
      <w:r w:rsidRPr="00E12183">
        <w:rPr>
          <w:rFonts w:cs="Arial"/>
          <w:bCs/>
        </w:rPr>
        <w:t xml:space="preserve">APTC has established strong capacity for middle-level skills development within the confines of its </w:t>
      </w:r>
      <w:r w:rsidR="00081D45">
        <w:rPr>
          <w:rFonts w:cs="Arial"/>
          <w:bCs/>
        </w:rPr>
        <w:t>defined</w:t>
      </w:r>
      <w:r w:rsidRPr="00E12183">
        <w:rPr>
          <w:rFonts w:cs="Arial"/>
          <w:bCs/>
        </w:rPr>
        <w:t xml:space="preserve"> target group and its mandate to deliver only full qualifications. </w:t>
      </w:r>
    </w:p>
    <w:p w14:paraId="37A322F9" w14:textId="77777777" w:rsidR="00EF59E3" w:rsidRPr="00E12183" w:rsidRDefault="00EF59E3" w:rsidP="000611AE">
      <w:pPr>
        <w:pStyle w:val="Heading3"/>
      </w:pPr>
      <w:bookmarkStart w:id="39" w:name="_Toc278710513"/>
      <w:r w:rsidRPr="00E12183">
        <w:t>Quantitative capacity</w:t>
      </w:r>
      <w:bookmarkEnd w:id="39"/>
    </w:p>
    <w:p w14:paraId="088179CF" w14:textId="23D400F0" w:rsidR="00EF59E3" w:rsidRPr="00E12183" w:rsidRDefault="00EF59E3" w:rsidP="00EF59E3">
      <w:pPr>
        <w:rPr>
          <w:rFonts w:cs="Arial"/>
        </w:rPr>
      </w:pPr>
      <w:r w:rsidRPr="00E12183">
        <w:rPr>
          <w:rFonts w:cs="Arial"/>
          <w:bCs/>
        </w:rPr>
        <w:t xml:space="preserve">APTC </w:t>
      </w:r>
      <w:r w:rsidR="00820A89">
        <w:rPr>
          <w:rFonts w:cs="Arial"/>
          <w:bCs/>
        </w:rPr>
        <w:t xml:space="preserve">has </w:t>
      </w:r>
      <w:r w:rsidRPr="00E12183">
        <w:rPr>
          <w:rFonts w:cs="Arial"/>
          <w:bCs/>
        </w:rPr>
        <w:t>deliver</w:t>
      </w:r>
      <w:r w:rsidR="00820A89">
        <w:rPr>
          <w:rFonts w:cs="Arial"/>
          <w:bCs/>
        </w:rPr>
        <w:t>ed 35</w:t>
      </w:r>
      <w:r w:rsidRPr="00E12183">
        <w:rPr>
          <w:rFonts w:cs="Arial"/>
          <w:bCs/>
        </w:rPr>
        <w:t xml:space="preserve"> specific qualifications </w:t>
      </w:r>
      <w:r w:rsidR="00820A89">
        <w:rPr>
          <w:rFonts w:cs="Arial"/>
          <w:bCs/>
        </w:rPr>
        <w:t xml:space="preserve">since its inception, </w:t>
      </w:r>
      <w:r w:rsidRPr="00E12183">
        <w:rPr>
          <w:rFonts w:cs="Arial"/>
          <w:bCs/>
        </w:rPr>
        <w:t xml:space="preserve">mainly at </w:t>
      </w:r>
      <w:r w:rsidR="00E16FF4">
        <w:rPr>
          <w:rFonts w:cs="Arial"/>
          <w:bCs/>
        </w:rPr>
        <w:t>C</w:t>
      </w:r>
      <w:r w:rsidR="00E16FF4" w:rsidRPr="00E12183">
        <w:rPr>
          <w:rFonts w:cs="Arial"/>
          <w:bCs/>
        </w:rPr>
        <w:t xml:space="preserve">ertificate </w:t>
      </w:r>
      <w:r w:rsidRPr="00E12183">
        <w:rPr>
          <w:rFonts w:cs="Arial"/>
          <w:bCs/>
        </w:rPr>
        <w:t>level III. Almost three</w:t>
      </w:r>
      <w:r w:rsidR="00E16FF4">
        <w:rPr>
          <w:rFonts w:cs="Arial"/>
          <w:bCs/>
        </w:rPr>
        <w:t>-quarters</w:t>
      </w:r>
      <w:r w:rsidR="00E16FF4" w:rsidRPr="00E12183">
        <w:rPr>
          <w:rFonts w:cs="Arial"/>
          <w:bCs/>
        </w:rPr>
        <w:t xml:space="preserve"> </w:t>
      </w:r>
      <w:r w:rsidRPr="00E12183">
        <w:rPr>
          <w:rFonts w:cs="Arial"/>
          <w:bCs/>
        </w:rPr>
        <w:t xml:space="preserve">of the qualifications </w:t>
      </w:r>
      <w:r w:rsidR="00CE5E62">
        <w:rPr>
          <w:rFonts w:cs="Arial"/>
          <w:bCs/>
        </w:rPr>
        <w:t>are</w:t>
      </w:r>
      <w:r w:rsidR="00CE5E62" w:rsidRPr="00E12183">
        <w:rPr>
          <w:rFonts w:cs="Arial"/>
          <w:bCs/>
        </w:rPr>
        <w:t xml:space="preserve"> </w:t>
      </w:r>
      <w:r w:rsidRPr="00E12183">
        <w:rPr>
          <w:rFonts w:cs="Arial"/>
          <w:bCs/>
        </w:rPr>
        <w:t xml:space="preserve">in four training packages: metal/engineering and construction trades in </w:t>
      </w:r>
      <w:r w:rsidR="00973A95">
        <w:rPr>
          <w:rFonts w:cs="Arial"/>
          <w:bCs/>
        </w:rPr>
        <w:t>the School of Trades and Technology (</w:t>
      </w:r>
      <w:r w:rsidRPr="00E12183">
        <w:rPr>
          <w:rFonts w:cs="Arial"/>
          <w:bCs/>
        </w:rPr>
        <w:t>STT</w:t>
      </w:r>
      <w:r w:rsidR="00973A95">
        <w:rPr>
          <w:rFonts w:cs="Arial"/>
          <w:bCs/>
        </w:rPr>
        <w:t>)</w:t>
      </w:r>
      <w:r w:rsidRPr="00E12183">
        <w:rPr>
          <w:rFonts w:cs="Arial"/>
          <w:bCs/>
        </w:rPr>
        <w:t xml:space="preserve">; and tourism/hospitality and community services in </w:t>
      </w:r>
      <w:r w:rsidR="004445E3" w:rsidRPr="004445E3">
        <w:rPr>
          <w:rFonts w:cs="Arial"/>
          <w:bCs/>
        </w:rPr>
        <w:t>the School of Hospitality and Community Services (SHCS)</w:t>
      </w:r>
      <w:r w:rsidRPr="00E12183">
        <w:rPr>
          <w:rFonts w:cs="Arial"/>
          <w:bCs/>
        </w:rPr>
        <w:t xml:space="preserve">. Enrolment capacity </w:t>
      </w:r>
      <w:r w:rsidR="00CE5E62">
        <w:rPr>
          <w:rFonts w:cs="Arial"/>
          <w:bCs/>
        </w:rPr>
        <w:t xml:space="preserve">has </w:t>
      </w:r>
      <w:r w:rsidRPr="00E12183">
        <w:rPr>
          <w:rFonts w:cs="Arial"/>
          <w:bCs/>
        </w:rPr>
        <w:t>fluctuated greatly from a low of 730 students in the first semester of 2012 to a high of 2100 in the first semester of 2013. As of August 2014, 6780 students have graduated with qualifications. This represents an impressive completion rate of 91 per cent of entrants. High completion rates can be attributed to the dedication and skill of trainers</w:t>
      </w:r>
      <w:r w:rsidR="00973A95">
        <w:rPr>
          <w:rFonts w:cs="Arial"/>
          <w:bCs/>
        </w:rPr>
        <w:t>, the rigorous application of entry criteria</w:t>
      </w:r>
      <w:r w:rsidRPr="00E12183">
        <w:rPr>
          <w:rFonts w:cs="Arial"/>
          <w:bCs/>
        </w:rPr>
        <w:t xml:space="preserve"> and to the conscientiousness</w:t>
      </w:r>
      <w:r w:rsidRPr="00E12183" w:rsidDel="00E60E56">
        <w:rPr>
          <w:rFonts w:cs="Arial"/>
          <w:bCs/>
        </w:rPr>
        <w:t xml:space="preserve"> </w:t>
      </w:r>
      <w:r w:rsidRPr="00E12183">
        <w:rPr>
          <w:rFonts w:cs="Arial"/>
          <w:bCs/>
        </w:rPr>
        <w:t xml:space="preserve">of the more mature students. Still, </w:t>
      </w:r>
      <w:r w:rsidRPr="00E12183">
        <w:rPr>
          <w:rFonts w:cs="Arial"/>
        </w:rPr>
        <w:t xml:space="preserve">the number of graduates is low for the costs involved, given the total projected investment in APTC over the two stages of about $275 million. </w:t>
      </w:r>
    </w:p>
    <w:p w14:paraId="6A2ABB62" w14:textId="77777777" w:rsidR="00EF59E3" w:rsidRPr="00E12183" w:rsidRDefault="00EF59E3" w:rsidP="000611AE">
      <w:pPr>
        <w:pStyle w:val="Heading3"/>
      </w:pPr>
      <w:bookmarkStart w:id="40" w:name="_Toc278710514"/>
      <w:r w:rsidRPr="00E12183">
        <w:t>Quality</w:t>
      </w:r>
      <w:bookmarkEnd w:id="40"/>
      <w:r w:rsidRPr="00E12183">
        <w:t xml:space="preserve"> </w:t>
      </w:r>
    </w:p>
    <w:p w14:paraId="04639FDB" w14:textId="43B496F9" w:rsidR="00EF59E3" w:rsidRPr="00E12183" w:rsidRDefault="00EF59E3" w:rsidP="00EF59E3">
      <w:pPr>
        <w:rPr>
          <w:rFonts w:cs="Arial"/>
          <w:bCs/>
        </w:rPr>
      </w:pPr>
      <w:r w:rsidRPr="00E12183">
        <w:rPr>
          <w:rFonts w:cs="Arial"/>
        </w:rPr>
        <w:t xml:space="preserve">APTC has established a strong, well-deserved, reputation for quality in its training. Students, graduates, partner institutions, government agencies and employers were virtually unanimous in their high regard for APTC training quality. Trainers meet the required Australian standards. Considerable investment has been made to ensure that facilities and equipment meet training package requirements for the qualifications offered. Class sizes are consistent with Australian training package and occupational health and safety requirements. The two lead RTOs are responsible for ongoing compliance with the Australian standards. </w:t>
      </w:r>
      <w:r w:rsidRPr="00E12183">
        <w:rPr>
          <w:rFonts w:cs="Arial"/>
          <w:bCs/>
        </w:rPr>
        <w:t>Quality compliance audits are conducted regularly with trainers and tutors involved. So far</w:t>
      </w:r>
      <w:r w:rsidR="003271D2">
        <w:rPr>
          <w:rFonts w:cs="Arial"/>
          <w:bCs/>
        </w:rPr>
        <w:t>,</w:t>
      </w:r>
      <w:r w:rsidRPr="00E12183">
        <w:rPr>
          <w:rFonts w:cs="Arial"/>
          <w:bCs/>
        </w:rPr>
        <w:t xml:space="preserve"> 39 </w:t>
      </w:r>
      <w:r w:rsidR="00353D62">
        <w:rPr>
          <w:rFonts w:cs="Arial"/>
          <w:bCs/>
        </w:rPr>
        <w:t xml:space="preserve">full or partial </w:t>
      </w:r>
      <w:r w:rsidRPr="00E12183">
        <w:rPr>
          <w:rFonts w:cs="Arial"/>
          <w:bCs/>
        </w:rPr>
        <w:t xml:space="preserve">quality audits have been conducted in </w:t>
      </w:r>
      <w:r w:rsidR="003271D2">
        <w:rPr>
          <w:rFonts w:cs="Arial"/>
          <w:bCs/>
        </w:rPr>
        <w:t>S</w:t>
      </w:r>
      <w:r w:rsidR="003271D2" w:rsidRPr="00E12183">
        <w:rPr>
          <w:rFonts w:cs="Arial"/>
          <w:bCs/>
        </w:rPr>
        <w:t xml:space="preserve">tage </w:t>
      </w:r>
      <w:r w:rsidRPr="00E12183">
        <w:rPr>
          <w:rFonts w:cs="Arial"/>
          <w:bCs/>
        </w:rPr>
        <w:t xml:space="preserve">II, with another five planned before </w:t>
      </w:r>
      <w:r w:rsidR="003271D2">
        <w:rPr>
          <w:rFonts w:cs="Arial"/>
          <w:bCs/>
        </w:rPr>
        <w:t>the</w:t>
      </w:r>
      <w:r w:rsidR="003271D2" w:rsidRPr="00E12183">
        <w:rPr>
          <w:rFonts w:cs="Arial"/>
          <w:bCs/>
        </w:rPr>
        <w:t xml:space="preserve"> </w:t>
      </w:r>
      <w:r w:rsidRPr="00E12183">
        <w:rPr>
          <w:rFonts w:cs="Arial"/>
          <w:bCs/>
        </w:rPr>
        <w:t>end</w:t>
      </w:r>
      <w:r w:rsidR="003271D2">
        <w:rPr>
          <w:rFonts w:cs="Arial"/>
          <w:bCs/>
        </w:rPr>
        <w:t xml:space="preserve"> of 2014</w:t>
      </w:r>
      <w:r w:rsidRPr="00E12183">
        <w:rPr>
          <w:rFonts w:cs="Arial"/>
          <w:bCs/>
        </w:rPr>
        <w:t xml:space="preserve">.  </w:t>
      </w:r>
    </w:p>
    <w:p w14:paraId="7CF854B2" w14:textId="77777777" w:rsidR="00EF59E3" w:rsidRPr="00E12183" w:rsidRDefault="00EF59E3" w:rsidP="00EF0477">
      <w:pPr>
        <w:pStyle w:val="Heading3"/>
      </w:pPr>
      <w:bookmarkStart w:id="41" w:name="_Toc278710515"/>
      <w:r w:rsidRPr="00E12183">
        <w:t>Nationalisation of the teaching workforce</w:t>
      </w:r>
      <w:bookmarkEnd w:id="41"/>
    </w:p>
    <w:p w14:paraId="61847E41" w14:textId="3C1E65CF" w:rsidR="00762159" w:rsidRDefault="00EF59E3" w:rsidP="00EF59E3">
      <w:pPr>
        <w:rPr>
          <w:rFonts w:cs="Arial"/>
          <w:bCs/>
        </w:rPr>
      </w:pPr>
      <w:r w:rsidRPr="00E12183">
        <w:rPr>
          <w:rFonts w:cs="Arial"/>
          <w:bCs/>
        </w:rPr>
        <w:t>In early 2014</w:t>
      </w:r>
      <w:r w:rsidR="007D578F">
        <w:rPr>
          <w:rFonts w:cs="Arial"/>
          <w:bCs/>
        </w:rPr>
        <w:t>,</w:t>
      </w:r>
      <w:r w:rsidRPr="00E12183">
        <w:rPr>
          <w:rFonts w:cs="Arial"/>
          <w:bCs/>
        </w:rPr>
        <w:t xml:space="preserve"> only two Pacific Islanders were trainers compared with 51 expatriates. </w:t>
      </w:r>
      <w:r w:rsidR="004445E3">
        <w:rPr>
          <w:rFonts w:cs="Arial"/>
          <w:bCs/>
        </w:rPr>
        <w:t xml:space="preserve">By </w:t>
      </w:r>
      <w:r w:rsidR="007D578F">
        <w:rPr>
          <w:rFonts w:cs="Arial"/>
          <w:bCs/>
        </w:rPr>
        <w:t xml:space="preserve">31 </w:t>
      </w:r>
      <w:r w:rsidRPr="00E12183">
        <w:rPr>
          <w:rFonts w:cs="Arial"/>
          <w:bCs/>
        </w:rPr>
        <w:t>July 2014 there were 10 national trainers – 20 per</w:t>
      </w:r>
      <w:r w:rsidR="007D578F">
        <w:rPr>
          <w:rFonts w:cs="Arial"/>
          <w:bCs/>
        </w:rPr>
        <w:t xml:space="preserve"> </w:t>
      </w:r>
      <w:r w:rsidRPr="00E12183">
        <w:rPr>
          <w:rFonts w:cs="Arial"/>
          <w:bCs/>
        </w:rPr>
        <w:t>cent of the total.</w:t>
      </w:r>
      <w:r w:rsidRPr="00E12183" w:rsidDel="000F14A7">
        <w:rPr>
          <w:rFonts w:cs="Arial"/>
          <w:bCs/>
        </w:rPr>
        <w:t xml:space="preserve"> </w:t>
      </w:r>
      <w:r w:rsidRPr="00E12183">
        <w:rPr>
          <w:rFonts w:cs="Arial"/>
          <w:bCs/>
        </w:rPr>
        <w:t xml:space="preserve">This achievement reflects a nationalisation process that is underway to train and appoint an increasing share of national trainers. A </w:t>
      </w:r>
      <w:r w:rsidR="00702573" w:rsidRPr="00E12183">
        <w:rPr>
          <w:rFonts w:cs="Arial"/>
          <w:bCs/>
        </w:rPr>
        <w:t>four</w:t>
      </w:r>
      <w:r w:rsidR="00702573">
        <w:rPr>
          <w:rFonts w:cs="Arial"/>
          <w:bCs/>
        </w:rPr>
        <w:t>-</w:t>
      </w:r>
      <w:r w:rsidRPr="00E12183">
        <w:rPr>
          <w:rFonts w:cs="Arial"/>
          <w:bCs/>
        </w:rPr>
        <w:t xml:space="preserve">stage process has been put in place that enables nationals employed as tutors to meet the requirements of the Australian standards and become fully qualified trainers. Increasing the share of nationals takes time as it requires completion of both the relevant vocational qualification and the </w:t>
      </w:r>
      <w:r w:rsidR="00702573">
        <w:rPr>
          <w:rFonts w:cs="Arial"/>
          <w:bCs/>
        </w:rPr>
        <w:t>C</w:t>
      </w:r>
      <w:r w:rsidR="00702573" w:rsidRPr="00E12183">
        <w:rPr>
          <w:rFonts w:cs="Arial"/>
          <w:bCs/>
        </w:rPr>
        <w:t xml:space="preserve">ertificate </w:t>
      </w:r>
      <w:r w:rsidRPr="00E12183">
        <w:rPr>
          <w:rFonts w:cs="Arial"/>
          <w:bCs/>
        </w:rPr>
        <w:t xml:space="preserve">IV in </w:t>
      </w:r>
      <w:r w:rsidR="00702573">
        <w:rPr>
          <w:rFonts w:cs="Arial"/>
          <w:bCs/>
        </w:rPr>
        <w:t>T</w:t>
      </w:r>
      <w:r w:rsidR="00702573" w:rsidRPr="00E12183">
        <w:rPr>
          <w:rFonts w:cs="Arial"/>
          <w:bCs/>
        </w:rPr>
        <w:t xml:space="preserve">raining </w:t>
      </w:r>
      <w:r w:rsidRPr="00E12183">
        <w:rPr>
          <w:rFonts w:cs="Arial"/>
          <w:bCs/>
        </w:rPr>
        <w:t xml:space="preserve">and </w:t>
      </w:r>
      <w:r w:rsidR="00702573">
        <w:rPr>
          <w:rFonts w:cs="Arial"/>
          <w:bCs/>
        </w:rPr>
        <w:t>A</w:t>
      </w:r>
      <w:r w:rsidR="00702573" w:rsidRPr="00E12183">
        <w:rPr>
          <w:rFonts w:cs="Arial"/>
          <w:bCs/>
        </w:rPr>
        <w:t>ssessment</w:t>
      </w:r>
      <w:r w:rsidRPr="00E12183">
        <w:rPr>
          <w:rFonts w:cs="Arial"/>
          <w:bCs/>
        </w:rPr>
        <w:t xml:space="preserve">. </w:t>
      </w:r>
    </w:p>
    <w:p w14:paraId="5DD61D15" w14:textId="75348AF1" w:rsidR="00EF59E3" w:rsidRPr="00E12183" w:rsidRDefault="00EF59E3" w:rsidP="00EF59E3">
      <w:pPr>
        <w:rPr>
          <w:rFonts w:cs="Arial"/>
          <w:bCs/>
        </w:rPr>
      </w:pPr>
      <w:r w:rsidRPr="00E12183">
        <w:rPr>
          <w:rFonts w:cs="Arial"/>
          <w:bCs/>
        </w:rPr>
        <w:t>The acceleration of this nationalisation process, based on higher targets within a short but realistic time frame, will have major benefits for APTC. It will reduce costs and increase sustainability of the APTC over time. However, the risks to quality associated with the transition from a predominantly expatriate teaching force to a predominantly national one need to be managed. A risk management strategy is needed to ensure national trainers have adequate periodic support and ongoing opportunities to maintain their vocational and professional currency.</w:t>
      </w:r>
      <w:r w:rsidR="004445E3" w:rsidRPr="004445E3">
        <w:rPr>
          <w:rFonts w:cs="Arial"/>
          <w:bCs/>
        </w:rPr>
        <w:t xml:space="preserve"> A plan to progressively replace resident </w:t>
      </w:r>
      <w:r w:rsidR="004445E3" w:rsidRPr="004445E3">
        <w:rPr>
          <w:rFonts w:cs="Arial"/>
          <w:bCs/>
        </w:rPr>
        <w:lastRenderedPageBreak/>
        <w:t xml:space="preserve">expatriate staff with </w:t>
      </w:r>
      <w:r w:rsidR="005E1068" w:rsidRPr="004445E3">
        <w:rPr>
          <w:rFonts w:cs="Arial"/>
          <w:bCs/>
        </w:rPr>
        <w:t>short</w:t>
      </w:r>
      <w:r w:rsidR="005E1068">
        <w:rPr>
          <w:rFonts w:cs="Arial"/>
          <w:bCs/>
        </w:rPr>
        <w:t>-</w:t>
      </w:r>
      <w:r w:rsidR="004445E3" w:rsidRPr="004445E3">
        <w:rPr>
          <w:rFonts w:cs="Arial"/>
          <w:bCs/>
        </w:rPr>
        <w:t>term specialists able to support national staff would be part of this strategy.</w:t>
      </w:r>
    </w:p>
    <w:p w14:paraId="7A26A889" w14:textId="77777777" w:rsidR="00EF59E3" w:rsidRPr="00E12183" w:rsidRDefault="00EF59E3" w:rsidP="00EF0477">
      <w:pPr>
        <w:pStyle w:val="Heading3"/>
      </w:pPr>
      <w:bookmarkStart w:id="42" w:name="_Toc278710516"/>
      <w:r w:rsidRPr="00E12183">
        <w:t>Challenges faced by staff and students</w:t>
      </w:r>
      <w:r w:rsidR="00534925">
        <w:rPr>
          <w:rStyle w:val="FootnoteReference"/>
        </w:rPr>
        <w:footnoteReference w:id="28"/>
      </w:r>
      <w:bookmarkEnd w:id="42"/>
    </w:p>
    <w:p w14:paraId="381C7DEA" w14:textId="7BC32A18" w:rsidR="00EF59E3" w:rsidRDefault="00EF59E3" w:rsidP="00EF59E3">
      <w:pPr>
        <w:rPr>
          <w:rFonts w:cs="Arial"/>
        </w:rPr>
      </w:pPr>
      <w:r w:rsidRPr="00E12183">
        <w:rPr>
          <w:rFonts w:cs="Arial"/>
          <w:bCs/>
        </w:rPr>
        <w:t>The achievements of APTC in delivering high quality training are notable given the challenges faced by staff and students. Trainers have to deal with a wide range of cultures among students, varied educational backgrounds, and the sometimes limited language and literacy levels of students. Both staff and students are concerned about the concentrated time allowed for completion of courses under these circumstances</w:t>
      </w:r>
      <w:r w:rsidR="00606A68">
        <w:rPr>
          <w:rFonts w:cs="Arial"/>
          <w:bCs/>
        </w:rPr>
        <w:t>,</w:t>
      </w:r>
      <w:r w:rsidRPr="00E12183">
        <w:rPr>
          <w:rFonts w:cs="Arial"/>
          <w:bCs/>
        </w:rPr>
        <w:t xml:space="preserve"> as well as space limitations and making content relevant to conditions</w:t>
      </w:r>
      <w:r w:rsidR="00EB1014">
        <w:rPr>
          <w:rFonts w:cs="Arial"/>
          <w:bCs/>
        </w:rPr>
        <w:t xml:space="preserve"> in</w:t>
      </w:r>
      <w:r w:rsidRPr="00E12183">
        <w:rPr>
          <w:rFonts w:cs="Arial"/>
          <w:bCs/>
        </w:rPr>
        <w:t xml:space="preserve"> the Pacific. Students identified </w:t>
      </w:r>
      <w:r w:rsidR="00606A68">
        <w:rPr>
          <w:rFonts w:cs="Arial"/>
          <w:bCs/>
        </w:rPr>
        <w:t xml:space="preserve">the following areas </w:t>
      </w:r>
      <w:r w:rsidRPr="00E12183">
        <w:rPr>
          <w:rFonts w:cs="Arial"/>
          <w:bCs/>
        </w:rPr>
        <w:t>as major challenges</w:t>
      </w:r>
      <w:r w:rsidR="00606A68">
        <w:rPr>
          <w:rFonts w:cs="Arial"/>
          <w:bCs/>
        </w:rPr>
        <w:t>:</w:t>
      </w:r>
      <w:r w:rsidRPr="00E12183">
        <w:rPr>
          <w:rFonts w:cs="Arial"/>
          <w:bCs/>
        </w:rPr>
        <w:t xml:space="preserve"> difficulties with English</w:t>
      </w:r>
      <w:r w:rsidR="00606A68">
        <w:rPr>
          <w:rFonts w:cs="Arial"/>
          <w:bCs/>
        </w:rPr>
        <w:t>;</w:t>
      </w:r>
      <w:r w:rsidR="00606A68" w:rsidRPr="00E12183">
        <w:rPr>
          <w:rFonts w:cs="Arial"/>
          <w:bCs/>
        </w:rPr>
        <w:t xml:space="preserve"> </w:t>
      </w:r>
      <w:r w:rsidRPr="00E12183">
        <w:rPr>
          <w:rFonts w:cs="Arial"/>
        </w:rPr>
        <w:t>access to and use of computers</w:t>
      </w:r>
      <w:r w:rsidR="00606A68">
        <w:rPr>
          <w:rFonts w:cs="Arial"/>
        </w:rPr>
        <w:t>;</w:t>
      </w:r>
      <w:r w:rsidRPr="00E12183">
        <w:rPr>
          <w:rFonts w:cs="Arial"/>
        </w:rPr>
        <w:t xml:space="preserve"> and financial </w:t>
      </w:r>
      <w:r w:rsidR="004445E3">
        <w:rPr>
          <w:rFonts w:cs="Arial"/>
        </w:rPr>
        <w:t>hardship</w:t>
      </w:r>
      <w:r w:rsidRPr="00E12183">
        <w:rPr>
          <w:rFonts w:cs="Arial"/>
        </w:rPr>
        <w:t>.</w:t>
      </w:r>
    </w:p>
    <w:p w14:paraId="661A6DE5" w14:textId="77777777" w:rsidR="001F7A20" w:rsidRPr="001F7A20" w:rsidRDefault="001F7A20" w:rsidP="001F7A20">
      <w:pPr>
        <w:rPr>
          <w:rFonts w:cs="Arial"/>
          <w:bCs/>
        </w:rPr>
      </w:pPr>
      <w:r w:rsidRPr="001F7A20">
        <w:rPr>
          <w:rFonts w:cs="Arial"/>
        </w:rPr>
        <w:t>These challenges, which APTC has made concerted efforts to address, are likely to continue. They illustrate the reality of the target group and the complexity of the environment in which APTC operates.</w:t>
      </w:r>
    </w:p>
    <w:p w14:paraId="38175472" w14:textId="77777777" w:rsidR="00EF59E3" w:rsidRPr="00E12183" w:rsidRDefault="00EF59E3" w:rsidP="00EF0477">
      <w:pPr>
        <w:pStyle w:val="Heading3"/>
      </w:pPr>
      <w:bookmarkStart w:id="43" w:name="_Toc278710517"/>
      <w:r w:rsidRPr="00E12183">
        <w:t>Delivery strategies</w:t>
      </w:r>
      <w:bookmarkEnd w:id="43"/>
    </w:p>
    <w:p w14:paraId="720F7C77" w14:textId="2FCCF89A" w:rsidR="00EF59E3" w:rsidRPr="00E12183" w:rsidRDefault="00EF59E3" w:rsidP="00EF59E3">
      <w:pPr>
        <w:rPr>
          <w:rFonts w:cs="Arial"/>
          <w:bCs/>
        </w:rPr>
      </w:pPr>
      <w:r w:rsidRPr="00E12183">
        <w:rPr>
          <w:rFonts w:cs="Arial"/>
          <w:bCs/>
        </w:rPr>
        <w:t xml:space="preserve">APTC has introduced blended learning in several qualifications, notably the </w:t>
      </w:r>
      <w:r w:rsidR="000577A2">
        <w:rPr>
          <w:rFonts w:cs="Arial"/>
          <w:bCs/>
        </w:rPr>
        <w:t>D</w:t>
      </w:r>
      <w:r w:rsidR="000577A2" w:rsidRPr="00E12183">
        <w:rPr>
          <w:rFonts w:cs="Arial"/>
          <w:bCs/>
        </w:rPr>
        <w:t xml:space="preserve">iploma </w:t>
      </w:r>
      <w:r w:rsidRPr="00E12183">
        <w:rPr>
          <w:rFonts w:cs="Arial"/>
          <w:bCs/>
        </w:rPr>
        <w:t xml:space="preserve">in VET and </w:t>
      </w:r>
      <w:r w:rsidR="000577A2">
        <w:rPr>
          <w:rFonts w:cs="Arial"/>
          <w:bCs/>
        </w:rPr>
        <w:t>C</w:t>
      </w:r>
      <w:r w:rsidR="000577A2" w:rsidRPr="00E12183">
        <w:rPr>
          <w:rFonts w:cs="Arial"/>
          <w:bCs/>
        </w:rPr>
        <w:t xml:space="preserve">ertificate </w:t>
      </w:r>
      <w:r w:rsidRPr="00E12183">
        <w:rPr>
          <w:rFonts w:cs="Arial"/>
          <w:bCs/>
        </w:rPr>
        <w:t xml:space="preserve">IV in </w:t>
      </w:r>
      <w:r w:rsidR="000577A2">
        <w:rPr>
          <w:rFonts w:cs="Arial"/>
          <w:bCs/>
        </w:rPr>
        <w:t>B</w:t>
      </w:r>
      <w:r w:rsidR="000577A2" w:rsidRPr="00E12183">
        <w:rPr>
          <w:rFonts w:cs="Arial"/>
          <w:bCs/>
        </w:rPr>
        <w:t>usiness</w:t>
      </w:r>
      <w:r w:rsidRPr="00E12183">
        <w:rPr>
          <w:rFonts w:cs="Arial"/>
          <w:bCs/>
        </w:rPr>
        <w:t>. In addition, APTC developed flexible outreach and delivery</w:t>
      </w:r>
      <w:r w:rsidR="00F74A97" w:rsidRPr="00F74A97">
        <w:t xml:space="preserve"> </w:t>
      </w:r>
      <w:r w:rsidR="00F74A97" w:rsidRPr="00F74A97">
        <w:rPr>
          <w:rFonts w:cs="Arial"/>
          <w:bCs/>
        </w:rPr>
        <w:t>on a fee-for-service basis</w:t>
      </w:r>
      <w:r w:rsidRPr="00E12183">
        <w:rPr>
          <w:rFonts w:cs="Arial"/>
          <w:bCs/>
        </w:rPr>
        <w:t>, including training to build cyclone resistant shelters in Samoa and training for community development workers in Fiji.</w:t>
      </w:r>
    </w:p>
    <w:p w14:paraId="5726E661" w14:textId="77777777" w:rsidR="00EF59E3" w:rsidRPr="00E12183" w:rsidRDefault="00EF59E3" w:rsidP="00EF0477">
      <w:pPr>
        <w:pStyle w:val="Heading3"/>
      </w:pPr>
      <w:bookmarkStart w:id="44" w:name="_Toc278710518"/>
      <w:r w:rsidRPr="00E12183">
        <w:t>Partnerships and articulation pathways</w:t>
      </w:r>
      <w:bookmarkEnd w:id="44"/>
    </w:p>
    <w:p w14:paraId="0A60E88A" w14:textId="234DEAED" w:rsidR="00EF59E3" w:rsidRPr="00E12183" w:rsidRDefault="00EF59E3" w:rsidP="00EF59E3">
      <w:pPr>
        <w:rPr>
          <w:rFonts w:cs="Arial"/>
        </w:rPr>
      </w:pPr>
      <w:r w:rsidRPr="00E12183">
        <w:rPr>
          <w:rFonts w:cs="Arial"/>
        </w:rPr>
        <w:t>APTC has built several successful articulation pathways for students through partner institutions. These include both pathways within the Australian Qualifications Framework and pathways to and from local qualification frameworks and Australian qualifications. The following partnerships are in place in the campus countries</w:t>
      </w:r>
      <w:r w:rsidR="00D74F3A">
        <w:rPr>
          <w:rFonts w:cs="Arial"/>
        </w:rPr>
        <w:t>.</w:t>
      </w:r>
    </w:p>
    <w:p w14:paraId="347E720B" w14:textId="2552116A" w:rsidR="00EF59E3" w:rsidRPr="00E12183" w:rsidRDefault="00EF59E3" w:rsidP="009C76A7">
      <w:pPr>
        <w:ind w:left="2160" w:hanging="1440"/>
        <w:rPr>
          <w:rFonts w:cs="Arial"/>
          <w:lang w:eastAsia="en-AU"/>
        </w:rPr>
      </w:pPr>
      <w:r w:rsidRPr="00E12183">
        <w:rPr>
          <w:rFonts w:eastAsiaTheme="minorEastAsia" w:cs="Arial"/>
          <w:kern w:val="24"/>
          <w:lang w:eastAsia="en-AU"/>
        </w:rPr>
        <w:t>Fiji:</w:t>
      </w:r>
      <w:r w:rsidRPr="00E12183">
        <w:rPr>
          <w:rFonts w:eastAsiaTheme="minorEastAsia" w:cs="Arial"/>
          <w:kern w:val="24"/>
          <w:lang w:eastAsia="en-AU"/>
        </w:rPr>
        <w:tab/>
        <w:t xml:space="preserve">University of South Pacific (Fiji </w:t>
      </w:r>
      <w:r w:rsidR="0007247C">
        <w:rPr>
          <w:rFonts w:eastAsiaTheme="minorEastAsia" w:cs="Arial"/>
          <w:kern w:val="24"/>
          <w:lang w:eastAsia="en-AU"/>
        </w:rPr>
        <w:t>–</w:t>
      </w:r>
      <w:r w:rsidRPr="00E12183">
        <w:rPr>
          <w:rFonts w:eastAsiaTheme="minorEastAsia" w:cs="Arial"/>
          <w:kern w:val="24"/>
          <w:lang w:eastAsia="en-AU"/>
        </w:rPr>
        <w:t xml:space="preserve"> Regional)</w:t>
      </w:r>
      <w:r w:rsidR="00D74F3A">
        <w:rPr>
          <w:rFonts w:cs="Arial"/>
          <w:lang w:eastAsia="en-AU"/>
        </w:rPr>
        <w:br/>
      </w:r>
      <w:r w:rsidRPr="00E12183">
        <w:rPr>
          <w:rFonts w:eastAsiaTheme="minorEastAsia" w:cs="Arial"/>
          <w:kern w:val="24"/>
          <w:lang w:eastAsia="en-AU"/>
        </w:rPr>
        <w:t>Vivekananda Technical College (Fiji) (Certificate II)</w:t>
      </w:r>
    </w:p>
    <w:p w14:paraId="71E9D9DF" w14:textId="77777777" w:rsidR="00EF59E3" w:rsidRPr="00E12183" w:rsidRDefault="00EF59E3" w:rsidP="00EF59E3">
      <w:pPr>
        <w:ind w:left="720"/>
        <w:rPr>
          <w:rFonts w:cs="Arial"/>
          <w:lang w:eastAsia="en-AU"/>
        </w:rPr>
      </w:pPr>
      <w:r w:rsidRPr="00E12183">
        <w:rPr>
          <w:rFonts w:eastAsiaTheme="minorEastAsia" w:cs="Arial"/>
          <w:kern w:val="24"/>
          <w:lang w:eastAsia="en-AU"/>
        </w:rPr>
        <w:t>PNG:</w:t>
      </w:r>
      <w:r w:rsidRPr="00E12183">
        <w:rPr>
          <w:rFonts w:eastAsiaTheme="minorEastAsia" w:cs="Arial"/>
          <w:kern w:val="24"/>
          <w:lang w:eastAsia="en-AU"/>
        </w:rPr>
        <w:tab/>
      </w:r>
      <w:r w:rsidRPr="00E12183">
        <w:rPr>
          <w:rFonts w:eastAsiaTheme="minorEastAsia" w:cs="Arial"/>
          <w:kern w:val="24"/>
          <w:lang w:eastAsia="en-AU"/>
        </w:rPr>
        <w:tab/>
        <w:t xml:space="preserve">Port Moresby Technical College </w:t>
      </w:r>
    </w:p>
    <w:p w14:paraId="335843F6" w14:textId="77777777" w:rsidR="00EF59E3" w:rsidRPr="00E12183" w:rsidRDefault="00EF59E3" w:rsidP="00EF59E3">
      <w:pPr>
        <w:ind w:left="720"/>
        <w:rPr>
          <w:rFonts w:cs="Arial"/>
          <w:lang w:eastAsia="en-AU"/>
        </w:rPr>
      </w:pPr>
      <w:r w:rsidRPr="00E12183">
        <w:rPr>
          <w:rFonts w:eastAsiaTheme="minorEastAsia" w:cs="Arial"/>
          <w:kern w:val="24"/>
          <w:lang w:eastAsia="en-AU"/>
        </w:rPr>
        <w:t xml:space="preserve">Samoa: </w:t>
      </w:r>
      <w:r w:rsidRPr="00E12183">
        <w:rPr>
          <w:rFonts w:eastAsiaTheme="minorEastAsia" w:cs="Arial"/>
          <w:kern w:val="24"/>
          <w:lang w:eastAsia="en-AU"/>
        </w:rPr>
        <w:tab/>
        <w:t xml:space="preserve">National University of Samoa </w:t>
      </w:r>
    </w:p>
    <w:p w14:paraId="5C340942" w14:textId="77777777" w:rsidR="00EF59E3" w:rsidRPr="00E12183" w:rsidRDefault="00EF59E3" w:rsidP="00EF59E3">
      <w:pPr>
        <w:ind w:left="720"/>
        <w:rPr>
          <w:rFonts w:cs="Arial"/>
          <w:lang w:eastAsia="en-AU"/>
        </w:rPr>
      </w:pPr>
      <w:r w:rsidRPr="00E12183">
        <w:rPr>
          <w:rFonts w:eastAsiaTheme="minorEastAsia" w:cs="Arial"/>
          <w:kern w:val="24"/>
          <w:lang w:eastAsia="en-AU"/>
        </w:rPr>
        <w:t>Solomon Is:</w:t>
      </w:r>
      <w:r w:rsidRPr="00E12183">
        <w:rPr>
          <w:rFonts w:eastAsiaTheme="minorEastAsia" w:cs="Arial"/>
          <w:kern w:val="24"/>
          <w:lang w:eastAsia="en-AU"/>
        </w:rPr>
        <w:tab/>
        <w:t>Don Bosco Technical College (Certificate II)</w:t>
      </w:r>
    </w:p>
    <w:p w14:paraId="53542176" w14:textId="77777777" w:rsidR="00EF59E3" w:rsidRPr="00E12183" w:rsidRDefault="00EF59E3" w:rsidP="00EF59E3">
      <w:pPr>
        <w:ind w:left="720"/>
        <w:rPr>
          <w:rFonts w:cs="Arial"/>
          <w:lang w:eastAsia="en-AU"/>
        </w:rPr>
      </w:pPr>
      <w:r w:rsidRPr="00E12183">
        <w:rPr>
          <w:rFonts w:eastAsiaTheme="minorEastAsia" w:cs="Arial"/>
          <w:kern w:val="24"/>
          <w:lang w:eastAsia="en-AU"/>
        </w:rPr>
        <w:t>Vanuatu:</w:t>
      </w:r>
      <w:r w:rsidRPr="00E12183">
        <w:rPr>
          <w:rFonts w:eastAsiaTheme="minorEastAsia" w:cs="Arial"/>
          <w:kern w:val="24"/>
          <w:lang w:eastAsia="en-AU"/>
        </w:rPr>
        <w:tab/>
        <w:t xml:space="preserve">Vanuatu Institute of Technology </w:t>
      </w:r>
    </w:p>
    <w:p w14:paraId="5D9488B4" w14:textId="298C8494" w:rsidR="00EF59E3" w:rsidRPr="00E12183" w:rsidRDefault="00EF59E3" w:rsidP="00EF59E3">
      <w:pPr>
        <w:rPr>
          <w:rFonts w:cs="Arial"/>
          <w:lang w:eastAsia="en-AU"/>
        </w:rPr>
      </w:pPr>
      <w:r w:rsidRPr="00E12183">
        <w:rPr>
          <w:rFonts w:cs="Arial"/>
        </w:rPr>
        <w:t xml:space="preserve">Three additional agreements are in place in non-campus countries: </w:t>
      </w:r>
      <w:r w:rsidRPr="00E12183">
        <w:rPr>
          <w:rFonts w:eastAsiaTheme="minorEastAsia" w:cs="Arial"/>
          <w:kern w:val="24"/>
          <w:lang w:eastAsia="en-AU"/>
        </w:rPr>
        <w:t>Kiribati Institute of Technology, Palau Community College and Ah</w:t>
      </w:r>
      <w:r w:rsidR="00EB1014">
        <w:rPr>
          <w:rFonts w:eastAsiaTheme="minorEastAsia" w:cs="Arial"/>
          <w:kern w:val="24"/>
          <w:lang w:eastAsia="en-AU"/>
        </w:rPr>
        <w:t>o</w:t>
      </w:r>
      <w:r w:rsidRPr="00E12183">
        <w:rPr>
          <w:rFonts w:eastAsiaTheme="minorEastAsia" w:cs="Arial"/>
          <w:kern w:val="24"/>
          <w:lang w:eastAsia="en-AU"/>
        </w:rPr>
        <w:t>panilolo Training Institute in Tonga. However, APTC has met resistance in establishing partnerships with the main TVET providers in Fiji (F</w:t>
      </w:r>
      <w:r w:rsidR="0043413A">
        <w:rPr>
          <w:rFonts w:eastAsiaTheme="minorEastAsia" w:cs="Arial"/>
          <w:kern w:val="24"/>
          <w:lang w:eastAsia="en-AU"/>
        </w:rPr>
        <w:t xml:space="preserve">iji </w:t>
      </w:r>
      <w:r w:rsidRPr="00E12183">
        <w:rPr>
          <w:rFonts w:eastAsiaTheme="minorEastAsia" w:cs="Arial"/>
          <w:kern w:val="24"/>
          <w:lang w:eastAsia="en-AU"/>
        </w:rPr>
        <w:t>N</w:t>
      </w:r>
      <w:r w:rsidR="0043413A">
        <w:rPr>
          <w:rFonts w:eastAsiaTheme="minorEastAsia" w:cs="Arial"/>
          <w:kern w:val="24"/>
          <w:lang w:eastAsia="en-AU"/>
        </w:rPr>
        <w:t xml:space="preserve">ational </w:t>
      </w:r>
      <w:r w:rsidRPr="00E12183">
        <w:rPr>
          <w:rFonts w:eastAsiaTheme="minorEastAsia" w:cs="Arial"/>
          <w:kern w:val="24"/>
          <w:lang w:eastAsia="en-AU"/>
        </w:rPr>
        <w:t>U</w:t>
      </w:r>
      <w:r w:rsidR="0043413A">
        <w:rPr>
          <w:rFonts w:eastAsiaTheme="minorEastAsia" w:cs="Arial"/>
          <w:kern w:val="24"/>
          <w:lang w:eastAsia="en-AU"/>
        </w:rPr>
        <w:t>niversity</w:t>
      </w:r>
      <w:r w:rsidRPr="00E12183">
        <w:rPr>
          <w:rFonts w:eastAsiaTheme="minorEastAsia" w:cs="Arial"/>
          <w:kern w:val="24"/>
          <w:lang w:eastAsia="en-AU"/>
        </w:rPr>
        <w:t>) and Solomon Islands (S</w:t>
      </w:r>
      <w:r w:rsidR="0043413A">
        <w:rPr>
          <w:rFonts w:eastAsiaTheme="minorEastAsia" w:cs="Arial"/>
          <w:kern w:val="24"/>
          <w:lang w:eastAsia="en-AU"/>
        </w:rPr>
        <w:t xml:space="preserve">olomon </w:t>
      </w:r>
      <w:r w:rsidRPr="00E12183">
        <w:rPr>
          <w:rFonts w:eastAsiaTheme="minorEastAsia" w:cs="Arial"/>
          <w:kern w:val="24"/>
          <w:lang w:eastAsia="en-AU"/>
        </w:rPr>
        <w:t>I</w:t>
      </w:r>
      <w:r w:rsidR="0043413A">
        <w:rPr>
          <w:rFonts w:eastAsiaTheme="minorEastAsia" w:cs="Arial"/>
          <w:kern w:val="24"/>
          <w:lang w:eastAsia="en-AU"/>
        </w:rPr>
        <w:t xml:space="preserve">slands </w:t>
      </w:r>
      <w:r w:rsidRPr="00E12183">
        <w:rPr>
          <w:rFonts w:eastAsiaTheme="minorEastAsia" w:cs="Arial"/>
          <w:kern w:val="24"/>
          <w:lang w:eastAsia="en-AU"/>
        </w:rPr>
        <w:t>N</w:t>
      </w:r>
      <w:r w:rsidR="0043413A">
        <w:rPr>
          <w:rFonts w:eastAsiaTheme="minorEastAsia" w:cs="Arial"/>
          <w:kern w:val="24"/>
          <w:lang w:eastAsia="en-AU"/>
        </w:rPr>
        <w:t xml:space="preserve">ational </w:t>
      </w:r>
      <w:r w:rsidRPr="00E12183">
        <w:rPr>
          <w:rFonts w:eastAsiaTheme="minorEastAsia" w:cs="Arial"/>
          <w:kern w:val="24"/>
          <w:lang w:eastAsia="en-AU"/>
        </w:rPr>
        <w:t>U</w:t>
      </w:r>
      <w:r w:rsidR="0043413A">
        <w:rPr>
          <w:rFonts w:eastAsiaTheme="minorEastAsia" w:cs="Arial"/>
          <w:kern w:val="24"/>
          <w:lang w:eastAsia="en-AU"/>
        </w:rPr>
        <w:t>niversity</w:t>
      </w:r>
      <w:r w:rsidRPr="00E12183">
        <w:rPr>
          <w:rFonts w:eastAsiaTheme="minorEastAsia" w:cs="Arial"/>
          <w:kern w:val="24"/>
          <w:lang w:eastAsia="en-AU"/>
        </w:rPr>
        <w:t>).</w:t>
      </w:r>
    </w:p>
    <w:p w14:paraId="264D3D41" w14:textId="77777777" w:rsidR="00EF59E3" w:rsidRPr="00E12183" w:rsidRDefault="00EF59E3" w:rsidP="00EF0477">
      <w:pPr>
        <w:pStyle w:val="Heading3"/>
      </w:pPr>
      <w:bookmarkStart w:id="45" w:name="_Toc278710519"/>
      <w:r w:rsidRPr="00E12183">
        <w:t>Catering for country characteristics</w:t>
      </w:r>
      <w:bookmarkEnd w:id="45"/>
    </w:p>
    <w:p w14:paraId="3DDA24C6" w14:textId="4A517CA9" w:rsidR="00226D86" w:rsidRDefault="0014276D" w:rsidP="00DF7C96">
      <w:pPr>
        <w:rPr>
          <w:rFonts w:cs="Arial"/>
          <w:b/>
          <w:bCs/>
          <w:color w:val="76923C"/>
          <w:sz w:val="24"/>
          <w:szCs w:val="28"/>
        </w:rPr>
      </w:pPr>
      <w:r w:rsidRPr="0014276D">
        <w:rPr>
          <w:rFonts w:cs="Arial"/>
        </w:rPr>
        <w:t>As became evident during the field vis</w:t>
      </w:r>
      <w:r>
        <w:rPr>
          <w:rFonts w:cs="Arial"/>
        </w:rPr>
        <w:t>its, e</w:t>
      </w:r>
      <w:r w:rsidRPr="0014276D">
        <w:rPr>
          <w:rFonts w:cs="Arial"/>
        </w:rPr>
        <w:t xml:space="preserve">ach </w:t>
      </w:r>
      <w:r w:rsidR="00EF59E3" w:rsidRPr="00E12183">
        <w:rPr>
          <w:rFonts w:cs="Arial"/>
        </w:rPr>
        <w:t>campus country is distinctive</w:t>
      </w:r>
      <w:r w:rsidR="00B61320">
        <w:rPr>
          <w:rFonts w:cs="Arial"/>
        </w:rPr>
        <w:t>,</w:t>
      </w:r>
      <w:r>
        <w:rPr>
          <w:rFonts w:cs="Arial"/>
        </w:rPr>
        <w:t xml:space="preserve"> </w:t>
      </w:r>
      <w:r w:rsidR="00B61320">
        <w:rPr>
          <w:rFonts w:cs="Arial"/>
        </w:rPr>
        <w:t>s</w:t>
      </w:r>
      <w:r w:rsidR="00EF59E3" w:rsidRPr="00E12183">
        <w:rPr>
          <w:rFonts w:cs="Arial"/>
        </w:rPr>
        <w:t xml:space="preserve">o it is not surprising that the level of development </w:t>
      </w:r>
      <w:r>
        <w:rPr>
          <w:rFonts w:cs="Arial"/>
        </w:rPr>
        <w:t xml:space="preserve">varies </w:t>
      </w:r>
      <w:r w:rsidR="00EF59E3" w:rsidRPr="00E12183">
        <w:rPr>
          <w:rFonts w:cs="Arial"/>
        </w:rPr>
        <w:t xml:space="preserve">across APTC campuses. As the APTC matures, the distinctive nature of each campus country </w:t>
      </w:r>
      <w:r w:rsidR="00226D86">
        <w:rPr>
          <w:rFonts w:cs="Arial"/>
        </w:rPr>
        <w:t xml:space="preserve">is </w:t>
      </w:r>
      <w:r w:rsidR="00226D86" w:rsidRPr="00E12183">
        <w:rPr>
          <w:rFonts w:cs="Arial"/>
        </w:rPr>
        <w:t>becom</w:t>
      </w:r>
      <w:r w:rsidR="00226D86">
        <w:rPr>
          <w:rFonts w:cs="Arial"/>
        </w:rPr>
        <w:t>ing</w:t>
      </w:r>
      <w:r w:rsidR="00226D86" w:rsidRPr="00E12183">
        <w:rPr>
          <w:rFonts w:cs="Arial"/>
        </w:rPr>
        <w:t xml:space="preserve"> </w:t>
      </w:r>
      <w:r w:rsidR="00EF59E3" w:rsidRPr="00E12183">
        <w:rPr>
          <w:rFonts w:cs="Arial"/>
        </w:rPr>
        <w:t>more marked</w:t>
      </w:r>
      <w:r w:rsidRPr="0014276D">
        <w:rPr>
          <w:rFonts w:cs="Arial"/>
        </w:rPr>
        <w:t xml:space="preserve">, based </w:t>
      </w:r>
      <w:r>
        <w:rPr>
          <w:rFonts w:cs="Arial"/>
        </w:rPr>
        <w:t xml:space="preserve">on </w:t>
      </w:r>
      <w:r w:rsidR="00EF59E3" w:rsidRPr="00E12183">
        <w:rPr>
          <w:rFonts w:cs="Arial"/>
        </w:rPr>
        <w:t>the size of the formal sector of the economy, TVET sector development, infrastructure created by APTC investment</w:t>
      </w:r>
      <w:r w:rsidR="0075237C">
        <w:rPr>
          <w:rFonts w:cs="Arial"/>
        </w:rPr>
        <w:t>,</w:t>
      </w:r>
      <w:r w:rsidR="00EF59E3" w:rsidRPr="00E12183">
        <w:rPr>
          <w:rFonts w:cs="Arial"/>
        </w:rPr>
        <w:t xml:space="preserve"> and </w:t>
      </w:r>
      <w:r w:rsidR="0075237C">
        <w:rPr>
          <w:rFonts w:cs="Arial"/>
        </w:rPr>
        <w:t xml:space="preserve">the </w:t>
      </w:r>
      <w:r w:rsidR="00EF59E3" w:rsidRPr="00E12183">
        <w:rPr>
          <w:rFonts w:cs="Arial"/>
        </w:rPr>
        <w:t xml:space="preserve">extent and nature of the partnerships formed. </w:t>
      </w:r>
      <w:r w:rsidRPr="0014276D">
        <w:rPr>
          <w:rFonts w:cs="Arial"/>
        </w:rPr>
        <w:t xml:space="preserve">These circumstances call </w:t>
      </w:r>
      <w:r>
        <w:rPr>
          <w:rFonts w:cs="Arial"/>
        </w:rPr>
        <w:t xml:space="preserve">for </w:t>
      </w:r>
      <w:r w:rsidR="00EF59E3" w:rsidRPr="00E12183">
        <w:rPr>
          <w:rFonts w:cs="Arial"/>
        </w:rPr>
        <w:t xml:space="preserve">country-specific </w:t>
      </w:r>
      <w:r w:rsidRPr="0014276D">
        <w:rPr>
          <w:rFonts w:cs="Arial"/>
        </w:rPr>
        <w:t xml:space="preserve">strategic plans, containing clear performance targets reflecting the status and potential of each country. </w:t>
      </w:r>
      <w:r>
        <w:rPr>
          <w:rFonts w:cs="Arial"/>
        </w:rPr>
        <w:t xml:space="preserve"> </w:t>
      </w:r>
      <w:r w:rsidR="00EF59E3" w:rsidRPr="00E12183">
        <w:rPr>
          <w:rFonts w:cs="Arial"/>
        </w:rPr>
        <w:lastRenderedPageBreak/>
        <w:t>Further, empowering each country campus</w:t>
      </w:r>
      <w:r>
        <w:rPr>
          <w:rFonts w:cs="Arial"/>
        </w:rPr>
        <w:t xml:space="preserve"> to reach this potential</w:t>
      </w:r>
      <w:r w:rsidR="00EF59E3" w:rsidRPr="00E12183">
        <w:rPr>
          <w:rFonts w:cs="Arial"/>
        </w:rPr>
        <w:t xml:space="preserve">, through </w:t>
      </w:r>
      <w:r>
        <w:rPr>
          <w:rFonts w:cs="Arial"/>
        </w:rPr>
        <w:t xml:space="preserve">appropriate </w:t>
      </w:r>
      <w:r w:rsidR="00EF59E3" w:rsidRPr="00E12183">
        <w:rPr>
          <w:rFonts w:cs="Arial"/>
        </w:rPr>
        <w:t>levels of delegation to country managers</w:t>
      </w:r>
      <w:r>
        <w:rPr>
          <w:rFonts w:cs="Arial"/>
        </w:rPr>
        <w:t>,</w:t>
      </w:r>
      <w:r w:rsidR="00EF59E3" w:rsidRPr="00E12183">
        <w:rPr>
          <w:rFonts w:cs="Arial"/>
        </w:rPr>
        <w:t xml:space="preserve"> is an important next step in the evolution of APTC.  </w:t>
      </w:r>
    </w:p>
    <w:p w14:paraId="66A4C83E" w14:textId="6F3ACD12" w:rsidR="00EF59E3" w:rsidRPr="00E12183" w:rsidRDefault="00EF59E3" w:rsidP="00EF0477">
      <w:pPr>
        <w:pStyle w:val="Heading2"/>
      </w:pPr>
      <w:bookmarkStart w:id="46" w:name="_Toc278710520"/>
      <w:r w:rsidRPr="00E12183">
        <w:t>APTC’s engagement with industry and employers</w:t>
      </w:r>
      <w:bookmarkEnd w:id="46"/>
    </w:p>
    <w:p w14:paraId="5AA2F13A" w14:textId="2AAEBF00" w:rsidR="00EF59E3" w:rsidRPr="00E12183" w:rsidRDefault="00EF59E3" w:rsidP="00EF59E3">
      <w:pPr>
        <w:rPr>
          <w:rFonts w:cs="Arial"/>
        </w:rPr>
      </w:pPr>
      <w:r w:rsidRPr="00E12183">
        <w:rPr>
          <w:rFonts w:cs="Arial"/>
          <w:bCs/>
        </w:rPr>
        <w:t xml:space="preserve">Little scope exists for industry to be involved in the governance of APTC, but (mirroring the industry engagement practices of TVET institutions in Australia) extensive involvement with enterprises exists at the level of program delivery. </w:t>
      </w:r>
      <w:r w:rsidRPr="00E12183">
        <w:rPr>
          <w:rFonts w:cs="Arial"/>
        </w:rPr>
        <w:t>Since APTC focuses on practical skills in the workplace, employer involvement is integral to program delivery because work placement is</w:t>
      </w:r>
      <w:r w:rsidR="009F0D2E">
        <w:rPr>
          <w:rFonts w:cs="Arial"/>
        </w:rPr>
        <w:t xml:space="preserve"> often</w:t>
      </w:r>
      <w:r w:rsidRPr="00E12183">
        <w:rPr>
          <w:rFonts w:cs="Arial"/>
        </w:rPr>
        <w:t xml:space="preserve"> built into program design. </w:t>
      </w:r>
      <w:r w:rsidR="009F0D2E" w:rsidRPr="009F0D2E">
        <w:rPr>
          <w:rFonts w:cs="Arial"/>
        </w:rPr>
        <w:t>Th</w:t>
      </w:r>
      <w:r w:rsidR="00B61320">
        <w:rPr>
          <w:rFonts w:cs="Arial"/>
        </w:rPr>
        <w:t>e</w:t>
      </w:r>
      <w:r w:rsidR="009F0D2E" w:rsidRPr="009F0D2E">
        <w:rPr>
          <w:rFonts w:cs="Arial"/>
        </w:rPr>
        <w:t xml:space="preserve"> employers </w:t>
      </w:r>
      <w:r w:rsidR="00B61320">
        <w:rPr>
          <w:rFonts w:cs="Arial"/>
        </w:rPr>
        <w:t xml:space="preserve">that met with </w:t>
      </w:r>
      <w:r w:rsidR="009F0D2E" w:rsidRPr="009F0D2E">
        <w:rPr>
          <w:rFonts w:cs="Arial"/>
        </w:rPr>
        <w:t>the evaluation team gave glowing reports of APTC’s training.</w:t>
      </w:r>
      <w:r w:rsidR="009F0D2E">
        <w:rPr>
          <w:rFonts w:cs="Arial"/>
        </w:rPr>
        <w:t xml:space="preserve"> </w:t>
      </w:r>
      <w:r w:rsidRPr="00E12183">
        <w:rPr>
          <w:rFonts w:cs="Arial"/>
        </w:rPr>
        <w:t xml:space="preserve">APTC has established hundreds of informal links with enterprises across at least </w:t>
      </w:r>
      <w:r w:rsidR="00092BFB">
        <w:rPr>
          <w:rFonts w:cs="Arial"/>
        </w:rPr>
        <w:t>10</w:t>
      </w:r>
      <w:r w:rsidR="00092BFB" w:rsidRPr="00E12183">
        <w:rPr>
          <w:rFonts w:cs="Arial"/>
        </w:rPr>
        <w:t xml:space="preserve"> </w:t>
      </w:r>
      <w:r w:rsidRPr="00E12183">
        <w:rPr>
          <w:rFonts w:cs="Arial"/>
        </w:rPr>
        <w:t>countries. In all countries</w:t>
      </w:r>
      <w:r w:rsidR="00092BFB">
        <w:rPr>
          <w:rFonts w:cs="Arial"/>
        </w:rPr>
        <w:t>,</w:t>
      </w:r>
      <w:r w:rsidRPr="00E12183">
        <w:rPr>
          <w:rFonts w:cs="Arial"/>
        </w:rPr>
        <w:t xml:space="preserve"> employers provide work placements and live work projects for students.</w:t>
      </w:r>
    </w:p>
    <w:p w14:paraId="380D1DD4" w14:textId="332836E9" w:rsidR="00EF59E3" w:rsidRPr="00E12183" w:rsidRDefault="00EF59E3" w:rsidP="00EF59E3">
      <w:pPr>
        <w:rPr>
          <w:rFonts w:cs="Arial"/>
        </w:rPr>
      </w:pPr>
      <w:r w:rsidRPr="00E12183">
        <w:rPr>
          <w:rFonts w:cs="Arial"/>
        </w:rPr>
        <w:t>However, only a few formal industry partnerships have been established so far. Belatedly, APTC adopted a commercialisation strategy in February 2013 that provides the framework for these partnerships. Actual revenues realised are well below targets</w:t>
      </w:r>
      <w:r w:rsidR="009F0D2E" w:rsidRPr="009F0D2E">
        <w:rPr>
          <w:rFonts w:cs="Arial"/>
        </w:rPr>
        <w:t>, although there ha</w:t>
      </w:r>
      <w:r w:rsidR="009F0D2E">
        <w:rPr>
          <w:rFonts w:cs="Arial"/>
        </w:rPr>
        <w:t>ve been</w:t>
      </w:r>
      <w:r w:rsidR="009F0D2E" w:rsidRPr="009F0D2E">
        <w:rPr>
          <w:rFonts w:cs="Arial"/>
        </w:rPr>
        <w:t xml:space="preserve"> recent improvements</w:t>
      </w:r>
      <w:r w:rsidR="009F0D2E">
        <w:rPr>
          <w:rFonts w:cs="Arial"/>
        </w:rPr>
        <w:t>.</w:t>
      </w:r>
      <w:r w:rsidR="009F0D2E">
        <w:rPr>
          <w:rStyle w:val="FootnoteReference"/>
          <w:rFonts w:cs="Arial"/>
        </w:rPr>
        <w:footnoteReference w:id="29"/>
      </w:r>
      <w:r w:rsidRPr="00E12183">
        <w:rPr>
          <w:rFonts w:cs="Arial"/>
        </w:rPr>
        <w:t xml:space="preserve"> Of the eight formal partnerships listed by APTC, only four pertain to enterprises. Three of these are of interest</w:t>
      </w:r>
      <w:r w:rsidR="00092BFB">
        <w:rPr>
          <w:rFonts w:cs="Arial"/>
        </w:rPr>
        <w:t xml:space="preserve"> – the partnerships with</w:t>
      </w:r>
      <w:r w:rsidR="00092BFB" w:rsidRPr="00E12183">
        <w:rPr>
          <w:rFonts w:cs="Arial"/>
        </w:rPr>
        <w:t xml:space="preserve"> </w:t>
      </w:r>
      <w:r w:rsidRPr="00E12183">
        <w:rPr>
          <w:rFonts w:cs="Arial"/>
        </w:rPr>
        <w:t>Coral Sea Hotels (PNG), the Textiles Clothing and Footwear Council (TCFC) of Fiji and Carnival Australia in the cruise tourism industry in Vanuatu. Each of these partnerships has negotiated levels of co-contribution to cost</w:t>
      </w:r>
      <w:r w:rsidR="009F0D2E" w:rsidRPr="009F0D2E">
        <w:t xml:space="preserve"> </w:t>
      </w:r>
      <w:r w:rsidR="009F0D2E" w:rsidRPr="009F0D2E">
        <w:rPr>
          <w:rFonts w:cs="Arial"/>
        </w:rPr>
        <w:t>and demonstrate APTC’s responsiveness</w:t>
      </w:r>
      <w:r w:rsidRPr="00E12183">
        <w:rPr>
          <w:rFonts w:cs="Arial"/>
        </w:rPr>
        <w:t xml:space="preserve">. </w:t>
      </w:r>
    </w:p>
    <w:p w14:paraId="6A3E2D19" w14:textId="37E7F660" w:rsidR="00EF59E3" w:rsidRPr="00E12183" w:rsidRDefault="00EF59E3" w:rsidP="00EF59E3">
      <w:pPr>
        <w:rPr>
          <w:rFonts w:cs="Arial"/>
        </w:rPr>
      </w:pPr>
      <w:r w:rsidRPr="00E12183">
        <w:rPr>
          <w:rFonts w:cs="Arial"/>
        </w:rPr>
        <w:t xml:space="preserve">To some extent APTC is forging new ground. In the Pacific, engagement by training institutions with enterprises has not been routinely practised, and employer interest has not developed </w:t>
      </w:r>
      <w:r w:rsidR="004445E3">
        <w:rPr>
          <w:rFonts w:cs="Arial"/>
        </w:rPr>
        <w:t>i</w:t>
      </w:r>
      <w:r w:rsidRPr="00E12183">
        <w:rPr>
          <w:rFonts w:cs="Arial"/>
        </w:rPr>
        <w:t xml:space="preserve">n purchasing training on a </w:t>
      </w:r>
      <w:r w:rsidR="00092BFB" w:rsidRPr="00E12183">
        <w:rPr>
          <w:rFonts w:cs="Arial"/>
        </w:rPr>
        <w:t>fee</w:t>
      </w:r>
      <w:r w:rsidR="00092BFB">
        <w:rPr>
          <w:rFonts w:cs="Arial"/>
        </w:rPr>
        <w:t>-</w:t>
      </w:r>
      <w:r w:rsidR="00092BFB" w:rsidRPr="00E12183">
        <w:rPr>
          <w:rFonts w:cs="Arial"/>
        </w:rPr>
        <w:t>for</w:t>
      </w:r>
      <w:r w:rsidR="00092BFB">
        <w:rPr>
          <w:rFonts w:cs="Arial"/>
        </w:rPr>
        <w:t>-</w:t>
      </w:r>
      <w:r w:rsidRPr="00E12183">
        <w:rPr>
          <w:rFonts w:cs="Arial"/>
        </w:rPr>
        <w:t xml:space="preserve">service basis. In-house or outsourced training for employees is likely </w:t>
      </w:r>
      <w:r w:rsidR="00AD664D">
        <w:rPr>
          <w:rFonts w:cs="Arial"/>
        </w:rPr>
        <w:t xml:space="preserve">to be </w:t>
      </w:r>
      <w:r w:rsidRPr="00E12183">
        <w:rPr>
          <w:rFonts w:cs="Arial"/>
        </w:rPr>
        <w:t>beyond the financial capacity of many smaller companies. APTC’s reputation as a scholarship institution undoubtedly also contributes to industry reluctance to co-finance training. The</w:t>
      </w:r>
      <w:r w:rsidR="004445E3" w:rsidRPr="004445E3">
        <w:rPr>
          <w:rFonts w:cs="Arial"/>
        </w:rPr>
        <w:t xml:space="preserve"> expectation of the</w:t>
      </w:r>
      <w:r w:rsidRPr="00E12183">
        <w:rPr>
          <w:rFonts w:cs="Arial"/>
        </w:rPr>
        <w:t xml:space="preserve"> availability of scholarships is difficult to reverse once they are in place. Additional </w:t>
      </w:r>
      <w:r w:rsidR="00A45BC8">
        <w:rPr>
          <w:rFonts w:cs="Arial"/>
        </w:rPr>
        <w:t xml:space="preserve">start-up </w:t>
      </w:r>
      <w:r w:rsidRPr="00E12183">
        <w:rPr>
          <w:rFonts w:cs="Arial"/>
        </w:rPr>
        <w:t xml:space="preserve">resources </w:t>
      </w:r>
      <w:r w:rsidR="00A45BC8">
        <w:rPr>
          <w:rFonts w:cs="Arial"/>
        </w:rPr>
        <w:t xml:space="preserve">may </w:t>
      </w:r>
      <w:r w:rsidRPr="00E12183">
        <w:rPr>
          <w:rFonts w:cs="Arial"/>
        </w:rPr>
        <w:t xml:space="preserve">be necessary both to generate and deliver more fee-for-service activity </w:t>
      </w:r>
      <w:r w:rsidR="00A45BC8" w:rsidRPr="00A45BC8">
        <w:rPr>
          <w:rFonts w:cs="Arial"/>
        </w:rPr>
        <w:t xml:space="preserve">until </w:t>
      </w:r>
      <w:r w:rsidR="00A45BC8">
        <w:rPr>
          <w:rFonts w:cs="Arial"/>
        </w:rPr>
        <w:t xml:space="preserve">it </w:t>
      </w:r>
      <w:r w:rsidR="00A45BC8" w:rsidRPr="00A45BC8">
        <w:rPr>
          <w:rFonts w:cs="Arial"/>
        </w:rPr>
        <w:t>can fully recover costs</w:t>
      </w:r>
      <w:r w:rsidRPr="00E12183">
        <w:rPr>
          <w:rFonts w:cs="Arial"/>
        </w:rPr>
        <w:t xml:space="preserve">.  </w:t>
      </w:r>
    </w:p>
    <w:p w14:paraId="686F6295" w14:textId="190072B7" w:rsidR="00776A40" w:rsidRDefault="00EF59E3" w:rsidP="00EF59E3">
      <w:pPr>
        <w:rPr>
          <w:rFonts w:cs="Arial"/>
        </w:rPr>
      </w:pPr>
      <w:r w:rsidRPr="00E12183">
        <w:rPr>
          <w:rFonts w:cs="Arial"/>
        </w:rPr>
        <w:t xml:space="preserve">APTC’s adjustment to labour market demands could be improved. </w:t>
      </w:r>
      <w:r w:rsidRPr="00E12183">
        <w:rPr>
          <w:rFonts w:eastAsia="Calibri" w:cs="Arial"/>
          <w:lang w:eastAsia="zh-CN"/>
        </w:rPr>
        <w:t>The Stage II Design Document required APTC’s Annual Training Profile to provide a rationale for the proposed courses and explanation of the expected outputs and development benefits. The Annual Training Profile was to include, among other things, a description of the ‘evidence of sufficient industry demand’.</w:t>
      </w:r>
      <w:r w:rsidRPr="00E12183">
        <w:rPr>
          <w:rFonts w:eastAsia="Calibri" w:cs="Arial"/>
          <w:vertAlign w:val="superscript"/>
          <w:lang w:eastAsia="zh-CN"/>
        </w:rPr>
        <w:footnoteReference w:id="30"/>
      </w:r>
      <w:r w:rsidRPr="00E12183">
        <w:rPr>
          <w:rFonts w:eastAsia="Calibri" w:cs="Arial"/>
          <w:lang w:eastAsia="zh-CN"/>
        </w:rPr>
        <w:t xml:space="preserve"> </w:t>
      </w:r>
      <w:r w:rsidRPr="00E12183">
        <w:rPr>
          <w:rFonts w:cs="Arial"/>
        </w:rPr>
        <w:t>APTC’s tracer studies of graduates do not provide information about employment outcomes for specific qualifications. Little analysis is done on skills shortages in the Pacific</w:t>
      </w:r>
      <w:r w:rsidR="00776A40">
        <w:rPr>
          <w:rFonts w:cs="Arial"/>
        </w:rPr>
        <w:t>,</w:t>
      </w:r>
      <w:r w:rsidRPr="00E12183">
        <w:rPr>
          <w:rFonts w:cs="Arial"/>
        </w:rPr>
        <w:t xml:space="preserve"> such as identifying the occupations of foreign workers and </w:t>
      </w:r>
      <w:r w:rsidR="004B11FA">
        <w:rPr>
          <w:rFonts w:cs="Arial"/>
        </w:rPr>
        <w:t xml:space="preserve">systematically </w:t>
      </w:r>
      <w:r w:rsidRPr="00E12183">
        <w:rPr>
          <w:rFonts w:cs="Arial"/>
        </w:rPr>
        <w:t>recording advertised job vacancies. The ‘</w:t>
      </w:r>
      <w:r w:rsidR="00776A40" w:rsidRPr="00E12183">
        <w:rPr>
          <w:rFonts w:cs="Arial"/>
        </w:rPr>
        <w:t>APTC</w:t>
      </w:r>
      <w:r w:rsidR="00776A40">
        <w:rPr>
          <w:rFonts w:cs="Arial"/>
        </w:rPr>
        <w:t>-</w:t>
      </w:r>
      <w:r w:rsidR="00776A40" w:rsidRPr="00E12183">
        <w:rPr>
          <w:rFonts w:cs="Arial"/>
        </w:rPr>
        <w:t>to</w:t>
      </w:r>
      <w:r w:rsidR="00776A40">
        <w:rPr>
          <w:rFonts w:cs="Arial"/>
        </w:rPr>
        <w:t>-</w:t>
      </w:r>
      <w:r w:rsidRPr="00E12183">
        <w:rPr>
          <w:rFonts w:cs="Arial"/>
        </w:rPr>
        <w:t xml:space="preserve">Work’ program varies in effectiveness across countries. </w:t>
      </w:r>
    </w:p>
    <w:p w14:paraId="1C6963FA" w14:textId="63BF4EA4" w:rsidR="00C84B4C" w:rsidRDefault="00A45BC8" w:rsidP="00624A74">
      <w:pPr>
        <w:rPr>
          <w:rFonts w:cs="Arial"/>
        </w:rPr>
      </w:pPr>
      <w:r w:rsidRPr="00A45BC8">
        <w:rPr>
          <w:rFonts w:cs="Arial"/>
        </w:rPr>
        <w:t xml:space="preserve">There are significant complexities and costs associated with </w:t>
      </w:r>
      <w:r w:rsidR="00EF59E3" w:rsidRPr="00E12183">
        <w:rPr>
          <w:rFonts w:cs="Arial"/>
        </w:rPr>
        <w:t xml:space="preserve">APTC’s second objective to provide improved employment opportunities for graduates, </w:t>
      </w:r>
      <w:r w:rsidRPr="00A45BC8">
        <w:rPr>
          <w:rFonts w:cs="Arial"/>
        </w:rPr>
        <w:t>especially where delivery is conducted in another country to citizenship</w:t>
      </w:r>
      <w:r>
        <w:rPr>
          <w:rFonts w:cs="Arial"/>
        </w:rPr>
        <w:t>. M</w:t>
      </w:r>
      <w:r w:rsidR="00EF59E3" w:rsidRPr="00E12183">
        <w:rPr>
          <w:rFonts w:cs="Arial"/>
        </w:rPr>
        <w:t xml:space="preserve">ore emphasis </w:t>
      </w:r>
      <w:r>
        <w:rPr>
          <w:rFonts w:cs="Arial"/>
        </w:rPr>
        <w:t xml:space="preserve">could </w:t>
      </w:r>
      <w:r w:rsidR="00EF59E3" w:rsidRPr="00E12183">
        <w:rPr>
          <w:rFonts w:cs="Arial"/>
        </w:rPr>
        <w:t xml:space="preserve">be placed on finding suitable work placements which are linked to future </w:t>
      </w:r>
      <w:r w:rsidR="00534925">
        <w:rPr>
          <w:rFonts w:cs="Arial"/>
        </w:rPr>
        <w:t xml:space="preserve">job opportunities for students </w:t>
      </w:r>
      <w:r w:rsidR="00EF59E3" w:rsidRPr="00E12183">
        <w:rPr>
          <w:rFonts w:cs="Arial"/>
        </w:rPr>
        <w:t xml:space="preserve">not in paid work. Assistance is also needed to place unemployed graduates in jobs matched to their skills. </w:t>
      </w:r>
      <w:r w:rsidR="00AB69E3">
        <w:rPr>
          <w:rFonts w:cs="Arial"/>
        </w:rPr>
        <w:t>I</w:t>
      </w:r>
      <w:r w:rsidR="00EF59E3" w:rsidRPr="00E12183">
        <w:rPr>
          <w:rFonts w:cs="Arial"/>
        </w:rPr>
        <w:t>n this regard</w:t>
      </w:r>
      <w:r w:rsidR="00AB69E3">
        <w:rPr>
          <w:rFonts w:cs="Arial"/>
        </w:rPr>
        <w:t>, t</w:t>
      </w:r>
      <w:r w:rsidR="00AB69E3" w:rsidRPr="00E12183">
        <w:rPr>
          <w:rFonts w:cs="Arial"/>
        </w:rPr>
        <w:t>he work</w:t>
      </w:r>
      <w:r w:rsidR="00EF59E3" w:rsidRPr="00E12183">
        <w:rPr>
          <w:rFonts w:cs="Arial"/>
        </w:rPr>
        <w:t xml:space="preserve"> being done in PNG stands out as exceptional. </w:t>
      </w:r>
    </w:p>
    <w:p w14:paraId="5F47EF19" w14:textId="3237A95F" w:rsidR="0029564A" w:rsidRDefault="0029564A" w:rsidP="00EF59E3">
      <w:pPr>
        <w:rPr>
          <w:rFonts w:cs="Arial"/>
        </w:rPr>
      </w:pPr>
      <w:r w:rsidRPr="0029564A">
        <w:rPr>
          <w:rFonts w:cs="Arial"/>
        </w:rPr>
        <w:lastRenderedPageBreak/>
        <w:t>Additional costs may be incurred</w:t>
      </w:r>
      <w:r>
        <w:rPr>
          <w:rFonts w:cs="Arial"/>
        </w:rPr>
        <w:t>,</w:t>
      </w:r>
      <w:r w:rsidRPr="0029564A">
        <w:rPr>
          <w:rFonts w:cs="Arial"/>
        </w:rPr>
        <w:t xml:space="preserve"> although this was not evident in the case of PNG</w:t>
      </w:r>
      <w:r>
        <w:rPr>
          <w:rFonts w:cs="Arial"/>
        </w:rPr>
        <w:t xml:space="preserve">. Special </w:t>
      </w:r>
      <w:r w:rsidRPr="0029564A">
        <w:rPr>
          <w:rFonts w:cs="Arial"/>
        </w:rPr>
        <w:t xml:space="preserve">challenges exist for unemployed graduates not from campus countries. </w:t>
      </w:r>
      <w:r>
        <w:rPr>
          <w:rFonts w:cs="Arial"/>
        </w:rPr>
        <w:t xml:space="preserve">Still, </w:t>
      </w:r>
      <w:r w:rsidRPr="0029564A">
        <w:rPr>
          <w:rFonts w:cs="Arial"/>
        </w:rPr>
        <w:t xml:space="preserve">improving employment opportunities for graduates is one of APTC’s objectives and thus needs to be resourced accordingly. </w:t>
      </w:r>
    </w:p>
    <w:p w14:paraId="18757912" w14:textId="41B4A3E5" w:rsidR="00776A40" w:rsidRDefault="00EF59E3" w:rsidP="00DF7C96">
      <w:pPr>
        <w:rPr>
          <w:rFonts w:cs="Arial"/>
          <w:b/>
          <w:bCs/>
          <w:color w:val="76923C"/>
          <w:sz w:val="24"/>
          <w:szCs w:val="28"/>
        </w:rPr>
      </w:pPr>
      <w:r w:rsidRPr="00E12183">
        <w:rPr>
          <w:rFonts w:cs="Arial"/>
        </w:rPr>
        <w:t xml:space="preserve">Another shortcoming is the lack of systematic information on the impact of APTC’s training on the productivity of enterprises. Building APTC capacity in </w:t>
      </w:r>
      <w:r w:rsidR="0029564A">
        <w:rPr>
          <w:rFonts w:cs="Arial"/>
        </w:rPr>
        <w:t xml:space="preserve">appropriate </w:t>
      </w:r>
      <w:r w:rsidRPr="00E12183">
        <w:rPr>
          <w:rFonts w:cs="Arial"/>
        </w:rPr>
        <w:t xml:space="preserve">labour market analysis </w:t>
      </w:r>
      <w:r w:rsidR="0029564A" w:rsidRPr="0029564A">
        <w:rPr>
          <w:rFonts w:cs="Arial"/>
        </w:rPr>
        <w:t xml:space="preserve">suited to its requirements </w:t>
      </w:r>
      <w:r w:rsidRPr="00E12183">
        <w:rPr>
          <w:rFonts w:cs="Arial"/>
        </w:rPr>
        <w:t xml:space="preserve">may require additional resources and expertise.  </w:t>
      </w:r>
    </w:p>
    <w:p w14:paraId="4EB47B2B" w14:textId="4751723A" w:rsidR="00EF59E3" w:rsidRPr="00E12183" w:rsidRDefault="00EF59E3" w:rsidP="00EF0477">
      <w:pPr>
        <w:pStyle w:val="Heading2"/>
      </w:pPr>
      <w:bookmarkStart w:id="47" w:name="_Toc278710521"/>
      <w:r w:rsidRPr="00E12183">
        <w:t>Equitable provision of AP</w:t>
      </w:r>
      <w:r w:rsidR="00D97E5B">
        <w:t>T</w:t>
      </w:r>
      <w:r w:rsidRPr="00E12183">
        <w:t>C services</w:t>
      </w:r>
      <w:bookmarkEnd w:id="47"/>
    </w:p>
    <w:p w14:paraId="2200A355" w14:textId="2C137423" w:rsidR="00240F5A" w:rsidRDefault="00534925" w:rsidP="00EF59E3">
      <w:pPr>
        <w:rPr>
          <w:rFonts w:cs="Arial"/>
        </w:rPr>
      </w:pPr>
      <w:r>
        <w:rPr>
          <w:rFonts w:cs="Arial"/>
        </w:rPr>
        <w:t xml:space="preserve">APTC has been </w:t>
      </w:r>
      <w:r w:rsidR="00EF59E3" w:rsidRPr="00E12183">
        <w:rPr>
          <w:rFonts w:cs="Arial"/>
        </w:rPr>
        <w:t xml:space="preserve">largely successful in satisfying equity goals, with some exceptions. </w:t>
      </w:r>
      <w:r w:rsidR="00C84B4C" w:rsidRPr="00E12183">
        <w:rPr>
          <w:rFonts w:cs="Arial"/>
        </w:rPr>
        <w:t>It</w:t>
      </w:r>
      <w:r w:rsidR="00C84B4C">
        <w:rPr>
          <w:rFonts w:cs="Arial"/>
        </w:rPr>
        <w:t> </w:t>
      </w:r>
      <w:r w:rsidR="00EF59E3" w:rsidRPr="00E12183">
        <w:rPr>
          <w:rFonts w:cs="Arial"/>
        </w:rPr>
        <w:t xml:space="preserve">uniquely provides second chance opportunities for workers to </w:t>
      </w:r>
      <w:r w:rsidR="00A74F92">
        <w:rPr>
          <w:rFonts w:cs="Arial"/>
        </w:rPr>
        <w:t xml:space="preserve">acquire occupational qualifications </w:t>
      </w:r>
      <w:r w:rsidR="00EF59E3" w:rsidRPr="00E12183">
        <w:rPr>
          <w:rFonts w:cs="Arial"/>
        </w:rPr>
        <w:t xml:space="preserve">based, not on educational </w:t>
      </w:r>
      <w:r w:rsidR="0001251E">
        <w:rPr>
          <w:rFonts w:cs="Arial"/>
        </w:rPr>
        <w:t>attainment</w:t>
      </w:r>
      <w:r w:rsidR="00EF59E3" w:rsidRPr="00E12183">
        <w:rPr>
          <w:rFonts w:cs="Arial"/>
        </w:rPr>
        <w:t xml:space="preserve">, but </w:t>
      </w:r>
      <w:r w:rsidR="00624A74">
        <w:rPr>
          <w:rFonts w:cs="Arial"/>
        </w:rPr>
        <w:t xml:space="preserve">on </w:t>
      </w:r>
      <w:r w:rsidR="00EF59E3" w:rsidRPr="00E12183">
        <w:rPr>
          <w:rFonts w:cs="Arial"/>
        </w:rPr>
        <w:t>recognition of prior learning and experience. APTC collects no data on income level of those admitted, but location can be used as a proxy. Two campus countries (PNG and Samoa) do particularly well in enrolling students from remote and rural areas. Applicants from small island states tend to be well covered in proportion to their populations</w:t>
      </w:r>
      <w:r w:rsidR="000D6784">
        <w:rPr>
          <w:rFonts w:cs="Arial"/>
        </w:rPr>
        <w:t xml:space="preserve"> and constitute about a tenth of cumulative enrolment to mid-2014</w:t>
      </w:r>
      <w:r w:rsidR="00EF59E3" w:rsidRPr="00E12183">
        <w:rPr>
          <w:rFonts w:cs="Arial"/>
        </w:rPr>
        <w:t xml:space="preserve">. </w:t>
      </w:r>
      <w:r w:rsidR="000D6784">
        <w:rPr>
          <w:rFonts w:cs="Arial"/>
        </w:rPr>
        <w:t xml:space="preserve">They obtain qualifications through APTC at </w:t>
      </w:r>
      <w:r w:rsidR="00C84B4C">
        <w:rPr>
          <w:rFonts w:cs="Arial"/>
        </w:rPr>
        <w:t>C</w:t>
      </w:r>
      <w:r w:rsidR="000D6784">
        <w:rPr>
          <w:rFonts w:cs="Arial"/>
        </w:rPr>
        <w:t xml:space="preserve">ertificate III and above that they could not in country. </w:t>
      </w:r>
      <w:r w:rsidR="00EF59E3" w:rsidRPr="00E12183">
        <w:rPr>
          <w:rFonts w:cs="Arial"/>
        </w:rPr>
        <w:t>However, PNG is well below the norm for enrolment in relation to population</w:t>
      </w:r>
      <w:r w:rsidR="000D6784">
        <w:rPr>
          <w:rFonts w:cs="Arial"/>
        </w:rPr>
        <w:t xml:space="preserve">, </w:t>
      </w:r>
      <w:r w:rsidR="00911DDF">
        <w:rPr>
          <w:rFonts w:cs="Arial"/>
        </w:rPr>
        <w:t>in part because programs had to be deferred at the start of Stage II owing to staff attrition from changes in terms of employment</w:t>
      </w:r>
      <w:r w:rsidR="00706639">
        <w:rPr>
          <w:rFonts w:cs="Arial"/>
        </w:rPr>
        <w:t>.</w:t>
      </w:r>
      <w:r w:rsidR="00911DDF">
        <w:rPr>
          <w:rFonts w:cs="Arial"/>
        </w:rPr>
        <w:t xml:space="preserve"> </w:t>
      </w:r>
      <w:r w:rsidR="00EF59E3" w:rsidRPr="00E12183">
        <w:rPr>
          <w:rFonts w:cs="Arial"/>
        </w:rPr>
        <w:t>The Solomon Islands scores low on the same indicator</w:t>
      </w:r>
      <w:r w:rsidR="002D43FE">
        <w:rPr>
          <w:rFonts w:cs="Arial"/>
        </w:rPr>
        <w:t xml:space="preserve"> because of </w:t>
      </w:r>
      <w:r w:rsidR="00706639">
        <w:rPr>
          <w:rFonts w:cs="Arial"/>
        </w:rPr>
        <w:t xml:space="preserve">a </w:t>
      </w:r>
      <w:r w:rsidR="00A7704E">
        <w:rPr>
          <w:rFonts w:cs="Arial"/>
        </w:rPr>
        <w:t xml:space="preserve">comparatively </w:t>
      </w:r>
      <w:r w:rsidR="002D43FE">
        <w:rPr>
          <w:rFonts w:cs="Arial"/>
        </w:rPr>
        <w:t>weak supply of trainees and lack of in-country training until recently</w:t>
      </w:r>
      <w:r w:rsidR="00EF59E3" w:rsidRPr="00E12183">
        <w:rPr>
          <w:rFonts w:cs="Arial"/>
        </w:rPr>
        <w:t xml:space="preserve">. </w:t>
      </w:r>
      <w:r w:rsidR="00464728">
        <w:rPr>
          <w:rFonts w:cs="Arial"/>
        </w:rPr>
        <w:t xml:space="preserve">(Annex 6, section 3) </w:t>
      </w:r>
      <w:r w:rsidR="00EF59E3" w:rsidRPr="00E12183">
        <w:rPr>
          <w:rFonts w:cs="Arial"/>
        </w:rPr>
        <w:t xml:space="preserve">These facts point to the importance of the expansion of service delivery for nationals of those two countries. </w:t>
      </w:r>
    </w:p>
    <w:p w14:paraId="403E2E40" w14:textId="5E34B260" w:rsidR="002568B3" w:rsidRDefault="00766B3F" w:rsidP="00EF59E3">
      <w:pPr>
        <w:rPr>
          <w:rFonts w:cs="Arial"/>
        </w:rPr>
      </w:pPr>
      <w:r w:rsidRPr="00766B3F">
        <w:rPr>
          <w:rFonts w:cs="Arial"/>
        </w:rPr>
        <w:t xml:space="preserve">APTC has a strong commitment to gender equality </w:t>
      </w:r>
      <w:r>
        <w:rPr>
          <w:rFonts w:cs="Arial"/>
        </w:rPr>
        <w:t xml:space="preserve">and has important achievements to show for it. </w:t>
      </w:r>
      <w:r w:rsidR="00EF59E3" w:rsidRPr="00E12183">
        <w:rPr>
          <w:rFonts w:cs="Arial"/>
        </w:rPr>
        <w:t>The training of women tends to be constrained by family responsibilities, but they have still accounted for 38 per cent of enrolments (42 per cent in Stage II) and 42 per cent of graduates to date. Females are also more likely to complete their qualifications than males</w:t>
      </w:r>
      <w:r w:rsidR="004B5B7E">
        <w:rPr>
          <w:rFonts w:cs="Arial"/>
        </w:rPr>
        <w:t>,</w:t>
      </w:r>
      <w:r w:rsidR="00EF59E3" w:rsidRPr="00E12183">
        <w:rPr>
          <w:rFonts w:cs="Arial"/>
        </w:rPr>
        <w:t xml:space="preserve"> and have reached a 93 per cent completion rate</w:t>
      </w:r>
      <w:r w:rsidR="00E43AB6">
        <w:rPr>
          <w:rFonts w:cs="Arial"/>
        </w:rPr>
        <w:t>,</w:t>
      </w:r>
      <w:r w:rsidR="00EF59E3" w:rsidRPr="00E12183">
        <w:rPr>
          <w:rFonts w:cs="Arial"/>
        </w:rPr>
        <w:t xml:space="preserve"> compared with 87 per cent for males. Females tend to be concentrated in non-trade qualifications</w:t>
      </w:r>
      <w:r w:rsidR="008F5BD8">
        <w:rPr>
          <w:rFonts w:cs="Arial"/>
        </w:rPr>
        <w:t>, but APTC has achieved success in enrolling women in three non-traditional occupations</w:t>
      </w:r>
      <w:r w:rsidR="00EF59E3" w:rsidRPr="00E12183">
        <w:rPr>
          <w:rFonts w:cs="Arial"/>
        </w:rPr>
        <w:t xml:space="preserve">. </w:t>
      </w:r>
      <w:r w:rsidR="008F5BD8" w:rsidRPr="008F5BD8">
        <w:rPr>
          <w:rFonts w:cs="Arial"/>
        </w:rPr>
        <w:t>Females constituted 34 per cent of total enrolments to mid-2014 in commercial cookery, 43 per cent in painting/decorating and 40 per cent in wall and floor tiling</w:t>
      </w:r>
      <w:r w:rsidR="008F5BD8">
        <w:rPr>
          <w:rFonts w:cs="Arial"/>
        </w:rPr>
        <w:t xml:space="preserve"> (</w:t>
      </w:r>
      <w:r w:rsidR="009D3C44" w:rsidRPr="00766B3F">
        <w:rPr>
          <w:rFonts w:cs="Arial"/>
        </w:rPr>
        <w:t>Annex 6</w:t>
      </w:r>
      <w:r w:rsidR="009D3C44">
        <w:rPr>
          <w:rFonts w:cs="Arial"/>
        </w:rPr>
        <w:t xml:space="preserve"> section 3, </w:t>
      </w:r>
      <w:r w:rsidR="008412E7">
        <w:rPr>
          <w:rFonts w:cs="Arial"/>
        </w:rPr>
        <w:t xml:space="preserve">also </w:t>
      </w:r>
      <w:r w:rsidR="008F5BD8" w:rsidRPr="00F21DF6">
        <w:rPr>
          <w:rFonts w:cs="Arial"/>
        </w:rPr>
        <w:t xml:space="preserve">Annex 4, section 4.3). </w:t>
      </w:r>
    </w:p>
    <w:p w14:paraId="025FE93F" w14:textId="157C6286" w:rsidR="002568B3" w:rsidRDefault="00D827B5" w:rsidP="00EF59E3">
      <w:pPr>
        <w:rPr>
          <w:rFonts w:cs="Arial"/>
        </w:rPr>
      </w:pPr>
      <w:r w:rsidRPr="00F21DF6">
        <w:rPr>
          <w:rFonts w:cs="Arial"/>
        </w:rPr>
        <w:t>Disaggregated data are lacking on the labour market outcomes of female graduates</w:t>
      </w:r>
      <w:r w:rsidR="0029564A">
        <w:rPr>
          <w:rFonts w:cs="Arial"/>
        </w:rPr>
        <w:t xml:space="preserve"> from the annual tracer surveys</w:t>
      </w:r>
      <w:r w:rsidRPr="00F21DF6">
        <w:rPr>
          <w:rFonts w:cs="Arial"/>
        </w:rPr>
        <w:t xml:space="preserve">. </w:t>
      </w:r>
      <w:r w:rsidR="00F21DF6" w:rsidRPr="002F6B94">
        <w:rPr>
          <w:rFonts w:cs="Arial"/>
        </w:rPr>
        <w:t xml:space="preserve">However, </w:t>
      </w:r>
      <w:r w:rsidR="005409D7">
        <w:rPr>
          <w:rFonts w:cs="Arial"/>
        </w:rPr>
        <w:t xml:space="preserve">the </w:t>
      </w:r>
      <w:r w:rsidR="00F21DF6" w:rsidRPr="002F6B94">
        <w:rPr>
          <w:rFonts w:cs="Arial"/>
        </w:rPr>
        <w:t xml:space="preserve">findings </w:t>
      </w:r>
      <w:r w:rsidR="005409D7">
        <w:rPr>
          <w:rFonts w:cs="Arial"/>
        </w:rPr>
        <w:t xml:space="preserve">that are available </w:t>
      </w:r>
      <w:r w:rsidR="0029564A">
        <w:rPr>
          <w:rFonts w:cs="Arial"/>
        </w:rPr>
        <w:t xml:space="preserve">for Stage I graduates from the NCVER survey </w:t>
      </w:r>
      <w:r w:rsidR="00F21DF6" w:rsidRPr="002F6B94">
        <w:rPr>
          <w:rFonts w:cs="Arial"/>
        </w:rPr>
        <w:t xml:space="preserve">suggest </w:t>
      </w:r>
      <w:r w:rsidR="005409D7">
        <w:rPr>
          <w:rFonts w:cs="Arial"/>
        </w:rPr>
        <w:t xml:space="preserve">mixed results. On </w:t>
      </w:r>
      <w:r w:rsidR="0029564A">
        <w:rPr>
          <w:rFonts w:cs="Arial"/>
        </w:rPr>
        <w:t xml:space="preserve">the </w:t>
      </w:r>
      <w:r w:rsidR="005409D7">
        <w:rPr>
          <w:rFonts w:cs="Arial"/>
        </w:rPr>
        <w:t>one hand</w:t>
      </w:r>
      <w:r w:rsidR="0029564A">
        <w:rPr>
          <w:rFonts w:cs="Arial"/>
        </w:rPr>
        <w:t>,</w:t>
      </w:r>
      <w:r w:rsidR="005409D7">
        <w:rPr>
          <w:rFonts w:cs="Arial"/>
        </w:rPr>
        <w:t xml:space="preserve"> </w:t>
      </w:r>
      <w:r w:rsidR="002F6B94" w:rsidRPr="002F6B94">
        <w:rPr>
          <w:rFonts w:cs="Arial"/>
        </w:rPr>
        <w:t>female</w:t>
      </w:r>
      <w:r w:rsidR="005409D7">
        <w:rPr>
          <w:rFonts w:cs="Arial"/>
        </w:rPr>
        <w:t xml:space="preserve"> graduates </w:t>
      </w:r>
      <w:r w:rsidR="002568B3" w:rsidRPr="002568B3">
        <w:rPr>
          <w:rFonts w:cs="Arial"/>
        </w:rPr>
        <w:t>were more likely to say they had benefited in some way from their APTC qualification compared with male graduates. Some 96 per cent of female APTC graduates said they received a benefit, compared with 87 per cent of male graduates. These benefits ranged from getting a job, setting up their own business, getting a promotion or an increase in earnings.</w:t>
      </w:r>
      <w:r w:rsidR="002568B3">
        <w:rPr>
          <w:rFonts w:cs="Arial"/>
        </w:rPr>
        <w:t xml:space="preserve"> </w:t>
      </w:r>
    </w:p>
    <w:p w14:paraId="552C6308" w14:textId="1BA71CBE" w:rsidR="00D827B5" w:rsidRPr="00F21DF6" w:rsidRDefault="005409D7" w:rsidP="00EF59E3">
      <w:pPr>
        <w:rPr>
          <w:rFonts w:cs="Arial"/>
        </w:rPr>
      </w:pPr>
      <w:r>
        <w:rPr>
          <w:rFonts w:cs="Arial"/>
        </w:rPr>
        <w:t xml:space="preserve">On the other hand, women are concentrated in the community services sector that has higher rates of unemployment. However, </w:t>
      </w:r>
      <w:r w:rsidR="002568B3">
        <w:rPr>
          <w:rFonts w:cs="Arial"/>
        </w:rPr>
        <w:t>s</w:t>
      </w:r>
      <w:r w:rsidR="002568B3" w:rsidRPr="002568B3">
        <w:rPr>
          <w:rFonts w:cs="Arial"/>
        </w:rPr>
        <w:t>everal graduates in the focus groups stated that</w:t>
      </w:r>
      <w:r w:rsidR="001D354D">
        <w:rPr>
          <w:rFonts w:cs="Arial"/>
        </w:rPr>
        <w:t>,</w:t>
      </w:r>
      <w:r w:rsidR="002568B3" w:rsidRPr="002568B3">
        <w:rPr>
          <w:rFonts w:cs="Arial"/>
        </w:rPr>
        <w:t xml:space="preserve"> </w:t>
      </w:r>
      <w:r w:rsidR="002568B3">
        <w:rPr>
          <w:rFonts w:cs="Arial"/>
        </w:rPr>
        <w:t xml:space="preserve">while </w:t>
      </w:r>
      <w:r w:rsidR="002568B3" w:rsidRPr="002568B3">
        <w:rPr>
          <w:rFonts w:cs="Arial"/>
        </w:rPr>
        <w:t xml:space="preserve">they were strictly speaking unemployed, they had commenced or resumed volunteer work in their communities which was contributing to the strengthening of those communities. Much of this involved working with churches or NGOs and was considered by the graduates to be a successful outcome. </w:t>
      </w:r>
      <w:r w:rsidR="00F21DF6" w:rsidRPr="002F6B94">
        <w:rPr>
          <w:rFonts w:cs="Arial"/>
        </w:rPr>
        <w:t>(</w:t>
      </w:r>
      <w:r w:rsidR="002F6B94">
        <w:rPr>
          <w:rFonts w:cs="Arial"/>
        </w:rPr>
        <w:t xml:space="preserve">See </w:t>
      </w:r>
      <w:r w:rsidR="00F21DF6" w:rsidRPr="002F6B94">
        <w:rPr>
          <w:rFonts w:cs="Arial"/>
        </w:rPr>
        <w:t>Annex 6, section 3</w:t>
      </w:r>
      <w:r w:rsidR="002F6B94">
        <w:rPr>
          <w:rFonts w:cs="Arial"/>
        </w:rPr>
        <w:t xml:space="preserve"> for details</w:t>
      </w:r>
      <w:r w:rsidR="00F21DF6" w:rsidRPr="002F6B94">
        <w:rPr>
          <w:rFonts w:cs="Arial"/>
        </w:rPr>
        <w:t xml:space="preserve">.) </w:t>
      </w:r>
    </w:p>
    <w:p w14:paraId="7CE60925" w14:textId="015CB5F1" w:rsidR="00EF59E3" w:rsidRPr="00766B3F" w:rsidRDefault="00EF59E3" w:rsidP="00EF59E3">
      <w:pPr>
        <w:rPr>
          <w:rFonts w:cs="Arial"/>
        </w:rPr>
      </w:pPr>
      <w:r w:rsidRPr="00715447">
        <w:rPr>
          <w:rFonts w:cs="Arial"/>
        </w:rPr>
        <w:t xml:space="preserve">APTC is also making a contribution to improved support for people with disabilities </w:t>
      </w:r>
      <w:r w:rsidR="00AB04C2">
        <w:rPr>
          <w:rFonts w:cs="Arial"/>
        </w:rPr>
        <w:t xml:space="preserve">in two ways. First, it offers </w:t>
      </w:r>
      <w:r w:rsidRPr="00715447">
        <w:rPr>
          <w:rFonts w:cs="Arial"/>
        </w:rPr>
        <w:t>two qualific</w:t>
      </w:r>
      <w:r w:rsidRPr="00643AC2">
        <w:rPr>
          <w:rFonts w:cs="Arial"/>
        </w:rPr>
        <w:t xml:space="preserve">ations in disability that have enrolled more than </w:t>
      </w:r>
      <w:r w:rsidR="00C84B4C" w:rsidRPr="00643AC2">
        <w:rPr>
          <w:rFonts w:cs="Arial"/>
        </w:rPr>
        <w:lastRenderedPageBreak/>
        <w:t>150</w:t>
      </w:r>
      <w:r w:rsidR="00C84B4C">
        <w:rPr>
          <w:rFonts w:cs="Arial"/>
        </w:rPr>
        <w:t> </w:t>
      </w:r>
      <w:r w:rsidRPr="00643AC2">
        <w:rPr>
          <w:rFonts w:cs="Arial"/>
        </w:rPr>
        <w:t>students.</w:t>
      </w:r>
      <w:r w:rsidR="008F5BD8" w:rsidRPr="00643AC2">
        <w:rPr>
          <w:rFonts w:cs="Arial"/>
        </w:rPr>
        <w:t xml:space="preserve"> </w:t>
      </w:r>
      <w:r w:rsidR="00AB04C2">
        <w:rPr>
          <w:rFonts w:cs="Arial"/>
        </w:rPr>
        <w:t>Second, it has enrolled 56 students with disabilities, or</w:t>
      </w:r>
      <w:r w:rsidR="00554139" w:rsidRPr="00D7205B">
        <w:rPr>
          <w:rFonts w:cs="Arial"/>
        </w:rPr>
        <w:t xml:space="preserve"> 0.6 per cent of cumulative APTC enrolments</w:t>
      </w:r>
      <w:r w:rsidR="00554139" w:rsidRPr="00C86D56">
        <w:rPr>
          <w:rFonts w:cs="Arial"/>
        </w:rPr>
        <w:t xml:space="preserve">. </w:t>
      </w:r>
      <w:r w:rsidR="00AB04C2">
        <w:rPr>
          <w:rFonts w:cs="Arial"/>
        </w:rPr>
        <w:t xml:space="preserve">On the surface, this level of enrolment of students with disabilities </w:t>
      </w:r>
      <w:r w:rsidR="005267C4" w:rsidRPr="002E3F9C">
        <w:rPr>
          <w:rFonts w:cs="Arial"/>
        </w:rPr>
        <w:t>seems low</w:t>
      </w:r>
      <w:r w:rsidR="00C84B4C">
        <w:rPr>
          <w:rFonts w:cs="Arial"/>
        </w:rPr>
        <w:t>,</w:t>
      </w:r>
      <w:r w:rsidR="0007405C">
        <w:rPr>
          <w:rStyle w:val="FootnoteReference"/>
          <w:rFonts w:cs="Arial"/>
        </w:rPr>
        <w:footnoteReference w:id="31"/>
      </w:r>
      <w:r w:rsidR="005267C4" w:rsidRPr="002E3F9C">
        <w:rPr>
          <w:rFonts w:cs="Arial"/>
        </w:rPr>
        <w:t xml:space="preserve"> but i</w:t>
      </w:r>
      <w:r w:rsidR="00554139" w:rsidRPr="002E3F9C">
        <w:rPr>
          <w:rFonts w:cs="Arial"/>
        </w:rPr>
        <w:t xml:space="preserve">t is difficult to assess </w:t>
      </w:r>
      <w:r w:rsidR="000705BF" w:rsidRPr="00DE3CF8">
        <w:rPr>
          <w:rFonts w:cs="Arial"/>
        </w:rPr>
        <w:t xml:space="preserve">the adequacy of this </w:t>
      </w:r>
      <w:r w:rsidR="00554139" w:rsidRPr="00766B3F">
        <w:rPr>
          <w:rFonts w:cs="Arial"/>
        </w:rPr>
        <w:t xml:space="preserve">performance in the absence of </w:t>
      </w:r>
      <w:r w:rsidR="003346AA">
        <w:rPr>
          <w:rFonts w:cs="Arial"/>
        </w:rPr>
        <w:t xml:space="preserve">measures of disability </w:t>
      </w:r>
      <w:r w:rsidR="00554139" w:rsidRPr="00766B3F">
        <w:rPr>
          <w:rFonts w:cs="Arial"/>
        </w:rPr>
        <w:t>by country.</w:t>
      </w:r>
    </w:p>
    <w:p w14:paraId="4066C642" w14:textId="53EBA76A" w:rsidR="00A94770" w:rsidRDefault="00A94770" w:rsidP="00EF59E3">
      <w:pPr>
        <w:rPr>
          <w:rFonts w:cs="Arial"/>
          <w:szCs w:val="22"/>
          <w:lang w:val="en" w:eastAsia="en-AU"/>
        </w:rPr>
      </w:pPr>
      <w:r w:rsidRPr="00EF3306">
        <w:rPr>
          <w:rFonts w:cs="Arial"/>
        </w:rPr>
        <w:t xml:space="preserve">The </w:t>
      </w:r>
      <w:r w:rsidRPr="00A94770">
        <w:rPr>
          <w:rFonts w:cs="Arial"/>
        </w:rPr>
        <w:t xml:space="preserve">evaluation team was also asked to review the effectiveness of bridging programs and </w:t>
      </w:r>
      <w:r w:rsidR="00F60035" w:rsidRPr="00F60035">
        <w:rPr>
          <w:rFonts w:cs="Arial"/>
          <w:szCs w:val="22"/>
          <w:lang w:val="en-GB" w:eastAsia="en-GB"/>
        </w:rPr>
        <w:t xml:space="preserve">English language, literacy and numeracy </w:t>
      </w:r>
      <w:r w:rsidR="00F60035">
        <w:rPr>
          <w:rFonts w:cs="Arial"/>
        </w:rPr>
        <w:t>(</w:t>
      </w:r>
      <w:r w:rsidRPr="00A94770">
        <w:rPr>
          <w:rFonts w:cs="Arial"/>
        </w:rPr>
        <w:t>ELLN</w:t>
      </w:r>
      <w:r w:rsidR="00F60035">
        <w:rPr>
          <w:rFonts w:cs="Arial"/>
        </w:rPr>
        <w:t>)</w:t>
      </w:r>
      <w:r w:rsidRPr="00A94770">
        <w:rPr>
          <w:rFonts w:cs="Arial"/>
        </w:rPr>
        <w:t xml:space="preserve"> in promoting greater equity. The </w:t>
      </w:r>
      <w:r w:rsidRPr="00EF3306">
        <w:rPr>
          <w:rFonts w:cs="Arial"/>
        </w:rPr>
        <w:t xml:space="preserve">APTC program has shifted from seeking to improve the skills of potential applicants prior to application to an integrated model. The integrated model is based on the finding that adults learn </w:t>
      </w:r>
      <w:r w:rsidRPr="00A94770">
        <w:rPr>
          <w:rFonts w:cs="Arial"/>
        </w:rPr>
        <w:t>E</w:t>
      </w:r>
      <w:r w:rsidRPr="00EF3306">
        <w:rPr>
          <w:rFonts w:cs="Arial"/>
        </w:rPr>
        <w:t xml:space="preserve">LLN best in a context, i.e. as part of the vocational training and development. So the emphasis, rather than on bridging, is now on upgrading the LLN skills of trainees after admission and during training. The initial </w:t>
      </w:r>
      <w:r w:rsidRPr="00A94770">
        <w:rPr>
          <w:rFonts w:cs="Arial"/>
        </w:rPr>
        <w:t>E</w:t>
      </w:r>
      <w:r w:rsidRPr="00EF3306">
        <w:rPr>
          <w:rFonts w:cs="Arial"/>
        </w:rPr>
        <w:t xml:space="preserve">LLN assessment scores are aligned to the Australian Core Skills Framework </w:t>
      </w:r>
      <w:r w:rsidR="000022F4">
        <w:rPr>
          <w:rFonts w:cs="Arial"/>
        </w:rPr>
        <w:t>–</w:t>
      </w:r>
      <w:r w:rsidRPr="00EF3306">
        <w:rPr>
          <w:rFonts w:cs="Arial"/>
        </w:rPr>
        <w:t xml:space="preserve"> </w:t>
      </w:r>
      <w:r w:rsidRPr="00EF3306">
        <w:rPr>
          <w:rFonts w:cs="Arial"/>
          <w:szCs w:val="22"/>
          <w:lang w:val="en" w:eastAsia="en-AU"/>
        </w:rPr>
        <w:t xml:space="preserve">a comprehensive diagnostic tool designed to assist </w:t>
      </w:r>
      <w:r w:rsidRPr="00A94770">
        <w:rPr>
          <w:rFonts w:cs="Arial"/>
          <w:szCs w:val="22"/>
          <w:lang w:val="en" w:eastAsia="en-AU"/>
        </w:rPr>
        <w:t>E</w:t>
      </w:r>
      <w:r w:rsidRPr="00EF3306">
        <w:rPr>
          <w:rFonts w:cs="Arial"/>
          <w:szCs w:val="22"/>
          <w:lang w:val="en" w:eastAsia="en-AU"/>
        </w:rPr>
        <w:t xml:space="preserve">LLN practitioners describe an individual’s performance in the five core skills of learning, reading, writing, oral communication and numeracy. This ensures that </w:t>
      </w:r>
      <w:r w:rsidRPr="00A94770">
        <w:rPr>
          <w:rFonts w:cs="Arial"/>
          <w:szCs w:val="22"/>
          <w:lang w:val="en" w:eastAsia="en-AU"/>
        </w:rPr>
        <w:t>E</w:t>
      </w:r>
      <w:r w:rsidRPr="00EF3306">
        <w:rPr>
          <w:rFonts w:cs="Arial"/>
          <w:szCs w:val="22"/>
          <w:lang w:val="en" w:eastAsia="en-AU"/>
        </w:rPr>
        <w:t xml:space="preserve">LLN support is </w:t>
      </w:r>
      <w:r w:rsidR="00B6354E">
        <w:rPr>
          <w:rFonts w:cs="Arial"/>
          <w:szCs w:val="22"/>
          <w:lang w:val="en" w:eastAsia="en-AU"/>
        </w:rPr>
        <w:t xml:space="preserve">tailored to individual student needs </w:t>
      </w:r>
      <w:r w:rsidRPr="00EF3306">
        <w:rPr>
          <w:rFonts w:cs="Arial"/>
          <w:szCs w:val="22"/>
          <w:lang w:val="en" w:eastAsia="en-AU"/>
        </w:rPr>
        <w:t>and available at the commencement of each class.</w:t>
      </w:r>
      <w:r w:rsidRPr="00EF3306">
        <w:t xml:space="preserve"> </w:t>
      </w:r>
      <w:r w:rsidRPr="00EF3306">
        <w:rPr>
          <w:rFonts w:cs="Arial"/>
          <w:szCs w:val="22"/>
          <w:lang w:val="en" w:eastAsia="en-AU"/>
        </w:rPr>
        <w:t>High overall completion rates to strict standards</w:t>
      </w:r>
      <w:r w:rsidRPr="00A94770">
        <w:rPr>
          <w:rFonts w:cs="Arial"/>
          <w:szCs w:val="22"/>
          <w:lang w:val="en" w:eastAsia="en-AU"/>
        </w:rPr>
        <w:t>, particularly for females,</w:t>
      </w:r>
      <w:r w:rsidRPr="00EF3306">
        <w:rPr>
          <w:rFonts w:cs="Arial"/>
          <w:szCs w:val="22"/>
          <w:lang w:val="en" w:eastAsia="en-AU"/>
        </w:rPr>
        <w:t xml:space="preserve"> attest to the success of the LLN program.</w:t>
      </w:r>
      <w:r w:rsidRPr="00A94770">
        <w:rPr>
          <w:rFonts w:cs="Arial"/>
          <w:szCs w:val="22"/>
          <w:lang w:val="en" w:eastAsia="en-AU"/>
        </w:rPr>
        <w:t xml:space="preserve"> (Annex 6, section 3)</w:t>
      </w:r>
    </w:p>
    <w:p w14:paraId="13E50C98" w14:textId="1889C549" w:rsidR="00F21DF6" w:rsidRPr="00A74F92" w:rsidRDefault="00F21DF6" w:rsidP="00EF59E3">
      <w:pPr>
        <w:rPr>
          <w:rFonts w:cs="Arial"/>
        </w:rPr>
      </w:pPr>
      <w:r w:rsidRPr="007C10A7">
        <w:rPr>
          <w:rFonts w:cs="Arial"/>
        </w:rPr>
        <w:t>In sum, except for cases mentioned</w:t>
      </w:r>
      <w:r w:rsidR="000022F4">
        <w:rPr>
          <w:rFonts w:cs="Arial"/>
        </w:rPr>
        <w:t>,</w:t>
      </w:r>
      <w:r w:rsidRPr="007C10A7">
        <w:rPr>
          <w:rFonts w:cs="Arial"/>
        </w:rPr>
        <w:t xml:space="preserve"> </w:t>
      </w:r>
      <w:r w:rsidRPr="005409D7">
        <w:rPr>
          <w:rFonts w:cs="Arial"/>
        </w:rPr>
        <w:t xml:space="preserve">APTC has done well in promoting equitable access geographically and by gender. </w:t>
      </w:r>
      <w:r w:rsidRPr="00DF7C96">
        <w:rPr>
          <w:rFonts w:eastAsia="Calibri" w:cs="Arial"/>
          <w:szCs w:val="22"/>
        </w:rPr>
        <w:t xml:space="preserve">APTC cannot do much </w:t>
      </w:r>
      <w:r w:rsidR="00444495" w:rsidRPr="00DF7C96">
        <w:rPr>
          <w:rFonts w:eastAsia="Calibri" w:cs="Arial"/>
          <w:szCs w:val="22"/>
        </w:rPr>
        <w:t xml:space="preserve">more </w:t>
      </w:r>
      <w:r w:rsidRPr="00DF7C96">
        <w:rPr>
          <w:rFonts w:eastAsia="Calibri" w:cs="Arial"/>
          <w:szCs w:val="22"/>
        </w:rPr>
        <w:t xml:space="preserve">to increase the demand for women in many of the trades </w:t>
      </w:r>
      <w:r w:rsidR="00444495" w:rsidRPr="00DF7C96">
        <w:rPr>
          <w:rFonts w:eastAsia="Calibri" w:cs="Arial"/>
          <w:szCs w:val="22"/>
        </w:rPr>
        <w:t xml:space="preserve">given prevailing </w:t>
      </w:r>
      <w:r w:rsidRPr="00DF7C96">
        <w:rPr>
          <w:rFonts w:eastAsia="Calibri" w:cs="Arial"/>
          <w:szCs w:val="22"/>
        </w:rPr>
        <w:t>gender stereotypes in the Pacific (and elsewhere)</w:t>
      </w:r>
      <w:r w:rsidR="00444495" w:rsidRPr="00DF7C96">
        <w:rPr>
          <w:rFonts w:eastAsia="Calibri" w:cs="Arial"/>
          <w:szCs w:val="22"/>
        </w:rPr>
        <w:t xml:space="preserve">, but it has succeeded in </w:t>
      </w:r>
      <w:r w:rsidR="00F84612" w:rsidRPr="00DF7C96">
        <w:rPr>
          <w:rFonts w:eastAsia="Calibri" w:cs="Arial"/>
          <w:szCs w:val="22"/>
        </w:rPr>
        <w:t>building female participation in several non-traditional fields</w:t>
      </w:r>
      <w:r w:rsidRPr="00DF7C96">
        <w:rPr>
          <w:rFonts w:eastAsia="Calibri" w:cs="Arial"/>
          <w:szCs w:val="22"/>
        </w:rPr>
        <w:t>.</w:t>
      </w:r>
      <w:r w:rsidR="002F6B94" w:rsidRPr="00DF7C96">
        <w:rPr>
          <w:rFonts w:eastAsia="Calibri" w:cs="Arial"/>
          <w:szCs w:val="22"/>
        </w:rPr>
        <w:t xml:space="preserve"> </w:t>
      </w:r>
      <w:r w:rsidRPr="00DF7C96">
        <w:rPr>
          <w:rFonts w:eastAsia="Calibri" w:cs="Arial"/>
          <w:szCs w:val="22"/>
        </w:rPr>
        <w:t xml:space="preserve">APTC could perhaps do more to address income or disability barriers to enrolment, but it is difficult to analyse the current situation in the absence of information. </w:t>
      </w:r>
      <w:r w:rsidR="00F84612" w:rsidRPr="00DF7C96">
        <w:rPr>
          <w:rFonts w:eastAsia="Calibri" w:cs="Arial"/>
          <w:szCs w:val="22"/>
        </w:rPr>
        <w:t>As stated throughout this report, m</w:t>
      </w:r>
      <w:r w:rsidR="00490290" w:rsidRPr="00DF7C96">
        <w:rPr>
          <w:rFonts w:eastAsia="Calibri" w:cs="Arial"/>
          <w:szCs w:val="22"/>
        </w:rPr>
        <w:t>ore effort should be placed on tracking the labour market outcomes of graduates</w:t>
      </w:r>
      <w:r w:rsidR="00981360" w:rsidRPr="00981360">
        <w:t xml:space="preserve"> </w:t>
      </w:r>
      <w:r w:rsidR="00981360" w:rsidRPr="00981360">
        <w:rPr>
          <w:rFonts w:eastAsia="Calibri" w:cs="Arial"/>
          <w:szCs w:val="22"/>
        </w:rPr>
        <w:t xml:space="preserve">by qualification and </w:t>
      </w:r>
      <w:r w:rsidR="00CA66D1">
        <w:rPr>
          <w:rFonts w:eastAsia="Calibri" w:cs="Arial"/>
          <w:szCs w:val="22"/>
        </w:rPr>
        <w:t xml:space="preserve">nationality. </w:t>
      </w:r>
      <w:r w:rsidR="009D3C44">
        <w:rPr>
          <w:rFonts w:eastAsia="Calibri" w:cs="Arial"/>
          <w:szCs w:val="22"/>
        </w:rPr>
        <w:t>T</w:t>
      </w:r>
      <w:r w:rsidR="00F84612" w:rsidRPr="00DF7C96">
        <w:rPr>
          <w:rFonts w:eastAsia="Calibri" w:cs="Arial"/>
          <w:szCs w:val="22"/>
        </w:rPr>
        <w:t xml:space="preserve">his applies </w:t>
      </w:r>
      <w:r w:rsidR="00490290" w:rsidRPr="00DF7C96">
        <w:rPr>
          <w:rFonts w:eastAsia="Calibri" w:cs="Arial"/>
          <w:szCs w:val="22"/>
        </w:rPr>
        <w:t xml:space="preserve">particularly </w:t>
      </w:r>
      <w:r w:rsidR="00F84612" w:rsidRPr="00DF7C96">
        <w:rPr>
          <w:rFonts w:eastAsia="Calibri" w:cs="Arial"/>
          <w:szCs w:val="22"/>
        </w:rPr>
        <w:t xml:space="preserve">for </w:t>
      </w:r>
      <w:r w:rsidR="00490290" w:rsidRPr="00DF7C96">
        <w:rPr>
          <w:rFonts w:eastAsia="Calibri" w:cs="Arial"/>
          <w:szCs w:val="22"/>
        </w:rPr>
        <w:t>females.</w:t>
      </w:r>
      <w:r w:rsidR="002F6B94" w:rsidRPr="00DF7C96">
        <w:rPr>
          <w:rFonts w:eastAsia="Calibri" w:cs="Arial"/>
          <w:szCs w:val="22"/>
        </w:rPr>
        <w:t xml:space="preserve"> </w:t>
      </w:r>
    </w:p>
    <w:p w14:paraId="1FF9B932" w14:textId="77777777" w:rsidR="00EF59E3" w:rsidRPr="00E12183" w:rsidRDefault="00EF59E3" w:rsidP="00EF0477">
      <w:pPr>
        <w:pStyle w:val="Heading2"/>
      </w:pPr>
      <w:bookmarkStart w:id="48" w:name="_Toc278710522"/>
      <w:r w:rsidRPr="00E12183">
        <w:t>Governance and management</w:t>
      </w:r>
      <w:bookmarkEnd w:id="48"/>
    </w:p>
    <w:p w14:paraId="68056AAD" w14:textId="4A407C72" w:rsidR="00CA66D1" w:rsidRDefault="00CA66D1" w:rsidP="00EF59E3">
      <w:pPr>
        <w:rPr>
          <w:rFonts w:cs="Arial"/>
          <w:bCs/>
        </w:rPr>
      </w:pPr>
      <w:r>
        <w:rPr>
          <w:rFonts w:cs="Arial"/>
          <w:bCs/>
        </w:rPr>
        <w:t xml:space="preserve">In general, the evaluation found strong </w:t>
      </w:r>
      <w:r w:rsidRPr="00CA66D1">
        <w:rPr>
          <w:rFonts w:cs="Arial"/>
          <w:bCs/>
        </w:rPr>
        <w:t>program management in a complex environment both at the centre and in most campus countries</w:t>
      </w:r>
      <w:r>
        <w:rPr>
          <w:rFonts w:cs="Arial"/>
          <w:bCs/>
        </w:rPr>
        <w:t>.</w:t>
      </w:r>
      <w:r w:rsidR="009562E8">
        <w:rPr>
          <w:rFonts w:cs="Arial"/>
          <w:bCs/>
        </w:rPr>
        <w:t xml:space="preserve"> For example</w:t>
      </w:r>
      <w:r>
        <w:rPr>
          <w:rFonts w:cs="Arial"/>
          <w:bCs/>
        </w:rPr>
        <w:t>,</w:t>
      </w:r>
      <w:r w:rsidR="009562E8" w:rsidRPr="009562E8">
        <w:t xml:space="preserve"> </w:t>
      </w:r>
      <w:r w:rsidR="009562E8" w:rsidRPr="009562E8">
        <w:rPr>
          <w:rFonts w:cs="Arial"/>
          <w:bCs/>
        </w:rPr>
        <w:t>APTC has developed sound management information systems which can readily provide the data for analysing value for money</w:t>
      </w:r>
      <w:r w:rsidR="009562E8">
        <w:rPr>
          <w:rFonts w:cs="Arial"/>
          <w:bCs/>
        </w:rPr>
        <w:t xml:space="preserve">. </w:t>
      </w:r>
      <w:r w:rsidR="00A146D5">
        <w:rPr>
          <w:rFonts w:cs="Arial"/>
          <w:bCs/>
        </w:rPr>
        <w:t xml:space="preserve">It has </w:t>
      </w:r>
      <w:r>
        <w:rPr>
          <w:rFonts w:cs="Arial"/>
          <w:bCs/>
        </w:rPr>
        <w:t>met or exceeded its targets on graduates.</w:t>
      </w:r>
      <w:r w:rsidRPr="00CA66D1">
        <w:rPr>
          <w:rFonts w:cs="Arial"/>
          <w:bCs/>
        </w:rPr>
        <w:t xml:space="preserve"> </w:t>
      </w:r>
    </w:p>
    <w:p w14:paraId="3277AE64" w14:textId="214AD387" w:rsidR="00616C77" w:rsidRDefault="00CA66D1" w:rsidP="00DF7C96">
      <w:pPr>
        <w:rPr>
          <w:rFonts w:cs="Arial"/>
          <w:szCs w:val="22"/>
        </w:rPr>
      </w:pPr>
      <w:r>
        <w:rPr>
          <w:rFonts w:cs="Arial"/>
          <w:bCs/>
        </w:rPr>
        <w:t>Still, g</w:t>
      </w:r>
      <w:r w:rsidR="00EF59E3" w:rsidRPr="00E12183">
        <w:rPr>
          <w:rFonts w:cs="Arial"/>
          <w:bCs/>
        </w:rPr>
        <w:t xml:space="preserve">overnance and management arrangements have impeded APTC’s operations. </w:t>
      </w:r>
      <w:r w:rsidR="00EF59E3" w:rsidRPr="00E12183">
        <w:rPr>
          <w:rFonts w:cs="Arial"/>
        </w:rPr>
        <w:t xml:space="preserve">The consortium arrangement, consisting of two </w:t>
      </w:r>
      <w:r w:rsidR="00CB4045">
        <w:rPr>
          <w:rFonts w:cs="Arial"/>
        </w:rPr>
        <w:t>registered training organisations (</w:t>
      </w:r>
      <w:r w:rsidR="00EF59E3" w:rsidRPr="00E12183">
        <w:rPr>
          <w:rFonts w:cs="Arial"/>
        </w:rPr>
        <w:t>RTOs</w:t>
      </w:r>
      <w:r w:rsidR="00CB4045">
        <w:rPr>
          <w:rFonts w:cs="Arial"/>
        </w:rPr>
        <w:t>)</w:t>
      </w:r>
      <w:r w:rsidR="00EF59E3" w:rsidRPr="00E12183">
        <w:rPr>
          <w:rFonts w:cs="Arial"/>
        </w:rPr>
        <w:t xml:space="preserve"> plus GRM, involves costly duplication of functions and personnel, affecting both administrative and educational functions. The organisational structure reflects the consortium arrangements and exhibits the associated inefficiencies. Reporting lines to two institutes require a higher number of corporate and administrative staff than would be required with one RTO. As a result, the structure has elements of duplication and is top-heavy, increasing overhead costs. As both RTOs have all the APTC’s programs on their scope of registration</w:t>
      </w:r>
      <w:r w:rsidR="004445E3">
        <w:rPr>
          <w:rFonts w:cs="Arial"/>
        </w:rPr>
        <w:t xml:space="preserve"> </w:t>
      </w:r>
      <w:r w:rsidR="0075291C">
        <w:rPr>
          <w:rFonts w:cs="Arial"/>
        </w:rPr>
        <w:t xml:space="preserve">and the program is well </w:t>
      </w:r>
      <w:r w:rsidR="004445E3" w:rsidRPr="004445E3">
        <w:rPr>
          <w:rFonts w:cs="Arial"/>
        </w:rPr>
        <w:t>established,</w:t>
      </w:r>
      <w:r w:rsidR="004445E3">
        <w:rPr>
          <w:rFonts w:cs="Arial"/>
        </w:rPr>
        <w:t xml:space="preserve"> </w:t>
      </w:r>
      <w:r w:rsidR="00EF59E3" w:rsidRPr="00E12183">
        <w:rPr>
          <w:rFonts w:cs="Arial"/>
        </w:rPr>
        <w:t>there is no longer a need for two RTOs to be involved at consortium level.</w:t>
      </w:r>
      <w:r w:rsidR="00206492">
        <w:rPr>
          <w:rFonts w:cs="Arial"/>
        </w:rPr>
        <w:t xml:space="preserve"> </w:t>
      </w:r>
      <w:r w:rsidR="00206492" w:rsidRPr="00206492">
        <w:rPr>
          <w:rFonts w:cs="Arial"/>
        </w:rPr>
        <w:t xml:space="preserve">Employment arrangements are also </w:t>
      </w:r>
      <w:r w:rsidR="008A01C2">
        <w:rPr>
          <w:rFonts w:cs="Arial"/>
        </w:rPr>
        <w:t xml:space="preserve">derived from </w:t>
      </w:r>
      <w:r w:rsidR="00206492">
        <w:rPr>
          <w:rFonts w:cs="Arial"/>
        </w:rPr>
        <w:t>TAFE industrial awards</w:t>
      </w:r>
      <w:r w:rsidR="00423E42">
        <w:rPr>
          <w:rFonts w:cs="Arial"/>
        </w:rPr>
        <w:t>,</w:t>
      </w:r>
      <w:r w:rsidR="00206492">
        <w:rPr>
          <w:rFonts w:cs="Arial"/>
        </w:rPr>
        <w:t xml:space="preserve"> </w:t>
      </w:r>
      <w:r w:rsidR="00423E42">
        <w:rPr>
          <w:rFonts w:cs="Arial"/>
        </w:rPr>
        <w:t>which</w:t>
      </w:r>
      <w:r w:rsidR="00206492">
        <w:rPr>
          <w:rFonts w:cs="Arial"/>
        </w:rPr>
        <w:t xml:space="preserve"> </w:t>
      </w:r>
      <w:r w:rsidR="00206492" w:rsidRPr="00206492">
        <w:rPr>
          <w:rFonts w:cs="Arial"/>
        </w:rPr>
        <w:t>have made it difficult for APTC to respond flexibly to its operating environment.</w:t>
      </w:r>
    </w:p>
    <w:p w14:paraId="700C7763" w14:textId="64AA2F43" w:rsidR="004445E3" w:rsidRDefault="007D2506" w:rsidP="00EF59E3">
      <w:pPr>
        <w:rPr>
          <w:rFonts w:cs="Arial"/>
          <w:szCs w:val="22"/>
        </w:rPr>
      </w:pPr>
      <w:r w:rsidRPr="007D2506">
        <w:rPr>
          <w:rFonts w:cs="Arial"/>
          <w:szCs w:val="22"/>
        </w:rPr>
        <w:t xml:space="preserve">Importantly, APTC </w:t>
      </w:r>
      <w:r w:rsidR="00A45BC8">
        <w:rPr>
          <w:rFonts w:cs="Arial"/>
          <w:szCs w:val="22"/>
        </w:rPr>
        <w:t xml:space="preserve">could </w:t>
      </w:r>
      <w:r w:rsidRPr="007D2506">
        <w:rPr>
          <w:rFonts w:cs="Arial"/>
          <w:szCs w:val="22"/>
        </w:rPr>
        <w:t xml:space="preserve">achieve significant cost and other efficiencies by separating the education function (under the responsibility of </w:t>
      </w:r>
      <w:r w:rsidR="00485926" w:rsidRPr="008F4232">
        <w:rPr>
          <w:rFonts w:cs="Arial"/>
          <w:szCs w:val="22"/>
        </w:rPr>
        <w:t>an RTO) from the administrative</w:t>
      </w:r>
      <w:r w:rsidR="00485926">
        <w:rPr>
          <w:rFonts w:cs="Arial"/>
          <w:szCs w:val="22"/>
        </w:rPr>
        <w:t xml:space="preserve"> and </w:t>
      </w:r>
      <w:r w:rsidRPr="007D2506">
        <w:rPr>
          <w:rFonts w:cs="Arial"/>
          <w:szCs w:val="22"/>
        </w:rPr>
        <w:t xml:space="preserve">employment function (under the responsibility of a different agent). For example, </w:t>
      </w:r>
      <w:r w:rsidRPr="007D2506">
        <w:rPr>
          <w:rFonts w:cs="Arial"/>
          <w:szCs w:val="22"/>
        </w:rPr>
        <w:lastRenderedPageBreak/>
        <w:t>separating the</w:t>
      </w:r>
      <w:r w:rsidR="004445E3">
        <w:rPr>
          <w:rFonts w:cs="Arial"/>
          <w:szCs w:val="22"/>
        </w:rPr>
        <w:t xml:space="preserve">se </w:t>
      </w:r>
      <w:r w:rsidRPr="007D2506">
        <w:rPr>
          <w:rFonts w:cs="Arial"/>
          <w:szCs w:val="22"/>
        </w:rPr>
        <w:t xml:space="preserve">has the advantage of being able to develop employment terms and conditions to specifically meet APTC’s requirements without their being </w:t>
      </w:r>
      <w:r w:rsidR="00485926">
        <w:rPr>
          <w:rFonts w:cs="Arial"/>
          <w:szCs w:val="22"/>
        </w:rPr>
        <w:t xml:space="preserve">linked </w:t>
      </w:r>
      <w:r w:rsidRPr="007D2506">
        <w:rPr>
          <w:rFonts w:cs="Arial"/>
          <w:szCs w:val="22"/>
        </w:rPr>
        <w:t>to Australian TAFE terms and conditions</w:t>
      </w:r>
      <w:r w:rsidR="00485926">
        <w:rPr>
          <w:rFonts w:cs="Arial"/>
          <w:szCs w:val="22"/>
        </w:rPr>
        <w:t>.</w:t>
      </w:r>
      <w:r w:rsidRPr="007D2506">
        <w:rPr>
          <w:rFonts w:cs="Arial"/>
          <w:szCs w:val="22"/>
        </w:rPr>
        <w:t xml:space="preserve"> Such a separation </w:t>
      </w:r>
      <w:r w:rsidR="00927877" w:rsidRPr="00927877">
        <w:rPr>
          <w:rFonts w:cs="Arial"/>
          <w:szCs w:val="22"/>
        </w:rPr>
        <w:t xml:space="preserve">could also be achieved through sub-contracting and </w:t>
      </w:r>
      <w:r w:rsidRPr="007D2506">
        <w:rPr>
          <w:rFonts w:cs="Arial"/>
          <w:szCs w:val="22"/>
        </w:rPr>
        <w:t>would see the two parties focusing on their core business</w:t>
      </w:r>
      <w:r w:rsidR="004445E3">
        <w:rPr>
          <w:rFonts w:cs="Arial"/>
          <w:szCs w:val="22"/>
        </w:rPr>
        <w:t>es.</w:t>
      </w:r>
    </w:p>
    <w:p w14:paraId="6A5349EA" w14:textId="47DF820F" w:rsidR="00FE4C1D" w:rsidRDefault="00EF59E3" w:rsidP="00DF7C96">
      <w:pPr>
        <w:rPr>
          <w:rFonts w:cs="Arial"/>
          <w:b/>
          <w:bCs/>
          <w:color w:val="76923C"/>
          <w:sz w:val="24"/>
          <w:szCs w:val="28"/>
        </w:rPr>
      </w:pPr>
      <w:r w:rsidRPr="00E12183">
        <w:rPr>
          <w:rFonts w:cs="Arial"/>
        </w:rPr>
        <w:t xml:space="preserve">The structure and nature of the APTC Advisory Group limits its impact, compared with alternatives. A </w:t>
      </w:r>
      <w:r w:rsidRPr="00E12183">
        <w:rPr>
          <w:rFonts w:cs="Arial"/>
          <w:bCs/>
        </w:rPr>
        <w:t xml:space="preserve">shift to a country-based approach to advisory mechanisms </w:t>
      </w:r>
      <w:r w:rsidR="007E2FD9" w:rsidRPr="007E2FD9">
        <w:rPr>
          <w:rFonts w:cs="Arial"/>
          <w:bCs/>
        </w:rPr>
        <w:t xml:space="preserve">that involve the private sector and local DFAT offices </w:t>
      </w:r>
      <w:r w:rsidRPr="00E12183">
        <w:rPr>
          <w:rFonts w:cs="Arial"/>
          <w:bCs/>
        </w:rPr>
        <w:t>would better position APTC for the future</w:t>
      </w:r>
      <w:r w:rsidR="00E43AB6">
        <w:rPr>
          <w:rFonts w:cs="Arial"/>
          <w:bCs/>
        </w:rPr>
        <w:t>,</w:t>
      </w:r>
      <w:r w:rsidRPr="00E12183">
        <w:rPr>
          <w:rFonts w:cs="Arial"/>
          <w:bCs/>
        </w:rPr>
        <w:t xml:space="preserve"> than the current </w:t>
      </w:r>
      <w:r w:rsidR="003129D0">
        <w:rPr>
          <w:rFonts w:cs="Arial"/>
          <w:bCs/>
        </w:rPr>
        <w:t>A</w:t>
      </w:r>
      <w:r w:rsidR="003129D0" w:rsidRPr="00E12183">
        <w:rPr>
          <w:rFonts w:cs="Arial"/>
          <w:bCs/>
        </w:rPr>
        <w:t xml:space="preserve">dvisory </w:t>
      </w:r>
      <w:r w:rsidR="003129D0">
        <w:rPr>
          <w:rFonts w:cs="Arial"/>
          <w:bCs/>
        </w:rPr>
        <w:t>G</w:t>
      </w:r>
      <w:r w:rsidR="003129D0" w:rsidRPr="00E12183">
        <w:rPr>
          <w:rFonts w:cs="Arial"/>
          <w:bCs/>
        </w:rPr>
        <w:t xml:space="preserve">roup </w:t>
      </w:r>
      <w:r w:rsidRPr="00E12183">
        <w:rPr>
          <w:rFonts w:cs="Arial"/>
          <w:bCs/>
        </w:rPr>
        <w:t>arrangements.</w:t>
      </w:r>
      <w:r w:rsidRPr="00E12183">
        <w:rPr>
          <w:rFonts w:cs="Arial"/>
        </w:rPr>
        <w:t xml:space="preserve"> </w:t>
      </w:r>
      <w:r w:rsidR="007E2FD9" w:rsidRPr="007E2FD9">
        <w:rPr>
          <w:rFonts w:cs="Arial"/>
        </w:rPr>
        <w:t>Membership of consultative forums at country level could in turn provide a base from which members of a Pacific-wide advisory body could be drawn.</w:t>
      </w:r>
      <w:r w:rsidR="007E5E6E">
        <w:rPr>
          <w:rFonts w:cs="Arial"/>
        </w:rPr>
        <w:t xml:space="preserve"> </w:t>
      </w:r>
      <w:r w:rsidR="00CD1A7E" w:rsidRPr="00CD1A7E">
        <w:rPr>
          <w:rFonts w:eastAsia="Calibri" w:cs="Arial"/>
          <w:szCs w:val="22"/>
        </w:rPr>
        <w:t xml:space="preserve">APTC Scholarships has always been run separately from all the other </w:t>
      </w:r>
      <w:r w:rsidR="006A2519">
        <w:rPr>
          <w:rFonts w:eastAsia="Calibri" w:cs="Arial"/>
          <w:szCs w:val="22"/>
        </w:rPr>
        <w:t xml:space="preserve">Australian </w:t>
      </w:r>
      <w:r w:rsidR="00CD1A7E" w:rsidRPr="00CD1A7E">
        <w:rPr>
          <w:rFonts w:eastAsia="Calibri" w:cs="Arial"/>
          <w:szCs w:val="22"/>
        </w:rPr>
        <w:t>Aid Program Scholarships. The terms of reference for the evaluation asked for consideration of opportunities for collaboration going forward (</w:t>
      </w:r>
      <w:r w:rsidR="00B02541">
        <w:rPr>
          <w:rFonts w:eastAsia="Calibri" w:cs="Arial"/>
          <w:szCs w:val="22"/>
        </w:rPr>
        <w:t>TORs</w:t>
      </w:r>
      <w:r w:rsidR="00CD1A7E" w:rsidRPr="00CD1A7E">
        <w:rPr>
          <w:rFonts w:eastAsia="Calibri" w:cs="Arial"/>
          <w:szCs w:val="22"/>
        </w:rPr>
        <w:t>, p.</w:t>
      </w:r>
      <w:r w:rsidR="00973123">
        <w:rPr>
          <w:rFonts w:eastAsia="Calibri" w:cs="Arial"/>
          <w:szCs w:val="22"/>
        </w:rPr>
        <w:t xml:space="preserve"> </w:t>
      </w:r>
      <w:r w:rsidR="00CD1A7E" w:rsidRPr="00CD1A7E">
        <w:rPr>
          <w:rFonts w:eastAsia="Calibri" w:cs="Arial"/>
          <w:szCs w:val="22"/>
        </w:rPr>
        <w:t>4)</w:t>
      </w:r>
      <w:r w:rsidR="006A2519">
        <w:rPr>
          <w:rFonts w:eastAsia="Calibri" w:cs="Arial"/>
          <w:szCs w:val="22"/>
        </w:rPr>
        <w:t>.</w:t>
      </w:r>
      <w:r w:rsidR="00CD1A7E" w:rsidRPr="00CD1A7E">
        <w:rPr>
          <w:rFonts w:eastAsia="Calibri" w:cs="Arial"/>
          <w:szCs w:val="22"/>
        </w:rPr>
        <w:t xml:space="preserve"> </w:t>
      </w:r>
      <w:r w:rsidR="00CD1A7E" w:rsidRPr="00BC04DA">
        <w:rPr>
          <w:rFonts w:eastAsia="Calibri" w:cs="Arial"/>
          <w:szCs w:val="22"/>
        </w:rPr>
        <w:t>In theory, common administration of all Australian scholarships, including those of APTC, could yield efficiency. However, APTC scholarships are different from other programs in terms of duration, the target group, eligibility, individu</w:t>
      </w:r>
      <w:r w:rsidR="00CD1A7E" w:rsidRPr="00CD1A7E">
        <w:rPr>
          <w:rFonts w:eastAsia="Calibri" w:cs="Arial"/>
          <w:szCs w:val="22"/>
        </w:rPr>
        <w:t xml:space="preserve">alisation and funding support. </w:t>
      </w:r>
      <w:r w:rsidR="00CD1A7E" w:rsidRPr="00BC04DA">
        <w:rPr>
          <w:rFonts w:eastAsia="Calibri" w:cs="Arial"/>
          <w:szCs w:val="22"/>
        </w:rPr>
        <w:t>In practice, any administrative integration would</w:t>
      </w:r>
      <w:r w:rsidR="006A2519">
        <w:rPr>
          <w:rFonts w:eastAsia="Calibri" w:cs="Arial"/>
          <w:szCs w:val="22"/>
        </w:rPr>
        <w:t>,</w:t>
      </w:r>
      <w:r w:rsidR="00CD1A7E" w:rsidRPr="00BC04DA">
        <w:rPr>
          <w:rFonts w:eastAsia="Calibri" w:cs="Arial"/>
          <w:szCs w:val="22"/>
        </w:rPr>
        <w:t xml:space="preserve"> therefore</w:t>
      </w:r>
      <w:r w:rsidR="006A2519">
        <w:rPr>
          <w:rFonts w:eastAsia="Calibri" w:cs="Arial"/>
          <w:szCs w:val="22"/>
        </w:rPr>
        <w:t>,</w:t>
      </w:r>
      <w:r w:rsidR="00CD1A7E" w:rsidRPr="00BC04DA">
        <w:rPr>
          <w:rFonts w:eastAsia="Calibri" w:cs="Arial"/>
          <w:szCs w:val="22"/>
        </w:rPr>
        <w:t xml:space="preserve"> be likely to harm the effectiveness </w:t>
      </w:r>
      <w:r w:rsidR="00CD1A7E" w:rsidRPr="00CD1A7E">
        <w:rPr>
          <w:rFonts w:eastAsia="Calibri" w:cs="Arial"/>
          <w:szCs w:val="22"/>
        </w:rPr>
        <w:t xml:space="preserve">of APTC’s scholarship program. </w:t>
      </w:r>
      <w:r w:rsidR="00CD1A7E" w:rsidRPr="00BC04DA">
        <w:rPr>
          <w:rFonts w:eastAsia="Calibri" w:cs="Arial"/>
          <w:szCs w:val="22"/>
        </w:rPr>
        <w:t>Arguably APTC should maintain full control of its scholarship program, so that it has the flexibility to amend its scholarship policy as circumstances change</w:t>
      </w:r>
      <w:r w:rsidR="00CD1A7E" w:rsidRPr="00CD1A7E">
        <w:rPr>
          <w:rFonts w:eastAsia="Calibri" w:cs="Arial"/>
          <w:szCs w:val="22"/>
        </w:rPr>
        <w:t>. However, there may be some other opportunities for collaboration. The Australia Awards Scholarship programs could be considered as a pathway for successful APTC graduates. (Annex 6, Attachment 2, section 3).</w:t>
      </w:r>
    </w:p>
    <w:p w14:paraId="094B5665" w14:textId="0639969A" w:rsidR="00EF59E3" w:rsidRPr="00E12183" w:rsidRDefault="00EF59E3" w:rsidP="00AA38E6">
      <w:pPr>
        <w:pStyle w:val="Heading2"/>
      </w:pPr>
      <w:bookmarkStart w:id="49" w:name="_Toc278710523"/>
      <w:r w:rsidRPr="00E12183">
        <w:t xml:space="preserve">Constraints and opportunities for further development of </w:t>
      </w:r>
      <w:r w:rsidR="00FE4C1D">
        <w:br/>
      </w:r>
      <w:r w:rsidRPr="00E12183">
        <w:t>APTC’s capacity</w:t>
      </w:r>
      <w:bookmarkEnd w:id="49"/>
    </w:p>
    <w:p w14:paraId="2A3E0AA7" w14:textId="532A00B6" w:rsidR="00EF59E3" w:rsidRDefault="00EF59E3" w:rsidP="00EF59E3">
      <w:pPr>
        <w:rPr>
          <w:rFonts w:cs="Arial"/>
        </w:rPr>
      </w:pPr>
      <w:r w:rsidRPr="00E12183">
        <w:rPr>
          <w:rFonts w:cs="Arial"/>
        </w:rPr>
        <w:t xml:space="preserve">The following list summarises the critical constraints </w:t>
      </w:r>
      <w:r w:rsidR="007E2FD9">
        <w:rPr>
          <w:rFonts w:cs="Arial"/>
        </w:rPr>
        <w:t xml:space="preserve">and opportunities </w:t>
      </w:r>
      <w:r w:rsidRPr="00E12183">
        <w:rPr>
          <w:rFonts w:cs="Arial"/>
        </w:rPr>
        <w:t xml:space="preserve">for further development of APTC capacity for skills development.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5"/>
      </w:tblGrid>
      <w:tr w:rsidR="007E2FD9" w:rsidRPr="00DB7926" w14:paraId="57607C12" w14:textId="77777777" w:rsidTr="00721C08">
        <w:tc>
          <w:tcPr>
            <w:tcW w:w="4244" w:type="dxa"/>
            <w:tcBorders>
              <w:bottom w:val="single" w:sz="4" w:space="0" w:color="A8D08D" w:themeColor="accent6" w:themeTint="99"/>
            </w:tcBorders>
            <w:shd w:val="clear" w:color="auto" w:fill="E2EFD9" w:themeFill="accent6" w:themeFillTint="33"/>
          </w:tcPr>
          <w:p w14:paraId="21B51562" w14:textId="77777777" w:rsidR="007E2FD9" w:rsidRPr="00DF7C96" w:rsidRDefault="007E2FD9" w:rsidP="0097387C">
            <w:pPr>
              <w:spacing w:before="60" w:after="60"/>
              <w:rPr>
                <w:rFonts w:cs="Arial"/>
                <w:b/>
                <w:sz w:val="20"/>
              </w:rPr>
            </w:pPr>
            <w:r w:rsidRPr="00DF7C96">
              <w:rPr>
                <w:rFonts w:cs="Arial"/>
                <w:b/>
                <w:sz w:val="20"/>
              </w:rPr>
              <w:t>Constraints</w:t>
            </w:r>
          </w:p>
        </w:tc>
        <w:tc>
          <w:tcPr>
            <w:tcW w:w="4245" w:type="dxa"/>
            <w:tcBorders>
              <w:bottom w:val="single" w:sz="4" w:space="0" w:color="A8D08D" w:themeColor="accent6" w:themeTint="99"/>
            </w:tcBorders>
            <w:shd w:val="clear" w:color="auto" w:fill="E2EFD9" w:themeFill="accent6" w:themeFillTint="33"/>
          </w:tcPr>
          <w:p w14:paraId="3B020401" w14:textId="77777777" w:rsidR="007E2FD9" w:rsidRPr="00DF7C96" w:rsidRDefault="007E2FD9" w:rsidP="0097387C">
            <w:pPr>
              <w:spacing w:before="60" w:after="60"/>
              <w:rPr>
                <w:rFonts w:cs="Arial"/>
                <w:b/>
                <w:sz w:val="20"/>
              </w:rPr>
            </w:pPr>
            <w:r w:rsidRPr="00DF7C96">
              <w:rPr>
                <w:rFonts w:cs="Arial"/>
                <w:b/>
                <w:sz w:val="20"/>
              </w:rPr>
              <w:t>Opportunities</w:t>
            </w:r>
          </w:p>
        </w:tc>
      </w:tr>
      <w:tr w:rsidR="007E2FD9" w:rsidRPr="007E2FD9" w14:paraId="770105E7" w14:textId="77777777" w:rsidTr="00721C08">
        <w:tc>
          <w:tcPr>
            <w:tcW w:w="4244" w:type="dxa"/>
            <w:tcBorders>
              <w:top w:val="single" w:sz="4" w:space="0" w:color="A8D08D" w:themeColor="accent6" w:themeTint="99"/>
              <w:bottom w:val="single" w:sz="4" w:space="0" w:color="A8D08D" w:themeColor="accent6" w:themeTint="99"/>
            </w:tcBorders>
          </w:tcPr>
          <w:p w14:paraId="2B8492FC" w14:textId="621A745F" w:rsidR="007E2FD9" w:rsidRPr="00DF7C96" w:rsidRDefault="00633EF4" w:rsidP="007E2FD9">
            <w:pPr>
              <w:numPr>
                <w:ilvl w:val="0"/>
                <w:numId w:val="17"/>
              </w:numPr>
              <w:spacing w:after="80"/>
              <w:ind w:left="313" w:hanging="313"/>
              <w:rPr>
                <w:rFonts w:cs="Arial"/>
                <w:sz w:val="18"/>
                <w:szCs w:val="18"/>
              </w:rPr>
            </w:pPr>
            <w:r>
              <w:rPr>
                <w:rFonts w:cs="Arial"/>
                <w:sz w:val="18"/>
                <w:szCs w:val="18"/>
              </w:rPr>
              <w:t>L</w:t>
            </w:r>
            <w:r w:rsidR="007E2FD9" w:rsidRPr="00DF7C96">
              <w:rPr>
                <w:rFonts w:cs="Arial"/>
                <w:sz w:val="18"/>
                <w:szCs w:val="18"/>
              </w:rPr>
              <w:t>ack of a long-term vision for APTC in the Pacific and the ability to plan for the future</w:t>
            </w:r>
            <w:r w:rsidR="00BA713F" w:rsidRPr="00DF7C96">
              <w:rPr>
                <w:rStyle w:val="FootnoteReference"/>
                <w:rFonts w:cs="Arial"/>
                <w:sz w:val="18"/>
                <w:szCs w:val="18"/>
              </w:rPr>
              <w:footnoteReference w:id="32"/>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18079C39" w14:textId="4CBFE7D6" w:rsidR="007E2FD9" w:rsidRPr="00DF7C96" w:rsidRDefault="00633EF4" w:rsidP="00243352">
            <w:pPr>
              <w:numPr>
                <w:ilvl w:val="0"/>
                <w:numId w:val="17"/>
              </w:numPr>
              <w:ind w:left="321" w:hanging="283"/>
              <w:contextualSpacing/>
              <w:rPr>
                <w:rFonts w:cs="Arial"/>
                <w:sz w:val="18"/>
                <w:szCs w:val="18"/>
              </w:rPr>
            </w:pPr>
            <w:r>
              <w:rPr>
                <w:rFonts w:cs="Arial"/>
                <w:sz w:val="18"/>
                <w:szCs w:val="18"/>
              </w:rPr>
              <w:t>C</w:t>
            </w:r>
            <w:r w:rsidR="007E2FD9" w:rsidRPr="00DF7C96">
              <w:rPr>
                <w:rFonts w:cs="Arial"/>
                <w:sz w:val="18"/>
                <w:szCs w:val="18"/>
              </w:rPr>
              <w:t>larity for APTC, DFAT and other stakeholders about what constitutes success for APTC</w:t>
            </w:r>
          </w:p>
        </w:tc>
      </w:tr>
      <w:tr w:rsidR="007E2FD9" w:rsidRPr="007E2FD9" w14:paraId="5D2F719D" w14:textId="77777777" w:rsidTr="00633EF4">
        <w:tc>
          <w:tcPr>
            <w:tcW w:w="4244" w:type="dxa"/>
            <w:tcBorders>
              <w:top w:val="single" w:sz="4" w:space="0" w:color="A8D08D" w:themeColor="accent6" w:themeTint="99"/>
              <w:bottom w:val="single" w:sz="4" w:space="0" w:color="A8D08D" w:themeColor="accent6" w:themeTint="99"/>
            </w:tcBorders>
          </w:tcPr>
          <w:p w14:paraId="7D4C6EE4" w14:textId="14171AF0" w:rsidR="007E2FD9" w:rsidRPr="00DF7C96" w:rsidRDefault="00633EF4" w:rsidP="007E2FD9">
            <w:pPr>
              <w:numPr>
                <w:ilvl w:val="0"/>
                <w:numId w:val="17"/>
              </w:numPr>
              <w:spacing w:after="80"/>
              <w:ind w:left="313" w:hanging="284"/>
              <w:rPr>
                <w:rFonts w:cs="Arial"/>
                <w:sz w:val="18"/>
                <w:szCs w:val="18"/>
              </w:rPr>
            </w:pPr>
            <w:r>
              <w:rPr>
                <w:rFonts w:cs="Arial"/>
                <w:sz w:val="18"/>
                <w:szCs w:val="18"/>
              </w:rPr>
              <w:t>T</w:t>
            </w:r>
            <w:r w:rsidR="007E2FD9" w:rsidRPr="00DF7C96">
              <w:rPr>
                <w:rFonts w:cs="Arial"/>
                <w:sz w:val="18"/>
                <w:szCs w:val="18"/>
              </w:rPr>
              <w:t>he contractual requirement to deliver full qualifications</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78472A52" w14:textId="71E95D21" w:rsidR="007E2FD9" w:rsidRPr="00DF7C96" w:rsidRDefault="00633EF4" w:rsidP="007E2FD9">
            <w:pPr>
              <w:numPr>
                <w:ilvl w:val="0"/>
                <w:numId w:val="17"/>
              </w:numPr>
              <w:ind w:left="321" w:hanging="321"/>
              <w:contextualSpacing/>
              <w:rPr>
                <w:rFonts w:cs="Arial"/>
                <w:sz w:val="18"/>
                <w:szCs w:val="18"/>
              </w:rPr>
            </w:pPr>
            <w:r>
              <w:rPr>
                <w:rFonts w:cs="Arial"/>
                <w:sz w:val="18"/>
                <w:szCs w:val="18"/>
              </w:rPr>
              <w:t>M</w:t>
            </w:r>
            <w:r w:rsidR="007E2FD9" w:rsidRPr="00DF7C96">
              <w:rPr>
                <w:rFonts w:cs="Arial"/>
                <w:sz w:val="18"/>
                <w:szCs w:val="18"/>
              </w:rPr>
              <w:t>ore flexible programs such as skill sets and accredited short courses</w:t>
            </w:r>
          </w:p>
        </w:tc>
      </w:tr>
      <w:tr w:rsidR="007E2FD9" w:rsidRPr="007E2FD9" w14:paraId="7D2B8A13" w14:textId="77777777" w:rsidTr="00633EF4">
        <w:tc>
          <w:tcPr>
            <w:tcW w:w="4244" w:type="dxa"/>
            <w:tcBorders>
              <w:top w:val="single" w:sz="4" w:space="0" w:color="A8D08D" w:themeColor="accent6" w:themeTint="99"/>
              <w:bottom w:val="single" w:sz="4" w:space="0" w:color="A8D08D" w:themeColor="accent6" w:themeTint="99"/>
            </w:tcBorders>
          </w:tcPr>
          <w:p w14:paraId="00268E8C" w14:textId="7222D7DF" w:rsidR="007E2FD9" w:rsidRPr="00DF7C96" w:rsidRDefault="00633EF4" w:rsidP="007E2FD9">
            <w:pPr>
              <w:numPr>
                <w:ilvl w:val="0"/>
                <w:numId w:val="17"/>
              </w:numPr>
              <w:spacing w:after="80"/>
              <w:ind w:left="313" w:hanging="313"/>
              <w:rPr>
                <w:rFonts w:cs="Arial"/>
                <w:sz w:val="18"/>
                <w:szCs w:val="18"/>
              </w:rPr>
            </w:pPr>
            <w:r>
              <w:rPr>
                <w:rFonts w:cs="Arial"/>
                <w:sz w:val="18"/>
                <w:szCs w:val="18"/>
              </w:rPr>
              <w:t>T</w:t>
            </w:r>
            <w:r w:rsidR="007E2FD9" w:rsidRPr="00DF7C96">
              <w:rPr>
                <w:rFonts w:cs="Arial"/>
                <w:sz w:val="18"/>
                <w:szCs w:val="18"/>
              </w:rPr>
              <w:t xml:space="preserve">he need to generate more of its own revenue by encouraging greater co-contribution to the cost of training by individuals, employers, donors and Pacific governments </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623743A9" w14:textId="36AA6115" w:rsidR="007E2FD9" w:rsidRPr="00DF7C96" w:rsidRDefault="00633EF4" w:rsidP="007E2FD9">
            <w:pPr>
              <w:numPr>
                <w:ilvl w:val="0"/>
                <w:numId w:val="17"/>
              </w:numPr>
              <w:ind w:left="321" w:hanging="283"/>
              <w:contextualSpacing/>
              <w:rPr>
                <w:rFonts w:cs="Arial"/>
                <w:sz w:val="18"/>
                <w:szCs w:val="18"/>
              </w:rPr>
            </w:pPr>
            <w:r>
              <w:rPr>
                <w:rFonts w:cs="Arial"/>
                <w:sz w:val="18"/>
                <w:szCs w:val="18"/>
              </w:rPr>
              <w:t>O</w:t>
            </w:r>
            <w:r w:rsidR="007E2FD9" w:rsidRPr="00DF7C96">
              <w:rPr>
                <w:rFonts w:cs="Arial"/>
                <w:sz w:val="18"/>
                <w:szCs w:val="18"/>
              </w:rPr>
              <w:t>vercoming the reputation of being a scholarship college</w:t>
            </w:r>
          </w:p>
        </w:tc>
      </w:tr>
      <w:tr w:rsidR="007E2FD9" w:rsidRPr="007E2FD9" w14:paraId="4AD98B98" w14:textId="77777777" w:rsidTr="00633EF4">
        <w:tc>
          <w:tcPr>
            <w:tcW w:w="4244" w:type="dxa"/>
            <w:tcBorders>
              <w:top w:val="single" w:sz="4" w:space="0" w:color="A8D08D" w:themeColor="accent6" w:themeTint="99"/>
              <w:bottom w:val="single" w:sz="4" w:space="0" w:color="A8D08D" w:themeColor="accent6" w:themeTint="99"/>
            </w:tcBorders>
          </w:tcPr>
          <w:p w14:paraId="0A5D07C5" w14:textId="1CA20C79" w:rsidR="007E2FD9" w:rsidRPr="00DF7C96" w:rsidRDefault="00633EF4" w:rsidP="007E2FD9">
            <w:pPr>
              <w:numPr>
                <w:ilvl w:val="0"/>
                <w:numId w:val="17"/>
              </w:numPr>
              <w:spacing w:after="80"/>
              <w:ind w:left="313" w:hanging="313"/>
              <w:rPr>
                <w:rFonts w:cs="Arial"/>
                <w:sz w:val="18"/>
                <w:szCs w:val="18"/>
              </w:rPr>
            </w:pPr>
            <w:r>
              <w:rPr>
                <w:rFonts w:cs="Arial"/>
                <w:sz w:val="18"/>
                <w:szCs w:val="18"/>
              </w:rPr>
              <w:t>E</w:t>
            </w:r>
            <w:r w:rsidR="007E2FD9" w:rsidRPr="00DF7C96">
              <w:rPr>
                <w:rFonts w:cs="Arial"/>
                <w:sz w:val="18"/>
                <w:szCs w:val="18"/>
              </w:rPr>
              <w:t xml:space="preserve">limination of cost inefficiencies in organisation and management </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2DFFD6A0" w14:textId="65A9E810" w:rsidR="007E2FD9" w:rsidRPr="00DF7C96" w:rsidRDefault="00633EF4" w:rsidP="007E2FD9">
            <w:pPr>
              <w:numPr>
                <w:ilvl w:val="0"/>
                <w:numId w:val="17"/>
              </w:numPr>
              <w:ind w:left="321" w:hanging="321"/>
              <w:contextualSpacing/>
              <w:rPr>
                <w:rFonts w:cs="Arial"/>
                <w:sz w:val="18"/>
                <w:szCs w:val="18"/>
              </w:rPr>
            </w:pPr>
            <w:r>
              <w:rPr>
                <w:rFonts w:cs="Arial"/>
                <w:sz w:val="18"/>
                <w:szCs w:val="18"/>
              </w:rPr>
              <w:t>M</w:t>
            </w:r>
            <w:r w:rsidR="007E2FD9" w:rsidRPr="00DF7C96">
              <w:rPr>
                <w:rFonts w:cs="Arial"/>
                <w:sz w:val="18"/>
                <w:szCs w:val="18"/>
              </w:rPr>
              <w:t>ore streamlined operations and availability of more resources for delivery</w:t>
            </w:r>
          </w:p>
        </w:tc>
      </w:tr>
      <w:tr w:rsidR="007E2FD9" w:rsidRPr="007E2FD9" w14:paraId="10B46C31" w14:textId="77777777" w:rsidTr="00633EF4">
        <w:tc>
          <w:tcPr>
            <w:tcW w:w="4244" w:type="dxa"/>
            <w:tcBorders>
              <w:top w:val="single" w:sz="4" w:space="0" w:color="A8D08D" w:themeColor="accent6" w:themeTint="99"/>
              <w:bottom w:val="single" w:sz="4" w:space="0" w:color="A8D08D" w:themeColor="accent6" w:themeTint="99"/>
            </w:tcBorders>
          </w:tcPr>
          <w:p w14:paraId="16CD2D66" w14:textId="1D6A8574" w:rsidR="007E2FD9" w:rsidRPr="00DF7C96" w:rsidRDefault="00633EF4" w:rsidP="007E2FD9">
            <w:pPr>
              <w:numPr>
                <w:ilvl w:val="0"/>
                <w:numId w:val="17"/>
              </w:numPr>
              <w:spacing w:after="80"/>
              <w:ind w:left="313" w:hanging="313"/>
              <w:rPr>
                <w:rFonts w:cs="Arial"/>
                <w:sz w:val="18"/>
                <w:szCs w:val="18"/>
              </w:rPr>
            </w:pPr>
            <w:r>
              <w:rPr>
                <w:rFonts w:cs="Arial"/>
                <w:sz w:val="18"/>
                <w:szCs w:val="18"/>
              </w:rPr>
              <w:t>O</w:t>
            </w:r>
            <w:r w:rsidR="007E2FD9" w:rsidRPr="00DF7C96">
              <w:rPr>
                <w:rFonts w:cs="Arial"/>
                <w:sz w:val="18"/>
                <w:szCs w:val="18"/>
              </w:rPr>
              <w:t xml:space="preserve">vercoming pockets of entrenched opposition </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58535A1A" w14:textId="11C0D4EA" w:rsidR="007E2FD9" w:rsidRPr="00DF7C96" w:rsidRDefault="00633EF4" w:rsidP="007E2FD9">
            <w:pPr>
              <w:numPr>
                <w:ilvl w:val="0"/>
                <w:numId w:val="17"/>
              </w:numPr>
              <w:ind w:left="321" w:hanging="283"/>
              <w:contextualSpacing/>
              <w:rPr>
                <w:rFonts w:cs="Arial"/>
                <w:sz w:val="18"/>
                <w:szCs w:val="18"/>
              </w:rPr>
            </w:pPr>
            <w:r>
              <w:rPr>
                <w:rFonts w:cs="Arial"/>
                <w:sz w:val="18"/>
                <w:szCs w:val="18"/>
              </w:rPr>
              <w:t>D</w:t>
            </w:r>
            <w:r w:rsidR="007E2FD9" w:rsidRPr="00DF7C96">
              <w:rPr>
                <w:rFonts w:cs="Arial"/>
                <w:sz w:val="18"/>
                <w:szCs w:val="18"/>
              </w:rPr>
              <w:t>evelopment of partnerships with local institutions of best fit</w:t>
            </w:r>
          </w:p>
        </w:tc>
      </w:tr>
      <w:tr w:rsidR="007E2FD9" w:rsidRPr="007E2FD9" w14:paraId="0D1A2C51" w14:textId="77777777" w:rsidTr="00633EF4">
        <w:tc>
          <w:tcPr>
            <w:tcW w:w="4244" w:type="dxa"/>
            <w:tcBorders>
              <w:top w:val="single" w:sz="4" w:space="0" w:color="A8D08D" w:themeColor="accent6" w:themeTint="99"/>
              <w:bottom w:val="single" w:sz="4" w:space="0" w:color="A8D08D" w:themeColor="accent6" w:themeTint="99"/>
            </w:tcBorders>
          </w:tcPr>
          <w:p w14:paraId="74A757FC" w14:textId="64A1A5F5" w:rsidR="007E2FD9" w:rsidRPr="00DF7C96" w:rsidRDefault="00633EF4" w:rsidP="007E2FD9">
            <w:pPr>
              <w:numPr>
                <w:ilvl w:val="0"/>
                <w:numId w:val="17"/>
              </w:numPr>
              <w:spacing w:after="80"/>
              <w:ind w:left="313" w:hanging="313"/>
              <w:rPr>
                <w:rFonts w:cs="Arial"/>
                <w:sz w:val="18"/>
                <w:szCs w:val="18"/>
              </w:rPr>
            </w:pPr>
            <w:r>
              <w:rPr>
                <w:rFonts w:cs="Arial"/>
                <w:sz w:val="18"/>
                <w:szCs w:val="18"/>
              </w:rPr>
              <w:t>P</w:t>
            </w:r>
            <w:r w:rsidR="007E2FD9" w:rsidRPr="00DF7C96">
              <w:rPr>
                <w:rFonts w:cs="Arial"/>
                <w:sz w:val="18"/>
                <w:szCs w:val="18"/>
              </w:rPr>
              <w:t>ursuing the nationalisation of trainers and other staff while at the same time addressing the associated risks of quality deterioration if national trainers are not properly supported</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52E743A0" w14:textId="0DEBD2A9" w:rsidR="007E2FD9" w:rsidRPr="00DF7C96" w:rsidRDefault="00633EF4" w:rsidP="007E2FD9">
            <w:pPr>
              <w:numPr>
                <w:ilvl w:val="0"/>
                <w:numId w:val="17"/>
              </w:numPr>
              <w:ind w:left="326" w:hanging="283"/>
              <w:contextualSpacing/>
              <w:rPr>
                <w:rFonts w:cs="Arial"/>
                <w:sz w:val="18"/>
                <w:szCs w:val="18"/>
              </w:rPr>
            </w:pPr>
            <w:r>
              <w:rPr>
                <w:rFonts w:cs="Arial"/>
                <w:sz w:val="18"/>
                <w:szCs w:val="18"/>
              </w:rPr>
              <w:t>E</w:t>
            </w:r>
            <w:r w:rsidR="007E2FD9" w:rsidRPr="00DF7C96">
              <w:rPr>
                <w:rFonts w:cs="Arial"/>
                <w:sz w:val="18"/>
                <w:szCs w:val="18"/>
              </w:rPr>
              <w:t>ducational and financial benefits from capability-building of national staff and reduced reliance on national trainers</w:t>
            </w:r>
          </w:p>
        </w:tc>
      </w:tr>
      <w:tr w:rsidR="007E2FD9" w:rsidRPr="007E2FD9" w14:paraId="4233AE13" w14:textId="77777777" w:rsidTr="00633EF4">
        <w:tc>
          <w:tcPr>
            <w:tcW w:w="4244" w:type="dxa"/>
            <w:tcBorders>
              <w:top w:val="single" w:sz="4" w:space="0" w:color="A8D08D" w:themeColor="accent6" w:themeTint="99"/>
              <w:bottom w:val="single" w:sz="4" w:space="0" w:color="A8D08D" w:themeColor="accent6" w:themeTint="99"/>
            </w:tcBorders>
          </w:tcPr>
          <w:p w14:paraId="4022D513" w14:textId="4FE1EF6F" w:rsidR="007E2FD9" w:rsidRPr="00DF7C96" w:rsidRDefault="00633EF4" w:rsidP="007E2FD9">
            <w:pPr>
              <w:numPr>
                <w:ilvl w:val="0"/>
                <w:numId w:val="17"/>
              </w:numPr>
              <w:spacing w:after="80"/>
              <w:ind w:left="313" w:hanging="313"/>
              <w:rPr>
                <w:rFonts w:cs="Arial"/>
                <w:sz w:val="18"/>
                <w:szCs w:val="18"/>
              </w:rPr>
            </w:pPr>
            <w:r>
              <w:rPr>
                <w:rFonts w:cs="Arial"/>
                <w:sz w:val="18"/>
                <w:szCs w:val="18"/>
              </w:rPr>
              <w:t>A</w:t>
            </w:r>
            <w:r w:rsidR="007E2FD9" w:rsidRPr="00DF7C96">
              <w:rPr>
                <w:rFonts w:cs="Arial"/>
                <w:sz w:val="18"/>
                <w:szCs w:val="18"/>
              </w:rPr>
              <w:t>ttracting staff t</w:t>
            </w:r>
            <w:r>
              <w:rPr>
                <w:rFonts w:cs="Arial"/>
                <w:sz w:val="18"/>
                <w:szCs w:val="18"/>
              </w:rPr>
              <w:t>o work in less secure countries</w:t>
            </w:r>
          </w:p>
        </w:tc>
        <w:tc>
          <w:tcPr>
            <w:tcW w:w="4245" w:type="dxa"/>
            <w:tcBorders>
              <w:top w:val="single" w:sz="4" w:space="0" w:color="A8D08D" w:themeColor="accent6" w:themeTint="99"/>
              <w:bottom w:val="single" w:sz="4" w:space="0" w:color="A8D08D" w:themeColor="accent6" w:themeTint="99"/>
            </w:tcBorders>
            <w:shd w:val="clear" w:color="auto" w:fill="E2EFD9" w:themeFill="accent6" w:themeFillTint="33"/>
          </w:tcPr>
          <w:p w14:paraId="135515D8" w14:textId="182E6D52" w:rsidR="007E2FD9" w:rsidRPr="00DF7C96" w:rsidRDefault="00633EF4" w:rsidP="007E2FD9">
            <w:pPr>
              <w:numPr>
                <w:ilvl w:val="0"/>
                <w:numId w:val="17"/>
              </w:numPr>
              <w:ind w:left="321" w:hanging="321"/>
              <w:contextualSpacing/>
              <w:rPr>
                <w:rFonts w:cs="Arial"/>
                <w:sz w:val="18"/>
                <w:szCs w:val="18"/>
              </w:rPr>
            </w:pPr>
            <w:r>
              <w:rPr>
                <w:rFonts w:cs="Arial"/>
                <w:sz w:val="18"/>
                <w:szCs w:val="18"/>
              </w:rPr>
              <w:t>G</w:t>
            </w:r>
            <w:r w:rsidR="007E2FD9" w:rsidRPr="00DF7C96">
              <w:rPr>
                <w:rFonts w:cs="Arial"/>
                <w:sz w:val="18"/>
                <w:szCs w:val="18"/>
              </w:rPr>
              <w:t xml:space="preserve">reater staffing and program </w:t>
            </w:r>
            <w:r>
              <w:rPr>
                <w:rFonts w:cs="Arial"/>
                <w:sz w:val="18"/>
                <w:szCs w:val="18"/>
              </w:rPr>
              <w:t>stability and improved outcomes</w:t>
            </w:r>
          </w:p>
        </w:tc>
      </w:tr>
    </w:tbl>
    <w:p w14:paraId="703D252E" w14:textId="25FC310F" w:rsidR="00EF59E3" w:rsidRPr="00E12183" w:rsidRDefault="00EF59E3" w:rsidP="00AA38E6">
      <w:pPr>
        <w:pStyle w:val="Heading2"/>
      </w:pPr>
      <w:bookmarkStart w:id="50" w:name="_Toc278710524"/>
      <w:r w:rsidRPr="00E12183">
        <w:lastRenderedPageBreak/>
        <w:t>APTC’s influence on building capacity of other Pacific TVET</w:t>
      </w:r>
      <w:r w:rsidR="007E7BA5">
        <w:t> </w:t>
      </w:r>
      <w:r w:rsidRPr="00E12183">
        <w:t>institutions</w:t>
      </w:r>
      <w:bookmarkEnd w:id="50"/>
    </w:p>
    <w:p w14:paraId="74C8553C" w14:textId="02591B12" w:rsidR="00EF59E3" w:rsidRPr="00E12183" w:rsidRDefault="00EF59E3" w:rsidP="00EF59E3">
      <w:pPr>
        <w:rPr>
          <w:rFonts w:cs="Arial"/>
          <w:bCs/>
        </w:rPr>
      </w:pPr>
      <w:r w:rsidRPr="00E12183">
        <w:rPr>
          <w:rFonts w:cs="Arial"/>
          <w:bCs/>
        </w:rPr>
        <w:t xml:space="preserve">APTC’s objectives and design involved a risk from the beginning that it would operate as an enclave without much impact on national TVET systems. However, the review team found </w:t>
      </w:r>
      <w:r w:rsidR="00BB24C8">
        <w:rPr>
          <w:rFonts w:cs="Arial"/>
          <w:bCs/>
        </w:rPr>
        <w:t xml:space="preserve">substantial </w:t>
      </w:r>
      <w:r w:rsidRPr="00E12183">
        <w:rPr>
          <w:rFonts w:cs="Arial"/>
          <w:bCs/>
        </w:rPr>
        <w:t xml:space="preserve">evidence of APTC’s influence on the wider TVET systems in campus countries. First, APTC has set transparent standards for quality in TVET delivery in Pacific countries. Many respondents remarked on how APTC has become the benchmark against which other training programs can measure their quality. Second, APTC has provided substantial upgrading of training staff from national training institutions through </w:t>
      </w:r>
      <w:r w:rsidR="009B5992">
        <w:rPr>
          <w:rFonts w:cs="Arial"/>
          <w:bCs/>
        </w:rPr>
        <w:t xml:space="preserve">provision of the </w:t>
      </w:r>
      <w:r w:rsidR="0003657F">
        <w:rPr>
          <w:rFonts w:cs="Arial"/>
          <w:bCs/>
        </w:rPr>
        <w:t>C</w:t>
      </w:r>
      <w:r w:rsidR="0003657F" w:rsidRPr="00E12183">
        <w:rPr>
          <w:rFonts w:cs="Arial"/>
          <w:bCs/>
        </w:rPr>
        <w:t xml:space="preserve">ertificate </w:t>
      </w:r>
      <w:r w:rsidRPr="00E12183">
        <w:rPr>
          <w:rFonts w:cs="Arial"/>
          <w:bCs/>
        </w:rPr>
        <w:t xml:space="preserve">IV in </w:t>
      </w:r>
      <w:r w:rsidR="0003657F">
        <w:rPr>
          <w:rFonts w:cs="Arial"/>
          <w:bCs/>
        </w:rPr>
        <w:t>T</w:t>
      </w:r>
      <w:r w:rsidR="0003657F" w:rsidRPr="00E12183">
        <w:rPr>
          <w:rFonts w:cs="Arial"/>
          <w:bCs/>
        </w:rPr>
        <w:t xml:space="preserve">raining </w:t>
      </w:r>
      <w:r w:rsidRPr="00E12183">
        <w:rPr>
          <w:rFonts w:cs="Arial"/>
          <w:bCs/>
        </w:rPr>
        <w:t xml:space="preserve">and </w:t>
      </w:r>
      <w:r w:rsidR="0003657F">
        <w:rPr>
          <w:rFonts w:cs="Arial"/>
          <w:bCs/>
        </w:rPr>
        <w:t>A</w:t>
      </w:r>
      <w:r w:rsidR="0003657F" w:rsidRPr="00E12183">
        <w:rPr>
          <w:rFonts w:cs="Arial"/>
          <w:bCs/>
        </w:rPr>
        <w:t>ssessment</w:t>
      </w:r>
      <w:r w:rsidRPr="00E12183">
        <w:rPr>
          <w:rFonts w:cs="Arial"/>
          <w:bCs/>
        </w:rPr>
        <w:t>. Third, it has provided advice and on-the-job training, as well as curriculum and material support, to its partner institutions. Fourth, it has provided assistance for the development of qualifications frameworks, as in Fiji</w:t>
      </w:r>
      <w:r w:rsidR="00EB1014">
        <w:rPr>
          <w:rFonts w:cs="Arial"/>
          <w:bCs/>
        </w:rPr>
        <w:t>,</w:t>
      </w:r>
      <w:r w:rsidRPr="00E12183">
        <w:rPr>
          <w:rFonts w:cs="Arial"/>
          <w:bCs/>
        </w:rPr>
        <w:t xml:space="preserve"> and </w:t>
      </w:r>
      <w:r w:rsidR="0003657F">
        <w:rPr>
          <w:rFonts w:cs="Arial"/>
          <w:bCs/>
        </w:rPr>
        <w:t xml:space="preserve">the </w:t>
      </w:r>
      <w:r w:rsidRPr="00E12183">
        <w:rPr>
          <w:rFonts w:cs="Arial"/>
          <w:bCs/>
        </w:rPr>
        <w:t xml:space="preserve">implementation of quality assurance systems for training institutions, as in </w:t>
      </w:r>
      <w:r w:rsidR="00741253">
        <w:rPr>
          <w:rFonts w:cs="Arial"/>
          <w:bCs/>
        </w:rPr>
        <w:t>the</w:t>
      </w:r>
      <w:r w:rsidRPr="00E12183">
        <w:rPr>
          <w:rFonts w:cs="Arial"/>
          <w:bCs/>
        </w:rPr>
        <w:t xml:space="preserve"> Vanuatu</w:t>
      </w:r>
      <w:r w:rsidR="00741253">
        <w:rPr>
          <w:rFonts w:cs="Arial"/>
          <w:bCs/>
        </w:rPr>
        <w:t xml:space="preserve"> Institute of Technology</w:t>
      </w:r>
      <w:r w:rsidRPr="00E12183">
        <w:rPr>
          <w:rFonts w:cs="Arial"/>
          <w:bCs/>
        </w:rPr>
        <w:t>. In short, APTC’s influence in building the capacity of other Pacific TVET institutions has been substantial.</w:t>
      </w:r>
    </w:p>
    <w:p w14:paraId="4D138E15" w14:textId="480E2E18" w:rsidR="00270862" w:rsidRPr="00DF7C96" w:rsidRDefault="00EF59E3" w:rsidP="00DF7C96">
      <w:pPr>
        <w:rPr>
          <w:rFonts w:cs="Arial"/>
          <w:b/>
          <w:bCs/>
          <w:sz w:val="24"/>
          <w:szCs w:val="28"/>
        </w:rPr>
      </w:pPr>
      <w:r w:rsidRPr="00E12183">
        <w:rPr>
          <w:rFonts w:cs="Arial"/>
          <w:bCs/>
        </w:rPr>
        <w:t xml:space="preserve">Having demonstrated what good quality training involves in a Pacific context, APTC has considerable potential to do more to </w:t>
      </w:r>
      <w:r w:rsidR="00BB24C8">
        <w:rPr>
          <w:rFonts w:cs="Arial"/>
          <w:bCs/>
        </w:rPr>
        <w:t xml:space="preserve">assist in </w:t>
      </w:r>
      <w:r w:rsidRPr="00E12183">
        <w:rPr>
          <w:rFonts w:cs="Arial"/>
          <w:bCs/>
        </w:rPr>
        <w:t>lift</w:t>
      </w:r>
      <w:r w:rsidR="00BB24C8">
        <w:rPr>
          <w:rFonts w:cs="Arial"/>
          <w:bCs/>
        </w:rPr>
        <w:t>ing</w:t>
      </w:r>
      <w:r w:rsidRPr="00E12183">
        <w:rPr>
          <w:rFonts w:cs="Arial"/>
          <w:bCs/>
        </w:rPr>
        <w:t xml:space="preserve"> the quality standards of Pacific TVET systems and providers</w:t>
      </w:r>
      <w:r w:rsidRPr="00815D2A">
        <w:rPr>
          <w:rFonts w:cs="Arial"/>
          <w:bCs/>
        </w:rPr>
        <w:t xml:space="preserve">. </w:t>
      </w:r>
      <w:r w:rsidR="001F7A20" w:rsidRPr="00DF7C96">
        <w:rPr>
          <w:rFonts w:cs="Arial"/>
          <w:bCs/>
        </w:rPr>
        <w:t xml:space="preserve">The Centre for Professional Development (CPD) has been established to deliver the </w:t>
      </w:r>
      <w:r w:rsidR="00D35D2B" w:rsidRPr="00D35D2B">
        <w:rPr>
          <w:rFonts w:cs="Arial"/>
          <w:szCs w:val="22"/>
          <w:lang w:val="en-GB" w:eastAsia="en-GB"/>
        </w:rPr>
        <w:t xml:space="preserve">Training and Education </w:t>
      </w:r>
      <w:r w:rsidR="00D35D2B">
        <w:rPr>
          <w:rFonts w:cs="Arial"/>
          <w:sz w:val="20"/>
          <w:szCs w:val="22"/>
          <w:lang w:val="en-GB" w:eastAsia="en-GB"/>
        </w:rPr>
        <w:t>(</w:t>
      </w:r>
      <w:r w:rsidR="001F7A20" w:rsidRPr="00DF7C96">
        <w:rPr>
          <w:rFonts w:cs="Arial"/>
          <w:bCs/>
        </w:rPr>
        <w:t>TAE</w:t>
      </w:r>
      <w:r w:rsidR="00D35D2B">
        <w:rPr>
          <w:rFonts w:cs="Arial"/>
          <w:bCs/>
        </w:rPr>
        <w:t>)</w:t>
      </w:r>
      <w:r w:rsidR="001F7A20" w:rsidRPr="00DF7C96">
        <w:rPr>
          <w:rFonts w:cs="Arial"/>
          <w:bCs/>
        </w:rPr>
        <w:t xml:space="preserve"> training package to partner institutions, </w:t>
      </w:r>
      <w:r w:rsidR="00B61320">
        <w:rPr>
          <w:rFonts w:cs="Arial"/>
          <w:bCs/>
        </w:rPr>
        <w:t xml:space="preserve">to </w:t>
      </w:r>
      <w:r w:rsidR="001F7A20" w:rsidRPr="00DF7C96">
        <w:rPr>
          <w:rFonts w:cs="Arial"/>
          <w:bCs/>
        </w:rPr>
        <w:t>APTC staff and on a fee-for service basis to the wider TVET sector</w:t>
      </w:r>
      <w:r w:rsidR="00D60A31">
        <w:rPr>
          <w:rFonts w:cs="Arial"/>
          <w:bCs/>
        </w:rPr>
        <w:t>,</w:t>
      </w:r>
      <w:r w:rsidR="001F7A20" w:rsidRPr="00DF7C96">
        <w:rPr>
          <w:rFonts w:cs="Arial"/>
          <w:bCs/>
        </w:rPr>
        <w:t xml:space="preserve"> as well as to support professional development more general</w:t>
      </w:r>
      <w:r w:rsidR="00B61320">
        <w:rPr>
          <w:rFonts w:cs="Arial"/>
          <w:bCs/>
        </w:rPr>
        <w:t>ly</w:t>
      </w:r>
      <w:r w:rsidR="001F7A20" w:rsidRPr="00DF7C96">
        <w:rPr>
          <w:rFonts w:cs="Arial"/>
          <w:bCs/>
        </w:rPr>
        <w:t xml:space="preserve"> and the nationalisation of staff. </w:t>
      </w:r>
      <w:r w:rsidR="00BB24C8" w:rsidRPr="00DF7C96">
        <w:rPr>
          <w:rFonts w:cs="Arial"/>
          <w:bCs/>
        </w:rPr>
        <w:t>Even with limited resources, i</w:t>
      </w:r>
      <w:r w:rsidR="001F7A20" w:rsidRPr="00DF7C96">
        <w:rPr>
          <w:rFonts w:cs="Arial"/>
          <w:bCs/>
        </w:rPr>
        <w:t>ts performance to date has been solid</w:t>
      </w:r>
      <w:r w:rsidR="00D35D2B">
        <w:rPr>
          <w:rFonts w:cs="Arial"/>
          <w:bCs/>
        </w:rPr>
        <w:t>.</w:t>
      </w:r>
      <w:r w:rsidR="001F7A20" w:rsidRPr="00DF7C96">
        <w:rPr>
          <w:rFonts w:cs="Arial"/>
          <w:bCs/>
        </w:rPr>
        <w:t xml:space="preserve"> </w:t>
      </w:r>
      <w:r w:rsidR="00D35D2B">
        <w:rPr>
          <w:rFonts w:cs="Arial"/>
          <w:bCs/>
        </w:rPr>
        <w:t>T</w:t>
      </w:r>
      <w:r w:rsidR="001F7A20" w:rsidRPr="00DF7C96">
        <w:rPr>
          <w:rFonts w:cs="Arial"/>
          <w:bCs/>
        </w:rPr>
        <w:t xml:space="preserve">he </w:t>
      </w:r>
      <w:r w:rsidR="00D60A31">
        <w:rPr>
          <w:rFonts w:cs="Arial"/>
        </w:rPr>
        <w:t>demand</w:t>
      </w:r>
      <w:r w:rsidR="001F7A20" w:rsidRPr="00DF7C96">
        <w:rPr>
          <w:rFonts w:cs="Arial"/>
        </w:rPr>
        <w:t xml:space="preserve"> for its services is likely to grow to meet APTC’s internal training needs related to accelerated staff nationalisation, to continue and extend its role with partner institutions, and to capitalise on opportunities for fee-for-service activity</w:t>
      </w:r>
      <w:r w:rsidR="006F7060">
        <w:rPr>
          <w:rFonts w:cs="Arial"/>
        </w:rPr>
        <w:t>.</w:t>
      </w:r>
    </w:p>
    <w:p w14:paraId="39AFCA67" w14:textId="44ECD77C" w:rsidR="00EF59E3" w:rsidRPr="00E12183" w:rsidRDefault="00EF59E3" w:rsidP="00AA38E6">
      <w:pPr>
        <w:pStyle w:val="Heading2"/>
      </w:pPr>
      <w:bookmarkStart w:id="51" w:name="_Toc278710525"/>
      <w:r w:rsidRPr="00E12183">
        <w:t>Findings and conclusions</w:t>
      </w:r>
      <w:bookmarkEnd w:id="51"/>
    </w:p>
    <w:p w14:paraId="27F49B00" w14:textId="77777777" w:rsidR="00EF59E3" w:rsidRPr="00E12183" w:rsidRDefault="00EF59E3" w:rsidP="00EF59E3">
      <w:pPr>
        <w:rPr>
          <w:rFonts w:cs="Arial"/>
          <w:bCs/>
          <w:color w:val="000000" w:themeColor="text1"/>
        </w:rPr>
      </w:pPr>
      <w:r w:rsidRPr="00E12183">
        <w:rPr>
          <w:rFonts w:cs="Arial"/>
          <w:bCs/>
          <w:color w:val="000000" w:themeColor="text1"/>
        </w:rPr>
        <w:t>The key findings of the evaluation team were:</w:t>
      </w:r>
    </w:p>
    <w:p w14:paraId="6DEB10B6" w14:textId="77777777" w:rsidR="00EF59E3" w:rsidRPr="00E12183" w:rsidRDefault="00EF59E3" w:rsidP="00532FE2">
      <w:pPr>
        <w:pStyle w:val="ListParagraph"/>
        <w:numPr>
          <w:ilvl w:val="0"/>
          <w:numId w:val="18"/>
        </w:numPr>
        <w:spacing w:after="200"/>
        <w:rPr>
          <w:rFonts w:cs="Arial"/>
          <w:bCs/>
          <w:color w:val="000000" w:themeColor="text1"/>
          <w:szCs w:val="22"/>
        </w:rPr>
      </w:pPr>
      <w:r w:rsidRPr="00E12183">
        <w:rPr>
          <w:rFonts w:cs="Arial"/>
          <w:bCs/>
          <w:color w:val="000000" w:themeColor="text1"/>
          <w:szCs w:val="22"/>
        </w:rPr>
        <w:t>APTC is highly valued by employers, graduates and students</w:t>
      </w:r>
    </w:p>
    <w:p w14:paraId="6DECFB6B" w14:textId="417286E0" w:rsidR="00EF59E3" w:rsidRPr="00E12183" w:rsidRDefault="00EF59E3" w:rsidP="00532FE2">
      <w:pPr>
        <w:pStyle w:val="ListParagraph"/>
        <w:numPr>
          <w:ilvl w:val="0"/>
          <w:numId w:val="18"/>
        </w:numPr>
        <w:spacing w:after="200"/>
        <w:rPr>
          <w:rFonts w:cs="Arial"/>
          <w:bCs/>
          <w:color w:val="000000" w:themeColor="text1"/>
          <w:szCs w:val="22"/>
        </w:rPr>
      </w:pPr>
      <w:r w:rsidRPr="00E12183">
        <w:rPr>
          <w:rFonts w:cs="Arial"/>
          <w:bCs/>
          <w:color w:val="000000" w:themeColor="text1"/>
          <w:szCs w:val="22"/>
        </w:rPr>
        <w:t>APTC has established itself as a high quality TVET provider that meets Australian standards</w:t>
      </w:r>
    </w:p>
    <w:p w14:paraId="377627E4" w14:textId="33DA6751" w:rsidR="00EF59E3" w:rsidRPr="00E12183" w:rsidRDefault="00EF59E3" w:rsidP="00532FE2">
      <w:pPr>
        <w:pStyle w:val="ListParagraph"/>
        <w:numPr>
          <w:ilvl w:val="0"/>
          <w:numId w:val="18"/>
        </w:numPr>
        <w:spacing w:after="200"/>
        <w:rPr>
          <w:rFonts w:cs="Arial"/>
          <w:bCs/>
          <w:color w:val="000000" w:themeColor="text1"/>
          <w:szCs w:val="22"/>
        </w:rPr>
      </w:pPr>
      <w:r w:rsidRPr="00E12183">
        <w:rPr>
          <w:rFonts w:cs="Arial"/>
          <w:bCs/>
          <w:color w:val="000000" w:themeColor="text1"/>
          <w:szCs w:val="22"/>
        </w:rPr>
        <w:t xml:space="preserve">many </w:t>
      </w:r>
      <w:r w:rsidR="00270862" w:rsidRPr="00E12183">
        <w:rPr>
          <w:rFonts w:cs="Arial"/>
          <w:bCs/>
          <w:color w:val="000000" w:themeColor="text1"/>
          <w:szCs w:val="22"/>
        </w:rPr>
        <w:t>policy</w:t>
      </w:r>
      <w:r w:rsidR="00270862">
        <w:rPr>
          <w:rFonts w:cs="Arial"/>
          <w:bCs/>
          <w:color w:val="000000" w:themeColor="text1"/>
          <w:szCs w:val="22"/>
        </w:rPr>
        <w:t>-</w:t>
      </w:r>
      <w:r w:rsidRPr="00E12183">
        <w:rPr>
          <w:rFonts w:cs="Arial"/>
          <w:bCs/>
          <w:color w:val="000000" w:themeColor="text1"/>
          <w:szCs w:val="22"/>
        </w:rPr>
        <w:t xml:space="preserve">makers and TVET authorities </w:t>
      </w:r>
      <w:r w:rsidR="00270862">
        <w:rPr>
          <w:rFonts w:cs="Arial"/>
          <w:bCs/>
          <w:color w:val="000000" w:themeColor="text1"/>
          <w:szCs w:val="22"/>
        </w:rPr>
        <w:t xml:space="preserve">view APTC </w:t>
      </w:r>
      <w:r w:rsidRPr="00E12183">
        <w:rPr>
          <w:rFonts w:cs="Arial"/>
          <w:bCs/>
          <w:color w:val="000000" w:themeColor="text1"/>
          <w:szCs w:val="22"/>
        </w:rPr>
        <w:t>as setting the benchmark for the delivery of high quality training in the Pacific</w:t>
      </w:r>
    </w:p>
    <w:p w14:paraId="4AE51E95" w14:textId="2A67A71B" w:rsidR="00EF59E3" w:rsidRPr="00E12183" w:rsidRDefault="00270862" w:rsidP="00532FE2">
      <w:pPr>
        <w:pStyle w:val="ListParagraph"/>
        <w:numPr>
          <w:ilvl w:val="0"/>
          <w:numId w:val="18"/>
        </w:numPr>
        <w:spacing w:after="200"/>
        <w:rPr>
          <w:rFonts w:cs="Arial"/>
          <w:bCs/>
          <w:color w:val="000000" w:themeColor="text1"/>
          <w:szCs w:val="22"/>
        </w:rPr>
      </w:pPr>
      <w:r>
        <w:rPr>
          <w:rFonts w:cs="Arial"/>
          <w:bCs/>
          <w:color w:val="000000" w:themeColor="text1"/>
          <w:szCs w:val="22"/>
        </w:rPr>
        <w:t>h</w:t>
      </w:r>
      <w:r w:rsidRPr="00E12183">
        <w:rPr>
          <w:rFonts w:cs="Arial"/>
          <w:bCs/>
          <w:color w:val="000000" w:themeColor="text1"/>
          <w:szCs w:val="22"/>
        </w:rPr>
        <w:t>owever</w:t>
      </w:r>
      <w:r w:rsidR="00EF59E3" w:rsidRPr="00E12183">
        <w:rPr>
          <w:rFonts w:cs="Arial"/>
          <w:bCs/>
          <w:color w:val="000000" w:themeColor="text1"/>
          <w:szCs w:val="22"/>
        </w:rPr>
        <w:t>, APTC operates in a ‘strategic vacuum’ without a long-term vision</w:t>
      </w:r>
      <w:r w:rsidR="00DF5D01">
        <w:rPr>
          <w:rFonts w:cs="Arial"/>
          <w:bCs/>
          <w:color w:val="000000" w:themeColor="text1"/>
          <w:szCs w:val="22"/>
        </w:rPr>
        <w:t xml:space="preserve"> provided by</w:t>
      </w:r>
      <w:r w:rsidR="00BA713F">
        <w:rPr>
          <w:rFonts w:cs="Arial"/>
          <w:bCs/>
          <w:color w:val="000000" w:themeColor="text1"/>
          <w:szCs w:val="22"/>
        </w:rPr>
        <w:t xml:space="preserve"> DFAT</w:t>
      </w:r>
      <w:r w:rsidR="00EF59E3" w:rsidRPr="00E12183">
        <w:rPr>
          <w:rFonts w:cs="Arial"/>
          <w:bCs/>
          <w:color w:val="000000" w:themeColor="text1"/>
          <w:szCs w:val="22"/>
        </w:rPr>
        <w:t xml:space="preserve">, and this impedes its ability to plan for the future and build ownership  </w:t>
      </w:r>
    </w:p>
    <w:p w14:paraId="52D32247" w14:textId="7308AF5C" w:rsidR="00EF59E3" w:rsidRPr="00E12183" w:rsidRDefault="00EF59E3" w:rsidP="00532FE2">
      <w:pPr>
        <w:pStyle w:val="ListParagraph"/>
        <w:numPr>
          <w:ilvl w:val="0"/>
          <w:numId w:val="18"/>
        </w:numPr>
        <w:spacing w:after="200"/>
        <w:rPr>
          <w:rFonts w:cs="Arial"/>
          <w:bCs/>
          <w:color w:val="000000" w:themeColor="text1"/>
          <w:szCs w:val="22"/>
        </w:rPr>
      </w:pPr>
      <w:r w:rsidRPr="00E12183">
        <w:rPr>
          <w:rFonts w:cs="Arial"/>
          <w:bCs/>
          <w:color w:val="000000" w:themeColor="text1"/>
          <w:szCs w:val="22"/>
        </w:rPr>
        <w:t xml:space="preserve">APTC is mostly a scholarship institution with relatively little funding from employers and students </w:t>
      </w:r>
    </w:p>
    <w:p w14:paraId="08D6EA11" w14:textId="48C0169B" w:rsidR="00EF59E3" w:rsidRPr="00E12183" w:rsidRDefault="00270862" w:rsidP="00532FE2">
      <w:pPr>
        <w:pStyle w:val="ListParagraph"/>
        <w:numPr>
          <w:ilvl w:val="0"/>
          <w:numId w:val="18"/>
        </w:numPr>
        <w:spacing w:after="200"/>
        <w:rPr>
          <w:rFonts w:cs="Arial"/>
          <w:bCs/>
          <w:color w:val="000000" w:themeColor="text1"/>
          <w:szCs w:val="22"/>
        </w:rPr>
      </w:pPr>
      <w:r>
        <w:rPr>
          <w:rFonts w:cs="Arial"/>
          <w:bCs/>
          <w:color w:val="000000" w:themeColor="text1"/>
          <w:szCs w:val="22"/>
        </w:rPr>
        <w:t>t</w:t>
      </w:r>
      <w:r w:rsidRPr="00E12183">
        <w:rPr>
          <w:rFonts w:cs="Arial"/>
          <w:bCs/>
          <w:color w:val="000000" w:themeColor="text1"/>
          <w:szCs w:val="22"/>
        </w:rPr>
        <w:t xml:space="preserve">he </w:t>
      </w:r>
      <w:r w:rsidR="00EF59E3" w:rsidRPr="00E12183">
        <w:rPr>
          <w:rFonts w:cs="Arial"/>
          <w:bCs/>
          <w:color w:val="000000" w:themeColor="text1"/>
          <w:szCs w:val="22"/>
        </w:rPr>
        <w:t xml:space="preserve">level of development and prospects of </w:t>
      </w:r>
      <w:r>
        <w:rPr>
          <w:rFonts w:cs="Arial"/>
          <w:bCs/>
          <w:color w:val="000000" w:themeColor="text1"/>
          <w:szCs w:val="22"/>
        </w:rPr>
        <w:t>each</w:t>
      </w:r>
      <w:r w:rsidRPr="00E12183">
        <w:rPr>
          <w:rFonts w:cs="Arial"/>
          <w:bCs/>
          <w:color w:val="000000" w:themeColor="text1"/>
          <w:szCs w:val="22"/>
        </w:rPr>
        <w:t xml:space="preserve"> </w:t>
      </w:r>
      <w:r w:rsidR="00EF59E3" w:rsidRPr="00E12183">
        <w:rPr>
          <w:rFonts w:cs="Arial"/>
          <w:bCs/>
          <w:color w:val="000000" w:themeColor="text1"/>
          <w:szCs w:val="22"/>
        </w:rPr>
        <w:t xml:space="preserve">country campus </w:t>
      </w:r>
      <w:r w:rsidRPr="00E12183">
        <w:rPr>
          <w:rFonts w:cs="Arial"/>
          <w:bCs/>
          <w:color w:val="000000" w:themeColor="text1"/>
          <w:szCs w:val="22"/>
        </w:rPr>
        <w:t>var</w:t>
      </w:r>
      <w:r>
        <w:rPr>
          <w:rFonts w:cs="Arial"/>
          <w:bCs/>
          <w:color w:val="000000" w:themeColor="text1"/>
          <w:szCs w:val="22"/>
        </w:rPr>
        <w:t>ies</w:t>
      </w:r>
      <w:r w:rsidRPr="00E12183">
        <w:rPr>
          <w:rFonts w:cs="Arial"/>
          <w:bCs/>
          <w:color w:val="000000" w:themeColor="text1"/>
          <w:szCs w:val="22"/>
        </w:rPr>
        <w:t xml:space="preserve"> </w:t>
      </w:r>
      <w:r w:rsidR="00EF59E3" w:rsidRPr="00E12183">
        <w:rPr>
          <w:rFonts w:cs="Arial"/>
          <w:bCs/>
          <w:color w:val="000000" w:themeColor="text1"/>
          <w:szCs w:val="22"/>
        </w:rPr>
        <w:t xml:space="preserve">greatly </w:t>
      </w:r>
    </w:p>
    <w:p w14:paraId="37DE53B6" w14:textId="2C883E38" w:rsidR="00EF59E3" w:rsidRPr="00E12183" w:rsidRDefault="00270862" w:rsidP="00532FE2">
      <w:pPr>
        <w:pStyle w:val="ListParagraph"/>
        <w:numPr>
          <w:ilvl w:val="0"/>
          <w:numId w:val="18"/>
        </w:numPr>
        <w:spacing w:after="200"/>
        <w:rPr>
          <w:rFonts w:cs="Arial"/>
          <w:bCs/>
          <w:color w:val="000000" w:themeColor="text1"/>
          <w:szCs w:val="22"/>
        </w:rPr>
      </w:pPr>
      <w:r>
        <w:rPr>
          <w:rFonts w:cs="Arial"/>
          <w:bCs/>
          <w:color w:val="000000" w:themeColor="text1"/>
          <w:szCs w:val="22"/>
        </w:rPr>
        <w:t>r</w:t>
      </w:r>
      <w:r w:rsidRPr="00E12183">
        <w:rPr>
          <w:rFonts w:cs="Arial"/>
          <w:bCs/>
          <w:color w:val="000000" w:themeColor="text1"/>
          <w:szCs w:val="22"/>
        </w:rPr>
        <w:t xml:space="preserve">elatively </w:t>
      </w:r>
      <w:r w:rsidR="00EF59E3" w:rsidRPr="00E12183">
        <w:rPr>
          <w:rFonts w:cs="Arial"/>
          <w:bCs/>
          <w:color w:val="000000" w:themeColor="text1"/>
          <w:szCs w:val="22"/>
        </w:rPr>
        <w:t xml:space="preserve">little medium to </w:t>
      </w:r>
      <w:r w:rsidRPr="00E12183">
        <w:rPr>
          <w:rFonts w:cs="Arial"/>
          <w:bCs/>
          <w:color w:val="000000" w:themeColor="text1"/>
          <w:szCs w:val="22"/>
        </w:rPr>
        <w:t>long</w:t>
      </w:r>
      <w:r>
        <w:rPr>
          <w:rFonts w:cs="Arial"/>
          <w:bCs/>
          <w:color w:val="000000" w:themeColor="text1"/>
          <w:szCs w:val="22"/>
        </w:rPr>
        <w:t>-</w:t>
      </w:r>
      <w:r w:rsidR="00EF59E3" w:rsidRPr="00E12183">
        <w:rPr>
          <w:rFonts w:cs="Arial"/>
          <w:bCs/>
          <w:color w:val="000000" w:themeColor="text1"/>
          <w:szCs w:val="22"/>
        </w:rPr>
        <w:t xml:space="preserve">term planning takes place at </w:t>
      </w:r>
      <w:r>
        <w:rPr>
          <w:rFonts w:cs="Arial"/>
          <w:bCs/>
          <w:color w:val="000000" w:themeColor="text1"/>
          <w:szCs w:val="22"/>
        </w:rPr>
        <w:t xml:space="preserve">the </w:t>
      </w:r>
      <w:r w:rsidR="00EF59E3" w:rsidRPr="00E12183">
        <w:rPr>
          <w:rFonts w:cs="Arial"/>
          <w:bCs/>
          <w:color w:val="000000" w:themeColor="text1"/>
          <w:szCs w:val="22"/>
        </w:rPr>
        <w:t>country level</w:t>
      </w:r>
    </w:p>
    <w:p w14:paraId="673E362C" w14:textId="01C7A9D0" w:rsidR="00EF59E3" w:rsidRPr="00E12183" w:rsidRDefault="00EF59E3" w:rsidP="00532FE2">
      <w:pPr>
        <w:pStyle w:val="ListParagraph"/>
        <w:numPr>
          <w:ilvl w:val="0"/>
          <w:numId w:val="18"/>
        </w:numPr>
        <w:spacing w:after="200"/>
        <w:rPr>
          <w:rFonts w:cs="Arial"/>
          <w:bCs/>
          <w:color w:val="000000" w:themeColor="text1"/>
          <w:szCs w:val="22"/>
        </w:rPr>
      </w:pPr>
      <w:r w:rsidRPr="00E12183">
        <w:rPr>
          <w:rFonts w:cs="Arial"/>
          <w:bCs/>
          <w:color w:val="000000" w:themeColor="text1"/>
          <w:szCs w:val="22"/>
        </w:rPr>
        <w:t>APTC consortium and management arrangements entail duplication and inefficiencies</w:t>
      </w:r>
    </w:p>
    <w:p w14:paraId="16FCD8F8" w14:textId="4E279826" w:rsidR="00AF55E0" w:rsidRDefault="00F17ABF" w:rsidP="00532FE2">
      <w:pPr>
        <w:pStyle w:val="ListParagraph"/>
        <w:numPr>
          <w:ilvl w:val="0"/>
          <w:numId w:val="18"/>
        </w:numPr>
        <w:spacing w:after="200"/>
      </w:pPr>
      <w:r>
        <w:rPr>
          <w:rFonts w:cs="Arial"/>
          <w:bCs/>
          <w:color w:val="000000" w:themeColor="text1"/>
          <w:szCs w:val="22"/>
        </w:rPr>
        <w:t>t</w:t>
      </w:r>
      <w:r w:rsidRPr="00E12183">
        <w:rPr>
          <w:rFonts w:cs="Arial"/>
          <w:bCs/>
          <w:color w:val="000000" w:themeColor="text1"/>
          <w:szCs w:val="22"/>
        </w:rPr>
        <w:t xml:space="preserve">he </w:t>
      </w:r>
      <w:r w:rsidR="00EF59E3" w:rsidRPr="00E12183">
        <w:rPr>
          <w:rFonts w:cs="Arial"/>
          <w:bCs/>
          <w:color w:val="000000" w:themeColor="text1"/>
          <w:szCs w:val="22"/>
        </w:rPr>
        <w:t xml:space="preserve">nationalisation of teaching staff is essential for the sustainability of APTC, but it also poses challenges to maintain vocational and professional currency. </w:t>
      </w:r>
    </w:p>
    <w:p w14:paraId="7D1C5D0F" w14:textId="62068035" w:rsidR="001C7978" w:rsidRPr="005F0F2D" w:rsidRDefault="001C7978" w:rsidP="005F0F2D">
      <w:pPr>
        <w:pStyle w:val="Heading1"/>
      </w:pPr>
      <w:bookmarkStart w:id="52" w:name="_Toc278710526"/>
      <w:r w:rsidRPr="005F0F2D">
        <w:lastRenderedPageBreak/>
        <w:t>Labour mobility</w:t>
      </w:r>
      <w:r w:rsidR="00534925" w:rsidRPr="005B069E">
        <w:rPr>
          <w:rStyle w:val="FootnoteReference"/>
          <w:b w:val="0"/>
        </w:rPr>
        <w:footnoteReference w:id="33"/>
      </w:r>
      <w:bookmarkEnd w:id="52"/>
    </w:p>
    <w:p w14:paraId="442B06C7" w14:textId="7B409C03" w:rsidR="001C7978" w:rsidRPr="005F0F2D" w:rsidRDefault="001C7978" w:rsidP="005F0F2D">
      <w:pPr>
        <w:pStyle w:val="Heading2"/>
      </w:pPr>
      <w:bookmarkStart w:id="53" w:name="_Toc278710527"/>
      <w:r w:rsidRPr="005F0F2D">
        <w:t>APTC training and access to regional and international labour</w:t>
      </w:r>
      <w:r w:rsidR="005B069E">
        <w:t> </w:t>
      </w:r>
      <w:r w:rsidRPr="005F0F2D">
        <w:t>markets</w:t>
      </w:r>
      <w:bookmarkEnd w:id="53"/>
      <w:r w:rsidRPr="005F0F2D">
        <w:t xml:space="preserve"> </w:t>
      </w:r>
    </w:p>
    <w:p w14:paraId="41AFE3B9" w14:textId="6004B87A" w:rsidR="001C7978" w:rsidRPr="00E12183" w:rsidRDefault="001C7978" w:rsidP="001C7978">
      <w:pPr>
        <w:spacing w:before="120"/>
        <w:rPr>
          <w:lang w:eastAsia="zh-CN"/>
        </w:rPr>
      </w:pPr>
      <w:r w:rsidRPr="00E12183">
        <w:rPr>
          <w:lang w:eastAsia="zh-CN"/>
        </w:rPr>
        <w:t>A core objective of APTC from its inception has been to achieve greater regional and international labour mobility for its graduates</w:t>
      </w:r>
      <w:r w:rsidR="00A90190">
        <w:rPr>
          <w:lang w:eastAsia="zh-CN"/>
        </w:rPr>
        <w:t>,</w:t>
      </w:r>
      <w:r w:rsidRPr="00E12183">
        <w:rPr>
          <w:lang w:eastAsia="zh-CN"/>
        </w:rPr>
        <w:t xml:space="preserve"> as well as helping Pacific Islander</w:t>
      </w:r>
      <w:r w:rsidR="001E0418">
        <w:rPr>
          <w:lang w:eastAsia="zh-CN"/>
        </w:rPr>
        <w:t>s</w:t>
      </w:r>
      <w:r w:rsidRPr="00E12183">
        <w:rPr>
          <w:lang w:eastAsia="zh-CN"/>
        </w:rPr>
        <w:t xml:space="preserve"> to realise improved employment opportunities nationally. The labour mobility objective is key to understanding APTC’s predominant focus on delivering full qualifications, rather than skills sets or modules, as is common in Australia. However, the sole focus in APTC’s design on delivering Australia qualifications largely to upgrade the skills of existing employees sent mixed signals to Pacific employers and their governments who feared a brain drain would result. </w:t>
      </w:r>
    </w:p>
    <w:p w14:paraId="13C00B79" w14:textId="3A7E3BA4" w:rsidR="001C7978" w:rsidRPr="00E12183" w:rsidRDefault="001C7978" w:rsidP="001C7978">
      <w:pPr>
        <w:spacing w:before="120"/>
        <w:rPr>
          <w:lang w:eastAsia="zh-CN"/>
        </w:rPr>
      </w:pPr>
      <w:r w:rsidRPr="00E12183">
        <w:rPr>
          <w:lang w:eastAsia="zh-CN"/>
        </w:rPr>
        <w:t xml:space="preserve">Most students and graduates </w:t>
      </w:r>
      <w:r w:rsidR="00A90190">
        <w:rPr>
          <w:lang w:eastAsia="zh-CN"/>
        </w:rPr>
        <w:t xml:space="preserve">consulted by </w:t>
      </w:r>
      <w:r w:rsidRPr="00E12183">
        <w:rPr>
          <w:lang w:eastAsia="zh-CN"/>
        </w:rPr>
        <w:t xml:space="preserve">the review team </w:t>
      </w:r>
      <w:r w:rsidR="00A90190">
        <w:rPr>
          <w:lang w:eastAsia="zh-CN"/>
        </w:rPr>
        <w:t>see</w:t>
      </w:r>
      <w:r w:rsidRPr="00E12183">
        <w:rPr>
          <w:lang w:eastAsia="zh-CN"/>
        </w:rPr>
        <w:t xml:space="preserve"> the Australian qualifications that APTC offers as a passport to work overseas. Most of the current APTC students and graduates surveyed plan</w:t>
      </w:r>
      <w:r w:rsidR="00A90190">
        <w:rPr>
          <w:lang w:eastAsia="zh-CN"/>
        </w:rPr>
        <w:t>,</w:t>
      </w:r>
      <w:r w:rsidRPr="00E12183">
        <w:rPr>
          <w:lang w:eastAsia="zh-CN"/>
        </w:rPr>
        <w:t xml:space="preserve"> or have taken steps</w:t>
      </w:r>
      <w:r w:rsidR="00A90190">
        <w:rPr>
          <w:lang w:eastAsia="zh-CN"/>
        </w:rPr>
        <w:t>,</w:t>
      </w:r>
      <w:r w:rsidRPr="00E12183">
        <w:rPr>
          <w:lang w:eastAsia="zh-CN"/>
        </w:rPr>
        <w:t xml:space="preserve"> to migrate overseas</w:t>
      </w:r>
      <w:r w:rsidR="00A90190">
        <w:rPr>
          <w:lang w:eastAsia="zh-CN"/>
        </w:rPr>
        <w:t>,</w:t>
      </w:r>
      <w:r w:rsidRPr="00E12183">
        <w:rPr>
          <w:lang w:eastAsia="zh-CN"/>
        </w:rPr>
        <w:t xml:space="preserve"> and view their qualification as the key to doing this. However, evidence from different sources confirms that few graduates have </w:t>
      </w:r>
      <w:r w:rsidR="005B069E">
        <w:rPr>
          <w:lang w:eastAsia="zh-CN"/>
        </w:rPr>
        <w:t xml:space="preserve">actually </w:t>
      </w:r>
      <w:r w:rsidRPr="00E12183">
        <w:rPr>
          <w:lang w:eastAsia="zh-CN"/>
        </w:rPr>
        <w:t xml:space="preserve">migrated to work in Australia or New Zealand and still fewer elsewhere in the Pacific. This chapter discusses the reasons for the low rate of labour mobility, the obstacles faced by graduates who want to migrate, and recommendations about how to address these barriers. </w:t>
      </w:r>
    </w:p>
    <w:p w14:paraId="4984DD93" w14:textId="77777777" w:rsidR="001C7978" w:rsidRPr="005F0F2D" w:rsidRDefault="001C7978" w:rsidP="005F0F2D">
      <w:pPr>
        <w:pStyle w:val="Heading3"/>
      </w:pPr>
      <w:bookmarkStart w:id="54" w:name="_Toc278710528"/>
      <w:r w:rsidRPr="005F0F2D">
        <w:t>Background</w:t>
      </w:r>
      <w:bookmarkEnd w:id="54"/>
    </w:p>
    <w:p w14:paraId="09352839" w14:textId="0F807076" w:rsidR="001C7978" w:rsidRPr="00E12183" w:rsidRDefault="001C7978" w:rsidP="001C7978">
      <w:pPr>
        <w:spacing w:before="120"/>
        <w:rPr>
          <w:lang w:eastAsia="zh-CN"/>
        </w:rPr>
      </w:pPr>
      <w:r w:rsidRPr="00E12183">
        <w:rPr>
          <w:lang w:eastAsia="zh-CN"/>
        </w:rPr>
        <w:t xml:space="preserve">One of the three development goals of APTC in the Stage II </w:t>
      </w:r>
      <w:r w:rsidR="00113832">
        <w:rPr>
          <w:lang w:eastAsia="zh-CN"/>
        </w:rPr>
        <w:t>Scope of Services (</w:t>
      </w:r>
      <w:r w:rsidRPr="00E12183">
        <w:rPr>
          <w:lang w:eastAsia="zh-CN"/>
        </w:rPr>
        <w:t>SoS</w:t>
      </w:r>
      <w:r w:rsidR="00113832">
        <w:rPr>
          <w:lang w:eastAsia="zh-CN"/>
        </w:rPr>
        <w:t>)</w:t>
      </w:r>
      <w:r w:rsidRPr="00E12183">
        <w:rPr>
          <w:lang w:eastAsia="zh-CN"/>
        </w:rPr>
        <w:t xml:space="preserve"> is: 'Employment: Pacific Islander women and men with Australian qualifications realise improved employment opportunities nationally, regionally and internationally in targeted sectors' (Schedule 1, section 4.1). The emphasis on training for Australian occupations in-demand was not mentioned specifically in Stage II, as in Stage I. Nevertheless, providing training that met Australian requirements was still seen as important. The Stage II SoS required the contractor to undertake labour market analysis not only of the formal economic sectors in each Pacific country, but also of </w:t>
      </w:r>
      <w:r w:rsidR="001452B2">
        <w:rPr>
          <w:lang w:eastAsia="zh-CN"/>
        </w:rPr>
        <w:t>‘</w:t>
      </w:r>
      <w:r w:rsidR="001452B2" w:rsidRPr="00E12183">
        <w:rPr>
          <w:lang w:eastAsia="zh-CN"/>
        </w:rPr>
        <w:t xml:space="preserve">the </w:t>
      </w:r>
      <w:r w:rsidRPr="00E12183">
        <w:rPr>
          <w:lang w:eastAsia="zh-CN"/>
        </w:rPr>
        <w:t xml:space="preserve">metropolitan countries outside the region that APTC graduates are likely to find employment in, notably Australia and New </w:t>
      </w:r>
      <w:r w:rsidR="001452B2" w:rsidRPr="00E12183">
        <w:rPr>
          <w:lang w:eastAsia="zh-CN"/>
        </w:rPr>
        <w:t>Zealand</w:t>
      </w:r>
      <w:r w:rsidR="001452B2">
        <w:rPr>
          <w:lang w:eastAsia="zh-CN"/>
        </w:rPr>
        <w:t>’</w:t>
      </w:r>
      <w:r w:rsidR="001452B2" w:rsidRPr="00E12183">
        <w:rPr>
          <w:lang w:eastAsia="zh-CN"/>
        </w:rPr>
        <w:t xml:space="preserve"> </w:t>
      </w:r>
      <w:r w:rsidRPr="00E12183">
        <w:rPr>
          <w:lang w:eastAsia="zh-CN"/>
        </w:rPr>
        <w:t xml:space="preserve">(Schedule 1: </w:t>
      </w:r>
      <w:r w:rsidR="004F4AF8">
        <w:rPr>
          <w:lang w:eastAsia="zh-CN"/>
        </w:rPr>
        <w:t>SoS</w:t>
      </w:r>
      <w:r w:rsidRPr="00E12183">
        <w:rPr>
          <w:lang w:eastAsia="zh-CN"/>
        </w:rPr>
        <w:t xml:space="preserve"> </w:t>
      </w:r>
      <w:r w:rsidR="004F4AF8">
        <w:rPr>
          <w:lang w:eastAsia="zh-CN"/>
        </w:rPr>
        <w:t>APTC</w:t>
      </w:r>
      <w:r w:rsidRPr="00E12183">
        <w:rPr>
          <w:lang w:eastAsia="zh-CN"/>
        </w:rPr>
        <w:t xml:space="preserve"> Stage II, Para 5.25).</w:t>
      </w:r>
      <w:r w:rsidRPr="00E12183">
        <w:rPr>
          <w:color w:val="000000"/>
          <w:sz w:val="16"/>
          <w:szCs w:val="16"/>
          <w:vertAlign w:val="superscript"/>
          <w:lang w:eastAsia="zh-CN"/>
        </w:rPr>
        <w:footnoteReference w:id="34"/>
      </w:r>
      <w:r w:rsidRPr="00E12183">
        <w:rPr>
          <w:lang w:eastAsia="zh-CN"/>
        </w:rPr>
        <w:t xml:space="preserve"> </w:t>
      </w:r>
    </w:p>
    <w:p w14:paraId="5754C1B0" w14:textId="4D672A52" w:rsidR="001C7978" w:rsidRPr="00E12183" w:rsidRDefault="001C7978" w:rsidP="001C7978">
      <w:pPr>
        <w:spacing w:before="120"/>
        <w:rPr>
          <w:i/>
          <w:lang w:eastAsia="zh-CN"/>
        </w:rPr>
      </w:pPr>
      <w:r w:rsidRPr="00E12183">
        <w:rPr>
          <w:lang w:eastAsia="zh-CN"/>
        </w:rPr>
        <w:t xml:space="preserve">Furthermore, the Stage II design document stated that many APTC graduates are keen to access offshore employment. It noted that the more who do so, the higher the </w:t>
      </w:r>
      <w:r w:rsidR="00113832">
        <w:rPr>
          <w:lang w:eastAsia="zh-CN"/>
        </w:rPr>
        <w:t>economic rate of return (</w:t>
      </w:r>
      <w:r w:rsidRPr="00E12183">
        <w:rPr>
          <w:lang w:eastAsia="zh-CN"/>
        </w:rPr>
        <w:t>ERR</w:t>
      </w:r>
      <w:r w:rsidR="00113832">
        <w:rPr>
          <w:lang w:eastAsia="zh-CN"/>
        </w:rPr>
        <w:t>)</w:t>
      </w:r>
      <w:r w:rsidRPr="00E12183">
        <w:rPr>
          <w:lang w:eastAsia="zh-CN"/>
        </w:rPr>
        <w:t xml:space="preserve"> because for graduates who obtain work only in their home countries, the ERR in most cases does not exceed </w:t>
      </w:r>
      <w:r w:rsidR="00444B6E">
        <w:rPr>
          <w:lang w:eastAsia="zh-CN"/>
        </w:rPr>
        <w:t>eight</w:t>
      </w:r>
      <w:r w:rsidR="00444B6E" w:rsidRPr="00E12183">
        <w:rPr>
          <w:lang w:eastAsia="zh-CN"/>
        </w:rPr>
        <w:t xml:space="preserve"> </w:t>
      </w:r>
      <w:r w:rsidRPr="00E12183">
        <w:rPr>
          <w:lang w:eastAsia="zh-CN"/>
        </w:rPr>
        <w:t>per cent. The design document went on to conclude that this highlights the importance of the rationale of facilitating regional labour mobility as a means of enhancing employment and income opportunities.</w:t>
      </w:r>
      <w:r w:rsidRPr="00E12183">
        <w:rPr>
          <w:rStyle w:val="FootnoteReference"/>
          <w:lang w:val="en-AU"/>
        </w:rPr>
        <w:footnoteReference w:id="35"/>
      </w:r>
      <w:r w:rsidRPr="00E12183">
        <w:rPr>
          <w:lang w:eastAsia="zh-CN"/>
        </w:rPr>
        <w:t xml:space="preserve">  </w:t>
      </w:r>
    </w:p>
    <w:p w14:paraId="69975281" w14:textId="315AC55B" w:rsidR="001C7978" w:rsidRPr="00E12183" w:rsidRDefault="001C7978" w:rsidP="001C7978">
      <w:pPr>
        <w:spacing w:before="120"/>
        <w:rPr>
          <w:rFonts w:cs="Arial"/>
          <w:iCs/>
          <w:color w:val="000000"/>
          <w:lang w:eastAsia="en-AU"/>
        </w:rPr>
      </w:pPr>
      <w:r w:rsidRPr="00E12183">
        <w:rPr>
          <w:rFonts w:cs="Arial"/>
          <w:iCs/>
          <w:color w:val="000000"/>
          <w:lang w:eastAsia="en-AU"/>
        </w:rPr>
        <w:t>Despite this emphasis in the APTC design on promot</w:t>
      </w:r>
      <w:r w:rsidR="00A90A98">
        <w:rPr>
          <w:rFonts w:cs="Arial"/>
          <w:iCs/>
          <w:color w:val="000000"/>
          <w:lang w:eastAsia="en-AU"/>
        </w:rPr>
        <w:t>ing</w:t>
      </w:r>
      <w:r w:rsidRPr="00E12183">
        <w:rPr>
          <w:rFonts w:cs="Arial"/>
          <w:iCs/>
          <w:color w:val="000000"/>
          <w:lang w:eastAsia="en-AU"/>
        </w:rPr>
        <w:t xml:space="preserve"> regional and international labour mobility, APTC has not pursued this objective. The reasons for this are complex but include several overlapping factors. An important factor is the design of APTC. The design documents for Stages I and II failed to note as a major risk the potential conflict </w:t>
      </w:r>
      <w:r w:rsidRPr="00E12183">
        <w:rPr>
          <w:rFonts w:cs="Arial"/>
          <w:iCs/>
          <w:color w:val="000000"/>
          <w:lang w:eastAsia="en-AU"/>
        </w:rPr>
        <w:lastRenderedPageBreak/>
        <w:t xml:space="preserve">from trying to meet both Pacific and international skill needs by offering Australian qualifications to upgrade the skills of a </w:t>
      </w:r>
      <w:r w:rsidR="00B03058">
        <w:rPr>
          <w:rFonts w:cs="Arial"/>
          <w:iCs/>
          <w:color w:val="000000"/>
          <w:lang w:eastAsia="en-AU"/>
        </w:rPr>
        <w:t>target</w:t>
      </w:r>
      <w:r w:rsidR="00B03058" w:rsidRPr="00E12183">
        <w:rPr>
          <w:rFonts w:cs="Arial"/>
          <w:iCs/>
          <w:color w:val="000000"/>
          <w:lang w:eastAsia="en-AU"/>
        </w:rPr>
        <w:t xml:space="preserve"> </w:t>
      </w:r>
      <w:r w:rsidRPr="00E12183">
        <w:rPr>
          <w:rFonts w:cs="Arial"/>
          <w:iCs/>
          <w:color w:val="000000"/>
          <w:lang w:eastAsia="en-AU"/>
        </w:rPr>
        <w:t>group of existing workers. The initial sole focus on the delivery of full Australian qualifications to existing workers via scholarships sent a strong signal to key stakeholders</w:t>
      </w:r>
      <w:r w:rsidR="00444B6E">
        <w:rPr>
          <w:rFonts w:cs="Arial"/>
          <w:iCs/>
          <w:color w:val="000000"/>
          <w:lang w:eastAsia="en-AU"/>
        </w:rPr>
        <w:t>,</w:t>
      </w:r>
      <w:r w:rsidRPr="00E12183">
        <w:rPr>
          <w:rFonts w:cs="Arial"/>
          <w:iCs/>
          <w:color w:val="000000"/>
          <w:lang w:eastAsia="en-AU"/>
        </w:rPr>
        <w:t xml:space="preserve"> such as employers in Pacific countries</w:t>
      </w:r>
      <w:r w:rsidR="00444B6E">
        <w:rPr>
          <w:rFonts w:cs="Arial"/>
          <w:iCs/>
          <w:color w:val="000000"/>
          <w:lang w:eastAsia="en-AU"/>
        </w:rPr>
        <w:t>,</w:t>
      </w:r>
      <w:r w:rsidRPr="00E12183">
        <w:rPr>
          <w:rFonts w:cs="Arial"/>
          <w:iCs/>
          <w:color w:val="000000"/>
          <w:lang w:eastAsia="en-AU"/>
        </w:rPr>
        <w:t xml:space="preserve"> that APTC was promoting a brain drain of their skilled workers. Stage II </w:t>
      </w:r>
      <w:r w:rsidR="003346AA" w:rsidRPr="003346AA">
        <w:rPr>
          <w:rFonts w:cs="Arial"/>
          <w:iCs/>
          <w:color w:val="000000"/>
          <w:lang w:eastAsia="en-AU"/>
        </w:rPr>
        <w:t>allowed a broader target group of applicants</w:t>
      </w:r>
      <w:r w:rsidR="003346AA" w:rsidRPr="003346AA" w:rsidDel="003346AA">
        <w:rPr>
          <w:rFonts w:cs="Arial"/>
          <w:iCs/>
          <w:color w:val="000000"/>
          <w:lang w:eastAsia="en-AU"/>
        </w:rPr>
        <w:t xml:space="preserve"> </w:t>
      </w:r>
      <w:r w:rsidRPr="00E12183">
        <w:rPr>
          <w:rFonts w:cs="Arial"/>
          <w:iCs/>
          <w:color w:val="000000"/>
          <w:lang w:eastAsia="en-AU"/>
        </w:rPr>
        <w:t xml:space="preserve">for the </w:t>
      </w:r>
      <w:r w:rsidR="00444B6E" w:rsidRPr="00E12183">
        <w:rPr>
          <w:rFonts w:cs="Arial"/>
          <w:iCs/>
          <w:color w:val="000000"/>
          <w:lang w:eastAsia="en-AU"/>
        </w:rPr>
        <w:t>trade</w:t>
      </w:r>
      <w:r w:rsidR="00444B6E">
        <w:rPr>
          <w:rFonts w:cs="Arial"/>
          <w:iCs/>
          <w:color w:val="000000"/>
          <w:lang w:eastAsia="en-AU"/>
        </w:rPr>
        <w:t>-</w:t>
      </w:r>
      <w:r w:rsidRPr="00E12183">
        <w:rPr>
          <w:rFonts w:cs="Arial"/>
          <w:iCs/>
          <w:color w:val="000000"/>
          <w:lang w:eastAsia="en-AU"/>
        </w:rPr>
        <w:t xml:space="preserve">based qualifications </w:t>
      </w:r>
      <w:r w:rsidR="003346AA">
        <w:rPr>
          <w:rFonts w:cs="Arial"/>
          <w:iCs/>
          <w:color w:val="000000"/>
          <w:lang w:eastAsia="en-AU"/>
        </w:rPr>
        <w:t xml:space="preserve">from new industry entrants, </w:t>
      </w:r>
      <w:r w:rsidRPr="00E12183">
        <w:rPr>
          <w:rFonts w:cs="Arial"/>
          <w:iCs/>
          <w:color w:val="000000"/>
          <w:lang w:eastAsia="en-AU"/>
        </w:rPr>
        <w:t>but these were in a minority.</w:t>
      </w:r>
    </w:p>
    <w:p w14:paraId="6D450955" w14:textId="100ECD14" w:rsidR="001C7978" w:rsidRPr="00E12183" w:rsidRDefault="001C7978" w:rsidP="001C7978">
      <w:pPr>
        <w:spacing w:before="120"/>
        <w:rPr>
          <w:rFonts w:cs="Arial"/>
          <w:iCs/>
          <w:color w:val="000000"/>
          <w:lang w:eastAsia="en-AU"/>
        </w:rPr>
      </w:pPr>
      <w:r w:rsidRPr="00E12183">
        <w:rPr>
          <w:rFonts w:cs="Arial"/>
          <w:iCs/>
          <w:color w:val="000000"/>
          <w:lang w:eastAsia="en-AU"/>
        </w:rPr>
        <w:t>It is likely that APTC senior managers, in the face of these competing objectives, sought to gain acceptance of APTC’s role within each Pacific country by giving more emphasis to meeting domestic skill needs at the expense of fostering international labour mobility. This was confirmed by one country manager. APTC could justify this focus in part because the SoS for Stage</w:t>
      </w:r>
      <w:r w:rsidR="0053336A">
        <w:rPr>
          <w:rFonts w:cs="Arial"/>
          <w:iCs/>
          <w:color w:val="000000"/>
          <w:lang w:eastAsia="en-AU"/>
        </w:rPr>
        <w:t>s</w:t>
      </w:r>
      <w:r w:rsidRPr="00E12183">
        <w:rPr>
          <w:rFonts w:cs="Arial"/>
          <w:iCs/>
          <w:color w:val="000000"/>
          <w:lang w:eastAsia="en-AU"/>
        </w:rPr>
        <w:t xml:space="preserve"> I </w:t>
      </w:r>
      <w:r w:rsidR="0053336A">
        <w:rPr>
          <w:rFonts w:cs="Arial"/>
          <w:iCs/>
          <w:color w:val="000000"/>
          <w:lang w:eastAsia="en-AU"/>
        </w:rPr>
        <w:t>and</w:t>
      </w:r>
      <w:r w:rsidR="0053336A" w:rsidRPr="00E12183">
        <w:rPr>
          <w:rFonts w:cs="Arial"/>
          <w:iCs/>
          <w:color w:val="000000"/>
          <w:lang w:eastAsia="en-AU"/>
        </w:rPr>
        <w:t xml:space="preserve"> </w:t>
      </w:r>
      <w:r w:rsidRPr="00E12183">
        <w:rPr>
          <w:rFonts w:cs="Arial"/>
          <w:iCs/>
          <w:color w:val="000000"/>
          <w:lang w:eastAsia="en-AU"/>
        </w:rPr>
        <w:t>II did not specify a target for regional or international labour mobility.</w:t>
      </w:r>
      <w:r w:rsidRPr="00E12183">
        <w:rPr>
          <w:rStyle w:val="FootnoteReference"/>
          <w:rFonts w:eastAsiaTheme="minorHAnsi"/>
          <w:iCs/>
          <w:lang w:val="en-AU"/>
        </w:rPr>
        <w:footnoteReference w:id="36"/>
      </w:r>
      <w:r w:rsidRPr="00E12183">
        <w:rPr>
          <w:rFonts w:cs="Arial"/>
          <w:iCs/>
          <w:color w:val="000000"/>
          <w:lang w:eastAsia="en-AU"/>
        </w:rPr>
        <w:t xml:space="preserve"> Nor did the design provide resources for APTC to </w:t>
      </w:r>
      <w:r w:rsidR="00F85A96">
        <w:rPr>
          <w:rFonts w:cs="Arial"/>
          <w:iCs/>
          <w:color w:val="000000"/>
          <w:lang w:eastAsia="en-AU"/>
        </w:rPr>
        <w:t xml:space="preserve">identify and </w:t>
      </w:r>
      <w:r w:rsidRPr="00E12183">
        <w:rPr>
          <w:rFonts w:cs="Arial"/>
          <w:iCs/>
          <w:color w:val="000000"/>
          <w:lang w:eastAsia="en-AU"/>
        </w:rPr>
        <w:t xml:space="preserve">achieve labour market outcomes beyond producing graduates with Australian standard qualifications. </w:t>
      </w:r>
    </w:p>
    <w:p w14:paraId="0C84065B" w14:textId="22DE21C7" w:rsidR="001C7978" w:rsidRPr="00E12183" w:rsidRDefault="001C7978" w:rsidP="001C7978">
      <w:pPr>
        <w:spacing w:before="120"/>
        <w:rPr>
          <w:rFonts w:cs="Arial"/>
          <w:iCs/>
          <w:color w:val="000000"/>
          <w:lang w:eastAsia="en-AU"/>
        </w:rPr>
      </w:pPr>
      <w:r w:rsidRPr="00E12183">
        <w:rPr>
          <w:rFonts w:cs="Arial"/>
          <w:iCs/>
          <w:color w:val="000000"/>
          <w:lang w:eastAsia="en-AU"/>
        </w:rPr>
        <w:t>Another important factor is that only a minority of APTC graduates have qualifications in occupations or at levels eligible for migration to Australia. APTC has failed to provide appropriate information to students and graduates about the requirements of skilled mig</w:t>
      </w:r>
      <w:r w:rsidR="005F0F2D">
        <w:rPr>
          <w:rFonts w:cs="Arial"/>
          <w:iCs/>
          <w:color w:val="000000"/>
          <w:lang w:eastAsia="en-AU"/>
        </w:rPr>
        <w:t>r</w:t>
      </w:r>
      <w:r w:rsidRPr="00E12183">
        <w:rPr>
          <w:rFonts w:cs="Arial"/>
          <w:iCs/>
          <w:color w:val="000000"/>
          <w:lang w:eastAsia="en-AU"/>
        </w:rPr>
        <w:t xml:space="preserve">ant entry to Australia and New Zealand. In particular, APTC has not provided information about the connection between </w:t>
      </w:r>
      <w:r w:rsidR="0053336A">
        <w:rPr>
          <w:rFonts w:cs="Arial"/>
          <w:iCs/>
          <w:color w:val="000000"/>
          <w:lang w:eastAsia="en-AU"/>
        </w:rPr>
        <w:t xml:space="preserve">the </w:t>
      </w:r>
      <w:r w:rsidRPr="00E12183">
        <w:rPr>
          <w:rFonts w:cs="Arial"/>
          <w:iCs/>
          <w:color w:val="000000"/>
          <w:lang w:eastAsia="en-AU"/>
        </w:rPr>
        <w:t>specific qualifications it offers and the requirements of skilled migration to Australia.</w:t>
      </w:r>
    </w:p>
    <w:p w14:paraId="3FF489EE" w14:textId="3EC29AE5" w:rsidR="001C7978" w:rsidRPr="005F0F2D" w:rsidRDefault="00344F45" w:rsidP="005F0F2D">
      <w:pPr>
        <w:pStyle w:val="Heading3"/>
      </w:pPr>
      <w:bookmarkStart w:id="55" w:name="_Toc278710529"/>
      <w:r>
        <w:t>The e</w:t>
      </w:r>
      <w:r w:rsidRPr="005F0F2D">
        <w:t xml:space="preserve">xtent </w:t>
      </w:r>
      <w:r>
        <w:t xml:space="preserve">to which </w:t>
      </w:r>
      <w:r w:rsidR="001C7978" w:rsidRPr="005F0F2D">
        <w:t>graduates have taken up Pacific regional and international employment</w:t>
      </w:r>
      <w:bookmarkEnd w:id="55"/>
      <w:r w:rsidR="001C7978" w:rsidRPr="005F0F2D">
        <w:t xml:space="preserve"> </w:t>
      </w:r>
    </w:p>
    <w:p w14:paraId="235C4422" w14:textId="2626CD16" w:rsidR="001C7978" w:rsidRPr="00E12183" w:rsidRDefault="00550892" w:rsidP="001C7978">
      <w:pPr>
        <w:spacing w:before="120"/>
        <w:rPr>
          <w:lang w:eastAsia="zh-CN"/>
        </w:rPr>
      </w:pPr>
      <w:r w:rsidRPr="00550892">
        <w:rPr>
          <w:lang w:eastAsia="zh-CN"/>
        </w:rPr>
        <w:t>Based on several data sources</w:t>
      </w:r>
      <w:r>
        <w:rPr>
          <w:lang w:eastAsia="zh-CN"/>
        </w:rPr>
        <w:t>, t</w:t>
      </w:r>
      <w:r w:rsidR="001C7978" w:rsidRPr="00E12183">
        <w:rPr>
          <w:lang w:eastAsia="zh-CN"/>
        </w:rPr>
        <w:t>he estimated number of recorded APTC graduates who have migrated overseas at some stage is 180 or 2.9 per cent of APTC graduates to June 2014. However, less than half of APTC graduates (46 per cent) are in an approved occupation or appropriate qualification level to be eligible to gain skilled migrant entry to Australia or New Zealand. Also</w:t>
      </w:r>
      <w:r w:rsidR="005570D0">
        <w:rPr>
          <w:lang w:eastAsia="zh-CN"/>
        </w:rPr>
        <w:t>,</w:t>
      </w:r>
      <w:r w:rsidR="001C7978" w:rsidRPr="00E12183">
        <w:rPr>
          <w:lang w:eastAsia="zh-CN"/>
        </w:rPr>
        <w:t xml:space="preserve"> new industry entrants to APTC in eligible occupations may not have relevant or sufficient work experience to qualify for skill migrant entry.</w:t>
      </w:r>
      <w:r w:rsidR="00DD4F57" w:rsidRPr="00DD4F57">
        <w:rPr>
          <w:szCs w:val="16"/>
          <w:vertAlign w:val="superscript"/>
          <w:lang w:val="sv-SE" w:eastAsia="sv-SE"/>
        </w:rPr>
        <w:t xml:space="preserve"> </w:t>
      </w:r>
      <w:r w:rsidR="00DD4F57" w:rsidRPr="00DD4F57">
        <w:rPr>
          <w:szCs w:val="16"/>
          <w:vertAlign w:val="superscript"/>
          <w:lang w:val="sv-SE" w:eastAsia="sv-SE"/>
        </w:rPr>
        <w:footnoteReference w:id="37"/>
      </w:r>
      <w:r w:rsidR="001C7978" w:rsidRPr="00E12183">
        <w:rPr>
          <w:lang w:eastAsia="zh-CN"/>
        </w:rPr>
        <w:t xml:space="preserve"> </w:t>
      </w:r>
      <w:r w:rsidR="00DD4F57">
        <w:rPr>
          <w:lang w:eastAsia="zh-CN"/>
        </w:rPr>
        <w:t>T</w:t>
      </w:r>
      <w:r w:rsidR="001C7978" w:rsidRPr="00E12183">
        <w:rPr>
          <w:lang w:eastAsia="zh-CN"/>
        </w:rPr>
        <w:t xml:space="preserve">he number of APTC migrants as a proportion of all APTC graduates </w:t>
      </w:r>
      <w:r w:rsidR="001C7978" w:rsidRPr="00E12183">
        <w:rPr>
          <w:iCs/>
          <w:lang w:eastAsia="zh-CN"/>
        </w:rPr>
        <w:t>eligible for skilled migration is a more accurate figure to gauge the extent to which the labour mobility objective has been achieved. T</w:t>
      </w:r>
      <w:r w:rsidR="001C7978" w:rsidRPr="00E12183">
        <w:rPr>
          <w:lang w:eastAsia="zh-CN"/>
        </w:rPr>
        <w:t xml:space="preserve">he proportion of APTC graduates who have migrated overseas rises to 6.9 per cent of the total number of eligible APTC graduates who could have migrated. </w:t>
      </w:r>
    </w:p>
    <w:p w14:paraId="25AE8992" w14:textId="614FAEF2" w:rsidR="001C7978" w:rsidRPr="00E12183" w:rsidRDefault="00D14D30" w:rsidP="001C7978">
      <w:pPr>
        <w:spacing w:before="120"/>
        <w:rPr>
          <w:lang w:eastAsia="zh-CN"/>
        </w:rPr>
      </w:pPr>
      <w:r w:rsidRPr="00D14D30">
        <w:rPr>
          <w:lang w:eastAsia="zh-CN"/>
        </w:rPr>
        <w:t>Using APTC’s database of graduates who have migrated,</w:t>
      </w:r>
      <w:r>
        <w:rPr>
          <w:lang w:eastAsia="zh-CN"/>
        </w:rPr>
        <w:t xml:space="preserve"> </w:t>
      </w:r>
      <w:r w:rsidR="001C7978" w:rsidRPr="00E12183">
        <w:rPr>
          <w:lang w:eastAsia="zh-CN"/>
        </w:rPr>
        <w:t>APTC migrants from Fiji, Pa</w:t>
      </w:r>
      <w:r w:rsidR="005570D0">
        <w:rPr>
          <w:lang w:eastAsia="zh-CN"/>
        </w:rPr>
        <w:t>pua New Guinea, Solomon Islands</w:t>
      </w:r>
      <w:r w:rsidR="001C7978" w:rsidRPr="00E12183">
        <w:rPr>
          <w:lang w:eastAsia="zh-CN"/>
        </w:rPr>
        <w:t xml:space="preserve"> and Vanuatu are under-represented compared with their country’s share of all APTC graduates. In contrast, APTC migrants from Samoa in particular are over-represented compared with their share of all APTC graduates. APTC migrants from Tonga, Marshall Islands, Kiribati and Tuvalu are also over-represented compared with their share of all APTC graduates.</w:t>
      </w:r>
    </w:p>
    <w:p w14:paraId="33E068E0" w14:textId="55A4DB58" w:rsidR="001C7978" w:rsidRPr="00E12183" w:rsidRDefault="001C7978" w:rsidP="001C7978">
      <w:pPr>
        <w:spacing w:before="120"/>
        <w:rPr>
          <w:lang w:eastAsia="zh-CN"/>
        </w:rPr>
      </w:pPr>
      <w:r w:rsidRPr="00E12183">
        <w:rPr>
          <w:lang w:eastAsia="zh-CN"/>
        </w:rPr>
        <w:t xml:space="preserve">Over half of the APTC migrants (54 per cent) are in </w:t>
      </w:r>
      <w:r w:rsidR="00AA2370">
        <w:rPr>
          <w:lang w:eastAsia="zh-CN"/>
        </w:rPr>
        <w:t xml:space="preserve">the </w:t>
      </w:r>
      <w:r w:rsidRPr="00E12183">
        <w:rPr>
          <w:lang w:eastAsia="zh-CN"/>
        </w:rPr>
        <w:t xml:space="preserve">25 to 39 </w:t>
      </w:r>
      <w:r w:rsidR="00EA2BA6">
        <w:rPr>
          <w:lang w:eastAsia="zh-CN"/>
        </w:rPr>
        <w:t xml:space="preserve">year </w:t>
      </w:r>
      <w:r w:rsidRPr="00E12183">
        <w:rPr>
          <w:lang w:eastAsia="zh-CN"/>
        </w:rPr>
        <w:t>age group compared with 44 per cent of all graduates. The specific age group with the strongest likelihood of migrating is 25</w:t>
      </w:r>
      <w:r w:rsidR="00EA2BA6">
        <w:rPr>
          <w:lang w:eastAsia="zh-CN"/>
        </w:rPr>
        <w:t xml:space="preserve"> to </w:t>
      </w:r>
      <w:r w:rsidRPr="00E12183">
        <w:rPr>
          <w:lang w:eastAsia="zh-CN"/>
        </w:rPr>
        <w:t xml:space="preserve">29 years (29 per cent of all migrants compared with </w:t>
      </w:r>
      <w:r w:rsidR="007938B4" w:rsidRPr="00E12183">
        <w:rPr>
          <w:lang w:eastAsia="zh-CN"/>
        </w:rPr>
        <w:t>22</w:t>
      </w:r>
      <w:r w:rsidR="007938B4">
        <w:rPr>
          <w:lang w:eastAsia="zh-CN"/>
        </w:rPr>
        <w:t> </w:t>
      </w:r>
      <w:r w:rsidRPr="00E12183">
        <w:rPr>
          <w:lang w:eastAsia="zh-CN"/>
        </w:rPr>
        <w:t xml:space="preserve">per cent of all graduates). This age bias among APTC migrants and the large </w:t>
      </w:r>
      <w:r w:rsidRPr="00E12183">
        <w:rPr>
          <w:lang w:eastAsia="zh-CN"/>
        </w:rPr>
        <w:lastRenderedPageBreak/>
        <w:t xml:space="preserve">proportion of APTC graduates above this age suggests that many APTC graduates may have fewer incentives to migrate. </w:t>
      </w:r>
    </w:p>
    <w:p w14:paraId="4324341D" w14:textId="60E175DA" w:rsidR="001C7978" w:rsidRPr="00E12183" w:rsidRDefault="001C7978" w:rsidP="001C7978">
      <w:pPr>
        <w:spacing w:before="120"/>
        <w:rPr>
          <w:lang w:eastAsia="zh-CN"/>
        </w:rPr>
      </w:pPr>
      <w:r w:rsidRPr="00E12183">
        <w:rPr>
          <w:rFonts w:cs="Arial"/>
          <w:lang w:eastAsia="zh-CN"/>
        </w:rPr>
        <w:t xml:space="preserve">Three-out-of-four APTC migrants (75 per cent) are from Stage I and one-in-four are from Stage </w:t>
      </w:r>
      <w:r w:rsidR="00163EC6">
        <w:rPr>
          <w:rFonts w:cs="Arial"/>
          <w:lang w:eastAsia="zh-CN"/>
        </w:rPr>
        <w:t>II</w:t>
      </w:r>
      <w:r w:rsidRPr="00E12183">
        <w:rPr>
          <w:rFonts w:cs="Arial"/>
          <w:lang w:eastAsia="zh-CN"/>
        </w:rPr>
        <w:t xml:space="preserve">. This compares with 57 per cent of APTC students in Stage </w:t>
      </w:r>
      <w:r w:rsidR="00E065A4">
        <w:rPr>
          <w:rFonts w:cs="Arial"/>
          <w:lang w:eastAsia="zh-CN"/>
        </w:rPr>
        <w:t>I</w:t>
      </w:r>
      <w:r w:rsidR="00E065A4" w:rsidRPr="00E12183">
        <w:rPr>
          <w:rFonts w:cs="Arial"/>
          <w:lang w:eastAsia="zh-CN"/>
        </w:rPr>
        <w:t xml:space="preserve"> </w:t>
      </w:r>
      <w:r w:rsidRPr="00E12183">
        <w:rPr>
          <w:rFonts w:cs="Arial"/>
          <w:lang w:eastAsia="zh-CN"/>
        </w:rPr>
        <w:t xml:space="preserve">and </w:t>
      </w:r>
      <w:r w:rsidR="00404CFC" w:rsidRPr="00E12183">
        <w:rPr>
          <w:rFonts w:cs="Arial"/>
          <w:lang w:eastAsia="zh-CN"/>
        </w:rPr>
        <w:t>43</w:t>
      </w:r>
      <w:r w:rsidR="00404CFC">
        <w:rPr>
          <w:rFonts w:cs="Arial"/>
          <w:lang w:eastAsia="zh-CN"/>
        </w:rPr>
        <w:t> </w:t>
      </w:r>
      <w:r w:rsidR="00404CFC" w:rsidRPr="00E12183">
        <w:rPr>
          <w:rFonts w:cs="Arial"/>
          <w:lang w:eastAsia="zh-CN"/>
        </w:rPr>
        <w:t>per</w:t>
      </w:r>
      <w:r w:rsidR="00404CFC">
        <w:rPr>
          <w:rFonts w:cs="Arial"/>
          <w:lang w:eastAsia="zh-CN"/>
        </w:rPr>
        <w:t> </w:t>
      </w:r>
      <w:r w:rsidRPr="00E12183">
        <w:rPr>
          <w:rFonts w:cs="Arial"/>
          <w:lang w:eastAsia="zh-CN"/>
        </w:rPr>
        <w:t>cent to December 2013 in Stage II. The larger share of APTC migrants from Stage I may indicate that the decision to migrate increases with the length of time after graduation. This is consistent with the requirement for ‘</w:t>
      </w:r>
      <w:r w:rsidR="007906E8" w:rsidRPr="00E12183">
        <w:rPr>
          <w:rFonts w:cs="Arial"/>
          <w:lang w:eastAsia="zh-CN"/>
        </w:rPr>
        <w:t>post</w:t>
      </w:r>
      <w:r w:rsidR="007906E8">
        <w:rPr>
          <w:rFonts w:cs="Arial"/>
          <w:lang w:eastAsia="zh-CN"/>
        </w:rPr>
        <w:t>-</w:t>
      </w:r>
      <w:r w:rsidRPr="00E12183">
        <w:rPr>
          <w:rFonts w:cs="Arial"/>
          <w:lang w:eastAsia="zh-CN"/>
        </w:rPr>
        <w:t xml:space="preserve">qualification relevant employment’ for skills-based migrant entry to Australia. It may also indicate that APTC gave more emphasis to the labour mobility objective in Stage </w:t>
      </w:r>
      <w:r w:rsidR="007906E8">
        <w:rPr>
          <w:rFonts w:cs="Arial"/>
          <w:lang w:eastAsia="zh-CN"/>
        </w:rPr>
        <w:t>I</w:t>
      </w:r>
      <w:r w:rsidR="007906E8" w:rsidRPr="00E12183">
        <w:rPr>
          <w:rFonts w:cs="Arial"/>
          <w:lang w:eastAsia="zh-CN"/>
        </w:rPr>
        <w:t xml:space="preserve"> </w:t>
      </w:r>
      <w:r w:rsidRPr="00E12183">
        <w:rPr>
          <w:rFonts w:cs="Arial"/>
          <w:lang w:eastAsia="zh-CN"/>
        </w:rPr>
        <w:t xml:space="preserve">than in Stage </w:t>
      </w:r>
      <w:r w:rsidR="007906E8">
        <w:rPr>
          <w:rFonts w:cs="Arial"/>
          <w:lang w:eastAsia="zh-CN"/>
        </w:rPr>
        <w:t>II</w:t>
      </w:r>
      <w:r w:rsidRPr="00E12183">
        <w:rPr>
          <w:rFonts w:cs="Arial"/>
          <w:lang w:eastAsia="zh-CN"/>
        </w:rPr>
        <w:t xml:space="preserve">. </w:t>
      </w:r>
      <w:r w:rsidR="00D14D30" w:rsidRPr="00D14D30">
        <w:rPr>
          <w:rFonts w:cs="Arial"/>
          <w:lang w:eastAsia="zh-CN"/>
        </w:rPr>
        <w:t>This is suggested by the fact that the proportion of graduates from Stage I in eligible occupations and the required qualification level to migrate fell from 49 per cent to 42</w:t>
      </w:r>
      <w:r w:rsidR="00404CFC">
        <w:rPr>
          <w:rFonts w:cs="Arial"/>
          <w:lang w:eastAsia="zh-CN"/>
        </w:rPr>
        <w:t> </w:t>
      </w:r>
      <w:r w:rsidR="00D14D30" w:rsidRPr="00D14D30">
        <w:rPr>
          <w:rFonts w:cs="Arial"/>
          <w:lang w:eastAsia="zh-CN"/>
        </w:rPr>
        <w:t xml:space="preserve">per cent in Stage II. </w:t>
      </w:r>
      <w:r w:rsidRPr="00E12183">
        <w:rPr>
          <w:rFonts w:cs="Arial"/>
          <w:lang w:eastAsia="zh-CN"/>
        </w:rPr>
        <w:t xml:space="preserve"> </w:t>
      </w:r>
    </w:p>
    <w:p w14:paraId="5EF01519" w14:textId="77777777" w:rsidR="001C7978" w:rsidRPr="005F0F2D" w:rsidRDefault="001C7978" w:rsidP="005F0F2D">
      <w:pPr>
        <w:pStyle w:val="Heading3"/>
      </w:pPr>
      <w:bookmarkStart w:id="56" w:name="_Toc278710530"/>
      <w:r w:rsidRPr="005F0F2D">
        <w:t>Major factors influencing graduate choices</w:t>
      </w:r>
      <w:bookmarkEnd w:id="56"/>
    </w:p>
    <w:p w14:paraId="3B6654BF" w14:textId="1B90C45D" w:rsidR="001C7978" w:rsidRPr="00E12183" w:rsidRDefault="00404CFC" w:rsidP="001C7978">
      <w:pPr>
        <w:spacing w:before="120"/>
        <w:rPr>
          <w:rFonts w:cs="Arial"/>
          <w:color w:val="000000"/>
          <w:lang w:eastAsia="en-AU"/>
        </w:rPr>
      </w:pPr>
      <w:r w:rsidRPr="00E12183">
        <w:rPr>
          <w:rFonts w:cs="Arial"/>
          <w:color w:val="000000"/>
          <w:lang w:eastAsia="en-AU"/>
        </w:rPr>
        <w:t>T</w:t>
      </w:r>
      <w:r>
        <w:rPr>
          <w:rFonts w:cs="Arial"/>
          <w:color w:val="000000"/>
          <w:lang w:eastAsia="en-AU"/>
        </w:rPr>
        <w:t>hree</w:t>
      </w:r>
      <w:r w:rsidRPr="00E12183">
        <w:rPr>
          <w:rFonts w:cs="Arial"/>
          <w:color w:val="000000"/>
          <w:lang w:eastAsia="en-AU"/>
        </w:rPr>
        <w:t xml:space="preserve"> </w:t>
      </w:r>
      <w:r w:rsidR="001C7978" w:rsidRPr="00E12183">
        <w:rPr>
          <w:rFonts w:cs="Arial"/>
          <w:color w:val="000000"/>
          <w:lang w:eastAsia="en-AU"/>
        </w:rPr>
        <w:t xml:space="preserve">factors have a strong influence over the decision by APTC graduates to migrate. </w:t>
      </w:r>
      <w:r w:rsidR="00D14D30" w:rsidRPr="00D14D30">
        <w:rPr>
          <w:rFonts w:cs="Arial"/>
          <w:color w:val="000000"/>
          <w:lang w:eastAsia="en-AU"/>
        </w:rPr>
        <w:t>Two of these are the ease of access to</w:t>
      </w:r>
      <w:r w:rsidR="002D6407">
        <w:rPr>
          <w:rFonts w:cs="Arial"/>
          <w:color w:val="000000"/>
          <w:lang w:eastAsia="en-AU"/>
        </w:rPr>
        <w:t>,</w:t>
      </w:r>
      <w:r w:rsidR="00D14D30" w:rsidRPr="00D14D30">
        <w:rPr>
          <w:rFonts w:cs="Arial"/>
          <w:color w:val="000000"/>
          <w:lang w:eastAsia="en-AU"/>
        </w:rPr>
        <w:t xml:space="preserve"> and the size of</w:t>
      </w:r>
      <w:r w:rsidR="002D6407">
        <w:rPr>
          <w:rFonts w:cs="Arial"/>
          <w:color w:val="000000"/>
          <w:lang w:eastAsia="en-AU"/>
        </w:rPr>
        <w:t>,</w:t>
      </w:r>
      <w:r w:rsidR="00D14D30" w:rsidRPr="00D14D30">
        <w:rPr>
          <w:rFonts w:cs="Arial"/>
          <w:color w:val="000000"/>
          <w:lang w:eastAsia="en-AU"/>
        </w:rPr>
        <w:t xml:space="preserve"> the diaspora in a destination country. The third is the role of labour market intermediaries to facilitate the migration. </w:t>
      </w:r>
      <w:r w:rsidR="001C7978" w:rsidRPr="00E12183">
        <w:rPr>
          <w:rFonts w:cs="Arial"/>
          <w:lang w:eastAsia="zh-CN"/>
        </w:rPr>
        <w:t>The</w:t>
      </w:r>
      <w:r w:rsidR="00C96B56">
        <w:rPr>
          <w:rFonts w:cs="Arial"/>
          <w:lang w:eastAsia="zh-CN"/>
        </w:rPr>
        <w:t> </w:t>
      </w:r>
      <w:r w:rsidR="001C7978" w:rsidRPr="00E12183">
        <w:rPr>
          <w:rFonts w:cs="Arial"/>
          <w:color w:val="000000"/>
          <w:lang w:eastAsia="en-AU"/>
        </w:rPr>
        <w:t>ease of entry for migrants from some Pacific countries to New Zealand, and via New Zealand, to Australia means APTC graduates from Samoa and Tonga are more likely to migrate. In contrast, the lower share of APTC migrants to Australia from the Solomon Islands in particular, and from Papua New Guinea and Vanuatu, reflect much lower historical migrant flows from these countries (Bedford &amp; Hugo 2012, pp</w:t>
      </w:r>
      <w:r w:rsidR="004E4281">
        <w:rPr>
          <w:rFonts w:cs="Arial"/>
          <w:color w:val="000000"/>
          <w:lang w:eastAsia="en-AU"/>
        </w:rPr>
        <w:t>.</w:t>
      </w:r>
      <w:r w:rsidR="001C7978" w:rsidRPr="00E12183">
        <w:rPr>
          <w:rFonts w:cs="Arial"/>
          <w:color w:val="000000"/>
          <w:lang w:eastAsia="en-AU"/>
        </w:rPr>
        <w:t xml:space="preserve"> 54</w:t>
      </w:r>
      <w:r w:rsidR="002D6407">
        <w:rPr>
          <w:rFonts w:cs="Arial"/>
          <w:color w:val="000000"/>
          <w:lang w:eastAsia="en-AU"/>
        </w:rPr>
        <w:t>–</w:t>
      </w:r>
      <w:r w:rsidR="001C7978" w:rsidRPr="00E12183">
        <w:rPr>
          <w:rFonts w:cs="Arial"/>
          <w:color w:val="000000"/>
          <w:lang w:eastAsia="en-AU"/>
        </w:rPr>
        <w:t xml:space="preserve">55). </w:t>
      </w:r>
    </w:p>
    <w:p w14:paraId="5FCDF61B" w14:textId="594F61BC" w:rsidR="001C7978" w:rsidRPr="00E12183" w:rsidRDefault="001C7978" w:rsidP="001C7978">
      <w:pPr>
        <w:spacing w:before="120"/>
        <w:rPr>
          <w:rFonts w:cs="Arial"/>
          <w:color w:val="000000"/>
          <w:lang w:eastAsia="en-AU"/>
        </w:rPr>
      </w:pPr>
      <w:r w:rsidRPr="00E12183">
        <w:rPr>
          <w:rFonts w:cs="Arial"/>
          <w:color w:val="000000"/>
          <w:lang w:eastAsia="en-AU"/>
        </w:rPr>
        <w:t xml:space="preserve">The obstacles facing migrants from the Melanesian countries are the reverse of those noted above. The first is the absence of a large diaspora from </w:t>
      </w:r>
      <w:r w:rsidR="004E4281">
        <w:rPr>
          <w:rFonts w:cs="Arial"/>
          <w:color w:val="000000"/>
          <w:lang w:eastAsia="en-AU"/>
        </w:rPr>
        <w:t xml:space="preserve">the </w:t>
      </w:r>
      <w:r w:rsidRPr="00E12183">
        <w:rPr>
          <w:rFonts w:cs="Arial"/>
          <w:color w:val="000000"/>
          <w:lang w:eastAsia="en-AU"/>
        </w:rPr>
        <w:t>Solomon Islands and Vanuatu in Australia. The second obstacle is the lack of a special access visa and the difficulty of meeting the skilled migrant entry requirements. The case of PNG is different because it has a diaspora of some size in Australia and a recent significant number of migrants who have gained skilled migrant work in Australia (Filer et al. 2013). The role of labour market intermediaries</w:t>
      </w:r>
      <w:r w:rsidR="00B348AF" w:rsidRPr="00B348AF">
        <w:t xml:space="preserve"> </w:t>
      </w:r>
      <w:r w:rsidR="00B348AF" w:rsidRPr="00B348AF">
        <w:rPr>
          <w:rFonts w:cs="Arial"/>
          <w:color w:val="000000"/>
          <w:lang w:eastAsia="en-AU"/>
        </w:rPr>
        <w:t>serving the mining industry</w:t>
      </w:r>
      <w:r w:rsidR="00B348AF">
        <w:rPr>
          <w:rFonts w:cs="Arial"/>
          <w:color w:val="000000"/>
          <w:lang w:eastAsia="en-AU"/>
        </w:rPr>
        <w:t xml:space="preserve"> in both countries </w:t>
      </w:r>
      <w:r w:rsidRPr="00E12183">
        <w:rPr>
          <w:rFonts w:cs="Arial"/>
          <w:color w:val="000000"/>
          <w:lang w:eastAsia="en-AU"/>
        </w:rPr>
        <w:t xml:space="preserve">may be one factor in understanding how PNG skilled migrants overcame the obstacles to skilled migration faced by Solomon Islands and Vanuatu. </w:t>
      </w:r>
    </w:p>
    <w:p w14:paraId="7B675806" w14:textId="77777777" w:rsidR="001C7978" w:rsidRPr="00E12183" w:rsidRDefault="001C7978" w:rsidP="001C7978">
      <w:pPr>
        <w:pStyle w:val="Heading3"/>
        <w:rPr>
          <w:lang w:eastAsia="en-AU"/>
        </w:rPr>
      </w:pPr>
      <w:bookmarkStart w:id="57" w:name="_Toc278710531"/>
      <w:r w:rsidRPr="00E12183">
        <w:rPr>
          <w:lang w:eastAsia="en-AU"/>
        </w:rPr>
        <w:t>Obstacles to migration</w:t>
      </w:r>
      <w:bookmarkEnd w:id="57"/>
      <w:r w:rsidRPr="00E12183">
        <w:rPr>
          <w:lang w:eastAsia="en-AU"/>
        </w:rPr>
        <w:t xml:space="preserve"> </w:t>
      </w:r>
    </w:p>
    <w:p w14:paraId="36C8E808" w14:textId="3E556A00" w:rsidR="00D27D8D" w:rsidRDefault="00D27D8D" w:rsidP="001C7978">
      <w:pPr>
        <w:spacing w:before="120"/>
        <w:rPr>
          <w:lang w:eastAsia="en-AU"/>
        </w:rPr>
      </w:pPr>
      <w:r w:rsidRPr="00D27D8D">
        <w:rPr>
          <w:lang w:eastAsia="en-AU"/>
        </w:rPr>
        <w:t>The Stage II Scope of Services identifies the goals of the APTC-to-Work program as: ‘to improve employment rates and productivity’. Specifically, the program is to show students how to identify employment opportunities and to help them apply for work ‘domestically and overseas’ (</w:t>
      </w:r>
      <w:r w:rsidR="004A5E42">
        <w:rPr>
          <w:lang w:eastAsia="en-AU"/>
        </w:rPr>
        <w:t>SoS p</w:t>
      </w:r>
      <w:r w:rsidRPr="00D27D8D">
        <w:rPr>
          <w:lang w:eastAsia="en-AU"/>
        </w:rPr>
        <w:t>ara 5.21). APTC, in the specification for an internal review of the program, acknowledges this information gap by stating that the review is to look at including additional content such as migration information for APTC students (APTC 2014).</w:t>
      </w:r>
    </w:p>
    <w:p w14:paraId="46A8E5CD" w14:textId="547A3BDE" w:rsidR="001C7978" w:rsidRPr="00E12183" w:rsidRDefault="001E14FE" w:rsidP="001C7978">
      <w:pPr>
        <w:spacing w:before="120"/>
        <w:rPr>
          <w:lang w:eastAsia="zh-CN"/>
        </w:rPr>
      </w:pPr>
      <w:r>
        <w:rPr>
          <w:lang w:eastAsia="en-AU"/>
        </w:rPr>
        <w:t>The review team sought f</w:t>
      </w:r>
      <w:r w:rsidRPr="00E12183">
        <w:rPr>
          <w:lang w:eastAsia="en-AU"/>
        </w:rPr>
        <w:t xml:space="preserve">eedback </w:t>
      </w:r>
      <w:r w:rsidR="001C7978" w:rsidRPr="00E12183">
        <w:rPr>
          <w:rFonts w:cs="Arial"/>
          <w:lang w:eastAsia="zh-CN"/>
        </w:rPr>
        <w:t xml:space="preserve">from </w:t>
      </w:r>
      <w:r>
        <w:rPr>
          <w:rFonts w:cs="Arial"/>
          <w:lang w:eastAsia="zh-CN"/>
        </w:rPr>
        <w:t xml:space="preserve">the surveyed </w:t>
      </w:r>
      <w:r w:rsidR="001C7978" w:rsidRPr="00E12183">
        <w:rPr>
          <w:rFonts w:cs="Arial"/>
          <w:lang w:eastAsia="zh-CN"/>
        </w:rPr>
        <w:t xml:space="preserve">APTC graduates </w:t>
      </w:r>
      <w:r>
        <w:rPr>
          <w:rFonts w:cs="Arial"/>
          <w:lang w:eastAsia="zh-CN"/>
        </w:rPr>
        <w:t xml:space="preserve">on those </w:t>
      </w:r>
      <w:r w:rsidR="001C7978" w:rsidRPr="00E12183">
        <w:rPr>
          <w:rFonts w:cs="Arial"/>
          <w:lang w:eastAsia="zh-CN"/>
        </w:rPr>
        <w:t xml:space="preserve">who wanted to migrate but encountered problems in applying. </w:t>
      </w:r>
      <w:r w:rsidR="001C7978" w:rsidRPr="00E12183">
        <w:rPr>
          <w:lang w:eastAsia="zh-CN"/>
        </w:rPr>
        <w:t xml:space="preserve">Some 68 APTC graduates gave details of the problems they had encountered. However, only a few graduates were aware of the importance of getting a job offer first, or the need to have the required qualification level or appropriate work experience as basic requirements for approval to enter Australia or New Zealand as a skilled migrant. </w:t>
      </w:r>
    </w:p>
    <w:p w14:paraId="69E818BE" w14:textId="3F1A45D7" w:rsidR="009847DB" w:rsidRDefault="001C7978" w:rsidP="001C7978">
      <w:pPr>
        <w:spacing w:before="120"/>
        <w:rPr>
          <w:lang w:eastAsia="zh-CN"/>
        </w:rPr>
      </w:pPr>
      <w:r w:rsidRPr="00E12183">
        <w:rPr>
          <w:lang w:eastAsia="zh-CN"/>
        </w:rPr>
        <w:t>The greatest barrier was the lack of information or a suitable guide to turn to for help. The next two barriers were the cost and the difficulty of applying for a visa. The lack of a job offer was the next most important barrier, followed by lack of internet access. Other less prominent issues mentioned were: qualification not recognised for entry to Australia or New Zealand</w:t>
      </w:r>
      <w:r w:rsidR="009847DB">
        <w:rPr>
          <w:lang w:eastAsia="zh-CN"/>
        </w:rPr>
        <w:t>;</w:t>
      </w:r>
      <w:r w:rsidR="009847DB" w:rsidRPr="00E12183">
        <w:rPr>
          <w:lang w:eastAsia="zh-CN"/>
        </w:rPr>
        <w:t xml:space="preserve"> </w:t>
      </w:r>
      <w:r w:rsidRPr="00E12183">
        <w:rPr>
          <w:lang w:eastAsia="zh-CN"/>
        </w:rPr>
        <w:t>lack of accommodation or contacts</w:t>
      </w:r>
      <w:r w:rsidR="009847DB">
        <w:rPr>
          <w:lang w:eastAsia="zh-CN"/>
        </w:rPr>
        <w:t>;</w:t>
      </w:r>
      <w:r w:rsidRPr="00E12183">
        <w:rPr>
          <w:lang w:eastAsia="zh-CN"/>
        </w:rPr>
        <w:t xml:space="preserve"> and personal reasons. </w:t>
      </w:r>
    </w:p>
    <w:p w14:paraId="5884BA9E" w14:textId="18A48CDF" w:rsidR="001C7978" w:rsidRPr="00E12183" w:rsidRDefault="001C7978" w:rsidP="001C7978">
      <w:pPr>
        <w:spacing w:before="120"/>
        <w:rPr>
          <w:lang w:eastAsia="zh-CN"/>
        </w:rPr>
      </w:pPr>
      <w:r w:rsidRPr="00E12183">
        <w:rPr>
          <w:lang w:eastAsia="zh-CN"/>
        </w:rPr>
        <w:lastRenderedPageBreak/>
        <w:t>Graduates were asked what steps they could take to overcome the problems. The most prominent step they identified was to seek information from the APTC. Some graduates suggested that APTC could help them find a job overseas. Some graduates suggested that the APTC alumni association could play a valuable role in providing information and guidance on how to apply to migrate</w:t>
      </w:r>
      <w:r w:rsidR="006B1476" w:rsidRPr="006B1476">
        <w:t xml:space="preserve"> </w:t>
      </w:r>
      <w:r w:rsidR="006B1476" w:rsidRPr="006B1476">
        <w:rPr>
          <w:lang w:eastAsia="zh-CN"/>
        </w:rPr>
        <w:t>based on the experiences of those graduates who have done it successfully</w:t>
      </w:r>
      <w:r w:rsidRPr="00E12183">
        <w:rPr>
          <w:lang w:eastAsia="zh-CN"/>
        </w:rPr>
        <w:t xml:space="preserve">. </w:t>
      </w:r>
    </w:p>
    <w:p w14:paraId="76F834BC" w14:textId="77777777" w:rsidR="001C7978" w:rsidRPr="00E12183" w:rsidRDefault="001C7978" w:rsidP="001C7978">
      <w:pPr>
        <w:pStyle w:val="Heading3"/>
        <w:rPr>
          <w:lang w:eastAsia="zh-CN"/>
        </w:rPr>
      </w:pPr>
      <w:bookmarkStart w:id="58" w:name="_Toc278710532"/>
      <w:r w:rsidRPr="00E12183">
        <w:rPr>
          <w:lang w:eastAsia="zh-CN"/>
        </w:rPr>
        <w:t>Changes in Australia’s skilled migrant system</w:t>
      </w:r>
      <w:bookmarkEnd w:id="58"/>
      <w:r w:rsidRPr="00E12183">
        <w:rPr>
          <w:lang w:eastAsia="zh-CN"/>
        </w:rPr>
        <w:t xml:space="preserve"> </w:t>
      </w:r>
    </w:p>
    <w:p w14:paraId="2B0BFB5F" w14:textId="1759B739" w:rsidR="001C7978" w:rsidRPr="00E12183" w:rsidRDefault="001C7978" w:rsidP="001C7978">
      <w:pPr>
        <w:spacing w:before="120"/>
        <w:rPr>
          <w:lang w:eastAsia="zh-CN"/>
        </w:rPr>
      </w:pPr>
      <w:r w:rsidRPr="00E12183">
        <w:rPr>
          <w:lang w:eastAsia="zh-CN"/>
        </w:rPr>
        <w:t xml:space="preserve">Since the original analysis for the design of the APTC in 2006, </w:t>
      </w:r>
      <w:r w:rsidR="002A0D71">
        <w:rPr>
          <w:lang w:eastAsia="zh-CN"/>
        </w:rPr>
        <w:t xml:space="preserve">the </w:t>
      </w:r>
      <w:r w:rsidR="002A0D71" w:rsidRPr="00E12183">
        <w:rPr>
          <w:lang w:eastAsia="zh-CN"/>
        </w:rPr>
        <w:t>skilled migration system</w:t>
      </w:r>
      <w:r w:rsidR="002A0D71">
        <w:rPr>
          <w:lang w:eastAsia="zh-CN"/>
        </w:rPr>
        <w:t>s</w:t>
      </w:r>
      <w:r w:rsidR="002A0D71" w:rsidRPr="00E12183">
        <w:rPr>
          <w:lang w:eastAsia="zh-CN"/>
        </w:rPr>
        <w:t xml:space="preserve"> </w:t>
      </w:r>
      <w:r w:rsidR="002A0D71">
        <w:rPr>
          <w:lang w:eastAsia="zh-CN"/>
        </w:rPr>
        <w:t xml:space="preserve">of </w:t>
      </w:r>
      <w:r w:rsidRPr="00E12183">
        <w:rPr>
          <w:lang w:eastAsia="zh-CN"/>
        </w:rPr>
        <w:t xml:space="preserve">Australia and New Zealand </w:t>
      </w:r>
      <w:r w:rsidR="002A0D71" w:rsidRPr="00E12183">
        <w:rPr>
          <w:lang w:eastAsia="zh-CN"/>
        </w:rPr>
        <w:t>ha</w:t>
      </w:r>
      <w:r w:rsidR="002A0D71">
        <w:rPr>
          <w:lang w:eastAsia="zh-CN"/>
        </w:rPr>
        <w:t>ve</w:t>
      </w:r>
      <w:r w:rsidR="002A0D71" w:rsidRPr="00E12183">
        <w:rPr>
          <w:lang w:eastAsia="zh-CN"/>
        </w:rPr>
        <w:t xml:space="preserve"> </w:t>
      </w:r>
      <w:r w:rsidRPr="00E12183">
        <w:rPr>
          <w:lang w:eastAsia="zh-CN"/>
        </w:rPr>
        <w:t>become more employer-led and with a greater focus on access for skilled migrants on short-term visas. Australia’s skilled migration program, particularly sin</w:t>
      </w:r>
      <w:r w:rsidR="003310DA">
        <w:rPr>
          <w:lang w:eastAsia="zh-CN"/>
        </w:rPr>
        <w:t>ce 2009, has moved from ‘supply-</w:t>
      </w:r>
      <w:r w:rsidRPr="00E12183">
        <w:rPr>
          <w:lang w:eastAsia="zh-CN"/>
        </w:rPr>
        <w:t>driven’ independent skilled migration towards ‘demand-driven’ outcomes, in the form of employer and government-sponsored skilled migration.</w:t>
      </w:r>
      <w:r w:rsidR="006B1476">
        <w:rPr>
          <w:rStyle w:val="FootnoteReference"/>
        </w:rPr>
        <w:footnoteReference w:id="38"/>
      </w:r>
      <w:r w:rsidRPr="00E12183">
        <w:rPr>
          <w:lang w:eastAsia="zh-CN"/>
        </w:rPr>
        <w:t xml:space="preserve"> The </w:t>
      </w:r>
      <w:r w:rsidR="008C1764">
        <w:rPr>
          <w:lang w:eastAsia="zh-CN"/>
        </w:rPr>
        <w:t>aim</w:t>
      </w:r>
      <w:r w:rsidR="008C1764" w:rsidRPr="00E12183">
        <w:rPr>
          <w:lang w:eastAsia="zh-CN"/>
        </w:rPr>
        <w:t xml:space="preserve"> </w:t>
      </w:r>
      <w:r w:rsidRPr="00E12183">
        <w:rPr>
          <w:lang w:eastAsia="zh-CN"/>
        </w:rPr>
        <w:t xml:space="preserve">of this approach is to ensure that migrants go directly to jobs offered by employers in an approved occupation (Phillips &amp; Spinks 2012, Cully 2011). </w:t>
      </w:r>
    </w:p>
    <w:p w14:paraId="05B734B8" w14:textId="20EE9783" w:rsidR="001C7978" w:rsidRPr="00E12183" w:rsidRDefault="001C7978" w:rsidP="001C7978">
      <w:pPr>
        <w:spacing w:before="120"/>
        <w:rPr>
          <w:lang w:eastAsia="zh-CN"/>
        </w:rPr>
      </w:pPr>
      <w:r w:rsidRPr="00E12183">
        <w:rPr>
          <w:lang w:eastAsia="zh-CN"/>
        </w:rPr>
        <w:t>The significance for potential migrants of this greater reliance on employer selection has been highlighted by a comparative study of the migration systems of Australia and New Zealand: ‘Employers in both countries have come to exert extraordinary influence on permanent as well as temporary entry flows’ (Hawthorne 2011, p</w:t>
      </w:r>
      <w:r w:rsidR="0095085E">
        <w:rPr>
          <w:lang w:eastAsia="zh-CN"/>
        </w:rPr>
        <w:t>.</w:t>
      </w:r>
      <w:r w:rsidRPr="00E12183">
        <w:rPr>
          <w:lang w:eastAsia="zh-CN"/>
        </w:rPr>
        <w:t xml:space="preserve"> 157). The study notes in particular that Australian employers want </w:t>
      </w:r>
      <w:r w:rsidR="00720E4D">
        <w:rPr>
          <w:lang w:eastAsia="zh-CN"/>
        </w:rPr>
        <w:t xml:space="preserve">to select </w:t>
      </w:r>
      <w:r w:rsidRPr="00E12183">
        <w:rPr>
          <w:lang w:eastAsia="zh-CN"/>
        </w:rPr>
        <w:t>migrants with high-level English language ability, from comparable high-quality education systems, and who can fit into the workplace at speed.</w:t>
      </w:r>
    </w:p>
    <w:p w14:paraId="67D6C4DF" w14:textId="77777777" w:rsidR="003310DA" w:rsidRDefault="001C7978" w:rsidP="001C7978">
      <w:pPr>
        <w:spacing w:before="120"/>
        <w:rPr>
          <w:lang w:eastAsia="zh-CN"/>
        </w:rPr>
      </w:pPr>
      <w:r w:rsidRPr="00E12183">
        <w:rPr>
          <w:lang w:eastAsia="zh-CN"/>
        </w:rPr>
        <w:t xml:space="preserve">A related change in the migration system is the growth in Temporary Work (Skilled) (457) visas. This growth has been described as ‘one of the greatest changes in immigration patterns to Australia in the last decade’ (Phillips 2013). </w:t>
      </w:r>
    </w:p>
    <w:p w14:paraId="606E3C13" w14:textId="354B7D92" w:rsidR="001C7978" w:rsidRPr="00E12183" w:rsidRDefault="001C7978" w:rsidP="001C7978">
      <w:pPr>
        <w:spacing w:before="120"/>
        <w:rPr>
          <w:lang w:eastAsia="zh-CN"/>
        </w:rPr>
      </w:pPr>
      <w:r w:rsidRPr="00E12183">
        <w:rPr>
          <w:lang w:eastAsia="zh-CN"/>
        </w:rPr>
        <w:t xml:space="preserve">Three aspects of the greater use of temporary work visas for migrant selection are worth noting. First, its high responsiveness to labour market need means that considerable benefits accrue not only to employers but also to the skilled migrant. Because employer-sponsored migrants go directly to jobs, they have a high employment rate in a job matched to their skill set and work experience (Department of Immigration </w:t>
      </w:r>
      <w:r w:rsidR="00020D6A">
        <w:rPr>
          <w:lang w:eastAsia="zh-CN"/>
        </w:rPr>
        <w:t>and</w:t>
      </w:r>
      <w:r w:rsidR="00020D6A" w:rsidRPr="00E12183">
        <w:rPr>
          <w:lang w:eastAsia="zh-CN"/>
        </w:rPr>
        <w:t xml:space="preserve"> </w:t>
      </w:r>
      <w:r w:rsidRPr="00E12183">
        <w:rPr>
          <w:lang w:eastAsia="zh-CN"/>
        </w:rPr>
        <w:t>Border Protection, 2010, p</w:t>
      </w:r>
      <w:r w:rsidR="00020D6A">
        <w:rPr>
          <w:lang w:eastAsia="zh-CN"/>
        </w:rPr>
        <w:t>.</w:t>
      </w:r>
      <w:r w:rsidRPr="00E12183">
        <w:rPr>
          <w:lang w:eastAsia="zh-CN"/>
        </w:rPr>
        <w:t xml:space="preserve"> 5).</w:t>
      </w:r>
    </w:p>
    <w:p w14:paraId="00039ED1" w14:textId="6E83C821" w:rsidR="001C7978" w:rsidRPr="00E12183" w:rsidRDefault="001C7978" w:rsidP="001C7978">
      <w:pPr>
        <w:spacing w:before="120"/>
        <w:rPr>
          <w:lang w:eastAsia="zh-CN"/>
        </w:rPr>
      </w:pPr>
      <w:r w:rsidRPr="00E12183">
        <w:rPr>
          <w:lang w:eastAsia="zh-CN"/>
        </w:rPr>
        <w:t>The second potential benefit to both</w:t>
      </w:r>
      <w:r w:rsidR="00EC77C6">
        <w:rPr>
          <w:lang w:eastAsia="zh-CN"/>
        </w:rPr>
        <w:t xml:space="preserve"> the</w:t>
      </w:r>
      <w:r w:rsidRPr="00E12183">
        <w:rPr>
          <w:lang w:eastAsia="zh-CN"/>
        </w:rPr>
        <w:t xml:space="preserve"> employer and skilled migrant is the chance for both parties to assess whether they want to make the job and move a permanent one. In the year to </w:t>
      </w:r>
      <w:r w:rsidR="00EC77C6" w:rsidRPr="00E12183">
        <w:rPr>
          <w:lang w:eastAsia="zh-CN"/>
        </w:rPr>
        <w:t>end</w:t>
      </w:r>
      <w:r w:rsidR="00EC77C6">
        <w:rPr>
          <w:lang w:eastAsia="zh-CN"/>
        </w:rPr>
        <w:t>-</w:t>
      </w:r>
      <w:r w:rsidRPr="00E12183">
        <w:rPr>
          <w:lang w:eastAsia="zh-CN"/>
        </w:rPr>
        <w:t xml:space="preserve">March 2014, one-in-three temporary visa holders applied for permanent residence (Department of Immigration </w:t>
      </w:r>
      <w:r w:rsidR="00871982">
        <w:rPr>
          <w:lang w:eastAsia="zh-CN"/>
        </w:rPr>
        <w:t>and</w:t>
      </w:r>
      <w:r w:rsidR="00871982" w:rsidRPr="00E12183">
        <w:rPr>
          <w:lang w:eastAsia="zh-CN"/>
        </w:rPr>
        <w:t xml:space="preserve"> </w:t>
      </w:r>
      <w:r w:rsidRPr="00E12183">
        <w:rPr>
          <w:lang w:eastAsia="zh-CN"/>
        </w:rPr>
        <w:t>Border Protection, 2014, p</w:t>
      </w:r>
      <w:r w:rsidR="00871982">
        <w:rPr>
          <w:lang w:eastAsia="zh-CN"/>
        </w:rPr>
        <w:t>.</w:t>
      </w:r>
      <w:r w:rsidRPr="00E12183">
        <w:rPr>
          <w:lang w:eastAsia="zh-CN"/>
        </w:rPr>
        <w:t xml:space="preserve"> 2).</w:t>
      </w:r>
    </w:p>
    <w:p w14:paraId="25F05959" w14:textId="13132A2E" w:rsidR="001C7978" w:rsidRDefault="001C7978" w:rsidP="001C7978">
      <w:pPr>
        <w:spacing w:before="120"/>
        <w:rPr>
          <w:lang w:eastAsia="zh-CN"/>
        </w:rPr>
      </w:pPr>
      <w:r w:rsidRPr="00E12183">
        <w:rPr>
          <w:lang w:eastAsia="zh-CN"/>
        </w:rPr>
        <w:t>The third feature of the temporary skilled work visa pathway to work in Australia is that many 457 visa applications come from students and working holidaymakers already in the country. In the year to end</w:t>
      </w:r>
      <w:r w:rsidR="007B484E">
        <w:rPr>
          <w:lang w:eastAsia="zh-CN"/>
        </w:rPr>
        <w:t>-</w:t>
      </w:r>
      <w:r w:rsidRPr="00E12183">
        <w:rPr>
          <w:lang w:eastAsia="zh-CN"/>
        </w:rPr>
        <w:t xml:space="preserve">March 2014, three-in-five applicants (58 per cent) for the temporary work visa were already in Australia (Department of Immigration </w:t>
      </w:r>
      <w:r w:rsidR="00EE2839">
        <w:rPr>
          <w:lang w:eastAsia="zh-CN"/>
        </w:rPr>
        <w:t>and</w:t>
      </w:r>
      <w:r w:rsidR="00EE2839" w:rsidRPr="00E12183">
        <w:rPr>
          <w:lang w:eastAsia="zh-CN"/>
        </w:rPr>
        <w:t xml:space="preserve"> </w:t>
      </w:r>
      <w:r w:rsidRPr="00E12183">
        <w:rPr>
          <w:lang w:eastAsia="zh-CN"/>
        </w:rPr>
        <w:t>Border Protection, 2014, pp</w:t>
      </w:r>
      <w:r w:rsidR="00EE2839">
        <w:rPr>
          <w:lang w:eastAsia="zh-CN"/>
        </w:rPr>
        <w:t>.</w:t>
      </w:r>
      <w:r w:rsidRPr="00E12183">
        <w:rPr>
          <w:lang w:eastAsia="zh-CN"/>
        </w:rPr>
        <w:t xml:space="preserve"> 1</w:t>
      </w:r>
      <w:r w:rsidR="003310DA">
        <w:rPr>
          <w:lang w:eastAsia="zh-CN"/>
        </w:rPr>
        <w:t>–</w:t>
      </w:r>
      <w:r w:rsidRPr="00E12183">
        <w:rPr>
          <w:lang w:eastAsia="zh-CN"/>
        </w:rPr>
        <w:t xml:space="preserve">2). As few Pacific </w:t>
      </w:r>
      <w:r w:rsidR="00670BF9">
        <w:rPr>
          <w:lang w:eastAsia="zh-CN"/>
        </w:rPr>
        <w:t>I</w:t>
      </w:r>
      <w:r w:rsidR="00670BF9" w:rsidRPr="00E12183">
        <w:rPr>
          <w:lang w:eastAsia="zh-CN"/>
        </w:rPr>
        <w:t xml:space="preserve">slanders </w:t>
      </w:r>
      <w:r w:rsidRPr="00E12183">
        <w:rPr>
          <w:lang w:eastAsia="zh-CN"/>
        </w:rPr>
        <w:t>have these opportunities to come to Australia as students or working holidaymakers, APTC graduates from outside Australia or New Zealand will find it much harder to make contact with</w:t>
      </w:r>
      <w:r w:rsidR="00670BF9">
        <w:rPr>
          <w:lang w:eastAsia="zh-CN"/>
        </w:rPr>
        <w:t xml:space="preserve"> an employer</w:t>
      </w:r>
      <w:r w:rsidRPr="00E12183">
        <w:rPr>
          <w:lang w:eastAsia="zh-CN"/>
        </w:rPr>
        <w:t xml:space="preserve"> and obtain an job offer for a temporary skill</w:t>
      </w:r>
      <w:r w:rsidR="00FC6882">
        <w:rPr>
          <w:lang w:eastAsia="zh-CN"/>
        </w:rPr>
        <w:t>ed</w:t>
      </w:r>
      <w:r w:rsidRPr="00E12183">
        <w:rPr>
          <w:lang w:eastAsia="zh-CN"/>
        </w:rPr>
        <w:t xml:space="preserve"> work visa.  </w:t>
      </w:r>
    </w:p>
    <w:p w14:paraId="6A6B9BBC" w14:textId="70560B73" w:rsidR="00C95F21" w:rsidRPr="00C95F21" w:rsidRDefault="00C95F21" w:rsidP="00C95F21">
      <w:pPr>
        <w:spacing w:before="120"/>
        <w:rPr>
          <w:lang w:eastAsia="zh-CN"/>
        </w:rPr>
      </w:pPr>
      <w:r w:rsidRPr="00C95F21">
        <w:rPr>
          <w:lang w:eastAsia="zh-CN"/>
        </w:rPr>
        <w:t xml:space="preserve">The profile of approved occupations for skilled migrant entry has also changed since 2006. For example, the APTC Stage II Design noted the </w:t>
      </w:r>
      <w:r>
        <w:rPr>
          <w:lang w:eastAsia="zh-CN"/>
        </w:rPr>
        <w:t>removal in May 201</w:t>
      </w:r>
      <w:r w:rsidRPr="00C95F21">
        <w:rPr>
          <w:lang w:eastAsia="zh-CN"/>
        </w:rPr>
        <w:t xml:space="preserve">0 of </w:t>
      </w:r>
      <w:r w:rsidRPr="00C95F21">
        <w:rPr>
          <w:lang w:eastAsia="zh-CN"/>
        </w:rPr>
        <w:lastRenderedPageBreak/>
        <w:t>hospitality and related occupations from the Skilled Occupation List for migration to</w:t>
      </w:r>
      <w:r w:rsidRPr="00C95F21">
        <w:rPr>
          <w:lang w:eastAsia="zh-CN"/>
        </w:rPr>
        <w:br/>
        <w:t>Australia.</w:t>
      </w:r>
      <w:r w:rsidRPr="00C95F21">
        <w:rPr>
          <w:szCs w:val="16"/>
          <w:vertAlign w:val="superscript"/>
          <w:lang w:val="sv-SE" w:eastAsia="sv-SE"/>
        </w:rPr>
        <w:footnoteReference w:id="39"/>
      </w:r>
    </w:p>
    <w:p w14:paraId="10A05F43" w14:textId="53A53B4C" w:rsidR="001C7978" w:rsidRPr="00F54151" w:rsidRDefault="001C7978" w:rsidP="00F54151">
      <w:pPr>
        <w:pStyle w:val="Heading2"/>
      </w:pPr>
      <w:bookmarkStart w:id="59" w:name="_Toc278710533"/>
      <w:r w:rsidRPr="00E12183">
        <w:rPr>
          <w:lang w:eastAsia="zh-CN"/>
        </w:rPr>
        <w:t xml:space="preserve">Match between APTC qualifications and Australian labour </w:t>
      </w:r>
      <w:r w:rsidR="00800080">
        <w:rPr>
          <w:lang w:eastAsia="zh-CN"/>
        </w:rPr>
        <w:br/>
      </w:r>
      <w:r w:rsidRPr="00F54151">
        <w:t>market demand</w:t>
      </w:r>
      <w:bookmarkEnd w:id="59"/>
    </w:p>
    <w:p w14:paraId="16B607DE" w14:textId="626C7707" w:rsidR="006B1476" w:rsidRDefault="001C7978" w:rsidP="001C7978">
      <w:pPr>
        <w:spacing w:before="120"/>
        <w:rPr>
          <w:lang w:eastAsia="zh-CN"/>
        </w:rPr>
      </w:pPr>
      <w:r w:rsidRPr="00E12183">
        <w:rPr>
          <w:lang w:eastAsia="zh-CN"/>
        </w:rPr>
        <w:t xml:space="preserve">On the evidence of the occupations of recent skilled migrants to Australia, there is little demand for migrants with qualifications related to community or personal service (see </w:t>
      </w:r>
      <w:r w:rsidR="00800080">
        <w:rPr>
          <w:lang w:eastAsia="zh-CN"/>
        </w:rPr>
        <w:t xml:space="preserve">the </w:t>
      </w:r>
      <w:r w:rsidRPr="00E12183">
        <w:rPr>
          <w:lang w:eastAsia="zh-CN"/>
        </w:rPr>
        <w:t>attach</w:t>
      </w:r>
      <w:r w:rsidR="00557B13">
        <w:rPr>
          <w:lang w:eastAsia="zh-CN"/>
        </w:rPr>
        <w:t>ment</w:t>
      </w:r>
      <w:r w:rsidRPr="00E12183">
        <w:rPr>
          <w:lang w:eastAsia="zh-CN"/>
        </w:rPr>
        <w:t xml:space="preserve"> to Annex 7). This includes occupations related to child and aged care as well as in tourism and hospitality. </w:t>
      </w:r>
      <w:r w:rsidR="006B1476" w:rsidRPr="006B1476">
        <w:rPr>
          <w:lang w:eastAsia="zh-CN"/>
        </w:rPr>
        <w:t>This is due to the fact that most of these occupations are not approved for entry to Australia as skilled migrants. In the case of aged care, skilled entry requires migrants to have a relevant qualification at least at diploma level. The lack in many countries of suitable qualifications at this level may make it hard for potential migrants to meet this requirement. Also this type of work compared with other areas of similar work</w:t>
      </w:r>
      <w:r w:rsidR="005A4E9E">
        <w:rPr>
          <w:lang w:eastAsia="zh-CN"/>
        </w:rPr>
        <w:t>,</w:t>
      </w:r>
      <w:r w:rsidR="006B1476" w:rsidRPr="006B1476">
        <w:rPr>
          <w:lang w:eastAsia="zh-CN"/>
        </w:rPr>
        <w:t xml:space="preserve"> such as general nursing</w:t>
      </w:r>
      <w:r w:rsidR="005A4E9E">
        <w:rPr>
          <w:lang w:eastAsia="zh-CN"/>
        </w:rPr>
        <w:t>,</w:t>
      </w:r>
      <w:r w:rsidR="006B1476" w:rsidRPr="006B1476">
        <w:rPr>
          <w:lang w:eastAsia="zh-CN"/>
        </w:rPr>
        <w:t xml:space="preserve"> may not be as attractive in terms of pay and other benefits to potential migrants</w:t>
      </w:r>
      <w:r w:rsidR="006B1476">
        <w:rPr>
          <w:lang w:eastAsia="zh-CN"/>
        </w:rPr>
        <w:t xml:space="preserve">. </w:t>
      </w:r>
    </w:p>
    <w:p w14:paraId="737349EB" w14:textId="6EA157C9" w:rsidR="001C7978" w:rsidRPr="00E12183" w:rsidRDefault="001C7978" w:rsidP="001C7978">
      <w:pPr>
        <w:spacing w:before="120"/>
        <w:rPr>
          <w:lang w:eastAsia="zh-CN"/>
        </w:rPr>
      </w:pPr>
      <w:r w:rsidRPr="00E12183">
        <w:rPr>
          <w:lang w:eastAsia="zh-CN"/>
        </w:rPr>
        <w:t>Data on the occupations of 457 visa holders between the first quarter of 2008 and first quarter of 2014 shows that one-in-five (20 per cent) are in trades-related occupations but only one per cent are in community and personal service worker occupations. A</w:t>
      </w:r>
      <w:r w:rsidR="00E02B9E">
        <w:rPr>
          <w:lang w:eastAsia="zh-CN"/>
        </w:rPr>
        <w:t> </w:t>
      </w:r>
      <w:r w:rsidRPr="00E12183">
        <w:rPr>
          <w:lang w:eastAsia="zh-CN"/>
        </w:rPr>
        <w:t xml:space="preserve">similar profile applies to primary migrants in the permanent skilled migration stream over three years to mid-2013. </w:t>
      </w:r>
    </w:p>
    <w:p w14:paraId="28E7A3E3" w14:textId="77777777" w:rsidR="001C7978" w:rsidRPr="00E12183" w:rsidRDefault="001C7978" w:rsidP="00F54151">
      <w:pPr>
        <w:pStyle w:val="Heading2"/>
        <w:rPr>
          <w:lang w:eastAsia="zh-CN"/>
        </w:rPr>
      </w:pPr>
      <w:bookmarkStart w:id="60" w:name="_Toc278710534"/>
      <w:r w:rsidRPr="00E12183">
        <w:rPr>
          <w:lang w:eastAsia="zh-CN"/>
        </w:rPr>
        <w:t>APTC provision of valid international qualifications</w:t>
      </w:r>
      <w:bookmarkEnd w:id="60"/>
      <w:r w:rsidRPr="00E12183">
        <w:rPr>
          <w:lang w:eastAsia="zh-CN"/>
        </w:rPr>
        <w:t xml:space="preserve"> </w:t>
      </w:r>
    </w:p>
    <w:p w14:paraId="5986FFB9" w14:textId="32722C5E" w:rsidR="001C7978" w:rsidRPr="00E12183" w:rsidRDefault="001C7978" w:rsidP="001C7978">
      <w:pPr>
        <w:spacing w:before="120"/>
        <w:rPr>
          <w:lang w:eastAsia="zh-CN"/>
        </w:rPr>
      </w:pPr>
      <w:r w:rsidRPr="00E12183">
        <w:rPr>
          <w:rFonts w:cs="Arial"/>
          <w:lang w:eastAsia="zh-CN"/>
        </w:rPr>
        <w:t xml:space="preserve">APTC does provide valid international qualifications but many are </w:t>
      </w:r>
      <w:r w:rsidR="001360F3" w:rsidRPr="001360F3">
        <w:rPr>
          <w:rFonts w:cs="Arial"/>
          <w:lang w:eastAsia="zh-CN"/>
        </w:rPr>
        <w:t xml:space="preserve">not on the list of approved occupations or are </w:t>
      </w:r>
      <w:r w:rsidRPr="00E12183">
        <w:rPr>
          <w:rFonts w:cs="Arial"/>
          <w:lang w:eastAsia="zh-CN"/>
        </w:rPr>
        <w:t xml:space="preserve">not at a sufficient level to enter Australia or New Zealand as a skilled migrant. As noted above, APTC graduates see their qualification as giving them the chance to work in Australia and New Zealand. However, APTC has not provided eligible qualifications to enable most APTC graduates to migrate to work in Australia or New Zealand. The proportion of graduates from Stage I in eligible occupations and the required qualification level was 49 per cent. In Stage II it is even less </w:t>
      </w:r>
      <w:r w:rsidR="00A10F05">
        <w:rPr>
          <w:rFonts w:cs="Arial"/>
          <w:lang w:eastAsia="zh-CN"/>
        </w:rPr>
        <w:t>–</w:t>
      </w:r>
      <w:r w:rsidRPr="00E12183">
        <w:rPr>
          <w:rFonts w:cs="Arial"/>
          <w:lang w:eastAsia="zh-CN"/>
        </w:rPr>
        <w:t xml:space="preserve"> 42 per cent. New industry entrants also may be ineligible if they do not have relevant or sufficient employment experience.  </w:t>
      </w:r>
    </w:p>
    <w:p w14:paraId="2B0D4841" w14:textId="77777777" w:rsidR="001C7978" w:rsidRPr="009C76A7" w:rsidRDefault="001C7978" w:rsidP="00F54151">
      <w:pPr>
        <w:pStyle w:val="Heading2"/>
        <w:rPr>
          <w:lang w:eastAsia="zh-CN"/>
        </w:rPr>
      </w:pPr>
      <w:bookmarkStart w:id="61" w:name="_Toc278710535"/>
      <w:r w:rsidRPr="00F54151">
        <w:t>Information, search skills and support for regional and international</w:t>
      </w:r>
      <w:r w:rsidRPr="00E12183">
        <w:rPr>
          <w:rFonts w:ascii="Arial Bold" w:hAnsi="Arial Bold"/>
          <w:lang w:eastAsia="zh-CN"/>
        </w:rPr>
        <w:t xml:space="preserve"> </w:t>
      </w:r>
      <w:r w:rsidR="00E268FC" w:rsidRPr="009C76A7">
        <w:rPr>
          <w:lang w:eastAsia="zh-CN"/>
        </w:rPr>
        <w:t>employment</w:t>
      </w:r>
      <w:bookmarkEnd w:id="61"/>
      <w:r w:rsidR="00E268FC" w:rsidRPr="009C76A7">
        <w:rPr>
          <w:lang w:eastAsia="zh-CN"/>
        </w:rPr>
        <w:t xml:space="preserve"> </w:t>
      </w:r>
    </w:p>
    <w:p w14:paraId="3799BC9B" w14:textId="7D961E68" w:rsidR="001C7978" w:rsidRPr="00E12183" w:rsidRDefault="001C7978" w:rsidP="001C7978">
      <w:pPr>
        <w:spacing w:before="120"/>
        <w:rPr>
          <w:lang w:eastAsia="zh-CN"/>
        </w:rPr>
      </w:pPr>
      <w:r w:rsidRPr="00E12183">
        <w:rPr>
          <w:lang w:eastAsia="zh-CN"/>
        </w:rPr>
        <w:t xml:space="preserve">Feedback from APTC students and graduates shows that APTC did not provide information on overseas job opportunities. </w:t>
      </w:r>
      <w:r w:rsidR="00F55E16" w:rsidRPr="00F55E16">
        <w:rPr>
          <w:lang w:eastAsia="zh-CN"/>
        </w:rPr>
        <w:t xml:space="preserve">As noted above, the APTC is required </w:t>
      </w:r>
      <w:r w:rsidR="00F55E16">
        <w:rPr>
          <w:lang w:eastAsia="zh-CN"/>
        </w:rPr>
        <w:t xml:space="preserve">in its </w:t>
      </w:r>
      <w:r w:rsidRPr="00E12183">
        <w:rPr>
          <w:lang w:eastAsia="zh-CN"/>
        </w:rPr>
        <w:t xml:space="preserve">Scope of Services </w:t>
      </w:r>
      <w:r w:rsidR="00F55E16">
        <w:rPr>
          <w:lang w:eastAsia="zh-CN"/>
        </w:rPr>
        <w:t xml:space="preserve">to </w:t>
      </w:r>
      <w:r w:rsidRPr="00E12183">
        <w:rPr>
          <w:lang w:eastAsia="zh-CN"/>
        </w:rPr>
        <w:t>show students how to identify employment opportunities and to help them apply for work ‘domestically and overseas’ (</w:t>
      </w:r>
      <w:r w:rsidR="00F55E16">
        <w:rPr>
          <w:lang w:eastAsia="zh-CN"/>
        </w:rPr>
        <w:t>SoS, p</w:t>
      </w:r>
      <w:r w:rsidRPr="00E12183">
        <w:rPr>
          <w:lang w:eastAsia="zh-CN"/>
        </w:rPr>
        <w:t>ara 5.21). APTC</w:t>
      </w:r>
      <w:r w:rsidR="004B7875">
        <w:rPr>
          <w:lang w:eastAsia="zh-CN"/>
        </w:rPr>
        <w:t>,</w:t>
      </w:r>
      <w:r w:rsidRPr="00E12183">
        <w:rPr>
          <w:lang w:eastAsia="zh-CN"/>
        </w:rPr>
        <w:t xml:space="preserve"> in the specification for an internal review of the program</w:t>
      </w:r>
      <w:r w:rsidR="004B7875">
        <w:rPr>
          <w:lang w:eastAsia="zh-CN"/>
        </w:rPr>
        <w:t>,</w:t>
      </w:r>
      <w:r w:rsidRPr="00E12183">
        <w:rPr>
          <w:lang w:eastAsia="zh-CN"/>
        </w:rPr>
        <w:t xml:space="preserve"> acknowledges in part this information gap by noting that the review is to look at including additional content</w:t>
      </w:r>
      <w:r w:rsidR="00A10F05">
        <w:rPr>
          <w:lang w:eastAsia="zh-CN"/>
        </w:rPr>
        <w:t>,</w:t>
      </w:r>
      <w:r w:rsidRPr="00E12183">
        <w:rPr>
          <w:lang w:eastAsia="zh-CN"/>
        </w:rPr>
        <w:t xml:space="preserve"> such as migration information for APTC students (APTC 2014).  </w:t>
      </w:r>
    </w:p>
    <w:p w14:paraId="2C04D397" w14:textId="3EB1BC18" w:rsidR="00642C11" w:rsidRDefault="001C7978" w:rsidP="009A1889">
      <w:pPr>
        <w:spacing w:before="120"/>
        <w:rPr>
          <w:lang w:eastAsia="zh-CN"/>
        </w:rPr>
      </w:pPr>
      <w:r w:rsidRPr="00E12183">
        <w:rPr>
          <w:lang w:eastAsia="zh-CN"/>
        </w:rPr>
        <w:t xml:space="preserve">Responses to the review team’s questionnaire showed that APTC did provide just over a majority of graduates with information about options for further study. However, in open-ended responses from graduates on suggestions to improve APTC, over </w:t>
      </w:r>
      <w:r w:rsidR="00E02B9E">
        <w:rPr>
          <w:lang w:eastAsia="zh-CN"/>
        </w:rPr>
        <w:br/>
      </w:r>
      <w:r w:rsidRPr="00E12183">
        <w:rPr>
          <w:lang w:eastAsia="zh-CN"/>
        </w:rPr>
        <w:t>one</w:t>
      </w:r>
      <w:r w:rsidR="008907B2">
        <w:rPr>
          <w:lang w:eastAsia="zh-CN"/>
        </w:rPr>
        <w:t>-</w:t>
      </w:r>
      <w:r w:rsidRPr="00E12183">
        <w:rPr>
          <w:lang w:eastAsia="zh-CN"/>
        </w:rPr>
        <w:t xml:space="preserve">third of the responses (37 per cent) related to requests for help to find work and one-in-five comments (21 per cent) related specifically to a request for help to find work overseas, usually in Australia. Another set of open-ended responses by graduates on problems encountered in applying to migrate showed that their biggest problem was the lack of information or a suitable guide to turn to for help. </w:t>
      </w:r>
      <w:r w:rsidR="00642C11">
        <w:rPr>
          <w:lang w:eastAsia="zh-CN"/>
        </w:rPr>
        <w:br w:type="page"/>
      </w:r>
    </w:p>
    <w:p w14:paraId="3CFCCB1B" w14:textId="77777777" w:rsidR="001C7978" w:rsidRPr="00E12183" w:rsidRDefault="001C7978" w:rsidP="00F54151">
      <w:pPr>
        <w:pStyle w:val="Heading2"/>
        <w:rPr>
          <w:lang w:eastAsia="zh-CN"/>
        </w:rPr>
      </w:pPr>
      <w:bookmarkStart w:id="62" w:name="_Toc278710536"/>
      <w:r w:rsidRPr="00E12183">
        <w:rPr>
          <w:lang w:eastAsia="zh-CN"/>
        </w:rPr>
        <w:lastRenderedPageBreak/>
        <w:t>Conclusions</w:t>
      </w:r>
      <w:bookmarkEnd w:id="62"/>
      <w:r w:rsidRPr="00E12183">
        <w:rPr>
          <w:lang w:eastAsia="zh-CN"/>
        </w:rPr>
        <w:t xml:space="preserve"> </w:t>
      </w:r>
    </w:p>
    <w:p w14:paraId="4908B129" w14:textId="03197B9D" w:rsidR="001C7978" w:rsidRPr="00E12183" w:rsidRDefault="001C7978" w:rsidP="001C7978">
      <w:pPr>
        <w:spacing w:before="120"/>
        <w:rPr>
          <w:lang w:eastAsia="zh-CN"/>
        </w:rPr>
      </w:pPr>
      <w:r w:rsidRPr="00E12183">
        <w:rPr>
          <w:lang w:eastAsia="zh-CN"/>
        </w:rPr>
        <w:t>Different data sources confirm that few APTC graduates have migrated overseas, even when considered as a proportion of the graduates in qualifications eligible for skilled migration to Australia or New Zealand. This is despite APTC’s labour mobility objective o</w:t>
      </w:r>
      <w:r w:rsidR="004734FE">
        <w:rPr>
          <w:lang w:eastAsia="zh-CN"/>
        </w:rPr>
        <w:t>f</w:t>
      </w:r>
      <w:r w:rsidRPr="00E12183">
        <w:rPr>
          <w:lang w:eastAsia="zh-CN"/>
        </w:rPr>
        <w:t xml:space="preserve"> upgrading already skilled and experienced workers to Australian standards.  </w:t>
      </w:r>
    </w:p>
    <w:p w14:paraId="6D815060" w14:textId="18432FE6" w:rsidR="00CA6F37" w:rsidRPr="00642C11" w:rsidRDefault="001C7978">
      <w:pPr>
        <w:spacing w:before="120"/>
        <w:rPr>
          <w:lang w:eastAsia="zh-CN"/>
        </w:rPr>
      </w:pPr>
      <w:r w:rsidRPr="00E12183">
        <w:rPr>
          <w:lang w:eastAsia="zh-CN"/>
        </w:rPr>
        <w:t xml:space="preserve">Nevertheless, most students and graduates see the value of Australian qualifications </w:t>
      </w:r>
      <w:r w:rsidR="00DE70CD" w:rsidRPr="00DE70CD">
        <w:rPr>
          <w:lang w:eastAsia="zh-CN"/>
        </w:rPr>
        <w:t xml:space="preserve">as giving them the option of migrating overseas for work. </w:t>
      </w:r>
      <w:r w:rsidRPr="00E12183">
        <w:rPr>
          <w:lang w:eastAsia="zh-CN"/>
        </w:rPr>
        <w:t xml:space="preserve">They believe, not unreasonably, that APTC, with the stated objective of fostering international mobility, is giving them the means to migrate to Australia or New Zealand. </w:t>
      </w:r>
      <w:r w:rsidR="00817513" w:rsidRPr="00817513">
        <w:rPr>
          <w:lang w:eastAsia="zh-CN"/>
        </w:rPr>
        <w:t xml:space="preserve">This erroneous view held by the students and graduates who are not eligible to migrate to Australia for work needs to be corrected as soon as possible. </w:t>
      </w:r>
      <w:r w:rsidRPr="00E12183">
        <w:rPr>
          <w:lang w:eastAsia="zh-CN"/>
        </w:rPr>
        <w:t>The APTC brand and reputation</w:t>
      </w:r>
      <w:r w:rsidR="00E02B9E">
        <w:rPr>
          <w:lang w:eastAsia="zh-CN"/>
        </w:rPr>
        <w:t>,</w:t>
      </w:r>
      <w:r w:rsidRPr="00E12183">
        <w:rPr>
          <w:lang w:eastAsia="zh-CN"/>
        </w:rPr>
        <w:t xml:space="preserve"> and indeed that of the Australian aid program</w:t>
      </w:r>
      <w:r w:rsidR="00E02B9E">
        <w:rPr>
          <w:lang w:eastAsia="zh-CN"/>
        </w:rPr>
        <w:t>,</w:t>
      </w:r>
      <w:r w:rsidRPr="00E12183">
        <w:rPr>
          <w:lang w:eastAsia="zh-CN"/>
        </w:rPr>
        <w:t xml:space="preserve"> </w:t>
      </w:r>
      <w:r w:rsidR="000442F2">
        <w:rPr>
          <w:lang w:eastAsia="zh-CN"/>
        </w:rPr>
        <w:t>are</w:t>
      </w:r>
      <w:r w:rsidR="000442F2" w:rsidRPr="00E12183">
        <w:rPr>
          <w:lang w:eastAsia="zh-CN"/>
        </w:rPr>
        <w:t xml:space="preserve"> </w:t>
      </w:r>
      <w:r w:rsidRPr="00E12183">
        <w:rPr>
          <w:lang w:eastAsia="zh-CN"/>
        </w:rPr>
        <w:t xml:space="preserve">at risk of being accused of allowing a widespread impression to exist without correcting it. </w:t>
      </w:r>
    </w:p>
    <w:p w14:paraId="14F574F4" w14:textId="77777777" w:rsidR="005F0F2D" w:rsidRPr="00E12183" w:rsidRDefault="005F0F2D" w:rsidP="005F0F2D">
      <w:pPr>
        <w:pStyle w:val="Heading1"/>
        <w:rPr>
          <w:lang w:eastAsia="zh-CN"/>
        </w:rPr>
      </w:pPr>
      <w:bookmarkStart w:id="63" w:name="_Toc278710537"/>
      <w:r w:rsidRPr="00E12183">
        <w:rPr>
          <w:lang w:eastAsia="zh-CN"/>
        </w:rPr>
        <w:t>Impact on graduates and employers</w:t>
      </w:r>
      <w:r w:rsidR="00534925" w:rsidRPr="00E02B9E">
        <w:rPr>
          <w:rStyle w:val="FootnoteReference"/>
          <w:b w:val="0"/>
        </w:rPr>
        <w:footnoteReference w:id="40"/>
      </w:r>
      <w:bookmarkEnd w:id="63"/>
    </w:p>
    <w:p w14:paraId="279474B5" w14:textId="77777777" w:rsidR="005F0F2D" w:rsidRDefault="005F0F2D" w:rsidP="005F0F2D">
      <w:pPr>
        <w:pStyle w:val="Heading2"/>
        <w:rPr>
          <w:lang w:eastAsia="zh-CN"/>
        </w:rPr>
      </w:pPr>
      <w:bookmarkStart w:id="64" w:name="_Toc278710538"/>
      <w:r>
        <w:rPr>
          <w:lang w:eastAsia="zh-CN"/>
        </w:rPr>
        <w:t>Overview</w:t>
      </w:r>
      <w:bookmarkEnd w:id="64"/>
    </w:p>
    <w:p w14:paraId="054E02D9" w14:textId="2E221265" w:rsidR="005F0F2D" w:rsidRPr="00E12183" w:rsidRDefault="005F0F2D" w:rsidP="005F0F2D">
      <w:pPr>
        <w:spacing w:before="120"/>
        <w:rPr>
          <w:lang w:eastAsia="zh-CN"/>
        </w:rPr>
      </w:pPr>
      <w:r w:rsidRPr="00E12183">
        <w:rPr>
          <w:lang w:eastAsia="zh-CN"/>
        </w:rPr>
        <w:t xml:space="preserve">Most graduates are now in employment related to their training. </w:t>
      </w:r>
      <w:r w:rsidR="005C41F3" w:rsidRPr="005C41F3">
        <w:rPr>
          <w:lang w:eastAsia="zh-CN"/>
        </w:rPr>
        <w:t xml:space="preserve">However, tracer survey results show </w:t>
      </w:r>
      <w:r w:rsidR="005C41F3">
        <w:rPr>
          <w:lang w:eastAsia="zh-CN"/>
        </w:rPr>
        <w:t xml:space="preserve">that </w:t>
      </w:r>
      <w:r w:rsidRPr="00E12183">
        <w:rPr>
          <w:lang w:eastAsia="zh-CN"/>
        </w:rPr>
        <w:t>for those graduates who are not with the same employer post</w:t>
      </w:r>
      <w:r w:rsidR="00E02B9E">
        <w:rPr>
          <w:lang w:eastAsia="zh-CN"/>
        </w:rPr>
        <w:t>-</w:t>
      </w:r>
      <w:r w:rsidRPr="00E12183">
        <w:rPr>
          <w:lang w:eastAsia="zh-CN"/>
        </w:rPr>
        <w:t xml:space="preserve">APTC, the employment outcomes are more mixed, with some qualifications related to community work and hospitality having high levels of unemployment. APTC graduates and employers of graduates in general are satisfied with APTC’s training program and the benefits that have flowed from this. However, it is difficult to assess </w:t>
      </w:r>
      <w:r w:rsidR="00E02B9E" w:rsidRPr="00E12183">
        <w:rPr>
          <w:lang w:eastAsia="zh-CN"/>
        </w:rPr>
        <w:t xml:space="preserve">the extent of these benefits </w:t>
      </w:r>
      <w:r w:rsidRPr="00E12183">
        <w:rPr>
          <w:lang w:eastAsia="zh-CN"/>
        </w:rPr>
        <w:t xml:space="preserve">from graduate and employer feedback. </w:t>
      </w:r>
    </w:p>
    <w:p w14:paraId="1CCFF010" w14:textId="1A1244E2" w:rsidR="005F0F2D" w:rsidRPr="00E12183" w:rsidRDefault="005F0F2D" w:rsidP="005F0F2D">
      <w:pPr>
        <w:spacing w:before="120"/>
        <w:rPr>
          <w:lang w:eastAsia="zh-CN"/>
        </w:rPr>
      </w:pPr>
      <w:r w:rsidRPr="00E12183">
        <w:rPr>
          <w:lang w:eastAsia="zh-CN"/>
        </w:rPr>
        <w:t>APTC, in addition to its training and labour mobility objectives, is mandated to provide improved employment opportunities for Pacific Island men and women in domestic labour markets. APTC is also required to increase the productivity of individuals and organisations in selected industries and sectors. This chapter presents evidence to assess the employment and related benefits for APTC graduates</w:t>
      </w:r>
      <w:r w:rsidR="00736ED4">
        <w:rPr>
          <w:lang w:eastAsia="zh-CN"/>
        </w:rPr>
        <w:t>,</w:t>
      </w:r>
      <w:r w:rsidRPr="00E12183">
        <w:rPr>
          <w:lang w:eastAsia="zh-CN"/>
        </w:rPr>
        <w:t xml:space="preserve"> and the nature and extent of productivity improvements </w:t>
      </w:r>
      <w:r w:rsidR="00653C21">
        <w:rPr>
          <w:lang w:eastAsia="zh-CN"/>
        </w:rPr>
        <w:t xml:space="preserve">that </w:t>
      </w:r>
      <w:r w:rsidRPr="00E12183">
        <w:rPr>
          <w:lang w:eastAsia="zh-CN"/>
        </w:rPr>
        <w:t xml:space="preserve">graduates and enterprises may have gained from employing APTC graduates. </w:t>
      </w:r>
    </w:p>
    <w:p w14:paraId="70395640" w14:textId="1FDC2930" w:rsidR="005F0F2D" w:rsidRPr="00E12183" w:rsidRDefault="00CD41B9" w:rsidP="005F0F2D">
      <w:pPr>
        <w:spacing w:before="120"/>
        <w:rPr>
          <w:lang w:eastAsia="zh-CN"/>
        </w:rPr>
      </w:pPr>
      <w:r w:rsidRPr="00E12183">
        <w:rPr>
          <w:lang w:eastAsia="zh-CN"/>
        </w:rPr>
        <w:t xml:space="preserve">Key factors to take into account in the assessment of APTC graduate </w:t>
      </w:r>
      <w:r>
        <w:rPr>
          <w:lang w:eastAsia="zh-CN"/>
        </w:rPr>
        <w:t>employment outcome</w:t>
      </w:r>
      <w:r w:rsidRPr="00E12183">
        <w:rPr>
          <w:lang w:eastAsia="zh-CN"/>
        </w:rPr>
        <w:t xml:space="preserve">s include whether the graduate </w:t>
      </w:r>
      <w:r w:rsidRPr="009E0A90">
        <w:rPr>
          <w:lang w:eastAsia="zh-CN"/>
        </w:rPr>
        <w:t xml:space="preserve">was in employment before APTC, whether the graduate </w:t>
      </w:r>
      <w:r w:rsidRPr="00E12183">
        <w:rPr>
          <w:lang w:eastAsia="zh-CN"/>
        </w:rPr>
        <w:t xml:space="preserve">is still with the same employer, and the labour market conditions affecting specific qualifications. </w:t>
      </w:r>
      <w:r w:rsidR="005F0F2D" w:rsidRPr="00E12183">
        <w:rPr>
          <w:lang w:eastAsia="zh-CN"/>
        </w:rPr>
        <w:t>Each of these factors makes a large difference in explaining the employment outcomes achieved by graduates.</w:t>
      </w:r>
    </w:p>
    <w:p w14:paraId="62AEB72E" w14:textId="1B20CB43" w:rsidR="005F0F2D" w:rsidRDefault="005F0F2D" w:rsidP="005F0F2D">
      <w:pPr>
        <w:spacing w:before="120"/>
        <w:rPr>
          <w:lang w:eastAsia="zh-CN"/>
        </w:rPr>
      </w:pPr>
      <w:r w:rsidRPr="00E12183">
        <w:rPr>
          <w:lang w:eastAsia="zh-CN"/>
        </w:rPr>
        <w:t xml:space="preserve">In assessing </w:t>
      </w:r>
      <w:r w:rsidR="008B17D3">
        <w:rPr>
          <w:lang w:eastAsia="zh-CN"/>
        </w:rPr>
        <w:t xml:space="preserve">the </w:t>
      </w:r>
      <w:r w:rsidRPr="00E12183">
        <w:rPr>
          <w:lang w:eastAsia="zh-CN"/>
        </w:rPr>
        <w:t xml:space="preserve">productivity benefits APTC delivers for individuals and organisations, the challenge is to find evidence of the size of the benefits. Also important is evidence on the nature and extent of the economic benefit that employers enjoy from employing APTC graduates. </w:t>
      </w:r>
    </w:p>
    <w:p w14:paraId="7AD66DD3" w14:textId="12E130E5" w:rsidR="000139AA" w:rsidRDefault="001C23F1" w:rsidP="000139AA">
      <w:pPr>
        <w:spacing w:before="120"/>
        <w:rPr>
          <w:lang w:eastAsia="zh-CN"/>
        </w:rPr>
      </w:pPr>
      <w:r w:rsidRPr="001C23F1">
        <w:rPr>
          <w:lang w:eastAsia="zh-CN"/>
        </w:rPr>
        <w:t xml:space="preserve">The low response rates for the APTC annual tracer surveys </w:t>
      </w:r>
      <w:r w:rsidR="000139AA" w:rsidRPr="000139AA">
        <w:rPr>
          <w:lang w:eastAsia="zh-CN"/>
        </w:rPr>
        <w:t xml:space="preserve">of the total population of graduates </w:t>
      </w:r>
      <w:r w:rsidRPr="001C23F1">
        <w:rPr>
          <w:lang w:eastAsia="zh-CN"/>
        </w:rPr>
        <w:t xml:space="preserve">and the NCVER survey of </w:t>
      </w:r>
      <w:r w:rsidR="000139AA">
        <w:rPr>
          <w:lang w:eastAsia="zh-CN"/>
        </w:rPr>
        <w:t xml:space="preserve">all </w:t>
      </w:r>
      <w:r w:rsidRPr="001C23F1">
        <w:rPr>
          <w:lang w:eastAsia="zh-CN"/>
        </w:rPr>
        <w:t xml:space="preserve">Stage I APTC graduates have produced biases in the results. In particular, as detailed in </w:t>
      </w:r>
      <w:r w:rsidRPr="00CD41B9">
        <w:rPr>
          <w:lang w:eastAsia="zh-CN"/>
        </w:rPr>
        <w:t xml:space="preserve">Annex </w:t>
      </w:r>
      <w:r w:rsidR="00736ED4">
        <w:rPr>
          <w:lang w:eastAsia="zh-CN"/>
        </w:rPr>
        <w:t>8</w:t>
      </w:r>
      <w:r w:rsidRPr="001C23F1">
        <w:rPr>
          <w:lang w:eastAsia="zh-CN"/>
        </w:rPr>
        <w:t xml:space="preserve">, specific countries such as Papua New Guinea are grossly under-represented and other countries such as Samoa are over-represented in the results presented in this report. The response rates by qualification also vary greatly. In the NCVER survey, for example, the response rate for </w:t>
      </w:r>
      <w:r w:rsidRPr="001C23F1">
        <w:rPr>
          <w:lang w:eastAsia="zh-CN"/>
        </w:rPr>
        <w:lastRenderedPageBreak/>
        <w:t>graduates in each qualification ranges from 33</w:t>
      </w:r>
      <w:r w:rsidR="00642C11">
        <w:rPr>
          <w:lang w:eastAsia="zh-CN"/>
        </w:rPr>
        <w:t> </w:t>
      </w:r>
      <w:r w:rsidRPr="001C23F1">
        <w:rPr>
          <w:lang w:eastAsia="zh-CN"/>
        </w:rPr>
        <w:t>per</w:t>
      </w:r>
      <w:r w:rsidR="00642C11">
        <w:rPr>
          <w:lang w:eastAsia="zh-CN"/>
        </w:rPr>
        <w:t> </w:t>
      </w:r>
      <w:r w:rsidRPr="001C23F1">
        <w:rPr>
          <w:lang w:eastAsia="zh-CN"/>
        </w:rPr>
        <w:t>cent to seven per cent.</w:t>
      </w:r>
      <w:r w:rsidRPr="001C23F1">
        <w:rPr>
          <w:szCs w:val="16"/>
          <w:vertAlign w:val="superscript"/>
          <w:lang w:val="sv-SE" w:eastAsia="sv-SE"/>
        </w:rPr>
        <w:footnoteReference w:id="41"/>
      </w:r>
      <w:r w:rsidRPr="001C23F1">
        <w:rPr>
          <w:lang w:eastAsia="zh-CN"/>
        </w:rPr>
        <w:t xml:space="preserve"> These low response rates by qualification means that it is not possible to provide information on the employment outcomes by country f</w:t>
      </w:r>
      <w:r w:rsidR="000139AA">
        <w:rPr>
          <w:lang w:eastAsia="zh-CN"/>
        </w:rPr>
        <w:t>or specific qualifications. Ther</w:t>
      </w:r>
      <w:r w:rsidRPr="001C23F1">
        <w:rPr>
          <w:lang w:eastAsia="zh-CN"/>
        </w:rPr>
        <w:t>e is also limited scope to provide information on qualifications by gender</w:t>
      </w:r>
      <w:r w:rsidR="000139AA">
        <w:rPr>
          <w:lang w:eastAsia="zh-CN"/>
        </w:rPr>
        <w:t>.</w:t>
      </w:r>
      <w:r w:rsidR="000139AA" w:rsidRPr="000139AA">
        <w:t xml:space="preserve"> </w:t>
      </w:r>
      <w:r w:rsidR="000139AA">
        <w:rPr>
          <w:lang w:eastAsia="zh-CN"/>
        </w:rPr>
        <w:t xml:space="preserve">Information on gender is available from the NCVER survey results of Stage I graduates, but not from the APTC annual tracer surveys as this survey instrument did not record information on the gender of the graduate. The low number for respondents for many qualifications meant that further breakdown by gender of the graduate, where available, was not possible. </w:t>
      </w:r>
    </w:p>
    <w:p w14:paraId="3131D779" w14:textId="1A0DBE30" w:rsidR="001C23F1" w:rsidRPr="00E12183" w:rsidRDefault="000139AA" w:rsidP="000139AA">
      <w:pPr>
        <w:spacing w:before="120"/>
        <w:rPr>
          <w:lang w:eastAsia="zh-CN"/>
        </w:rPr>
      </w:pPr>
      <w:r>
        <w:rPr>
          <w:lang w:eastAsia="zh-CN"/>
        </w:rPr>
        <w:t xml:space="preserve">However, the availability of three separate data sources on graduates and two on employers of graduates enables </w:t>
      </w:r>
      <w:r w:rsidR="00817513">
        <w:rPr>
          <w:lang w:eastAsia="zh-CN"/>
        </w:rPr>
        <w:t xml:space="preserve">stronger </w:t>
      </w:r>
      <w:r>
        <w:rPr>
          <w:lang w:eastAsia="zh-CN"/>
        </w:rPr>
        <w:t xml:space="preserve">conclusions to be drawn from the findings than reliance on only one data source would allow.  </w:t>
      </w:r>
    </w:p>
    <w:p w14:paraId="63B64922" w14:textId="77777777" w:rsidR="005F0F2D" w:rsidRPr="00E12183" w:rsidRDefault="005F0F2D" w:rsidP="005F0F2D">
      <w:pPr>
        <w:pStyle w:val="Heading2"/>
        <w:rPr>
          <w:lang w:eastAsia="zh-CN"/>
        </w:rPr>
      </w:pPr>
      <w:bookmarkStart w:id="65" w:name="_Toc278710539"/>
      <w:r w:rsidRPr="00E12183">
        <w:rPr>
          <w:lang w:eastAsia="zh-CN"/>
        </w:rPr>
        <w:t>Employment rates of APTC graduates</w:t>
      </w:r>
      <w:bookmarkEnd w:id="65"/>
    </w:p>
    <w:p w14:paraId="63208CFE" w14:textId="6114D70E" w:rsidR="005F0F2D" w:rsidRPr="00E12183" w:rsidRDefault="005F0F2D" w:rsidP="005F0F2D">
      <w:pPr>
        <w:pStyle w:val="Heading3"/>
        <w:rPr>
          <w:lang w:eastAsia="zh-CN"/>
        </w:rPr>
      </w:pPr>
      <w:bookmarkStart w:id="66" w:name="_Toc278710540"/>
      <w:r w:rsidRPr="00E12183">
        <w:rPr>
          <w:lang w:eastAsia="zh-CN"/>
        </w:rPr>
        <w:t xml:space="preserve">Stage </w:t>
      </w:r>
      <w:r w:rsidR="00BD01F2">
        <w:rPr>
          <w:lang w:eastAsia="zh-CN"/>
        </w:rPr>
        <w:t>I</w:t>
      </w:r>
      <w:r w:rsidR="00BD01F2" w:rsidRPr="00E12183">
        <w:rPr>
          <w:lang w:eastAsia="zh-CN"/>
        </w:rPr>
        <w:t xml:space="preserve"> </w:t>
      </w:r>
      <w:r w:rsidRPr="00E12183">
        <w:rPr>
          <w:lang w:eastAsia="zh-CN"/>
        </w:rPr>
        <w:t>graduates</w:t>
      </w:r>
      <w:bookmarkEnd w:id="66"/>
    </w:p>
    <w:p w14:paraId="6F0C438C" w14:textId="1315850F" w:rsidR="00344E79" w:rsidRDefault="005F0F2D" w:rsidP="00DF7C96">
      <w:pPr>
        <w:spacing w:before="120"/>
        <w:rPr>
          <w:rFonts w:cs="Arial"/>
          <w:b/>
          <w:color w:val="76923C"/>
          <w:szCs w:val="22"/>
          <w:lang w:eastAsia="zh-CN"/>
        </w:rPr>
      </w:pPr>
      <w:r w:rsidRPr="00E12183">
        <w:rPr>
          <w:lang w:eastAsia="zh-CN"/>
        </w:rPr>
        <w:t xml:space="preserve">According to the 2013 </w:t>
      </w:r>
      <w:r w:rsidR="00817513">
        <w:rPr>
          <w:lang w:eastAsia="zh-CN"/>
        </w:rPr>
        <w:t xml:space="preserve">NCVER </w:t>
      </w:r>
      <w:r w:rsidRPr="00E12183">
        <w:rPr>
          <w:lang w:eastAsia="zh-CN"/>
        </w:rPr>
        <w:t>APTC Graduates Down the Track</w:t>
      </w:r>
      <w:r w:rsidR="00344E79" w:rsidRPr="00E12183">
        <w:rPr>
          <w:lang w:eastAsia="zh-CN"/>
        </w:rPr>
        <w:t xml:space="preserve"> </w:t>
      </w:r>
      <w:r w:rsidRPr="00E12183">
        <w:rPr>
          <w:lang w:eastAsia="zh-CN"/>
        </w:rPr>
        <w:t xml:space="preserve">survey, 96 per cent of </w:t>
      </w:r>
      <w:r w:rsidR="006E1BCE" w:rsidRPr="00E12183">
        <w:rPr>
          <w:lang w:eastAsia="zh-CN"/>
        </w:rPr>
        <w:t>Stage</w:t>
      </w:r>
      <w:r w:rsidR="006E1BCE">
        <w:rPr>
          <w:lang w:eastAsia="zh-CN"/>
        </w:rPr>
        <w:t> </w:t>
      </w:r>
      <w:r w:rsidRPr="00E12183">
        <w:rPr>
          <w:lang w:eastAsia="zh-CN"/>
        </w:rPr>
        <w:t xml:space="preserve">I graduates are in employment (either in a wage job or own business). However, nearly half of the graduates surveyed (46 per cent) are still in the same job they were in before they started their training at APTC. Table </w:t>
      </w:r>
      <w:r w:rsidR="006E1BCE">
        <w:rPr>
          <w:lang w:eastAsia="zh-CN"/>
        </w:rPr>
        <w:t>2</w:t>
      </w:r>
      <w:r w:rsidR="009038E9" w:rsidRPr="00E12183">
        <w:rPr>
          <w:lang w:eastAsia="zh-CN"/>
        </w:rPr>
        <w:t xml:space="preserve"> </w:t>
      </w:r>
      <w:r w:rsidRPr="00E12183">
        <w:rPr>
          <w:lang w:eastAsia="zh-CN"/>
        </w:rPr>
        <w:t xml:space="preserve">presents data on the employment rates of 54 per cent of graduates not in the same job as prior to APTC. </w:t>
      </w:r>
    </w:p>
    <w:p w14:paraId="5EEAAD87" w14:textId="3EDD4B2D" w:rsidR="00AF55E0" w:rsidRDefault="005F0F2D" w:rsidP="009C76A7">
      <w:pPr>
        <w:pStyle w:val="Tableheading"/>
        <w:rPr>
          <w:lang w:eastAsia="zh-CN"/>
        </w:rPr>
      </w:pPr>
      <w:bookmarkStart w:id="67" w:name="_Toc274832807"/>
      <w:r w:rsidRPr="00357F1A">
        <w:rPr>
          <w:lang w:eastAsia="zh-CN"/>
        </w:rPr>
        <w:t xml:space="preserve">Table </w:t>
      </w:r>
      <w:r w:rsidR="00F87C65">
        <w:rPr>
          <w:lang w:eastAsia="zh-CN"/>
        </w:rPr>
        <w:t>2</w:t>
      </w:r>
      <w:r w:rsidRPr="00357F1A">
        <w:rPr>
          <w:lang w:eastAsia="zh-CN"/>
        </w:rPr>
        <w:t xml:space="preserve">: Proportion of Stage I APTC graduates </w:t>
      </w:r>
      <w:r w:rsidR="00A653D0" w:rsidRPr="00357F1A">
        <w:rPr>
          <w:lang w:eastAsia="zh-CN"/>
        </w:rPr>
        <w:t xml:space="preserve">by qualification </w:t>
      </w:r>
      <w:r w:rsidRPr="00357F1A">
        <w:rPr>
          <w:lang w:eastAsia="zh-CN"/>
        </w:rPr>
        <w:t xml:space="preserve">not in </w:t>
      </w:r>
      <w:r w:rsidR="00DF7C96">
        <w:rPr>
          <w:lang w:eastAsia="zh-CN"/>
        </w:rPr>
        <w:br/>
      </w:r>
      <w:r w:rsidRPr="00357F1A">
        <w:rPr>
          <w:lang w:eastAsia="zh-CN"/>
        </w:rPr>
        <w:t>the same job prior to APTC who are employed, 2007</w:t>
      </w:r>
      <w:r w:rsidR="00357F1A">
        <w:rPr>
          <w:lang w:eastAsia="zh-CN"/>
        </w:rPr>
        <w:t>–</w:t>
      </w:r>
      <w:r w:rsidRPr="00357F1A">
        <w:rPr>
          <w:lang w:eastAsia="zh-CN"/>
        </w:rPr>
        <w:t>June 2011</w:t>
      </w:r>
      <w:r w:rsidR="00357F1A">
        <w:rPr>
          <w:lang w:eastAsia="zh-CN"/>
        </w:rPr>
        <w:t xml:space="preserve"> (%)</w:t>
      </w:r>
      <w:bookmarkEnd w:id="67"/>
    </w:p>
    <w:tbl>
      <w:tblPr>
        <w:tblW w:w="7088" w:type="dxa"/>
        <w:tblInd w:w="108" w:type="dxa"/>
        <w:tblLayout w:type="fixed"/>
        <w:tblLook w:val="04A0" w:firstRow="1" w:lastRow="0" w:firstColumn="1" w:lastColumn="0" w:noHBand="0" w:noVBand="1"/>
      </w:tblPr>
      <w:tblGrid>
        <w:gridCol w:w="4111"/>
        <w:gridCol w:w="1276"/>
        <w:gridCol w:w="1701"/>
      </w:tblGrid>
      <w:tr w:rsidR="00520D20" w:rsidRPr="00E12183" w14:paraId="1BE7A8B9" w14:textId="77777777" w:rsidTr="00800A6B">
        <w:trPr>
          <w:trHeight w:val="840"/>
        </w:trPr>
        <w:tc>
          <w:tcPr>
            <w:tcW w:w="4111" w:type="dxa"/>
            <w:shd w:val="clear" w:color="000000" w:fill="C5E0B3" w:themeFill="accent6" w:themeFillTint="66"/>
          </w:tcPr>
          <w:p w14:paraId="6C10028F" w14:textId="77777777" w:rsidR="005F0F2D" w:rsidRPr="00E12183" w:rsidRDefault="005F0F2D" w:rsidP="009C76A7">
            <w:pPr>
              <w:spacing w:before="120" w:after="0"/>
              <w:rPr>
                <w:rFonts w:cs="Arial"/>
                <w:b/>
                <w:color w:val="000000"/>
                <w:sz w:val="20"/>
                <w:szCs w:val="20"/>
                <w:lang w:eastAsia="en-AU"/>
              </w:rPr>
            </w:pPr>
            <w:r w:rsidRPr="00E12183">
              <w:rPr>
                <w:rFonts w:cs="Arial"/>
                <w:b/>
                <w:color w:val="000000"/>
                <w:sz w:val="20"/>
                <w:szCs w:val="20"/>
                <w:lang w:eastAsia="en-AU"/>
              </w:rPr>
              <w:t>APTC qualification</w:t>
            </w:r>
          </w:p>
        </w:tc>
        <w:tc>
          <w:tcPr>
            <w:tcW w:w="1276" w:type="dxa"/>
            <w:shd w:val="clear" w:color="000000" w:fill="C5E0B3" w:themeFill="accent6" w:themeFillTint="66"/>
          </w:tcPr>
          <w:p w14:paraId="3D3F2514" w14:textId="2032BE89" w:rsidR="005F0F2D" w:rsidRPr="00E12183" w:rsidRDefault="005F0F2D" w:rsidP="00976964">
            <w:pPr>
              <w:spacing w:before="120" w:after="0"/>
              <w:jc w:val="center"/>
              <w:rPr>
                <w:rFonts w:cs="Arial"/>
                <w:b/>
                <w:color w:val="000000"/>
                <w:sz w:val="16"/>
                <w:szCs w:val="16"/>
                <w:lang w:eastAsia="en-AU"/>
              </w:rPr>
            </w:pPr>
            <w:r w:rsidRPr="00E12183">
              <w:rPr>
                <w:rFonts w:cs="Arial"/>
                <w:b/>
                <w:color w:val="000000"/>
                <w:sz w:val="16"/>
                <w:szCs w:val="16"/>
                <w:lang w:eastAsia="en-AU"/>
              </w:rPr>
              <w:t xml:space="preserve">Not </w:t>
            </w:r>
            <w:r w:rsidR="00520D20">
              <w:rPr>
                <w:rFonts w:cs="Arial"/>
                <w:b/>
                <w:color w:val="000000"/>
                <w:sz w:val="16"/>
                <w:szCs w:val="16"/>
                <w:lang w:eastAsia="en-AU"/>
              </w:rPr>
              <w:t>e</w:t>
            </w:r>
            <w:r w:rsidR="00520D20" w:rsidRPr="00E12183">
              <w:rPr>
                <w:rFonts w:cs="Arial"/>
                <w:b/>
                <w:color w:val="000000"/>
                <w:sz w:val="16"/>
                <w:szCs w:val="16"/>
                <w:lang w:eastAsia="en-AU"/>
              </w:rPr>
              <w:t xml:space="preserve">mployed </w:t>
            </w:r>
            <w:r w:rsidRPr="00E12183">
              <w:rPr>
                <w:rFonts w:cs="Arial"/>
                <w:b/>
                <w:color w:val="000000"/>
                <w:sz w:val="16"/>
                <w:szCs w:val="16"/>
                <w:lang w:eastAsia="en-AU"/>
              </w:rPr>
              <w:t>%</w:t>
            </w:r>
          </w:p>
        </w:tc>
        <w:tc>
          <w:tcPr>
            <w:tcW w:w="1701" w:type="dxa"/>
            <w:shd w:val="clear" w:color="000000" w:fill="C5E0B3" w:themeFill="accent6" w:themeFillTint="66"/>
          </w:tcPr>
          <w:p w14:paraId="3A7E574B" w14:textId="2894E4CC" w:rsidR="005F0F2D" w:rsidRPr="00E12183" w:rsidRDefault="00A653D0" w:rsidP="00976964">
            <w:pPr>
              <w:spacing w:before="120" w:after="0"/>
              <w:jc w:val="center"/>
              <w:rPr>
                <w:rFonts w:cs="Arial"/>
                <w:b/>
                <w:color w:val="000000"/>
                <w:sz w:val="16"/>
                <w:szCs w:val="16"/>
                <w:lang w:eastAsia="en-AU"/>
              </w:rPr>
            </w:pPr>
            <w:r w:rsidRPr="00A653D0">
              <w:rPr>
                <w:rFonts w:cs="Arial"/>
                <w:b/>
                <w:color w:val="000000"/>
                <w:sz w:val="16"/>
                <w:szCs w:val="16"/>
                <w:lang w:eastAsia="en-AU"/>
              </w:rPr>
              <w:t>Response rate for all graduates in  qualification %</w:t>
            </w:r>
          </w:p>
        </w:tc>
      </w:tr>
      <w:tr w:rsidR="00520D20" w:rsidRPr="009E3001" w14:paraId="425A6389" w14:textId="77777777" w:rsidTr="00800A6B">
        <w:trPr>
          <w:trHeight w:val="288"/>
        </w:trPr>
        <w:tc>
          <w:tcPr>
            <w:tcW w:w="4111" w:type="dxa"/>
            <w:shd w:val="clear" w:color="auto" w:fill="auto"/>
            <w:vAlign w:val="center"/>
          </w:tcPr>
          <w:p w14:paraId="214077D5" w14:textId="54038B6A"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III in </w:t>
            </w:r>
            <w:r w:rsidR="00B4243B" w:rsidRPr="009C76A7">
              <w:rPr>
                <w:rFonts w:cs="Arial"/>
                <w:color w:val="000000"/>
                <w:sz w:val="18"/>
                <w:szCs w:val="18"/>
                <w:lang w:eastAsia="en-AU"/>
              </w:rPr>
              <w:t>Hospitality –</w:t>
            </w:r>
            <w:r w:rsidRPr="009C76A7">
              <w:rPr>
                <w:rFonts w:cs="Arial"/>
                <w:color w:val="000000"/>
                <w:sz w:val="18"/>
                <w:szCs w:val="18"/>
                <w:lang w:eastAsia="en-AU"/>
              </w:rPr>
              <w:t xml:space="preserve"> </w:t>
            </w:r>
            <w:r w:rsidR="00B4243B" w:rsidRPr="009C76A7">
              <w:rPr>
                <w:rFonts w:cs="Arial"/>
                <w:color w:val="000000"/>
                <w:sz w:val="18"/>
                <w:szCs w:val="18"/>
                <w:lang w:eastAsia="en-AU"/>
              </w:rPr>
              <w:t>Patisserie</w:t>
            </w:r>
          </w:p>
        </w:tc>
        <w:tc>
          <w:tcPr>
            <w:tcW w:w="1276" w:type="dxa"/>
            <w:shd w:val="clear" w:color="auto" w:fill="auto"/>
            <w:vAlign w:val="bottom"/>
          </w:tcPr>
          <w:p w14:paraId="4141E9D1"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33</w:t>
            </w:r>
          </w:p>
        </w:tc>
        <w:tc>
          <w:tcPr>
            <w:tcW w:w="1701" w:type="dxa"/>
            <w:shd w:val="clear" w:color="auto" w:fill="auto"/>
            <w:noWrap/>
            <w:vAlign w:val="bottom"/>
          </w:tcPr>
          <w:p w14:paraId="18B3BCB0"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9</w:t>
            </w:r>
          </w:p>
        </w:tc>
      </w:tr>
      <w:tr w:rsidR="00520D20" w:rsidRPr="009E3001" w14:paraId="274E1F89" w14:textId="77777777" w:rsidTr="00800A6B">
        <w:trPr>
          <w:trHeight w:val="288"/>
        </w:trPr>
        <w:tc>
          <w:tcPr>
            <w:tcW w:w="4111" w:type="dxa"/>
            <w:shd w:val="clear" w:color="auto" w:fill="auto"/>
            <w:vAlign w:val="center"/>
          </w:tcPr>
          <w:p w14:paraId="20A95012" w14:textId="4396CE63"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Cert</w:t>
            </w:r>
            <w:r w:rsidR="00520D20" w:rsidRPr="009C76A7">
              <w:rPr>
                <w:rFonts w:cs="Arial"/>
                <w:color w:val="000000"/>
                <w:sz w:val="18"/>
                <w:szCs w:val="18"/>
                <w:lang w:eastAsia="en-AU"/>
              </w:rPr>
              <w:t>ificate</w:t>
            </w:r>
            <w:r w:rsidRPr="009C76A7">
              <w:rPr>
                <w:rFonts w:cs="Arial"/>
                <w:color w:val="000000"/>
                <w:sz w:val="18"/>
                <w:szCs w:val="18"/>
                <w:lang w:eastAsia="en-AU"/>
              </w:rPr>
              <w:t xml:space="preserve"> III </w:t>
            </w:r>
            <w:r w:rsidR="00B4243B" w:rsidRPr="009C76A7">
              <w:rPr>
                <w:rFonts w:cs="Arial"/>
                <w:color w:val="000000"/>
                <w:sz w:val="18"/>
                <w:szCs w:val="18"/>
                <w:lang w:eastAsia="en-AU"/>
              </w:rPr>
              <w:t>in Engineering –</w:t>
            </w:r>
            <w:r w:rsidRPr="009C76A7">
              <w:rPr>
                <w:rFonts w:cs="Arial"/>
                <w:color w:val="000000"/>
                <w:sz w:val="18"/>
                <w:szCs w:val="18"/>
                <w:lang w:eastAsia="en-AU"/>
              </w:rPr>
              <w:t xml:space="preserve"> </w:t>
            </w:r>
            <w:r w:rsidR="00B4243B" w:rsidRPr="009C76A7">
              <w:rPr>
                <w:rFonts w:cs="Arial"/>
                <w:color w:val="000000"/>
                <w:sz w:val="18"/>
                <w:szCs w:val="18"/>
                <w:lang w:eastAsia="en-AU"/>
              </w:rPr>
              <w:t>Mechanical Fitting</w:t>
            </w:r>
          </w:p>
        </w:tc>
        <w:tc>
          <w:tcPr>
            <w:tcW w:w="1276" w:type="dxa"/>
            <w:shd w:val="clear" w:color="auto" w:fill="auto"/>
            <w:vAlign w:val="bottom"/>
          </w:tcPr>
          <w:p w14:paraId="1A717917"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17</w:t>
            </w:r>
          </w:p>
        </w:tc>
        <w:tc>
          <w:tcPr>
            <w:tcW w:w="1701" w:type="dxa"/>
            <w:shd w:val="clear" w:color="auto" w:fill="auto"/>
            <w:noWrap/>
            <w:vAlign w:val="bottom"/>
          </w:tcPr>
          <w:p w14:paraId="0E3F23D3"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19</w:t>
            </w:r>
          </w:p>
        </w:tc>
      </w:tr>
      <w:tr w:rsidR="00520D20" w:rsidRPr="009E3001" w14:paraId="273194F9" w14:textId="77777777" w:rsidTr="00800A6B">
        <w:trPr>
          <w:trHeight w:val="288"/>
        </w:trPr>
        <w:tc>
          <w:tcPr>
            <w:tcW w:w="4111" w:type="dxa"/>
            <w:shd w:val="clear" w:color="auto" w:fill="auto"/>
            <w:vAlign w:val="center"/>
          </w:tcPr>
          <w:p w14:paraId="7B1C81FD" w14:textId="2A0DFD5F"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III </w:t>
            </w:r>
            <w:r w:rsidR="00B4243B" w:rsidRPr="009C76A7">
              <w:rPr>
                <w:rFonts w:cs="Arial"/>
                <w:color w:val="000000"/>
                <w:sz w:val="18"/>
                <w:szCs w:val="18"/>
                <w:lang w:eastAsia="en-AU"/>
              </w:rPr>
              <w:t>in Children's Services</w:t>
            </w:r>
          </w:p>
        </w:tc>
        <w:tc>
          <w:tcPr>
            <w:tcW w:w="1276" w:type="dxa"/>
            <w:shd w:val="clear" w:color="auto" w:fill="auto"/>
            <w:vAlign w:val="bottom"/>
          </w:tcPr>
          <w:p w14:paraId="0FB3C218"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14</w:t>
            </w:r>
          </w:p>
        </w:tc>
        <w:tc>
          <w:tcPr>
            <w:tcW w:w="1701" w:type="dxa"/>
            <w:shd w:val="clear" w:color="auto" w:fill="auto"/>
            <w:noWrap/>
            <w:vAlign w:val="bottom"/>
          </w:tcPr>
          <w:p w14:paraId="7E29DDDE"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30</w:t>
            </w:r>
          </w:p>
        </w:tc>
      </w:tr>
      <w:tr w:rsidR="00520D20" w:rsidRPr="009E3001" w14:paraId="24646023" w14:textId="77777777" w:rsidTr="00800A6B">
        <w:trPr>
          <w:trHeight w:val="288"/>
        </w:trPr>
        <w:tc>
          <w:tcPr>
            <w:tcW w:w="4111" w:type="dxa"/>
            <w:shd w:val="clear" w:color="auto" w:fill="auto"/>
            <w:vAlign w:val="center"/>
          </w:tcPr>
          <w:p w14:paraId="342CC9BB" w14:textId="406A59B0"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III in </w:t>
            </w:r>
            <w:r w:rsidR="00B4243B" w:rsidRPr="009C76A7">
              <w:rPr>
                <w:rFonts w:cs="Arial"/>
                <w:color w:val="000000"/>
                <w:sz w:val="18"/>
                <w:szCs w:val="18"/>
                <w:lang w:eastAsia="en-AU"/>
              </w:rPr>
              <w:t xml:space="preserve">Wall </w:t>
            </w:r>
            <w:r w:rsidRPr="009C76A7">
              <w:rPr>
                <w:rFonts w:cs="Arial"/>
                <w:color w:val="000000"/>
                <w:sz w:val="18"/>
                <w:szCs w:val="18"/>
                <w:lang w:eastAsia="en-AU"/>
              </w:rPr>
              <w:t xml:space="preserve">and </w:t>
            </w:r>
            <w:r w:rsidR="00B4243B" w:rsidRPr="009C76A7">
              <w:rPr>
                <w:rFonts w:cs="Arial"/>
                <w:color w:val="000000"/>
                <w:sz w:val="18"/>
                <w:szCs w:val="18"/>
                <w:lang w:eastAsia="en-AU"/>
              </w:rPr>
              <w:t>Floor Tiling</w:t>
            </w:r>
          </w:p>
        </w:tc>
        <w:tc>
          <w:tcPr>
            <w:tcW w:w="1276" w:type="dxa"/>
            <w:shd w:val="clear" w:color="auto" w:fill="auto"/>
            <w:vAlign w:val="bottom"/>
          </w:tcPr>
          <w:p w14:paraId="3543EA65"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14</w:t>
            </w:r>
          </w:p>
        </w:tc>
        <w:tc>
          <w:tcPr>
            <w:tcW w:w="1701" w:type="dxa"/>
            <w:shd w:val="clear" w:color="auto" w:fill="auto"/>
            <w:noWrap/>
            <w:vAlign w:val="bottom"/>
          </w:tcPr>
          <w:p w14:paraId="0983E7E8"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33</w:t>
            </w:r>
          </w:p>
        </w:tc>
      </w:tr>
      <w:tr w:rsidR="00520D20" w:rsidRPr="009E3001" w14:paraId="3B478B2B" w14:textId="77777777" w:rsidTr="00800A6B">
        <w:trPr>
          <w:trHeight w:val="288"/>
        </w:trPr>
        <w:tc>
          <w:tcPr>
            <w:tcW w:w="4111" w:type="dxa"/>
            <w:shd w:val="clear" w:color="auto" w:fill="auto"/>
            <w:vAlign w:val="center"/>
          </w:tcPr>
          <w:p w14:paraId="39C8E2AD" w14:textId="4AFF79B9"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III in </w:t>
            </w:r>
            <w:r w:rsidR="00B4243B" w:rsidRPr="009C76A7">
              <w:rPr>
                <w:rFonts w:cs="Arial"/>
                <w:color w:val="000000"/>
                <w:sz w:val="18"/>
                <w:szCs w:val="18"/>
                <w:lang w:eastAsia="en-AU"/>
              </w:rPr>
              <w:t>Plumbing</w:t>
            </w:r>
          </w:p>
        </w:tc>
        <w:tc>
          <w:tcPr>
            <w:tcW w:w="1276" w:type="dxa"/>
            <w:shd w:val="clear" w:color="auto" w:fill="auto"/>
            <w:vAlign w:val="bottom"/>
          </w:tcPr>
          <w:p w14:paraId="6AACD705"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14</w:t>
            </w:r>
          </w:p>
        </w:tc>
        <w:tc>
          <w:tcPr>
            <w:tcW w:w="1701" w:type="dxa"/>
            <w:shd w:val="clear" w:color="auto" w:fill="auto"/>
            <w:noWrap/>
            <w:vAlign w:val="bottom"/>
          </w:tcPr>
          <w:p w14:paraId="03C1C24C"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47</w:t>
            </w:r>
          </w:p>
        </w:tc>
      </w:tr>
      <w:tr w:rsidR="00520D20" w:rsidRPr="009E3001" w14:paraId="033F2583" w14:textId="77777777" w:rsidTr="00800A6B">
        <w:trPr>
          <w:trHeight w:val="372"/>
        </w:trPr>
        <w:tc>
          <w:tcPr>
            <w:tcW w:w="4111" w:type="dxa"/>
            <w:shd w:val="clear" w:color="auto" w:fill="auto"/>
            <w:vAlign w:val="center"/>
          </w:tcPr>
          <w:p w14:paraId="42B2B4E2" w14:textId="431356D8"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IV in </w:t>
            </w:r>
            <w:r w:rsidR="00B4243B" w:rsidRPr="009C76A7">
              <w:rPr>
                <w:rFonts w:cs="Arial"/>
                <w:color w:val="000000"/>
                <w:sz w:val="18"/>
                <w:szCs w:val="18"/>
                <w:lang w:eastAsia="en-AU"/>
              </w:rPr>
              <w:t xml:space="preserve">Training </w:t>
            </w:r>
            <w:r w:rsidRPr="009C76A7">
              <w:rPr>
                <w:rFonts w:cs="Arial"/>
                <w:color w:val="000000"/>
                <w:sz w:val="18"/>
                <w:szCs w:val="18"/>
                <w:lang w:eastAsia="en-AU"/>
              </w:rPr>
              <w:t xml:space="preserve">and </w:t>
            </w:r>
            <w:r w:rsidR="00B4243B" w:rsidRPr="009C76A7">
              <w:rPr>
                <w:rFonts w:cs="Arial"/>
                <w:color w:val="000000"/>
                <w:sz w:val="18"/>
                <w:szCs w:val="18"/>
                <w:lang w:eastAsia="en-AU"/>
              </w:rPr>
              <w:t>Assessment</w:t>
            </w:r>
          </w:p>
        </w:tc>
        <w:tc>
          <w:tcPr>
            <w:tcW w:w="1276" w:type="dxa"/>
            <w:shd w:val="clear" w:color="auto" w:fill="auto"/>
            <w:vAlign w:val="bottom"/>
          </w:tcPr>
          <w:p w14:paraId="5CD207C9"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14</w:t>
            </w:r>
          </w:p>
        </w:tc>
        <w:tc>
          <w:tcPr>
            <w:tcW w:w="1701" w:type="dxa"/>
            <w:shd w:val="clear" w:color="auto" w:fill="auto"/>
            <w:noWrap/>
            <w:vAlign w:val="bottom"/>
          </w:tcPr>
          <w:p w14:paraId="00818104"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26</w:t>
            </w:r>
          </w:p>
        </w:tc>
      </w:tr>
      <w:tr w:rsidR="00520D20" w:rsidRPr="009E3001" w14:paraId="4A38AF27" w14:textId="77777777" w:rsidTr="00800A6B">
        <w:trPr>
          <w:trHeight w:val="288"/>
        </w:trPr>
        <w:tc>
          <w:tcPr>
            <w:tcW w:w="4111" w:type="dxa"/>
            <w:shd w:val="clear" w:color="auto" w:fill="auto"/>
            <w:vAlign w:val="center"/>
          </w:tcPr>
          <w:p w14:paraId="288EC8C4" w14:textId="57F77482"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III </w:t>
            </w:r>
            <w:r w:rsidR="00B4243B" w:rsidRPr="009C76A7">
              <w:rPr>
                <w:rFonts w:cs="Arial"/>
                <w:color w:val="000000"/>
                <w:sz w:val="18"/>
                <w:szCs w:val="18"/>
                <w:lang w:eastAsia="en-AU"/>
              </w:rPr>
              <w:t xml:space="preserve">in Carpentry </w:t>
            </w:r>
          </w:p>
        </w:tc>
        <w:tc>
          <w:tcPr>
            <w:tcW w:w="1276" w:type="dxa"/>
            <w:shd w:val="clear" w:color="auto" w:fill="auto"/>
            <w:vAlign w:val="bottom"/>
          </w:tcPr>
          <w:p w14:paraId="08B8D2B2"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11</w:t>
            </w:r>
          </w:p>
        </w:tc>
        <w:tc>
          <w:tcPr>
            <w:tcW w:w="1701" w:type="dxa"/>
            <w:shd w:val="clear" w:color="auto" w:fill="auto"/>
            <w:noWrap/>
            <w:vAlign w:val="bottom"/>
          </w:tcPr>
          <w:p w14:paraId="3577A66F"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19</w:t>
            </w:r>
          </w:p>
        </w:tc>
      </w:tr>
      <w:tr w:rsidR="00520D20" w:rsidRPr="009E3001" w14:paraId="48720070" w14:textId="77777777" w:rsidTr="00800A6B">
        <w:trPr>
          <w:trHeight w:val="339"/>
        </w:trPr>
        <w:tc>
          <w:tcPr>
            <w:tcW w:w="4111" w:type="dxa"/>
            <w:shd w:val="clear" w:color="auto" w:fill="auto"/>
            <w:vAlign w:val="center"/>
          </w:tcPr>
          <w:p w14:paraId="7BA43D96" w14:textId="12CFD687"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 xml:space="preserve">Certificate IV in </w:t>
            </w:r>
            <w:r w:rsidR="00B4243B" w:rsidRPr="009C76A7">
              <w:rPr>
                <w:rFonts w:cs="Arial"/>
                <w:color w:val="000000"/>
                <w:sz w:val="18"/>
                <w:szCs w:val="18"/>
                <w:lang w:eastAsia="en-AU"/>
              </w:rPr>
              <w:t xml:space="preserve">Hospitality </w:t>
            </w:r>
            <w:r w:rsidRPr="009C76A7">
              <w:rPr>
                <w:rFonts w:cs="Arial"/>
                <w:color w:val="000000"/>
                <w:sz w:val="18"/>
                <w:szCs w:val="18"/>
                <w:lang w:eastAsia="en-AU"/>
              </w:rPr>
              <w:t>(</w:t>
            </w:r>
            <w:r w:rsidR="00B4243B" w:rsidRPr="009C76A7">
              <w:rPr>
                <w:rFonts w:cs="Arial"/>
                <w:color w:val="000000"/>
                <w:sz w:val="18"/>
                <w:szCs w:val="18"/>
                <w:lang w:eastAsia="en-AU"/>
              </w:rPr>
              <w:t>Supervision</w:t>
            </w:r>
            <w:r w:rsidRPr="009C76A7">
              <w:rPr>
                <w:rFonts w:cs="Arial"/>
                <w:color w:val="000000"/>
                <w:sz w:val="18"/>
                <w:szCs w:val="18"/>
                <w:lang w:eastAsia="en-AU"/>
              </w:rPr>
              <w:t>)</w:t>
            </w:r>
          </w:p>
        </w:tc>
        <w:tc>
          <w:tcPr>
            <w:tcW w:w="1276" w:type="dxa"/>
            <w:shd w:val="clear" w:color="auto" w:fill="auto"/>
            <w:vAlign w:val="bottom"/>
          </w:tcPr>
          <w:p w14:paraId="66DB9C33"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8</w:t>
            </w:r>
          </w:p>
        </w:tc>
        <w:tc>
          <w:tcPr>
            <w:tcW w:w="1701" w:type="dxa"/>
            <w:shd w:val="clear" w:color="auto" w:fill="auto"/>
            <w:noWrap/>
            <w:vAlign w:val="bottom"/>
          </w:tcPr>
          <w:p w14:paraId="12044259"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19</w:t>
            </w:r>
          </w:p>
        </w:tc>
      </w:tr>
      <w:tr w:rsidR="00520D20" w:rsidRPr="009E3001" w14:paraId="440BD817" w14:textId="77777777" w:rsidTr="00773FEA">
        <w:trPr>
          <w:trHeight w:val="288"/>
        </w:trPr>
        <w:tc>
          <w:tcPr>
            <w:tcW w:w="4111" w:type="dxa"/>
            <w:shd w:val="clear" w:color="auto" w:fill="auto"/>
            <w:vAlign w:val="bottom"/>
          </w:tcPr>
          <w:p w14:paraId="588793B1" w14:textId="3C417D57" w:rsidR="005F0F2D" w:rsidRPr="009C76A7" w:rsidRDefault="005F0F2D" w:rsidP="00B4243B">
            <w:pPr>
              <w:spacing w:before="20" w:after="20"/>
              <w:rPr>
                <w:rFonts w:cs="Arial"/>
                <w:color w:val="000000"/>
                <w:sz w:val="18"/>
                <w:szCs w:val="18"/>
                <w:lang w:eastAsia="en-AU"/>
              </w:rPr>
            </w:pPr>
            <w:r w:rsidRPr="009C76A7">
              <w:rPr>
                <w:rFonts w:cs="Arial"/>
                <w:color w:val="000000"/>
                <w:sz w:val="18"/>
                <w:szCs w:val="18"/>
                <w:lang w:eastAsia="en-AU"/>
              </w:rPr>
              <w:t>Cert</w:t>
            </w:r>
            <w:r w:rsidR="00B4243B" w:rsidRPr="009C76A7">
              <w:rPr>
                <w:rFonts w:cs="Arial"/>
                <w:color w:val="000000"/>
                <w:sz w:val="18"/>
                <w:szCs w:val="18"/>
                <w:lang w:eastAsia="en-AU"/>
              </w:rPr>
              <w:t>ificate</w:t>
            </w:r>
            <w:r w:rsidRPr="009C76A7">
              <w:rPr>
                <w:rFonts w:cs="Arial"/>
                <w:color w:val="000000"/>
                <w:sz w:val="18"/>
                <w:szCs w:val="18"/>
                <w:lang w:eastAsia="en-AU"/>
              </w:rPr>
              <w:t xml:space="preserve"> III </w:t>
            </w:r>
            <w:r w:rsidR="00B4243B" w:rsidRPr="009C76A7">
              <w:rPr>
                <w:rFonts w:cs="Arial"/>
                <w:color w:val="000000"/>
                <w:sz w:val="18"/>
                <w:szCs w:val="18"/>
                <w:lang w:eastAsia="en-AU"/>
              </w:rPr>
              <w:t>in Painting</w:t>
            </w:r>
            <w:r w:rsidRPr="009C76A7">
              <w:rPr>
                <w:rFonts w:cs="Arial"/>
                <w:color w:val="000000"/>
                <w:sz w:val="18"/>
                <w:szCs w:val="18"/>
                <w:lang w:eastAsia="en-AU"/>
              </w:rPr>
              <w:t>/</w:t>
            </w:r>
            <w:r w:rsidR="00B4243B" w:rsidRPr="009C76A7">
              <w:rPr>
                <w:rFonts w:cs="Arial"/>
                <w:color w:val="000000"/>
                <w:sz w:val="18"/>
                <w:szCs w:val="18"/>
                <w:lang w:eastAsia="en-AU"/>
              </w:rPr>
              <w:t>Decorating</w:t>
            </w:r>
          </w:p>
        </w:tc>
        <w:tc>
          <w:tcPr>
            <w:tcW w:w="1276" w:type="dxa"/>
            <w:shd w:val="clear" w:color="auto" w:fill="auto"/>
            <w:noWrap/>
            <w:vAlign w:val="bottom"/>
          </w:tcPr>
          <w:p w14:paraId="6439C052"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7</w:t>
            </w:r>
          </w:p>
        </w:tc>
        <w:tc>
          <w:tcPr>
            <w:tcW w:w="1701" w:type="dxa"/>
            <w:shd w:val="clear" w:color="auto" w:fill="auto"/>
            <w:noWrap/>
            <w:vAlign w:val="bottom"/>
          </w:tcPr>
          <w:p w14:paraId="1693ED85" w14:textId="77777777" w:rsidR="005F0F2D" w:rsidRPr="009C76A7" w:rsidRDefault="005F0F2D" w:rsidP="00976964">
            <w:pPr>
              <w:spacing w:before="20" w:after="20"/>
              <w:jc w:val="center"/>
              <w:rPr>
                <w:rFonts w:cs="Arial"/>
                <w:color w:val="000000"/>
                <w:sz w:val="18"/>
                <w:szCs w:val="18"/>
                <w:lang w:eastAsia="en-AU"/>
              </w:rPr>
            </w:pPr>
            <w:r w:rsidRPr="009C76A7">
              <w:rPr>
                <w:rFonts w:cs="Arial"/>
                <w:color w:val="000000"/>
                <w:sz w:val="18"/>
                <w:szCs w:val="18"/>
                <w:lang w:eastAsia="en-AU"/>
              </w:rPr>
              <w:t>16</w:t>
            </w:r>
          </w:p>
        </w:tc>
      </w:tr>
      <w:tr w:rsidR="00800A6B" w:rsidRPr="009E3001" w14:paraId="697EFC07" w14:textId="77777777" w:rsidTr="00773FEA">
        <w:tc>
          <w:tcPr>
            <w:tcW w:w="4111" w:type="dxa"/>
            <w:tcBorders>
              <w:bottom w:val="single" w:sz="4" w:space="0" w:color="C5E0B3" w:themeColor="accent6" w:themeTint="66"/>
            </w:tcBorders>
            <w:shd w:val="clear" w:color="auto" w:fill="auto"/>
            <w:vAlign w:val="bottom"/>
          </w:tcPr>
          <w:p w14:paraId="34DF702D" w14:textId="77777777" w:rsidR="00800A6B" w:rsidRPr="009C76A7" w:rsidRDefault="00800A6B" w:rsidP="00800A6B">
            <w:pPr>
              <w:spacing w:after="0"/>
              <w:rPr>
                <w:rFonts w:cs="Arial"/>
                <w:color w:val="000000"/>
                <w:sz w:val="18"/>
                <w:szCs w:val="18"/>
                <w:lang w:eastAsia="en-AU"/>
              </w:rPr>
            </w:pPr>
          </w:p>
        </w:tc>
        <w:tc>
          <w:tcPr>
            <w:tcW w:w="1276" w:type="dxa"/>
            <w:tcBorders>
              <w:bottom w:val="single" w:sz="4" w:space="0" w:color="C5E0B3" w:themeColor="accent6" w:themeTint="66"/>
            </w:tcBorders>
            <w:shd w:val="clear" w:color="auto" w:fill="auto"/>
            <w:noWrap/>
            <w:vAlign w:val="bottom"/>
          </w:tcPr>
          <w:p w14:paraId="7ADF4470" w14:textId="77777777" w:rsidR="00800A6B" w:rsidRPr="009C76A7" w:rsidRDefault="00800A6B" w:rsidP="00800A6B">
            <w:pPr>
              <w:spacing w:after="0"/>
              <w:jc w:val="center"/>
              <w:rPr>
                <w:rFonts w:cs="Arial"/>
                <w:color w:val="000000"/>
                <w:sz w:val="18"/>
                <w:szCs w:val="18"/>
                <w:lang w:eastAsia="en-AU"/>
              </w:rPr>
            </w:pPr>
          </w:p>
        </w:tc>
        <w:tc>
          <w:tcPr>
            <w:tcW w:w="1701" w:type="dxa"/>
            <w:tcBorders>
              <w:bottom w:val="single" w:sz="4" w:space="0" w:color="C5E0B3" w:themeColor="accent6" w:themeTint="66"/>
            </w:tcBorders>
            <w:shd w:val="clear" w:color="auto" w:fill="auto"/>
            <w:noWrap/>
            <w:vAlign w:val="bottom"/>
          </w:tcPr>
          <w:p w14:paraId="62517193" w14:textId="77777777" w:rsidR="00800A6B" w:rsidRPr="009C76A7" w:rsidRDefault="00800A6B" w:rsidP="00800A6B">
            <w:pPr>
              <w:spacing w:after="0"/>
              <w:jc w:val="center"/>
              <w:rPr>
                <w:rFonts w:cs="Arial"/>
                <w:color w:val="000000"/>
                <w:sz w:val="18"/>
                <w:szCs w:val="18"/>
                <w:lang w:eastAsia="en-AU"/>
              </w:rPr>
            </w:pPr>
          </w:p>
        </w:tc>
      </w:tr>
    </w:tbl>
    <w:p w14:paraId="3D5671D7" w14:textId="42E57E28" w:rsidR="00F87C65" w:rsidRPr="009C76A7" w:rsidRDefault="00563E0D" w:rsidP="005F0F2D">
      <w:pPr>
        <w:spacing w:before="120"/>
        <w:rPr>
          <w:sz w:val="16"/>
          <w:szCs w:val="16"/>
          <w:lang w:eastAsia="zh-CN"/>
        </w:rPr>
      </w:pPr>
      <w:r w:rsidRPr="00563E0D">
        <w:rPr>
          <w:rFonts w:cs="Arial"/>
          <w:color w:val="000000"/>
          <w:sz w:val="16"/>
          <w:szCs w:val="16"/>
          <w:lang w:eastAsia="en-AU"/>
        </w:rPr>
        <w:t xml:space="preserve">Source: </w:t>
      </w:r>
      <w:r w:rsidR="00B05763">
        <w:rPr>
          <w:rFonts w:cs="Arial"/>
          <w:color w:val="000000"/>
          <w:sz w:val="16"/>
          <w:szCs w:val="16"/>
          <w:lang w:eastAsia="en-AU"/>
        </w:rPr>
        <w:t xml:space="preserve">NCVER </w:t>
      </w:r>
      <w:r w:rsidRPr="005E22FC">
        <w:rPr>
          <w:rFonts w:cs="Arial"/>
          <w:color w:val="000000"/>
          <w:sz w:val="16"/>
          <w:szCs w:val="16"/>
          <w:lang w:eastAsia="en-AU"/>
        </w:rPr>
        <w:t xml:space="preserve">APTC Graduates Down the Track </w:t>
      </w:r>
      <w:r w:rsidR="00B4243B" w:rsidRPr="009C76A7">
        <w:rPr>
          <w:rFonts w:cs="Arial"/>
          <w:color w:val="000000"/>
          <w:sz w:val="16"/>
          <w:szCs w:val="16"/>
          <w:lang w:eastAsia="en-AU"/>
        </w:rPr>
        <w:t xml:space="preserve">survey, December 2013, response rate for the tracer survey </w:t>
      </w:r>
      <w:r w:rsidR="00DF7C96">
        <w:rPr>
          <w:rFonts w:cs="Arial"/>
          <w:color w:val="000000"/>
          <w:sz w:val="16"/>
          <w:szCs w:val="16"/>
          <w:lang w:eastAsia="en-AU"/>
        </w:rPr>
        <w:br/>
      </w:r>
      <w:r w:rsidR="00B4243B" w:rsidRPr="009C76A7">
        <w:rPr>
          <w:rFonts w:cs="Arial"/>
          <w:color w:val="000000"/>
          <w:sz w:val="16"/>
          <w:szCs w:val="16"/>
          <w:lang w:eastAsia="en-AU"/>
        </w:rPr>
        <w:t>based on the total number of graduates in each listed qualification in Stage I</w:t>
      </w:r>
      <w:r w:rsidR="00B05763">
        <w:rPr>
          <w:rFonts w:cs="Arial"/>
          <w:color w:val="000000"/>
          <w:sz w:val="16"/>
          <w:szCs w:val="16"/>
          <w:lang w:eastAsia="en-AU"/>
        </w:rPr>
        <w:t>.</w:t>
      </w:r>
    </w:p>
    <w:p w14:paraId="3B6B090D" w14:textId="77777777" w:rsidR="00563E0D" w:rsidRDefault="00563E0D" w:rsidP="005F0F2D">
      <w:pPr>
        <w:spacing w:before="120"/>
        <w:rPr>
          <w:lang w:eastAsia="zh-CN"/>
        </w:rPr>
      </w:pPr>
    </w:p>
    <w:p w14:paraId="5735F8D8" w14:textId="52241B87" w:rsidR="005F0F2D" w:rsidRPr="00E12183" w:rsidRDefault="00E03945" w:rsidP="005F0F2D">
      <w:pPr>
        <w:spacing w:before="120"/>
        <w:rPr>
          <w:lang w:eastAsia="zh-CN"/>
        </w:rPr>
      </w:pPr>
      <w:r>
        <w:rPr>
          <w:lang w:eastAsia="zh-CN"/>
        </w:rPr>
        <w:t>Graduates in s</w:t>
      </w:r>
      <w:r w:rsidR="005F0F2D" w:rsidRPr="00E12183">
        <w:rPr>
          <w:lang w:eastAsia="zh-CN"/>
        </w:rPr>
        <w:t xml:space="preserve">everal qualifications have notably higher </w:t>
      </w:r>
      <w:r>
        <w:rPr>
          <w:lang w:eastAsia="zh-CN"/>
        </w:rPr>
        <w:t xml:space="preserve">unemployment </w:t>
      </w:r>
      <w:r w:rsidR="005F0F2D" w:rsidRPr="00E12183">
        <w:rPr>
          <w:lang w:eastAsia="zh-CN"/>
        </w:rPr>
        <w:t>rates</w:t>
      </w:r>
      <w:r>
        <w:rPr>
          <w:lang w:eastAsia="zh-CN"/>
        </w:rPr>
        <w:t xml:space="preserve">. </w:t>
      </w:r>
      <w:r w:rsidR="005F0F2D" w:rsidRPr="00E12183">
        <w:rPr>
          <w:lang w:eastAsia="zh-CN"/>
        </w:rPr>
        <w:t>One</w:t>
      </w:r>
      <w:r w:rsidR="00D35BCC">
        <w:rPr>
          <w:lang w:eastAsia="zh-CN"/>
        </w:rPr>
        <w:t>-</w:t>
      </w:r>
      <w:r w:rsidR="005F0F2D" w:rsidRPr="00E12183">
        <w:rPr>
          <w:lang w:eastAsia="zh-CN"/>
        </w:rPr>
        <w:t xml:space="preserve">third of graduates in </w:t>
      </w:r>
      <w:r>
        <w:rPr>
          <w:lang w:eastAsia="zh-CN"/>
        </w:rPr>
        <w:t xml:space="preserve">the </w:t>
      </w:r>
      <w:r w:rsidR="005E22FC">
        <w:rPr>
          <w:lang w:eastAsia="zh-CN"/>
        </w:rPr>
        <w:t>C</w:t>
      </w:r>
      <w:r w:rsidR="005E22FC" w:rsidRPr="00E12183">
        <w:rPr>
          <w:lang w:eastAsia="zh-CN"/>
        </w:rPr>
        <w:t xml:space="preserve">ertificate </w:t>
      </w:r>
      <w:r w:rsidR="005F0F2D" w:rsidRPr="00E12183">
        <w:rPr>
          <w:lang w:eastAsia="zh-CN"/>
        </w:rPr>
        <w:t xml:space="preserve">III in </w:t>
      </w:r>
      <w:r w:rsidR="005E22FC">
        <w:rPr>
          <w:lang w:eastAsia="zh-CN"/>
        </w:rPr>
        <w:t>H</w:t>
      </w:r>
      <w:r w:rsidR="005E22FC" w:rsidRPr="00E12183">
        <w:rPr>
          <w:lang w:eastAsia="zh-CN"/>
        </w:rPr>
        <w:t xml:space="preserve">ospitality </w:t>
      </w:r>
      <w:r w:rsidR="005F0F2D" w:rsidRPr="00E12183">
        <w:rPr>
          <w:lang w:eastAsia="zh-CN"/>
        </w:rPr>
        <w:t>(</w:t>
      </w:r>
      <w:r w:rsidR="005E22FC">
        <w:rPr>
          <w:lang w:eastAsia="zh-CN"/>
        </w:rPr>
        <w:t>P</w:t>
      </w:r>
      <w:r w:rsidR="005E22FC" w:rsidRPr="00E12183">
        <w:rPr>
          <w:lang w:eastAsia="zh-CN"/>
        </w:rPr>
        <w:t>atisserie</w:t>
      </w:r>
      <w:r w:rsidR="005F0F2D" w:rsidRPr="00E12183">
        <w:rPr>
          <w:lang w:eastAsia="zh-CN"/>
        </w:rPr>
        <w:t>) not with the same employer are unemployed</w:t>
      </w:r>
      <w:r w:rsidR="004D419F">
        <w:rPr>
          <w:lang w:eastAsia="zh-CN"/>
        </w:rPr>
        <w:t>,</w:t>
      </w:r>
      <w:r w:rsidR="005F0F2D" w:rsidRPr="00E12183">
        <w:rPr>
          <w:lang w:eastAsia="zh-CN"/>
        </w:rPr>
        <w:t xml:space="preserve"> although the response rate for this qualification is low. Graduates in the trades-based qualifications are not exempt from being out of work. As many as </w:t>
      </w:r>
      <w:r w:rsidR="00D35BCC" w:rsidRPr="00E12183">
        <w:rPr>
          <w:lang w:eastAsia="zh-CN"/>
        </w:rPr>
        <w:t>17</w:t>
      </w:r>
      <w:r w:rsidR="00D35BCC">
        <w:rPr>
          <w:lang w:eastAsia="zh-CN"/>
        </w:rPr>
        <w:t> </w:t>
      </w:r>
      <w:r w:rsidR="005F0F2D" w:rsidRPr="00E12183">
        <w:rPr>
          <w:lang w:eastAsia="zh-CN"/>
        </w:rPr>
        <w:t xml:space="preserve">per cent of graduates with a </w:t>
      </w:r>
      <w:r w:rsidR="00D35BCC">
        <w:rPr>
          <w:lang w:eastAsia="zh-CN"/>
        </w:rPr>
        <w:t>C</w:t>
      </w:r>
      <w:r w:rsidR="00D35BCC" w:rsidRPr="00E12183">
        <w:rPr>
          <w:lang w:eastAsia="zh-CN"/>
        </w:rPr>
        <w:t xml:space="preserve">ertificate </w:t>
      </w:r>
      <w:r w:rsidR="005F0F2D" w:rsidRPr="00E12183">
        <w:rPr>
          <w:lang w:eastAsia="zh-CN"/>
        </w:rPr>
        <w:t xml:space="preserve">III </w:t>
      </w:r>
      <w:r w:rsidR="00D35BCC">
        <w:rPr>
          <w:lang w:eastAsia="zh-CN"/>
        </w:rPr>
        <w:t>in M</w:t>
      </w:r>
      <w:r w:rsidR="00D35BCC" w:rsidRPr="00E12183">
        <w:rPr>
          <w:lang w:eastAsia="zh-CN"/>
        </w:rPr>
        <w:t xml:space="preserve">echanical </w:t>
      </w:r>
      <w:r w:rsidR="00D35BCC">
        <w:rPr>
          <w:lang w:eastAsia="zh-CN"/>
        </w:rPr>
        <w:t>F</w:t>
      </w:r>
      <w:r w:rsidR="00D35BCC" w:rsidRPr="00E12183">
        <w:rPr>
          <w:lang w:eastAsia="zh-CN"/>
        </w:rPr>
        <w:t xml:space="preserve">itting </w:t>
      </w:r>
      <w:r w:rsidR="005F0F2D" w:rsidRPr="00E12183">
        <w:rPr>
          <w:lang w:eastAsia="zh-CN"/>
        </w:rPr>
        <w:t xml:space="preserve">not with the same employer are unemployed. One-in-six graduates in </w:t>
      </w:r>
      <w:r w:rsidR="00D35BCC">
        <w:rPr>
          <w:lang w:eastAsia="zh-CN"/>
        </w:rPr>
        <w:t>C</w:t>
      </w:r>
      <w:r w:rsidR="00D35BCC" w:rsidRPr="00E12183">
        <w:rPr>
          <w:lang w:eastAsia="zh-CN"/>
        </w:rPr>
        <w:t xml:space="preserve">ertificate </w:t>
      </w:r>
      <w:r w:rsidR="005F0F2D" w:rsidRPr="00E12183">
        <w:rPr>
          <w:lang w:eastAsia="zh-CN"/>
        </w:rPr>
        <w:t xml:space="preserve">III </w:t>
      </w:r>
      <w:r w:rsidR="00D35BCC">
        <w:rPr>
          <w:lang w:eastAsia="zh-CN"/>
        </w:rPr>
        <w:t>in C</w:t>
      </w:r>
      <w:r w:rsidR="00D35BCC" w:rsidRPr="00E12183">
        <w:rPr>
          <w:lang w:eastAsia="zh-CN"/>
        </w:rPr>
        <w:t xml:space="preserve">hildren's </w:t>
      </w:r>
      <w:r w:rsidR="00D35BCC">
        <w:rPr>
          <w:lang w:eastAsia="zh-CN"/>
        </w:rPr>
        <w:t>S</w:t>
      </w:r>
      <w:r w:rsidR="00D35BCC" w:rsidRPr="00E12183">
        <w:rPr>
          <w:lang w:eastAsia="zh-CN"/>
        </w:rPr>
        <w:t xml:space="preserve">ervices </w:t>
      </w:r>
      <w:r w:rsidR="005F0F2D" w:rsidRPr="00E12183">
        <w:rPr>
          <w:lang w:eastAsia="zh-CN"/>
        </w:rPr>
        <w:t xml:space="preserve">not with the same employer are also now unemployed. Graduates in </w:t>
      </w:r>
      <w:r w:rsidR="00726256">
        <w:rPr>
          <w:lang w:eastAsia="zh-CN"/>
        </w:rPr>
        <w:t>C</w:t>
      </w:r>
      <w:r w:rsidR="00726256" w:rsidRPr="00E12183">
        <w:rPr>
          <w:lang w:eastAsia="zh-CN"/>
        </w:rPr>
        <w:t>ertificate</w:t>
      </w:r>
      <w:r w:rsidR="00726256">
        <w:rPr>
          <w:lang w:eastAsia="zh-CN"/>
        </w:rPr>
        <w:t>s</w:t>
      </w:r>
      <w:r w:rsidR="00726256" w:rsidRPr="00E12183">
        <w:rPr>
          <w:lang w:eastAsia="zh-CN"/>
        </w:rPr>
        <w:t xml:space="preserve"> </w:t>
      </w:r>
      <w:r w:rsidR="005F0F2D" w:rsidRPr="00E12183">
        <w:rPr>
          <w:lang w:eastAsia="zh-CN"/>
        </w:rPr>
        <w:t xml:space="preserve">III in </w:t>
      </w:r>
      <w:r w:rsidR="00726256">
        <w:rPr>
          <w:lang w:eastAsia="zh-CN"/>
        </w:rPr>
        <w:lastRenderedPageBreak/>
        <w:t>W</w:t>
      </w:r>
      <w:r w:rsidR="00726256" w:rsidRPr="00E12183">
        <w:rPr>
          <w:lang w:eastAsia="zh-CN"/>
        </w:rPr>
        <w:t xml:space="preserve">all </w:t>
      </w:r>
      <w:r w:rsidR="00726256">
        <w:rPr>
          <w:lang w:eastAsia="zh-CN"/>
        </w:rPr>
        <w:t>and</w:t>
      </w:r>
      <w:r w:rsidR="00726256" w:rsidRPr="00E12183">
        <w:rPr>
          <w:lang w:eastAsia="zh-CN"/>
        </w:rPr>
        <w:t xml:space="preserve"> </w:t>
      </w:r>
      <w:r w:rsidR="00726256">
        <w:rPr>
          <w:lang w:eastAsia="zh-CN"/>
        </w:rPr>
        <w:t>F</w:t>
      </w:r>
      <w:r w:rsidR="005F0F2D" w:rsidRPr="00E12183">
        <w:rPr>
          <w:lang w:eastAsia="zh-CN"/>
        </w:rPr>
        <w:t xml:space="preserve">loor </w:t>
      </w:r>
      <w:r w:rsidR="00726256">
        <w:rPr>
          <w:lang w:eastAsia="zh-CN"/>
        </w:rPr>
        <w:t>T</w:t>
      </w:r>
      <w:r w:rsidR="00726256" w:rsidRPr="00E12183">
        <w:rPr>
          <w:lang w:eastAsia="zh-CN"/>
        </w:rPr>
        <w:t>iling</w:t>
      </w:r>
      <w:r w:rsidR="005F0F2D" w:rsidRPr="00E12183">
        <w:rPr>
          <w:lang w:eastAsia="zh-CN"/>
        </w:rPr>
        <w:t xml:space="preserve">, </w:t>
      </w:r>
      <w:r w:rsidR="00726256">
        <w:rPr>
          <w:lang w:eastAsia="zh-CN"/>
        </w:rPr>
        <w:t>P</w:t>
      </w:r>
      <w:r w:rsidR="00726256" w:rsidRPr="00E12183">
        <w:rPr>
          <w:lang w:eastAsia="zh-CN"/>
        </w:rPr>
        <w:t xml:space="preserve">lumbing </w:t>
      </w:r>
      <w:r w:rsidR="005F0F2D" w:rsidRPr="00E12183">
        <w:rPr>
          <w:lang w:eastAsia="zh-CN"/>
        </w:rPr>
        <w:t xml:space="preserve">and </w:t>
      </w:r>
      <w:r w:rsidR="00726256">
        <w:rPr>
          <w:lang w:eastAsia="zh-CN"/>
        </w:rPr>
        <w:t>C</w:t>
      </w:r>
      <w:r w:rsidR="00726256" w:rsidRPr="00E12183">
        <w:rPr>
          <w:lang w:eastAsia="zh-CN"/>
        </w:rPr>
        <w:t xml:space="preserve">arpentry </w:t>
      </w:r>
      <w:r w:rsidR="005F0F2D" w:rsidRPr="00E12183">
        <w:rPr>
          <w:lang w:eastAsia="zh-CN"/>
        </w:rPr>
        <w:t xml:space="preserve">also have above average unemployment rates. </w:t>
      </w:r>
    </w:p>
    <w:p w14:paraId="4C986CB5" w14:textId="6580E311" w:rsidR="005F0F2D" w:rsidRPr="00E12183" w:rsidRDefault="005F0F2D" w:rsidP="005F0F2D">
      <w:pPr>
        <w:spacing w:before="120"/>
        <w:rPr>
          <w:lang w:eastAsia="zh-CN"/>
        </w:rPr>
      </w:pPr>
      <w:r w:rsidRPr="00E12183">
        <w:rPr>
          <w:lang w:eastAsia="zh-CN"/>
        </w:rPr>
        <w:t xml:space="preserve">Being in employment does </w:t>
      </w:r>
      <w:r w:rsidR="003F17DD">
        <w:rPr>
          <w:lang w:eastAsia="zh-CN"/>
        </w:rPr>
        <w:t xml:space="preserve">not </w:t>
      </w:r>
      <w:r w:rsidRPr="00E12183">
        <w:rPr>
          <w:lang w:eastAsia="zh-CN"/>
        </w:rPr>
        <w:t>indicate whether that job provides an adequate income. Most Stage I graduates in employment (84 per cent) agreed with the statement that ‘</w:t>
      </w:r>
      <w:r w:rsidR="0036349C" w:rsidRPr="00E12183">
        <w:rPr>
          <w:lang w:eastAsia="zh-CN"/>
        </w:rPr>
        <w:t>I</w:t>
      </w:r>
      <w:r w:rsidR="0036349C">
        <w:rPr>
          <w:lang w:eastAsia="zh-CN"/>
        </w:rPr>
        <w:t> </w:t>
      </w:r>
      <w:r w:rsidRPr="00E12183">
        <w:rPr>
          <w:lang w:eastAsia="zh-CN"/>
        </w:rPr>
        <w:t>am able to support myself and my family well’. However, one-in-ten Stage I APTC graduates (10 per cent) could not identify a benefit</w:t>
      </w:r>
      <w:r w:rsidR="0036349C">
        <w:rPr>
          <w:lang w:eastAsia="zh-CN"/>
        </w:rPr>
        <w:t>,</w:t>
      </w:r>
      <w:r w:rsidRPr="00E12183">
        <w:rPr>
          <w:lang w:eastAsia="zh-CN"/>
        </w:rPr>
        <w:t xml:space="preserve"> or stated a negative outcome</w:t>
      </w:r>
      <w:r w:rsidR="0036349C">
        <w:rPr>
          <w:lang w:eastAsia="zh-CN"/>
        </w:rPr>
        <w:t>,</w:t>
      </w:r>
      <w:r w:rsidRPr="00E12183">
        <w:rPr>
          <w:lang w:eastAsia="zh-CN"/>
        </w:rPr>
        <w:t xml:space="preserve"> since completing APTC training. Some 14 per cent agreed with the statement that ‘</w:t>
      </w:r>
      <w:r w:rsidR="0036349C" w:rsidRPr="00E12183">
        <w:rPr>
          <w:lang w:eastAsia="zh-CN"/>
        </w:rPr>
        <w:t>I</w:t>
      </w:r>
      <w:r w:rsidR="0036349C">
        <w:rPr>
          <w:lang w:eastAsia="zh-CN"/>
        </w:rPr>
        <w:t> </w:t>
      </w:r>
      <w:r w:rsidRPr="00E12183">
        <w:rPr>
          <w:lang w:eastAsia="zh-CN"/>
        </w:rPr>
        <w:t xml:space="preserve">find </w:t>
      </w:r>
      <w:r w:rsidR="004D419F">
        <w:rPr>
          <w:lang w:eastAsia="zh-CN"/>
        </w:rPr>
        <w:t xml:space="preserve">it </w:t>
      </w:r>
      <w:r w:rsidRPr="00E12183">
        <w:rPr>
          <w:lang w:eastAsia="zh-CN"/>
        </w:rPr>
        <w:t xml:space="preserve">difficult to earn enough to support myself and my family’ and only </w:t>
      </w:r>
      <w:r w:rsidR="0036349C">
        <w:rPr>
          <w:lang w:eastAsia="zh-CN"/>
        </w:rPr>
        <w:t>one</w:t>
      </w:r>
      <w:r w:rsidR="0036349C" w:rsidRPr="00E12183">
        <w:rPr>
          <w:lang w:eastAsia="zh-CN"/>
        </w:rPr>
        <w:t xml:space="preserve"> </w:t>
      </w:r>
      <w:r w:rsidRPr="00E12183">
        <w:rPr>
          <w:lang w:eastAsia="zh-CN"/>
        </w:rPr>
        <w:t xml:space="preserve">per cent agreed that ‘I cannot earn anywhere near enough to support myself and my family’. </w:t>
      </w:r>
      <w:r w:rsidR="0036349C" w:rsidRPr="00E12183">
        <w:rPr>
          <w:lang w:eastAsia="zh-CN"/>
        </w:rPr>
        <w:t>For</w:t>
      </w:r>
      <w:r w:rsidR="0036349C">
        <w:rPr>
          <w:lang w:eastAsia="zh-CN"/>
        </w:rPr>
        <w:t> </w:t>
      </w:r>
      <w:r w:rsidRPr="00E12183">
        <w:rPr>
          <w:lang w:eastAsia="zh-CN"/>
        </w:rPr>
        <w:t xml:space="preserve">those still in the same job, as many as one-in-five APTC graduates (20 per cent) found it difficult or very difficult to ‘earn enough </w:t>
      </w:r>
      <w:r w:rsidR="004D419F">
        <w:rPr>
          <w:lang w:eastAsia="zh-CN"/>
        </w:rPr>
        <w:t xml:space="preserve">to </w:t>
      </w:r>
      <w:r w:rsidRPr="00E12183">
        <w:rPr>
          <w:lang w:eastAsia="zh-CN"/>
        </w:rPr>
        <w:t>support myself and my family well’. This result compared with one-in-ten</w:t>
      </w:r>
      <w:r w:rsidR="0036349C" w:rsidRPr="00E12183">
        <w:rPr>
          <w:lang w:eastAsia="zh-CN"/>
        </w:rPr>
        <w:t xml:space="preserve"> </w:t>
      </w:r>
      <w:r w:rsidRPr="00E12183">
        <w:rPr>
          <w:lang w:eastAsia="zh-CN"/>
        </w:rPr>
        <w:t xml:space="preserve">of APTC graduates (12 per cent) in a new job. This suggests that some graduates who stay with the same employer are trapped, with little reward or choice. </w:t>
      </w:r>
    </w:p>
    <w:p w14:paraId="0E8F275C" w14:textId="77777777" w:rsidR="005F0F2D" w:rsidRPr="00E12183" w:rsidRDefault="005F0F2D" w:rsidP="005F0F2D">
      <w:pPr>
        <w:pStyle w:val="Heading3"/>
        <w:rPr>
          <w:lang w:eastAsia="zh-CN"/>
        </w:rPr>
      </w:pPr>
      <w:bookmarkStart w:id="68" w:name="_Toc278710541"/>
      <w:r w:rsidRPr="00E12183">
        <w:rPr>
          <w:lang w:eastAsia="zh-CN"/>
        </w:rPr>
        <w:t>Stage II graduates</w:t>
      </w:r>
      <w:bookmarkEnd w:id="68"/>
      <w:r w:rsidRPr="00E12183">
        <w:rPr>
          <w:lang w:eastAsia="zh-CN"/>
        </w:rPr>
        <w:t xml:space="preserve"> </w:t>
      </w:r>
    </w:p>
    <w:p w14:paraId="2437A0DD" w14:textId="2E2D4958" w:rsidR="009E3001" w:rsidRDefault="005F0F2D" w:rsidP="00DF7C96">
      <w:pPr>
        <w:spacing w:before="120"/>
        <w:rPr>
          <w:rFonts w:cs="Arial"/>
          <w:b/>
          <w:color w:val="76923C"/>
          <w:szCs w:val="22"/>
          <w:lang w:eastAsia="zh-CN"/>
        </w:rPr>
      </w:pPr>
      <w:r w:rsidRPr="00E12183">
        <w:rPr>
          <w:lang w:eastAsia="zh-CN"/>
        </w:rPr>
        <w:t xml:space="preserve">Overall, 95 per cent of APTC graduates from Stage II are in employment, and </w:t>
      </w:r>
      <w:r w:rsidR="00DE0208">
        <w:rPr>
          <w:lang w:eastAsia="zh-CN"/>
        </w:rPr>
        <w:br/>
      </w:r>
      <w:r w:rsidRPr="00E12183">
        <w:rPr>
          <w:lang w:eastAsia="zh-CN"/>
        </w:rPr>
        <w:t xml:space="preserve">81 per cent are in full-time, ongoing work. The </w:t>
      </w:r>
      <w:r w:rsidR="00293E80">
        <w:rPr>
          <w:lang w:eastAsia="zh-CN"/>
        </w:rPr>
        <w:t>‘</w:t>
      </w:r>
      <w:r w:rsidRPr="00E12183">
        <w:rPr>
          <w:lang w:eastAsia="zh-CN"/>
        </w:rPr>
        <w:t>APTC Past Student Tracer Surveys</w:t>
      </w:r>
      <w:r w:rsidR="00293E80">
        <w:rPr>
          <w:lang w:eastAsia="zh-CN"/>
        </w:rPr>
        <w:t>’</w:t>
      </w:r>
      <w:r w:rsidR="00293E80" w:rsidRPr="00E12183">
        <w:rPr>
          <w:lang w:eastAsia="zh-CN"/>
        </w:rPr>
        <w:t xml:space="preserve"> </w:t>
      </w:r>
      <w:r w:rsidRPr="00E12183">
        <w:rPr>
          <w:lang w:eastAsia="zh-CN"/>
        </w:rPr>
        <w:t>July 2011</w:t>
      </w:r>
      <w:r w:rsidR="009038E9">
        <w:rPr>
          <w:lang w:eastAsia="zh-CN"/>
        </w:rPr>
        <w:t>–</w:t>
      </w:r>
      <w:r w:rsidRPr="00E12183">
        <w:rPr>
          <w:lang w:eastAsia="zh-CN"/>
        </w:rPr>
        <w:t>May 2014 did not ask whether graduates were employed before APTC and</w:t>
      </w:r>
      <w:r w:rsidR="00DE0208">
        <w:rPr>
          <w:lang w:eastAsia="zh-CN"/>
        </w:rPr>
        <w:t> </w:t>
      </w:r>
      <w:r w:rsidRPr="00E12183">
        <w:rPr>
          <w:lang w:eastAsia="zh-CN"/>
        </w:rPr>
        <w:t>whether they were still in the same job or not. However, it is clear from data on a</w:t>
      </w:r>
      <w:r w:rsidR="00DE0208">
        <w:rPr>
          <w:lang w:eastAsia="zh-CN"/>
        </w:rPr>
        <w:t> </w:t>
      </w:r>
      <w:r w:rsidRPr="00E12183">
        <w:rPr>
          <w:lang w:eastAsia="zh-CN"/>
        </w:rPr>
        <w:t xml:space="preserve">student’s prior employment status, available separately from the EMIS, </w:t>
      </w:r>
      <w:r w:rsidR="001905C1">
        <w:rPr>
          <w:lang w:eastAsia="zh-CN"/>
        </w:rPr>
        <w:t xml:space="preserve">that </w:t>
      </w:r>
      <w:r w:rsidRPr="00E12183">
        <w:rPr>
          <w:lang w:eastAsia="zh-CN"/>
        </w:rPr>
        <w:t xml:space="preserve">this differed widely between qualifications. </w:t>
      </w:r>
    </w:p>
    <w:p w14:paraId="1AFC41FF" w14:textId="1A639268" w:rsidR="00AF55E0" w:rsidRDefault="005F0F2D" w:rsidP="009C76A7">
      <w:pPr>
        <w:pStyle w:val="Tableheading"/>
        <w:rPr>
          <w:lang w:eastAsia="zh-CN"/>
        </w:rPr>
      </w:pPr>
      <w:bookmarkStart w:id="69" w:name="_Toc274832808"/>
      <w:r w:rsidRPr="00E12183">
        <w:rPr>
          <w:lang w:eastAsia="zh-CN"/>
        </w:rPr>
        <w:t xml:space="preserve">Table </w:t>
      </w:r>
      <w:r w:rsidR="009E3001">
        <w:rPr>
          <w:lang w:eastAsia="zh-CN"/>
        </w:rPr>
        <w:t>3</w:t>
      </w:r>
      <w:r w:rsidRPr="00E12183">
        <w:rPr>
          <w:lang w:eastAsia="zh-CN"/>
        </w:rPr>
        <w:t xml:space="preserve">: Proportion of Stage II APTC past students now not in employment </w:t>
      </w:r>
      <w:r w:rsidR="005E2EA3">
        <w:rPr>
          <w:lang w:eastAsia="zh-CN"/>
        </w:rPr>
        <w:br/>
      </w:r>
      <w:r w:rsidRPr="00E12183">
        <w:rPr>
          <w:lang w:eastAsia="zh-CN"/>
        </w:rPr>
        <w:t xml:space="preserve">and in other than full-time work one year after graduation, proportion of </w:t>
      </w:r>
      <w:r w:rsidR="005E2EA3">
        <w:rPr>
          <w:lang w:eastAsia="zh-CN"/>
        </w:rPr>
        <w:br/>
      </w:r>
      <w:r w:rsidRPr="00E12183">
        <w:rPr>
          <w:lang w:eastAsia="zh-CN"/>
        </w:rPr>
        <w:t xml:space="preserve">enrolled students by qualification employed prior to starting APTC and </w:t>
      </w:r>
      <w:r w:rsidR="00DE0208">
        <w:rPr>
          <w:lang w:eastAsia="zh-CN"/>
        </w:rPr>
        <w:br/>
      </w:r>
      <w:r w:rsidRPr="00E12183">
        <w:rPr>
          <w:lang w:eastAsia="zh-CN"/>
        </w:rPr>
        <w:t>response rate per qualification, July 2011</w:t>
      </w:r>
      <w:r w:rsidR="0017713C">
        <w:rPr>
          <w:lang w:eastAsia="zh-CN"/>
        </w:rPr>
        <w:t>–</w:t>
      </w:r>
      <w:r w:rsidRPr="00E12183">
        <w:rPr>
          <w:lang w:eastAsia="zh-CN"/>
        </w:rPr>
        <w:t>May 2014</w:t>
      </w:r>
      <w:r w:rsidR="0017713C">
        <w:rPr>
          <w:lang w:eastAsia="zh-CN"/>
        </w:rPr>
        <w:t xml:space="preserve"> (%)</w:t>
      </w:r>
      <w:bookmarkEnd w:id="69"/>
    </w:p>
    <w:tbl>
      <w:tblPr>
        <w:tblW w:w="7371" w:type="dxa"/>
        <w:tblInd w:w="108" w:type="dxa"/>
        <w:tblLook w:val="04A0" w:firstRow="1" w:lastRow="0" w:firstColumn="1" w:lastColumn="0" w:noHBand="0" w:noVBand="1"/>
      </w:tblPr>
      <w:tblGrid>
        <w:gridCol w:w="2156"/>
        <w:gridCol w:w="963"/>
        <w:gridCol w:w="1036"/>
        <w:gridCol w:w="948"/>
        <w:gridCol w:w="993"/>
        <w:gridCol w:w="1275"/>
      </w:tblGrid>
      <w:tr w:rsidR="00800A6B" w:rsidRPr="00E12183" w14:paraId="0C43FD92" w14:textId="77777777" w:rsidTr="00800A6B">
        <w:trPr>
          <w:trHeight w:val="828"/>
        </w:trPr>
        <w:tc>
          <w:tcPr>
            <w:tcW w:w="2156" w:type="dxa"/>
            <w:shd w:val="clear" w:color="000000" w:fill="C5E0B3" w:themeFill="accent6" w:themeFillTint="66"/>
            <w:vAlign w:val="center"/>
          </w:tcPr>
          <w:p w14:paraId="5A7C810B" w14:textId="77777777" w:rsidR="005F0F2D" w:rsidRPr="00E12183" w:rsidRDefault="005F0F2D" w:rsidP="005E2EA3">
            <w:pPr>
              <w:spacing w:before="40" w:after="40"/>
              <w:rPr>
                <w:rFonts w:cs="Arial"/>
                <w:b/>
                <w:bCs/>
                <w:color w:val="000000"/>
                <w:sz w:val="20"/>
                <w:szCs w:val="20"/>
                <w:lang w:eastAsia="en-AU"/>
              </w:rPr>
            </w:pPr>
            <w:r w:rsidRPr="00E12183">
              <w:rPr>
                <w:rFonts w:cs="Arial"/>
                <w:b/>
                <w:bCs/>
                <w:color w:val="000000"/>
                <w:sz w:val="20"/>
                <w:szCs w:val="20"/>
                <w:lang w:eastAsia="en-AU"/>
              </w:rPr>
              <w:t>APTC qualification</w:t>
            </w:r>
          </w:p>
        </w:tc>
        <w:tc>
          <w:tcPr>
            <w:tcW w:w="963" w:type="dxa"/>
            <w:shd w:val="clear" w:color="000000" w:fill="C5E0B3" w:themeFill="accent6" w:themeFillTint="66"/>
          </w:tcPr>
          <w:p w14:paraId="756F5FAE" w14:textId="4CC28FAE" w:rsidR="005F0F2D" w:rsidRPr="00E12183" w:rsidRDefault="005F0F2D" w:rsidP="005E2EA3">
            <w:pPr>
              <w:spacing w:before="40" w:after="40"/>
              <w:jc w:val="center"/>
              <w:rPr>
                <w:rFonts w:cs="Arial"/>
                <w:b/>
                <w:bCs/>
                <w:color w:val="000000"/>
                <w:sz w:val="16"/>
                <w:szCs w:val="16"/>
                <w:lang w:eastAsia="en-AU"/>
              </w:rPr>
            </w:pPr>
            <w:r w:rsidRPr="00E12183">
              <w:rPr>
                <w:rFonts w:cs="Arial"/>
                <w:b/>
                <w:bCs/>
                <w:color w:val="000000"/>
                <w:sz w:val="16"/>
                <w:szCs w:val="16"/>
                <w:lang w:eastAsia="en-AU"/>
              </w:rPr>
              <w:t xml:space="preserve">Not employed </w:t>
            </w:r>
            <w:r w:rsidR="0019342A">
              <w:rPr>
                <w:rFonts w:cs="Arial"/>
                <w:b/>
                <w:bCs/>
                <w:color w:val="000000"/>
                <w:sz w:val="16"/>
                <w:szCs w:val="16"/>
                <w:lang w:eastAsia="en-AU"/>
              </w:rPr>
              <w:br/>
            </w:r>
            <w:r w:rsidRPr="00E12183">
              <w:rPr>
                <w:rFonts w:cs="Arial"/>
                <w:b/>
                <w:bCs/>
                <w:color w:val="000000"/>
                <w:sz w:val="16"/>
                <w:szCs w:val="16"/>
                <w:lang w:eastAsia="en-AU"/>
              </w:rPr>
              <w:t>%</w:t>
            </w:r>
          </w:p>
        </w:tc>
        <w:tc>
          <w:tcPr>
            <w:tcW w:w="1036" w:type="dxa"/>
            <w:shd w:val="clear" w:color="000000" w:fill="C5E0B3" w:themeFill="accent6" w:themeFillTint="66"/>
          </w:tcPr>
          <w:p w14:paraId="4CB68A80" w14:textId="6768C924" w:rsidR="005F0F2D" w:rsidRPr="00E12183" w:rsidRDefault="005F0F2D" w:rsidP="005E2EA3">
            <w:pPr>
              <w:spacing w:before="40" w:after="40"/>
              <w:jc w:val="center"/>
              <w:rPr>
                <w:rFonts w:cs="Arial"/>
                <w:b/>
                <w:bCs/>
                <w:color w:val="000000"/>
                <w:sz w:val="16"/>
                <w:szCs w:val="16"/>
                <w:lang w:eastAsia="en-AU"/>
              </w:rPr>
            </w:pPr>
            <w:r w:rsidRPr="00E12183">
              <w:rPr>
                <w:rFonts w:cs="Arial"/>
                <w:b/>
                <w:bCs/>
                <w:color w:val="000000"/>
                <w:sz w:val="16"/>
                <w:szCs w:val="16"/>
                <w:lang w:eastAsia="en-AU"/>
              </w:rPr>
              <w:t xml:space="preserve">Other than </w:t>
            </w:r>
            <w:r w:rsidR="000847FB">
              <w:rPr>
                <w:rFonts w:cs="Arial"/>
                <w:b/>
                <w:bCs/>
                <w:color w:val="000000"/>
                <w:sz w:val="16"/>
                <w:szCs w:val="16"/>
                <w:lang w:eastAsia="en-AU"/>
              </w:rPr>
              <w:br/>
              <w:t>full-time</w:t>
            </w:r>
            <w:r w:rsidR="000847FB" w:rsidRPr="00E12183">
              <w:rPr>
                <w:rFonts w:cs="Arial"/>
                <w:b/>
                <w:bCs/>
                <w:color w:val="000000"/>
                <w:sz w:val="16"/>
                <w:szCs w:val="16"/>
                <w:lang w:eastAsia="en-AU"/>
              </w:rPr>
              <w:t xml:space="preserve"> </w:t>
            </w:r>
            <w:r w:rsidRPr="00E12183">
              <w:rPr>
                <w:rFonts w:cs="Arial"/>
                <w:b/>
                <w:bCs/>
                <w:color w:val="000000"/>
                <w:sz w:val="16"/>
                <w:szCs w:val="16"/>
                <w:lang w:eastAsia="en-AU"/>
              </w:rPr>
              <w:t>work %</w:t>
            </w:r>
          </w:p>
        </w:tc>
        <w:tc>
          <w:tcPr>
            <w:tcW w:w="948" w:type="dxa"/>
            <w:shd w:val="clear" w:color="000000" w:fill="C5E0B3" w:themeFill="accent6" w:themeFillTint="66"/>
          </w:tcPr>
          <w:p w14:paraId="11EC26BF" w14:textId="77777777" w:rsidR="005F0F2D" w:rsidRPr="00E12183" w:rsidRDefault="005F0F2D" w:rsidP="005E2EA3">
            <w:pPr>
              <w:spacing w:before="40" w:after="40"/>
              <w:jc w:val="center"/>
              <w:rPr>
                <w:rFonts w:cs="Arial"/>
                <w:b/>
                <w:bCs/>
                <w:color w:val="000000"/>
                <w:sz w:val="16"/>
                <w:szCs w:val="16"/>
                <w:lang w:eastAsia="en-AU"/>
              </w:rPr>
            </w:pPr>
            <w:r w:rsidRPr="00E12183">
              <w:rPr>
                <w:rFonts w:cs="Arial"/>
                <w:b/>
                <w:bCs/>
                <w:color w:val="000000"/>
                <w:sz w:val="16"/>
                <w:szCs w:val="16"/>
                <w:lang w:eastAsia="en-AU"/>
              </w:rPr>
              <w:t>No work or less than FT work</w:t>
            </w:r>
          </w:p>
        </w:tc>
        <w:tc>
          <w:tcPr>
            <w:tcW w:w="993" w:type="dxa"/>
            <w:shd w:val="clear" w:color="000000" w:fill="C5E0B3" w:themeFill="accent6" w:themeFillTint="66"/>
          </w:tcPr>
          <w:p w14:paraId="2B97237D" w14:textId="77777777" w:rsidR="005F0F2D" w:rsidRPr="00E12183" w:rsidRDefault="005F0F2D" w:rsidP="005E2EA3">
            <w:pPr>
              <w:spacing w:before="40" w:after="40"/>
              <w:jc w:val="center"/>
              <w:rPr>
                <w:rFonts w:cs="Arial"/>
                <w:b/>
                <w:bCs/>
                <w:color w:val="000000"/>
                <w:sz w:val="16"/>
                <w:szCs w:val="16"/>
                <w:lang w:eastAsia="en-AU"/>
              </w:rPr>
            </w:pPr>
            <w:r w:rsidRPr="00E12183">
              <w:rPr>
                <w:rFonts w:cs="Arial"/>
                <w:b/>
                <w:bCs/>
                <w:color w:val="000000"/>
                <w:sz w:val="16"/>
                <w:szCs w:val="16"/>
                <w:lang w:eastAsia="en-AU"/>
              </w:rPr>
              <w:t>Employed prior to APTC %</w:t>
            </w:r>
          </w:p>
        </w:tc>
        <w:tc>
          <w:tcPr>
            <w:tcW w:w="1275" w:type="dxa"/>
            <w:shd w:val="clear" w:color="000000" w:fill="C5E0B3" w:themeFill="accent6" w:themeFillTint="66"/>
          </w:tcPr>
          <w:p w14:paraId="60392B6E" w14:textId="093095FC" w:rsidR="005F0F2D" w:rsidRPr="00E12183" w:rsidRDefault="001721A4" w:rsidP="005E2EA3">
            <w:pPr>
              <w:spacing w:before="40" w:after="40"/>
              <w:jc w:val="center"/>
              <w:rPr>
                <w:rFonts w:cs="Arial"/>
                <w:b/>
                <w:bCs/>
                <w:color w:val="000000"/>
                <w:sz w:val="16"/>
                <w:szCs w:val="16"/>
                <w:lang w:eastAsia="en-AU"/>
              </w:rPr>
            </w:pPr>
            <w:r w:rsidRPr="001721A4">
              <w:rPr>
                <w:rFonts w:cs="Arial"/>
                <w:b/>
                <w:bCs/>
                <w:color w:val="000000"/>
                <w:sz w:val="16"/>
                <w:szCs w:val="16"/>
                <w:lang w:eastAsia="en-AU"/>
              </w:rPr>
              <w:t>Resp</w:t>
            </w:r>
            <w:r w:rsidR="005E2EA3">
              <w:rPr>
                <w:rFonts w:cs="Arial"/>
                <w:b/>
                <w:bCs/>
                <w:color w:val="000000"/>
                <w:sz w:val="16"/>
                <w:szCs w:val="16"/>
                <w:lang w:eastAsia="en-AU"/>
              </w:rPr>
              <w:t xml:space="preserve">onse rate for all graduates in </w:t>
            </w:r>
            <w:r w:rsidRPr="001721A4">
              <w:rPr>
                <w:rFonts w:cs="Arial"/>
                <w:b/>
                <w:bCs/>
                <w:color w:val="000000"/>
                <w:sz w:val="16"/>
                <w:szCs w:val="16"/>
                <w:lang w:eastAsia="en-AU"/>
              </w:rPr>
              <w:t>qualification %</w:t>
            </w:r>
          </w:p>
        </w:tc>
      </w:tr>
      <w:tr w:rsidR="0019342A" w:rsidRPr="00E96914" w14:paraId="5DB88D39" w14:textId="77777777" w:rsidTr="005E2EA3">
        <w:trPr>
          <w:trHeight w:val="288"/>
        </w:trPr>
        <w:tc>
          <w:tcPr>
            <w:tcW w:w="2156" w:type="dxa"/>
            <w:shd w:val="clear" w:color="auto" w:fill="auto"/>
            <w:vAlign w:val="center"/>
          </w:tcPr>
          <w:p w14:paraId="27637F04" w14:textId="39F95DCE" w:rsidR="005F0F2D" w:rsidRPr="009C76A7" w:rsidRDefault="005F0F2D" w:rsidP="0019342A">
            <w:pPr>
              <w:spacing w:after="0"/>
              <w:rPr>
                <w:rFonts w:cs="Arial"/>
                <w:color w:val="000000"/>
                <w:sz w:val="18"/>
                <w:szCs w:val="18"/>
                <w:lang w:eastAsia="en-AU"/>
              </w:rPr>
            </w:pPr>
            <w:r w:rsidRPr="009C76A7">
              <w:rPr>
                <w:rFonts w:cs="Arial"/>
                <w:color w:val="000000"/>
                <w:sz w:val="18"/>
                <w:szCs w:val="18"/>
                <w:lang w:eastAsia="en-AU"/>
              </w:rPr>
              <w:t xml:space="preserve">Wall </w:t>
            </w:r>
            <w:r w:rsidR="0019342A">
              <w:rPr>
                <w:rFonts w:cs="Arial"/>
                <w:color w:val="000000"/>
                <w:sz w:val="18"/>
                <w:szCs w:val="18"/>
                <w:lang w:eastAsia="en-AU"/>
              </w:rPr>
              <w:t>and</w:t>
            </w:r>
            <w:r w:rsidR="0019342A" w:rsidRPr="009C76A7">
              <w:rPr>
                <w:rFonts w:cs="Arial"/>
                <w:color w:val="000000"/>
                <w:sz w:val="18"/>
                <w:szCs w:val="18"/>
                <w:lang w:eastAsia="en-AU"/>
              </w:rPr>
              <w:t xml:space="preserve"> </w:t>
            </w:r>
            <w:r w:rsidRPr="009C76A7">
              <w:rPr>
                <w:rFonts w:cs="Arial"/>
                <w:color w:val="000000"/>
                <w:sz w:val="18"/>
                <w:szCs w:val="18"/>
                <w:lang w:eastAsia="en-AU"/>
              </w:rPr>
              <w:t>Floor Tiling</w:t>
            </w:r>
          </w:p>
        </w:tc>
        <w:tc>
          <w:tcPr>
            <w:tcW w:w="963" w:type="dxa"/>
            <w:shd w:val="clear" w:color="auto" w:fill="auto"/>
            <w:vAlign w:val="center"/>
          </w:tcPr>
          <w:p w14:paraId="2F0C800A"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38</w:t>
            </w:r>
          </w:p>
        </w:tc>
        <w:tc>
          <w:tcPr>
            <w:tcW w:w="1036" w:type="dxa"/>
            <w:shd w:val="clear" w:color="auto" w:fill="auto"/>
            <w:vAlign w:val="center"/>
          </w:tcPr>
          <w:p w14:paraId="0D98D35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25</w:t>
            </w:r>
          </w:p>
        </w:tc>
        <w:tc>
          <w:tcPr>
            <w:tcW w:w="948" w:type="dxa"/>
            <w:shd w:val="clear" w:color="auto" w:fill="auto"/>
            <w:vAlign w:val="center"/>
          </w:tcPr>
          <w:p w14:paraId="3AF0133C"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63</w:t>
            </w:r>
          </w:p>
        </w:tc>
        <w:tc>
          <w:tcPr>
            <w:tcW w:w="993" w:type="dxa"/>
            <w:shd w:val="clear" w:color="auto" w:fill="auto"/>
            <w:vAlign w:val="center"/>
          </w:tcPr>
          <w:p w14:paraId="271EB6D8"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42</w:t>
            </w:r>
          </w:p>
        </w:tc>
        <w:tc>
          <w:tcPr>
            <w:tcW w:w="1275" w:type="dxa"/>
            <w:shd w:val="clear" w:color="auto" w:fill="auto"/>
            <w:vAlign w:val="center"/>
          </w:tcPr>
          <w:p w14:paraId="60595256"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5</w:t>
            </w:r>
          </w:p>
        </w:tc>
      </w:tr>
      <w:tr w:rsidR="0019342A" w:rsidRPr="00E96914" w14:paraId="6E4820E5" w14:textId="77777777" w:rsidTr="005E2EA3">
        <w:trPr>
          <w:trHeight w:val="288"/>
        </w:trPr>
        <w:tc>
          <w:tcPr>
            <w:tcW w:w="2156" w:type="dxa"/>
            <w:shd w:val="clear" w:color="auto" w:fill="auto"/>
            <w:vAlign w:val="center"/>
          </w:tcPr>
          <w:p w14:paraId="0C0EB7B3"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Youth Work</w:t>
            </w:r>
          </w:p>
        </w:tc>
        <w:tc>
          <w:tcPr>
            <w:tcW w:w="963" w:type="dxa"/>
            <w:shd w:val="clear" w:color="auto" w:fill="auto"/>
            <w:vAlign w:val="center"/>
          </w:tcPr>
          <w:p w14:paraId="2BAA0866"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27</w:t>
            </w:r>
          </w:p>
        </w:tc>
        <w:tc>
          <w:tcPr>
            <w:tcW w:w="1036" w:type="dxa"/>
            <w:shd w:val="clear" w:color="auto" w:fill="auto"/>
            <w:vAlign w:val="center"/>
          </w:tcPr>
          <w:p w14:paraId="3510F7A3"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13</w:t>
            </w:r>
          </w:p>
        </w:tc>
        <w:tc>
          <w:tcPr>
            <w:tcW w:w="948" w:type="dxa"/>
            <w:shd w:val="clear" w:color="auto" w:fill="auto"/>
            <w:vAlign w:val="center"/>
          </w:tcPr>
          <w:p w14:paraId="66F90619"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40</w:t>
            </w:r>
          </w:p>
        </w:tc>
        <w:tc>
          <w:tcPr>
            <w:tcW w:w="993" w:type="dxa"/>
            <w:shd w:val="clear" w:color="auto" w:fill="auto"/>
            <w:vAlign w:val="center"/>
          </w:tcPr>
          <w:p w14:paraId="7A6BDDC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60</w:t>
            </w:r>
          </w:p>
        </w:tc>
        <w:tc>
          <w:tcPr>
            <w:tcW w:w="1275" w:type="dxa"/>
            <w:shd w:val="clear" w:color="auto" w:fill="auto"/>
            <w:vAlign w:val="center"/>
          </w:tcPr>
          <w:p w14:paraId="1727D5F7"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13</w:t>
            </w:r>
          </w:p>
        </w:tc>
      </w:tr>
      <w:tr w:rsidR="0019342A" w:rsidRPr="00E96914" w14:paraId="50B965A5" w14:textId="77777777" w:rsidTr="005E2EA3">
        <w:trPr>
          <w:trHeight w:val="288"/>
        </w:trPr>
        <w:tc>
          <w:tcPr>
            <w:tcW w:w="2156" w:type="dxa"/>
            <w:shd w:val="clear" w:color="auto" w:fill="auto"/>
            <w:vAlign w:val="center"/>
          </w:tcPr>
          <w:p w14:paraId="6022EBEC" w14:textId="6D80E44B"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Age</w:t>
            </w:r>
            <w:r w:rsidR="0019342A">
              <w:rPr>
                <w:rFonts w:cs="Arial"/>
                <w:color w:val="000000"/>
                <w:sz w:val="18"/>
                <w:szCs w:val="18"/>
                <w:lang w:eastAsia="en-AU"/>
              </w:rPr>
              <w:t>d</w:t>
            </w:r>
            <w:r w:rsidRPr="009C76A7">
              <w:rPr>
                <w:rFonts w:cs="Arial"/>
                <w:color w:val="000000"/>
                <w:sz w:val="18"/>
                <w:szCs w:val="18"/>
                <w:lang w:eastAsia="en-AU"/>
              </w:rPr>
              <w:t xml:space="preserve"> Care</w:t>
            </w:r>
          </w:p>
        </w:tc>
        <w:tc>
          <w:tcPr>
            <w:tcW w:w="963" w:type="dxa"/>
            <w:shd w:val="clear" w:color="auto" w:fill="auto"/>
            <w:vAlign w:val="center"/>
          </w:tcPr>
          <w:p w14:paraId="36C1AAF4"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25</w:t>
            </w:r>
          </w:p>
        </w:tc>
        <w:tc>
          <w:tcPr>
            <w:tcW w:w="1036" w:type="dxa"/>
            <w:shd w:val="clear" w:color="auto" w:fill="auto"/>
            <w:vAlign w:val="center"/>
          </w:tcPr>
          <w:p w14:paraId="3EC833E6"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25</w:t>
            </w:r>
          </w:p>
        </w:tc>
        <w:tc>
          <w:tcPr>
            <w:tcW w:w="948" w:type="dxa"/>
            <w:shd w:val="clear" w:color="auto" w:fill="auto"/>
            <w:vAlign w:val="center"/>
          </w:tcPr>
          <w:p w14:paraId="217BCF8E"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50</w:t>
            </w:r>
          </w:p>
        </w:tc>
        <w:tc>
          <w:tcPr>
            <w:tcW w:w="993" w:type="dxa"/>
            <w:shd w:val="clear" w:color="auto" w:fill="auto"/>
            <w:vAlign w:val="center"/>
          </w:tcPr>
          <w:p w14:paraId="25D63BA0"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61</w:t>
            </w:r>
          </w:p>
        </w:tc>
        <w:tc>
          <w:tcPr>
            <w:tcW w:w="1275" w:type="dxa"/>
            <w:shd w:val="clear" w:color="auto" w:fill="auto"/>
            <w:vAlign w:val="center"/>
          </w:tcPr>
          <w:p w14:paraId="26BA3614"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r>
      <w:tr w:rsidR="0019342A" w:rsidRPr="00E96914" w14:paraId="4423E48A" w14:textId="77777777" w:rsidTr="005E2EA3">
        <w:trPr>
          <w:trHeight w:val="288"/>
        </w:trPr>
        <w:tc>
          <w:tcPr>
            <w:tcW w:w="2156" w:type="dxa"/>
            <w:shd w:val="clear" w:color="auto" w:fill="auto"/>
            <w:vAlign w:val="center"/>
          </w:tcPr>
          <w:p w14:paraId="737D569C"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Tourism</w:t>
            </w:r>
          </w:p>
        </w:tc>
        <w:tc>
          <w:tcPr>
            <w:tcW w:w="963" w:type="dxa"/>
            <w:shd w:val="clear" w:color="auto" w:fill="auto"/>
            <w:vAlign w:val="center"/>
          </w:tcPr>
          <w:p w14:paraId="2A709F8D"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15</w:t>
            </w:r>
          </w:p>
        </w:tc>
        <w:tc>
          <w:tcPr>
            <w:tcW w:w="1036" w:type="dxa"/>
            <w:shd w:val="clear" w:color="auto" w:fill="auto"/>
            <w:vAlign w:val="center"/>
          </w:tcPr>
          <w:p w14:paraId="3DA5A7E2"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4</w:t>
            </w:r>
          </w:p>
        </w:tc>
        <w:tc>
          <w:tcPr>
            <w:tcW w:w="948" w:type="dxa"/>
            <w:shd w:val="clear" w:color="auto" w:fill="auto"/>
            <w:vAlign w:val="center"/>
          </w:tcPr>
          <w:p w14:paraId="172663C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19</w:t>
            </w:r>
          </w:p>
        </w:tc>
        <w:tc>
          <w:tcPr>
            <w:tcW w:w="993" w:type="dxa"/>
            <w:shd w:val="clear" w:color="auto" w:fill="auto"/>
            <w:vAlign w:val="center"/>
          </w:tcPr>
          <w:p w14:paraId="36CE27CD"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63</w:t>
            </w:r>
          </w:p>
        </w:tc>
        <w:tc>
          <w:tcPr>
            <w:tcW w:w="1275" w:type="dxa"/>
            <w:shd w:val="clear" w:color="auto" w:fill="auto"/>
            <w:vAlign w:val="center"/>
          </w:tcPr>
          <w:p w14:paraId="1DD9B5E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37</w:t>
            </w:r>
          </w:p>
        </w:tc>
      </w:tr>
      <w:tr w:rsidR="0019342A" w:rsidRPr="00E96914" w14:paraId="009975C2" w14:textId="77777777" w:rsidTr="005E2EA3">
        <w:trPr>
          <w:trHeight w:val="288"/>
        </w:trPr>
        <w:tc>
          <w:tcPr>
            <w:tcW w:w="2156" w:type="dxa"/>
            <w:shd w:val="clear" w:color="auto" w:fill="auto"/>
            <w:vAlign w:val="center"/>
          </w:tcPr>
          <w:p w14:paraId="30034D83" w14:textId="6DC120A4" w:rsidR="005F0F2D" w:rsidRPr="009C76A7" w:rsidRDefault="005F0F2D" w:rsidP="0019342A">
            <w:pPr>
              <w:spacing w:after="0"/>
              <w:rPr>
                <w:rFonts w:cs="Arial"/>
                <w:color w:val="000000"/>
                <w:sz w:val="18"/>
                <w:szCs w:val="18"/>
                <w:lang w:eastAsia="en-AU"/>
              </w:rPr>
            </w:pPr>
            <w:r w:rsidRPr="009C76A7">
              <w:rPr>
                <w:rFonts w:cs="Arial"/>
                <w:color w:val="000000"/>
                <w:sz w:val="18"/>
                <w:szCs w:val="18"/>
                <w:lang w:eastAsia="en-AU"/>
              </w:rPr>
              <w:t xml:space="preserve">Fabrication </w:t>
            </w:r>
            <w:r w:rsidR="0019342A">
              <w:rPr>
                <w:rFonts w:cs="Arial"/>
                <w:color w:val="000000"/>
                <w:sz w:val="18"/>
                <w:szCs w:val="18"/>
                <w:lang w:eastAsia="en-AU"/>
              </w:rPr>
              <w:t>W</w:t>
            </w:r>
            <w:r w:rsidR="0019342A" w:rsidRPr="009C76A7">
              <w:rPr>
                <w:rFonts w:cs="Arial"/>
                <w:color w:val="000000"/>
                <w:sz w:val="18"/>
                <w:szCs w:val="18"/>
                <w:lang w:eastAsia="en-AU"/>
              </w:rPr>
              <w:t>elding</w:t>
            </w:r>
            <w:r w:rsidRPr="009C76A7">
              <w:rPr>
                <w:rFonts w:cs="Arial"/>
                <w:color w:val="000000"/>
                <w:sz w:val="18"/>
                <w:szCs w:val="18"/>
                <w:lang w:eastAsia="en-AU"/>
              </w:rPr>
              <w:t>/</w:t>
            </w:r>
            <w:r w:rsidR="0019342A">
              <w:rPr>
                <w:rFonts w:cs="Arial"/>
                <w:color w:val="000000"/>
                <w:sz w:val="18"/>
                <w:szCs w:val="18"/>
                <w:lang w:eastAsia="en-AU"/>
              </w:rPr>
              <w:t xml:space="preserve"> B</w:t>
            </w:r>
            <w:r w:rsidR="0019342A" w:rsidRPr="009C76A7">
              <w:rPr>
                <w:rFonts w:cs="Arial"/>
                <w:color w:val="000000"/>
                <w:sz w:val="18"/>
                <w:szCs w:val="18"/>
                <w:lang w:eastAsia="en-AU"/>
              </w:rPr>
              <w:t xml:space="preserve">oiler </w:t>
            </w:r>
            <w:r w:rsidR="0019342A">
              <w:rPr>
                <w:rFonts w:cs="Arial"/>
                <w:color w:val="000000"/>
                <w:sz w:val="18"/>
                <w:szCs w:val="18"/>
                <w:lang w:eastAsia="en-AU"/>
              </w:rPr>
              <w:t>M</w:t>
            </w:r>
            <w:r w:rsidR="0019342A" w:rsidRPr="009C76A7">
              <w:rPr>
                <w:rFonts w:cs="Arial"/>
                <w:color w:val="000000"/>
                <w:sz w:val="18"/>
                <w:szCs w:val="18"/>
                <w:lang w:eastAsia="en-AU"/>
              </w:rPr>
              <w:t>aking</w:t>
            </w:r>
          </w:p>
        </w:tc>
        <w:tc>
          <w:tcPr>
            <w:tcW w:w="963" w:type="dxa"/>
            <w:shd w:val="clear" w:color="auto" w:fill="auto"/>
            <w:vAlign w:val="center"/>
          </w:tcPr>
          <w:p w14:paraId="09C16A18"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14</w:t>
            </w:r>
          </w:p>
        </w:tc>
        <w:tc>
          <w:tcPr>
            <w:tcW w:w="1036" w:type="dxa"/>
            <w:shd w:val="clear" w:color="auto" w:fill="auto"/>
            <w:vAlign w:val="center"/>
          </w:tcPr>
          <w:p w14:paraId="5C0FC37A"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18</w:t>
            </w:r>
          </w:p>
        </w:tc>
        <w:tc>
          <w:tcPr>
            <w:tcW w:w="948" w:type="dxa"/>
            <w:shd w:val="clear" w:color="auto" w:fill="auto"/>
            <w:vAlign w:val="center"/>
          </w:tcPr>
          <w:p w14:paraId="63CB1854"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32</w:t>
            </w:r>
          </w:p>
        </w:tc>
        <w:tc>
          <w:tcPr>
            <w:tcW w:w="993" w:type="dxa"/>
            <w:shd w:val="clear" w:color="auto" w:fill="auto"/>
            <w:vAlign w:val="center"/>
          </w:tcPr>
          <w:p w14:paraId="017135C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61</w:t>
            </w:r>
          </w:p>
        </w:tc>
        <w:tc>
          <w:tcPr>
            <w:tcW w:w="1275" w:type="dxa"/>
            <w:shd w:val="clear" w:color="auto" w:fill="auto"/>
            <w:vAlign w:val="center"/>
          </w:tcPr>
          <w:p w14:paraId="6F288594"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r>
      <w:tr w:rsidR="0019342A" w:rsidRPr="00E96914" w14:paraId="2DC0ED3D" w14:textId="77777777" w:rsidTr="005E2EA3">
        <w:trPr>
          <w:trHeight w:val="288"/>
        </w:trPr>
        <w:tc>
          <w:tcPr>
            <w:tcW w:w="2156" w:type="dxa"/>
            <w:shd w:val="clear" w:color="auto" w:fill="auto"/>
            <w:vAlign w:val="center"/>
          </w:tcPr>
          <w:p w14:paraId="1A473D37" w14:textId="250E216D" w:rsidR="005F0F2D" w:rsidRPr="009C76A7" w:rsidRDefault="005F0F2D" w:rsidP="0019342A">
            <w:pPr>
              <w:spacing w:after="0"/>
              <w:rPr>
                <w:rFonts w:cs="Arial"/>
                <w:color w:val="000000"/>
                <w:sz w:val="18"/>
                <w:szCs w:val="18"/>
                <w:lang w:eastAsia="en-AU"/>
              </w:rPr>
            </w:pPr>
            <w:r w:rsidRPr="009C76A7">
              <w:rPr>
                <w:rFonts w:cs="Arial"/>
                <w:color w:val="000000"/>
                <w:sz w:val="18"/>
                <w:szCs w:val="18"/>
                <w:lang w:eastAsia="en-AU"/>
              </w:rPr>
              <w:t xml:space="preserve">Painting </w:t>
            </w:r>
            <w:r w:rsidR="0019342A">
              <w:rPr>
                <w:rFonts w:cs="Arial"/>
                <w:color w:val="000000"/>
                <w:sz w:val="18"/>
                <w:szCs w:val="18"/>
                <w:lang w:eastAsia="en-AU"/>
              </w:rPr>
              <w:t>and</w:t>
            </w:r>
            <w:r w:rsidR="0019342A" w:rsidRPr="009C76A7">
              <w:rPr>
                <w:rFonts w:cs="Arial"/>
                <w:color w:val="000000"/>
                <w:sz w:val="18"/>
                <w:szCs w:val="18"/>
                <w:lang w:eastAsia="en-AU"/>
              </w:rPr>
              <w:t xml:space="preserve"> </w:t>
            </w:r>
            <w:r w:rsidRPr="009C76A7">
              <w:rPr>
                <w:rFonts w:cs="Arial"/>
                <w:color w:val="000000"/>
                <w:sz w:val="18"/>
                <w:szCs w:val="18"/>
                <w:lang w:eastAsia="en-AU"/>
              </w:rPr>
              <w:t>Decorating</w:t>
            </w:r>
          </w:p>
        </w:tc>
        <w:tc>
          <w:tcPr>
            <w:tcW w:w="963" w:type="dxa"/>
            <w:shd w:val="clear" w:color="auto" w:fill="auto"/>
            <w:vAlign w:val="center"/>
          </w:tcPr>
          <w:p w14:paraId="3A042120"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12</w:t>
            </w:r>
          </w:p>
        </w:tc>
        <w:tc>
          <w:tcPr>
            <w:tcW w:w="1036" w:type="dxa"/>
            <w:shd w:val="clear" w:color="auto" w:fill="auto"/>
            <w:vAlign w:val="center"/>
          </w:tcPr>
          <w:p w14:paraId="4B77AC2B"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44</w:t>
            </w:r>
          </w:p>
        </w:tc>
        <w:tc>
          <w:tcPr>
            <w:tcW w:w="948" w:type="dxa"/>
            <w:shd w:val="clear" w:color="auto" w:fill="auto"/>
            <w:vAlign w:val="center"/>
          </w:tcPr>
          <w:p w14:paraId="4914C031"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56</w:t>
            </w:r>
          </w:p>
        </w:tc>
        <w:tc>
          <w:tcPr>
            <w:tcW w:w="993" w:type="dxa"/>
            <w:shd w:val="clear" w:color="auto" w:fill="auto"/>
            <w:vAlign w:val="center"/>
          </w:tcPr>
          <w:p w14:paraId="3C1DF816"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55</w:t>
            </w:r>
          </w:p>
        </w:tc>
        <w:tc>
          <w:tcPr>
            <w:tcW w:w="1275" w:type="dxa"/>
            <w:shd w:val="clear" w:color="auto" w:fill="auto"/>
            <w:vAlign w:val="center"/>
          </w:tcPr>
          <w:p w14:paraId="64C32720"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13</w:t>
            </w:r>
          </w:p>
        </w:tc>
      </w:tr>
      <w:tr w:rsidR="0019342A" w:rsidRPr="00E96914" w14:paraId="7D1F2261" w14:textId="77777777" w:rsidTr="005E2EA3">
        <w:trPr>
          <w:trHeight w:val="288"/>
        </w:trPr>
        <w:tc>
          <w:tcPr>
            <w:tcW w:w="2156" w:type="dxa"/>
            <w:shd w:val="clear" w:color="auto" w:fill="auto"/>
            <w:vAlign w:val="center"/>
          </w:tcPr>
          <w:p w14:paraId="5D5A053D" w14:textId="467206EE"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 xml:space="preserve">Diploma </w:t>
            </w:r>
            <w:r w:rsidR="00A560B8">
              <w:rPr>
                <w:rFonts w:cs="Arial"/>
                <w:color w:val="000000"/>
                <w:sz w:val="18"/>
                <w:szCs w:val="18"/>
                <w:lang w:eastAsia="en-AU"/>
              </w:rPr>
              <w:t xml:space="preserve">of </w:t>
            </w:r>
            <w:r w:rsidRPr="009C76A7">
              <w:rPr>
                <w:rFonts w:cs="Arial"/>
                <w:color w:val="000000"/>
                <w:sz w:val="18"/>
                <w:szCs w:val="18"/>
                <w:lang w:eastAsia="en-AU"/>
              </w:rPr>
              <w:t>Children’s Services</w:t>
            </w:r>
          </w:p>
        </w:tc>
        <w:tc>
          <w:tcPr>
            <w:tcW w:w="963" w:type="dxa"/>
            <w:shd w:val="clear" w:color="auto" w:fill="auto"/>
            <w:vAlign w:val="center"/>
          </w:tcPr>
          <w:p w14:paraId="6187EB52"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c>
          <w:tcPr>
            <w:tcW w:w="1036" w:type="dxa"/>
            <w:shd w:val="clear" w:color="auto" w:fill="auto"/>
            <w:vAlign w:val="center"/>
          </w:tcPr>
          <w:p w14:paraId="365B93CA"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c>
          <w:tcPr>
            <w:tcW w:w="948" w:type="dxa"/>
            <w:shd w:val="clear" w:color="auto" w:fill="auto"/>
            <w:vAlign w:val="center"/>
          </w:tcPr>
          <w:p w14:paraId="72416E8B"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22</w:t>
            </w:r>
          </w:p>
        </w:tc>
        <w:tc>
          <w:tcPr>
            <w:tcW w:w="993" w:type="dxa"/>
            <w:shd w:val="clear" w:color="auto" w:fill="auto"/>
            <w:vAlign w:val="center"/>
          </w:tcPr>
          <w:p w14:paraId="533AB33F"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84</w:t>
            </w:r>
          </w:p>
        </w:tc>
        <w:tc>
          <w:tcPr>
            <w:tcW w:w="1275" w:type="dxa"/>
            <w:shd w:val="clear" w:color="auto" w:fill="auto"/>
            <w:vAlign w:val="center"/>
          </w:tcPr>
          <w:p w14:paraId="0DFB4F5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14</w:t>
            </w:r>
          </w:p>
        </w:tc>
      </w:tr>
      <w:tr w:rsidR="0019342A" w:rsidRPr="00E96914" w14:paraId="7281A3C6" w14:textId="77777777" w:rsidTr="005E2EA3">
        <w:trPr>
          <w:trHeight w:val="288"/>
        </w:trPr>
        <w:tc>
          <w:tcPr>
            <w:tcW w:w="2156" w:type="dxa"/>
            <w:shd w:val="clear" w:color="auto" w:fill="auto"/>
            <w:vAlign w:val="center"/>
          </w:tcPr>
          <w:p w14:paraId="2E76CD6A"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Hospitality Supervision</w:t>
            </w:r>
          </w:p>
        </w:tc>
        <w:tc>
          <w:tcPr>
            <w:tcW w:w="963" w:type="dxa"/>
            <w:shd w:val="clear" w:color="auto" w:fill="auto"/>
            <w:vAlign w:val="center"/>
          </w:tcPr>
          <w:p w14:paraId="1EB31DD2"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9</w:t>
            </w:r>
          </w:p>
        </w:tc>
        <w:tc>
          <w:tcPr>
            <w:tcW w:w="1036" w:type="dxa"/>
            <w:shd w:val="clear" w:color="auto" w:fill="auto"/>
            <w:vAlign w:val="center"/>
          </w:tcPr>
          <w:p w14:paraId="588BD19C"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w:t>
            </w:r>
          </w:p>
        </w:tc>
        <w:tc>
          <w:tcPr>
            <w:tcW w:w="948" w:type="dxa"/>
            <w:shd w:val="clear" w:color="auto" w:fill="auto"/>
            <w:vAlign w:val="center"/>
          </w:tcPr>
          <w:p w14:paraId="06F54317"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c>
          <w:tcPr>
            <w:tcW w:w="993" w:type="dxa"/>
            <w:shd w:val="clear" w:color="auto" w:fill="auto"/>
            <w:vAlign w:val="center"/>
          </w:tcPr>
          <w:p w14:paraId="0A1B6EAC"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66</w:t>
            </w:r>
          </w:p>
        </w:tc>
        <w:tc>
          <w:tcPr>
            <w:tcW w:w="1275" w:type="dxa"/>
            <w:shd w:val="clear" w:color="auto" w:fill="auto"/>
            <w:vAlign w:val="center"/>
          </w:tcPr>
          <w:p w14:paraId="5971817E"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33</w:t>
            </w:r>
          </w:p>
        </w:tc>
      </w:tr>
      <w:tr w:rsidR="0019342A" w:rsidRPr="00E96914" w14:paraId="2F50E51B" w14:textId="77777777" w:rsidTr="005E2EA3">
        <w:trPr>
          <w:trHeight w:val="288"/>
        </w:trPr>
        <w:tc>
          <w:tcPr>
            <w:tcW w:w="2156" w:type="dxa"/>
            <w:shd w:val="clear" w:color="auto" w:fill="auto"/>
            <w:vAlign w:val="center"/>
          </w:tcPr>
          <w:p w14:paraId="7274DD6F"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Hospitality Operations</w:t>
            </w:r>
          </w:p>
        </w:tc>
        <w:tc>
          <w:tcPr>
            <w:tcW w:w="963" w:type="dxa"/>
            <w:shd w:val="clear" w:color="auto" w:fill="auto"/>
            <w:vAlign w:val="center"/>
          </w:tcPr>
          <w:p w14:paraId="085FEAEE"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8</w:t>
            </w:r>
          </w:p>
        </w:tc>
        <w:tc>
          <w:tcPr>
            <w:tcW w:w="1036" w:type="dxa"/>
            <w:shd w:val="clear" w:color="auto" w:fill="auto"/>
            <w:vAlign w:val="center"/>
          </w:tcPr>
          <w:p w14:paraId="62C46CD3"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w:t>
            </w:r>
          </w:p>
        </w:tc>
        <w:tc>
          <w:tcPr>
            <w:tcW w:w="948" w:type="dxa"/>
            <w:shd w:val="clear" w:color="auto" w:fill="auto"/>
            <w:vAlign w:val="center"/>
          </w:tcPr>
          <w:p w14:paraId="248FB59E"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11</w:t>
            </w:r>
          </w:p>
        </w:tc>
        <w:tc>
          <w:tcPr>
            <w:tcW w:w="993" w:type="dxa"/>
            <w:shd w:val="clear" w:color="auto" w:fill="auto"/>
            <w:vAlign w:val="center"/>
          </w:tcPr>
          <w:p w14:paraId="38373582"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63</w:t>
            </w:r>
          </w:p>
        </w:tc>
        <w:tc>
          <w:tcPr>
            <w:tcW w:w="1275" w:type="dxa"/>
            <w:shd w:val="clear" w:color="auto" w:fill="auto"/>
            <w:vAlign w:val="center"/>
          </w:tcPr>
          <w:p w14:paraId="390C7E2A"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40</w:t>
            </w:r>
          </w:p>
        </w:tc>
      </w:tr>
      <w:tr w:rsidR="0019342A" w:rsidRPr="00E96914" w14:paraId="4CBA239C" w14:textId="77777777" w:rsidTr="005E2EA3">
        <w:trPr>
          <w:trHeight w:val="288"/>
        </w:trPr>
        <w:tc>
          <w:tcPr>
            <w:tcW w:w="2156" w:type="dxa"/>
            <w:shd w:val="clear" w:color="auto" w:fill="auto"/>
            <w:vAlign w:val="center"/>
          </w:tcPr>
          <w:p w14:paraId="4D71FA19"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Diploma in Management</w:t>
            </w:r>
          </w:p>
        </w:tc>
        <w:tc>
          <w:tcPr>
            <w:tcW w:w="963" w:type="dxa"/>
            <w:shd w:val="clear" w:color="auto" w:fill="auto"/>
            <w:vAlign w:val="center"/>
          </w:tcPr>
          <w:p w14:paraId="28948140"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8</w:t>
            </w:r>
          </w:p>
        </w:tc>
        <w:tc>
          <w:tcPr>
            <w:tcW w:w="1036" w:type="dxa"/>
            <w:shd w:val="clear" w:color="auto" w:fill="auto"/>
            <w:vAlign w:val="center"/>
          </w:tcPr>
          <w:p w14:paraId="642F4ADD"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0</w:t>
            </w:r>
          </w:p>
        </w:tc>
        <w:tc>
          <w:tcPr>
            <w:tcW w:w="948" w:type="dxa"/>
            <w:shd w:val="clear" w:color="auto" w:fill="auto"/>
            <w:vAlign w:val="center"/>
          </w:tcPr>
          <w:p w14:paraId="0557FF98"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8</w:t>
            </w:r>
          </w:p>
        </w:tc>
        <w:tc>
          <w:tcPr>
            <w:tcW w:w="993" w:type="dxa"/>
            <w:shd w:val="clear" w:color="auto" w:fill="auto"/>
            <w:vAlign w:val="center"/>
          </w:tcPr>
          <w:p w14:paraId="1BF50EA3"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91</w:t>
            </w:r>
          </w:p>
        </w:tc>
        <w:tc>
          <w:tcPr>
            <w:tcW w:w="1275" w:type="dxa"/>
            <w:shd w:val="clear" w:color="auto" w:fill="auto"/>
            <w:vAlign w:val="center"/>
          </w:tcPr>
          <w:p w14:paraId="233F415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24</w:t>
            </w:r>
          </w:p>
        </w:tc>
      </w:tr>
      <w:tr w:rsidR="0019342A" w:rsidRPr="00E96914" w14:paraId="6501F908" w14:textId="77777777" w:rsidTr="005E2EA3">
        <w:trPr>
          <w:trHeight w:val="288"/>
        </w:trPr>
        <w:tc>
          <w:tcPr>
            <w:tcW w:w="2156" w:type="dxa"/>
            <w:shd w:val="clear" w:color="auto" w:fill="auto"/>
            <w:vAlign w:val="center"/>
          </w:tcPr>
          <w:p w14:paraId="1BF4E753"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Community Services</w:t>
            </w:r>
          </w:p>
        </w:tc>
        <w:tc>
          <w:tcPr>
            <w:tcW w:w="963" w:type="dxa"/>
            <w:shd w:val="clear" w:color="auto" w:fill="auto"/>
            <w:vAlign w:val="center"/>
          </w:tcPr>
          <w:p w14:paraId="1D5B11DA"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0</w:t>
            </w:r>
          </w:p>
        </w:tc>
        <w:tc>
          <w:tcPr>
            <w:tcW w:w="1036" w:type="dxa"/>
            <w:shd w:val="clear" w:color="auto" w:fill="auto"/>
            <w:vAlign w:val="center"/>
          </w:tcPr>
          <w:p w14:paraId="49C8A299"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25</w:t>
            </w:r>
          </w:p>
        </w:tc>
        <w:tc>
          <w:tcPr>
            <w:tcW w:w="948" w:type="dxa"/>
            <w:shd w:val="clear" w:color="auto" w:fill="auto"/>
            <w:vAlign w:val="center"/>
          </w:tcPr>
          <w:p w14:paraId="3112AF95"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25</w:t>
            </w:r>
          </w:p>
        </w:tc>
        <w:tc>
          <w:tcPr>
            <w:tcW w:w="993" w:type="dxa"/>
            <w:shd w:val="clear" w:color="auto" w:fill="auto"/>
            <w:vAlign w:val="center"/>
          </w:tcPr>
          <w:p w14:paraId="34E6C577"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88</w:t>
            </w:r>
          </w:p>
        </w:tc>
        <w:tc>
          <w:tcPr>
            <w:tcW w:w="1275" w:type="dxa"/>
            <w:shd w:val="clear" w:color="auto" w:fill="auto"/>
            <w:vAlign w:val="center"/>
          </w:tcPr>
          <w:p w14:paraId="14323402"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100</w:t>
            </w:r>
          </w:p>
        </w:tc>
      </w:tr>
      <w:tr w:rsidR="0019342A" w:rsidRPr="00E96914" w14:paraId="2989BA4C" w14:textId="77777777" w:rsidTr="00773FEA">
        <w:trPr>
          <w:trHeight w:val="288"/>
        </w:trPr>
        <w:tc>
          <w:tcPr>
            <w:tcW w:w="2156" w:type="dxa"/>
            <w:shd w:val="clear" w:color="auto" w:fill="auto"/>
            <w:vAlign w:val="center"/>
          </w:tcPr>
          <w:p w14:paraId="17BB8C9D" w14:textId="77777777" w:rsidR="005F0F2D" w:rsidRPr="009C76A7" w:rsidRDefault="005F0F2D" w:rsidP="00192434">
            <w:pPr>
              <w:spacing w:after="0"/>
              <w:rPr>
                <w:rFonts w:cs="Arial"/>
                <w:color w:val="000000"/>
                <w:sz w:val="18"/>
                <w:szCs w:val="18"/>
                <w:lang w:eastAsia="en-AU"/>
              </w:rPr>
            </w:pPr>
            <w:r w:rsidRPr="009C76A7">
              <w:rPr>
                <w:rFonts w:cs="Arial"/>
                <w:color w:val="000000"/>
                <w:sz w:val="18"/>
                <w:szCs w:val="18"/>
                <w:lang w:eastAsia="en-AU"/>
              </w:rPr>
              <w:t>Disability</w:t>
            </w:r>
          </w:p>
        </w:tc>
        <w:tc>
          <w:tcPr>
            <w:tcW w:w="963" w:type="dxa"/>
            <w:shd w:val="clear" w:color="auto" w:fill="auto"/>
            <w:vAlign w:val="center"/>
          </w:tcPr>
          <w:p w14:paraId="110E1B4F"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0</w:t>
            </w:r>
          </w:p>
        </w:tc>
        <w:tc>
          <w:tcPr>
            <w:tcW w:w="1036" w:type="dxa"/>
            <w:shd w:val="clear" w:color="auto" w:fill="auto"/>
            <w:vAlign w:val="center"/>
          </w:tcPr>
          <w:p w14:paraId="653A68FC"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9</w:t>
            </w:r>
          </w:p>
        </w:tc>
        <w:tc>
          <w:tcPr>
            <w:tcW w:w="948" w:type="dxa"/>
            <w:shd w:val="clear" w:color="auto" w:fill="auto"/>
            <w:vAlign w:val="center"/>
          </w:tcPr>
          <w:p w14:paraId="0CDA69BC"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9</w:t>
            </w:r>
          </w:p>
        </w:tc>
        <w:tc>
          <w:tcPr>
            <w:tcW w:w="993" w:type="dxa"/>
            <w:shd w:val="clear" w:color="auto" w:fill="auto"/>
            <w:vAlign w:val="center"/>
          </w:tcPr>
          <w:p w14:paraId="32171123"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79</w:t>
            </w:r>
          </w:p>
        </w:tc>
        <w:tc>
          <w:tcPr>
            <w:tcW w:w="1275" w:type="dxa"/>
            <w:shd w:val="clear" w:color="auto" w:fill="auto"/>
            <w:vAlign w:val="center"/>
          </w:tcPr>
          <w:p w14:paraId="39F93C43" w14:textId="77777777" w:rsidR="005F0F2D" w:rsidRPr="009C76A7" w:rsidRDefault="005F0F2D" w:rsidP="005E2EA3">
            <w:pPr>
              <w:spacing w:after="0"/>
              <w:jc w:val="center"/>
              <w:rPr>
                <w:rFonts w:cs="Arial"/>
                <w:color w:val="000000"/>
                <w:sz w:val="18"/>
                <w:szCs w:val="18"/>
                <w:lang w:eastAsia="en-AU"/>
              </w:rPr>
            </w:pPr>
            <w:r w:rsidRPr="009C76A7">
              <w:rPr>
                <w:rFonts w:cs="Arial"/>
                <w:color w:val="000000"/>
                <w:sz w:val="18"/>
                <w:szCs w:val="18"/>
                <w:lang w:eastAsia="en-AU"/>
              </w:rPr>
              <w:t>30</w:t>
            </w:r>
          </w:p>
        </w:tc>
      </w:tr>
      <w:tr w:rsidR="005E2EA3" w:rsidRPr="00E96914" w14:paraId="769B8062" w14:textId="77777777" w:rsidTr="00773FEA">
        <w:tc>
          <w:tcPr>
            <w:tcW w:w="2156" w:type="dxa"/>
            <w:tcBorders>
              <w:bottom w:val="single" w:sz="4" w:space="0" w:color="C5E0B3" w:themeColor="accent6" w:themeTint="66"/>
            </w:tcBorders>
            <w:shd w:val="clear" w:color="auto" w:fill="auto"/>
            <w:vAlign w:val="center"/>
          </w:tcPr>
          <w:p w14:paraId="43A0D79D" w14:textId="77777777" w:rsidR="005E2EA3" w:rsidRPr="009C76A7" w:rsidRDefault="005E2EA3" w:rsidP="00192434">
            <w:pPr>
              <w:spacing w:after="0"/>
              <w:rPr>
                <w:rFonts w:cs="Arial"/>
                <w:color w:val="000000"/>
                <w:sz w:val="18"/>
                <w:szCs w:val="18"/>
                <w:lang w:eastAsia="en-AU"/>
              </w:rPr>
            </w:pPr>
          </w:p>
        </w:tc>
        <w:tc>
          <w:tcPr>
            <w:tcW w:w="963" w:type="dxa"/>
            <w:tcBorders>
              <w:bottom w:val="single" w:sz="4" w:space="0" w:color="C5E0B3" w:themeColor="accent6" w:themeTint="66"/>
            </w:tcBorders>
            <w:shd w:val="clear" w:color="auto" w:fill="auto"/>
            <w:vAlign w:val="center"/>
          </w:tcPr>
          <w:p w14:paraId="0C7C7E46" w14:textId="77777777" w:rsidR="005E2EA3" w:rsidRPr="009C76A7" w:rsidRDefault="005E2EA3" w:rsidP="005E2EA3">
            <w:pPr>
              <w:spacing w:after="0"/>
              <w:jc w:val="center"/>
              <w:rPr>
                <w:rFonts w:cs="Arial"/>
                <w:color w:val="000000"/>
                <w:sz w:val="18"/>
                <w:szCs w:val="18"/>
                <w:lang w:eastAsia="en-AU"/>
              </w:rPr>
            </w:pPr>
          </w:p>
        </w:tc>
        <w:tc>
          <w:tcPr>
            <w:tcW w:w="1036" w:type="dxa"/>
            <w:tcBorders>
              <w:bottom w:val="single" w:sz="4" w:space="0" w:color="C5E0B3" w:themeColor="accent6" w:themeTint="66"/>
            </w:tcBorders>
            <w:shd w:val="clear" w:color="auto" w:fill="auto"/>
            <w:vAlign w:val="center"/>
          </w:tcPr>
          <w:p w14:paraId="1F050DE9" w14:textId="77777777" w:rsidR="005E2EA3" w:rsidRPr="009C76A7" w:rsidRDefault="005E2EA3" w:rsidP="005E2EA3">
            <w:pPr>
              <w:spacing w:after="0"/>
              <w:jc w:val="center"/>
              <w:rPr>
                <w:rFonts w:cs="Arial"/>
                <w:color w:val="000000"/>
                <w:sz w:val="18"/>
                <w:szCs w:val="18"/>
                <w:lang w:eastAsia="en-AU"/>
              </w:rPr>
            </w:pPr>
          </w:p>
        </w:tc>
        <w:tc>
          <w:tcPr>
            <w:tcW w:w="948" w:type="dxa"/>
            <w:tcBorders>
              <w:bottom w:val="single" w:sz="4" w:space="0" w:color="C5E0B3" w:themeColor="accent6" w:themeTint="66"/>
            </w:tcBorders>
            <w:shd w:val="clear" w:color="auto" w:fill="auto"/>
            <w:vAlign w:val="center"/>
          </w:tcPr>
          <w:p w14:paraId="1FF36C41" w14:textId="77777777" w:rsidR="005E2EA3" w:rsidRPr="009C76A7" w:rsidRDefault="005E2EA3" w:rsidP="005E2EA3">
            <w:pPr>
              <w:spacing w:after="0"/>
              <w:jc w:val="center"/>
              <w:rPr>
                <w:rFonts w:cs="Arial"/>
                <w:color w:val="000000"/>
                <w:sz w:val="18"/>
                <w:szCs w:val="18"/>
                <w:lang w:eastAsia="en-AU"/>
              </w:rPr>
            </w:pPr>
          </w:p>
        </w:tc>
        <w:tc>
          <w:tcPr>
            <w:tcW w:w="993" w:type="dxa"/>
            <w:tcBorders>
              <w:bottom w:val="single" w:sz="4" w:space="0" w:color="C5E0B3" w:themeColor="accent6" w:themeTint="66"/>
            </w:tcBorders>
            <w:shd w:val="clear" w:color="auto" w:fill="auto"/>
            <w:vAlign w:val="center"/>
          </w:tcPr>
          <w:p w14:paraId="588CAD76" w14:textId="77777777" w:rsidR="005E2EA3" w:rsidRPr="009C76A7" w:rsidRDefault="005E2EA3" w:rsidP="005E2EA3">
            <w:pPr>
              <w:spacing w:after="0"/>
              <w:jc w:val="center"/>
              <w:rPr>
                <w:rFonts w:cs="Arial"/>
                <w:color w:val="000000"/>
                <w:sz w:val="18"/>
                <w:szCs w:val="18"/>
                <w:lang w:eastAsia="en-AU"/>
              </w:rPr>
            </w:pPr>
          </w:p>
        </w:tc>
        <w:tc>
          <w:tcPr>
            <w:tcW w:w="1275" w:type="dxa"/>
            <w:tcBorders>
              <w:bottom w:val="single" w:sz="4" w:space="0" w:color="C5E0B3" w:themeColor="accent6" w:themeTint="66"/>
            </w:tcBorders>
            <w:shd w:val="clear" w:color="auto" w:fill="auto"/>
            <w:vAlign w:val="center"/>
          </w:tcPr>
          <w:p w14:paraId="27E77C62" w14:textId="77777777" w:rsidR="005E2EA3" w:rsidRPr="009C76A7" w:rsidRDefault="005E2EA3" w:rsidP="005E2EA3">
            <w:pPr>
              <w:spacing w:after="0"/>
              <w:jc w:val="center"/>
              <w:rPr>
                <w:rFonts w:cs="Arial"/>
                <w:color w:val="000000"/>
                <w:sz w:val="18"/>
                <w:szCs w:val="18"/>
                <w:lang w:eastAsia="en-AU"/>
              </w:rPr>
            </w:pPr>
          </w:p>
        </w:tc>
      </w:tr>
    </w:tbl>
    <w:p w14:paraId="3C62743E" w14:textId="5829533B" w:rsidR="00E96914" w:rsidRDefault="00FC4383" w:rsidP="005F0F2D">
      <w:pPr>
        <w:spacing w:before="120"/>
        <w:rPr>
          <w:rFonts w:cs="Arial"/>
          <w:color w:val="000000"/>
          <w:sz w:val="16"/>
          <w:szCs w:val="16"/>
          <w:lang w:eastAsia="en-AU"/>
        </w:rPr>
      </w:pPr>
      <w:r w:rsidRPr="00FC4383">
        <w:rPr>
          <w:rFonts w:cs="Arial"/>
          <w:color w:val="000000"/>
          <w:sz w:val="16"/>
          <w:szCs w:val="16"/>
          <w:lang w:eastAsia="en-AU"/>
        </w:rPr>
        <w:t xml:space="preserve">Source: </w:t>
      </w:r>
      <w:r w:rsidR="00E96914" w:rsidRPr="009C76A7">
        <w:rPr>
          <w:rFonts w:cs="Arial"/>
          <w:color w:val="000000"/>
          <w:sz w:val="16"/>
          <w:szCs w:val="16"/>
          <w:lang w:eastAsia="en-AU"/>
        </w:rPr>
        <w:t>A</w:t>
      </w:r>
      <w:r w:rsidRPr="00FC4383">
        <w:rPr>
          <w:rFonts w:cs="Arial"/>
          <w:color w:val="000000"/>
          <w:sz w:val="16"/>
          <w:szCs w:val="16"/>
          <w:lang w:eastAsia="en-AU"/>
        </w:rPr>
        <w:t>PTC Past Student Tracer Surveys</w:t>
      </w:r>
      <w:r w:rsidR="00E96914" w:rsidRPr="009C76A7">
        <w:rPr>
          <w:rFonts w:cs="Arial"/>
          <w:color w:val="000000"/>
          <w:sz w:val="16"/>
          <w:szCs w:val="16"/>
          <w:lang w:eastAsia="en-AU"/>
        </w:rPr>
        <w:t xml:space="preserve"> July 2011</w:t>
      </w:r>
      <w:r>
        <w:rPr>
          <w:rFonts w:cs="Arial"/>
          <w:color w:val="000000"/>
          <w:sz w:val="16"/>
          <w:szCs w:val="16"/>
          <w:lang w:eastAsia="en-AU"/>
        </w:rPr>
        <w:t>–</w:t>
      </w:r>
      <w:r w:rsidR="00E96914" w:rsidRPr="009C76A7">
        <w:rPr>
          <w:rFonts w:cs="Arial"/>
          <w:color w:val="000000"/>
          <w:sz w:val="16"/>
          <w:szCs w:val="16"/>
          <w:lang w:eastAsia="en-AU"/>
        </w:rPr>
        <w:t xml:space="preserve">May 2014, response rate for tracer survey </w:t>
      </w:r>
      <w:r w:rsidR="005E2EA3">
        <w:rPr>
          <w:rFonts w:cs="Arial"/>
          <w:color w:val="000000"/>
          <w:sz w:val="16"/>
          <w:szCs w:val="16"/>
          <w:lang w:eastAsia="en-AU"/>
        </w:rPr>
        <w:br/>
      </w:r>
      <w:r w:rsidR="00E96914" w:rsidRPr="009C76A7">
        <w:rPr>
          <w:rFonts w:cs="Arial"/>
          <w:color w:val="000000"/>
          <w:sz w:val="16"/>
          <w:szCs w:val="16"/>
          <w:lang w:eastAsia="en-AU"/>
        </w:rPr>
        <w:t>based on total number of graduates in each listed qualification in Stage II.</w:t>
      </w:r>
    </w:p>
    <w:p w14:paraId="38204219" w14:textId="77777777" w:rsidR="00E96914" w:rsidRPr="009C76A7" w:rsidRDefault="00E96914" w:rsidP="005F0F2D">
      <w:pPr>
        <w:spacing w:before="120"/>
        <w:rPr>
          <w:sz w:val="16"/>
          <w:szCs w:val="16"/>
          <w:lang w:eastAsia="zh-CN"/>
        </w:rPr>
      </w:pPr>
    </w:p>
    <w:p w14:paraId="52A9E7DF" w14:textId="6E083E9F" w:rsidR="005F0F2D" w:rsidRPr="00E12183" w:rsidRDefault="005F0F2D" w:rsidP="005F0F2D">
      <w:pPr>
        <w:spacing w:before="120"/>
        <w:rPr>
          <w:lang w:eastAsia="zh-CN"/>
        </w:rPr>
      </w:pPr>
      <w:r w:rsidRPr="00E12183">
        <w:rPr>
          <w:lang w:eastAsia="zh-CN"/>
        </w:rPr>
        <w:t xml:space="preserve">Table </w:t>
      </w:r>
      <w:r w:rsidR="00E96914">
        <w:rPr>
          <w:lang w:eastAsia="zh-CN"/>
        </w:rPr>
        <w:t>3</w:t>
      </w:r>
      <w:r w:rsidR="009038E9" w:rsidRPr="00E12183">
        <w:rPr>
          <w:lang w:eastAsia="zh-CN"/>
        </w:rPr>
        <w:t xml:space="preserve"> </w:t>
      </w:r>
      <w:r w:rsidRPr="00E12183">
        <w:rPr>
          <w:lang w:eastAsia="zh-CN"/>
        </w:rPr>
        <w:t>above shows a range of employment outcomes for each qualification</w:t>
      </w:r>
      <w:r w:rsidR="003F17DD" w:rsidRPr="003F17DD">
        <w:rPr>
          <w:lang w:eastAsia="zh-CN"/>
        </w:rPr>
        <w:t>, although it should be noted that some response rates are very low</w:t>
      </w:r>
      <w:r w:rsidRPr="00E12183">
        <w:rPr>
          <w:lang w:eastAsia="zh-CN"/>
        </w:rPr>
        <w:t xml:space="preserve">. In particular, high levels of </w:t>
      </w:r>
      <w:r w:rsidR="00E07628" w:rsidRPr="00E12183">
        <w:rPr>
          <w:lang w:eastAsia="zh-CN"/>
        </w:rPr>
        <w:t>not</w:t>
      </w:r>
      <w:r w:rsidR="00E07628">
        <w:rPr>
          <w:lang w:eastAsia="zh-CN"/>
        </w:rPr>
        <w:t>-</w:t>
      </w:r>
      <w:r w:rsidR="00E07628" w:rsidRPr="00E12183">
        <w:rPr>
          <w:lang w:eastAsia="zh-CN"/>
        </w:rPr>
        <w:t>in</w:t>
      </w:r>
      <w:r w:rsidR="00E07628">
        <w:rPr>
          <w:lang w:eastAsia="zh-CN"/>
        </w:rPr>
        <w:t>-</w:t>
      </w:r>
      <w:r w:rsidRPr="00E12183">
        <w:rPr>
          <w:lang w:eastAsia="zh-CN"/>
        </w:rPr>
        <w:t xml:space="preserve">paid work and in less than full-time work (see column 3) are evident for graduates with </w:t>
      </w:r>
      <w:r w:rsidR="00E07628">
        <w:rPr>
          <w:lang w:eastAsia="zh-CN"/>
        </w:rPr>
        <w:t>C</w:t>
      </w:r>
      <w:r w:rsidR="00E07628" w:rsidRPr="00E12183">
        <w:rPr>
          <w:lang w:eastAsia="zh-CN"/>
        </w:rPr>
        <w:t xml:space="preserve">ertificates </w:t>
      </w:r>
      <w:r w:rsidRPr="00E12183">
        <w:rPr>
          <w:lang w:eastAsia="zh-CN"/>
        </w:rPr>
        <w:t xml:space="preserve">III in </w:t>
      </w:r>
      <w:r w:rsidR="00E07628">
        <w:rPr>
          <w:lang w:eastAsia="zh-CN"/>
        </w:rPr>
        <w:t>W</w:t>
      </w:r>
      <w:r w:rsidR="00E07628" w:rsidRPr="00E12183">
        <w:rPr>
          <w:lang w:eastAsia="zh-CN"/>
        </w:rPr>
        <w:t xml:space="preserve">all </w:t>
      </w:r>
      <w:r w:rsidR="00E07628">
        <w:rPr>
          <w:lang w:eastAsia="zh-CN"/>
        </w:rPr>
        <w:t>and</w:t>
      </w:r>
      <w:r w:rsidR="00E07628" w:rsidRPr="00E12183">
        <w:rPr>
          <w:lang w:eastAsia="zh-CN"/>
        </w:rPr>
        <w:t xml:space="preserve"> </w:t>
      </w:r>
      <w:r w:rsidR="00E07628">
        <w:rPr>
          <w:lang w:eastAsia="zh-CN"/>
        </w:rPr>
        <w:t>F</w:t>
      </w:r>
      <w:r w:rsidR="00E07628" w:rsidRPr="00E12183">
        <w:rPr>
          <w:lang w:eastAsia="zh-CN"/>
        </w:rPr>
        <w:t xml:space="preserve">loor </w:t>
      </w:r>
      <w:r w:rsidR="00E07628">
        <w:rPr>
          <w:lang w:eastAsia="zh-CN"/>
        </w:rPr>
        <w:t>T</w:t>
      </w:r>
      <w:r w:rsidR="00E07628" w:rsidRPr="00E12183">
        <w:rPr>
          <w:lang w:eastAsia="zh-CN"/>
        </w:rPr>
        <w:t>iling</w:t>
      </w:r>
      <w:r w:rsidRPr="00E12183">
        <w:rPr>
          <w:lang w:eastAsia="zh-CN"/>
        </w:rPr>
        <w:t xml:space="preserve">, </w:t>
      </w:r>
      <w:r w:rsidR="00E07628">
        <w:rPr>
          <w:lang w:eastAsia="zh-CN"/>
        </w:rPr>
        <w:t>P</w:t>
      </w:r>
      <w:r w:rsidR="00E07628" w:rsidRPr="00E12183">
        <w:rPr>
          <w:lang w:eastAsia="zh-CN"/>
        </w:rPr>
        <w:t xml:space="preserve">ainting </w:t>
      </w:r>
      <w:r w:rsidR="00E07628">
        <w:rPr>
          <w:lang w:eastAsia="zh-CN"/>
        </w:rPr>
        <w:t>and</w:t>
      </w:r>
      <w:r w:rsidR="00E07628" w:rsidRPr="00E12183">
        <w:rPr>
          <w:lang w:eastAsia="zh-CN"/>
        </w:rPr>
        <w:t xml:space="preserve"> </w:t>
      </w:r>
      <w:r w:rsidR="00E07628">
        <w:rPr>
          <w:lang w:eastAsia="zh-CN"/>
        </w:rPr>
        <w:t>D</w:t>
      </w:r>
      <w:r w:rsidR="00E07628" w:rsidRPr="00E12183">
        <w:rPr>
          <w:lang w:eastAsia="zh-CN"/>
        </w:rPr>
        <w:t>ecorating</w:t>
      </w:r>
      <w:r w:rsidRPr="00E12183">
        <w:rPr>
          <w:lang w:eastAsia="zh-CN"/>
        </w:rPr>
        <w:t xml:space="preserve">, </w:t>
      </w:r>
      <w:r w:rsidR="00E07628">
        <w:rPr>
          <w:lang w:eastAsia="zh-CN"/>
        </w:rPr>
        <w:t>A</w:t>
      </w:r>
      <w:r w:rsidR="00E07628" w:rsidRPr="00E12183">
        <w:rPr>
          <w:lang w:eastAsia="zh-CN"/>
        </w:rPr>
        <w:t>ge</w:t>
      </w:r>
      <w:r w:rsidR="00E07628">
        <w:rPr>
          <w:lang w:eastAsia="zh-CN"/>
        </w:rPr>
        <w:t>d</w:t>
      </w:r>
      <w:r w:rsidR="00E07628" w:rsidRPr="00E12183">
        <w:rPr>
          <w:lang w:eastAsia="zh-CN"/>
        </w:rPr>
        <w:t xml:space="preserve"> </w:t>
      </w:r>
      <w:r w:rsidR="00E07628">
        <w:rPr>
          <w:lang w:eastAsia="zh-CN"/>
        </w:rPr>
        <w:t>C</w:t>
      </w:r>
      <w:r w:rsidR="00E07628" w:rsidRPr="00E12183">
        <w:rPr>
          <w:lang w:eastAsia="zh-CN"/>
        </w:rPr>
        <w:t>are</w:t>
      </w:r>
      <w:r w:rsidRPr="00E12183">
        <w:rPr>
          <w:lang w:eastAsia="zh-CN"/>
        </w:rPr>
        <w:t xml:space="preserve">, </w:t>
      </w:r>
      <w:r w:rsidR="00E07628">
        <w:rPr>
          <w:lang w:eastAsia="zh-CN"/>
        </w:rPr>
        <w:t>Y</w:t>
      </w:r>
      <w:r w:rsidR="00E07628" w:rsidRPr="00E12183">
        <w:rPr>
          <w:lang w:eastAsia="zh-CN"/>
        </w:rPr>
        <w:t xml:space="preserve">outh </w:t>
      </w:r>
      <w:r w:rsidR="00E07628">
        <w:rPr>
          <w:lang w:eastAsia="zh-CN"/>
        </w:rPr>
        <w:t>W</w:t>
      </w:r>
      <w:r w:rsidR="00E07628" w:rsidRPr="00E12183">
        <w:rPr>
          <w:lang w:eastAsia="zh-CN"/>
        </w:rPr>
        <w:t>ork</w:t>
      </w:r>
      <w:r w:rsidRPr="00E12183">
        <w:rPr>
          <w:lang w:eastAsia="zh-CN"/>
        </w:rPr>
        <w:t xml:space="preserve">, </w:t>
      </w:r>
      <w:r w:rsidR="00E07628">
        <w:rPr>
          <w:lang w:eastAsia="zh-CN"/>
        </w:rPr>
        <w:t>F</w:t>
      </w:r>
      <w:r w:rsidR="00E07628" w:rsidRPr="00E12183">
        <w:rPr>
          <w:lang w:eastAsia="zh-CN"/>
        </w:rPr>
        <w:t xml:space="preserve">abrication </w:t>
      </w:r>
      <w:r w:rsidR="00E07628">
        <w:rPr>
          <w:lang w:eastAsia="zh-CN"/>
        </w:rPr>
        <w:t>W</w:t>
      </w:r>
      <w:r w:rsidR="00E07628" w:rsidRPr="00E12183">
        <w:rPr>
          <w:lang w:eastAsia="zh-CN"/>
        </w:rPr>
        <w:t>elding</w:t>
      </w:r>
      <w:r w:rsidRPr="00E12183">
        <w:rPr>
          <w:lang w:eastAsia="zh-CN"/>
        </w:rPr>
        <w:t>/</w:t>
      </w:r>
      <w:r w:rsidR="00E07628">
        <w:rPr>
          <w:lang w:eastAsia="zh-CN"/>
        </w:rPr>
        <w:t>B</w:t>
      </w:r>
      <w:r w:rsidR="00E07628" w:rsidRPr="00E12183">
        <w:rPr>
          <w:lang w:eastAsia="zh-CN"/>
        </w:rPr>
        <w:t xml:space="preserve">oiler </w:t>
      </w:r>
      <w:r w:rsidR="00E07628">
        <w:rPr>
          <w:lang w:eastAsia="zh-CN"/>
        </w:rPr>
        <w:t>M</w:t>
      </w:r>
      <w:r w:rsidR="00E07628" w:rsidRPr="00E12183">
        <w:rPr>
          <w:lang w:eastAsia="zh-CN"/>
        </w:rPr>
        <w:t>aking</w:t>
      </w:r>
      <w:r w:rsidRPr="00E12183">
        <w:rPr>
          <w:lang w:eastAsia="zh-CN"/>
        </w:rPr>
        <w:t xml:space="preserve">, </w:t>
      </w:r>
      <w:r w:rsidR="00E07628">
        <w:rPr>
          <w:lang w:eastAsia="zh-CN"/>
        </w:rPr>
        <w:t>C</w:t>
      </w:r>
      <w:r w:rsidR="00E07628" w:rsidRPr="00E12183">
        <w:rPr>
          <w:lang w:eastAsia="zh-CN"/>
        </w:rPr>
        <w:t xml:space="preserve">ommunity </w:t>
      </w:r>
      <w:r w:rsidR="00E07628">
        <w:rPr>
          <w:lang w:eastAsia="zh-CN"/>
        </w:rPr>
        <w:t>S</w:t>
      </w:r>
      <w:r w:rsidR="00E07628" w:rsidRPr="00E12183">
        <w:rPr>
          <w:lang w:eastAsia="zh-CN"/>
        </w:rPr>
        <w:t>ervices</w:t>
      </w:r>
      <w:r w:rsidR="00E07628">
        <w:rPr>
          <w:lang w:eastAsia="zh-CN"/>
        </w:rPr>
        <w:t xml:space="preserve"> and T</w:t>
      </w:r>
      <w:r w:rsidR="00E07628" w:rsidRPr="00E12183">
        <w:rPr>
          <w:lang w:eastAsia="zh-CN"/>
        </w:rPr>
        <w:t>ourism</w:t>
      </w:r>
      <w:r w:rsidR="00E07628">
        <w:rPr>
          <w:lang w:eastAsia="zh-CN"/>
        </w:rPr>
        <w:t>,</w:t>
      </w:r>
      <w:r w:rsidR="00E07628" w:rsidRPr="00E12183">
        <w:rPr>
          <w:lang w:eastAsia="zh-CN"/>
        </w:rPr>
        <w:t xml:space="preserve"> </w:t>
      </w:r>
      <w:r w:rsidRPr="00E12183">
        <w:rPr>
          <w:lang w:eastAsia="zh-CN"/>
        </w:rPr>
        <w:t xml:space="preserve">and the </w:t>
      </w:r>
      <w:r w:rsidR="00E07628">
        <w:rPr>
          <w:lang w:eastAsia="zh-CN"/>
        </w:rPr>
        <w:t>D</w:t>
      </w:r>
      <w:r w:rsidR="00E07628" w:rsidRPr="00E12183">
        <w:rPr>
          <w:lang w:eastAsia="zh-CN"/>
        </w:rPr>
        <w:t xml:space="preserve">iploma </w:t>
      </w:r>
      <w:r w:rsidR="00E07628">
        <w:rPr>
          <w:lang w:eastAsia="zh-CN"/>
        </w:rPr>
        <w:t>of C</w:t>
      </w:r>
      <w:r w:rsidR="00E07628" w:rsidRPr="00E12183">
        <w:rPr>
          <w:lang w:eastAsia="zh-CN"/>
        </w:rPr>
        <w:t xml:space="preserve">hildren's </w:t>
      </w:r>
      <w:r w:rsidR="00E07628">
        <w:rPr>
          <w:lang w:eastAsia="zh-CN"/>
        </w:rPr>
        <w:t>S</w:t>
      </w:r>
      <w:r w:rsidR="00E07628" w:rsidRPr="00E12183">
        <w:rPr>
          <w:lang w:eastAsia="zh-CN"/>
        </w:rPr>
        <w:t>ervices</w:t>
      </w:r>
      <w:r w:rsidRPr="00E12183">
        <w:rPr>
          <w:lang w:eastAsia="zh-CN"/>
        </w:rPr>
        <w:t xml:space="preserve">. </w:t>
      </w:r>
    </w:p>
    <w:p w14:paraId="5B313911" w14:textId="289CC774" w:rsidR="005F0F2D" w:rsidRPr="00E12183" w:rsidRDefault="005F0F2D" w:rsidP="005F0F2D">
      <w:pPr>
        <w:spacing w:before="120"/>
        <w:rPr>
          <w:lang w:eastAsia="zh-CN"/>
        </w:rPr>
      </w:pPr>
      <w:r w:rsidRPr="00E12183">
        <w:rPr>
          <w:lang w:eastAsia="zh-CN"/>
        </w:rPr>
        <w:t xml:space="preserve">However, even in difficult labour market conditions where jobs are hard to find, how have APTC graduates performed? </w:t>
      </w:r>
      <w:r w:rsidR="00BC0A7C">
        <w:rPr>
          <w:lang w:eastAsia="zh-CN"/>
        </w:rPr>
        <w:t>C</w:t>
      </w:r>
      <w:r w:rsidRPr="00E12183">
        <w:rPr>
          <w:lang w:eastAsia="zh-CN"/>
        </w:rPr>
        <w:t xml:space="preserve">olumn </w:t>
      </w:r>
      <w:r w:rsidR="00BC0A7C">
        <w:rPr>
          <w:lang w:eastAsia="zh-CN"/>
        </w:rPr>
        <w:t xml:space="preserve">4 </w:t>
      </w:r>
      <w:r w:rsidR="00DE0208">
        <w:rPr>
          <w:lang w:eastAsia="zh-CN"/>
        </w:rPr>
        <w:t xml:space="preserve">in the table </w:t>
      </w:r>
      <w:r w:rsidR="00BC0A7C">
        <w:rPr>
          <w:lang w:eastAsia="zh-CN"/>
        </w:rPr>
        <w:t xml:space="preserve">above </w:t>
      </w:r>
      <w:r w:rsidRPr="00E12183">
        <w:rPr>
          <w:lang w:eastAsia="zh-CN"/>
        </w:rPr>
        <w:t>shows that for most of these qualifications</w:t>
      </w:r>
      <w:r w:rsidR="00BC0A7C">
        <w:rPr>
          <w:lang w:eastAsia="zh-CN"/>
        </w:rPr>
        <w:t>,</w:t>
      </w:r>
      <w:r w:rsidRPr="00E12183">
        <w:rPr>
          <w:lang w:eastAsia="zh-CN"/>
        </w:rPr>
        <w:t xml:space="preserve"> many students were not in paid work when they started their training. </w:t>
      </w:r>
      <w:r w:rsidR="00BC0A7C" w:rsidRPr="00E12183">
        <w:rPr>
          <w:lang w:eastAsia="zh-CN"/>
        </w:rPr>
        <w:t>A</w:t>
      </w:r>
      <w:r w:rsidR="00BC0A7C">
        <w:rPr>
          <w:lang w:eastAsia="zh-CN"/>
        </w:rPr>
        <w:t> </w:t>
      </w:r>
      <w:r w:rsidRPr="00E12183">
        <w:rPr>
          <w:lang w:eastAsia="zh-CN"/>
        </w:rPr>
        <w:t xml:space="preserve">comparison of the employment rates </w:t>
      </w:r>
      <w:r w:rsidR="003F17DD">
        <w:rPr>
          <w:lang w:eastAsia="zh-CN"/>
        </w:rPr>
        <w:t xml:space="preserve">after </w:t>
      </w:r>
      <w:r w:rsidRPr="00E12183">
        <w:rPr>
          <w:lang w:eastAsia="zh-CN"/>
        </w:rPr>
        <w:t xml:space="preserve">(the reverse of column 1) and </w:t>
      </w:r>
      <w:r w:rsidR="003F17DD">
        <w:rPr>
          <w:lang w:eastAsia="zh-CN"/>
        </w:rPr>
        <w:t xml:space="preserve">before </w:t>
      </w:r>
      <w:r w:rsidRPr="00E12183">
        <w:rPr>
          <w:lang w:eastAsia="zh-CN"/>
        </w:rPr>
        <w:t>graduation (column 4) shows that in all instances there has been an improvement in the employment rates post</w:t>
      </w:r>
      <w:r w:rsidR="00DE0208">
        <w:rPr>
          <w:lang w:eastAsia="zh-CN"/>
        </w:rPr>
        <w:t>-</w:t>
      </w:r>
      <w:r w:rsidRPr="00E12183">
        <w:rPr>
          <w:lang w:eastAsia="zh-CN"/>
        </w:rPr>
        <w:t xml:space="preserve">APTC. Improvements in employment rates of between </w:t>
      </w:r>
      <w:r w:rsidR="00BC0A7C" w:rsidRPr="00E12183">
        <w:rPr>
          <w:lang w:eastAsia="zh-CN"/>
        </w:rPr>
        <w:t>42</w:t>
      </w:r>
      <w:r w:rsidR="00BC0A7C">
        <w:rPr>
          <w:lang w:eastAsia="zh-CN"/>
        </w:rPr>
        <w:t> </w:t>
      </w:r>
      <w:r w:rsidRPr="00E12183">
        <w:rPr>
          <w:lang w:eastAsia="zh-CN"/>
        </w:rPr>
        <w:t xml:space="preserve">and 30 percentage points are evident for past students in hairdressing, carpentry, automotive mechanical, painting </w:t>
      </w:r>
      <w:r w:rsidR="00BC0A7C">
        <w:rPr>
          <w:lang w:eastAsia="zh-CN"/>
        </w:rPr>
        <w:t>and</w:t>
      </w:r>
      <w:r w:rsidR="00BC0A7C" w:rsidRPr="00E12183">
        <w:rPr>
          <w:lang w:eastAsia="zh-CN"/>
        </w:rPr>
        <w:t xml:space="preserve"> </w:t>
      </w:r>
      <w:r w:rsidRPr="00E12183">
        <w:rPr>
          <w:lang w:eastAsia="zh-CN"/>
        </w:rPr>
        <w:t xml:space="preserve">decorating, mechanical fitting </w:t>
      </w:r>
      <w:r w:rsidR="00BC0A7C">
        <w:rPr>
          <w:lang w:eastAsia="zh-CN"/>
        </w:rPr>
        <w:t>and</w:t>
      </w:r>
      <w:r w:rsidR="00BC0A7C" w:rsidRPr="00E12183">
        <w:rPr>
          <w:lang w:eastAsia="zh-CN"/>
        </w:rPr>
        <w:t xml:space="preserve"> </w:t>
      </w:r>
      <w:r w:rsidRPr="00E12183">
        <w:rPr>
          <w:lang w:eastAsia="zh-CN"/>
        </w:rPr>
        <w:t xml:space="preserve">machining, </w:t>
      </w:r>
      <w:r w:rsidR="00BC0A7C">
        <w:rPr>
          <w:lang w:eastAsia="zh-CN"/>
        </w:rPr>
        <w:t xml:space="preserve">and </w:t>
      </w:r>
      <w:r w:rsidRPr="00E12183">
        <w:rPr>
          <w:lang w:eastAsia="zh-CN"/>
        </w:rPr>
        <w:t xml:space="preserve">training </w:t>
      </w:r>
      <w:r w:rsidR="00BC0A7C">
        <w:rPr>
          <w:lang w:eastAsia="zh-CN"/>
        </w:rPr>
        <w:t>and</w:t>
      </w:r>
      <w:r w:rsidR="00BC0A7C" w:rsidRPr="00E12183">
        <w:rPr>
          <w:lang w:eastAsia="zh-CN"/>
        </w:rPr>
        <w:t xml:space="preserve"> </w:t>
      </w:r>
      <w:r w:rsidRPr="00E12183">
        <w:rPr>
          <w:lang w:eastAsia="zh-CN"/>
        </w:rPr>
        <w:t xml:space="preserve">assessment. </w:t>
      </w:r>
    </w:p>
    <w:p w14:paraId="533D996A" w14:textId="57A69BF2" w:rsidR="001D4646" w:rsidRDefault="005F0F2D" w:rsidP="00DF7C96">
      <w:pPr>
        <w:spacing w:before="120"/>
        <w:rPr>
          <w:rFonts w:cs="Arial"/>
          <w:b/>
          <w:bCs/>
          <w:color w:val="76923C"/>
          <w:szCs w:val="28"/>
          <w:lang w:eastAsia="zh-CN"/>
        </w:rPr>
      </w:pPr>
      <w:r w:rsidRPr="00E12183">
        <w:rPr>
          <w:lang w:eastAsia="zh-CN"/>
        </w:rPr>
        <w:t xml:space="preserve">Even in a qualification where students were mostly not in paid work before APTC – the </w:t>
      </w:r>
      <w:r w:rsidR="0038535C">
        <w:rPr>
          <w:lang w:eastAsia="zh-CN"/>
        </w:rPr>
        <w:t>C</w:t>
      </w:r>
      <w:r w:rsidR="0038535C" w:rsidRPr="00E12183">
        <w:rPr>
          <w:lang w:eastAsia="zh-CN"/>
        </w:rPr>
        <w:t xml:space="preserve">ertificate </w:t>
      </w:r>
      <w:r w:rsidRPr="00E12183">
        <w:rPr>
          <w:lang w:eastAsia="zh-CN"/>
        </w:rPr>
        <w:t xml:space="preserve">III in </w:t>
      </w:r>
      <w:r w:rsidR="0038535C">
        <w:rPr>
          <w:lang w:eastAsia="zh-CN"/>
        </w:rPr>
        <w:t>W</w:t>
      </w:r>
      <w:r w:rsidR="0038535C" w:rsidRPr="00E12183">
        <w:rPr>
          <w:lang w:eastAsia="zh-CN"/>
        </w:rPr>
        <w:t xml:space="preserve">all </w:t>
      </w:r>
      <w:r w:rsidR="0038535C">
        <w:rPr>
          <w:lang w:eastAsia="zh-CN"/>
        </w:rPr>
        <w:t>and</w:t>
      </w:r>
      <w:r w:rsidR="0038535C" w:rsidRPr="00E12183">
        <w:rPr>
          <w:lang w:eastAsia="zh-CN"/>
        </w:rPr>
        <w:t xml:space="preserve"> </w:t>
      </w:r>
      <w:r w:rsidR="0038535C">
        <w:rPr>
          <w:lang w:eastAsia="zh-CN"/>
        </w:rPr>
        <w:t>F</w:t>
      </w:r>
      <w:r w:rsidR="0038535C" w:rsidRPr="00E12183">
        <w:rPr>
          <w:lang w:eastAsia="zh-CN"/>
        </w:rPr>
        <w:t xml:space="preserve">loor </w:t>
      </w:r>
      <w:r w:rsidR="0038535C">
        <w:rPr>
          <w:lang w:eastAsia="zh-CN"/>
        </w:rPr>
        <w:t>T</w:t>
      </w:r>
      <w:r w:rsidR="0038535C" w:rsidRPr="00E12183">
        <w:rPr>
          <w:lang w:eastAsia="zh-CN"/>
        </w:rPr>
        <w:t>iling</w:t>
      </w:r>
      <w:r w:rsidRPr="00E12183">
        <w:rPr>
          <w:lang w:eastAsia="zh-CN"/>
        </w:rPr>
        <w:t xml:space="preserve">, there is an improvement of 20 percentage points in their employment rate after graduation. Similarly, with the graduates of the </w:t>
      </w:r>
      <w:r w:rsidR="0038535C">
        <w:rPr>
          <w:lang w:eastAsia="zh-CN"/>
        </w:rPr>
        <w:t>C</w:t>
      </w:r>
      <w:r w:rsidR="0038535C" w:rsidRPr="00E12183">
        <w:rPr>
          <w:lang w:eastAsia="zh-CN"/>
        </w:rPr>
        <w:t xml:space="preserve">ertificate </w:t>
      </w:r>
      <w:r w:rsidRPr="00E12183">
        <w:rPr>
          <w:lang w:eastAsia="zh-CN"/>
        </w:rPr>
        <w:t xml:space="preserve">III in </w:t>
      </w:r>
      <w:r w:rsidR="0038535C">
        <w:rPr>
          <w:lang w:eastAsia="zh-CN"/>
        </w:rPr>
        <w:t>T</w:t>
      </w:r>
      <w:r w:rsidRPr="00E12183">
        <w:rPr>
          <w:lang w:eastAsia="zh-CN"/>
        </w:rPr>
        <w:t xml:space="preserve">ourism, despite a low employment rate before APTC (63 per cent), there is an improvement of 22 percentage points in their post-graduation employment rate. APTC training has improved the employment opportunities for graduates who were previously unemployed.  </w:t>
      </w:r>
    </w:p>
    <w:p w14:paraId="3141F197" w14:textId="2C8DB3F5" w:rsidR="005F0F2D" w:rsidRPr="00E12183" w:rsidRDefault="005F0F2D" w:rsidP="005F0F2D">
      <w:pPr>
        <w:pStyle w:val="Heading3"/>
        <w:rPr>
          <w:lang w:eastAsia="zh-CN"/>
        </w:rPr>
      </w:pPr>
      <w:bookmarkStart w:id="70" w:name="_Toc278710542"/>
      <w:r w:rsidRPr="00E12183">
        <w:rPr>
          <w:lang w:eastAsia="zh-CN"/>
        </w:rPr>
        <w:t>Current employment status of APTC graduates</w:t>
      </w:r>
      <w:bookmarkEnd w:id="70"/>
    </w:p>
    <w:p w14:paraId="02DE5CF0" w14:textId="4EA53D73" w:rsidR="003F17DD" w:rsidRDefault="003F17DD" w:rsidP="005F0F2D">
      <w:pPr>
        <w:spacing w:before="120"/>
        <w:rPr>
          <w:lang w:eastAsia="zh-CN"/>
        </w:rPr>
      </w:pPr>
      <w:r w:rsidRPr="003F17DD">
        <w:rPr>
          <w:lang w:eastAsia="zh-CN"/>
        </w:rPr>
        <w:t xml:space="preserve">Further information is available on the employment outcomes of graduates from the survey conducted by the review team. As noted at the beginning of this report, the respondents self-selected for this survey. Although the consultations with graduates were timed to allow those working to attend, graduates </w:t>
      </w:r>
      <w:r w:rsidR="003C1463">
        <w:rPr>
          <w:lang w:eastAsia="zh-CN"/>
        </w:rPr>
        <w:t xml:space="preserve">in paid work </w:t>
      </w:r>
      <w:r w:rsidRPr="003F17DD">
        <w:rPr>
          <w:lang w:eastAsia="zh-CN"/>
        </w:rPr>
        <w:t>may be under-represented.</w:t>
      </w:r>
    </w:p>
    <w:p w14:paraId="49DE03CC" w14:textId="36F60EBA" w:rsidR="005F0F2D" w:rsidRPr="00E12183" w:rsidRDefault="005F0F2D" w:rsidP="005F0F2D">
      <w:pPr>
        <w:spacing w:before="120"/>
        <w:rPr>
          <w:lang w:eastAsia="zh-CN"/>
        </w:rPr>
      </w:pPr>
      <w:r w:rsidRPr="00E12183">
        <w:rPr>
          <w:lang w:eastAsia="zh-CN"/>
        </w:rPr>
        <w:t>One-in-six of the graduates (15 per cent) who met with the review team and responded to the questionn</w:t>
      </w:r>
      <w:r w:rsidR="004E653D">
        <w:rPr>
          <w:lang w:eastAsia="zh-CN"/>
        </w:rPr>
        <w:t>aire</w:t>
      </w:r>
      <w:r w:rsidRPr="00E12183">
        <w:rPr>
          <w:lang w:eastAsia="zh-CN"/>
        </w:rPr>
        <w:t xml:space="preserve"> are not now working. This high proportion of graduates not working reflects, in particular, labour market conditions in PNG for specific qualifications. </w:t>
      </w:r>
    </w:p>
    <w:p w14:paraId="2A62CA0A" w14:textId="1E58A645" w:rsidR="009C5FAC" w:rsidRDefault="009C5FAC" w:rsidP="005F0F2D">
      <w:pPr>
        <w:spacing w:before="120"/>
        <w:rPr>
          <w:lang w:eastAsia="zh-CN"/>
        </w:rPr>
      </w:pPr>
      <w:r>
        <w:rPr>
          <w:lang w:eastAsia="zh-CN"/>
        </w:rPr>
        <w:t>The e</w:t>
      </w:r>
      <w:r w:rsidRPr="00E12183">
        <w:rPr>
          <w:lang w:eastAsia="zh-CN"/>
        </w:rPr>
        <w:t xml:space="preserve">mployment </w:t>
      </w:r>
      <w:r w:rsidR="005F0F2D" w:rsidRPr="00E12183">
        <w:rPr>
          <w:lang w:eastAsia="zh-CN"/>
        </w:rPr>
        <w:t>status of graduates prior to their APTC enrolment has a big impact on whether they are working now. Of those employed before starting at APTC, 88 per cent are now employed. However, for those not working before APTC, only two-in-five (</w:t>
      </w:r>
      <w:r w:rsidRPr="00E12183">
        <w:rPr>
          <w:lang w:eastAsia="zh-CN"/>
        </w:rPr>
        <w:t>40</w:t>
      </w:r>
      <w:r>
        <w:rPr>
          <w:lang w:eastAsia="zh-CN"/>
        </w:rPr>
        <w:t> </w:t>
      </w:r>
      <w:r w:rsidR="005F0F2D" w:rsidRPr="00E12183">
        <w:rPr>
          <w:lang w:eastAsia="zh-CN"/>
        </w:rPr>
        <w:t>per</w:t>
      </w:r>
      <w:r>
        <w:rPr>
          <w:lang w:eastAsia="zh-CN"/>
        </w:rPr>
        <w:t xml:space="preserve"> </w:t>
      </w:r>
      <w:r w:rsidR="005F0F2D" w:rsidRPr="00E12183">
        <w:rPr>
          <w:lang w:eastAsia="zh-CN"/>
        </w:rPr>
        <w:t>cent) are now working</w:t>
      </w:r>
      <w:r w:rsidR="00232F0D">
        <w:rPr>
          <w:lang w:eastAsia="zh-CN"/>
        </w:rPr>
        <w:t xml:space="preserve">. </w:t>
      </w:r>
      <w:r w:rsidR="005F0F2D" w:rsidRPr="00E12183">
        <w:rPr>
          <w:lang w:eastAsia="zh-CN"/>
        </w:rPr>
        <w:t xml:space="preserve">As many as 94 per cent of graduates were employed before APTC, but only half (48 per cent) are still with the same employer after graduation. Some graduates had to leave their jobs to start their APTC training. Of those employed before APTC, three-in-five (62 per cent) continued in work while studying. Overall just over one-in-four graduates not with the same employer are unemployed. </w:t>
      </w:r>
    </w:p>
    <w:p w14:paraId="6544900F" w14:textId="2AED9A0E" w:rsidR="005F0F2D" w:rsidRPr="00E12183" w:rsidRDefault="005F0F2D" w:rsidP="005F0F2D">
      <w:pPr>
        <w:spacing w:before="120"/>
        <w:rPr>
          <w:lang w:eastAsia="zh-CN"/>
        </w:rPr>
      </w:pPr>
      <w:r w:rsidRPr="00E12183">
        <w:rPr>
          <w:lang w:eastAsia="zh-CN"/>
        </w:rPr>
        <w:t xml:space="preserve">However, the proportion of unemployed graduates varied greatly by qualification. Graduates in qualifications related to community work and hospitality in particular were experiencing difficulties in finding work. Graduates from PNG and Fiji were also more likely to be unemployed than graduates in other countries. </w:t>
      </w:r>
    </w:p>
    <w:p w14:paraId="12577F52" w14:textId="783BDC4E" w:rsidR="005F0F2D" w:rsidRPr="00E12183" w:rsidRDefault="005F0F2D" w:rsidP="005F0F2D">
      <w:pPr>
        <w:pStyle w:val="Heading2"/>
        <w:rPr>
          <w:lang w:eastAsia="zh-CN"/>
        </w:rPr>
      </w:pPr>
      <w:bookmarkStart w:id="71" w:name="_Toc278710543"/>
      <w:r w:rsidRPr="00E12183">
        <w:rPr>
          <w:lang w:eastAsia="zh-CN"/>
        </w:rPr>
        <w:t xml:space="preserve">Graduate employment in the same field as </w:t>
      </w:r>
      <w:r w:rsidR="009C5FAC">
        <w:rPr>
          <w:lang w:eastAsia="zh-CN"/>
        </w:rPr>
        <w:t xml:space="preserve">they were </w:t>
      </w:r>
      <w:r w:rsidRPr="00E12183">
        <w:rPr>
          <w:lang w:eastAsia="zh-CN"/>
        </w:rPr>
        <w:t>trained</w:t>
      </w:r>
      <w:bookmarkEnd w:id="71"/>
      <w:r w:rsidRPr="00E12183">
        <w:rPr>
          <w:lang w:eastAsia="zh-CN"/>
        </w:rPr>
        <w:t xml:space="preserve"> </w:t>
      </w:r>
    </w:p>
    <w:p w14:paraId="41BC2788" w14:textId="2DB97C0A" w:rsidR="005F0F2D" w:rsidRPr="00E12183" w:rsidRDefault="005F0F2D" w:rsidP="005F0F2D">
      <w:pPr>
        <w:spacing w:before="120"/>
        <w:rPr>
          <w:lang w:eastAsia="zh-CN"/>
        </w:rPr>
      </w:pPr>
      <w:r w:rsidRPr="00E12183">
        <w:rPr>
          <w:lang w:eastAsia="zh-CN"/>
        </w:rPr>
        <w:t xml:space="preserve">Most APTC graduates are now in jobs closely related to their training at APTC. The </w:t>
      </w:r>
      <w:r w:rsidR="003F17DD">
        <w:rPr>
          <w:lang w:eastAsia="zh-CN"/>
        </w:rPr>
        <w:t xml:space="preserve">NCVER </w:t>
      </w:r>
      <w:r w:rsidR="009C5FAC">
        <w:rPr>
          <w:lang w:eastAsia="zh-CN"/>
        </w:rPr>
        <w:t>‘</w:t>
      </w:r>
      <w:r w:rsidRPr="00E12183">
        <w:rPr>
          <w:lang w:eastAsia="zh-CN"/>
        </w:rPr>
        <w:t>APTC Graduate Down the Track</w:t>
      </w:r>
      <w:r w:rsidR="009C5FAC">
        <w:rPr>
          <w:lang w:eastAsia="zh-CN"/>
        </w:rPr>
        <w:t>’</w:t>
      </w:r>
      <w:r w:rsidR="009C5FAC" w:rsidRPr="00E12183">
        <w:rPr>
          <w:lang w:eastAsia="zh-CN"/>
        </w:rPr>
        <w:t xml:space="preserve"> </w:t>
      </w:r>
      <w:r w:rsidRPr="00E12183">
        <w:rPr>
          <w:lang w:eastAsia="zh-CN"/>
        </w:rPr>
        <w:t xml:space="preserve">survey showed that </w:t>
      </w:r>
      <w:r w:rsidR="009C5FAC">
        <w:rPr>
          <w:lang w:eastAsia="zh-CN"/>
        </w:rPr>
        <w:t>87 per cent of</w:t>
      </w:r>
      <w:r w:rsidR="009C5FAC" w:rsidRPr="00E12183">
        <w:rPr>
          <w:lang w:eastAsia="zh-CN"/>
        </w:rPr>
        <w:t xml:space="preserve"> </w:t>
      </w:r>
      <w:r w:rsidRPr="00E12183">
        <w:rPr>
          <w:lang w:eastAsia="zh-CN"/>
        </w:rPr>
        <w:t xml:space="preserve">Stage I graduates said their current job was closely related to their APTC training, </w:t>
      </w:r>
      <w:r w:rsidR="009C5FAC" w:rsidRPr="00E12183">
        <w:rPr>
          <w:lang w:eastAsia="zh-CN"/>
        </w:rPr>
        <w:t>a</w:t>
      </w:r>
      <w:r w:rsidR="009C5FAC">
        <w:rPr>
          <w:lang w:eastAsia="zh-CN"/>
        </w:rPr>
        <w:t xml:space="preserve"> further</w:t>
      </w:r>
      <w:r w:rsidR="009C5FAC" w:rsidRPr="00E12183">
        <w:rPr>
          <w:lang w:eastAsia="zh-CN"/>
        </w:rPr>
        <w:t xml:space="preserve"> </w:t>
      </w:r>
      <w:r w:rsidR="00363EDE">
        <w:rPr>
          <w:lang w:eastAsia="zh-CN"/>
        </w:rPr>
        <w:t>10 </w:t>
      </w:r>
      <w:r w:rsidR="009C5FAC">
        <w:rPr>
          <w:lang w:eastAsia="zh-CN"/>
        </w:rPr>
        <w:t>per cent</w:t>
      </w:r>
      <w:r w:rsidR="009C5FAC" w:rsidRPr="00E12183">
        <w:rPr>
          <w:lang w:eastAsia="zh-CN"/>
        </w:rPr>
        <w:t xml:space="preserve"> </w:t>
      </w:r>
      <w:r w:rsidRPr="00E12183">
        <w:rPr>
          <w:lang w:eastAsia="zh-CN"/>
        </w:rPr>
        <w:t xml:space="preserve">said it was partly related and only </w:t>
      </w:r>
      <w:r w:rsidR="009C5FAC">
        <w:rPr>
          <w:lang w:eastAsia="zh-CN"/>
        </w:rPr>
        <w:t>three</w:t>
      </w:r>
      <w:r w:rsidR="009C5FAC" w:rsidRPr="00E12183">
        <w:rPr>
          <w:lang w:eastAsia="zh-CN"/>
        </w:rPr>
        <w:t xml:space="preserve"> </w:t>
      </w:r>
      <w:r w:rsidRPr="00E12183">
        <w:rPr>
          <w:lang w:eastAsia="zh-CN"/>
        </w:rPr>
        <w:t xml:space="preserve">per cent said it was not related at all. Among those graduates in a new job, 84 per cent said their current job was closely related to their APTC training and 11 per cent said their current job was partly related to the training they had received. Only </w:t>
      </w:r>
      <w:r w:rsidR="002F62B3">
        <w:rPr>
          <w:lang w:eastAsia="zh-CN"/>
        </w:rPr>
        <w:t>four</w:t>
      </w:r>
      <w:r w:rsidR="002F62B3" w:rsidRPr="00E12183">
        <w:rPr>
          <w:lang w:eastAsia="zh-CN"/>
        </w:rPr>
        <w:t xml:space="preserve"> </w:t>
      </w:r>
      <w:r w:rsidRPr="00E12183">
        <w:rPr>
          <w:lang w:eastAsia="zh-CN"/>
        </w:rPr>
        <w:t xml:space="preserve">per cent said their current job was not related at all to the training they had received. </w:t>
      </w:r>
    </w:p>
    <w:p w14:paraId="6A4575D4" w14:textId="3FD85F67" w:rsidR="005F0F2D" w:rsidRPr="00E12183" w:rsidRDefault="00475C23" w:rsidP="005F0F2D">
      <w:pPr>
        <w:spacing w:before="120"/>
        <w:rPr>
          <w:lang w:eastAsia="zh-CN"/>
        </w:rPr>
      </w:pPr>
      <w:r>
        <w:rPr>
          <w:lang w:eastAsia="zh-CN"/>
        </w:rPr>
        <w:t>I</w:t>
      </w:r>
      <w:r w:rsidRPr="00E12183">
        <w:rPr>
          <w:lang w:eastAsia="zh-CN"/>
        </w:rPr>
        <w:t xml:space="preserve">n five </w:t>
      </w:r>
      <w:r>
        <w:rPr>
          <w:lang w:eastAsia="zh-CN"/>
        </w:rPr>
        <w:t xml:space="preserve">specific </w:t>
      </w:r>
      <w:r w:rsidRPr="00E12183">
        <w:rPr>
          <w:lang w:eastAsia="zh-CN"/>
        </w:rPr>
        <w:t>fields of study</w:t>
      </w:r>
      <w:r>
        <w:rPr>
          <w:lang w:eastAsia="zh-CN"/>
        </w:rPr>
        <w:t>,</w:t>
      </w:r>
      <w:r w:rsidRPr="00E12183">
        <w:rPr>
          <w:lang w:eastAsia="zh-CN"/>
        </w:rPr>
        <w:t xml:space="preserve"> </w:t>
      </w:r>
      <w:r>
        <w:rPr>
          <w:lang w:eastAsia="zh-CN"/>
        </w:rPr>
        <w:t>a</w:t>
      </w:r>
      <w:r w:rsidRPr="00E12183">
        <w:rPr>
          <w:lang w:eastAsia="zh-CN"/>
        </w:rPr>
        <w:t xml:space="preserve"> </w:t>
      </w:r>
      <w:r w:rsidR="005F0F2D" w:rsidRPr="00E12183">
        <w:rPr>
          <w:lang w:eastAsia="zh-CN"/>
        </w:rPr>
        <w:t xml:space="preserve">half to one fifth of graduates said their current job was </w:t>
      </w:r>
      <w:r w:rsidR="005F0F2D" w:rsidRPr="009C76A7">
        <w:rPr>
          <w:i/>
          <w:lang w:eastAsia="zh-CN"/>
        </w:rPr>
        <w:t>not</w:t>
      </w:r>
      <w:r w:rsidR="005F0F2D" w:rsidRPr="00E12183">
        <w:rPr>
          <w:lang w:eastAsia="zh-CN"/>
        </w:rPr>
        <w:t xml:space="preserve"> closely related to </w:t>
      </w:r>
      <w:r>
        <w:rPr>
          <w:lang w:eastAsia="zh-CN"/>
        </w:rPr>
        <w:t>their</w:t>
      </w:r>
      <w:r w:rsidR="005F0F2D" w:rsidRPr="00E12183">
        <w:rPr>
          <w:lang w:eastAsia="zh-CN"/>
        </w:rPr>
        <w:t xml:space="preserve"> train</w:t>
      </w:r>
      <w:r>
        <w:rPr>
          <w:lang w:eastAsia="zh-CN"/>
        </w:rPr>
        <w:t>ing</w:t>
      </w:r>
      <w:r w:rsidR="005F0F2D" w:rsidRPr="00E12183">
        <w:rPr>
          <w:lang w:eastAsia="zh-CN"/>
        </w:rPr>
        <w:t xml:space="preserve">. These fields were: community services work (current job for 50 per cent was </w:t>
      </w:r>
      <w:r w:rsidR="0087353E">
        <w:rPr>
          <w:lang w:eastAsia="zh-CN"/>
        </w:rPr>
        <w:t xml:space="preserve">not </w:t>
      </w:r>
      <w:r w:rsidR="005F0F2D" w:rsidRPr="00E12183">
        <w:rPr>
          <w:lang w:eastAsia="zh-CN"/>
        </w:rPr>
        <w:t>closely related), children's services (</w:t>
      </w:r>
      <w:r w:rsidR="0087353E">
        <w:rPr>
          <w:lang w:eastAsia="zh-CN"/>
        </w:rPr>
        <w:t>37</w:t>
      </w:r>
      <w:r w:rsidR="005F0F2D" w:rsidRPr="00E12183">
        <w:rPr>
          <w:lang w:eastAsia="zh-CN"/>
        </w:rPr>
        <w:t xml:space="preserve"> per cent), tourism (</w:t>
      </w:r>
      <w:r w:rsidR="0087353E">
        <w:rPr>
          <w:lang w:eastAsia="zh-CN"/>
        </w:rPr>
        <w:t>2</w:t>
      </w:r>
      <w:r w:rsidR="005F0F2D" w:rsidRPr="00E12183">
        <w:rPr>
          <w:lang w:eastAsia="zh-CN"/>
        </w:rPr>
        <w:t>5 per cent), mechanical fitting (</w:t>
      </w:r>
      <w:r w:rsidR="0087353E">
        <w:rPr>
          <w:lang w:eastAsia="zh-CN"/>
        </w:rPr>
        <w:t>2</w:t>
      </w:r>
      <w:r w:rsidR="005F0F2D" w:rsidRPr="00E12183">
        <w:rPr>
          <w:lang w:eastAsia="zh-CN"/>
        </w:rPr>
        <w:t>5 per cent) and hospitality supervision (</w:t>
      </w:r>
      <w:r w:rsidR="0087353E">
        <w:rPr>
          <w:lang w:eastAsia="zh-CN"/>
        </w:rPr>
        <w:t>21</w:t>
      </w:r>
      <w:r w:rsidR="004B16DE">
        <w:rPr>
          <w:lang w:eastAsia="zh-CN"/>
        </w:rPr>
        <w:t> </w:t>
      </w:r>
      <w:r w:rsidR="005F0F2D" w:rsidRPr="00E12183">
        <w:rPr>
          <w:lang w:eastAsia="zh-CN"/>
        </w:rPr>
        <w:t xml:space="preserve">per cent). The lack of match between qualification and job may indicate a lack of jobs in the sector for which the qualification is </w:t>
      </w:r>
      <w:r w:rsidR="006E3EE5">
        <w:rPr>
          <w:lang w:eastAsia="zh-CN"/>
        </w:rPr>
        <w:t>targeted</w:t>
      </w:r>
      <w:r w:rsidR="005F0F2D" w:rsidRPr="00E12183">
        <w:rPr>
          <w:lang w:eastAsia="zh-CN"/>
        </w:rPr>
        <w:t xml:space="preserve">. </w:t>
      </w:r>
    </w:p>
    <w:p w14:paraId="05C635AA" w14:textId="77777777" w:rsidR="005F0F2D" w:rsidRPr="00E12183" w:rsidRDefault="005F0F2D" w:rsidP="005F0F2D">
      <w:pPr>
        <w:pStyle w:val="Heading2"/>
        <w:rPr>
          <w:lang w:eastAsia="zh-CN"/>
        </w:rPr>
      </w:pPr>
      <w:bookmarkStart w:id="72" w:name="_Toc278710544"/>
      <w:r w:rsidRPr="00E12183">
        <w:rPr>
          <w:lang w:eastAsia="zh-CN"/>
        </w:rPr>
        <w:t>Wage levels of graduates, before and after APTC training</w:t>
      </w:r>
      <w:bookmarkEnd w:id="72"/>
      <w:r w:rsidRPr="00E12183">
        <w:rPr>
          <w:lang w:eastAsia="zh-CN"/>
        </w:rPr>
        <w:t xml:space="preserve"> </w:t>
      </w:r>
    </w:p>
    <w:p w14:paraId="20056099" w14:textId="0E17133F" w:rsidR="005F0F2D" w:rsidRPr="00E12183" w:rsidRDefault="005F0F2D" w:rsidP="005F0F2D">
      <w:pPr>
        <w:spacing w:before="120"/>
        <w:rPr>
          <w:lang w:eastAsia="zh-CN"/>
        </w:rPr>
      </w:pPr>
      <w:r w:rsidRPr="00E12183">
        <w:rPr>
          <w:lang w:eastAsia="zh-CN"/>
        </w:rPr>
        <w:t xml:space="preserve">Three-in-five of the Stage I APTC graduates (61 per cent) surveyed in 2013 said they had received an increase in earnings since completing their APTC training. This proportion differed little between whether the graduate was still in the same job or a new job. The qualifications least likely to be linked to an increase in earnings after graduation were: </w:t>
      </w:r>
      <w:r w:rsidR="003F78D8">
        <w:rPr>
          <w:lang w:eastAsia="zh-CN"/>
        </w:rPr>
        <w:t>C</w:t>
      </w:r>
      <w:r w:rsidR="003F78D8" w:rsidRPr="00E12183">
        <w:rPr>
          <w:lang w:eastAsia="zh-CN"/>
        </w:rPr>
        <w:t xml:space="preserve">ertificate </w:t>
      </w:r>
      <w:r w:rsidRPr="00E12183">
        <w:rPr>
          <w:lang w:eastAsia="zh-CN"/>
        </w:rPr>
        <w:t xml:space="preserve">IV in </w:t>
      </w:r>
      <w:r w:rsidR="003F78D8">
        <w:rPr>
          <w:lang w:eastAsia="zh-CN"/>
        </w:rPr>
        <w:t>T</w:t>
      </w:r>
      <w:r w:rsidRPr="00E12183">
        <w:rPr>
          <w:lang w:eastAsia="zh-CN"/>
        </w:rPr>
        <w:t xml:space="preserve">raining </w:t>
      </w:r>
      <w:r w:rsidR="003F78D8">
        <w:rPr>
          <w:lang w:eastAsia="zh-CN"/>
        </w:rPr>
        <w:t>and</w:t>
      </w:r>
      <w:r w:rsidR="003F78D8" w:rsidRPr="00E12183">
        <w:rPr>
          <w:lang w:eastAsia="zh-CN"/>
        </w:rPr>
        <w:t xml:space="preserve"> </w:t>
      </w:r>
      <w:r w:rsidR="003F78D8">
        <w:rPr>
          <w:lang w:eastAsia="zh-CN"/>
        </w:rPr>
        <w:t>A</w:t>
      </w:r>
      <w:r w:rsidR="003F78D8" w:rsidRPr="00E12183">
        <w:rPr>
          <w:lang w:eastAsia="zh-CN"/>
        </w:rPr>
        <w:t>ssessment</w:t>
      </w:r>
      <w:r w:rsidRPr="00E12183">
        <w:rPr>
          <w:lang w:eastAsia="zh-CN"/>
        </w:rPr>
        <w:t xml:space="preserve">, </w:t>
      </w:r>
      <w:r w:rsidR="003F78D8">
        <w:rPr>
          <w:lang w:eastAsia="zh-CN"/>
        </w:rPr>
        <w:t>D</w:t>
      </w:r>
      <w:r w:rsidR="003F78D8" w:rsidRPr="00E12183">
        <w:rPr>
          <w:lang w:eastAsia="zh-CN"/>
        </w:rPr>
        <w:t xml:space="preserve">iplomas </w:t>
      </w:r>
      <w:r w:rsidRPr="00E12183">
        <w:rPr>
          <w:lang w:eastAsia="zh-CN"/>
        </w:rPr>
        <w:t xml:space="preserve">in </w:t>
      </w:r>
      <w:r w:rsidR="003F78D8">
        <w:rPr>
          <w:lang w:eastAsia="zh-CN"/>
        </w:rPr>
        <w:t>C</w:t>
      </w:r>
      <w:r w:rsidR="003F78D8" w:rsidRPr="00E12183">
        <w:rPr>
          <w:lang w:eastAsia="zh-CN"/>
        </w:rPr>
        <w:t xml:space="preserve">ommunity </w:t>
      </w:r>
      <w:r w:rsidR="003F78D8">
        <w:rPr>
          <w:lang w:eastAsia="zh-CN"/>
        </w:rPr>
        <w:t>S</w:t>
      </w:r>
      <w:r w:rsidR="003F78D8" w:rsidRPr="00E12183">
        <w:rPr>
          <w:lang w:eastAsia="zh-CN"/>
        </w:rPr>
        <w:t xml:space="preserve">ervices </w:t>
      </w:r>
      <w:r w:rsidR="003F78D8">
        <w:rPr>
          <w:lang w:eastAsia="zh-CN"/>
        </w:rPr>
        <w:t>W</w:t>
      </w:r>
      <w:r w:rsidR="003F78D8" w:rsidRPr="00E12183">
        <w:rPr>
          <w:lang w:eastAsia="zh-CN"/>
        </w:rPr>
        <w:t xml:space="preserve">ork </w:t>
      </w:r>
      <w:r w:rsidRPr="00E12183">
        <w:rPr>
          <w:lang w:eastAsia="zh-CN"/>
        </w:rPr>
        <w:t xml:space="preserve">and </w:t>
      </w:r>
      <w:r w:rsidR="003F78D8">
        <w:rPr>
          <w:lang w:eastAsia="zh-CN"/>
        </w:rPr>
        <w:t>C</w:t>
      </w:r>
      <w:r w:rsidR="003F78D8" w:rsidRPr="00E12183">
        <w:rPr>
          <w:lang w:eastAsia="zh-CN"/>
        </w:rPr>
        <w:t xml:space="preserve">hildren's </w:t>
      </w:r>
      <w:r w:rsidR="003F78D8">
        <w:rPr>
          <w:lang w:eastAsia="zh-CN"/>
        </w:rPr>
        <w:t>S</w:t>
      </w:r>
      <w:r w:rsidR="003F78D8" w:rsidRPr="00E12183">
        <w:rPr>
          <w:lang w:eastAsia="zh-CN"/>
        </w:rPr>
        <w:t>ervices</w:t>
      </w:r>
      <w:r w:rsidR="00CE75F6">
        <w:rPr>
          <w:lang w:eastAsia="zh-CN"/>
        </w:rPr>
        <w:t>,</w:t>
      </w:r>
      <w:r w:rsidR="003F78D8" w:rsidRPr="00E12183">
        <w:rPr>
          <w:lang w:eastAsia="zh-CN"/>
        </w:rPr>
        <w:t xml:space="preserve"> </w:t>
      </w:r>
      <w:r w:rsidRPr="00E12183">
        <w:rPr>
          <w:lang w:eastAsia="zh-CN"/>
        </w:rPr>
        <w:t xml:space="preserve">and a number of trades-related qualifications such as wall </w:t>
      </w:r>
      <w:r w:rsidR="00CE75F6">
        <w:rPr>
          <w:lang w:eastAsia="zh-CN"/>
        </w:rPr>
        <w:t>and</w:t>
      </w:r>
      <w:r w:rsidR="00CE75F6" w:rsidRPr="00E12183">
        <w:rPr>
          <w:lang w:eastAsia="zh-CN"/>
        </w:rPr>
        <w:t xml:space="preserve"> </w:t>
      </w:r>
      <w:r w:rsidRPr="00E12183">
        <w:rPr>
          <w:lang w:eastAsia="zh-CN"/>
        </w:rPr>
        <w:t xml:space="preserve">floor tiling, plumbing, painting and decorating, mechanical fitting, and automotive mechanical technology. The </w:t>
      </w:r>
      <w:r w:rsidR="00CE75F6">
        <w:rPr>
          <w:lang w:eastAsia="zh-CN"/>
        </w:rPr>
        <w:t>C</w:t>
      </w:r>
      <w:r w:rsidR="00CE75F6" w:rsidRPr="00E12183">
        <w:rPr>
          <w:lang w:eastAsia="zh-CN"/>
        </w:rPr>
        <w:t xml:space="preserve">ertificate </w:t>
      </w:r>
      <w:r w:rsidRPr="00E12183">
        <w:rPr>
          <w:lang w:eastAsia="zh-CN"/>
        </w:rPr>
        <w:t xml:space="preserve">IV in </w:t>
      </w:r>
      <w:r w:rsidR="00CE75F6">
        <w:rPr>
          <w:lang w:eastAsia="zh-CN"/>
        </w:rPr>
        <w:t>T</w:t>
      </w:r>
      <w:r w:rsidR="00CE75F6" w:rsidRPr="00E12183">
        <w:rPr>
          <w:lang w:eastAsia="zh-CN"/>
        </w:rPr>
        <w:t xml:space="preserve">raining </w:t>
      </w:r>
      <w:r w:rsidR="00CE75F6">
        <w:rPr>
          <w:lang w:eastAsia="zh-CN"/>
        </w:rPr>
        <w:t>and</w:t>
      </w:r>
      <w:r w:rsidR="00CE75F6" w:rsidRPr="00E12183">
        <w:rPr>
          <w:lang w:eastAsia="zh-CN"/>
        </w:rPr>
        <w:t xml:space="preserve"> </w:t>
      </w:r>
      <w:r w:rsidR="00CE75F6">
        <w:rPr>
          <w:lang w:eastAsia="zh-CN"/>
        </w:rPr>
        <w:t>A</w:t>
      </w:r>
      <w:r w:rsidR="00CE75F6" w:rsidRPr="00E12183">
        <w:rPr>
          <w:lang w:eastAsia="zh-CN"/>
        </w:rPr>
        <w:t xml:space="preserve">ssessment </w:t>
      </w:r>
      <w:r w:rsidRPr="00E12183">
        <w:rPr>
          <w:lang w:eastAsia="zh-CN"/>
        </w:rPr>
        <w:t>is aimed at TVET instructors who are likely to be on wages fixed by government. Some of the trades may also be working for public works departments and state-owned enterprises where there is little scope to increase wage rates.</w:t>
      </w:r>
    </w:p>
    <w:p w14:paraId="09579D02" w14:textId="77777777" w:rsidR="005F0F2D" w:rsidRPr="00E12183" w:rsidRDefault="005F0F2D" w:rsidP="005F0F2D">
      <w:pPr>
        <w:spacing w:before="120"/>
        <w:rPr>
          <w:lang w:eastAsia="zh-CN"/>
        </w:rPr>
      </w:pPr>
      <w:r w:rsidRPr="00E12183">
        <w:rPr>
          <w:lang w:eastAsia="zh-CN"/>
        </w:rPr>
        <w:t xml:space="preserve">Only one-in-four Stage II graduates provided information about any increase or otherwise in their wages a year after graduating. Of these, three-in-five (60 per cent) said it had increased, one-in-three (35 per cent) said their wage was the same and one-in-twenty (5 per cent) said their wage was lower a year after graduating. </w:t>
      </w:r>
    </w:p>
    <w:p w14:paraId="012F1DE3" w14:textId="77777777" w:rsidR="005F0F2D" w:rsidRPr="00E12183" w:rsidRDefault="005F0F2D" w:rsidP="005F0F2D">
      <w:pPr>
        <w:pStyle w:val="Heading2"/>
        <w:rPr>
          <w:lang w:eastAsia="zh-CN"/>
        </w:rPr>
      </w:pPr>
      <w:bookmarkStart w:id="73" w:name="_Toc278710545"/>
      <w:r w:rsidRPr="00E12183">
        <w:rPr>
          <w:lang w:eastAsia="zh-CN"/>
        </w:rPr>
        <w:t>Evidence on job satisfaction, stability or promotions</w:t>
      </w:r>
      <w:bookmarkEnd w:id="73"/>
    </w:p>
    <w:p w14:paraId="079A3DDF" w14:textId="04BEFCA3" w:rsidR="005F0F2D" w:rsidRPr="00E12183" w:rsidRDefault="005F0F2D" w:rsidP="005F0F2D">
      <w:pPr>
        <w:spacing w:before="120"/>
        <w:rPr>
          <w:lang w:eastAsia="zh-CN"/>
        </w:rPr>
      </w:pPr>
      <w:r w:rsidRPr="00E12183">
        <w:rPr>
          <w:lang w:eastAsia="zh-CN"/>
        </w:rPr>
        <w:t xml:space="preserve">For the Stage I graduates, of those already in a job, two-in-three (62 per cent) had </w:t>
      </w:r>
      <w:r w:rsidR="007A018D">
        <w:rPr>
          <w:lang w:eastAsia="zh-CN"/>
        </w:rPr>
        <w:t>gained</w:t>
      </w:r>
      <w:r w:rsidR="007A018D" w:rsidRPr="00E12183">
        <w:rPr>
          <w:lang w:eastAsia="zh-CN"/>
        </w:rPr>
        <w:t xml:space="preserve"> </w:t>
      </w:r>
      <w:r w:rsidRPr="00E12183">
        <w:rPr>
          <w:lang w:eastAsia="zh-CN"/>
        </w:rPr>
        <w:t xml:space="preserve">a promotion and a similar proportion (63 per cent) </w:t>
      </w:r>
      <w:r w:rsidR="008F2C11">
        <w:rPr>
          <w:lang w:eastAsia="zh-CN"/>
        </w:rPr>
        <w:t>had gained</w:t>
      </w:r>
      <w:r w:rsidR="008F2C11" w:rsidRPr="00E12183">
        <w:rPr>
          <w:lang w:eastAsia="zh-CN"/>
        </w:rPr>
        <w:t xml:space="preserve"> </w:t>
      </w:r>
      <w:r w:rsidRPr="00E12183">
        <w:rPr>
          <w:lang w:eastAsia="zh-CN"/>
        </w:rPr>
        <w:t xml:space="preserve">an increase in </w:t>
      </w:r>
      <w:r w:rsidR="008F2C11">
        <w:rPr>
          <w:lang w:eastAsia="zh-CN"/>
        </w:rPr>
        <w:t xml:space="preserve">their </w:t>
      </w:r>
      <w:r w:rsidRPr="00E12183">
        <w:rPr>
          <w:lang w:eastAsia="zh-CN"/>
        </w:rPr>
        <w:t>earnings. However, one-in-ten (10 per cent) could not identify a benefit</w:t>
      </w:r>
      <w:r w:rsidR="00E753C6">
        <w:rPr>
          <w:lang w:eastAsia="zh-CN"/>
        </w:rPr>
        <w:t>,</w:t>
      </w:r>
      <w:r w:rsidRPr="00E12183">
        <w:rPr>
          <w:lang w:eastAsia="zh-CN"/>
        </w:rPr>
        <w:t xml:space="preserve"> or </w:t>
      </w:r>
      <w:r w:rsidR="00E753C6">
        <w:rPr>
          <w:lang w:eastAsia="zh-CN"/>
        </w:rPr>
        <w:t xml:space="preserve">they </w:t>
      </w:r>
      <w:r w:rsidRPr="00E12183">
        <w:rPr>
          <w:lang w:eastAsia="zh-CN"/>
        </w:rPr>
        <w:t>stated a negative outcome</w:t>
      </w:r>
      <w:r w:rsidR="00E753C6">
        <w:rPr>
          <w:lang w:eastAsia="zh-CN"/>
        </w:rPr>
        <w:t>,</w:t>
      </w:r>
      <w:r w:rsidRPr="00E12183">
        <w:rPr>
          <w:lang w:eastAsia="zh-CN"/>
        </w:rPr>
        <w:t xml:space="preserve"> since completing APTC training.</w:t>
      </w:r>
    </w:p>
    <w:p w14:paraId="43445487" w14:textId="72D5A362" w:rsidR="005F0F2D" w:rsidRPr="00E12183" w:rsidRDefault="005F0F2D" w:rsidP="005F0F2D">
      <w:pPr>
        <w:spacing w:before="120"/>
        <w:rPr>
          <w:lang w:eastAsia="zh-CN"/>
        </w:rPr>
      </w:pPr>
      <w:r w:rsidRPr="00E12183">
        <w:rPr>
          <w:lang w:eastAsia="zh-CN"/>
        </w:rPr>
        <w:t xml:space="preserve">The </w:t>
      </w:r>
      <w:r w:rsidR="005773E8">
        <w:rPr>
          <w:lang w:eastAsia="zh-CN"/>
        </w:rPr>
        <w:t xml:space="preserve">NCVER </w:t>
      </w:r>
      <w:r w:rsidR="003B343B">
        <w:rPr>
          <w:lang w:eastAsia="zh-CN"/>
        </w:rPr>
        <w:t>‘</w:t>
      </w:r>
      <w:r w:rsidRPr="00E12183">
        <w:rPr>
          <w:lang w:eastAsia="zh-CN"/>
        </w:rPr>
        <w:t>APTC Past Students Tracer Survey</w:t>
      </w:r>
      <w:r w:rsidR="003B343B">
        <w:rPr>
          <w:lang w:eastAsia="zh-CN"/>
        </w:rPr>
        <w:t>’</w:t>
      </w:r>
      <w:r w:rsidR="003B343B" w:rsidRPr="00E12183">
        <w:rPr>
          <w:lang w:eastAsia="zh-CN"/>
        </w:rPr>
        <w:t xml:space="preserve"> </w:t>
      </w:r>
      <w:r w:rsidRPr="00E12183">
        <w:rPr>
          <w:lang w:eastAsia="zh-CN"/>
        </w:rPr>
        <w:t xml:space="preserve">of Stage II graduates showed that </w:t>
      </w:r>
      <w:r w:rsidR="00363EDE" w:rsidRPr="00E12183">
        <w:rPr>
          <w:lang w:eastAsia="zh-CN"/>
        </w:rPr>
        <w:t>86</w:t>
      </w:r>
      <w:r w:rsidR="00363EDE">
        <w:rPr>
          <w:lang w:eastAsia="zh-CN"/>
        </w:rPr>
        <w:t> </w:t>
      </w:r>
      <w:r w:rsidRPr="00E12183">
        <w:rPr>
          <w:lang w:eastAsia="zh-CN"/>
        </w:rPr>
        <w:t>per</w:t>
      </w:r>
      <w:r w:rsidR="003B343B">
        <w:rPr>
          <w:lang w:eastAsia="zh-CN"/>
        </w:rPr>
        <w:t xml:space="preserve"> </w:t>
      </w:r>
      <w:r w:rsidRPr="00E12183">
        <w:rPr>
          <w:lang w:eastAsia="zh-CN"/>
        </w:rPr>
        <w:t>cent of respondents agreed that their job satisfaction had improved significantly, with one-in-four agreeing strongly with this statement. The levels of job satisfaction varied by qualification and reflected different working conditions. Half of the respondents said they had been promoted since completing their studies at APTC. The</w:t>
      </w:r>
      <w:r w:rsidR="00AE0293">
        <w:rPr>
          <w:lang w:eastAsia="zh-CN"/>
        </w:rPr>
        <w:t> </w:t>
      </w:r>
      <w:r w:rsidRPr="00E12183">
        <w:rPr>
          <w:lang w:eastAsia="zh-CN"/>
        </w:rPr>
        <w:t>promotion rate varied widely by qualification, from one-in-four to seven-in-ten. Differences in promotion rates may be due in part to fewer opportunities for promotion for jobs in the public sector. Close to nine-out-of-</w:t>
      </w:r>
      <w:r w:rsidR="000D6830">
        <w:rPr>
          <w:lang w:eastAsia="zh-CN"/>
        </w:rPr>
        <w:t>10</w:t>
      </w:r>
      <w:r w:rsidR="000D6830" w:rsidRPr="00E12183">
        <w:rPr>
          <w:lang w:eastAsia="zh-CN"/>
        </w:rPr>
        <w:t xml:space="preserve"> </w:t>
      </w:r>
      <w:r w:rsidRPr="00E12183">
        <w:rPr>
          <w:lang w:eastAsia="zh-CN"/>
        </w:rPr>
        <w:t xml:space="preserve">graduates agreed that their employment prospects or ability to apply for a job </w:t>
      </w:r>
      <w:r w:rsidR="000D6830" w:rsidRPr="00E12183">
        <w:rPr>
          <w:lang w:eastAsia="zh-CN"/>
        </w:rPr>
        <w:t>ha</w:t>
      </w:r>
      <w:r w:rsidR="000D6830">
        <w:rPr>
          <w:lang w:eastAsia="zh-CN"/>
        </w:rPr>
        <w:t>d</w:t>
      </w:r>
      <w:r w:rsidR="000D6830" w:rsidRPr="00E12183">
        <w:rPr>
          <w:lang w:eastAsia="zh-CN"/>
        </w:rPr>
        <w:t xml:space="preserve"> </w:t>
      </w:r>
      <w:r w:rsidRPr="00E12183">
        <w:rPr>
          <w:lang w:eastAsia="zh-CN"/>
        </w:rPr>
        <w:t>improved significantly, with 28</w:t>
      </w:r>
      <w:r w:rsidR="00AE0293">
        <w:rPr>
          <w:lang w:eastAsia="zh-CN"/>
        </w:rPr>
        <w:t> </w:t>
      </w:r>
      <w:r w:rsidRPr="00E12183">
        <w:rPr>
          <w:lang w:eastAsia="zh-CN"/>
        </w:rPr>
        <w:t xml:space="preserve">per cent strongly agreeing. Again, </w:t>
      </w:r>
      <w:r w:rsidR="000D6830">
        <w:rPr>
          <w:lang w:eastAsia="zh-CN"/>
        </w:rPr>
        <w:t>this</w:t>
      </w:r>
      <w:r w:rsidRPr="00E12183">
        <w:rPr>
          <w:lang w:eastAsia="zh-CN"/>
        </w:rPr>
        <w:t xml:space="preserve"> varied by qualification, depending on labour market conditions. </w:t>
      </w:r>
    </w:p>
    <w:p w14:paraId="2F6B8D15" w14:textId="77777777" w:rsidR="005F0F2D" w:rsidRPr="00E12183" w:rsidRDefault="005F0F2D" w:rsidP="005F0F2D">
      <w:pPr>
        <w:pStyle w:val="Heading2"/>
        <w:rPr>
          <w:lang w:eastAsia="zh-CN"/>
        </w:rPr>
      </w:pPr>
      <w:bookmarkStart w:id="74" w:name="_Toc278710546"/>
      <w:r w:rsidRPr="00E12183">
        <w:rPr>
          <w:lang w:eastAsia="zh-CN"/>
        </w:rPr>
        <w:t>Evidence of APTC impact from employers</w:t>
      </w:r>
      <w:bookmarkEnd w:id="74"/>
      <w:r w:rsidRPr="00E12183">
        <w:rPr>
          <w:lang w:eastAsia="zh-CN"/>
        </w:rPr>
        <w:t xml:space="preserve"> </w:t>
      </w:r>
    </w:p>
    <w:p w14:paraId="4C102C1B" w14:textId="22FAEABD" w:rsidR="005F0F2D" w:rsidRPr="00E12183" w:rsidRDefault="005F0F2D" w:rsidP="005F0F2D">
      <w:pPr>
        <w:spacing w:before="120"/>
        <w:rPr>
          <w:lang w:eastAsia="zh-CN"/>
        </w:rPr>
      </w:pPr>
      <w:r w:rsidRPr="00E12183">
        <w:rPr>
          <w:lang w:eastAsia="zh-CN"/>
        </w:rPr>
        <w:t xml:space="preserve">APTC conducted surveys of employers in 2012 and in 2013. The total number of usable responses was 181, from 607 questionnaires sent out. This represents a response rate of 30 per cent. Another source of employer feedback is the responses of 38 employers who took part in meetings with the review team or were asked separately to complete a questionnaire. </w:t>
      </w:r>
    </w:p>
    <w:p w14:paraId="2378DA9B" w14:textId="534C4298" w:rsidR="005F0F2D" w:rsidRPr="00E12183" w:rsidRDefault="005F0F2D" w:rsidP="005F0F2D">
      <w:pPr>
        <w:pStyle w:val="Heading3"/>
        <w:rPr>
          <w:lang w:eastAsia="zh-CN"/>
        </w:rPr>
      </w:pPr>
      <w:bookmarkStart w:id="75" w:name="_Toc278710547"/>
      <w:r w:rsidRPr="00E12183">
        <w:rPr>
          <w:lang w:eastAsia="zh-CN"/>
        </w:rPr>
        <w:t xml:space="preserve">Comparison of APTC graduates with other TVET graduates at </w:t>
      </w:r>
      <w:r w:rsidR="004814A9">
        <w:rPr>
          <w:lang w:eastAsia="zh-CN"/>
        </w:rPr>
        <w:br/>
      </w:r>
      <w:r w:rsidRPr="00E12183">
        <w:rPr>
          <w:lang w:eastAsia="zh-CN"/>
        </w:rPr>
        <w:t>the same level</w:t>
      </w:r>
      <w:bookmarkEnd w:id="75"/>
      <w:r w:rsidRPr="00E12183">
        <w:rPr>
          <w:lang w:eastAsia="zh-CN"/>
        </w:rPr>
        <w:t xml:space="preserve"> </w:t>
      </w:r>
    </w:p>
    <w:p w14:paraId="6E673B21" w14:textId="5B9858C6" w:rsidR="005F0F2D" w:rsidRPr="00E12183" w:rsidRDefault="005F0F2D" w:rsidP="005F0F2D">
      <w:pPr>
        <w:spacing w:before="120"/>
        <w:rPr>
          <w:lang w:eastAsia="zh-CN"/>
        </w:rPr>
      </w:pPr>
      <w:r w:rsidRPr="00E12183">
        <w:rPr>
          <w:lang w:eastAsia="zh-CN"/>
        </w:rPr>
        <w:t>Employers were asked to offer an overall assessment of their level of satisfaction with the APTC training program. Nine-out-of-</w:t>
      </w:r>
      <w:r w:rsidR="004814A9">
        <w:rPr>
          <w:lang w:eastAsia="zh-CN"/>
        </w:rPr>
        <w:t>10</w:t>
      </w:r>
      <w:r w:rsidR="004814A9" w:rsidRPr="00E12183">
        <w:rPr>
          <w:lang w:eastAsia="zh-CN"/>
        </w:rPr>
        <w:t xml:space="preserve"> </w:t>
      </w:r>
      <w:r w:rsidRPr="00E12183">
        <w:rPr>
          <w:lang w:eastAsia="zh-CN"/>
        </w:rPr>
        <w:t xml:space="preserve">employers (89 per cent) were satisfied or very satisfied with the APTC training program. </w:t>
      </w:r>
      <w:r w:rsidR="004814A9">
        <w:rPr>
          <w:lang w:eastAsia="zh-CN"/>
        </w:rPr>
        <w:t>Non-government organisations (</w:t>
      </w:r>
      <w:r w:rsidRPr="00E12183">
        <w:rPr>
          <w:lang w:eastAsia="zh-CN"/>
        </w:rPr>
        <w:t>NGOs</w:t>
      </w:r>
      <w:r w:rsidR="004814A9">
        <w:rPr>
          <w:lang w:eastAsia="zh-CN"/>
        </w:rPr>
        <w:t>)</w:t>
      </w:r>
      <w:r w:rsidRPr="00E12183">
        <w:rPr>
          <w:lang w:eastAsia="zh-CN"/>
        </w:rPr>
        <w:t xml:space="preserve"> were more likely to be very satisfied (55 per cent), followed by the private sector (</w:t>
      </w:r>
      <w:r w:rsidR="00275416" w:rsidRPr="00E12183">
        <w:rPr>
          <w:lang w:eastAsia="zh-CN"/>
        </w:rPr>
        <w:t>43</w:t>
      </w:r>
      <w:r w:rsidR="00275416">
        <w:rPr>
          <w:lang w:eastAsia="zh-CN"/>
        </w:rPr>
        <w:t> </w:t>
      </w:r>
      <w:r w:rsidRPr="00E12183">
        <w:rPr>
          <w:lang w:eastAsia="zh-CN"/>
        </w:rPr>
        <w:t xml:space="preserve">per cent) and the public sector (39 per cent). </w:t>
      </w:r>
    </w:p>
    <w:p w14:paraId="0954647E" w14:textId="77777777" w:rsidR="005F0F2D" w:rsidRPr="00E12183" w:rsidRDefault="005F0F2D" w:rsidP="00257E91">
      <w:pPr>
        <w:pStyle w:val="Heading4"/>
        <w:rPr>
          <w:lang w:eastAsia="zh-CN"/>
        </w:rPr>
      </w:pPr>
      <w:r w:rsidRPr="00E12183">
        <w:rPr>
          <w:lang w:eastAsia="zh-CN"/>
        </w:rPr>
        <w:t>In relation to technical competencies</w:t>
      </w:r>
    </w:p>
    <w:p w14:paraId="059FE0DC" w14:textId="67A60CBB" w:rsidR="005F0F2D" w:rsidRPr="00E12183" w:rsidRDefault="005F0F2D" w:rsidP="005F0F2D">
      <w:pPr>
        <w:spacing w:before="120"/>
        <w:rPr>
          <w:lang w:eastAsia="zh-CN"/>
        </w:rPr>
      </w:pPr>
      <w:r w:rsidRPr="00E12183">
        <w:rPr>
          <w:lang w:eastAsia="zh-CN"/>
        </w:rPr>
        <w:t>Nine-out-of-</w:t>
      </w:r>
      <w:r w:rsidR="005773E8">
        <w:rPr>
          <w:lang w:eastAsia="zh-CN"/>
        </w:rPr>
        <w:t>ten</w:t>
      </w:r>
      <w:r w:rsidR="008E092C" w:rsidRPr="00E12183">
        <w:rPr>
          <w:lang w:eastAsia="zh-CN"/>
        </w:rPr>
        <w:t xml:space="preserve"> </w:t>
      </w:r>
      <w:r w:rsidRPr="00E12183">
        <w:rPr>
          <w:lang w:eastAsia="zh-CN"/>
        </w:rPr>
        <w:t xml:space="preserve">or more employers surveyed in 2012 and 2013 agree that their APTC graduates perform well in the workplace. In particular, they agree that they are able to use relevant skills </w:t>
      </w:r>
      <w:r w:rsidR="008E092C">
        <w:rPr>
          <w:lang w:eastAsia="zh-CN"/>
        </w:rPr>
        <w:t>and</w:t>
      </w:r>
      <w:r w:rsidR="008E092C" w:rsidRPr="00E12183">
        <w:rPr>
          <w:lang w:eastAsia="zh-CN"/>
        </w:rPr>
        <w:t xml:space="preserve"> </w:t>
      </w:r>
      <w:r w:rsidRPr="00E12183">
        <w:rPr>
          <w:lang w:eastAsia="zh-CN"/>
        </w:rPr>
        <w:t>technology, have a working knowledge of their industry, and understand relevant technical words. Employers also agree that APTC graduates work effectively with minimal supervision, are able to take on increase</w:t>
      </w:r>
      <w:r w:rsidR="008E092C">
        <w:rPr>
          <w:lang w:eastAsia="zh-CN"/>
        </w:rPr>
        <w:t>d</w:t>
      </w:r>
      <w:r w:rsidRPr="00E12183">
        <w:rPr>
          <w:lang w:eastAsia="zh-CN"/>
        </w:rPr>
        <w:t xml:space="preserve"> responsibility, solve common work-related problems and can communicate effectively with their supervisor</w:t>
      </w:r>
      <w:r w:rsidR="00CC7DBA">
        <w:rPr>
          <w:lang w:eastAsia="zh-CN"/>
        </w:rPr>
        <w:t>s</w:t>
      </w:r>
      <w:r w:rsidRPr="00E12183">
        <w:rPr>
          <w:lang w:eastAsia="zh-CN"/>
        </w:rPr>
        <w:t xml:space="preserve">, co-workers and clients/customers. Over a third of employers strongly agreed with each statement in relation to nearly all of the above aspects of work performance, </w:t>
      </w:r>
    </w:p>
    <w:p w14:paraId="23598107" w14:textId="08E9D32D" w:rsidR="00977D44" w:rsidRDefault="005F0F2D" w:rsidP="00DF7C96">
      <w:pPr>
        <w:spacing w:before="120"/>
        <w:rPr>
          <w:rFonts w:cs="Cambria"/>
          <w:b/>
          <w:bCs/>
          <w:iCs/>
          <w:color w:val="76923C"/>
          <w:sz w:val="20"/>
          <w:szCs w:val="28"/>
          <w:lang w:eastAsia="zh-CN"/>
        </w:rPr>
      </w:pPr>
      <w:r w:rsidRPr="00E12183">
        <w:rPr>
          <w:lang w:eastAsia="zh-CN"/>
        </w:rPr>
        <w:t xml:space="preserve">Four-out-of-five employers who completed the review team’s questions in 2014 agree that the APTC graduates they employ perform well on the job in terms of technical competencies compared </w:t>
      </w:r>
      <w:r w:rsidR="00AE0293">
        <w:rPr>
          <w:lang w:eastAsia="zh-CN"/>
        </w:rPr>
        <w:t xml:space="preserve">to </w:t>
      </w:r>
      <w:r w:rsidRPr="00E12183">
        <w:rPr>
          <w:lang w:eastAsia="zh-CN"/>
        </w:rPr>
        <w:t xml:space="preserve">other workers at the same level, with two-in-five employers agreeing strongly that this is the case. </w:t>
      </w:r>
    </w:p>
    <w:p w14:paraId="57889C5E" w14:textId="7D4035B6" w:rsidR="005F0F2D" w:rsidRPr="00E12183" w:rsidRDefault="005F0F2D" w:rsidP="00257E91">
      <w:pPr>
        <w:pStyle w:val="Heading4"/>
        <w:rPr>
          <w:lang w:eastAsia="zh-CN"/>
        </w:rPr>
      </w:pPr>
      <w:r w:rsidRPr="00E12183">
        <w:rPr>
          <w:lang w:eastAsia="zh-CN"/>
        </w:rPr>
        <w:t>In relation to good work habits</w:t>
      </w:r>
    </w:p>
    <w:p w14:paraId="2EE3B324" w14:textId="6CB374A0" w:rsidR="005F0F2D" w:rsidRPr="00E12183" w:rsidRDefault="005F0F2D" w:rsidP="005F0F2D">
      <w:pPr>
        <w:spacing w:before="120"/>
        <w:rPr>
          <w:lang w:eastAsia="zh-CN"/>
        </w:rPr>
      </w:pPr>
      <w:r w:rsidRPr="00E12183">
        <w:rPr>
          <w:lang w:eastAsia="zh-CN"/>
        </w:rPr>
        <w:t xml:space="preserve">Employers were also asked to assess the degree of change in their employee's attitude and work ethic since completing APTC training compared with before the course. They were asked to do so in relation to two statements: ‘Graduates are motivated and show initiative’ and ‘Graduates display an appropriate attitude </w:t>
      </w:r>
      <w:r w:rsidR="00761BA3">
        <w:rPr>
          <w:lang w:eastAsia="zh-CN"/>
        </w:rPr>
        <w:t>and</w:t>
      </w:r>
      <w:r w:rsidR="00761BA3" w:rsidRPr="00E12183">
        <w:rPr>
          <w:lang w:eastAsia="zh-CN"/>
        </w:rPr>
        <w:t xml:space="preserve"> </w:t>
      </w:r>
      <w:r w:rsidRPr="00E12183">
        <w:rPr>
          <w:lang w:eastAsia="zh-CN"/>
        </w:rPr>
        <w:t>ability to work, are reliable and professional’. In relation to both statements, over nine-</w:t>
      </w:r>
      <w:r w:rsidR="00761BA3">
        <w:rPr>
          <w:lang w:eastAsia="zh-CN"/>
        </w:rPr>
        <w:t>in-</w:t>
      </w:r>
      <w:r w:rsidR="005773E8">
        <w:rPr>
          <w:lang w:eastAsia="zh-CN"/>
        </w:rPr>
        <w:t>ten</w:t>
      </w:r>
      <w:r w:rsidR="00761BA3" w:rsidRPr="00E12183">
        <w:rPr>
          <w:lang w:eastAsia="zh-CN"/>
        </w:rPr>
        <w:t xml:space="preserve"> </w:t>
      </w:r>
      <w:r w:rsidRPr="00E12183">
        <w:rPr>
          <w:lang w:eastAsia="zh-CN"/>
        </w:rPr>
        <w:t>employers said their employees had improved after their APTC training, with three-</w:t>
      </w:r>
      <w:r w:rsidR="00761BA3">
        <w:rPr>
          <w:lang w:eastAsia="zh-CN"/>
        </w:rPr>
        <w:t>in-</w:t>
      </w:r>
      <w:r w:rsidR="005773E8">
        <w:rPr>
          <w:lang w:eastAsia="zh-CN"/>
        </w:rPr>
        <w:t>ten</w:t>
      </w:r>
      <w:r w:rsidRPr="00E12183">
        <w:rPr>
          <w:lang w:eastAsia="zh-CN"/>
        </w:rPr>
        <w:t xml:space="preserve"> saying their employees had significantly improved. </w:t>
      </w:r>
    </w:p>
    <w:p w14:paraId="705C429E" w14:textId="538E8F54" w:rsidR="005F0F2D" w:rsidRPr="00E12183" w:rsidRDefault="005F0F2D" w:rsidP="005F0F2D">
      <w:pPr>
        <w:pStyle w:val="Heading3"/>
        <w:rPr>
          <w:lang w:eastAsia="zh-CN"/>
        </w:rPr>
      </w:pPr>
      <w:bookmarkStart w:id="76" w:name="_Toc278710548"/>
      <w:r w:rsidRPr="00E12183">
        <w:rPr>
          <w:lang w:eastAsia="zh-CN"/>
        </w:rPr>
        <w:t xml:space="preserve">APTC graduate training of co-workers and introduction of </w:t>
      </w:r>
      <w:r w:rsidR="00CA1D7C" w:rsidRPr="00E12183">
        <w:rPr>
          <w:lang w:eastAsia="zh-CN"/>
        </w:rPr>
        <w:t>new</w:t>
      </w:r>
      <w:r w:rsidR="00CA1D7C">
        <w:rPr>
          <w:lang w:eastAsia="zh-CN"/>
        </w:rPr>
        <w:t> </w:t>
      </w:r>
      <w:r w:rsidRPr="00E12183">
        <w:rPr>
          <w:lang w:eastAsia="zh-CN"/>
        </w:rPr>
        <w:t>technologies</w:t>
      </w:r>
      <w:bookmarkEnd w:id="76"/>
    </w:p>
    <w:p w14:paraId="1E749FBC" w14:textId="3B8E006E" w:rsidR="005F0F2D" w:rsidRPr="00E12183" w:rsidRDefault="005F0F2D" w:rsidP="005F0F2D">
      <w:pPr>
        <w:spacing w:before="120"/>
        <w:rPr>
          <w:lang w:eastAsia="zh-CN"/>
        </w:rPr>
      </w:pPr>
      <w:r w:rsidRPr="00E12183">
        <w:rPr>
          <w:lang w:eastAsia="zh-CN"/>
        </w:rPr>
        <w:t>Nine-out-of-</w:t>
      </w:r>
      <w:r w:rsidR="005773E8">
        <w:rPr>
          <w:lang w:eastAsia="zh-CN"/>
        </w:rPr>
        <w:t>ten</w:t>
      </w:r>
      <w:r w:rsidR="000C0967" w:rsidRPr="00E12183">
        <w:rPr>
          <w:lang w:eastAsia="zh-CN"/>
        </w:rPr>
        <w:t xml:space="preserve"> </w:t>
      </w:r>
      <w:r w:rsidRPr="00E12183">
        <w:rPr>
          <w:lang w:eastAsia="zh-CN"/>
        </w:rPr>
        <w:t xml:space="preserve">employers (89 per cent) surveyed said that their APTC graduates, since completing their training, had improved the work standards/productivity of other workers in </w:t>
      </w:r>
      <w:r w:rsidR="000C0967">
        <w:rPr>
          <w:lang w:eastAsia="zh-CN"/>
        </w:rPr>
        <w:t>thei</w:t>
      </w:r>
      <w:r w:rsidR="000C0967" w:rsidRPr="00E12183">
        <w:rPr>
          <w:lang w:eastAsia="zh-CN"/>
        </w:rPr>
        <w:t xml:space="preserve">r </w:t>
      </w:r>
      <w:r w:rsidRPr="00E12183">
        <w:rPr>
          <w:lang w:eastAsia="zh-CN"/>
        </w:rPr>
        <w:t xml:space="preserve">company. Only </w:t>
      </w:r>
      <w:r w:rsidR="000C0967">
        <w:rPr>
          <w:lang w:eastAsia="zh-CN"/>
        </w:rPr>
        <w:t>eight</w:t>
      </w:r>
      <w:r w:rsidR="000C0967" w:rsidRPr="00E12183">
        <w:rPr>
          <w:lang w:eastAsia="zh-CN"/>
        </w:rPr>
        <w:t xml:space="preserve"> </w:t>
      </w:r>
      <w:r w:rsidRPr="00E12183">
        <w:rPr>
          <w:lang w:eastAsia="zh-CN"/>
        </w:rPr>
        <w:t xml:space="preserve">per cent said they had not and </w:t>
      </w:r>
      <w:r w:rsidR="000C0967">
        <w:rPr>
          <w:lang w:eastAsia="zh-CN"/>
        </w:rPr>
        <w:t>three</w:t>
      </w:r>
      <w:r w:rsidR="000C0967" w:rsidRPr="00E12183">
        <w:rPr>
          <w:lang w:eastAsia="zh-CN"/>
        </w:rPr>
        <w:t xml:space="preserve"> </w:t>
      </w:r>
      <w:r w:rsidRPr="00E12183">
        <w:rPr>
          <w:lang w:eastAsia="zh-CN"/>
        </w:rPr>
        <w:t xml:space="preserve">per cent did not answer. This finding is confirmed by the employers who responded to the review’s questions. Although this was only asked of some employers, their responses showed high agreement with the statement that APTC graduates have helped to train their </w:t>
      </w:r>
      <w:r w:rsidR="000C0967">
        <w:rPr>
          <w:lang w:eastAsia="zh-CN"/>
        </w:rPr>
        <w:br/>
      </w:r>
      <w:r w:rsidRPr="00E12183">
        <w:rPr>
          <w:lang w:eastAsia="zh-CN"/>
        </w:rPr>
        <w:t>co-workers to work better.</w:t>
      </w:r>
    </w:p>
    <w:p w14:paraId="7B20BE58" w14:textId="0623B4AF" w:rsidR="005F0F2D" w:rsidRPr="009C76A7" w:rsidRDefault="005F0F2D" w:rsidP="005F0F2D">
      <w:pPr>
        <w:pStyle w:val="Heading2"/>
        <w:rPr>
          <w:lang w:eastAsia="zh-CN"/>
        </w:rPr>
      </w:pPr>
      <w:bookmarkStart w:id="77" w:name="_Toc278710549"/>
      <w:r w:rsidRPr="005F0F2D">
        <w:t xml:space="preserve">APTC graduate productivity compared with others with </w:t>
      </w:r>
      <w:r w:rsidR="000C0967">
        <w:br/>
        <w:t xml:space="preserve">the </w:t>
      </w:r>
      <w:r w:rsidRPr="005F0F2D">
        <w:t>same</w:t>
      </w:r>
      <w:r w:rsidRPr="00E12183">
        <w:rPr>
          <w:rFonts w:ascii="Arial Bold" w:hAnsi="Arial Bold"/>
          <w:lang w:eastAsia="zh-CN"/>
        </w:rPr>
        <w:t xml:space="preserve"> </w:t>
      </w:r>
      <w:r w:rsidR="00E268FC" w:rsidRPr="009C76A7">
        <w:rPr>
          <w:lang w:eastAsia="zh-CN"/>
        </w:rPr>
        <w:t>qualifications</w:t>
      </w:r>
      <w:bookmarkEnd w:id="77"/>
    </w:p>
    <w:p w14:paraId="32332803" w14:textId="78A4EA1F" w:rsidR="005F0F2D" w:rsidRPr="00E12183" w:rsidRDefault="005F0F2D" w:rsidP="005F0F2D">
      <w:pPr>
        <w:spacing w:before="120"/>
        <w:rPr>
          <w:lang w:eastAsia="zh-CN"/>
        </w:rPr>
      </w:pPr>
      <w:r w:rsidRPr="00E12183">
        <w:rPr>
          <w:lang w:eastAsia="zh-CN"/>
        </w:rPr>
        <w:t xml:space="preserve">Most employers have recognised in some way the greater productivity of their APTC graduates. Over three-in-four employers (77 per cent) said that they had promoted their APTC graduates or given them greater responsibilities since returning from study, one-in-five (19 per cent) said they did not and </w:t>
      </w:r>
      <w:r w:rsidR="00B01904">
        <w:rPr>
          <w:lang w:eastAsia="zh-CN"/>
        </w:rPr>
        <w:t>four</w:t>
      </w:r>
      <w:r w:rsidR="00B01904" w:rsidRPr="00E12183">
        <w:rPr>
          <w:lang w:eastAsia="zh-CN"/>
        </w:rPr>
        <w:t xml:space="preserve"> </w:t>
      </w:r>
      <w:r w:rsidRPr="00E12183">
        <w:rPr>
          <w:lang w:eastAsia="zh-CN"/>
        </w:rPr>
        <w:t>per cent did not answer.</w:t>
      </w:r>
    </w:p>
    <w:p w14:paraId="6F92C03F" w14:textId="0BCC39C8" w:rsidR="005F0F2D" w:rsidRPr="00E12183" w:rsidRDefault="005F0F2D" w:rsidP="005F0F2D">
      <w:pPr>
        <w:spacing w:before="120"/>
        <w:rPr>
          <w:lang w:eastAsia="zh-CN"/>
        </w:rPr>
      </w:pPr>
      <w:r w:rsidRPr="00E12183">
        <w:rPr>
          <w:lang w:eastAsia="zh-CN"/>
        </w:rPr>
        <w:t>A key question for the evaluation is to assess the nature and extent of the impact that APTC training has had on enterprise productivity. Employers were asked: ‘What impact has APTC training had on the productivity or overall performance of your business?’ Nine-out-of-</w:t>
      </w:r>
      <w:r w:rsidR="00A901CF">
        <w:rPr>
          <w:lang w:eastAsia="zh-CN"/>
        </w:rPr>
        <w:t>10</w:t>
      </w:r>
      <w:r w:rsidR="00A901CF" w:rsidRPr="00E12183">
        <w:rPr>
          <w:lang w:eastAsia="zh-CN"/>
        </w:rPr>
        <w:t xml:space="preserve"> </w:t>
      </w:r>
      <w:r w:rsidRPr="00E12183">
        <w:rPr>
          <w:lang w:eastAsia="zh-CN"/>
        </w:rPr>
        <w:t xml:space="preserve">responding </w:t>
      </w:r>
      <w:r w:rsidR="00A901CF">
        <w:rPr>
          <w:lang w:eastAsia="zh-CN"/>
        </w:rPr>
        <w:t>employer</w:t>
      </w:r>
      <w:r w:rsidR="00A901CF" w:rsidRPr="00E12183">
        <w:rPr>
          <w:lang w:eastAsia="zh-CN"/>
        </w:rPr>
        <w:t xml:space="preserve">s </w:t>
      </w:r>
      <w:r w:rsidRPr="00E12183">
        <w:rPr>
          <w:lang w:eastAsia="zh-CN"/>
        </w:rPr>
        <w:t>said the impact was positive</w:t>
      </w:r>
      <w:r w:rsidR="00A901CF">
        <w:rPr>
          <w:lang w:eastAsia="zh-CN"/>
        </w:rPr>
        <w:t>.</w:t>
      </w:r>
      <w:r w:rsidRPr="00E12183">
        <w:rPr>
          <w:lang w:eastAsia="zh-CN"/>
        </w:rPr>
        <w:t xml:space="preserve"> </w:t>
      </w:r>
      <w:r w:rsidR="00A901CF">
        <w:rPr>
          <w:lang w:eastAsia="zh-CN"/>
        </w:rPr>
        <w:t>Six</w:t>
      </w:r>
      <w:r w:rsidR="00A901CF" w:rsidRPr="00E12183">
        <w:rPr>
          <w:lang w:eastAsia="zh-CN"/>
        </w:rPr>
        <w:t xml:space="preserve"> </w:t>
      </w:r>
      <w:r w:rsidRPr="00E12183">
        <w:rPr>
          <w:lang w:eastAsia="zh-CN"/>
        </w:rPr>
        <w:t xml:space="preserve">per cent </w:t>
      </w:r>
      <w:r w:rsidR="00A901CF" w:rsidRPr="00E12183">
        <w:rPr>
          <w:lang w:eastAsia="zh-CN"/>
        </w:rPr>
        <w:t>sa</w:t>
      </w:r>
      <w:r w:rsidR="00A901CF">
        <w:rPr>
          <w:lang w:eastAsia="zh-CN"/>
        </w:rPr>
        <w:t>id</w:t>
      </w:r>
      <w:r w:rsidR="00A901CF" w:rsidRPr="00E12183">
        <w:rPr>
          <w:lang w:eastAsia="zh-CN"/>
        </w:rPr>
        <w:t xml:space="preserve"> </w:t>
      </w:r>
      <w:r w:rsidRPr="00E12183">
        <w:rPr>
          <w:lang w:eastAsia="zh-CN"/>
        </w:rPr>
        <w:t xml:space="preserve">there had been no impact and </w:t>
      </w:r>
      <w:r w:rsidR="00A901CF">
        <w:rPr>
          <w:lang w:eastAsia="zh-CN"/>
        </w:rPr>
        <w:t>one</w:t>
      </w:r>
      <w:r w:rsidR="00A901CF" w:rsidRPr="00E12183">
        <w:rPr>
          <w:lang w:eastAsia="zh-CN"/>
        </w:rPr>
        <w:t xml:space="preserve"> </w:t>
      </w:r>
      <w:r w:rsidRPr="00E12183">
        <w:rPr>
          <w:lang w:eastAsia="zh-CN"/>
        </w:rPr>
        <w:t>per cent said the impact was negative.</w:t>
      </w:r>
    </w:p>
    <w:p w14:paraId="6BE623D3" w14:textId="5D887E0B" w:rsidR="005F0F2D" w:rsidRPr="00E12183" w:rsidRDefault="005F0F2D" w:rsidP="005F0F2D">
      <w:pPr>
        <w:spacing w:before="120"/>
        <w:rPr>
          <w:lang w:eastAsia="zh-CN"/>
        </w:rPr>
      </w:pPr>
      <w:r w:rsidRPr="00E12183">
        <w:rPr>
          <w:lang w:eastAsia="zh-CN"/>
        </w:rPr>
        <w:t xml:space="preserve">It is possible to estimate how many </w:t>
      </w:r>
      <w:r w:rsidR="00345266">
        <w:rPr>
          <w:lang w:eastAsia="zh-CN"/>
        </w:rPr>
        <w:t>employers</w:t>
      </w:r>
      <w:r w:rsidR="00345266" w:rsidRPr="00E12183">
        <w:rPr>
          <w:lang w:eastAsia="zh-CN"/>
        </w:rPr>
        <w:t xml:space="preserve"> </w:t>
      </w:r>
      <w:r w:rsidRPr="00E12183">
        <w:rPr>
          <w:lang w:eastAsia="zh-CN"/>
        </w:rPr>
        <w:t xml:space="preserve">have experienced a </w:t>
      </w:r>
      <w:r w:rsidRPr="00E12183">
        <w:rPr>
          <w:i/>
          <w:lang w:eastAsia="zh-CN"/>
        </w:rPr>
        <w:t>major</w:t>
      </w:r>
      <w:r w:rsidRPr="00E12183">
        <w:rPr>
          <w:lang w:eastAsia="zh-CN"/>
        </w:rPr>
        <w:t xml:space="preserve"> positive impact from APTC training. One way is to compare the </w:t>
      </w:r>
      <w:r w:rsidR="00345266">
        <w:rPr>
          <w:lang w:eastAsia="zh-CN"/>
        </w:rPr>
        <w:t>employer</w:t>
      </w:r>
      <w:r w:rsidR="00345266" w:rsidRPr="00E12183">
        <w:rPr>
          <w:lang w:eastAsia="zh-CN"/>
        </w:rPr>
        <w:t xml:space="preserve">s </w:t>
      </w:r>
      <w:r w:rsidRPr="00E12183">
        <w:rPr>
          <w:lang w:eastAsia="zh-CN"/>
        </w:rPr>
        <w:t xml:space="preserve">stating a positive impact with those that gave strongly agreed responses to a series of statements about the work performance of their APTC graduates. An average of a third of all employers surveyed both stated a positive impact from APTC training and strongly agreed with eight statements about the benefits of improved work performance of their APTC graduates. </w:t>
      </w:r>
    </w:p>
    <w:p w14:paraId="1675E3C3" w14:textId="69BB5673" w:rsidR="009D7C94" w:rsidRDefault="005F0F2D" w:rsidP="00DF7C96">
      <w:pPr>
        <w:spacing w:before="120"/>
        <w:rPr>
          <w:rFonts w:cs="Arial"/>
          <w:b/>
          <w:bCs/>
          <w:color w:val="76923C"/>
          <w:sz w:val="24"/>
          <w:szCs w:val="28"/>
          <w:lang w:eastAsia="zh-CN"/>
        </w:rPr>
      </w:pPr>
      <w:r w:rsidRPr="00E12183">
        <w:rPr>
          <w:lang w:eastAsia="zh-CN"/>
        </w:rPr>
        <w:t xml:space="preserve">However, few </w:t>
      </w:r>
      <w:r w:rsidR="00345266">
        <w:rPr>
          <w:lang w:eastAsia="zh-CN"/>
        </w:rPr>
        <w:t>employer</w:t>
      </w:r>
      <w:r w:rsidR="00345266" w:rsidRPr="00E12183">
        <w:rPr>
          <w:lang w:eastAsia="zh-CN"/>
        </w:rPr>
        <w:t xml:space="preserve">s </w:t>
      </w:r>
      <w:r w:rsidRPr="00E12183">
        <w:rPr>
          <w:lang w:eastAsia="zh-CN"/>
        </w:rPr>
        <w:t xml:space="preserve">said </w:t>
      </w:r>
      <w:r w:rsidR="00345266">
        <w:rPr>
          <w:lang w:eastAsia="zh-CN"/>
        </w:rPr>
        <w:t xml:space="preserve">that </w:t>
      </w:r>
      <w:r w:rsidRPr="00E12183">
        <w:rPr>
          <w:lang w:eastAsia="zh-CN"/>
        </w:rPr>
        <w:t xml:space="preserve">having </w:t>
      </w:r>
      <w:r w:rsidR="00345266">
        <w:rPr>
          <w:lang w:eastAsia="zh-CN"/>
        </w:rPr>
        <w:t>APTC-</w:t>
      </w:r>
      <w:r w:rsidRPr="00E12183">
        <w:rPr>
          <w:lang w:eastAsia="zh-CN"/>
        </w:rPr>
        <w:t xml:space="preserve">trained </w:t>
      </w:r>
      <w:r w:rsidR="00345266">
        <w:rPr>
          <w:lang w:eastAsia="zh-CN"/>
        </w:rPr>
        <w:t>staff</w:t>
      </w:r>
      <w:r w:rsidRPr="00E12183">
        <w:rPr>
          <w:lang w:eastAsia="zh-CN"/>
        </w:rPr>
        <w:t xml:space="preserve"> had helped them to expand their business. Only one-in-twenty (5 per cent) of private sector businesses surveyed said the impact of APTC training had enabled them to expand their business or to reduce costs by performing work in-house. Nearly all respondents (93 per cent) said they would employ another APTC graduate or work placement student. However, only one-in-five </w:t>
      </w:r>
      <w:r w:rsidR="00345266">
        <w:rPr>
          <w:lang w:eastAsia="zh-CN"/>
        </w:rPr>
        <w:t>employers</w:t>
      </w:r>
      <w:r w:rsidR="00345266" w:rsidRPr="00E12183">
        <w:rPr>
          <w:lang w:eastAsia="zh-CN"/>
        </w:rPr>
        <w:t xml:space="preserve"> </w:t>
      </w:r>
      <w:r w:rsidRPr="00E12183">
        <w:rPr>
          <w:lang w:eastAsia="zh-CN"/>
        </w:rPr>
        <w:t xml:space="preserve">(19 per cent) gave as their reason the need for more skilled people to increase profits or to meet customer demand. These responses suggest that only a minority of employers surveyed are in a situation where they can use their APTC graduates to expand their business. </w:t>
      </w:r>
    </w:p>
    <w:p w14:paraId="544E9C1A" w14:textId="6D6D8912" w:rsidR="005F0F2D" w:rsidRPr="00E12183" w:rsidRDefault="005F0F2D" w:rsidP="00DF57A8">
      <w:pPr>
        <w:pStyle w:val="Heading2"/>
        <w:rPr>
          <w:lang w:eastAsia="zh-CN"/>
        </w:rPr>
      </w:pPr>
      <w:bookmarkStart w:id="78" w:name="_Toc278710550"/>
      <w:r w:rsidRPr="00E12183">
        <w:rPr>
          <w:lang w:eastAsia="zh-CN"/>
        </w:rPr>
        <w:t>Value of APTC graduates</w:t>
      </w:r>
      <w:r w:rsidR="009D7C94">
        <w:rPr>
          <w:lang w:eastAsia="zh-CN"/>
        </w:rPr>
        <w:t xml:space="preserve"> </w:t>
      </w:r>
      <w:r w:rsidR="009D7C94" w:rsidRPr="00E12183">
        <w:rPr>
          <w:lang w:eastAsia="zh-CN"/>
        </w:rPr>
        <w:t>to employers</w:t>
      </w:r>
      <w:bookmarkEnd w:id="78"/>
    </w:p>
    <w:p w14:paraId="66C768E2" w14:textId="732E8565" w:rsidR="005F0F2D" w:rsidRPr="00E12183" w:rsidRDefault="005F0F2D" w:rsidP="005F0F2D">
      <w:pPr>
        <w:spacing w:before="120"/>
        <w:rPr>
          <w:lang w:eastAsia="zh-CN"/>
        </w:rPr>
      </w:pPr>
      <w:r w:rsidRPr="00E12183">
        <w:rPr>
          <w:lang w:eastAsia="zh-CN"/>
        </w:rPr>
        <w:t xml:space="preserve">The economies of </w:t>
      </w:r>
      <w:r w:rsidR="008D63DB">
        <w:rPr>
          <w:lang w:eastAsia="zh-CN"/>
        </w:rPr>
        <w:t xml:space="preserve">the </w:t>
      </w:r>
      <w:r w:rsidRPr="00E12183">
        <w:rPr>
          <w:lang w:eastAsia="zh-CN"/>
        </w:rPr>
        <w:t xml:space="preserve">Pacific countries served by APTC vary from </w:t>
      </w:r>
      <w:r w:rsidR="008D63DB">
        <w:rPr>
          <w:lang w:eastAsia="zh-CN"/>
        </w:rPr>
        <w:t>a</w:t>
      </w:r>
      <w:r w:rsidRPr="00E12183">
        <w:rPr>
          <w:lang w:eastAsia="zh-CN"/>
        </w:rPr>
        <w:t xml:space="preserve"> very small size with </w:t>
      </w:r>
      <w:r w:rsidR="008D63DB">
        <w:rPr>
          <w:lang w:eastAsia="zh-CN"/>
        </w:rPr>
        <w:t xml:space="preserve">an </w:t>
      </w:r>
      <w:r w:rsidRPr="00E12183">
        <w:rPr>
          <w:lang w:eastAsia="zh-CN"/>
        </w:rPr>
        <w:t xml:space="preserve">insignificant private sector and low growth prospects, </w:t>
      </w:r>
      <w:r w:rsidR="00582D86">
        <w:rPr>
          <w:lang w:eastAsia="zh-CN"/>
        </w:rPr>
        <w:t>to</w:t>
      </w:r>
      <w:r w:rsidR="00582D86" w:rsidRPr="00E12183">
        <w:rPr>
          <w:lang w:eastAsia="zh-CN"/>
        </w:rPr>
        <w:t xml:space="preserve"> </w:t>
      </w:r>
      <w:r w:rsidRPr="00E12183">
        <w:rPr>
          <w:lang w:eastAsia="zh-CN"/>
        </w:rPr>
        <w:t>economies with significant sectors in tourism and other services</w:t>
      </w:r>
      <w:r w:rsidR="00582D86">
        <w:rPr>
          <w:lang w:eastAsia="zh-CN"/>
        </w:rPr>
        <w:t>,</w:t>
      </w:r>
      <w:r w:rsidRPr="00E12183">
        <w:rPr>
          <w:lang w:eastAsia="zh-CN"/>
        </w:rPr>
        <w:t xml:space="preserve"> to larger, more diversified economies, driven by an expanding resources sector. One of APTC</w:t>
      </w:r>
      <w:r w:rsidR="0012730B">
        <w:rPr>
          <w:lang w:eastAsia="zh-CN"/>
        </w:rPr>
        <w:t>’s</w:t>
      </w:r>
      <w:r w:rsidRPr="00E12183">
        <w:rPr>
          <w:lang w:eastAsia="zh-CN"/>
        </w:rPr>
        <w:t xml:space="preserve"> objectives is to increase the productivity of individuals and organisations in targeted industries and sectors. </w:t>
      </w:r>
    </w:p>
    <w:p w14:paraId="0B0FA555" w14:textId="390C4019" w:rsidR="005F0F2D" w:rsidRPr="00E12183" w:rsidRDefault="005F0F2D" w:rsidP="005F0F2D">
      <w:pPr>
        <w:spacing w:before="120"/>
        <w:rPr>
          <w:lang w:eastAsia="zh-CN"/>
        </w:rPr>
      </w:pPr>
      <w:r w:rsidRPr="00E12183">
        <w:rPr>
          <w:lang w:eastAsia="zh-CN"/>
        </w:rPr>
        <w:t xml:space="preserve">The </w:t>
      </w:r>
      <w:r w:rsidR="00582D86">
        <w:rPr>
          <w:lang w:eastAsia="zh-CN"/>
        </w:rPr>
        <w:t>survey</w:t>
      </w:r>
      <w:r w:rsidR="00582D86" w:rsidRPr="00E12183">
        <w:rPr>
          <w:lang w:eastAsia="zh-CN"/>
        </w:rPr>
        <w:t xml:space="preserve"> </w:t>
      </w:r>
      <w:r w:rsidRPr="00E12183">
        <w:rPr>
          <w:lang w:eastAsia="zh-CN"/>
        </w:rPr>
        <w:t xml:space="preserve">responses of employers suggest that APTC’s standardised output does not fit the needs of all </w:t>
      </w:r>
      <w:r w:rsidR="00B52B14">
        <w:rPr>
          <w:lang w:eastAsia="zh-CN"/>
        </w:rPr>
        <w:t>enterprise</w:t>
      </w:r>
      <w:r w:rsidR="00B52B14" w:rsidRPr="00E12183">
        <w:rPr>
          <w:lang w:eastAsia="zh-CN"/>
        </w:rPr>
        <w:t>s</w:t>
      </w:r>
      <w:r w:rsidRPr="00E12183">
        <w:rPr>
          <w:lang w:eastAsia="zh-CN"/>
        </w:rPr>
        <w:t xml:space="preserve">. Indeed, the very supply-driven design of APTC with its focus on providing full qualifications and not skill sets has subordinated Pacific employers’ needs. The widespread use of scholarships to recruit existing employees gave employers little say in who </w:t>
      </w:r>
      <w:r w:rsidR="00C04B77">
        <w:rPr>
          <w:lang w:eastAsia="zh-CN"/>
        </w:rPr>
        <w:t xml:space="preserve">should be trained, when </w:t>
      </w:r>
      <w:r w:rsidRPr="00E12183">
        <w:rPr>
          <w:lang w:eastAsia="zh-CN"/>
        </w:rPr>
        <w:t>and in what skills they should be trained</w:t>
      </w:r>
      <w:r w:rsidR="00C04B77">
        <w:rPr>
          <w:lang w:eastAsia="zh-CN"/>
        </w:rPr>
        <w:t xml:space="preserve">. </w:t>
      </w:r>
    </w:p>
    <w:p w14:paraId="724671B0" w14:textId="3BFF2A1D" w:rsidR="005F0F2D" w:rsidRPr="00E12183" w:rsidRDefault="005F0F2D" w:rsidP="005F0F2D">
      <w:pPr>
        <w:spacing w:before="120"/>
        <w:rPr>
          <w:lang w:eastAsia="zh-CN"/>
        </w:rPr>
      </w:pPr>
      <w:r w:rsidRPr="00E12183">
        <w:rPr>
          <w:lang w:eastAsia="zh-CN"/>
        </w:rPr>
        <w:t>The evidence presented above suggests that only a minority of employers, ranging from a low of one-in-twenty</w:t>
      </w:r>
      <w:r w:rsidR="00BB5EE0" w:rsidRPr="00E12183">
        <w:rPr>
          <w:lang w:eastAsia="zh-CN"/>
        </w:rPr>
        <w:t xml:space="preserve"> </w:t>
      </w:r>
      <w:r w:rsidRPr="00E12183">
        <w:rPr>
          <w:lang w:eastAsia="zh-CN"/>
        </w:rPr>
        <w:t xml:space="preserve">to a third or more, have gained a significant economic benefit from having employees with Australian qualifications. This issue needs to be investigated more through a carefully designed evaluation strategy, an issue addressed in the proposed evaluation plan in Annex </w:t>
      </w:r>
      <w:r w:rsidR="00BB5EE0">
        <w:rPr>
          <w:lang w:eastAsia="zh-CN"/>
        </w:rPr>
        <w:t>3</w:t>
      </w:r>
      <w:r w:rsidRPr="00E12183">
        <w:rPr>
          <w:lang w:eastAsia="zh-CN"/>
        </w:rPr>
        <w:t xml:space="preserve">. </w:t>
      </w:r>
    </w:p>
    <w:p w14:paraId="1384558A" w14:textId="77777777" w:rsidR="005F0F2D" w:rsidRPr="00E12183" w:rsidRDefault="005F0F2D" w:rsidP="00DF57A8">
      <w:pPr>
        <w:pStyle w:val="Heading2"/>
        <w:rPr>
          <w:lang w:eastAsia="zh-CN"/>
        </w:rPr>
      </w:pPr>
      <w:bookmarkStart w:id="79" w:name="_Toc278710551"/>
      <w:r w:rsidRPr="00E12183">
        <w:rPr>
          <w:lang w:eastAsia="zh-CN"/>
        </w:rPr>
        <w:t>Conclusions</w:t>
      </w:r>
      <w:bookmarkEnd w:id="79"/>
      <w:r w:rsidRPr="00E12183">
        <w:rPr>
          <w:lang w:eastAsia="zh-CN"/>
        </w:rPr>
        <w:t xml:space="preserve"> </w:t>
      </w:r>
    </w:p>
    <w:p w14:paraId="56D2587D" w14:textId="3C27A4A5" w:rsidR="005F0F2D" w:rsidRPr="00E12183" w:rsidRDefault="005F0F2D" w:rsidP="005F0F2D">
      <w:pPr>
        <w:spacing w:before="120"/>
        <w:rPr>
          <w:lang w:eastAsia="zh-CN"/>
        </w:rPr>
      </w:pPr>
      <w:r w:rsidRPr="00E12183">
        <w:rPr>
          <w:lang w:eastAsia="zh-CN"/>
        </w:rPr>
        <w:t>M</w:t>
      </w:r>
      <w:r w:rsidR="00AE0293">
        <w:rPr>
          <w:lang w:eastAsia="zh-CN"/>
        </w:rPr>
        <w:t>ost APTC graduates have benefit</w:t>
      </w:r>
      <w:r w:rsidRPr="00E12183">
        <w:rPr>
          <w:lang w:eastAsia="zh-CN"/>
        </w:rPr>
        <w:t xml:space="preserve">ed from their training in terms of better employment outcomes, wage increases, promotions at work and higher levels of job satisfaction. However, </w:t>
      </w:r>
      <w:r w:rsidR="00396283">
        <w:rPr>
          <w:lang w:eastAsia="zh-CN"/>
        </w:rPr>
        <w:t>some graduates have not benefit</w:t>
      </w:r>
      <w:r w:rsidRPr="00E12183">
        <w:rPr>
          <w:lang w:eastAsia="zh-CN"/>
        </w:rPr>
        <w:t>ed to the same extent. The evidence presented in this chapter shows</w:t>
      </w:r>
      <w:r w:rsidR="00636931">
        <w:rPr>
          <w:lang w:eastAsia="zh-CN"/>
        </w:rPr>
        <w:t xml:space="preserve"> that</w:t>
      </w:r>
      <w:r w:rsidRPr="00E12183">
        <w:rPr>
          <w:lang w:eastAsia="zh-CN"/>
        </w:rPr>
        <w:t xml:space="preserve"> it is possible to identify by qualification and country which graduates are in employment </w:t>
      </w:r>
      <w:r w:rsidR="006C696A">
        <w:rPr>
          <w:lang w:eastAsia="zh-CN"/>
        </w:rPr>
        <w:t xml:space="preserve">that </w:t>
      </w:r>
      <w:r w:rsidRPr="00E12183">
        <w:rPr>
          <w:lang w:eastAsia="zh-CN"/>
        </w:rPr>
        <w:t>matches their skills, or in other work, or unemployed. The range of different graduate employment rates by qualification and country point to the need for APTC to play closer attention to collecting better data to monitor graduate employment rates at these levels. There is also a need for APTC to provide support to improve the employment outcomes of graduates with specific qualifications and</w:t>
      </w:r>
      <w:r w:rsidR="006C696A">
        <w:rPr>
          <w:lang w:eastAsia="zh-CN"/>
        </w:rPr>
        <w:t>,</w:t>
      </w:r>
      <w:r w:rsidRPr="00E12183">
        <w:rPr>
          <w:lang w:eastAsia="zh-CN"/>
        </w:rPr>
        <w:t xml:space="preserve"> in particular</w:t>
      </w:r>
      <w:r w:rsidR="006C696A">
        <w:rPr>
          <w:lang w:eastAsia="zh-CN"/>
        </w:rPr>
        <w:t>,</w:t>
      </w:r>
      <w:r w:rsidRPr="00E12183">
        <w:rPr>
          <w:lang w:eastAsia="zh-CN"/>
        </w:rPr>
        <w:t xml:space="preserve"> country labour markets. </w:t>
      </w:r>
    </w:p>
    <w:p w14:paraId="5E998694" w14:textId="49A38D91" w:rsidR="005F0F2D" w:rsidRPr="00E12183" w:rsidRDefault="005F0F2D" w:rsidP="005F0F2D">
      <w:pPr>
        <w:spacing w:before="120"/>
        <w:rPr>
          <w:lang w:eastAsia="zh-CN"/>
        </w:rPr>
      </w:pPr>
      <w:r w:rsidRPr="00E12183">
        <w:rPr>
          <w:lang w:eastAsia="zh-CN"/>
        </w:rPr>
        <w:t xml:space="preserve">Most employers are satisfied with the performance of APTC and of their APTC graduates. However, it is difficult from the available evidence to gauge the nature of this benefit and its extent. Some indicative evidence suggests that a majority of employers operate under conditions where they have limited scope to reap significant benefits.  </w:t>
      </w:r>
    </w:p>
    <w:p w14:paraId="42CCCD6F" w14:textId="77777777" w:rsidR="005F0F2D" w:rsidRPr="00E12183" w:rsidRDefault="005F0F2D" w:rsidP="005F0F2D">
      <w:pPr>
        <w:rPr>
          <w:lang w:eastAsia="zh-CN"/>
        </w:rPr>
      </w:pPr>
      <w:r w:rsidRPr="00E12183">
        <w:rPr>
          <w:rFonts w:cs="Arial"/>
        </w:rPr>
        <w:t xml:space="preserve">Australian aid funding of TVET in the Pacific places a strong emphasis on responding to the demonstrated demand for skills. However, there is a need to enlist the support of Pacific governments and employers for a demand-led TVET and to provide basic information to support this approach. </w:t>
      </w:r>
      <w:r w:rsidRPr="00E12183">
        <w:rPr>
          <w:lang w:eastAsia="zh-CN"/>
        </w:rPr>
        <w:t xml:space="preserve">DFAT’s demand-led regional TVET strategy, in which APTC should be playing a key role, needs to have as its foundation resources allocated to a simple, low-cost and reliable methodology for identifying the economic demand for skills in each applicable country. </w:t>
      </w:r>
    </w:p>
    <w:p w14:paraId="45F1E3DB" w14:textId="4BFFF420" w:rsidR="001721A4" w:rsidRDefault="005F0F2D" w:rsidP="005F0F2D">
      <w:pPr>
        <w:tabs>
          <w:tab w:val="left" w:pos="0"/>
        </w:tabs>
        <w:spacing w:before="120"/>
      </w:pPr>
      <w:r w:rsidRPr="00E12183">
        <w:rPr>
          <w:lang w:eastAsia="zh-CN"/>
        </w:rPr>
        <w:t xml:space="preserve">Five important data sources need to be tapped </w:t>
      </w:r>
      <w:r w:rsidR="006C7AB9">
        <w:rPr>
          <w:lang w:eastAsia="zh-CN"/>
        </w:rPr>
        <w:t xml:space="preserve">about skills demands </w:t>
      </w:r>
      <w:r w:rsidR="006D36AA">
        <w:rPr>
          <w:lang w:eastAsia="zh-CN"/>
        </w:rPr>
        <w:t>in the Pacific</w:t>
      </w:r>
      <w:r w:rsidR="005773E8">
        <w:rPr>
          <w:lang w:eastAsia="zh-CN"/>
        </w:rPr>
        <w:t xml:space="preserve">. </w:t>
      </w:r>
      <w:r w:rsidR="001721A4" w:rsidRPr="001721A4">
        <w:t xml:space="preserve">These </w:t>
      </w:r>
      <w:r w:rsidR="006C696A">
        <w:t>data sources include</w:t>
      </w:r>
      <w:r w:rsidR="001721A4" w:rsidRPr="001721A4">
        <w:t xml:space="preserve"> </w:t>
      </w:r>
      <w:r w:rsidR="005773E8">
        <w:t xml:space="preserve">readily accessible </w:t>
      </w:r>
      <w:r w:rsidR="001721A4" w:rsidRPr="001721A4">
        <w:t xml:space="preserve">official statistics </w:t>
      </w:r>
      <w:r w:rsidR="005773E8">
        <w:t xml:space="preserve">with a focus on </w:t>
      </w:r>
      <w:r w:rsidR="005773E8" w:rsidRPr="005773E8">
        <w:t>occupations and post</w:t>
      </w:r>
      <w:r w:rsidR="00363EDE">
        <w:t>-</w:t>
      </w:r>
      <w:r w:rsidR="005773E8" w:rsidRPr="005773E8">
        <w:t>school qualifications of domestic and foreign job holders. These country data sources include the census or national surveys such as household income and expenditure surveys. Simple</w:t>
      </w:r>
      <w:r w:rsidR="005773E8">
        <w:t xml:space="preserve"> data collection on advertised </w:t>
      </w:r>
      <w:r w:rsidR="005773E8" w:rsidRPr="005773E8">
        <w:t>job vacancies can also be carried out at little cost. More costly national and provider level tracer surveys</w:t>
      </w:r>
      <w:r w:rsidR="00363EDE">
        <w:t>,</w:t>
      </w:r>
      <w:r w:rsidR="005773E8" w:rsidRPr="005773E8">
        <w:t xml:space="preserve"> as well as surveys of employers are also needed to show what value employers place on specific qualifications in the labour market. </w:t>
      </w:r>
      <w:r w:rsidR="001721A4" w:rsidRPr="001721A4">
        <w:t>Future skill needs can also be estimated from planned investments by government, donors and the private sector.</w:t>
      </w:r>
    </w:p>
    <w:p w14:paraId="06F436F3" w14:textId="75752E54" w:rsidR="006C7AB9" w:rsidRDefault="005F0F2D" w:rsidP="005F0F2D">
      <w:pPr>
        <w:tabs>
          <w:tab w:val="left" w:pos="0"/>
        </w:tabs>
        <w:spacing w:before="120"/>
        <w:rPr>
          <w:rFonts w:cs="Arial"/>
          <w:lang w:eastAsia="zh-CN"/>
        </w:rPr>
      </w:pPr>
      <w:r w:rsidRPr="00E12183">
        <w:rPr>
          <w:lang w:eastAsia="zh-CN"/>
        </w:rPr>
        <w:t xml:space="preserve">However, APTC and other TVET providers can provide only one of these data sources – qualification level tracer surveys. </w:t>
      </w:r>
      <w:r w:rsidRPr="00E12183">
        <w:rPr>
          <w:rFonts w:cs="Arial"/>
          <w:lang w:eastAsia="zh-CN"/>
        </w:rPr>
        <w:t xml:space="preserve">It is the role of government (and donors through governments) to fund the wider collection and analysis of labour market information. </w:t>
      </w:r>
      <w:r w:rsidR="006C7AB9" w:rsidRPr="006C7AB9">
        <w:rPr>
          <w:rFonts w:cs="Arial"/>
          <w:lang w:eastAsia="zh-CN"/>
        </w:rPr>
        <w:t>This information is needed not only for planning purposes. More importantly, this information is needed for students, parents, employers and governments to make informed decisions about the value of the service in which they are investing time and money.</w:t>
      </w:r>
    </w:p>
    <w:p w14:paraId="53B95C45" w14:textId="0121BA35" w:rsidR="005F0F2D" w:rsidRPr="00E12183" w:rsidRDefault="005F0F2D" w:rsidP="005F0F2D">
      <w:pPr>
        <w:tabs>
          <w:tab w:val="left" w:pos="0"/>
        </w:tabs>
        <w:spacing w:before="120"/>
        <w:rPr>
          <w:rFonts w:cs="Arial"/>
          <w:lang w:eastAsia="zh-CN"/>
        </w:rPr>
      </w:pPr>
      <w:r w:rsidRPr="00E12183">
        <w:rPr>
          <w:rFonts w:cs="Arial"/>
          <w:lang w:eastAsia="zh-CN"/>
        </w:rPr>
        <w:t xml:space="preserve">Labour market information has the characteristics of what economists call a public good. This means that the information is shared without limiting its access to others and so there are few incentives for the market to provide this information (Wood </w:t>
      </w:r>
      <w:r w:rsidR="008F0E82">
        <w:rPr>
          <w:rFonts w:cs="Arial"/>
          <w:lang w:eastAsia="zh-CN"/>
        </w:rPr>
        <w:t>and</w:t>
      </w:r>
      <w:r w:rsidR="008F0E82" w:rsidRPr="00E12183">
        <w:rPr>
          <w:rFonts w:cs="Arial"/>
          <w:lang w:eastAsia="zh-CN"/>
        </w:rPr>
        <w:t xml:space="preserve"> </w:t>
      </w:r>
      <w:r w:rsidRPr="00E12183">
        <w:rPr>
          <w:rFonts w:cs="Arial"/>
          <w:lang w:eastAsia="zh-CN"/>
        </w:rPr>
        <w:t>O’Leary 2006). As a public good, governments</w:t>
      </w:r>
      <w:r w:rsidR="006C7AB9">
        <w:rPr>
          <w:rFonts w:cs="Arial"/>
          <w:lang w:eastAsia="zh-CN"/>
        </w:rPr>
        <w:t>, including donors investing in TVET,</w:t>
      </w:r>
      <w:r w:rsidRPr="00E12183">
        <w:rPr>
          <w:rFonts w:cs="Arial"/>
          <w:lang w:eastAsia="zh-CN"/>
        </w:rPr>
        <w:t xml:space="preserve"> need to provide labour market information in the same way that governments fund police and basic services in education and health. If left to the market alone, private sector firms or TVET providers do not have sufficient incentive or the resources to provide this service. </w:t>
      </w:r>
    </w:p>
    <w:p w14:paraId="1D9A801C" w14:textId="77777777" w:rsidR="00AA3DAA" w:rsidRPr="009C76A7" w:rsidRDefault="00AA3DAA" w:rsidP="009C76A7">
      <w:pPr>
        <w:pStyle w:val="Heading1"/>
      </w:pPr>
      <w:bookmarkStart w:id="80" w:name="_Toc278710552"/>
      <w:r w:rsidRPr="009C76A7">
        <w:t>Value for money</w:t>
      </w:r>
      <w:r w:rsidR="00534925" w:rsidRPr="00AE0293">
        <w:rPr>
          <w:b w:val="0"/>
          <w:color w:val="auto"/>
          <w:sz w:val="24"/>
          <w:szCs w:val="24"/>
          <w:vertAlign w:val="superscript"/>
        </w:rPr>
        <w:footnoteReference w:id="42"/>
      </w:r>
      <w:bookmarkEnd w:id="80"/>
    </w:p>
    <w:p w14:paraId="4B3176BB" w14:textId="77777777" w:rsidR="00AA3DAA" w:rsidRPr="00E12183" w:rsidRDefault="00AA3DAA" w:rsidP="00AA3DAA">
      <w:pPr>
        <w:pStyle w:val="Heading2"/>
        <w:rPr>
          <w:lang w:eastAsia="en-GB"/>
        </w:rPr>
      </w:pPr>
      <w:bookmarkStart w:id="81" w:name="_Toc278710553"/>
      <w:r w:rsidRPr="00E12183">
        <w:rPr>
          <w:lang w:eastAsia="en-GB"/>
        </w:rPr>
        <w:t>Introduction</w:t>
      </w:r>
      <w:bookmarkEnd w:id="81"/>
    </w:p>
    <w:p w14:paraId="263143B4" w14:textId="68FF39E2" w:rsidR="00942924" w:rsidRDefault="00AA3DAA" w:rsidP="00AA3DAA">
      <w:pPr>
        <w:spacing w:before="120"/>
        <w:rPr>
          <w:rFonts w:cs="Arial"/>
          <w:lang w:eastAsia="en-GB"/>
        </w:rPr>
      </w:pPr>
      <w:r w:rsidRPr="00E12183">
        <w:rPr>
          <w:rFonts w:cs="Arial"/>
          <w:lang w:eastAsia="en-GB"/>
        </w:rPr>
        <w:t xml:space="preserve">An assessment of value for money (VfM) needs to start with the question: Could the $278 million of spending on APTC between 2007 and 2015 have been spent differently so as to deliver greater </w:t>
      </w:r>
      <w:r w:rsidR="00942924">
        <w:rPr>
          <w:rFonts w:cs="Arial"/>
          <w:lang w:eastAsia="en-GB"/>
        </w:rPr>
        <w:t>‘</w:t>
      </w:r>
      <w:r w:rsidRPr="00E12183">
        <w:rPr>
          <w:rFonts w:cs="Arial"/>
          <w:lang w:eastAsia="en-GB"/>
        </w:rPr>
        <w:t>value</w:t>
      </w:r>
      <w:r w:rsidR="00942924">
        <w:rPr>
          <w:rFonts w:cs="Arial"/>
          <w:lang w:eastAsia="en-GB"/>
        </w:rPr>
        <w:t>’</w:t>
      </w:r>
      <w:r w:rsidR="00942924" w:rsidRPr="00E12183">
        <w:rPr>
          <w:rFonts w:cs="Arial"/>
          <w:lang w:eastAsia="en-GB"/>
        </w:rPr>
        <w:t xml:space="preserve"> </w:t>
      </w:r>
      <w:r w:rsidRPr="00E12183">
        <w:rPr>
          <w:rFonts w:cs="Arial"/>
          <w:lang w:eastAsia="en-GB"/>
        </w:rPr>
        <w:t xml:space="preserve">to the Australian taxpayer? </w:t>
      </w:r>
    </w:p>
    <w:p w14:paraId="43A4C57E" w14:textId="3EFD6149" w:rsidR="00AA3DAA" w:rsidRPr="00E12183" w:rsidRDefault="00AA3DAA" w:rsidP="00AA3DAA">
      <w:pPr>
        <w:spacing w:before="120"/>
        <w:rPr>
          <w:rFonts w:cs="Arial"/>
          <w:lang w:eastAsia="en-GB"/>
        </w:rPr>
      </w:pPr>
      <w:r w:rsidRPr="00E12183">
        <w:rPr>
          <w:rFonts w:cs="Arial"/>
          <w:lang w:eastAsia="en-GB"/>
        </w:rPr>
        <w:t>At a meeting of the APTC Consortium Board in early 2014, board members were shown that AusAID/DFAT had been spending $42,860 on average to produce each graduate since 2007</w:t>
      </w:r>
      <w:r w:rsidR="00815D2A">
        <w:rPr>
          <w:rFonts w:cs="Arial"/>
          <w:lang w:eastAsia="en-GB"/>
        </w:rPr>
        <w:t xml:space="preserve"> </w:t>
      </w:r>
      <w:r w:rsidR="00815D2A" w:rsidRPr="00815D2A">
        <w:rPr>
          <w:rFonts w:cs="Arial"/>
        </w:rPr>
        <w:t>(APTC 2014, July)</w:t>
      </w:r>
      <w:r w:rsidRPr="00E12183">
        <w:rPr>
          <w:rFonts w:cs="Arial"/>
          <w:vertAlign w:val="superscript"/>
          <w:lang w:eastAsia="en-GB"/>
        </w:rPr>
        <w:footnoteReference w:id="43"/>
      </w:r>
      <w:r w:rsidRPr="00E12183">
        <w:rPr>
          <w:rFonts w:cs="Arial"/>
          <w:lang w:eastAsia="en-GB"/>
        </w:rPr>
        <w:t xml:space="preserve"> and were asked whether this </w:t>
      </w:r>
      <w:r w:rsidR="006B00FD" w:rsidRPr="00E12183">
        <w:rPr>
          <w:rFonts w:cs="Arial"/>
          <w:lang w:eastAsia="en-GB"/>
        </w:rPr>
        <w:t xml:space="preserve">has </w:t>
      </w:r>
      <w:r w:rsidRPr="00E12183">
        <w:rPr>
          <w:rFonts w:cs="Arial"/>
          <w:lang w:eastAsia="en-GB"/>
        </w:rPr>
        <w:t>amounted to value for money</w:t>
      </w:r>
      <w:r w:rsidR="006B00FD">
        <w:rPr>
          <w:rFonts w:cs="Arial"/>
          <w:lang w:eastAsia="en-GB"/>
        </w:rPr>
        <w:t>.</w:t>
      </w:r>
    </w:p>
    <w:p w14:paraId="23393948" w14:textId="5494889E" w:rsidR="00AA3DAA" w:rsidRPr="00E12183" w:rsidRDefault="00AA3DAA" w:rsidP="00AA3DAA">
      <w:pPr>
        <w:spacing w:before="120"/>
        <w:rPr>
          <w:rFonts w:cs="Arial"/>
          <w:lang w:eastAsia="en-GB"/>
        </w:rPr>
      </w:pPr>
      <w:r w:rsidRPr="00E12183">
        <w:rPr>
          <w:rFonts w:cs="Arial"/>
          <w:lang w:eastAsia="en-GB"/>
        </w:rPr>
        <w:t xml:space="preserve">Given that the APTC objective of facilitating the migration of Pacific Islanders to Australia and other high-income economies has </w:t>
      </w:r>
      <w:r w:rsidRPr="00E12183">
        <w:rPr>
          <w:rFonts w:cs="Arial"/>
          <w:i/>
          <w:lang w:eastAsia="en-GB"/>
        </w:rPr>
        <w:t>not</w:t>
      </w:r>
      <w:r w:rsidRPr="00E12183">
        <w:rPr>
          <w:rFonts w:cs="Arial"/>
          <w:lang w:eastAsia="en-GB"/>
        </w:rPr>
        <w:t xml:space="preserve"> been broadly achieved (</w:t>
      </w:r>
      <w:r w:rsidR="00EB7660" w:rsidRPr="00E12183">
        <w:rPr>
          <w:rFonts w:cs="Arial"/>
          <w:lang w:eastAsia="en-GB"/>
        </w:rPr>
        <w:t>Chapter</w:t>
      </w:r>
      <w:r w:rsidR="00EB7660">
        <w:rPr>
          <w:rFonts w:cs="Arial"/>
          <w:lang w:eastAsia="en-GB"/>
        </w:rPr>
        <w:t> 3</w:t>
      </w:r>
      <w:r w:rsidRPr="00E12183">
        <w:rPr>
          <w:rFonts w:cs="Arial"/>
          <w:lang w:eastAsia="en-GB"/>
        </w:rPr>
        <w:t xml:space="preserve">), a positive VfM assessment of APTC depends largely on the benefits that graduates (and their families), their employers, and their co-workers receive at home in the Pacific. </w:t>
      </w:r>
      <w:r w:rsidRPr="00E12183">
        <w:rPr>
          <w:rFonts w:cs="Arial"/>
          <w:i/>
          <w:lang w:eastAsia="en-GB"/>
        </w:rPr>
        <w:t>If</w:t>
      </w:r>
      <w:r w:rsidRPr="00E12183">
        <w:rPr>
          <w:rFonts w:cs="Arial"/>
          <w:lang w:eastAsia="en-GB"/>
        </w:rPr>
        <w:t xml:space="preserve"> APTC can be justified based on the value of these domestic benefits alone, then any opening up of migration pathways in the future would increase the value of the benefits. </w:t>
      </w:r>
    </w:p>
    <w:p w14:paraId="65575612" w14:textId="77777777" w:rsidR="00AA3DAA" w:rsidRPr="00AA3DAA" w:rsidRDefault="00AA3DAA" w:rsidP="00AA3DAA">
      <w:pPr>
        <w:pStyle w:val="Heading2"/>
      </w:pPr>
      <w:bookmarkStart w:id="82" w:name="_Toc278710554"/>
      <w:r w:rsidRPr="00AA3DAA">
        <w:t>Financial and education management information systems</w:t>
      </w:r>
      <w:bookmarkEnd w:id="82"/>
    </w:p>
    <w:p w14:paraId="628DE55A" w14:textId="6F746515" w:rsidR="00AA3DAA" w:rsidRPr="00E12183" w:rsidRDefault="00AA3DAA" w:rsidP="00AA3DAA">
      <w:pPr>
        <w:spacing w:before="120"/>
        <w:outlineLvl w:val="1"/>
        <w:rPr>
          <w:rFonts w:cs="Arial"/>
          <w:bCs/>
          <w:lang w:eastAsia="en-GB"/>
        </w:rPr>
      </w:pPr>
      <w:r w:rsidRPr="00E12183">
        <w:rPr>
          <w:rFonts w:cs="Arial"/>
          <w:bCs/>
          <w:lang w:eastAsia="en-GB"/>
        </w:rPr>
        <w:t xml:space="preserve">During Stage II, APTC has implemented consolidated financial and education management information systems (FMIS and EMIS) to generate the data needed by the management team and Consortium Board for </w:t>
      </w:r>
      <w:r w:rsidR="00EB7660">
        <w:rPr>
          <w:rFonts w:cs="Arial"/>
          <w:bCs/>
          <w:lang w:eastAsia="en-GB"/>
        </w:rPr>
        <w:t>monitoring and evaluation (</w:t>
      </w:r>
      <w:r w:rsidRPr="00E12183">
        <w:rPr>
          <w:rFonts w:cs="Arial"/>
          <w:bCs/>
          <w:lang w:eastAsia="en-GB"/>
        </w:rPr>
        <w:t>M&amp;E</w:t>
      </w:r>
      <w:r w:rsidR="00EB7660">
        <w:rPr>
          <w:rFonts w:cs="Arial"/>
          <w:bCs/>
          <w:lang w:eastAsia="en-GB"/>
        </w:rPr>
        <w:t>)</w:t>
      </w:r>
      <w:r w:rsidRPr="00E12183">
        <w:rPr>
          <w:rFonts w:cs="Arial"/>
          <w:bCs/>
          <w:lang w:eastAsia="en-GB"/>
        </w:rPr>
        <w:t xml:space="preserve"> and planning. This software marks a significant improvement over the tools and procedures available in APTC’s early years. Using </w:t>
      </w:r>
      <w:r w:rsidR="006A1680">
        <w:rPr>
          <w:rFonts w:cs="Arial"/>
          <w:bCs/>
          <w:lang w:eastAsia="en-GB"/>
        </w:rPr>
        <w:t>this software</w:t>
      </w:r>
      <w:r w:rsidRPr="00E12183">
        <w:rPr>
          <w:rFonts w:cs="Arial"/>
          <w:bCs/>
          <w:lang w:eastAsia="en-GB"/>
        </w:rPr>
        <w:t xml:space="preserve">, APTC was able to respond accurately and quickly to the numerous requests for data submitted by the review team. It should be noted that APTC’s current M&amp;E system focuses on operational matters (spending, staffing, enrolments, and qualifications awarded) </w:t>
      </w:r>
      <w:r w:rsidR="00555B7E">
        <w:rPr>
          <w:rFonts w:cs="Arial"/>
          <w:bCs/>
          <w:lang w:eastAsia="en-GB"/>
        </w:rPr>
        <w:t>and</w:t>
      </w:r>
      <w:r w:rsidR="00555B7E" w:rsidRPr="00E12183">
        <w:rPr>
          <w:rFonts w:cs="Arial"/>
          <w:bCs/>
          <w:lang w:eastAsia="en-GB"/>
        </w:rPr>
        <w:t xml:space="preserve"> </w:t>
      </w:r>
      <w:r w:rsidRPr="00E12183">
        <w:rPr>
          <w:rFonts w:cs="Arial"/>
          <w:bCs/>
          <w:lang w:eastAsia="en-GB"/>
        </w:rPr>
        <w:t xml:space="preserve">remains quite weak on </w:t>
      </w:r>
      <w:r w:rsidR="00170011">
        <w:rPr>
          <w:rFonts w:cs="Arial"/>
          <w:bCs/>
          <w:lang w:eastAsia="en-GB"/>
        </w:rPr>
        <w:t xml:space="preserve">the </w:t>
      </w:r>
      <w:r w:rsidRPr="00E12183">
        <w:rPr>
          <w:rFonts w:cs="Arial"/>
          <w:bCs/>
          <w:lang w:eastAsia="en-GB"/>
        </w:rPr>
        <w:t xml:space="preserve">external efficiency indicators (employment outcomes, migration and, especially, graduate earnings) needed for a VfM analysis. </w:t>
      </w:r>
    </w:p>
    <w:p w14:paraId="78A48E5A" w14:textId="77777777" w:rsidR="00AA3DAA" w:rsidRPr="00AA3DAA" w:rsidRDefault="00AA3DAA" w:rsidP="00AA3DAA">
      <w:pPr>
        <w:pStyle w:val="Heading2"/>
      </w:pPr>
      <w:bookmarkStart w:id="83" w:name="_Toc278710555"/>
      <w:r w:rsidRPr="00AA3DAA">
        <w:t>Economy of inputs</w:t>
      </w:r>
      <w:bookmarkEnd w:id="83"/>
    </w:p>
    <w:p w14:paraId="5BF5F8AC" w14:textId="5F56CB11" w:rsidR="00AA3DAA" w:rsidRPr="00E12183" w:rsidRDefault="00AA3DAA" w:rsidP="00AA3DAA">
      <w:pPr>
        <w:spacing w:before="120"/>
        <w:outlineLvl w:val="1"/>
        <w:rPr>
          <w:rFonts w:cs="Arial"/>
          <w:bCs/>
          <w:lang w:eastAsia="en-GB"/>
        </w:rPr>
      </w:pPr>
      <w:r w:rsidRPr="00E12183">
        <w:rPr>
          <w:rFonts w:cs="Arial"/>
          <w:bCs/>
          <w:lang w:eastAsia="en-GB"/>
        </w:rPr>
        <w:t xml:space="preserve">There is no reason to believe that APTC over-pays for the goods and services it procures. APTC procurement follows Commonwealth guidelines (Commonwealth of Australia 2008). Procedures for purchases in different price ranges are spelled out in an APTC procurement manual (APTC 2012c). Wherever possible, APTC uses local suppliers, provided that cost and delivery schedules match or compare favourably with Australian quotes. APTC pays no import tax and </w:t>
      </w:r>
      <w:r w:rsidR="0001182C">
        <w:rPr>
          <w:rFonts w:cs="Arial"/>
          <w:bCs/>
          <w:lang w:eastAsia="en-GB"/>
        </w:rPr>
        <w:t>receives</w:t>
      </w:r>
      <w:r w:rsidR="0001182C" w:rsidRPr="00E12183">
        <w:rPr>
          <w:rFonts w:cs="Arial"/>
          <w:bCs/>
          <w:lang w:eastAsia="en-GB"/>
        </w:rPr>
        <w:t xml:space="preserve"> </w:t>
      </w:r>
      <w:r w:rsidRPr="00E12183">
        <w:rPr>
          <w:rFonts w:cs="Arial"/>
          <w:bCs/>
          <w:lang w:eastAsia="en-GB"/>
        </w:rPr>
        <w:t>a refund on the goods and services tax. Salaries paid to national staff in each of APTC’s five campus countries and elsewhere in the Pacific are benchmarked against salaries paid locally for comparable work (Maxumise 2013).</w:t>
      </w:r>
    </w:p>
    <w:p w14:paraId="0651C092" w14:textId="77777777" w:rsidR="00AA3DAA" w:rsidRPr="00AA3DAA" w:rsidRDefault="00AA3DAA" w:rsidP="00AA3DAA">
      <w:pPr>
        <w:pStyle w:val="Heading2"/>
      </w:pPr>
      <w:bookmarkStart w:id="84" w:name="_Toc278710556"/>
      <w:r w:rsidRPr="00AA3DAA">
        <w:t>Cost structure analysis</w:t>
      </w:r>
      <w:bookmarkEnd w:id="84"/>
    </w:p>
    <w:p w14:paraId="09554B9A" w14:textId="6F0479B4" w:rsidR="00AA3DAA" w:rsidRPr="00E12183" w:rsidRDefault="00CE5E79" w:rsidP="00AA3DAA">
      <w:pPr>
        <w:spacing w:before="120"/>
        <w:rPr>
          <w:rFonts w:cs="Arial"/>
          <w:lang w:eastAsia="en-GB"/>
        </w:rPr>
      </w:pPr>
      <w:r>
        <w:rPr>
          <w:rFonts w:cs="Arial"/>
          <w:lang w:eastAsia="en-GB"/>
        </w:rPr>
        <w:t xml:space="preserve">It </w:t>
      </w:r>
      <w:r w:rsidR="00AA3DAA" w:rsidRPr="00E12183">
        <w:rPr>
          <w:rFonts w:cs="Arial"/>
          <w:lang w:eastAsia="en-GB"/>
        </w:rPr>
        <w:t xml:space="preserve">was difficult for the review team to obtain </w:t>
      </w:r>
      <w:r>
        <w:rPr>
          <w:rFonts w:cs="Arial"/>
          <w:lang w:eastAsia="en-GB"/>
        </w:rPr>
        <w:t>d</w:t>
      </w:r>
      <w:r w:rsidRPr="00E12183">
        <w:rPr>
          <w:rFonts w:cs="Arial"/>
          <w:lang w:eastAsia="en-GB"/>
        </w:rPr>
        <w:t xml:space="preserve">etailed information on Stage I costs </w:t>
      </w:r>
      <w:r>
        <w:rPr>
          <w:rFonts w:cs="Arial"/>
          <w:lang w:eastAsia="en-GB"/>
        </w:rPr>
        <w:t>due to</w:t>
      </w:r>
      <w:r w:rsidR="00AA3DAA" w:rsidRPr="00E12183">
        <w:rPr>
          <w:rFonts w:cs="Arial"/>
          <w:lang w:eastAsia="en-GB"/>
        </w:rPr>
        <w:t xml:space="preserve"> the absence of a consolidated FMIS until recently. By comparison, detailed information on Stage II is readily available since the introduction of the financial database. </w:t>
      </w:r>
    </w:p>
    <w:p w14:paraId="28420D04" w14:textId="77777777" w:rsidR="00AA3DAA" w:rsidRPr="00AA3DAA" w:rsidRDefault="00AA3DAA" w:rsidP="00AA3DAA">
      <w:pPr>
        <w:pStyle w:val="Heading3"/>
      </w:pPr>
      <w:bookmarkStart w:id="85" w:name="_Toc278710557"/>
      <w:r w:rsidRPr="00AA3DAA">
        <w:t>Total costs</w:t>
      </w:r>
      <w:bookmarkEnd w:id="85"/>
      <w:r w:rsidRPr="00AA3DAA">
        <w:t xml:space="preserve">  </w:t>
      </w:r>
    </w:p>
    <w:p w14:paraId="322FA808" w14:textId="19BDF111" w:rsidR="005162A5" w:rsidRDefault="00AA3DAA" w:rsidP="00AA3DAA">
      <w:pPr>
        <w:spacing w:before="120"/>
        <w:rPr>
          <w:rFonts w:cs="Arial"/>
          <w:lang w:eastAsia="en-GB"/>
        </w:rPr>
      </w:pPr>
      <w:r w:rsidRPr="00E12183">
        <w:rPr>
          <w:rFonts w:cs="Arial"/>
          <w:lang w:eastAsia="en-GB"/>
        </w:rPr>
        <w:t xml:space="preserve">The Australian </w:t>
      </w:r>
      <w:r w:rsidR="00C61C08">
        <w:rPr>
          <w:rFonts w:cs="Arial"/>
          <w:lang w:eastAsia="en-GB"/>
        </w:rPr>
        <w:t>G</w:t>
      </w:r>
      <w:r w:rsidR="00C61C08" w:rsidRPr="00E12183">
        <w:rPr>
          <w:rFonts w:cs="Arial"/>
          <w:lang w:eastAsia="en-GB"/>
        </w:rPr>
        <w:t xml:space="preserve">overnment </w:t>
      </w:r>
      <w:r w:rsidRPr="00E12183">
        <w:rPr>
          <w:rFonts w:cs="Arial"/>
          <w:lang w:eastAsia="en-GB"/>
        </w:rPr>
        <w:t xml:space="preserve">will have invested a total of $277.8 million in APTC over the two stages to </w:t>
      </w:r>
      <w:r w:rsidR="00CA567C">
        <w:rPr>
          <w:rFonts w:cs="Arial"/>
          <w:lang w:eastAsia="en-GB"/>
        </w:rPr>
        <w:t xml:space="preserve">the </w:t>
      </w:r>
      <w:r w:rsidRPr="00E12183">
        <w:rPr>
          <w:rFonts w:cs="Arial"/>
          <w:lang w:eastAsia="en-GB"/>
        </w:rPr>
        <w:t xml:space="preserve">end of June 2015. </w:t>
      </w:r>
    </w:p>
    <w:p w14:paraId="3D86C030" w14:textId="43623E96" w:rsidR="005162A5" w:rsidRDefault="00AA3DAA" w:rsidP="00AA3DAA">
      <w:pPr>
        <w:spacing w:before="120"/>
        <w:rPr>
          <w:rFonts w:cs="Arial"/>
          <w:lang w:eastAsia="en-GB"/>
        </w:rPr>
      </w:pPr>
      <w:r w:rsidRPr="00E12183">
        <w:rPr>
          <w:rFonts w:cs="Arial"/>
          <w:lang w:eastAsia="en-GB"/>
        </w:rPr>
        <w:t>Counting $7</w:t>
      </w:r>
      <w:r w:rsidR="00AE0293">
        <w:rPr>
          <w:rFonts w:cs="Arial"/>
          <w:lang w:eastAsia="en-GB"/>
        </w:rPr>
        <w:t>.0</w:t>
      </w:r>
      <w:r w:rsidRPr="00E12183">
        <w:rPr>
          <w:rFonts w:cs="Arial"/>
          <w:lang w:eastAsia="en-GB"/>
        </w:rPr>
        <w:t xml:space="preserve"> million spent in FY2006/07, before the official launching of APTC in July of 2007, APTC spent a total of $134.</w:t>
      </w:r>
      <w:r w:rsidR="005162A5" w:rsidRPr="00E12183">
        <w:rPr>
          <w:rFonts w:cs="Arial"/>
          <w:lang w:eastAsia="en-GB"/>
        </w:rPr>
        <w:t>4</w:t>
      </w:r>
      <w:r w:rsidR="005162A5">
        <w:rPr>
          <w:rFonts w:cs="Arial"/>
          <w:lang w:eastAsia="en-GB"/>
        </w:rPr>
        <w:t> </w:t>
      </w:r>
      <w:r w:rsidRPr="00E12183">
        <w:rPr>
          <w:rFonts w:cs="Arial"/>
          <w:lang w:eastAsia="en-GB"/>
        </w:rPr>
        <w:t>million in Stage I (90 per cent of the original $149.</w:t>
      </w:r>
      <w:r w:rsidR="005162A5" w:rsidRPr="00E12183">
        <w:rPr>
          <w:rFonts w:cs="Arial"/>
          <w:lang w:eastAsia="en-GB"/>
        </w:rPr>
        <w:t>5</w:t>
      </w:r>
      <w:r w:rsidR="005162A5">
        <w:rPr>
          <w:rFonts w:cs="Arial"/>
          <w:lang w:eastAsia="en-GB"/>
        </w:rPr>
        <w:t> </w:t>
      </w:r>
      <w:r w:rsidRPr="00E12183">
        <w:rPr>
          <w:rFonts w:cs="Arial"/>
          <w:lang w:eastAsia="en-GB"/>
        </w:rPr>
        <w:t xml:space="preserve">million allocation) – an average of $16.8 million per semester over the eight semesters, during which time 4436 students were enrolled and 3531 graduated. </w:t>
      </w:r>
    </w:p>
    <w:p w14:paraId="7B1AA02E" w14:textId="7E6A8ADB" w:rsidR="00467CD6" w:rsidRDefault="005162A5" w:rsidP="00AA3DAA">
      <w:pPr>
        <w:spacing w:before="120"/>
        <w:rPr>
          <w:rFonts w:cs="Arial"/>
          <w:lang w:eastAsia="en-GB"/>
        </w:rPr>
      </w:pPr>
      <w:r>
        <w:rPr>
          <w:rFonts w:cs="Arial"/>
          <w:lang w:eastAsia="en-GB"/>
        </w:rPr>
        <w:t>For Stage II, b</w:t>
      </w:r>
      <w:r w:rsidRPr="00E12183">
        <w:rPr>
          <w:rFonts w:cs="Arial"/>
          <w:lang w:eastAsia="en-GB"/>
        </w:rPr>
        <w:t xml:space="preserve">y </w:t>
      </w:r>
      <w:r w:rsidR="00AA3DAA" w:rsidRPr="00E12183">
        <w:rPr>
          <w:rFonts w:cs="Arial"/>
          <w:lang w:eastAsia="en-GB"/>
        </w:rPr>
        <w:t xml:space="preserve">comparison, current projections show that $143.4 million </w:t>
      </w:r>
      <w:r w:rsidR="006B00FD" w:rsidRPr="006B00FD">
        <w:rPr>
          <w:rFonts w:cs="Arial"/>
          <w:lang w:eastAsia="en-GB"/>
        </w:rPr>
        <w:t>(of the $</w:t>
      </w:r>
      <w:r w:rsidRPr="006B00FD">
        <w:rPr>
          <w:rFonts w:cs="Arial"/>
          <w:lang w:eastAsia="en-GB"/>
        </w:rPr>
        <w:t>152</w:t>
      </w:r>
      <w:r>
        <w:rPr>
          <w:rFonts w:cs="Arial"/>
          <w:lang w:eastAsia="en-GB"/>
        </w:rPr>
        <w:t> </w:t>
      </w:r>
      <w:r w:rsidR="006B00FD" w:rsidRPr="006B00FD">
        <w:rPr>
          <w:rFonts w:cs="Arial"/>
          <w:lang w:eastAsia="en-GB"/>
        </w:rPr>
        <w:t xml:space="preserve">million allocation) </w:t>
      </w:r>
      <w:r w:rsidR="00AA3DAA" w:rsidRPr="00E12183">
        <w:rPr>
          <w:rFonts w:cs="Arial"/>
          <w:lang w:eastAsia="en-GB"/>
        </w:rPr>
        <w:t xml:space="preserve">will be spent by the 2015 closing date (30 June) – an average of $17.9 million per semester. Enrolments over the four years of Stage II are projected to reach 5401, and graduates 4898. </w:t>
      </w:r>
    </w:p>
    <w:p w14:paraId="08FA2387" w14:textId="47800344" w:rsidR="00AA3DAA" w:rsidRPr="00E12183" w:rsidRDefault="00AA3DAA" w:rsidP="00AA3DAA">
      <w:pPr>
        <w:spacing w:before="120"/>
        <w:rPr>
          <w:rFonts w:cs="Arial"/>
          <w:color w:val="000000"/>
          <w:lang w:eastAsia="en-GB"/>
        </w:rPr>
      </w:pPr>
      <w:r w:rsidRPr="00E12183">
        <w:rPr>
          <w:rFonts w:cs="Arial"/>
          <w:lang w:eastAsia="en-GB"/>
        </w:rPr>
        <w:t xml:space="preserve">Capital costs amounted to $21.9 million in Stage I (16.3 per cent of total costs), as compared with $10.8 million (7.5 per cent) projected for Stage II. </w:t>
      </w:r>
      <w:r w:rsidRPr="00E12183">
        <w:rPr>
          <w:rFonts w:cs="Arial"/>
          <w:color w:val="000000"/>
          <w:lang w:eastAsia="en-GB"/>
        </w:rPr>
        <w:t>Management fees to TAFE Queensland, the Stage II contractor, will total $20.7 million (14.0 per cent of total costs), as compared with management fees to the three contractors in Stage I, which came to $12.0 million (8.9 per cent).</w:t>
      </w:r>
    </w:p>
    <w:p w14:paraId="7F31BA0C" w14:textId="77777777" w:rsidR="00AA3DAA" w:rsidRPr="00E12183" w:rsidRDefault="00AA3DAA" w:rsidP="00AA3DAA">
      <w:pPr>
        <w:spacing w:before="120"/>
        <w:rPr>
          <w:rFonts w:cs="Arial"/>
          <w:color w:val="000000"/>
          <w:lang w:eastAsia="en-GB"/>
        </w:rPr>
      </w:pPr>
      <w:r w:rsidRPr="00E12183">
        <w:rPr>
          <w:rFonts w:cs="Arial"/>
          <w:color w:val="000000"/>
          <w:lang w:eastAsia="en-GB"/>
        </w:rPr>
        <w:t>Recurrent costs, other than management fees, will total $112.6 million in Stage II. Personnel costs will amount to $54.3 million (48.3 per cent) of this total. Scholarships covering student travel and living expenses will amount to $22.0 million (19.5 per cent). Course expenses, which include course consumables, student uniforms, and student excursions, will amount to $9.4 million (8.1 per cent). The remaining $26.9 million will have been spent on property and ICT costs, minor equipment (not counted as capital expenditure), contributions to partner VET institutions to build capacity, and miscellaneous cost items.</w:t>
      </w:r>
    </w:p>
    <w:p w14:paraId="31BB4D8E" w14:textId="77777777" w:rsidR="00AA3DAA" w:rsidRPr="00AA3DAA" w:rsidRDefault="00AA3DAA" w:rsidP="00AA3DAA">
      <w:pPr>
        <w:pStyle w:val="Heading3"/>
      </w:pPr>
      <w:bookmarkStart w:id="86" w:name="_Toc278710558"/>
      <w:r w:rsidRPr="00AA3DAA">
        <w:t>Analysis of unit costs</w:t>
      </w:r>
      <w:bookmarkEnd w:id="86"/>
      <w:r w:rsidRPr="00AA3DAA">
        <w:t xml:space="preserve">  </w:t>
      </w:r>
    </w:p>
    <w:p w14:paraId="799B0957" w14:textId="01D3D450" w:rsidR="00AA3DAA" w:rsidRDefault="00AA3DAA" w:rsidP="00AA3DAA">
      <w:pPr>
        <w:spacing w:before="120"/>
        <w:rPr>
          <w:rFonts w:cs="Arial"/>
          <w:lang w:eastAsia="en-GB"/>
        </w:rPr>
      </w:pPr>
      <w:r w:rsidRPr="00E12183">
        <w:rPr>
          <w:rFonts w:cs="Arial"/>
          <w:lang w:eastAsia="en-GB"/>
        </w:rPr>
        <w:t>A fundamental indicator of internal efficiency</w:t>
      </w:r>
      <w:r w:rsidR="00E34634">
        <w:rPr>
          <w:rFonts w:cs="Arial"/>
          <w:lang w:eastAsia="en-GB"/>
        </w:rPr>
        <w:t xml:space="preserve"> –</w:t>
      </w:r>
      <w:r w:rsidRPr="00E12183">
        <w:rPr>
          <w:rFonts w:cs="Arial"/>
          <w:lang w:eastAsia="en-GB"/>
        </w:rPr>
        <w:t xml:space="preserve"> the extent to which a school, a college, or an entire education system succeeds in producing outputs (of specified quality) at the lowest possible cost</w:t>
      </w:r>
      <w:r w:rsidR="00E34634">
        <w:rPr>
          <w:rFonts w:cs="Arial"/>
          <w:lang w:eastAsia="en-GB"/>
        </w:rPr>
        <w:t xml:space="preserve"> –</w:t>
      </w:r>
      <w:r w:rsidR="00E34634" w:rsidRPr="00E12183">
        <w:rPr>
          <w:rFonts w:cs="Arial"/>
          <w:lang w:eastAsia="en-GB"/>
        </w:rPr>
        <w:t xml:space="preserve"> </w:t>
      </w:r>
      <w:r w:rsidRPr="00E12183">
        <w:rPr>
          <w:rFonts w:cs="Arial"/>
          <w:lang w:eastAsia="en-GB"/>
        </w:rPr>
        <w:t xml:space="preserve">is the </w:t>
      </w:r>
      <w:r w:rsidRPr="009C76A7">
        <w:rPr>
          <w:rFonts w:cs="Arial"/>
          <w:lang w:eastAsia="en-GB"/>
        </w:rPr>
        <w:t>unit cost</w:t>
      </w:r>
      <w:r w:rsidR="00E34634">
        <w:rPr>
          <w:rFonts w:cs="Arial"/>
          <w:lang w:eastAsia="en-GB"/>
        </w:rPr>
        <w:t xml:space="preserve">. The unit cost </w:t>
      </w:r>
      <w:r w:rsidR="00954CCB">
        <w:rPr>
          <w:rFonts w:cs="Arial"/>
          <w:lang w:eastAsia="en-GB"/>
        </w:rPr>
        <w:t>indicates</w:t>
      </w:r>
      <w:r w:rsidRPr="00E12183">
        <w:rPr>
          <w:rFonts w:cs="Arial"/>
          <w:lang w:eastAsia="en-GB"/>
        </w:rPr>
        <w:t xml:space="preserve"> how much is spent per enrolled student or per full-time equivalent student (FTE), or how much is spent to produce one graduate. APTC has been criticised </w:t>
      </w:r>
      <w:r w:rsidR="006B00FD">
        <w:rPr>
          <w:rFonts w:cs="Arial"/>
          <w:lang w:eastAsia="en-GB"/>
        </w:rPr>
        <w:t xml:space="preserve">both </w:t>
      </w:r>
      <w:r w:rsidRPr="00E12183">
        <w:rPr>
          <w:rFonts w:cs="Arial"/>
          <w:lang w:eastAsia="en-GB"/>
        </w:rPr>
        <w:t xml:space="preserve">in Australia and </w:t>
      </w:r>
      <w:r w:rsidR="006B00FD">
        <w:rPr>
          <w:rFonts w:cs="Arial"/>
          <w:lang w:eastAsia="en-GB"/>
        </w:rPr>
        <w:t xml:space="preserve">in </w:t>
      </w:r>
      <w:r w:rsidRPr="00E12183">
        <w:rPr>
          <w:rFonts w:cs="Arial"/>
          <w:lang w:eastAsia="en-GB"/>
        </w:rPr>
        <w:t xml:space="preserve">the Pacific for being a high-cost training college, which also raises questions about the College’s long-term sustainability. Unit costs have come down over time, with the cost per student and cost per FTE </w:t>
      </w:r>
      <w:r w:rsidR="00954CCB">
        <w:rPr>
          <w:rFonts w:cs="Arial"/>
          <w:lang w:eastAsia="en-GB"/>
        </w:rPr>
        <w:t xml:space="preserve">now </w:t>
      </w:r>
      <w:r w:rsidRPr="00E12183">
        <w:rPr>
          <w:rFonts w:cs="Arial"/>
          <w:lang w:eastAsia="en-GB"/>
        </w:rPr>
        <w:t>12</w:t>
      </w:r>
      <w:r w:rsidR="00954CCB">
        <w:rPr>
          <w:rFonts w:cs="Arial"/>
          <w:lang w:eastAsia="en-GB"/>
        </w:rPr>
        <w:t xml:space="preserve"> to </w:t>
      </w:r>
      <w:r w:rsidRPr="00E12183">
        <w:rPr>
          <w:rFonts w:cs="Arial"/>
          <w:lang w:eastAsia="en-GB"/>
        </w:rPr>
        <w:t xml:space="preserve">13 per cent lower </w:t>
      </w:r>
      <w:r w:rsidR="00954CCB" w:rsidRPr="00E12183">
        <w:rPr>
          <w:rFonts w:cs="Arial"/>
          <w:lang w:eastAsia="en-GB"/>
        </w:rPr>
        <w:t xml:space="preserve">in Stage II than in Stage I </w:t>
      </w:r>
      <w:r w:rsidRPr="00E12183">
        <w:rPr>
          <w:rFonts w:cs="Arial"/>
          <w:lang w:eastAsia="en-GB"/>
        </w:rPr>
        <w:t xml:space="preserve">and the cost per graduate 23 per cent lower. This reflects, </w:t>
      </w:r>
      <w:r w:rsidRPr="00E12183">
        <w:rPr>
          <w:rFonts w:cs="Arial"/>
          <w:i/>
          <w:lang w:eastAsia="en-GB"/>
        </w:rPr>
        <w:t>inter alia</w:t>
      </w:r>
      <w:r w:rsidRPr="00E12183">
        <w:rPr>
          <w:rFonts w:cs="Arial"/>
          <w:lang w:eastAsia="en-GB"/>
        </w:rPr>
        <w:t>, the higher capital costs in Stage I (16.3 per cent of total expenditure versus 7.5 per cent in Stage II). It also reflects increased enrolments in Stage II (6162 FTEs versus 4432 in Stage I), which have produced a more efficient student</w:t>
      </w:r>
      <w:r w:rsidR="00954CCB">
        <w:rPr>
          <w:rFonts w:cs="Arial"/>
          <w:lang w:eastAsia="en-GB"/>
        </w:rPr>
        <w:t>–</w:t>
      </w:r>
      <w:r w:rsidRPr="00E12183">
        <w:rPr>
          <w:rFonts w:cs="Arial"/>
          <w:lang w:eastAsia="en-GB"/>
        </w:rPr>
        <w:t>teacher ratio.</w:t>
      </w:r>
      <w:r w:rsidR="00BC5A19" w:rsidRPr="00BC5A19">
        <w:rPr>
          <w:rFonts w:cs="Arial"/>
          <w:szCs w:val="16"/>
          <w:vertAlign w:val="superscript"/>
          <w:lang w:val="sv-SE" w:eastAsia="sv-SE"/>
        </w:rPr>
        <w:t xml:space="preserve"> </w:t>
      </w:r>
    </w:p>
    <w:p w14:paraId="6B40EE8F" w14:textId="0D55EC49" w:rsidR="00C115B5" w:rsidRPr="00C115B5" w:rsidRDefault="00C115B5" w:rsidP="00C115B5">
      <w:r w:rsidRPr="00C115B5">
        <w:t>APTC’s high unit costs can be attributed to a range of factors, including: (1) the high quality of the training that APTC provides (widely acknowledged, even by most critics of the College); (2) the dispersed population of the region, making potential economies of scale difficult to achieve; (3) the region’s poverty (as well as Australia’s generosity), which has led to the current situation wherein scholarships amount to a significant fraction of APTC’s total cost (9.5 per cent in Stage I and 15.2 per cent in Stage II); and (4) APTC’s heavy</w:t>
      </w:r>
      <w:r>
        <w:t xml:space="preserve"> reliance to date on Australian</w:t>
      </w:r>
      <w:r w:rsidRPr="00C115B5">
        <w:t xml:space="preserve"> and other high-cost expatriates to fill key administrative and teaching positions, in particular the positions of managers and trainers. The first three factors are ones that APTC and its stakeholders either do not wish to change (the high quality of training) or are powerless to address (the region’s dispersed population and current poverty). The fourth factor (the reliance on expatriate staff) is one that APTC has begun to address, especially during 2014, and has plans to address further in any third stage of funding (see below, section 5.4.5). Moreover, the heavy financial burden on APTC of providing scholarships to approximately three-quarters of students over the College’s first seven years could be reduced in the future, especially if DFAT could replace scholarships with student loans (as proposed in section 5.6 below).</w:t>
      </w:r>
    </w:p>
    <w:p w14:paraId="4BC236C1" w14:textId="1734649D" w:rsidR="00AA3DAA" w:rsidRPr="00E12183" w:rsidRDefault="00AA3DAA" w:rsidP="00AA3DAA">
      <w:pPr>
        <w:spacing w:before="120"/>
        <w:rPr>
          <w:rFonts w:cs="Arial"/>
          <w:lang w:eastAsia="en-GB"/>
        </w:rPr>
      </w:pPr>
      <w:r w:rsidRPr="00E12183">
        <w:rPr>
          <w:rFonts w:cs="Arial"/>
          <w:lang w:eastAsia="en-GB"/>
        </w:rPr>
        <w:t xml:space="preserve">In 2012 and 2013, AusAID commissioned a series of case studies on the financing of TVET in the Pacific. Final versions of five of the eight case studies were submitted to AusAID (now DFAT) in time for consideration by this review. The case studies include estimates of various measures of unit costs for national training institutions (NTIs) in the five countries (Fiji, PNG, Samoa, the Solomon Islands and Tonga). Comparisons with APTC are striking, with APTC spending between </w:t>
      </w:r>
      <w:r w:rsidR="00A35C90">
        <w:rPr>
          <w:rFonts w:cs="Arial"/>
          <w:lang w:eastAsia="en-GB"/>
        </w:rPr>
        <w:t>eight</w:t>
      </w:r>
      <w:r w:rsidR="00A35C90" w:rsidRPr="00E12183">
        <w:rPr>
          <w:rFonts w:cs="Arial"/>
          <w:lang w:eastAsia="en-GB"/>
        </w:rPr>
        <w:t xml:space="preserve"> </w:t>
      </w:r>
      <w:r w:rsidRPr="00E12183">
        <w:rPr>
          <w:rFonts w:cs="Arial"/>
          <w:lang w:eastAsia="en-GB"/>
        </w:rPr>
        <w:t xml:space="preserve">and 26 times as much per student and </w:t>
      </w:r>
      <w:r w:rsidR="00A35C90">
        <w:rPr>
          <w:rFonts w:cs="Arial"/>
          <w:lang w:eastAsia="en-GB"/>
        </w:rPr>
        <w:t>six</w:t>
      </w:r>
      <w:r w:rsidR="00A35C90" w:rsidRPr="00E12183">
        <w:rPr>
          <w:rFonts w:cs="Arial"/>
          <w:lang w:eastAsia="en-GB"/>
        </w:rPr>
        <w:t xml:space="preserve"> </w:t>
      </w:r>
      <w:r w:rsidRPr="00E12183">
        <w:rPr>
          <w:rFonts w:cs="Arial"/>
          <w:lang w:eastAsia="en-GB"/>
        </w:rPr>
        <w:t>to 12 times as much per graduate as the NTIs.</w:t>
      </w:r>
    </w:p>
    <w:p w14:paraId="74BB7688" w14:textId="07A2E555" w:rsidR="00CA567C" w:rsidRDefault="00AA3DAA" w:rsidP="00AA3DAA">
      <w:pPr>
        <w:spacing w:before="120"/>
        <w:rPr>
          <w:rFonts w:cs="Arial"/>
          <w:lang w:eastAsia="en-GB"/>
        </w:rPr>
      </w:pPr>
      <w:r w:rsidRPr="00E12183">
        <w:rPr>
          <w:rFonts w:cs="Arial"/>
          <w:lang w:eastAsia="en-GB"/>
        </w:rPr>
        <w:t>However, comparing unit costs in APTC with the average NTI in a Pacific Island country is not valid without comparing like with like. This applies especially to qualifications. The</w:t>
      </w:r>
      <w:r w:rsidR="00F92484">
        <w:rPr>
          <w:rFonts w:cs="Arial"/>
          <w:lang w:eastAsia="en-GB"/>
        </w:rPr>
        <w:t>se</w:t>
      </w:r>
      <w:r w:rsidRPr="00E12183">
        <w:rPr>
          <w:rFonts w:cs="Arial"/>
          <w:lang w:eastAsia="en-GB"/>
        </w:rPr>
        <w:t xml:space="preserve"> NTIs offer courses at many levels and of widely different durations, whereas APTC offers mostly Certificate III qualifications lasting between </w:t>
      </w:r>
      <w:r w:rsidR="00F92484">
        <w:rPr>
          <w:rFonts w:cs="Arial"/>
          <w:lang w:eastAsia="en-GB"/>
        </w:rPr>
        <w:t>four</w:t>
      </w:r>
      <w:r w:rsidR="00B469B8">
        <w:rPr>
          <w:rFonts w:cs="Arial"/>
          <w:lang w:eastAsia="en-GB"/>
        </w:rPr>
        <w:t> </w:t>
      </w:r>
      <w:r w:rsidRPr="00E12183">
        <w:rPr>
          <w:rFonts w:cs="Arial"/>
          <w:lang w:eastAsia="en-GB"/>
        </w:rPr>
        <w:t>and 18 months.</w:t>
      </w:r>
      <w:r w:rsidR="00815D2A" w:rsidRPr="00815D2A">
        <w:rPr>
          <w:rFonts w:cs="Arial"/>
          <w:szCs w:val="16"/>
          <w:vertAlign w:val="superscript"/>
          <w:lang w:val="sv-SE" w:eastAsia="sv-SE"/>
        </w:rPr>
        <w:t xml:space="preserve"> </w:t>
      </w:r>
      <w:r w:rsidR="00815D2A" w:rsidRPr="00815D2A">
        <w:rPr>
          <w:rFonts w:cs="Arial"/>
          <w:szCs w:val="16"/>
          <w:vertAlign w:val="superscript"/>
          <w:lang w:val="sv-SE" w:eastAsia="sv-SE"/>
        </w:rPr>
        <w:footnoteReference w:id="44"/>
      </w:r>
      <w:r w:rsidRPr="00E12183">
        <w:rPr>
          <w:rFonts w:cs="Arial"/>
          <w:lang w:eastAsia="en-GB"/>
        </w:rPr>
        <w:t xml:space="preserve"> Nor is it possible to assume that qualifications at the same nominal level are equivalent. A more meaningful comparison of APTC’s unit costs is with TAFE institutions in Australia, since APTC must satisfy the same AQF standards as the Australian institutions. </w:t>
      </w:r>
    </w:p>
    <w:p w14:paraId="56BF393D" w14:textId="519DB149" w:rsidR="00AA3DAA" w:rsidRPr="00E12183" w:rsidRDefault="00AA3DAA" w:rsidP="00AA3DAA">
      <w:pPr>
        <w:spacing w:before="120"/>
        <w:rPr>
          <w:rFonts w:cs="Arial"/>
          <w:b/>
          <w:lang w:eastAsia="en-GB"/>
        </w:rPr>
      </w:pPr>
      <w:r w:rsidRPr="00E12183">
        <w:rPr>
          <w:rFonts w:cs="Arial"/>
          <w:lang w:eastAsia="en-GB"/>
        </w:rPr>
        <w:t xml:space="preserve">APTC’s cost per FTE </w:t>
      </w:r>
      <w:r w:rsidR="00BC5A19" w:rsidRPr="00BC5A19">
        <w:rPr>
          <w:rFonts w:cs="Arial"/>
          <w:lang w:eastAsia="en-GB"/>
        </w:rPr>
        <w:t xml:space="preserve">between 2007 and 2015 </w:t>
      </w:r>
      <w:r w:rsidRPr="00E12183">
        <w:rPr>
          <w:rFonts w:cs="Arial"/>
          <w:lang w:eastAsia="en-GB"/>
        </w:rPr>
        <w:t>($28,100) is almost three times that of the Australian average ($9700).</w:t>
      </w:r>
      <w:r w:rsidR="00BC5A19" w:rsidRPr="00BC5A19">
        <w:rPr>
          <w:rFonts w:cs="Arial"/>
          <w:szCs w:val="16"/>
          <w:vertAlign w:val="superscript"/>
          <w:lang w:val="sv-SE" w:eastAsia="sv-SE"/>
        </w:rPr>
        <w:t xml:space="preserve"> </w:t>
      </w:r>
      <w:r w:rsidR="00BC5A19" w:rsidRPr="00BC5A19">
        <w:rPr>
          <w:rFonts w:cs="Arial"/>
          <w:szCs w:val="16"/>
          <w:vertAlign w:val="superscript"/>
          <w:lang w:val="sv-SE" w:eastAsia="sv-SE"/>
        </w:rPr>
        <w:footnoteReference w:id="45"/>
      </w:r>
      <w:r w:rsidRPr="00E12183">
        <w:rPr>
          <w:rFonts w:cs="Arial"/>
          <w:lang w:eastAsia="en-GB"/>
        </w:rPr>
        <w:t xml:space="preserve"> In assessing APTC’s VfM, the counterfactual is what it would have cost to send approximately 10,000 Pacific Islanders to RTOs in Australia</w:t>
      </w:r>
      <w:r w:rsidR="00CB5583">
        <w:rPr>
          <w:rFonts w:cs="Arial"/>
          <w:lang w:eastAsia="en-GB"/>
        </w:rPr>
        <w:t>,</w:t>
      </w:r>
      <w:r w:rsidRPr="00E12183">
        <w:rPr>
          <w:rFonts w:cs="Arial"/>
          <w:lang w:eastAsia="en-GB"/>
        </w:rPr>
        <w:t xml:space="preserve"> rather than establishing and operating a new college for them in the Pacific. While travel and living expenses of students sent to Australia would have been higher, the difference </w:t>
      </w:r>
      <w:r w:rsidR="00815D2A">
        <w:rPr>
          <w:rFonts w:cs="Arial"/>
          <w:lang w:eastAsia="en-GB"/>
        </w:rPr>
        <w:t xml:space="preserve">almost certainly </w:t>
      </w:r>
      <w:r w:rsidRPr="00E12183">
        <w:rPr>
          <w:rFonts w:cs="Arial"/>
          <w:lang w:eastAsia="en-GB"/>
        </w:rPr>
        <w:t xml:space="preserve">would not </w:t>
      </w:r>
      <w:r w:rsidR="00815D2A">
        <w:rPr>
          <w:rFonts w:cs="Arial"/>
          <w:lang w:eastAsia="en-GB"/>
        </w:rPr>
        <w:t xml:space="preserve">have </w:t>
      </w:r>
      <w:r w:rsidRPr="00E12183">
        <w:rPr>
          <w:rFonts w:cs="Arial"/>
          <w:lang w:eastAsia="en-GB"/>
        </w:rPr>
        <w:t>equal</w:t>
      </w:r>
      <w:r w:rsidR="00815D2A">
        <w:rPr>
          <w:rFonts w:cs="Arial"/>
          <w:lang w:eastAsia="en-GB"/>
        </w:rPr>
        <w:t>led</w:t>
      </w:r>
      <w:r w:rsidRPr="00E12183">
        <w:rPr>
          <w:rFonts w:cs="Arial"/>
          <w:lang w:eastAsia="en-GB"/>
        </w:rPr>
        <w:t xml:space="preserve"> the $18,000 to $19,000 difference between APTC’s unit cost and Australia’s average unit cost. In other words, it </w:t>
      </w:r>
      <w:r w:rsidR="00815D2A">
        <w:rPr>
          <w:rFonts w:cs="Arial"/>
          <w:lang w:eastAsia="en-GB"/>
        </w:rPr>
        <w:t xml:space="preserve">may </w:t>
      </w:r>
      <w:r w:rsidRPr="00E12183">
        <w:rPr>
          <w:rFonts w:cs="Arial"/>
          <w:lang w:eastAsia="en-GB"/>
        </w:rPr>
        <w:t>have been cheaper over the eight-year period (though, arguably, less beneficial for the 14 PICs) to send Pacific Islanders to Australia for training. This calculation may well change, however, in a further funding stage for APTC based on the measures taken to control costs as recommended in this review.</w:t>
      </w:r>
    </w:p>
    <w:p w14:paraId="0103C07E" w14:textId="77777777" w:rsidR="00AA3DAA" w:rsidRPr="00AA3DAA" w:rsidRDefault="00AA3DAA" w:rsidP="00AA3DAA">
      <w:pPr>
        <w:pStyle w:val="Heading3"/>
      </w:pPr>
      <w:bookmarkStart w:id="87" w:name="_Toc278710559"/>
      <w:r w:rsidRPr="00AA3DAA">
        <w:t>Unit costs by training location</w:t>
      </w:r>
      <w:bookmarkEnd w:id="87"/>
      <w:r w:rsidRPr="00AA3DAA">
        <w:t xml:space="preserve">  </w:t>
      </w:r>
    </w:p>
    <w:p w14:paraId="07FC4166" w14:textId="0D6E111C" w:rsidR="00AA3DAA" w:rsidRPr="00E12183" w:rsidRDefault="00AA3DAA" w:rsidP="00AA3DAA">
      <w:pPr>
        <w:spacing w:before="120"/>
        <w:rPr>
          <w:rFonts w:cs="Arial"/>
          <w:lang w:eastAsia="en-GB"/>
        </w:rPr>
      </w:pPr>
      <w:r w:rsidRPr="00E12183">
        <w:rPr>
          <w:rFonts w:cs="Arial"/>
          <w:lang w:eastAsia="en-GB"/>
        </w:rPr>
        <w:t xml:space="preserve">APTC has campuses in five </w:t>
      </w:r>
      <w:r w:rsidR="00CB5583">
        <w:rPr>
          <w:rFonts w:cs="Arial"/>
          <w:lang w:eastAsia="en-GB"/>
        </w:rPr>
        <w:t>countries</w:t>
      </w:r>
      <w:r w:rsidRPr="00E12183">
        <w:rPr>
          <w:rFonts w:cs="Arial"/>
          <w:lang w:eastAsia="en-GB"/>
        </w:rPr>
        <w:t>: PNG, Samoa, Vanuatu, Fiji and</w:t>
      </w:r>
      <w:r w:rsidR="005636FD">
        <w:rPr>
          <w:rFonts w:cs="Arial"/>
          <w:lang w:eastAsia="en-GB"/>
        </w:rPr>
        <w:t xml:space="preserve"> </w:t>
      </w:r>
      <w:r w:rsidRPr="00E12183">
        <w:rPr>
          <w:rFonts w:cs="Arial"/>
          <w:lang w:eastAsia="en-GB"/>
        </w:rPr>
        <w:t>the Solomon Islands</w:t>
      </w:r>
      <w:r w:rsidR="005636FD">
        <w:rPr>
          <w:rFonts w:cs="Arial"/>
          <w:lang w:eastAsia="en-GB"/>
        </w:rPr>
        <w:t xml:space="preserve">, which was </w:t>
      </w:r>
      <w:r w:rsidR="005636FD" w:rsidRPr="00E12183">
        <w:rPr>
          <w:rFonts w:cs="Arial"/>
          <w:lang w:eastAsia="en-GB"/>
        </w:rPr>
        <w:t>opened during Stage II</w:t>
      </w:r>
      <w:r w:rsidRPr="00E12183">
        <w:rPr>
          <w:rFonts w:cs="Arial"/>
          <w:lang w:eastAsia="en-GB"/>
        </w:rPr>
        <w:t xml:space="preserve">. APTC’s software now enables it to monitor expenses in all locations on a continuous basis. Two-thirds of Stage II expenditure supported direct training in the several training locations, </w:t>
      </w:r>
      <w:r w:rsidR="005A4750">
        <w:rPr>
          <w:rFonts w:cs="Arial"/>
          <w:lang w:eastAsia="en-GB"/>
        </w:rPr>
        <w:t xml:space="preserve">whereas </w:t>
      </w:r>
      <w:r w:rsidRPr="00E12183">
        <w:rPr>
          <w:rFonts w:cs="Arial"/>
          <w:lang w:eastAsia="en-GB"/>
        </w:rPr>
        <w:t xml:space="preserve">one-third </w:t>
      </w:r>
      <w:r w:rsidR="005A4750">
        <w:rPr>
          <w:rFonts w:cs="Arial"/>
          <w:lang w:eastAsia="en-GB"/>
        </w:rPr>
        <w:t xml:space="preserve">covered </w:t>
      </w:r>
      <w:r w:rsidRPr="00E12183">
        <w:rPr>
          <w:rFonts w:cs="Arial"/>
          <w:lang w:eastAsia="en-GB"/>
        </w:rPr>
        <w:t>overhead costs. For purposes of comparing unit costs across the five campuses, overhead costs were allocated on a pro rata basis (percentage of overhead costs = percentage of direct training costs).</w:t>
      </w:r>
    </w:p>
    <w:p w14:paraId="73658C31" w14:textId="0EF5B4A2" w:rsidR="00AA3DAA" w:rsidRPr="00E12183" w:rsidRDefault="00AA3DAA" w:rsidP="00AA3DAA">
      <w:pPr>
        <w:spacing w:before="120"/>
        <w:rPr>
          <w:rFonts w:cs="Arial"/>
          <w:noProof/>
          <w:lang w:eastAsia="en-GB"/>
        </w:rPr>
      </w:pPr>
      <w:r w:rsidRPr="00E12183">
        <w:rPr>
          <w:rFonts w:cs="Arial"/>
          <w:noProof/>
          <w:lang w:eastAsia="en-GB"/>
        </w:rPr>
        <w:t xml:space="preserve">Costs per student are below the APTC-wide average for all of the training locations </w:t>
      </w:r>
      <w:r w:rsidRPr="00E12183">
        <w:rPr>
          <w:rFonts w:cs="Arial"/>
          <w:i/>
          <w:noProof/>
          <w:lang w:eastAsia="en-GB"/>
        </w:rPr>
        <w:t>except for PNG</w:t>
      </w:r>
      <w:r w:rsidRPr="00E12183">
        <w:rPr>
          <w:rFonts w:cs="Arial"/>
          <w:noProof/>
          <w:lang w:eastAsia="en-GB"/>
        </w:rPr>
        <w:t xml:space="preserve">, where it is 92 per cent higher (nearly double). PNG’s cost per graduate is 75 per cent higher than the </w:t>
      </w:r>
      <w:r w:rsidR="00E30A5E">
        <w:rPr>
          <w:rFonts w:cs="Arial"/>
          <w:noProof/>
          <w:lang w:eastAsia="en-GB"/>
        </w:rPr>
        <w:t>APTC</w:t>
      </w:r>
      <w:r w:rsidRPr="00E12183">
        <w:rPr>
          <w:rFonts w:cs="Arial"/>
          <w:noProof/>
          <w:lang w:eastAsia="en-GB"/>
        </w:rPr>
        <w:t xml:space="preserve">-wide average. The reasons for the  much higher costs of training at </w:t>
      </w:r>
      <w:r w:rsidR="00E30A5E">
        <w:rPr>
          <w:rFonts w:cs="Arial"/>
          <w:noProof/>
          <w:lang w:eastAsia="en-GB"/>
        </w:rPr>
        <w:t>the</w:t>
      </w:r>
      <w:r w:rsidR="00E30A5E" w:rsidRPr="00E12183">
        <w:rPr>
          <w:rFonts w:cs="Arial"/>
          <w:noProof/>
          <w:lang w:eastAsia="en-GB"/>
        </w:rPr>
        <w:t xml:space="preserve"> </w:t>
      </w:r>
      <w:r w:rsidRPr="00E12183">
        <w:rPr>
          <w:rFonts w:cs="Arial"/>
          <w:noProof/>
          <w:lang w:eastAsia="en-GB"/>
        </w:rPr>
        <w:t xml:space="preserve">PNG campus are complicated. The most important single factor contributing to higher costs is the lower ratio of enrolments to fixed training costs. Security is also a bigger issue, and special measures to protect facilities and personnel add significantly to costs. It is harder to recruit expatriate staff to work in PNG, leading to higher personnel costs. The costs of scholarships per student are also more, </w:t>
      </w:r>
      <w:r w:rsidR="005A4750">
        <w:rPr>
          <w:rFonts w:cs="Arial"/>
          <w:noProof/>
          <w:lang w:eastAsia="en-GB"/>
        </w:rPr>
        <w:t xml:space="preserve">as </w:t>
      </w:r>
      <w:r w:rsidR="00E30A5E">
        <w:rPr>
          <w:rFonts w:cs="Arial"/>
          <w:noProof/>
          <w:lang w:eastAsia="en-GB"/>
        </w:rPr>
        <w:t xml:space="preserve">they </w:t>
      </w:r>
      <w:r w:rsidRPr="00E12183">
        <w:rPr>
          <w:rFonts w:cs="Arial"/>
          <w:noProof/>
          <w:lang w:eastAsia="en-GB"/>
        </w:rPr>
        <w:t xml:space="preserve">need to cover higher lodging and local transportation costs.  </w:t>
      </w:r>
    </w:p>
    <w:p w14:paraId="0655908F" w14:textId="4A5CBD9A" w:rsidR="005440FA" w:rsidRDefault="00AA3DAA" w:rsidP="00DF7C96">
      <w:pPr>
        <w:spacing w:before="120"/>
        <w:rPr>
          <w:rFonts w:cs="Arial"/>
          <w:noProof/>
          <w:lang w:eastAsia="en-GB"/>
        </w:rPr>
      </w:pPr>
      <w:r w:rsidRPr="00E12183">
        <w:rPr>
          <w:rFonts w:cs="Arial"/>
          <w:noProof/>
          <w:lang w:eastAsia="en-GB"/>
        </w:rPr>
        <w:t>As PNG accounts for three-quarters of the region’s population (though only 22</w:t>
      </w:r>
      <w:r w:rsidR="00194BEE">
        <w:rPr>
          <w:rFonts w:cs="Arial"/>
          <w:noProof/>
          <w:lang w:eastAsia="en-GB"/>
        </w:rPr>
        <w:t> </w:t>
      </w:r>
      <w:r w:rsidRPr="00E12183">
        <w:rPr>
          <w:rFonts w:cs="Arial"/>
          <w:noProof/>
          <w:lang w:eastAsia="en-GB"/>
        </w:rPr>
        <w:t>per</w:t>
      </w:r>
      <w:r w:rsidR="00194BEE">
        <w:rPr>
          <w:rFonts w:cs="Arial"/>
          <w:noProof/>
          <w:lang w:eastAsia="en-GB"/>
        </w:rPr>
        <w:t> </w:t>
      </w:r>
      <w:r w:rsidRPr="00E12183">
        <w:rPr>
          <w:rFonts w:cs="Arial"/>
          <w:noProof/>
          <w:lang w:eastAsia="en-GB"/>
        </w:rPr>
        <w:t>cent, to date, of APTC students), APTC needs to maintain a campus there. Expansion of the number of participants from PNG can be justified on equity grounds. Moreover, the cost-reducing impact of transferring training now offered in PNG to lower-cost training locations would be offset to some extent by the additional travel and subsistence costs for more PNG students having to go to Fiji, Samoa, Vanuatu and the Solomon Islands.</w:t>
      </w:r>
    </w:p>
    <w:p w14:paraId="62E2A372" w14:textId="77777777" w:rsidR="005440FA" w:rsidRDefault="005440FA">
      <w:pPr>
        <w:spacing w:after="0"/>
        <w:rPr>
          <w:rFonts w:cs="Arial"/>
          <w:noProof/>
          <w:lang w:eastAsia="en-GB"/>
        </w:rPr>
      </w:pPr>
      <w:r>
        <w:rPr>
          <w:rFonts w:cs="Arial"/>
          <w:noProof/>
          <w:lang w:eastAsia="en-GB"/>
        </w:rPr>
        <w:br w:type="page"/>
      </w:r>
    </w:p>
    <w:p w14:paraId="7C2F1C4D" w14:textId="6569EE93" w:rsidR="00AA3DAA" w:rsidRPr="00AA3DAA" w:rsidRDefault="00AA3DAA" w:rsidP="00AA3DAA">
      <w:pPr>
        <w:pStyle w:val="Heading3"/>
      </w:pPr>
      <w:bookmarkStart w:id="88" w:name="_Toc278710560"/>
      <w:r w:rsidRPr="00AA3DAA">
        <w:t>Student</w:t>
      </w:r>
      <w:r w:rsidR="00546E52">
        <w:t>–</w:t>
      </w:r>
      <w:r w:rsidRPr="00AA3DAA">
        <w:t>teacher ratios, double-blocking and economies of scale</w:t>
      </w:r>
      <w:bookmarkEnd w:id="88"/>
      <w:r w:rsidRPr="00AA3DAA">
        <w:t xml:space="preserve">  </w:t>
      </w:r>
    </w:p>
    <w:p w14:paraId="365DA551" w14:textId="21022C7D" w:rsidR="005A4750" w:rsidRDefault="00AA3DAA" w:rsidP="00AA3DAA">
      <w:pPr>
        <w:spacing w:before="120"/>
        <w:rPr>
          <w:rFonts w:cs="Arial"/>
          <w:lang w:eastAsia="en-GB"/>
        </w:rPr>
      </w:pPr>
      <w:r w:rsidRPr="00E12183">
        <w:rPr>
          <w:rFonts w:cs="Arial"/>
          <w:lang w:eastAsia="en-GB"/>
        </w:rPr>
        <w:t>A key driver of unit costs in any school or college is the student</w:t>
      </w:r>
      <w:r w:rsidR="00B1348B">
        <w:rPr>
          <w:rFonts w:cs="Arial"/>
          <w:lang w:eastAsia="en-GB"/>
        </w:rPr>
        <w:t>–</w:t>
      </w:r>
      <w:r w:rsidRPr="00E12183">
        <w:rPr>
          <w:rFonts w:cs="Arial"/>
          <w:lang w:eastAsia="en-GB"/>
        </w:rPr>
        <w:t>teacher ratio. Often, an easy way to reduce unit costs is to increase the number of students without increasing the number of teachers. The scope for APTC to apply this strategy is constrained, however, by quality concerns. There are also safety considerations that limit the number of students in each class. APTC’s student</w:t>
      </w:r>
      <w:r w:rsidR="00B1348B">
        <w:rPr>
          <w:rFonts w:cs="Arial"/>
          <w:lang w:eastAsia="en-GB"/>
        </w:rPr>
        <w:t>–</w:t>
      </w:r>
      <w:r w:rsidRPr="00E12183">
        <w:rPr>
          <w:rFonts w:cs="Arial"/>
          <w:lang w:eastAsia="en-GB"/>
        </w:rPr>
        <w:t xml:space="preserve">teacher ratio has actually </w:t>
      </w:r>
      <w:r w:rsidRPr="00E12183">
        <w:rPr>
          <w:rFonts w:cs="Arial"/>
          <w:i/>
          <w:lang w:eastAsia="en-GB"/>
        </w:rPr>
        <w:t>fallen</w:t>
      </w:r>
      <w:r w:rsidRPr="00E12183">
        <w:rPr>
          <w:rFonts w:cs="Arial"/>
          <w:lang w:eastAsia="en-GB"/>
        </w:rPr>
        <w:t xml:space="preserve"> between Stages I and II, even though the ratio of students to trainers has risen. The explanation for this paradox is the College’s increased use of tutors working alongside trainers. </w:t>
      </w:r>
    </w:p>
    <w:p w14:paraId="419BEB45" w14:textId="42911C79" w:rsidR="00AA3DAA" w:rsidRPr="00E12183" w:rsidRDefault="00AA3DAA" w:rsidP="00AA3DAA">
      <w:pPr>
        <w:spacing w:before="120"/>
        <w:rPr>
          <w:rFonts w:cs="Arial"/>
          <w:lang w:eastAsia="en-GB"/>
        </w:rPr>
      </w:pPr>
      <w:r w:rsidRPr="00E12183">
        <w:rPr>
          <w:rFonts w:cs="Arial"/>
          <w:lang w:eastAsia="en-GB"/>
        </w:rPr>
        <w:t xml:space="preserve">One way by which APTC has managed to reduce unit costs in some training locations is by running two (or more) offerings in the same subject area (not necessarily the same qualifications or competencies) at the same time. This has been referred to as </w:t>
      </w:r>
      <w:r w:rsidR="00710498">
        <w:rPr>
          <w:rFonts w:cs="Arial"/>
          <w:lang w:eastAsia="en-GB"/>
        </w:rPr>
        <w:t>‘</w:t>
      </w:r>
      <w:r w:rsidRPr="00E12183">
        <w:rPr>
          <w:rFonts w:cs="Arial"/>
          <w:lang w:eastAsia="en-GB"/>
        </w:rPr>
        <w:t>double blocking</w:t>
      </w:r>
      <w:r w:rsidR="00710498">
        <w:rPr>
          <w:rFonts w:cs="Arial"/>
          <w:lang w:eastAsia="en-GB"/>
        </w:rPr>
        <w:t>’</w:t>
      </w:r>
      <w:r w:rsidRPr="00E12183">
        <w:rPr>
          <w:rFonts w:cs="Arial"/>
          <w:lang w:eastAsia="en-GB"/>
        </w:rPr>
        <w:t xml:space="preserve">, and it results in cost savings if it can be done with three staff (one trainer and two tutors) for two course offerings. This compares with most single blocks in Stage II having two staff (one trainer and one tutor) for one course offering. APTC could increase double blocking possibilities by having the five campus countries specialise in </w:t>
      </w:r>
      <w:r w:rsidR="001052BD">
        <w:rPr>
          <w:rFonts w:cs="Arial"/>
          <w:lang w:eastAsia="en-GB"/>
        </w:rPr>
        <w:t xml:space="preserve">a </w:t>
      </w:r>
      <w:r w:rsidRPr="00E12183">
        <w:rPr>
          <w:rFonts w:cs="Arial"/>
          <w:lang w:eastAsia="en-GB"/>
        </w:rPr>
        <w:t>smaller number of training packages. This would require each of the five training locations to reduce their range of offerings. However, this increased economy of scale would be offset in part by the cost of transport and accommodation for more students having to move between countries</w:t>
      </w:r>
      <w:r w:rsidR="005324B9">
        <w:rPr>
          <w:rFonts w:cs="Arial"/>
          <w:lang w:eastAsia="en-GB"/>
        </w:rPr>
        <w:t xml:space="preserve"> </w:t>
      </w:r>
      <w:r w:rsidR="005324B9" w:rsidRPr="005324B9">
        <w:rPr>
          <w:rFonts w:cs="Arial"/>
          <w:lang w:eastAsia="en-GB"/>
        </w:rPr>
        <w:t>(which, while increasing unit costs in the short run, should pay dividends in the longer run by accelerating the achievement of nationalisation targets; see next section).</w:t>
      </w:r>
      <w:r w:rsidRPr="00E12183">
        <w:rPr>
          <w:rFonts w:cs="Arial"/>
          <w:lang w:eastAsia="en-GB"/>
        </w:rPr>
        <w:t xml:space="preserve"> </w:t>
      </w:r>
    </w:p>
    <w:p w14:paraId="159D7D8D" w14:textId="77777777" w:rsidR="00AA3DAA" w:rsidRPr="00AA3DAA" w:rsidRDefault="00AA3DAA" w:rsidP="00AA3DAA">
      <w:pPr>
        <w:pStyle w:val="Heading3"/>
      </w:pPr>
      <w:bookmarkStart w:id="89" w:name="_Toc278710561"/>
      <w:r w:rsidRPr="00AA3DAA">
        <w:t>Nationalisation of APTC staff</w:t>
      </w:r>
      <w:bookmarkEnd w:id="89"/>
      <w:r w:rsidRPr="00AA3DAA">
        <w:t xml:space="preserve"> </w:t>
      </w:r>
    </w:p>
    <w:p w14:paraId="55E648A3" w14:textId="071FEB8A" w:rsidR="00AA3DAA" w:rsidRPr="00E12183" w:rsidRDefault="00AA3DAA" w:rsidP="00AA3DAA">
      <w:pPr>
        <w:rPr>
          <w:rFonts w:cs="Arial"/>
          <w:lang w:eastAsia="en-GB"/>
        </w:rPr>
      </w:pPr>
      <w:r w:rsidRPr="00E12183">
        <w:rPr>
          <w:rFonts w:cs="Arial"/>
          <w:lang w:eastAsia="en-GB"/>
        </w:rPr>
        <w:t xml:space="preserve">A major factor contributing to APTC’s high costs has been its heavy reliance on high-cost expatriates to fill key administrative and teaching positions. The 2013 nationalisation strategy of APTC set an explicit target of having </w:t>
      </w:r>
      <w:r w:rsidR="00B475D5">
        <w:rPr>
          <w:rFonts w:cs="Arial"/>
          <w:lang w:eastAsia="en-GB"/>
        </w:rPr>
        <w:t>‘</w:t>
      </w:r>
      <w:r w:rsidRPr="00E12183">
        <w:rPr>
          <w:rFonts w:cs="Arial"/>
          <w:lang w:eastAsia="en-GB"/>
        </w:rPr>
        <w:t>one national trainer for every six expatriate trainers by the end of 2014</w:t>
      </w:r>
      <w:r w:rsidR="00B475D5">
        <w:rPr>
          <w:rFonts w:cs="Arial"/>
          <w:lang w:eastAsia="en-GB"/>
        </w:rPr>
        <w:t>’</w:t>
      </w:r>
      <w:r w:rsidR="00B475D5" w:rsidRPr="00E12183">
        <w:rPr>
          <w:rFonts w:cs="Arial"/>
          <w:lang w:eastAsia="en-GB"/>
        </w:rPr>
        <w:t xml:space="preserve"> </w:t>
      </w:r>
      <w:r w:rsidRPr="00E12183">
        <w:rPr>
          <w:rFonts w:cs="Arial"/>
          <w:lang w:eastAsia="en-GB"/>
        </w:rPr>
        <w:t xml:space="preserve">(APTC 2013b). Early progress was slow, but the target had actually been surpassed by July of 2014. </w:t>
      </w:r>
    </w:p>
    <w:p w14:paraId="7E7D7AD0" w14:textId="1DE49DB6" w:rsidR="00AA3DAA" w:rsidRPr="00E12183" w:rsidRDefault="00AA3DAA" w:rsidP="00AA3DAA">
      <w:pPr>
        <w:rPr>
          <w:rFonts w:cs="Arial"/>
          <w:lang w:eastAsia="en-GB"/>
        </w:rPr>
      </w:pPr>
      <w:r w:rsidRPr="00E12183">
        <w:rPr>
          <w:rFonts w:cs="Arial"/>
          <w:lang w:eastAsia="en-GB"/>
        </w:rPr>
        <w:t xml:space="preserve">The review team asked APTC’s CEO for projections of further nationalisation expected between July 2014 and June 2019. The percentage of all APTC staff filled by Pacific Island nationals was expected to </w:t>
      </w:r>
      <w:r w:rsidR="00953ABA">
        <w:rPr>
          <w:rFonts w:cs="Arial"/>
          <w:lang w:eastAsia="en-GB"/>
        </w:rPr>
        <w:t>rise</w:t>
      </w:r>
      <w:r w:rsidRPr="00E12183">
        <w:rPr>
          <w:rFonts w:cs="Arial"/>
          <w:lang w:eastAsia="en-GB"/>
        </w:rPr>
        <w:t xml:space="preserve"> from 64 per cent in 2014 to 88 per cent in 2019. The key changes resulting in cost savings, however, would be in two staff categories – </w:t>
      </w:r>
      <w:r w:rsidR="00643641">
        <w:rPr>
          <w:rFonts w:cs="Arial"/>
          <w:lang w:eastAsia="en-GB"/>
        </w:rPr>
        <w:t xml:space="preserve">teaching staff </w:t>
      </w:r>
      <w:r w:rsidRPr="00E12183">
        <w:rPr>
          <w:rFonts w:cs="Arial"/>
          <w:lang w:eastAsia="en-GB"/>
        </w:rPr>
        <w:t>(from 58 per cent to 81 per</w:t>
      </w:r>
      <w:r w:rsidR="00953ABA">
        <w:rPr>
          <w:rFonts w:cs="Arial"/>
          <w:lang w:eastAsia="en-GB"/>
        </w:rPr>
        <w:t xml:space="preserve"> </w:t>
      </w:r>
      <w:r w:rsidRPr="00E12183">
        <w:rPr>
          <w:rFonts w:cs="Arial"/>
          <w:lang w:eastAsia="en-GB"/>
        </w:rPr>
        <w:t>cent, with most of the change consisting of the increase in national trainers) and managers (from 15 per cent to 64 per cent). Administrative support positions were already filled largely by nationals (85 per cent) by July 2014.</w:t>
      </w:r>
    </w:p>
    <w:p w14:paraId="2EDD8974" w14:textId="4F799FAD" w:rsidR="00AA3DAA" w:rsidRPr="00E12183" w:rsidRDefault="00AA3DAA" w:rsidP="00AA3DAA">
      <w:pPr>
        <w:rPr>
          <w:rFonts w:cs="Arial"/>
          <w:lang w:eastAsia="en-GB"/>
        </w:rPr>
      </w:pPr>
      <w:r w:rsidRPr="00E12183">
        <w:rPr>
          <w:rFonts w:cs="Arial"/>
          <w:lang w:eastAsia="en-GB"/>
        </w:rPr>
        <w:t xml:space="preserve">The review team analysed the cost implications of the nationalisation between </w:t>
      </w:r>
      <w:r w:rsidR="00BB7ED2" w:rsidRPr="00E12183">
        <w:rPr>
          <w:rFonts w:cs="Arial"/>
          <w:lang w:eastAsia="en-GB"/>
        </w:rPr>
        <w:t>July</w:t>
      </w:r>
      <w:r w:rsidR="00BB7ED2">
        <w:rPr>
          <w:rFonts w:cs="Arial"/>
          <w:lang w:eastAsia="en-GB"/>
        </w:rPr>
        <w:t> </w:t>
      </w:r>
      <w:r w:rsidRPr="00E12183">
        <w:rPr>
          <w:rFonts w:cs="Arial"/>
          <w:lang w:eastAsia="en-GB"/>
        </w:rPr>
        <w:t xml:space="preserve">2014 and June 2019 </w:t>
      </w:r>
      <w:r w:rsidR="00643641">
        <w:rPr>
          <w:rFonts w:cs="Arial"/>
          <w:lang w:eastAsia="en-GB"/>
        </w:rPr>
        <w:t xml:space="preserve">as </w:t>
      </w:r>
      <w:r w:rsidR="00643641" w:rsidRPr="00E12183">
        <w:rPr>
          <w:rFonts w:cs="Arial"/>
          <w:lang w:eastAsia="en-GB"/>
        </w:rPr>
        <w:t xml:space="preserve">projected by the CEO </w:t>
      </w:r>
      <w:r w:rsidRPr="00E12183">
        <w:rPr>
          <w:rFonts w:cs="Arial"/>
          <w:lang w:eastAsia="en-GB"/>
        </w:rPr>
        <w:t>and concluded that it would result in $2.</w:t>
      </w:r>
      <w:r w:rsidR="00953ABA" w:rsidRPr="00E12183">
        <w:rPr>
          <w:rFonts w:cs="Arial"/>
          <w:lang w:eastAsia="en-GB"/>
        </w:rPr>
        <w:t>1</w:t>
      </w:r>
      <w:r w:rsidR="00953ABA">
        <w:rPr>
          <w:rFonts w:cs="Arial"/>
          <w:lang w:eastAsia="en-GB"/>
        </w:rPr>
        <w:t> </w:t>
      </w:r>
      <w:r w:rsidRPr="00E12183">
        <w:rPr>
          <w:rFonts w:cs="Arial"/>
          <w:lang w:eastAsia="en-GB"/>
        </w:rPr>
        <w:t>million in annual savings by the end of the five-year period. This amounts to 5.</w:t>
      </w:r>
      <w:r w:rsidR="006E5D44" w:rsidRPr="00E12183">
        <w:rPr>
          <w:rFonts w:cs="Arial"/>
          <w:lang w:eastAsia="en-GB"/>
        </w:rPr>
        <w:t>9</w:t>
      </w:r>
      <w:r w:rsidR="006E5D44">
        <w:rPr>
          <w:rFonts w:cs="Arial"/>
          <w:lang w:eastAsia="en-GB"/>
        </w:rPr>
        <w:t> </w:t>
      </w:r>
      <w:r w:rsidRPr="00E12183">
        <w:rPr>
          <w:rFonts w:cs="Arial"/>
          <w:lang w:eastAsia="en-GB"/>
        </w:rPr>
        <w:t xml:space="preserve">per cent of APTC’s average annual expenditure during Stage II.  </w:t>
      </w:r>
    </w:p>
    <w:p w14:paraId="03EF05C7" w14:textId="5F1189F9" w:rsidR="00AA3DAA" w:rsidRPr="00AA3DAA" w:rsidRDefault="00AA3DAA" w:rsidP="00AA3DAA">
      <w:pPr>
        <w:pStyle w:val="Heading2"/>
      </w:pPr>
      <w:bookmarkStart w:id="90" w:name="_Toc278710562"/>
      <w:r w:rsidRPr="00AA3DAA">
        <w:t>Cost</w:t>
      </w:r>
      <w:r w:rsidR="00546E52">
        <w:t>–</w:t>
      </w:r>
      <w:r w:rsidRPr="00AA3DAA">
        <w:t>benefit analysis</w:t>
      </w:r>
      <w:bookmarkEnd w:id="90"/>
    </w:p>
    <w:p w14:paraId="03BD6695" w14:textId="1FDD55DF" w:rsidR="00AA3DAA" w:rsidRPr="00E12183" w:rsidRDefault="00AA3DAA" w:rsidP="00AA3DAA">
      <w:pPr>
        <w:spacing w:before="120"/>
        <w:rPr>
          <w:rFonts w:cs="Arial"/>
          <w:lang w:eastAsia="en-GB"/>
        </w:rPr>
      </w:pPr>
      <w:r w:rsidRPr="00E12183">
        <w:rPr>
          <w:rFonts w:cs="Arial"/>
          <w:lang w:eastAsia="en-GB"/>
        </w:rPr>
        <w:t xml:space="preserve">The review team was unable to </w:t>
      </w:r>
      <w:r w:rsidR="00727BC9">
        <w:rPr>
          <w:rFonts w:cs="Arial"/>
          <w:lang w:eastAsia="en-GB"/>
        </w:rPr>
        <w:t>discover</w:t>
      </w:r>
      <w:r w:rsidRPr="00E12183">
        <w:rPr>
          <w:rFonts w:cs="Arial"/>
          <w:lang w:eastAsia="en-GB"/>
        </w:rPr>
        <w:t xml:space="preserve"> </w:t>
      </w:r>
      <w:r w:rsidR="006E5D44">
        <w:rPr>
          <w:rFonts w:cs="Arial"/>
          <w:lang w:eastAsia="en-GB"/>
        </w:rPr>
        <w:t>whether</w:t>
      </w:r>
      <w:r w:rsidR="006E5D44" w:rsidRPr="00E12183">
        <w:rPr>
          <w:rFonts w:cs="Arial"/>
          <w:lang w:eastAsia="en-GB"/>
        </w:rPr>
        <w:t xml:space="preserve"> </w:t>
      </w:r>
      <w:r w:rsidR="006E5D44">
        <w:rPr>
          <w:rFonts w:cs="Arial"/>
          <w:lang w:eastAsia="en-GB"/>
        </w:rPr>
        <w:t xml:space="preserve">AusAID conducted </w:t>
      </w:r>
      <w:r w:rsidRPr="00E12183">
        <w:rPr>
          <w:rFonts w:cs="Arial"/>
          <w:lang w:eastAsia="en-GB"/>
        </w:rPr>
        <w:t xml:space="preserve">a project appraisal, based on estimates of costs and benefits, in 2006 and 2007 before APTC’s launch in July 2007. The first mention of cost-benefit analysis (CBA) </w:t>
      </w:r>
      <w:r w:rsidR="006E5D44">
        <w:rPr>
          <w:rFonts w:cs="Arial"/>
          <w:lang w:eastAsia="en-GB"/>
        </w:rPr>
        <w:t>found by</w:t>
      </w:r>
      <w:r w:rsidR="006E5D44" w:rsidRPr="00E12183">
        <w:rPr>
          <w:rFonts w:cs="Arial"/>
          <w:lang w:eastAsia="en-GB"/>
        </w:rPr>
        <w:t xml:space="preserve"> </w:t>
      </w:r>
      <w:r w:rsidRPr="00E12183">
        <w:rPr>
          <w:rFonts w:cs="Arial"/>
          <w:lang w:eastAsia="en-GB"/>
        </w:rPr>
        <w:t xml:space="preserve">the review team appeared in the Mid-Term Review of Stage I, which provided a </w:t>
      </w:r>
      <w:r w:rsidRPr="00E12183">
        <w:rPr>
          <w:rFonts w:cs="Arial"/>
          <w:i/>
          <w:lang w:eastAsia="en-GB"/>
        </w:rPr>
        <w:t>framework</w:t>
      </w:r>
      <w:r w:rsidRPr="00E12183">
        <w:rPr>
          <w:rFonts w:cs="Arial"/>
          <w:lang w:eastAsia="en-GB"/>
        </w:rPr>
        <w:t xml:space="preserve"> for conducting a CBA (or </w:t>
      </w:r>
      <w:r w:rsidR="00A94C62">
        <w:rPr>
          <w:rFonts w:cs="Arial"/>
          <w:szCs w:val="22"/>
          <w:lang w:val="en-GB" w:eastAsia="en-GB"/>
        </w:rPr>
        <w:t>e</w:t>
      </w:r>
      <w:r w:rsidR="00A94C62" w:rsidRPr="009C76A7">
        <w:rPr>
          <w:rFonts w:cs="Arial"/>
          <w:szCs w:val="22"/>
          <w:lang w:val="en-GB" w:eastAsia="en-GB"/>
        </w:rPr>
        <w:t>conomic rate of return</w:t>
      </w:r>
      <w:r w:rsidRPr="00E12183">
        <w:rPr>
          <w:rFonts w:cs="Arial"/>
          <w:lang w:eastAsia="en-GB"/>
        </w:rPr>
        <w:t xml:space="preserve"> </w:t>
      </w:r>
      <w:r w:rsidR="00A94C62">
        <w:rPr>
          <w:rFonts w:cs="Arial"/>
          <w:lang w:eastAsia="en-GB"/>
        </w:rPr>
        <w:t xml:space="preserve">(ERR) </w:t>
      </w:r>
      <w:r w:rsidRPr="00E12183">
        <w:rPr>
          <w:rFonts w:cs="Arial"/>
          <w:lang w:eastAsia="en-GB"/>
        </w:rPr>
        <w:t xml:space="preserve">analysis) but no actual such analysis. The 2010 design document for Stage II did include an ERR analysis, but the document provided few details of the underlying assumptions and variable flows that would allow others to re-estimate the results. The Stage II design team concluded, however, that </w:t>
      </w:r>
      <w:r w:rsidR="008C219C">
        <w:rPr>
          <w:rFonts w:cs="Arial"/>
          <w:lang w:eastAsia="en-GB"/>
        </w:rPr>
        <w:t>‘</w:t>
      </w:r>
      <w:r w:rsidRPr="00E12183">
        <w:rPr>
          <w:rFonts w:cs="Arial"/>
          <w:lang w:eastAsia="en-GB"/>
        </w:rPr>
        <w:t>if graduates obtain work only in their home countries after graduation</w:t>
      </w:r>
      <w:r w:rsidR="008C219C">
        <w:rPr>
          <w:rFonts w:cs="Arial"/>
          <w:lang w:eastAsia="en-GB"/>
        </w:rPr>
        <w:t>’</w:t>
      </w:r>
      <w:r w:rsidR="008C219C" w:rsidRPr="00E12183">
        <w:rPr>
          <w:rFonts w:cs="Arial"/>
          <w:lang w:eastAsia="en-GB"/>
        </w:rPr>
        <w:t xml:space="preserve"> </w:t>
      </w:r>
      <w:r w:rsidRPr="00E12183">
        <w:rPr>
          <w:rFonts w:cs="Arial"/>
          <w:lang w:eastAsia="en-GB"/>
        </w:rPr>
        <w:t>(in</w:t>
      </w:r>
      <w:r w:rsidR="006A6958">
        <w:rPr>
          <w:rFonts w:cs="Arial"/>
          <w:lang w:eastAsia="en-GB"/>
        </w:rPr>
        <w:t> </w:t>
      </w:r>
      <w:r w:rsidRPr="00E12183">
        <w:rPr>
          <w:rFonts w:cs="Arial"/>
          <w:lang w:eastAsia="en-GB"/>
        </w:rPr>
        <w:t xml:space="preserve">the absence, in other words, of migration by APTC graduates to Australia and other high-income economies), </w:t>
      </w:r>
      <w:r w:rsidR="00F629F3">
        <w:rPr>
          <w:rFonts w:cs="Arial"/>
          <w:lang w:eastAsia="en-GB"/>
        </w:rPr>
        <w:t>‘</w:t>
      </w:r>
      <w:r w:rsidRPr="00E12183">
        <w:rPr>
          <w:rFonts w:cs="Arial"/>
          <w:lang w:eastAsia="en-GB"/>
        </w:rPr>
        <w:t xml:space="preserve">the ERR...does not exceed </w:t>
      </w:r>
      <w:r w:rsidR="00A94C62">
        <w:rPr>
          <w:rFonts w:cs="Arial"/>
          <w:lang w:eastAsia="en-GB"/>
        </w:rPr>
        <w:t>eight</w:t>
      </w:r>
      <w:r w:rsidR="00A94C62" w:rsidRPr="00E12183">
        <w:rPr>
          <w:rFonts w:cs="Arial"/>
          <w:lang w:eastAsia="en-GB"/>
        </w:rPr>
        <w:t xml:space="preserve"> </w:t>
      </w:r>
      <w:r w:rsidRPr="00E12183">
        <w:rPr>
          <w:rFonts w:cs="Arial"/>
          <w:lang w:eastAsia="en-GB"/>
        </w:rPr>
        <w:t>per cent</w:t>
      </w:r>
      <w:r w:rsidR="00F629F3">
        <w:rPr>
          <w:rFonts w:cs="Arial"/>
          <w:lang w:eastAsia="en-GB"/>
        </w:rPr>
        <w:t>’</w:t>
      </w:r>
      <w:r w:rsidRPr="00E12183">
        <w:rPr>
          <w:rFonts w:cs="Arial"/>
          <w:lang w:eastAsia="en-GB"/>
        </w:rPr>
        <w:t xml:space="preserve">. </w:t>
      </w:r>
    </w:p>
    <w:p w14:paraId="141519F4" w14:textId="77777777" w:rsidR="00AA3DAA" w:rsidRPr="00E12183" w:rsidRDefault="00AA3DAA" w:rsidP="00AA3DAA">
      <w:pPr>
        <w:spacing w:before="120"/>
        <w:rPr>
          <w:rFonts w:cs="Arial"/>
          <w:lang w:eastAsia="en-GB"/>
        </w:rPr>
      </w:pPr>
      <w:r w:rsidRPr="00E12183">
        <w:rPr>
          <w:rFonts w:cs="Arial"/>
          <w:lang w:eastAsia="en-GB"/>
        </w:rPr>
        <w:t xml:space="preserve">The current review generates new estimates of the ERR on the APTC investment, with assumptions and variable flows spelled out. In the absence of tracer survey information on graduate incomes, the team had to rely on answers to questions about pre- and post-training earnings included in a questionnaire administered to graduates in focus group meetings, but only 174 graduates attended these meetings and completed the questionnaire. This turnout is not a representative sample of APTC graduates. Employers supplied other wages data for their APTC graduates, </w:t>
      </w:r>
      <w:r w:rsidR="006B00FD" w:rsidRPr="006B00FD">
        <w:rPr>
          <w:rFonts w:cs="Arial"/>
          <w:lang w:eastAsia="en-GB"/>
        </w:rPr>
        <w:t xml:space="preserve">resulting in </w:t>
      </w:r>
      <w:r w:rsidRPr="00E12183">
        <w:rPr>
          <w:rFonts w:cs="Arial"/>
          <w:lang w:eastAsia="en-GB"/>
        </w:rPr>
        <w:t xml:space="preserve">information for a total of </w:t>
      </w:r>
      <w:r w:rsidR="005A4750">
        <w:rPr>
          <w:rFonts w:cs="Arial"/>
          <w:lang w:eastAsia="en-GB"/>
        </w:rPr>
        <w:t xml:space="preserve">approximately </w:t>
      </w:r>
      <w:r w:rsidRPr="00E12183">
        <w:rPr>
          <w:rFonts w:cs="Arial"/>
          <w:lang w:eastAsia="en-GB"/>
        </w:rPr>
        <w:t xml:space="preserve">200 graduates. </w:t>
      </w:r>
    </w:p>
    <w:p w14:paraId="0891657C" w14:textId="02E14C13" w:rsidR="00AA3DAA" w:rsidRPr="00E12183" w:rsidRDefault="00AA3DAA" w:rsidP="00AA3DAA">
      <w:pPr>
        <w:spacing w:before="120"/>
        <w:rPr>
          <w:rFonts w:cs="Arial"/>
          <w:lang w:eastAsia="en-GB"/>
        </w:rPr>
      </w:pPr>
      <w:r w:rsidRPr="00E12183">
        <w:rPr>
          <w:rFonts w:cs="Arial"/>
          <w:lang w:eastAsia="en-GB"/>
        </w:rPr>
        <w:t xml:space="preserve">ERRs are estimated from three different time perspectives: (1) 2007, looking at the costs and benefits of Stages I and II; (2) 2011, looking at the costs and benefits of Stage II alone </w:t>
      </w:r>
      <w:r w:rsidR="005A4750">
        <w:rPr>
          <w:rFonts w:cs="Arial"/>
          <w:lang w:eastAsia="en-GB"/>
        </w:rPr>
        <w:t xml:space="preserve">and </w:t>
      </w:r>
      <w:r w:rsidRPr="00E12183">
        <w:rPr>
          <w:rFonts w:cs="Arial"/>
          <w:lang w:eastAsia="en-GB"/>
        </w:rPr>
        <w:t xml:space="preserve">treating Stage I costs as </w:t>
      </w:r>
      <w:r w:rsidR="005525F9">
        <w:rPr>
          <w:rFonts w:cs="Arial"/>
          <w:lang w:eastAsia="en-GB"/>
        </w:rPr>
        <w:t>‘</w:t>
      </w:r>
      <w:r w:rsidRPr="00E12183">
        <w:rPr>
          <w:rFonts w:cs="Arial"/>
          <w:lang w:eastAsia="en-GB"/>
        </w:rPr>
        <w:t>sunk costs</w:t>
      </w:r>
      <w:r w:rsidR="005525F9">
        <w:rPr>
          <w:rFonts w:cs="Arial"/>
          <w:lang w:eastAsia="en-GB"/>
        </w:rPr>
        <w:t>’</w:t>
      </w:r>
      <w:r w:rsidR="005525F9" w:rsidRPr="00E12183">
        <w:rPr>
          <w:rFonts w:cs="Arial"/>
          <w:lang w:eastAsia="en-GB"/>
        </w:rPr>
        <w:t xml:space="preserve">; </w:t>
      </w:r>
      <w:r w:rsidRPr="00E12183">
        <w:rPr>
          <w:rFonts w:cs="Arial"/>
          <w:lang w:eastAsia="en-GB"/>
        </w:rPr>
        <w:t>and (3) 2015, looking at the costs and benefits of a third four-year funding round and treating the costs of both Stage I and Stage II as sunk costs. These three are referred to as models 1, 2 and 3.</w:t>
      </w:r>
      <w:r w:rsidRPr="00E12183">
        <w:rPr>
          <w:rFonts w:ascii="Calibri" w:hAnsi="Calibri"/>
          <w:lang w:eastAsia="en-GB"/>
        </w:rPr>
        <w:t xml:space="preserve"> </w:t>
      </w:r>
      <w:r w:rsidRPr="00E12183">
        <w:rPr>
          <w:rFonts w:cs="Arial"/>
          <w:lang w:eastAsia="en-GB"/>
        </w:rPr>
        <w:t>Two versions of model 3 were estimated. In model 3.1, the base case scenario, it is assumed that the various efficiency measures introduced over the eight semesters of Stage III as recommended in this review will reduce the unit cost (i.e., cost per student) from its average level in Stage II to 90 per cent of that level by the last semester of Stage III (January</w:t>
      </w:r>
      <w:r w:rsidR="005525F9">
        <w:rPr>
          <w:rFonts w:cs="Arial"/>
          <w:lang w:eastAsia="en-GB"/>
        </w:rPr>
        <w:t>–</w:t>
      </w:r>
      <w:r w:rsidRPr="00E12183">
        <w:rPr>
          <w:rFonts w:cs="Arial"/>
          <w:lang w:eastAsia="en-GB"/>
        </w:rPr>
        <w:t xml:space="preserve">June 2019). In model 3.2, a more optimistic scenario, it is assumed that efficiency measures will be twice as effective, reducing unit costs to 80 per cent of the Stage II average.  </w:t>
      </w:r>
    </w:p>
    <w:p w14:paraId="4CEEF03B" w14:textId="77777777" w:rsidR="00AA3DAA" w:rsidRPr="00E12183" w:rsidRDefault="00AA3DAA" w:rsidP="00AA3DAA">
      <w:pPr>
        <w:spacing w:before="120"/>
        <w:rPr>
          <w:rFonts w:cs="Arial"/>
          <w:lang w:eastAsia="en-GB"/>
        </w:rPr>
      </w:pPr>
      <w:r w:rsidRPr="00E12183">
        <w:rPr>
          <w:rFonts w:cs="Arial"/>
          <w:lang w:eastAsia="en-GB"/>
        </w:rPr>
        <w:t>The following analysis is based on available EMIS data from APTC, on responses to questionnaires administered by the team between June and August of 2014 to some 200 graduates</w:t>
      </w:r>
      <w:r w:rsidR="005A4750">
        <w:rPr>
          <w:rFonts w:cs="Arial"/>
          <w:lang w:eastAsia="en-GB"/>
        </w:rPr>
        <w:t xml:space="preserve"> </w:t>
      </w:r>
      <w:r w:rsidRPr="00E12183">
        <w:rPr>
          <w:rFonts w:cs="Arial"/>
          <w:lang w:eastAsia="en-GB"/>
        </w:rPr>
        <w:t>and 211 current students in the five campus countries, and on Australian Census information on the Australian earnings of migrants from the Pacific in 2011. The review team decided on the following base case values for the parameters of the ERR model:</w:t>
      </w:r>
    </w:p>
    <w:p w14:paraId="0582EB64" w14:textId="77777777" w:rsidR="00AA3DAA" w:rsidRPr="00E12183" w:rsidRDefault="00AA3DAA" w:rsidP="00532FE2">
      <w:pPr>
        <w:numPr>
          <w:ilvl w:val="0"/>
          <w:numId w:val="25"/>
        </w:numPr>
        <w:spacing w:before="120"/>
        <w:contextualSpacing/>
        <w:rPr>
          <w:rFonts w:cs="Arial"/>
          <w:lang w:eastAsia="en-GB"/>
        </w:rPr>
      </w:pPr>
      <w:r w:rsidRPr="00E12183">
        <w:rPr>
          <w:rFonts w:cs="Arial"/>
          <w:lang w:eastAsia="en-GB"/>
        </w:rPr>
        <w:t>Direct benefits in the Pacific (average pre- and post-training earnings differential of graduates who do not migrate): $55 per week</w:t>
      </w:r>
    </w:p>
    <w:p w14:paraId="0A8D1AA5" w14:textId="77777777" w:rsidR="00AA3DAA" w:rsidRPr="00E12183" w:rsidRDefault="00AA3DAA" w:rsidP="00AA3DAA">
      <w:pPr>
        <w:spacing w:before="120"/>
        <w:ind w:left="360"/>
        <w:contextualSpacing/>
        <w:rPr>
          <w:rFonts w:cs="Arial"/>
          <w:lang w:eastAsia="en-GB"/>
        </w:rPr>
      </w:pPr>
    </w:p>
    <w:p w14:paraId="6243F213" w14:textId="77777777" w:rsidR="00AA3DAA" w:rsidRPr="00E12183" w:rsidRDefault="00AA3DAA" w:rsidP="00532FE2">
      <w:pPr>
        <w:numPr>
          <w:ilvl w:val="0"/>
          <w:numId w:val="25"/>
        </w:numPr>
        <w:spacing w:before="120"/>
        <w:contextualSpacing/>
        <w:rPr>
          <w:rFonts w:cs="Arial"/>
          <w:lang w:eastAsia="en-GB"/>
        </w:rPr>
      </w:pPr>
      <w:r w:rsidRPr="00E12183">
        <w:rPr>
          <w:rFonts w:cs="Arial"/>
          <w:lang w:eastAsia="en-GB"/>
        </w:rPr>
        <w:t>Direct benefits for those who migrate</w:t>
      </w:r>
    </w:p>
    <w:p w14:paraId="63AA9D57" w14:textId="77777777" w:rsidR="00AA3DAA" w:rsidRPr="00E12183" w:rsidRDefault="00AA3DAA" w:rsidP="00532FE2">
      <w:pPr>
        <w:numPr>
          <w:ilvl w:val="1"/>
          <w:numId w:val="25"/>
        </w:numPr>
        <w:spacing w:before="120"/>
        <w:ind w:left="1080"/>
        <w:contextualSpacing/>
        <w:rPr>
          <w:rFonts w:cs="Arial"/>
          <w:lang w:eastAsia="en-GB"/>
        </w:rPr>
      </w:pPr>
      <w:r w:rsidRPr="00E12183">
        <w:rPr>
          <w:rFonts w:cs="Arial"/>
          <w:lang w:eastAsia="en-GB"/>
        </w:rPr>
        <w:t>Per cent of graduates who migrate: 2.5 per cent</w:t>
      </w:r>
    </w:p>
    <w:p w14:paraId="2362F5AA" w14:textId="77777777" w:rsidR="00AA3DAA" w:rsidRPr="00E12183" w:rsidRDefault="00AA3DAA" w:rsidP="00532FE2">
      <w:pPr>
        <w:numPr>
          <w:ilvl w:val="1"/>
          <w:numId w:val="25"/>
        </w:numPr>
        <w:spacing w:before="120"/>
        <w:ind w:left="1080"/>
        <w:contextualSpacing/>
        <w:rPr>
          <w:rFonts w:cs="Arial"/>
          <w:lang w:eastAsia="en-GB"/>
        </w:rPr>
      </w:pPr>
      <w:r w:rsidRPr="00E12183">
        <w:rPr>
          <w:rFonts w:cs="Arial"/>
          <w:lang w:eastAsia="en-GB"/>
        </w:rPr>
        <w:t>Average time between graduation and migration: 4 years</w:t>
      </w:r>
    </w:p>
    <w:p w14:paraId="2677332E" w14:textId="53FE2A58" w:rsidR="00AA3DAA" w:rsidRPr="00E12183" w:rsidRDefault="00AA3DAA" w:rsidP="00532FE2">
      <w:pPr>
        <w:numPr>
          <w:ilvl w:val="1"/>
          <w:numId w:val="25"/>
        </w:numPr>
        <w:spacing w:before="120"/>
        <w:ind w:left="1080"/>
        <w:contextualSpacing/>
        <w:rPr>
          <w:rFonts w:cs="Arial"/>
          <w:lang w:eastAsia="en-GB"/>
        </w:rPr>
      </w:pPr>
      <w:r w:rsidRPr="00E12183">
        <w:rPr>
          <w:rFonts w:cs="Arial"/>
          <w:lang w:eastAsia="en-GB"/>
        </w:rPr>
        <w:t>Average earnings differential while living abroad (over and above earnings of those at home without APTC training</w:t>
      </w:r>
      <w:r w:rsidR="00A348A7" w:rsidRPr="00A348A7">
        <w:rPr>
          <w:rFonts w:cs="Arial"/>
          <w:lang w:eastAsia="en-GB"/>
        </w:rPr>
        <w:t>, and net of the differential in living costs while overseas)</w:t>
      </w:r>
      <w:r w:rsidR="00A348A7" w:rsidRPr="00A348A7">
        <w:rPr>
          <w:rFonts w:cs="Arial"/>
          <w:szCs w:val="16"/>
          <w:vertAlign w:val="superscript"/>
          <w:lang w:val="sv-SE" w:eastAsia="sv-SE"/>
        </w:rPr>
        <w:footnoteReference w:id="46"/>
      </w:r>
      <w:r w:rsidRPr="00E12183">
        <w:rPr>
          <w:rFonts w:cs="Arial"/>
          <w:lang w:eastAsia="en-GB"/>
        </w:rPr>
        <w:t>: $700 per week</w:t>
      </w:r>
    </w:p>
    <w:p w14:paraId="45F33CEF" w14:textId="77777777" w:rsidR="00AA3DAA" w:rsidRPr="00E12183" w:rsidRDefault="00AA3DAA" w:rsidP="00532FE2">
      <w:pPr>
        <w:numPr>
          <w:ilvl w:val="1"/>
          <w:numId w:val="25"/>
        </w:numPr>
        <w:spacing w:before="120"/>
        <w:ind w:left="1080"/>
        <w:contextualSpacing/>
        <w:rPr>
          <w:rFonts w:cs="Arial"/>
          <w:lang w:eastAsia="en-GB"/>
        </w:rPr>
      </w:pPr>
      <w:r w:rsidRPr="00E12183">
        <w:rPr>
          <w:rFonts w:cs="Arial"/>
          <w:lang w:eastAsia="en-GB"/>
        </w:rPr>
        <w:t>Average duration (time between migration and return home): 10 years</w:t>
      </w:r>
    </w:p>
    <w:p w14:paraId="1F7572C5" w14:textId="77777777" w:rsidR="00AA3DAA" w:rsidRPr="00E12183" w:rsidRDefault="00AA3DAA" w:rsidP="00532FE2">
      <w:pPr>
        <w:numPr>
          <w:ilvl w:val="1"/>
          <w:numId w:val="25"/>
        </w:numPr>
        <w:spacing w:before="120"/>
        <w:ind w:left="1080"/>
        <w:contextualSpacing/>
        <w:rPr>
          <w:rFonts w:cs="Arial"/>
          <w:lang w:eastAsia="en-GB"/>
        </w:rPr>
      </w:pPr>
      <w:r w:rsidRPr="00E12183">
        <w:rPr>
          <w:rFonts w:cs="Arial"/>
          <w:lang w:eastAsia="en-GB"/>
        </w:rPr>
        <w:t>Average earnings differential after return home: $110 (twice parameter A, above)</w:t>
      </w:r>
    </w:p>
    <w:p w14:paraId="77C0B027" w14:textId="77777777" w:rsidR="00AA3DAA" w:rsidRPr="00E12183" w:rsidRDefault="00AA3DAA" w:rsidP="00AA3DAA">
      <w:pPr>
        <w:spacing w:before="120"/>
        <w:ind w:left="360"/>
        <w:contextualSpacing/>
        <w:rPr>
          <w:rFonts w:cs="Arial"/>
          <w:lang w:eastAsia="en-GB"/>
        </w:rPr>
      </w:pPr>
    </w:p>
    <w:p w14:paraId="3632B809" w14:textId="77777777" w:rsidR="00AA3DAA" w:rsidRPr="00E12183" w:rsidRDefault="00AA3DAA" w:rsidP="00532FE2">
      <w:pPr>
        <w:numPr>
          <w:ilvl w:val="0"/>
          <w:numId w:val="25"/>
        </w:numPr>
        <w:spacing w:before="120" w:after="0"/>
        <w:contextualSpacing/>
        <w:rPr>
          <w:rFonts w:cs="Arial"/>
          <w:lang w:eastAsia="en-GB"/>
        </w:rPr>
      </w:pPr>
      <w:r w:rsidRPr="00E12183">
        <w:rPr>
          <w:rFonts w:cs="Arial"/>
          <w:lang w:eastAsia="en-GB"/>
        </w:rPr>
        <w:t>Opportunity costs (average weekly foregone earnings of students while enrolled at APTC): $140 per week</w:t>
      </w:r>
    </w:p>
    <w:p w14:paraId="52CB1273" w14:textId="77777777" w:rsidR="00AA3DAA" w:rsidRPr="00E12183" w:rsidRDefault="00AA3DAA" w:rsidP="00AA3DAA">
      <w:pPr>
        <w:rPr>
          <w:rFonts w:cs="Arial"/>
          <w:lang w:eastAsia="en-GB"/>
        </w:rPr>
      </w:pPr>
    </w:p>
    <w:p w14:paraId="538FB62B" w14:textId="7737BF94" w:rsidR="00AA3DAA" w:rsidRPr="00E12183" w:rsidRDefault="00AA3DAA" w:rsidP="00AA3DAA">
      <w:pPr>
        <w:rPr>
          <w:rFonts w:cs="Arial"/>
          <w:lang w:eastAsia="en-GB"/>
        </w:rPr>
      </w:pPr>
      <w:r w:rsidRPr="00E12183">
        <w:rPr>
          <w:rFonts w:cs="Arial"/>
          <w:lang w:eastAsia="en-GB"/>
        </w:rPr>
        <w:t>Taking 11 per cent interest on the cost of capital to be the relevant discount rate</w:t>
      </w:r>
      <w:r w:rsidR="00E66DA2">
        <w:rPr>
          <w:rFonts w:cs="Arial"/>
          <w:lang w:eastAsia="en-GB"/>
        </w:rPr>
        <w:t>,</w:t>
      </w:r>
      <w:r w:rsidRPr="00E12183">
        <w:rPr>
          <w:rFonts w:cs="Arial"/>
          <w:lang w:eastAsia="en-GB"/>
        </w:rPr>
        <w:t xml:space="preserve"> none of the four models results in an ERR of 11 per cent or higher as needed to pass the </w:t>
      </w:r>
      <w:r w:rsidR="004A4CFC">
        <w:rPr>
          <w:rFonts w:cs="Arial"/>
          <w:lang w:eastAsia="en-GB"/>
        </w:rPr>
        <w:t>‘</w:t>
      </w:r>
      <w:r w:rsidRPr="00E12183">
        <w:rPr>
          <w:rFonts w:cs="Arial"/>
          <w:lang w:eastAsia="en-GB"/>
        </w:rPr>
        <w:t>break-even test</w:t>
      </w:r>
      <w:r w:rsidR="004A4CFC">
        <w:rPr>
          <w:rFonts w:cs="Arial"/>
          <w:lang w:eastAsia="en-GB"/>
        </w:rPr>
        <w:t>’</w:t>
      </w:r>
      <w:r w:rsidRPr="00E12183">
        <w:rPr>
          <w:rFonts w:cs="Arial"/>
          <w:lang w:eastAsia="en-GB"/>
        </w:rPr>
        <w:t xml:space="preserve">. Model 1 has an ERR of 6.4 per cent, and model 2, 8.8 per cent. </w:t>
      </w:r>
      <w:r w:rsidR="004A4CFC" w:rsidRPr="00E12183">
        <w:rPr>
          <w:rFonts w:cs="Arial"/>
          <w:lang w:eastAsia="en-GB"/>
        </w:rPr>
        <w:t>As</w:t>
      </w:r>
      <w:r w:rsidR="004A4CFC">
        <w:rPr>
          <w:rFonts w:cs="Arial"/>
          <w:lang w:eastAsia="en-GB"/>
        </w:rPr>
        <w:t> </w:t>
      </w:r>
      <w:r w:rsidRPr="00E12183">
        <w:rPr>
          <w:rFonts w:cs="Arial"/>
          <w:lang w:eastAsia="en-GB"/>
        </w:rPr>
        <w:t xml:space="preserve">for the forward-looking analysis, model 3.1 has a 10.0 per cent ERR, and </w:t>
      </w:r>
      <w:r w:rsidR="004A4CFC" w:rsidRPr="00E12183">
        <w:rPr>
          <w:rFonts w:cs="Arial"/>
          <w:lang w:eastAsia="en-GB"/>
        </w:rPr>
        <w:t>model</w:t>
      </w:r>
      <w:r w:rsidR="004A4CFC">
        <w:rPr>
          <w:rFonts w:cs="Arial"/>
          <w:lang w:eastAsia="en-GB"/>
        </w:rPr>
        <w:t> </w:t>
      </w:r>
      <w:r w:rsidRPr="00E12183">
        <w:rPr>
          <w:rFonts w:cs="Arial"/>
          <w:lang w:eastAsia="en-GB"/>
        </w:rPr>
        <w:t xml:space="preserve">3.2, 10.9 per cent. The model 3 ERRs, while still below 11 per cent, are at or above the 10 per cent level, which some analysts take to be the cost of capital. It can be argued that the relevant basis for estimating an </w:t>
      </w:r>
      <w:r w:rsidR="00E66DA2">
        <w:rPr>
          <w:rFonts w:cs="Arial"/>
          <w:lang w:eastAsia="en-GB"/>
        </w:rPr>
        <w:t xml:space="preserve">ex ante </w:t>
      </w:r>
      <w:r w:rsidRPr="00E12183">
        <w:rPr>
          <w:rFonts w:cs="Arial"/>
          <w:lang w:eastAsia="en-GB"/>
        </w:rPr>
        <w:t xml:space="preserve">ERR should </w:t>
      </w:r>
      <w:r w:rsidR="00E66DA2">
        <w:rPr>
          <w:rFonts w:cs="Arial"/>
          <w:lang w:eastAsia="en-GB"/>
        </w:rPr>
        <w:t xml:space="preserve">ignore all </w:t>
      </w:r>
      <w:r w:rsidRPr="00E12183">
        <w:rPr>
          <w:rFonts w:cs="Arial"/>
          <w:lang w:eastAsia="en-GB"/>
        </w:rPr>
        <w:t>sunk costs. Using the 10 per cent discount rate, these results imply a positive net present value of the Stage III investment – when we look ahead only and treat all costs during Stages I and II as sunk costs.</w:t>
      </w:r>
      <w:r w:rsidR="00BC5A19" w:rsidRPr="00BC5A19">
        <w:rPr>
          <w:rFonts w:cs="Arial"/>
          <w:szCs w:val="16"/>
          <w:vertAlign w:val="superscript"/>
          <w:lang w:val="sv-SE" w:eastAsia="sv-SE"/>
        </w:rPr>
        <w:footnoteReference w:id="47"/>
      </w:r>
      <w:r w:rsidRPr="00E12183">
        <w:rPr>
          <w:rFonts w:cs="Arial"/>
          <w:lang w:eastAsia="en-GB"/>
        </w:rPr>
        <w:t xml:space="preserve"> </w:t>
      </w:r>
    </w:p>
    <w:p w14:paraId="4B4C7B25" w14:textId="06486357" w:rsidR="00AA3DAA" w:rsidRPr="00E12183" w:rsidRDefault="00AA3DAA" w:rsidP="00AA3DAA">
      <w:pPr>
        <w:pStyle w:val="CommentText"/>
      </w:pPr>
      <w:r w:rsidRPr="00E12183">
        <w:rPr>
          <w:rFonts w:cs="Arial"/>
          <w:sz w:val="22"/>
          <w:szCs w:val="22"/>
          <w:shd w:val="clear" w:color="auto" w:fill="FFFFFF"/>
        </w:rPr>
        <w:t>Given the sizable difference between the estimated earnings of graduates working at home in the Pacific and those who migrate to Australia and other high-income economies, the ERR results are highly sensitive to the assumption about the percentage of graduates who migrate. Just increasing the percentage from 2.5 per cent (the base line assumption) to 3.2 per cent (the optimistic assumption)</w:t>
      </w:r>
      <w:r w:rsidR="00C36A69">
        <w:rPr>
          <w:rFonts w:cs="Arial"/>
          <w:sz w:val="22"/>
          <w:szCs w:val="22"/>
          <w:shd w:val="clear" w:color="auto" w:fill="FFFFFF"/>
        </w:rPr>
        <w:t>,</w:t>
      </w:r>
      <w:r w:rsidRPr="00E12183">
        <w:rPr>
          <w:rFonts w:cs="Arial"/>
          <w:sz w:val="22"/>
          <w:szCs w:val="22"/>
          <w:shd w:val="clear" w:color="auto" w:fill="FFFFFF"/>
        </w:rPr>
        <w:t xml:space="preserve"> increases the estimated ERRs of all three models by approximately one percentage point. Assuming a migration rate of 25 per cent in the future, as was assumed in the Stage II design document, obviously raises all of the ERR estimates to levels well above the 11</w:t>
      </w:r>
      <w:r w:rsidR="008D7209">
        <w:rPr>
          <w:rFonts w:cs="Arial"/>
          <w:sz w:val="22"/>
          <w:szCs w:val="22"/>
          <w:shd w:val="clear" w:color="auto" w:fill="FFFFFF"/>
        </w:rPr>
        <w:t xml:space="preserve"> </w:t>
      </w:r>
      <w:r w:rsidRPr="00E12183">
        <w:rPr>
          <w:rFonts w:cs="Arial"/>
          <w:sz w:val="22"/>
          <w:szCs w:val="22"/>
          <w:shd w:val="clear" w:color="auto" w:fill="FFFFFF"/>
        </w:rPr>
        <w:t>per</w:t>
      </w:r>
      <w:r w:rsidR="008D7209">
        <w:rPr>
          <w:rFonts w:cs="Arial"/>
          <w:sz w:val="22"/>
          <w:szCs w:val="22"/>
          <w:shd w:val="clear" w:color="auto" w:fill="FFFFFF"/>
        </w:rPr>
        <w:t xml:space="preserve"> </w:t>
      </w:r>
      <w:r w:rsidRPr="00E12183">
        <w:rPr>
          <w:rFonts w:cs="Arial"/>
          <w:sz w:val="22"/>
          <w:szCs w:val="22"/>
          <w:shd w:val="clear" w:color="auto" w:fill="FFFFFF"/>
        </w:rPr>
        <w:t>cent break-even level.</w:t>
      </w:r>
      <w:r w:rsidRPr="00E12183">
        <w:rPr>
          <w:rFonts w:cs="Arial"/>
          <w:shd w:val="clear" w:color="auto" w:fill="FFFFFF"/>
        </w:rPr>
        <w:t xml:space="preserve"> </w:t>
      </w:r>
      <w:r w:rsidRPr="00E12183">
        <w:rPr>
          <w:rFonts w:cs="Arial"/>
          <w:sz w:val="22"/>
          <w:szCs w:val="22"/>
          <w:shd w:val="clear" w:color="auto" w:fill="FFFFFF"/>
        </w:rPr>
        <w:t>To maximise economic returns, APTC</w:t>
      </w:r>
      <w:r w:rsidR="00E66DA2">
        <w:rPr>
          <w:rFonts w:cs="Arial"/>
          <w:sz w:val="22"/>
          <w:szCs w:val="22"/>
          <w:shd w:val="clear" w:color="auto" w:fill="FFFFFF"/>
        </w:rPr>
        <w:t>’s</w:t>
      </w:r>
      <w:r w:rsidRPr="00E12183">
        <w:rPr>
          <w:rFonts w:cs="Arial"/>
          <w:sz w:val="22"/>
          <w:szCs w:val="22"/>
          <w:shd w:val="clear" w:color="auto" w:fill="FFFFFF"/>
        </w:rPr>
        <w:t xml:space="preserve"> strategy </w:t>
      </w:r>
      <w:r w:rsidR="00E66DA2">
        <w:rPr>
          <w:rFonts w:cs="Arial"/>
          <w:sz w:val="22"/>
          <w:szCs w:val="22"/>
          <w:shd w:val="clear" w:color="auto" w:fill="FFFFFF"/>
        </w:rPr>
        <w:t xml:space="preserve">for the future </w:t>
      </w:r>
      <w:r w:rsidRPr="00E12183">
        <w:rPr>
          <w:rFonts w:cs="Arial"/>
          <w:sz w:val="22"/>
          <w:szCs w:val="22"/>
          <w:shd w:val="clear" w:color="auto" w:fill="FFFFFF"/>
        </w:rPr>
        <w:t xml:space="preserve">should emphasise labour mobility </w:t>
      </w:r>
      <w:r w:rsidR="00E66DA2">
        <w:rPr>
          <w:rFonts w:cs="Arial"/>
          <w:sz w:val="22"/>
          <w:szCs w:val="22"/>
          <w:shd w:val="clear" w:color="auto" w:fill="FFFFFF"/>
        </w:rPr>
        <w:t xml:space="preserve">and measures to reduce the </w:t>
      </w:r>
      <w:r w:rsidRPr="00E12183">
        <w:rPr>
          <w:rFonts w:cs="Arial"/>
          <w:sz w:val="22"/>
          <w:szCs w:val="22"/>
          <w:shd w:val="clear" w:color="auto" w:fill="FFFFFF"/>
        </w:rPr>
        <w:t>reliance on foreign workers in middle</w:t>
      </w:r>
      <w:r w:rsidR="006B00FD">
        <w:rPr>
          <w:rFonts w:cs="Arial"/>
          <w:sz w:val="22"/>
          <w:szCs w:val="22"/>
          <w:shd w:val="clear" w:color="auto" w:fill="FFFFFF"/>
        </w:rPr>
        <w:t>-</w:t>
      </w:r>
      <w:r w:rsidRPr="00E12183">
        <w:rPr>
          <w:rFonts w:cs="Arial"/>
          <w:sz w:val="22"/>
          <w:szCs w:val="22"/>
          <w:shd w:val="clear" w:color="auto" w:fill="FFFFFF"/>
        </w:rPr>
        <w:t xml:space="preserve">skill occupations. </w:t>
      </w:r>
    </w:p>
    <w:p w14:paraId="501D0704" w14:textId="3FF2E78A" w:rsidR="00AA3DAA" w:rsidRDefault="00AA3DAA" w:rsidP="00AA3DAA">
      <w:pPr>
        <w:rPr>
          <w:rFonts w:cs="Arial"/>
          <w:lang w:eastAsia="en-GB"/>
        </w:rPr>
      </w:pPr>
      <w:r w:rsidRPr="00E12183">
        <w:rPr>
          <w:rFonts w:cs="Arial"/>
          <w:lang w:eastAsia="en-GB"/>
        </w:rPr>
        <w:t>The review team also tried adding externalities</w:t>
      </w:r>
      <w:r w:rsidR="005C4468" w:rsidRPr="00E12183">
        <w:rPr>
          <w:rFonts w:cs="Arial"/>
          <w:lang w:eastAsia="en-GB"/>
        </w:rPr>
        <w:t xml:space="preserve"> </w:t>
      </w:r>
      <w:r w:rsidRPr="00E12183">
        <w:rPr>
          <w:rFonts w:cs="Arial"/>
          <w:lang w:eastAsia="en-GB"/>
        </w:rPr>
        <w:t>(indirect benefits) to the CBA. There is ample reason to believe that APTC graduates contr</w:t>
      </w:r>
      <w:r w:rsidR="00B44E69">
        <w:rPr>
          <w:rFonts w:cs="Arial"/>
          <w:lang w:eastAsia="en-GB"/>
        </w:rPr>
        <w:t>ibute to workplace productivity</w:t>
      </w:r>
      <w:r w:rsidRPr="00E12183">
        <w:rPr>
          <w:rFonts w:cs="Arial"/>
          <w:lang w:eastAsia="en-GB"/>
        </w:rPr>
        <w:t xml:space="preserve"> by passing along knowledge to co-workers</w:t>
      </w:r>
      <w:r w:rsidR="00BC5A19">
        <w:rPr>
          <w:rFonts w:cs="Arial"/>
          <w:lang w:eastAsia="en-GB"/>
        </w:rPr>
        <w:t xml:space="preserve">, </w:t>
      </w:r>
      <w:r w:rsidRPr="00E12183">
        <w:rPr>
          <w:rFonts w:cs="Arial"/>
          <w:lang w:eastAsia="en-GB"/>
        </w:rPr>
        <w:t xml:space="preserve">improving workplace </w:t>
      </w:r>
      <w:r w:rsidR="005C4468" w:rsidRPr="00E12183">
        <w:rPr>
          <w:rFonts w:cs="Arial"/>
          <w:lang w:eastAsia="en-GB"/>
        </w:rPr>
        <w:t>organi</w:t>
      </w:r>
      <w:r w:rsidR="005C4468">
        <w:rPr>
          <w:rFonts w:cs="Arial"/>
          <w:lang w:eastAsia="en-GB"/>
        </w:rPr>
        <w:t>s</w:t>
      </w:r>
      <w:r w:rsidR="005C4468" w:rsidRPr="00E12183">
        <w:rPr>
          <w:rFonts w:cs="Arial"/>
          <w:lang w:eastAsia="en-GB"/>
        </w:rPr>
        <w:t xml:space="preserve">ation </w:t>
      </w:r>
      <w:r w:rsidRPr="00E12183">
        <w:rPr>
          <w:rFonts w:cs="Arial"/>
          <w:lang w:eastAsia="en-GB"/>
        </w:rPr>
        <w:t>and procedures</w:t>
      </w:r>
      <w:r w:rsidR="00BC5A19" w:rsidRPr="00BC5A19">
        <w:rPr>
          <w:rFonts w:cs="Arial"/>
          <w:lang w:eastAsia="en-GB"/>
        </w:rPr>
        <w:t>, and training staff of NTI providers</w:t>
      </w:r>
      <w:r w:rsidRPr="00E12183">
        <w:rPr>
          <w:rFonts w:cs="Arial"/>
          <w:lang w:eastAsia="en-GB"/>
        </w:rPr>
        <w:t xml:space="preserve"> (</w:t>
      </w:r>
      <w:r w:rsidRPr="0069509F">
        <w:rPr>
          <w:rFonts w:cs="Arial"/>
          <w:lang w:eastAsia="en-GB"/>
        </w:rPr>
        <w:t xml:space="preserve">Chapter </w:t>
      </w:r>
      <w:r w:rsidR="00AB276A">
        <w:rPr>
          <w:rFonts w:cs="Arial"/>
          <w:lang w:eastAsia="en-GB"/>
        </w:rPr>
        <w:t>4</w:t>
      </w:r>
      <w:r w:rsidR="00B14918">
        <w:rPr>
          <w:rFonts w:cs="Arial"/>
          <w:lang w:eastAsia="en-GB"/>
        </w:rPr>
        <w:t xml:space="preserve"> and Annex 8</w:t>
      </w:r>
      <w:r w:rsidRPr="00E12183">
        <w:rPr>
          <w:rFonts w:cs="Arial"/>
          <w:lang w:eastAsia="en-GB"/>
        </w:rPr>
        <w:t>). The problem is that these indirect benefits are difficult</w:t>
      </w:r>
      <w:r w:rsidR="007B4CB9">
        <w:rPr>
          <w:rFonts w:cs="Arial"/>
          <w:lang w:eastAsia="en-GB"/>
        </w:rPr>
        <w:t>,</w:t>
      </w:r>
      <w:r w:rsidRPr="00E12183">
        <w:rPr>
          <w:rFonts w:cs="Arial"/>
          <w:lang w:eastAsia="en-GB"/>
        </w:rPr>
        <w:t xml:space="preserve"> if not impossible</w:t>
      </w:r>
      <w:r w:rsidR="007B4CB9">
        <w:rPr>
          <w:rFonts w:cs="Arial"/>
          <w:lang w:eastAsia="en-GB"/>
        </w:rPr>
        <w:t>,</w:t>
      </w:r>
      <w:r w:rsidRPr="00E12183">
        <w:rPr>
          <w:rFonts w:cs="Arial"/>
          <w:lang w:eastAsia="en-GB"/>
        </w:rPr>
        <w:t xml:space="preserve"> to measure, which means that incorporating them into the CBA requires bold assumptions. To be fully credible, an ERR incorporating externalities would need to be based on empirically based evidence.</w:t>
      </w:r>
    </w:p>
    <w:p w14:paraId="4F4CD59E" w14:textId="5682097A" w:rsidR="00BC5A19" w:rsidRPr="00E12183" w:rsidRDefault="00BC5A19" w:rsidP="00DF7C96">
      <w:pPr>
        <w:spacing w:before="120"/>
        <w:rPr>
          <w:rFonts w:cs="Arial"/>
          <w:lang w:eastAsia="en-GB"/>
        </w:rPr>
      </w:pPr>
      <w:r w:rsidRPr="00BC5A19">
        <w:rPr>
          <w:rFonts w:cs="Arial"/>
        </w:rPr>
        <w:t xml:space="preserve">It should be noted that the VfM analysis in this independent review considers only the </w:t>
      </w:r>
      <w:r w:rsidRPr="00BC5A19">
        <w:rPr>
          <w:rFonts w:cs="Arial"/>
          <w:i/>
        </w:rPr>
        <w:t>dollar</w:t>
      </w:r>
      <w:r w:rsidRPr="00BC5A19">
        <w:rPr>
          <w:rFonts w:cs="Arial"/>
        </w:rPr>
        <w:t xml:space="preserve"> costs and the </w:t>
      </w:r>
      <w:r w:rsidRPr="00BC5A19">
        <w:rPr>
          <w:rFonts w:cs="Arial"/>
          <w:i/>
        </w:rPr>
        <w:t>dollar</w:t>
      </w:r>
      <w:r w:rsidRPr="00BC5A19">
        <w:rPr>
          <w:rFonts w:cs="Arial"/>
        </w:rPr>
        <w:t xml:space="preserve"> benefits of the investment. Questions having to do with Australia’s reputation in the Pacific (and in the eyes of the global community at large) and the likely pushback from any decision to walk away from the project after eight years of support (whether abruptly, or over a period of time, according to some well-prepared and transparent exit strategy), while certainly relevant to Australia’s ultimate decision, are not factored into the economic analysis.</w:t>
      </w:r>
    </w:p>
    <w:p w14:paraId="04A316B9" w14:textId="77777777" w:rsidR="00AA3DAA" w:rsidRPr="00AA3DAA" w:rsidRDefault="00AA3DAA" w:rsidP="00AA3DAA">
      <w:pPr>
        <w:pStyle w:val="Heading2"/>
      </w:pPr>
      <w:bookmarkStart w:id="91" w:name="_Toc278710563"/>
      <w:r w:rsidRPr="00AA3DAA">
        <w:t>Sustainability</w:t>
      </w:r>
      <w:bookmarkEnd w:id="91"/>
    </w:p>
    <w:p w14:paraId="7FAB6AC1" w14:textId="103068E8" w:rsidR="00AA3DAA" w:rsidRPr="00E12183" w:rsidRDefault="00AA3DAA" w:rsidP="00AA3DAA">
      <w:pPr>
        <w:spacing w:before="120"/>
        <w:rPr>
          <w:rFonts w:cs="Arial"/>
          <w:lang w:eastAsia="en-GB"/>
        </w:rPr>
      </w:pPr>
      <w:r w:rsidRPr="00E12183">
        <w:rPr>
          <w:rFonts w:cs="Arial"/>
          <w:lang w:eastAsia="en-GB"/>
        </w:rPr>
        <w:t xml:space="preserve">The sustainability of APTC in the absence of GoA funding seems unlikely for a number of reasons. These include APTC’s high costs relative to the benefits its graduates can gain as reflected </w:t>
      </w:r>
      <w:r w:rsidR="00E66DA2">
        <w:rPr>
          <w:rFonts w:cs="Arial"/>
          <w:lang w:eastAsia="en-GB"/>
        </w:rPr>
        <w:t xml:space="preserve">by </w:t>
      </w:r>
      <w:r w:rsidRPr="00E12183">
        <w:rPr>
          <w:rFonts w:cs="Arial"/>
          <w:lang w:eastAsia="en-GB"/>
        </w:rPr>
        <w:t xml:space="preserve">the incomes </w:t>
      </w:r>
      <w:r w:rsidR="00E66DA2">
        <w:rPr>
          <w:rFonts w:cs="Arial"/>
          <w:lang w:eastAsia="en-GB"/>
        </w:rPr>
        <w:t xml:space="preserve">they can expect to </w:t>
      </w:r>
      <w:r w:rsidRPr="00E12183">
        <w:rPr>
          <w:rFonts w:cs="Arial"/>
          <w:lang w:eastAsia="en-GB"/>
        </w:rPr>
        <w:t xml:space="preserve">earn in the Pacific. APTC will continue to have high costs in the future compared with the costs of national training institutions (NTIs). Even if APTC manages to reduce unit costs by as much as 20 per cent over the course of a third four-year funding cycle, the average cost per graduate will still be six to 15 times higher than GDP per capita across the 14 PICs. </w:t>
      </w:r>
    </w:p>
    <w:p w14:paraId="6E2B6D1D" w14:textId="150382D0" w:rsidR="00AA3DAA" w:rsidRDefault="00AA3DAA" w:rsidP="00AA3DAA">
      <w:pPr>
        <w:spacing w:before="120"/>
        <w:rPr>
          <w:rFonts w:cs="Arial"/>
          <w:lang w:eastAsia="en-GB"/>
        </w:rPr>
      </w:pPr>
      <w:r w:rsidRPr="00E12183">
        <w:rPr>
          <w:rFonts w:cs="Arial"/>
          <w:lang w:eastAsia="en-GB"/>
        </w:rPr>
        <w:t>Another reason that works against APTC achieving sustainability from student fees is that APTC students are generally not eligible for</w:t>
      </w:r>
      <w:r w:rsidR="000F6E29">
        <w:rPr>
          <w:rFonts w:cs="Arial"/>
          <w:lang w:eastAsia="en-GB"/>
        </w:rPr>
        <w:t>,</w:t>
      </w:r>
      <w:r w:rsidRPr="00E12183">
        <w:rPr>
          <w:rFonts w:cs="Arial"/>
          <w:lang w:eastAsia="en-GB"/>
        </w:rPr>
        <w:t xml:space="preserve"> or find it difficult to access</w:t>
      </w:r>
      <w:r w:rsidR="000F6E29">
        <w:rPr>
          <w:rFonts w:cs="Arial"/>
          <w:lang w:eastAsia="en-GB"/>
        </w:rPr>
        <w:t>,</w:t>
      </w:r>
      <w:r w:rsidRPr="00E12183">
        <w:rPr>
          <w:rFonts w:cs="Arial"/>
          <w:lang w:eastAsia="en-GB"/>
        </w:rPr>
        <w:t xml:space="preserve"> national training funds that are available for students who attend NTIs. APTC tuition fees are set at notional levels across the five campus countries, ranging in 2014 from a low of $380 to a high of $2239 per qualification. This compares with unit costs in the $26,000</w:t>
      </w:r>
      <w:r w:rsidR="000F6E29">
        <w:rPr>
          <w:rFonts w:cs="Arial"/>
          <w:lang w:eastAsia="en-GB"/>
        </w:rPr>
        <w:t xml:space="preserve"> to </w:t>
      </w:r>
      <w:r w:rsidRPr="00E12183">
        <w:rPr>
          <w:rFonts w:cs="Arial"/>
          <w:lang w:eastAsia="en-GB"/>
        </w:rPr>
        <w:t xml:space="preserve">$30,000 range. However, few students (or employers of students) pay even these heavily subsidised fees. The majority (about 75 per cent) of APTC students are given scholarships, which cover their transportation and living expenses, and they pay nothing for tuition. </w:t>
      </w:r>
    </w:p>
    <w:p w14:paraId="47E5815B" w14:textId="51E9406F" w:rsidR="001B7C1E" w:rsidRPr="001B7C1E" w:rsidRDefault="001B7C1E" w:rsidP="001B7C1E">
      <w:pPr>
        <w:spacing w:before="120"/>
        <w:rPr>
          <w:rFonts w:cs="Arial"/>
        </w:rPr>
      </w:pPr>
      <w:r w:rsidRPr="001B7C1E">
        <w:rPr>
          <w:rFonts w:cs="Arial"/>
          <w:lang w:eastAsia="en-GB"/>
        </w:rPr>
        <w:t xml:space="preserve">To reduce the burden </w:t>
      </w:r>
      <w:r w:rsidR="00B44E69">
        <w:rPr>
          <w:rFonts w:cs="Arial"/>
          <w:lang w:eastAsia="en-GB"/>
        </w:rPr>
        <w:t>of APTC costs on Australian tax</w:t>
      </w:r>
      <w:r w:rsidRPr="001B7C1E">
        <w:rPr>
          <w:rFonts w:cs="Arial"/>
          <w:lang w:eastAsia="en-GB"/>
        </w:rPr>
        <w:t xml:space="preserve">payers, in the interest of improved sustainability, the review team recommends reducing the percentage of students given scholarships and increasing, over time, the percentage of students who pay, or whose employers pay, the notional tuition fees. </w:t>
      </w:r>
      <w:r w:rsidRPr="001B7C1E">
        <w:rPr>
          <w:rFonts w:cs="Arial"/>
        </w:rPr>
        <w:t>One proposal that has been considered would be to require international employers to pay the tuition fees of enrolled employees, although the possibility of ‘free riding’ (an employer who ‘fires’ workers prior to the APTC training and re-hires them when the training is completed) is evident. Given the generous availability of scholarships over the first seven years of APTC, any reduction</w:t>
      </w:r>
      <w:r w:rsidR="00A23708">
        <w:rPr>
          <w:rFonts w:cs="Arial"/>
        </w:rPr>
        <w:t xml:space="preserve"> in availability in the future c</w:t>
      </w:r>
      <w:r w:rsidRPr="001B7C1E">
        <w:rPr>
          <w:rFonts w:cs="Arial"/>
        </w:rPr>
        <w:t xml:space="preserve">ould meet with a negative PIC response. Moreover, </w:t>
      </w:r>
      <w:r w:rsidR="00A23708">
        <w:rPr>
          <w:rFonts w:cs="Arial"/>
        </w:rPr>
        <w:t xml:space="preserve">to avoid negative consequences on equity, </w:t>
      </w:r>
      <w:r w:rsidRPr="001B7C1E">
        <w:rPr>
          <w:rFonts w:cs="Arial"/>
        </w:rPr>
        <w:t>efforts would be needed on the part of the College to ensure that qualified applicants with no family or employer financial backing would not be barred from admission.</w:t>
      </w:r>
    </w:p>
    <w:p w14:paraId="4AA05A46" w14:textId="77D427F9" w:rsidR="001B7C1E" w:rsidRPr="001B7C1E" w:rsidRDefault="001B7C1E" w:rsidP="001B7C1E">
      <w:pPr>
        <w:spacing w:before="120"/>
        <w:rPr>
          <w:rFonts w:cs="Arial"/>
        </w:rPr>
      </w:pPr>
      <w:r w:rsidRPr="001B7C1E">
        <w:rPr>
          <w:rFonts w:cs="Arial"/>
          <w:lang w:eastAsia="en-GB"/>
        </w:rPr>
        <w:t xml:space="preserve">Although it amounts to a preliminary recommendation requiring a careful feasibility study to assess the benefits and likely risks, another </w:t>
      </w:r>
      <w:r w:rsidRPr="001B7C1E">
        <w:rPr>
          <w:rFonts w:cs="Arial"/>
        </w:rPr>
        <w:t xml:space="preserve">plan for the future would be for APTC to transition from a system of grants (scholarships) to a system of student loans. The </w:t>
      </w:r>
      <w:r w:rsidR="00E97633">
        <w:rPr>
          <w:rFonts w:cs="Arial"/>
        </w:rPr>
        <w:t>key</w:t>
      </w:r>
      <w:r w:rsidRPr="001B7C1E">
        <w:rPr>
          <w:rFonts w:cs="Arial"/>
        </w:rPr>
        <w:t xml:space="preserve"> for APTC, of course, is how to ensure repayment on the part of graduates with outstanding loans. One possibility would be to require every loan recipient to </w:t>
      </w:r>
      <w:r w:rsidR="00642C11">
        <w:rPr>
          <w:rFonts w:cs="Arial"/>
        </w:rPr>
        <w:t>have an</w:t>
      </w:r>
      <w:r w:rsidRPr="00642C11">
        <w:rPr>
          <w:rFonts w:cs="Arial"/>
        </w:rPr>
        <w:t xml:space="preserve"> established</w:t>
      </w:r>
      <w:r w:rsidR="00642C11">
        <w:rPr>
          <w:rFonts w:cs="Arial"/>
        </w:rPr>
        <w:t>,</w:t>
      </w:r>
      <w:r w:rsidRPr="00642C11">
        <w:rPr>
          <w:rFonts w:cs="Arial"/>
        </w:rPr>
        <w:t xml:space="preserve"> demonstrably dependable </w:t>
      </w:r>
      <w:r w:rsidR="00642C11">
        <w:rPr>
          <w:rFonts w:cs="Arial"/>
        </w:rPr>
        <w:t xml:space="preserve">person </w:t>
      </w:r>
      <w:r w:rsidRPr="00642C11">
        <w:rPr>
          <w:rFonts w:cs="Arial"/>
        </w:rPr>
        <w:t>to co-sign and guarantee the</w:t>
      </w:r>
      <w:r w:rsidRPr="001B7C1E">
        <w:rPr>
          <w:rFonts w:cs="Arial"/>
        </w:rPr>
        <w:t xml:space="preserve"> loan. Also, the loans could be made income-contin</w:t>
      </w:r>
      <w:r w:rsidR="00586904">
        <w:rPr>
          <w:rFonts w:cs="Arial"/>
        </w:rPr>
        <w:t>g</w:t>
      </w:r>
      <w:r w:rsidRPr="001B7C1E">
        <w:rPr>
          <w:rFonts w:cs="Arial"/>
        </w:rPr>
        <w:t xml:space="preserve">ent (in the fashion of Australia’s Higher Education Contribution Scheme), and some loan forgiveness could be given to graduates who maintain close ties with the College and provide regular and accurate information on employment outcomes. If APTC (or DFAT) could make this system work and establish a revolving loan fund, this would amount to approximately 15 per cent in APTC cost savings (in terms of expenditure in Stage II, </w:t>
      </w:r>
      <w:r w:rsidR="00000D44">
        <w:rPr>
          <w:rFonts w:cs="Arial"/>
        </w:rPr>
        <w:t>this would be equivalent to</w:t>
      </w:r>
      <w:r w:rsidRPr="001B7C1E">
        <w:rPr>
          <w:rFonts w:cs="Arial"/>
        </w:rPr>
        <w:t xml:space="preserve"> more than $5</w:t>
      </w:r>
      <w:r w:rsidR="00586904">
        <w:rPr>
          <w:rFonts w:cs="Arial"/>
        </w:rPr>
        <w:t> </w:t>
      </w:r>
      <w:r w:rsidRPr="001B7C1E">
        <w:rPr>
          <w:rFonts w:cs="Arial"/>
        </w:rPr>
        <w:t>million per year).</w:t>
      </w:r>
    </w:p>
    <w:p w14:paraId="1305ED3F" w14:textId="5D6049CE" w:rsidR="00AA3DAA" w:rsidRPr="00E12183" w:rsidRDefault="00AA3DAA" w:rsidP="00AA3DAA">
      <w:pPr>
        <w:spacing w:before="120"/>
        <w:rPr>
          <w:lang w:eastAsia="en-GB"/>
        </w:rPr>
      </w:pPr>
      <w:r w:rsidRPr="00E12183">
        <w:rPr>
          <w:rFonts w:cs="Arial"/>
          <w:lang w:eastAsia="en-GB"/>
        </w:rPr>
        <w:t xml:space="preserve">Fee-for-service programs, for which APTC’s policy is to charge industry and donor agencies full-cost fees including a 10 per cent profit on top of costs, offer some </w:t>
      </w:r>
      <w:r w:rsidR="0039515B">
        <w:rPr>
          <w:rFonts w:cs="Arial"/>
          <w:lang w:eastAsia="en-GB"/>
        </w:rPr>
        <w:t xml:space="preserve">further </w:t>
      </w:r>
      <w:r w:rsidRPr="00E12183">
        <w:rPr>
          <w:rFonts w:cs="Arial"/>
          <w:lang w:eastAsia="en-GB"/>
        </w:rPr>
        <w:t xml:space="preserve">scope for cost recovery. To date, APTC has landed few fee-for-service contracts with industry, but there has been </w:t>
      </w:r>
      <w:r w:rsidR="00A348A7">
        <w:rPr>
          <w:rFonts w:cs="Arial"/>
          <w:lang w:eastAsia="en-GB"/>
        </w:rPr>
        <w:t xml:space="preserve">substantial </w:t>
      </w:r>
      <w:r w:rsidRPr="00E12183">
        <w:rPr>
          <w:rFonts w:cs="Arial"/>
          <w:lang w:eastAsia="en-GB"/>
        </w:rPr>
        <w:t>success with donors </w:t>
      </w:r>
      <w:r w:rsidR="006B00FD">
        <w:rPr>
          <w:rFonts w:cs="Arial"/>
          <w:lang w:eastAsia="en-GB"/>
        </w:rPr>
        <w:t>(</w:t>
      </w:r>
      <w:r w:rsidRPr="00E12183">
        <w:rPr>
          <w:rFonts w:cs="Arial"/>
          <w:lang w:eastAsia="en-GB"/>
        </w:rPr>
        <w:t xml:space="preserve">including </w:t>
      </w:r>
      <w:r w:rsidR="00886FFF" w:rsidRPr="00E12183">
        <w:rPr>
          <w:rFonts w:cs="Arial"/>
          <w:lang w:eastAsia="en-GB"/>
        </w:rPr>
        <w:t xml:space="preserve">the EU, NZAID, </w:t>
      </w:r>
      <w:r w:rsidR="006B1BE0">
        <w:rPr>
          <w:rFonts w:cs="Arial"/>
          <w:lang w:eastAsia="en-GB"/>
        </w:rPr>
        <w:t>the Food and Agriculture Organisation</w:t>
      </w:r>
      <w:r w:rsidR="00605690">
        <w:rPr>
          <w:rFonts w:cs="Arial"/>
          <w:lang w:eastAsia="en-GB"/>
        </w:rPr>
        <w:t xml:space="preserve"> of the UN</w:t>
      </w:r>
      <w:r w:rsidR="006B1BE0">
        <w:rPr>
          <w:rFonts w:cs="Arial"/>
          <w:lang w:eastAsia="en-GB"/>
        </w:rPr>
        <w:t xml:space="preserve"> (FAO)</w:t>
      </w:r>
      <w:r w:rsidRPr="00E12183">
        <w:rPr>
          <w:rFonts w:cs="Arial"/>
          <w:lang w:eastAsia="en-GB"/>
        </w:rPr>
        <w:t xml:space="preserve">, and </w:t>
      </w:r>
      <w:r w:rsidR="006B1BE0">
        <w:rPr>
          <w:rFonts w:cs="Arial"/>
          <w:lang w:eastAsia="en-GB"/>
        </w:rPr>
        <w:t xml:space="preserve">the </w:t>
      </w:r>
      <w:r w:rsidRPr="00E12183">
        <w:rPr>
          <w:rFonts w:cs="Arial"/>
          <w:lang w:eastAsia="en-GB"/>
        </w:rPr>
        <w:t>UN</w:t>
      </w:r>
      <w:r w:rsidR="006B1BE0">
        <w:rPr>
          <w:rFonts w:cs="Arial"/>
          <w:lang w:eastAsia="en-GB"/>
        </w:rPr>
        <w:t xml:space="preserve"> Development Program</w:t>
      </w:r>
      <w:r w:rsidR="006B1BE0" w:rsidRPr="00E12183">
        <w:rPr>
          <w:rFonts w:cs="Arial"/>
          <w:lang w:eastAsia="en-GB"/>
        </w:rPr>
        <w:t xml:space="preserve"> </w:t>
      </w:r>
      <w:r w:rsidRPr="00E12183">
        <w:rPr>
          <w:rFonts w:cs="Arial"/>
          <w:lang w:eastAsia="en-GB"/>
        </w:rPr>
        <w:t>– as well as with AusAID/DFAT</w:t>
      </w:r>
      <w:r w:rsidR="006B00FD">
        <w:rPr>
          <w:rFonts w:cs="Arial"/>
          <w:lang w:eastAsia="en-GB"/>
        </w:rPr>
        <w:t>)</w:t>
      </w:r>
      <w:r w:rsidRPr="00E12183">
        <w:rPr>
          <w:rFonts w:cs="Arial"/>
          <w:lang w:eastAsia="en-GB"/>
        </w:rPr>
        <w:t xml:space="preserve"> in </w:t>
      </w:r>
      <w:r w:rsidR="006B00FD">
        <w:rPr>
          <w:rFonts w:cs="Arial"/>
          <w:lang w:eastAsia="en-GB"/>
        </w:rPr>
        <w:t xml:space="preserve">negotiating </w:t>
      </w:r>
      <w:r w:rsidRPr="00E12183">
        <w:rPr>
          <w:rFonts w:cs="Arial"/>
          <w:lang w:eastAsia="en-GB"/>
        </w:rPr>
        <w:t xml:space="preserve">contracts for training that </w:t>
      </w:r>
      <w:r w:rsidR="006B00FD">
        <w:rPr>
          <w:rFonts w:cs="Arial"/>
          <w:lang w:eastAsia="en-GB"/>
        </w:rPr>
        <w:t xml:space="preserve">donors need in their </w:t>
      </w:r>
      <w:r w:rsidRPr="00E12183">
        <w:rPr>
          <w:rFonts w:cs="Arial"/>
          <w:lang w:eastAsia="en-GB"/>
        </w:rPr>
        <w:t xml:space="preserve">aid projects. </w:t>
      </w:r>
      <w:r w:rsidR="00A348A7" w:rsidRPr="00A348A7">
        <w:rPr>
          <w:rFonts w:cs="Arial"/>
          <w:lang w:eastAsia="en-GB"/>
        </w:rPr>
        <w:t>APTC set itself a target of reaching $500,000 in profit from fee-for-service activities during Stage II. As of the third quarter of 2014, $354,000 had been earned. A recently awarded project w</w:t>
      </w:r>
      <w:r w:rsidR="00595213">
        <w:rPr>
          <w:rFonts w:cs="Arial"/>
          <w:lang w:eastAsia="en-GB"/>
        </w:rPr>
        <w:t>ill</w:t>
      </w:r>
      <w:r w:rsidR="00A348A7" w:rsidRPr="00A348A7">
        <w:rPr>
          <w:rFonts w:cs="Arial"/>
          <w:lang w:eastAsia="en-GB"/>
        </w:rPr>
        <w:t xml:space="preserve"> bring in another $130,000 in profit</w:t>
      </w:r>
      <w:r w:rsidR="00595213">
        <w:rPr>
          <w:rFonts w:cs="Arial"/>
          <w:lang w:eastAsia="en-GB"/>
        </w:rPr>
        <w:t>.</w:t>
      </w:r>
      <w:r w:rsidR="00A348A7" w:rsidRPr="00A348A7">
        <w:rPr>
          <w:rFonts w:cs="Arial"/>
          <w:lang w:eastAsia="en-GB"/>
        </w:rPr>
        <w:t xml:space="preserve"> APTC management was confident that the $500,000 target would be reached by 30</w:t>
      </w:r>
      <w:r w:rsidR="00595213">
        <w:rPr>
          <w:rFonts w:cs="Arial"/>
          <w:lang w:eastAsia="en-GB"/>
        </w:rPr>
        <w:t> </w:t>
      </w:r>
      <w:r w:rsidR="00A348A7" w:rsidRPr="00A348A7">
        <w:rPr>
          <w:rFonts w:cs="Arial"/>
          <w:lang w:eastAsia="en-GB"/>
        </w:rPr>
        <w:t>June 2015.</w:t>
      </w:r>
      <w:r w:rsidR="00A348A7" w:rsidRPr="00A348A7">
        <w:rPr>
          <w:rFonts w:cs="Arial"/>
          <w:szCs w:val="16"/>
          <w:vertAlign w:val="superscript"/>
          <w:lang w:val="sv-SE" w:eastAsia="sv-SE"/>
        </w:rPr>
        <w:footnoteReference w:id="48"/>
      </w:r>
    </w:p>
    <w:p w14:paraId="656B392A" w14:textId="32E5D180" w:rsidR="00AA3DAA" w:rsidRPr="00AA3DAA" w:rsidRDefault="00AA3DAA" w:rsidP="00AA3DAA">
      <w:pPr>
        <w:pStyle w:val="Heading2"/>
      </w:pPr>
      <w:bookmarkStart w:id="92" w:name="_Toc278710564"/>
      <w:r w:rsidRPr="00AA3DAA">
        <w:t>Conclusions</w:t>
      </w:r>
      <w:bookmarkEnd w:id="92"/>
      <w:r w:rsidRPr="00AA3DAA">
        <w:t xml:space="preserve"> </w:t>
      </w:r>
    </w:p>
    <w:p w14:paraId="5D7CF1B3" w14:textId="1264CDAC" w:rsidR="00AA3DAA" w:rsidRPr="00E12183" w:rsidRDefault="00AA3DAA" w:rsidP="00AA3DAA">
      <w:pPr>
        <w:spacing w:before="120"/>
        <w:rPr>
          <w:rFonts w:cs="Arial"/>
          <w:lang w:eastAsia="en-GB"/>
        </w:rPr>
      </w:pPr>
      <w:r w:rsidRPr="00E12183">
        <w:rPr>
          <w:rFonts w:cs="Arial"/>
          <w:lang w:eastAsia="en-GB"/>
        </w:rPr>
        <w:t xml:space="preserve">The review conducted a value for money (VfM) assessment of the APTC investment between 2007 and the end of Stage II, and also looking forward to a possible third round of funding. The VfM analysis </w:t>
      </w:r>
      <w:r w:rsidR="006B00FD">
        <w:rPr>
          <w:rFonts w:cs="Arial"/>
          <w:lang w:eastAsia="en-GB"/>
        </w:rPr>
        <w:t xml:space="preserve">was </w:t>
      </w:r>
      <w:r w:rsidRPr="00E12183">
        <w:rPr>
          <w:rFonts w:cs="Arial"/>
          <w:lang w:eastAsia="en-GB"/>
        </w:rPr>
        <w:t xml:space="preserve">difficult to carry out due to the lack of robust data. The mid-term review of Stage I conducted five years before this review included a careful list of essential survey information that would be needed for a thorough and credible CBA. However, due to the absence of an M&amp;E strategy for APTC, this information was not collected. APTC has conducted a series of graduate and </w:t>
      </w:r>
      <w:r w:rsidR="0059344A">
        <w:rPr>
          <w:rFonts w:cs="Arial"/>
          <w:lang w:eastAsia="en-GB"/>
        </w:rPr>
        <w:t>employer</w:t>
      </w:r>
      <w:r w:rsidR="0059344A" w:rsidRPr="00E12183">
        <w:rPr>
          <w:rFonts w:cs="Arial"/>
          <w:lang w:eastAsia="en-GB"/>
        </w:rPr>
        <w:t xml:space="preserve"> </w:t>
      </w:r>
      <w:r w:rsidRPr="00E12183">
        <w:rPr>
          <w:rFonts w:cs="Arial"/>
          <w:lang w:eastAsia="en-GB"/>
        </w:rPr>
        <w:t xml:space="preserve">surveys to provide information on training outcomes, but information on the wages of graduates is missing. Questions about earnings included in an early survey were deleted in subsequent rounds in response to complaints from national staff that questions </w:t>
      </w:r>
      <w:r w:rsidR="00B06386">
        <w:rPr>
          <w:rFonts w:cs="Arial"/>
          <w:lang w:eastAsia="en-GB"/>
        </w:rPr>
        <w:t xml:space="preserve">about salary levels </w:t>
      </w:r>
      <w:r w:rsidRPr="00E12183">
        <w:rPr>
          <w:rFonts w:cs="Arial"/>
          <w:lang w:eastAsia="en-GB"/>
        </w:rPr>
        <w:t>were culturally inappropriate in the Pacific</w:t>
      </w:r>
      <w:r w:rsidR="00B06386">
        <w:rPr>
          <w:rFonts w:cs="Arial"/>
          <w:lang w:eastAsia="en-GB"/>
        </w:rPr>
        <w:t xml:space="preserve">. </w:t>
      </w:r>
      <w:r w:rsidRPr="00E12183">
        <w:rPr>
          <w:rFonts w:cs="Arial"/>
          <w:lang w:eastAsia="en-GB"/>
        </w:rPr>
        <w:t xml:space="preserve">However, it is also likely that some graduates did not respond to these questions due to uncertainty about </w:t>
      </w:r>
      <w:r w:rsidRPr="00E12183">
        <w:rPr>
          <w:rFonts w:cs="Arial"/>
          <w:i/>
          <w:lang w:eastAsia="en-GB"/>
        </w:rPr>
        <w:t>how</w:t>
      </w:r>
      <w:r w:rsidRPr="00E12183">
        <w:rPr>
          <w:rFonts w:cs="Arial"/>
          <w:lang w:eastAsia="en-GB"/>
        </w:rPr>
        <w:t xml:space="preserve"> to respond.</w:t>
      </w:r>
      <w:r w:rsidRPr="00E12183">
        <w:rPr>
          <w:rStyle w:val="FootnoteReference"/>
          <w:rFonts w:eastAsiaTheme="minorHAnsi"/>
          <w:lang w:val="en-AU"/>
        </w:rPr>
        <w:footnoteReference w:id="49"/>
      </w:r>
      <w:r w:rsidRPr="00E12183">
        <w:rPr>
          <w:rFonts w:cs="Arial"/>
          <w:lang w:eastAsia="en-GB"/>
        </w:rPr>
        <w:t xml:space="preserve"> </w:t>
      </w:r>
    </w:p>
    <w:p w14:paraId="1D513A05" w14:textId="0E1718DE" w:rsidR="00CA6F37" w:rsidRDefault="00AA3DAA">
      <w:pPr>
        <w:rPr>
          <w:rFonts w:cs="Arial"/>
        </w:rPr>
      </w:pPr>
      <w:r w:rsidRPr="00E12183">
        <w:rPr>
          <w:rFonts w:cs="Arial"/>
        </w:rPr>
        <w:t>APTC’s unit costs are high in relation to incomes in the Pacific, the costs of national training institutions, and the costs of similar training in Australia. Several factors are responsible for these higher costs. These include expatriate staff wages, allowances and other conditions of employment (</w:t>
      </w:r>
      <w:r w:rsidR="00B06386">
        <w:rPr>
          <w:rFonts w:cs="Arial"/>
        </w:rPr>
        <w:t xml:space="preserve">e.g. the </w:t>
      </w:r>
      <w:r w:rsidRPr="00E12183">
        <w:rPr>
          <w:rFonts w:cs="Arial"/>
        </w:rPr>
        <w:t>fly-i</w:t>
      </w:r>
      <w:r w:rsidR="00A01A97">
        <w:rPr>
          <w:rFonts w:cs="Arial"/>
        </w:rPr>
        <w:t>n, fly-</w:t>
      </w:r>
      <w:r w:rsidRPr="00E12183">
        <w:rPr>
          <w:rFonts w:cs="Arial"/>
        </w:rPr>
        <w:t xml:space="preserve">out arrangements </w:t>
      </w:r>
      <w:r w:rsidR="00B06386">
        <w:rPr>
          <w:rFonts w:cs="Arial"/>
        </w:rPr>
        <w:t xml:space="preserve">for trainers </w:t>
      </w:r>
      <w:r w:rsidRPr="00E12183">
        <w:rPr>
          <w:rFonts w:cs="Arial"/>
        </w:rPr>
        <w:t>in PNG</w:t>
      </w:r>
      <w:r w:rsidR="00146009">
        <w:rPr>
          <w:rFonts w:cs="Arial"/>
        </w:rPr>
        <w:t>).</w:t>
      </w:r>
      <w:r w:rsidRPr="00E12183">
        <w:rPr>
          <w:rFonts w:cs="Arial"/>
        </w:rPr>
        <w:t xml:space="preserve"> Diseconomies of scale and costly security arrangements are other reasons. </w:t>
      </w:r>
    </w:p>
    <w:p w14:paraId="2946C65B" w14:textId="0E542A6F" w:rsidR="00AF55E0" w:rsidRDefault="00AA3DAA" w:rsidP="009C76A7">
      <w:pPr>
        <w:spacing w:after="0"/>
        <w:rPr>
          <w:rFonts w:cs="Arial"/>
        </w:rPr>
      </w:pPr>
      <w:r w:rsidRPr="00E12183">
        <w:rPr>
          <w:rFonts w:cs="Arial"/>
        </w:rPr>
        <w:t>In any extension of APTC, it will be important to implement measures to reduce unit costs so as to boost the economic rate of return and to diversify sources of financing so as to reduce the dependence on Australian aid support.</w:t>
      </w:r>
    </w:p>
    <w:p w14:paraId="7E8B6D57" w14:textId="77777777" w:rsidR="00AA3DAA" w:rsidRPr="00E12183" w:rsidRDefault="00AA3DAA">
      <w:pPr>
        <w:pStyle w:val="Heading1"/>
        <w:rPr>
          <w:rFonts w:eastAsia="Calibri"/>
        </w:rPr>
      </w:pPr>
      <w:bookmarkStart w:id="93" w:name="_Toc278710565"/>
      <w:r w:rsidRPr="00E12183">
        <w:rPr>
          <w:rFonts w:eastAsia="Calibri"/>
        </w:rPr>
        <w:t>Future of the APTC</w:t>
      </w:r>
      <w:r w:rsidRPr="001B6844">
        <w:rPr>
          <w:rFonts w:eastAsia="Calibri"/>
          <w:b w:val="0"/>
          <w:color w:val="auto"/>
          <w:vertAlign w:val="superscript"/>
        </w:rPr>
        <w:footnoteReference w:id="50"/>
      </w:r>
      <w:bookmarkEnd w:id="93"/>
    </w:p>
    <w:p w14:paraId="45EE8DAE" w14:textId="77777777" w:rsidR="00AA3DAA" w:rsidRPr="00E12183" w:rsidRDefault="00AA3DAA" w:rsidP="00AA3DAA">
      <w:pPr>
        <w:pStyle w:val="Heading2"/>
        <w:rPr>
          <w:rFonts w:eastAsia="Calibri"/>
        </w:rPr>
      </w:pPr>
      <w:bookmarkStart w:id="94" w:name="_Toc278710566"/>
      <w:r w:rsidRPr="00E12183">
        <w:rPr>
          <w:rFonts w:eastAsia="Calibri"/>
        </w:rPr>
        <w:t>Short-term measures</w:t>
      </w:r>
      <w:bookmarkEnd w:id="94"/>
    </w:p>
    <w:p w14:paraId="6BBE156A" w14:textId="588061EC" w:rsidR="00AA3DAA" w:rsidRPr="00E12183" w:rsidRDefault="00AA3DAA" w:rsidP="00AA3DAA">
      <w:pPr>
        <w:rPr>
          <w:rFonts w:eastAsia="Calibri" w:cs="Arial"/>
        </w:rPr>
      </w:pPr>
      <w:r w:rsidRPr="00E12183">
        <w:rPr>
          <w:rFonts w:eastAsia="Calibri" w:cs="Arial"/>
        </w:rPr>
        <w:t xml:space="preserve">The team was asked to make recommendations on what could be done to strengthen APTC in the months remaining in Stage II, i.e. until mid-2015. The </w:t>
      </w:r>
      <w:r w:rsidR="009849EB">
        <w:rPr>
          <w:rFonts w:eastAsia="Calibri" w:cs="Arial"/>
        </w:rPr>
        <w:t>recommendations</w:t>
      </w:r>
      <w:r w:rsidR="009849EB" w:rsidRPr="00E12183">
        <w:rPr>
          <w:rFonts w:eastAsia="Calibri" w:cs="Arial"/>
        </w:rPr>
        <w:t xml:space="preserve"> </w:t>
      </w:r>
      <w:r w:rsidRPr="00E12183">
        <w:rPr>
          <w:rFonts w:eastAsia="Calibri" w:cs="Arial"/>
        </w:rPr>
        <w:t xml:space="preserve">can be divided </w:t>
      </w:r>
      <w:r w:rsidR="009849EB">
        <w:rPr>
          <w:rFonts w:eastAsia="Calibri" w:cs="Arial"/>
        </w:rPr>
        <w:t xml:space="preserve">into </w:t>
      </w:r>
      <w:r w:rsidR="004B79B2">
        <w:rPr>
          <w:rFonts w:eastAsia="Calibri" w:cs="Arial"/>
        </w:rPr>
        <w:t xml:space="preserve">those </w:t>
      </w:r>
      <w:r w:rsidR="009849EB">
        <w:rPr>
          <w:rFonts w:eastAsia="Calibri" w:cs="Arial"/>
        </w:rPr>
        <w:t>relating</w:t>
      </w:r>
      <w:r w:rsidRPr="00E12183">
        <w:rPr>
          <w:rFonts w:eastAsia="Calibri" w:cs="Arial"/>
        </w:rPr>
        <w:t xml:space="preserve"> to APTC and to DFAT. However, in terms of the viability of future options, this timeframe is too short to achieve the changes needed to put APTC on a path to a sustainable endpoint.</w:t>
      </w:r>
    </w:p>
    <w:p w14:paraId="76486F1A" w14:textId="50397E77" w:rsidR="00AA3DAA" w:rsidRPr="00E12183" w:rsidRDefault="004B79B2" w:rsidP="00AA3DAA">
      <w:pPr>
        <w:pStyle w:val="Heading3"/>
        <w:rPr>
          <w:rFonts w:eastAsia="Calibri"/>
        </w:rPr>
      </w:pPr>
      <w:bookmarkStart w:id="95" w:name="_Toc278710567"/>
      <w:r>
        <w:rPr>
          <w:rFonts w:eastAsia="Calibri"/>
        </w:rPr>
        <w:t xml:space="preserve">Actions for </w:t>
      </w:r>
      <w:r w:rsidR="00AA3DAA" w:rsidRPr="00E12183">
        <w:rPr>
          <w:rFonts w:eastAsia="Calibri"/>
        </w:rPr>
        <w:t>APTC</w:t>
      </w:r>
      <w:bookmarkEnd w:id="95"/>
      <w:r w:rsidR="00AA3DAA" w:rsidRPr="00E12183">
        <w:rPr>
          <w:rFonts w:eastAsia="Calibri"/>
        </w:rPr>
        <w:t xml:space="preserve"> </w:t>
      </w:r>
    </w:p>
    <w:p w14:paraId="5F11FF35" w14:textId="77777777" w:rsidR="00310333" w:rsidRDefault="00AA3DAA" w:rsidP="00AA3DAA">
      <w:pPr>
        <w:rPr>
          <w:rFonts w:eastAsia="Calibri" w:cs="Arial"/>
        </w:rPr>
      </w:pPr>
      <w:r w:rsidRPr="00E12183">
        <w:rPr>
          <w:rFonts w:eastAsia="Calibri" w:cs="Arial"/>
        </w:rPr>
        <w:t>Priorities would be for APTC to</w:t>
      </w:r>
      <w:r w:rsidR="00E8721E">
        <w:rPr>
          <w:rFonts w:eastAsia="Calibri" w:cs="Arial"/>
        </w:rPr>
        <w:t>:</w:t>
      </w:r>
      <w:r w:rsidRPr="00E12183">
        <w:rPr>
          <w:rFonts w:eastAsia="Calibri" w:cs="Arial"/>
        </w:rPr>
        <w:t xml:space="preserve"> </w:t>
      </w:r>
    </w:p>
    <w:p w14:paraId="523653B5" w14:textId="72FD34DB" w:rsidR="00310333" w:rsidRPr="009551B7" w:rsidRDefault="00AA3DAA" w:rsidP="00532FE2">
      <w:pPr>
        <w:pStyle w:val="ListParagraph"/>
        <w:numPr>
          <w:ilvl w:val="0"/>
          <w:numId w:val="35"/>
        </w:numPr>
        <w:rPr>
          <w:rFonts w:eastAsia="Calibri" w:cs="Arial"/>
        </w:rPr>
      </w:pPr>
      <w:r w:rsidRPr="00310333">
        <w:rPr>
          <w:rFonts w:eastAsia="Calibri" w:cs="Arial"/>
        </w:rPr>
        <w:t xml:space="preserve">continue its process of eliminating duplications in the </w:t>
      </w:r>
      <w:r w:rsidR="009551B7" w:rsidRPr="00310333">
        <w:rPr>
          <w:rFonts w:eastAsia="Calibri" w:cs="Arial"/>
        </w:rPr>
        <w:t>organi</w:t>
      </w:r>
      <w:r w:rsidR="009551B7">
        <w:rPr>
          <w:rFonts w:eastAsia="Calibri" w:cs="Arial"/>
        </w:rPr>
        <w:t>s</w:t>
      </w:r>
      <w:r w:rsidR="009551B7" w:rsidRPr="00310333">
        <w:rPr>
          <w:rFonts w:eastAsia="Calibri" w:cs="Arial"/>
        </w:rPr>
        <w:t xml:space="preserve">ation </w:t>
      </w:r>
      <w:r w:rsidRPr="00310333">
        <w:rPr>
          <w:rFonts w:eastAsia="Calibri" w:cs="Arial"/>
        </w:rPr>
        <w:t>and management</w:t>
      </w:r>
    </w:p>
    <w:p w14:paraId="6A671EB5" w14:textId="37CD54D2" w:rsidR="00310333" w:rsidRDefault="00AA3DAA" w:rsidP="00532FE2">
      <w:pPr>
        <w:pStyle w:val="ListParagraph"/>
        <w:numPr>
          <w:ilvl w:val="0"/>
          <w:numId w:val="35"/>
        </w:numPr>
        <w:rPr>
          <w:rFonts w:eastAsia="Calibri" w:cs="Arial"/>
        </w:rPr>
      </w:pPr>
      <w:r w:rsidRPr="00310333">
        <w:rPr>
          <w:rFonts w:eastAsia="Calibri" w:cs="Arial"/>
        </w:rPr>
        <w:t>work out accelerated staff nationalisation targets supported by a risk management plan focused on professional support so that national trainers can maintain their currency</w:t>
      </w:r>
    </w:p>
    <w:p w14:paraId="77FA8206" w14:textId="207BAE35" w:rsidR="00310333" w:rsidRDefault="00AA3DAA" w:rsidP="00532FE2">
      <w:pPr>
        <w:pStyle w:val="ListParagraph"/>
        <w:numPr>
          <w:ilvl w:val="0"/>
          <w:numId w:val="35"/>
        </w:numPr>
        <w:rPr>
          <w:rFonts w:eastAsia="Calibri" w:cs="Arial"/>
        </w:rPr>
      </w:pPr>
      <w:r w:rsidRPr="00310333">
        <w:rPr>
          <w:rFonts w:eastAsia="Calibri" w:cs="Arial"/>
        </w:rPr>
        <w:t>complete its review of the APTC-to-Work program that has the potential for significant impact</w:t>
      </w:r>
    </w:p>
    <w:p w14:paraId="53DB325A" w14:textId="43D6EA64" w:rsidR="00AA3DAA" w:rsidRPr="00310333" w:rsidRDefault="00AA3DAA" w:rsidP="00532FE2">
      <w:pPr>
        <w:pStyle w:val="ListParagraph"/>
        <w:numPr>
          <w:ilvl w:val="0"/>
          <w:numId w:val="35"/>
        </w:numPr>
        <w:rPr>
          <w:rFonts w:eastAsia="Calibri" w:cs="Arial"/>
        </w:rPr>
      </w:pPr>
      <w:r w:rsidRPr="00310333">
        <w:rPr>
          <w:rFonts w:eastAsia="Calibri" w:cs="Arial"/>
        </w:rPr>
        <w:t xml:space="preserve">address communication problems with staff. </w:t>
      </w:r>
    </w:p>
    <w:p w14:paraId="1B2794EB" w14:textId="26EACE94" w:rsidR="00AA3DAA" w:rsidRPr="00E12183" w:rsidRDefault="004B79B2" w:rsidP="00AA3DAA">
      <w:pPr>
        <w:pStyle w:val="Heading3"/>
        <w:rPr>
          <w:rFonts w:eastAsia="Calibri"/>
        </w:rPr>
      </w:pPr>
      <w:bookmarkStart w:id="96" w:name="_Toc278710568"/>
      <w:r>
        <w:rPr>
          <w:rFonts w:eastAsia="Calibri"/>
        </w:rPr>
        <w:t xml:space="preserve">Actions for </w:t>
      </w:r>
      <w:r w:rsidR="00AA3DAA" w:rsidRPr="00E12183">
        <w:rPr>
          <w:rFonts w:eastAsia="Calibri"/>
        </w:rPr>
        <w:t>DFAT</w:t>
      </w:r>
      <w:bookmarkEnd w:id="96"/>
    </w:p>
    <w:p w14:paraId="053CAC2B" w14:textId="1AEDF27D" w:rsidR="0075440C" w:rsidRDefault="00AA3DAA" w:rsidP="00AA3DAA">
      <w:pPr>
        <w:rPr>
          <w:rFonts w:cs="Arial"/>
          <w:bCs/>
        </w:rPr>
      </w:pPr>
      <w:r w:rsidRPr="00E12183">
        <w:rPr>
          <w:rFonts w:eastAsia="Calibri" w:cs="Arial"/>
        </w:rPr>
        <w:t xml:space="preserve">As a matter of priority, DFAT should </w:t>
      </w:r>
      <w:r w:rsidRPr="00E12183">
        <w:rPr>
          <w:rFonts w:cs="Arial"/>
          <w:bCs/>
        </w:rPr>
        <w:t>institute a consultative process to finalise</w:t>
      </w:r>
      <w:r w:rsidR="0075440C">
        <w:rPr>
          <w:rFonts w:cs="Arial"/>
          <w:bCs/>
        </w:rPr>
        <w:t xml:space="preserve"> </w:t>
      </w:r>
      <w:r w:rsidRPr="00E12183">
        <w:rPr>
          <w:rFonts w:cs="Arial"/>
          <w:bCs/>
        </w:rPr>
        <w:t xml:space="preserve">a regional TVET strategy, and, within it, a </w:t>
      </w:r>
      <w:r w:rsidR="0075440C" w:rsidRPr="00E12183">
        <w:rPr>
          <w:rFonts w:cs="Arial"/>
          <w:bCs/>
        </w:rPr>
        <w:t>long</w:t>
      </w:r>
      <w:r w:rsidR="0075440C">
        <w:rPr>
          <w:rFonts w:cs="Arial"/>
          <w:bCs/>
        </w:rPr>
        <w:t>-</w:t>
      </w:r>
      <w:r w:rsidRPr="00E12183">
        <w:rPr>
          <w:rFonts w:cs="Arial"/>
          <w:bCs/>
        </w:rPr>
        <w:t xml:space="preserve">term vision for APTC. The process should involve consultations with Pacific governments, TVET authorities, enterprises and aid agencies about the future role of APTC. </w:t>
      </w:r>
    </w:p>
    <w:p w14:paraId="5888B643" w14:textId="65D064F4" w:rsidR="00642C11" w:rsidRDefault="00AA3DAA" w:rsidP="00AA3DAA">
      <w:pPr>
        <w:rPr>
          <w:rFonts w:cs="Arial"/>
          <w:bCs/>
        </w:rPr>
      </w:pPr>
      <w:r w:rsidRPr="00E12183">
        <w:rPr>
          <w:rFonts w:cs="Arial"/>
          <w:bCs/>
        </w:rPr>
        <w:t>In addition, DFAT should start designing a new monitoring and evaluation system centred on the economic impact of APTC’s outputs. It should also engage with Australian immigration authorities to determine how to provide a coordinated approach to promoting labour mobility in the Pacific.</w:t>
      </w:r>
    </w:p>
    <w:p w14:paraId="06BDDC3B" w14:textId="77777777" w:rsidR="00642C11" w:rsidRDefault="00642C11">
      <w:pPr>
        <w:spacing w:after="0"/>
        <w:rPr>
          <w:rFonts w:cs="Arial"/>
          <w:bCs/>
        </w:rPr>
      </w:pPr>
      <w:r>
        <w:rPr>
          <w:rFonts w:cs="Arial"/>
          <w:bCs/>
        </w:rPr>
        <w:br w:type="page"/>
      </w:r>
    </w:p>
    <w:p w14:paraId="0FC51FB4" w14:textId="77777777" w:rsidR="00AA3DAA" w:rsidRPr="00E12183" w:rsidRDefault="00AA3DAA" w:rsidP="00AA3DAA">
      <w:pPr>
        <w:pStyle w:val="Heading2"/>
      </w:pPr>
      <w:bookmarkStart w:id="97" w:name="_Toc278710569"/>
      <w:r w:rsidRPr="00E12183">
        <w:t>Form and conditions for APTC in the medium to long term</w:t>
      </w:r>
      <w:bookmarkEnd w:id="97"/>
    </w:p>
    <w:p w14:paraId="185DFD6E" w14:textId="357C6793" w:rsidR="00AA3DAA" w:rsidRPr="00E12183" w:rsidRDefault="00AA3DAA" w:rsidP="00AA3DAA">
      <w:pPr>
        <w:rPr>
          <w:rFonts w:cs="Arial"/>
          <w:bCs/>
        </w:rPr>
      </w:pPr>
      <w:r w:rsidRPr="00E12183">
        <w:rPr>
          <w:rFonts w:cs="Arial"/>
          <w:bCs/>
        </w:rPr>
        <w:t>APTC remains relevant in the medium term, but the current model is not sustainable in the longer term. Other options need consideration.</w:t>
      </w:r>
    </w:p>
    <w:p w14:paraId="68D031E9" w14:textId="77777777" w:rsidR="00AA3DAA" w:rsidRPr="00E12183" w:rsidRDefault="00AA3DAA" w:rsidP="00AA3DAA">
      <w:pPr>
        <w:pStyle w:val="Heading3"/>
      </w:pPr>
      <w:bookmarkStart w:id="98" w:name="_Toc278710570"/>
      <w:r w:rsidRPr="00E12183">
        <w:t>Relevance of the APTC approach</w:t>
      </w:r>
      <w:bookmarkEnd w:id="98"/>
      <w:r w:rsidRPr="00E12183">
        <w:t xml:space="preserve"> </w:t>
      </w:r>
    </w:p>
    <w:p w14:paraId="1617A664" w14:textId="009E34CB" w:rsidR="00AA3DAA" w:rsidRPr="00E12183" w:rsidRDefault="00AA3DAA" w:rsidP="00AA3DAA">
      <w:pPr>
        <w:rPr>
          <w:rFonts w:cs="Arial"/>
        </w:rPr>
      </w:pPr>
      <w:r w:rsidRPr="00E12183">
        <w:rPr>
          <w:rFonts w:cs="Arial"/>
        </w:rPr>
        <w:t xml:space="preserve">APTC focuses on providing Australian qualifications to a manageable niche market of existing skilled workers and new industry entrants. The benefits are that this avoids duplication and competition with other national providers </w:t>
      </w:r>
      <w:r w:rsidR="006F2371">
        <w:rPr>
          <w:rFonts w:cs="Arial"/>
        </w:rPr>
        <w:t>who</w:t>
      </w:r>
      <w:r w:rsidR="006F2371" w:rsidRPr="00E12183">
        <w:rPr>
          <w:rFonts w:cs="Arial"/>
        </w:rPr>
        <w:t xml:space="preserve"> </w:t>
      </w:r>
      <w:r w:rsidRPr="00E12183">
        <w:rPr>
          <w:rFonts w:cs="Arial"/>
        </w:rPr>
        <w:t xml:space="preserve">mainly do pre-employment training for school leavers. However, it comes at some cost to what APTC can achieve. APTC will continue to provide a useful service until this market niche becomes saturated, a risk first for the smaller Pacific economies. Unless the barriers for APTC graduates to migrate to Australia and New Zealand are addressed, low growth Pacific economies especially will miss out on the remittances of migrants in well-paid jobs. </w:t>
      </w:r>
    </w:p>
    <w:p w14:paraId="24570FA4" w14:textId="3BA124CF" w:rsidR="00AA3DAA" w:rsidRPr="00E12183" w:rsidRDefault="00AA3DAA" w:rsidP="00AA3DAA">
      <w:pPr>
        <w:rPr>
          <w:rFonts w:cs="Arial"/>
        </w:rPr>
      </w:pPr>
      <w:r w:rsidRPr="00E12183">
        <w:rPr>
          <w:rFonts w:cs="Arial"/>
        </w:rPr>
        <w:t xml:space="preserve">APTC’s objectives in relation to the supply of skills, improved employment outcomes and improved productivity should each have targets set for relevant indicators. In relation to the supply of skills of international standard, the target could be to reduce </w:t>
      </w:r>
      <w:r w:rsidR="006F2371">
        <w:rPr>
          <w:rFonts w:cs="Arial"/>
        </w:rPr>
        <w:t>the</w:t>
      </w:r>
      <w:r w:rsidR="006F2371" w:rsidRPr="00E12183">
        <w:rPr>
          <w:rFonts w:cs="Arial"/>
        </w:rPr>
        <w:t xml:space="preserve"> </w:t>
      </w:r>
      <w:r w:rsidRPr="00E12183">
        <w:rPr>
          <w:rFonts w:cs="Arial"/>
        </w:rPr>
        <w:t>need for foreign workers in specific skills-based occupations</w:t>
      </w:r>
      <w:r w:rsidR="006F2371">
        <w:rPr>
          <w:rFonts w:cs="Arial"/>
        </w:rPr>
        <w:t xml:space="preserve"> in Pacific countries</w:t>
      </w:r>
      <w:r w:rsidRPr="00E12183">
        <w:rPr>
          <w:rFonts w:cs="Arial"/>
        </w:rPr>
        <w:t xml:space="preserve">. These targets should be set on a </w:t>
      </w:r>
      <w:r w:rsidR="006F2371" w:rsidRPr="00E12183">
        <w:rPr>
          <w:rFonts w:cs="Arial"/>
        </w:rPr>
        <w:t>country</w:t>
      </w:r>
      <w:r w:rsidR="006F2371">
        <w:rPr>
          <w:rFonts w:cs="Arial"/>
        </w:rPr>
        <w:t>-</w:t>
      </w:r>
      <w:r w:rsidR="006F2371" w:rsidRPr="00E12183">
        <w:rPr>
          <w:rFonts w:cs="Arial"/>
        </w:rPr>
        <w:t>by</w:t>
      </w:r>
      <w:r w:rsidR="006F2371">
        <w:rPr>
          <w:rFonts w:cs="Arial"/>
        </w:rPr>
        <w:t>-</w:t>
      </w:r>
      <w:r w:rsidRPr="00E12183">
        <w:rPr>
          <w:rFonts w:cs="Arial"/>
        </w:rPr>
        <w:t xml:space="preserve">country basis after country consultations. </w:t>
      </w:r>
    </w:p>
    <w:p w14:paraId="3AFFBABB" w14:textId="3B322C10" w:rsidR="00AA3DAA" w:rsidRPr="00E12183" w:rsidRDefault="00AA3DAA" w:rsidP="00AA3DAA">
      <w:pPr>
        <w:rPr>
          <w:rFonts w:cs="Arial"/>
        </w:rPr>
      </w:pPr>
      <w:r w:rsidRPr="00E12183">
        <w:rPr>
          <w:rFonts w:cs="Arial"/>
        </w:rPr>
        <w:t xml:space="preserve">In relation to labour mobility, DFAT should set a target on APTC graduates who migrate overseas for work. This target should be set at a level which ensures there is an acceptable ERR for the Australian </w:t>
      </w:r>
      <w:r w:rsidR="00DD3AC2">
        <w:rPr>
          <w:rFonts w:cs="Arial"/>
        </w:rPr>
        <w:t>G</w:t>
      </w:r>
      <w:r w:rsidR="00DD3AC2" w:rsidRPr="00E12183">
        <w:rPr>
          <w:rFonts w:cs="Arial"/>
        </w:rPr>
        <w:t xml:space="preserve">overnment’s </w:t>
      </w:r>
      <w:r w:rsidRPr="00E12183">
        <w:rPr>
          <w:rFonts w:cs="Arial"/>
        </w:rPr>
        <w:t>investment in APTC. The target would also help to show the other benefits that flow to PICs from labour mobility</w:t>
      </w:r>
      <w:r w:rsidR="00DD3AC2">
        <w:rPr>
          <w:rFonts w:cs="Arial"/>
        </w:rPr>
        <w:t>,</w:t>
      </w:r>
      <w:r w:rsidRPr="00E12183">
        <w:rPr>
          <w:rFonts w:cs="Arial"/>
        </w:rPr>
        <w:t xml:space="preserve"> such as remittances. The indicators could be: a set proportion of eligible APTC graduates in eligible qualifications who find work in Australia or New Zealand</w:t>
      </w:r>
      <w:r w:rsidRPr="00E12183">
        <w:rPr>
          <w:rStyle w:val="FootnoteReference"/>
          <w:rFonts w:eastAsiaTheme="minorHAnsi"/>
          <w:lang w:val="en-AU"/>
        </w:rPr>
        <w:footnoteReference w:id="51"/>
      </w:r>
      <w:r w:rsidR="00E8721E">
        <w:rPr>
          <w:rFonts w:cs="Arial"/>
        </w:rPr>
        <w:t>;</w:t>
      </w:r>
      <w:r w:rsidRPr="00E12183">
        <w:rPr>
          <w:rFonts w:cs="Arial"/>
        </w:rPr>
        <w:t xml:space="preserve"> the wage levels of APTC graduates who find work in Australia or New Zealand compared with their pre-departure income; the amount of remittances as a proportion of wages that migrants send home</w:t>
      </w:r>
      <w:r w:rsidR="00E8721E">
        <w:rPr>
          <w:rFonts w:cs="Arial"/>
        </w:rPr>
        <w:t>;</w:t>
      </w:r>
      <w:r w:rsidRPr="00E12183">
        <w:rPr>
          <w:rFonts w:cs="Arial"/>
        </w:rPr>
        <w:t xml:space="preserve"> and measures of economic and social impact of these remittances on the recipient households and communities (e</w:t>
      </w:r>
      <w:r w:rsidR="0056119E">
        <w:rPr>
          <w:rFonts w:cs="Arial"/>
        </w:rPr>
        <w:t>.</w:t>
      </w:r>
      <w:r w:rsidRPr="00E12183">
        <w:rPr>
          <w:rFonts w:cs="Arial"/>
        </w:rPr>
        <w:t>g</w:t>
      </w:r>
      <w:r w:rsidR="0056119E">
        <w:rPr>
          <w:rFonts w:cs="Arial"/>
        </w:rPr>
        <w:t>.</w:t>
      </w:r>
      <w:r w:rsidRPr="00E12183">
        <w:rPr>
          <w:rFonts w:cs="Arial"/>
        </w:rPr>
        <w:t xml:space="preserve"> new businesses started, children staying at school longer than other non-migrant households). </w:t>
      </w:r>
      <w:r w:rsidR="00B94C20">
        <w:rPr>
          <w:rFonts w:cs="Arial"/>
        </w:rPr>
        <w:t>W</w:t>
      </w:r>
      <w:r w:rsidR="00B94C20" w:rsidRPr="00E12183">
        <w:rPr>
          <w:rFonts w:cs="Arial"/>
        </w:rPr>
        <w:t xml:space="preserve">ith greater promotion of labour mobility, APTC’s focus on providing full qualifications will continue to raise employers’ fears of </w:t>
      </w:r>
      <w:r w:rsidR="00B94C20">
        <w:rPr>
          <w:rFonts w:cs="Arial"/>
        </w:rPr>
        <w:t xml:space="preserve">a </w:t>
      </w:r>
      <w:r w:rsidR="00B94C20" w:rsidRPr="00E12183">
        <w:rPr>
          <w:rFonts w:cs="Arial"/>
        </w:rPr>
        <w:t>brain drain, unless this is managed carefully.</w:t>
      </w:r>
    </w:p>
    <w:p w14:paraId="7FAB5B97" w14:textId="14A5E440" w:rsidR="00AA3DAA" w:rsidRPr="00E12183" w:rsidRDefault="00AA3DAA" w:rsidP="00AA3DAA">
      <w:pPr>
        <w:rPr>
          <w:rFonts w:cs="Arial"/>
        </w:rPr>
      </w:pPr>
      <w:r>
        <w:rPr>
          <w:rFonts w:cs="Arial"/>
        </w:rPr>
        <w:t>N</w:t>
      </w:r>
      <w:r w:rsidRPr="00E12183">
        <w:rPr>
          <w:rFonts w:cs="Arial"/>
        </w:rPr>
        <w:t xml:space="preserve">ew sources of economic demand for training need to be identified </w:t>
      </w:r>
      <w:r>
        <w:rPr>
          <w:rFonts w:cs="Arial"/>
        </w:rPr>
        <w:t>f</w:t>
      </w:r>
      <w:r w:rsidRPr="00E12183">
        <w:rPr>
          <w:rFonts w:cs="Arial"/>
        </w:rPr>
        <w:t>or APTC to remain relevant to Pacific skill needs</w:t>
      </w:r>
      <w:r>
        <w:rPr>
          <w:rFonts w:cs="Arial"/>
        </w:rPr>
        <w:t xml:space="preserve">. </w:t>
      </w:r>
      <w:r w:rsidRPr="00E12183">
        <w:rPr>
          <w:rFonts w:cs="Arial"/>
        </w:rPr>
        <w:t xml:space="preserve">This will require a shift towards provision of skill sets for enterprises that meet their needs more closely and away from almost exclusive provision of standardised qualifications. </w:t>
      </w:r>
    </w:p>
    <w:p w14:paraId="6BE5B0E1" w14:textId="61040D61" w:rsidR="00AA3DAA" w:rsidRPr="00E12183" w:rsidRDefault="00AA3DAA" w:rsidP="00AA3DAA">
      <w:pPr>
        <w:rPr>
          <w:rFonts w:cs="Arial"/>
        </w:rPr>
      </w:pPr>
      <w:r w:rsidRPr="00E12183">
        <w:rPr>
          <w:rFonts w:cs="Arial"/>
        </w:rPr>
        <w:t xml:space="preserve">APTC’s provision of in-depth and high quality training will likely remain important in the region. Such training is not available elsewhere yet, and provides a way for Pacific enterprises to aim for international markets, as exemplified by a textile and clothing partnership in Fiji. Many employers, particularly in PNG, offer the prospect of being long-term clients, provided </w:t>
      </w:r>
      <w:r w:rsidR="009B642C">
        <w:rPr>
          <w:rFonts w:cs="Arial"/>
        </w:rPr>
        <w:t xml:space="preserve">that </w:t>
      </w:r>
      <w:r w:rsidRPr="00E12183">
        <w:rPr>
          <w:rFonts w:cs="Arial"/>
        </w:rPr>
        <w:t xml:space="preserve">APTC offers training tailored to their needs. </w:t>
      </w:r>
    </w:p>
    <w:p w14:paraId="65BF9FD9" w14:textId="738235DA" w:rsidR="00AA3DAA" w:rsidRPr="00E12183" w:rsidRDefault="00AA3DAA" w:rsidP="00AA3DAA">
      <w:pPr>
        <w:rPr>
          <w:rFonts w:cs="Arial"/>
        </w:rPr>
      </w:pPr>
      <w:r w:rsidRPr="00E12183">
        <w:rPr>
          <w:rFonts w:cs="Arial"/>
        </w:rPr>
        <w:t>Upgrading skills and capacity in Pacific TVET systems and specific NTIs needs to be more than an add-on to APTC’s first objective to increase the supply of skilled workers in targeted sectors in the Pacific. APTC needs to have a more direct objective aimed at lifting capacity in TVET in the Pacific, especially in relation to the delivery of international qualifications</w:t>
      </w:r>
      <w:r w:rsidR="00AF585C" w:rsidRPr="00AF585C">
        <w:rPr>
          <w:rFonts w:cs="Arial"/>
        </w:rPr>
        <w:t xml:space="preserve"> by NTIs</w:t>
      </w:r>
      <w:r w:rsidRPr="00E12183">
        <w:rPr>
          <w:rFonts w:cs="Arial"/>
        </w:rPr>
        <w:t xml:space="preserve">. APTC’s efforts in raising training standards in NTIs should be expanded and broadened to cover a large number of partner institutions and teaching staff. </w:t>
      </w:r>
    </w:p>
    <w:p w14:paraId="03642845" w14:textId="6558D073" w:rsidR="00AA3DAA" w:rsidRPr="00E12183" w:rsidRDefault="00AA3DAA" w:rsidP="000D098E">
      <w:pPr>
        <w:pStyle w:val="Heading3"/>
      </w:pPr>
      <w:bookmarkStart w:id="99" w:name="_Toc278710571"/>
      <w:r w:rsidRPr="00E12183">
        <w:t xml:space="preserve">APTC </w:t>
      </w:r>
      <w:r w:rsidR="00415790">
        <w:t>s</w:t>
      </w:r>
      <w:r w:rsidR="00415790" w:rsidRPr="00E12183">
        <w:t>ustainability</w:t>
      </w:r>
      <w:bookmarkEnd w:id="99"/>
      <w:r w:rsidR="00415790" w:rsidRPr="00E12183">
        <w:t xml:space="preserve"> </w:t>
      </w:r>
    </w:p>
    <w:p w14:paraId="346989C7" w14:textId="1B41A71E" w:rsidR="00AA3DAA" w:rsidRPr="00E12183" w:rsidRDefault="00AA3DAA" w:rsidP="00AA3DAA">
      <w:pPr>
        <w:rPr>
          <w:rFonts w:cs="Arial"/>
        </w:rPr>
      </w:pPr>
      <w:r w:rsidRPr="00E12183">
        <w:rPr>
          <w:rFonts w:cs="Arial"/>
        </w:rPr>
        <w:t>Almost all public authorities consulted by the review team warmly supported the APTC.  However, except possibly for Samoa, no government officials indicated a sense of ownership of the institution. It is widely regarded as a foreign institution</w:t>
      </w:r>
      <w:r w:rsidR="00887272">
        <w:rPr>
          <w:rFonts w:cs="Arial"/>
        </w:rPr>
        <w:t>,</w:t>
      </w:r>
      <w:r w:rsidRPr="00E12183">
        <w:rPr>
          <w:rFonts w:cs="Arial"/>
        </w:rPr>
        <w:t xml:space="preserve"> with good reason, as it was conceived and is governed, managed, operated and financed by Australia and Australian institutions.</w:t>
      </w:r>
    </w:p>
    <w:p w14:paraId="4D9226AD" w14:textId="40B4ED7C" w:rsidR="00E256CD" w:rsidRDefault="00AA3DAA" w:rsidP="00AA3DAA">
      <w:pPr>
        <w:rPr>
          <w:rFonts w:cs="Arial"/>
        </w:rPr>
      </w:pPr>
      <w:r w:rsidRPr="00E12183">
        <w:rPr>
          <w:rFonts w:cs="Arial"/>
        </w:rPr>
        <w:t>The current model is not sustainable in the long term educationally, organisationally or financially. In the long term, the best providers in the Pacific countries will be in a position to offer international level qualifications themselves and will become less reliant on Australia’s assistance. The current management</w:t>
      </w:r>
      <w:r w:rsidR="00AF585C">
        <w:rPr>
          <w:rFonts w:cs="Arial"/>
        </w:rPr>
        <w:t xml:space="preserve">, </w:t>
      </w:r>
      <w:r w:rsidRPr="00E12183">
        <w:rPr>
          <w:rFonts w:cs="Arial"/>
        </w:rPr>
        <w:t xml:space="preserve">governance </w:t>
      </w:r>
      <w:r w:rsidR="00AF585C">
        <w:rPr>
          <w:rFonts w:cs="Arial"/>
        </w:rPr>
        <w:t xml:space="preserve">and employment </w:t>
      </w:r>
      <w:r w:rsidRPr="00E12183">
        <w:rPr>
          <w:rFonts w:cs="Arial"/>
        </w:rPr>
        <w:t xml:space="preserve">arrangements will not serve APTC well into the future (Annex 6). They are cumbersome, costly and inefficient. There is an urgent need for streamlining. APTC’s unit costs are high relative to per capita incomes in the Pacific which means few students could afford to pay other than highly subsidised fees. APTC’s unit costs are also high compared with the costs of national training institutions (Annex 9). </w:t>
      </w:r>
    </w:p>
    <w:p w14:paraId="4FD75F4C" w14:textId="780781BD" w:rsidR="00AA3DAA" w:rsidRPr="00E12183" w:rsidRDefault="00AA3DAA" w:rsidP="00AA3DAA">
      <w:pPr>
        <w:rPr>
          <w:rFonts w:cs="Arial"/>
        </w:rPr>
      </w:pPr>
      <w:r w:rsidRPr="00E12183">
        <w:rPr>
          <w:rFonts w:cs="Arial"/>
        </w:rPr>
        <w:t>Thus, APTC, as presently structured, is likely to depend indefinitely on substantial Australian financial assistance. In any extension of APTC under a third tranche of DFAT funding, it will be important, on the one hand, to implement substantial measures to reduce unit costs and, on the other, to diversify significantly sources of funding.</w:t>
      </w:r>
    </w:p>
    <w:p w14:paraId="146FD5CE" w14:textId="77777777" w:rsidR="00AA3DAA" w:rsidRPr="00E12183" w:rsidRDefault="00AA3DAA" w:rsidP="000D098E">
      <w:pPr>
        <w:pStyle w:val="Heading3"/>
      </w:pPr>
      <w:bookmarkStart w:id="100" w:name="_Toc278710572"/>
      <w:r w:rsidRPr="00E12183">
        <w:t>APTC fit within DFAT aid policies</w:t>
      </w:r>
      <w:bookmarkEnd w:id="100"/>
      <w:r w:rsidRPr="00E12183">
        <w:t xml:space="preserve"> </w:t>
      </w:r>
    </w:p>
    <w:p w14:paraId="216A0898" w14:textId="6FC1A3C5" w:rsidR="00AA3DAA" w:rsidRPr="00E12183" w:rsidRDefault="00AA3DAA" w:rsidP="00AA3DAA">
      <w:pPr>
        <w:rPr>
          <w:rFonts w:cs="Arial"/>
        </w:rPr>
      </w:pPr>
      <w:r w:rsidRPr="00E12183">
        <w:rPr>
          <w:rFonts w:cs="Arial"/>
        </w:rPr>
        <w:t>APTC fits well with the new Australian policy on aid</w:t>
      </w:r>
      <w:r w:rsidRPr="00E12183">
        <w:rPr>
          <w:rFonts w:cs="Arial"/>
          <w:vertAlign w:val="superscript"/>
        </w:rPr>
        <w:footnoteReference w:id="52"/>
      </w:r>
      <w:r w:rsidRPr="00E12183">
        <w:rPr>
          <w:rFonts w:cs="Arial"/>
        </w:rPr>
        <w:t xml:space="preserve"> from both geographic and sectoral perspectives. Geographically, the new aid policy focuses on the Indo-Pacific region in which </w:t>
      </w:r>
      <w:r w:rsidR="00855EB1">
        <w:rPr>
          <w:rFonts w:cs="Arial"/>
        </w:rPr>
        <w:t>APTC</w:t>
      </w:r>
      <w:r w:rsidRPr="00E12183">
        <w:rPr>
          <w:rFonts w:cs="Arial"/>
        </w:rPr>
        <w:t xml:space="preserve"> operates. Education and health </w:t>
      </w:r>
      <w:r w:rsidR="00977A08">
        <w:rPr>
          <w:rFonts w:cs="Arial"/>
        </w:rPr>
        <w:t>together form</w:t>
      </w:r>
      <w:r w:rsidR="00977A08" w:rsidRPr="00E12183">
        <w:rPr>
          <w:rFonts w:cs="Arial"/>
        </w:rPr>
        <w:t xml:space="preserve"> </w:t>
      </w:r>
      <w:r w:rsidRPr="00E12183">
        <w:rPr>
          <w:rFonts w:cs="Arial"/>
        </w:rPr>
        <w:t xml:space="preserve">one of the six priorities for investment. TVET is explicitly included among the five education priorities: </w:t>
      </w:r>
      <w:r w:rsidR="00985D45">
        <w:rPr>
          <w:rFonts w:cs="Arial"/>
        </w:rPr>
        <w:t>‘</w:t>
      </w:r>
      <w:r w:rsidRPr="00E12183">
        <w:rPr>
          <w:rFonts w:cs="Arial"/>
        </w:rPr>
        <w:t>Prioritise skills for growth to enable people to be job-ready and adaptable, by improving access to quality-assured technical education and training, which matches the needs of the local private sector</w:t>
      </w:r>
      <w:r w:rsidR="00985D45">
        <w:rPr>
          <w:rFonts w:cs="Arial"/>
        </w:rPr>
        <w:t>’</w:t>
      </w:r>
      <w:r w:rsidRPr="00E12183">
        <w:rPr>
          <w:rFonts w:cs="Arial"/>
        </w:rPr>
        <w:t>.</w:t>
      </w:r>
      <w:r w:rsidRPr="00E12183">
        <w:rPr>
          <w:rFonts w:cs="Arial"/>
          <w:vertAlign w:val="superscript"/>
        </w:rPr>
        <w:footnoteReference w:id="53"/>
      </w:r>
      <w:r w:rsidRPr="00E12183">
        <w:rPr>
          <w:rFonts w:cs="Arial"/>
        </w:rPr>
        <w:t xml:space="preserve"> APTC is relevant to other priorities in the aid policy, including </w:t>
      </w:r>
      <w:r w:rsidR="00243D62">
        <w:rPr>
          <w:rFonts w:cs="Arial"/>
        </w:rPr>
        <w:t xml:space="preserve">the </w:t>
      </w:r>
      <w:r w:rsidRPr="00E12183">
        <w:rPr>
          <w:rFonts w:cs="Arial"/>
        </w:rPr>
        <w:t>focus on strengthening private sector development including small and micro-businesses, provision of humanitarian assistance in emergencies</w:t>
      </w:r>
      <w:r w:rsidR="00FD44ED">
        <w:rPr>
          <w:rFonts w:cs="Arial"/>
        </w:rPr>
        <w:t>,</w:t>
      </w:r>
      <w:r w:rsidRPr="00E12183">
        <w:rPr>
          <w:rFonts w:cs="Arial"/>
        </w:rPr>
        <w:t xml:space="preserve"> and gender equality and </w:t>
      </w:r>
      <w:r w:rsidR="00FD44ED">
        <w:rPr>
          <w:rFonts w:cs="Arial"/>
        </w:rPr>
        <w:t xml:space="preserve">the </w:t>
      </w:r>
      <w:r w:rsidRPr="00E12183">
        <w:rPr>
          <w:rFonts w:cs="Arial"/>
        </w:rPr>
        <w:t>empowerment of women and girls. APTC has strong achievements in gender equality (</w:t>
      </w:r>
      <w:r w:rsidRPr="0069509F">
        <w:rPr>
          <w:rFonts w:cs="Arial"/>
        </w:rPr>
        <w:t xml:space="preserve">Chapter </w:t>
      </w:r>
      <w:r w:rsidR="00FD44ED" w:rsidRPr="0069509F">
        <w:rPr>
          <w:rFonts w:cs="Arial"/>
        </w:rPr>
        <w:t>2</w:t>
      </w:r>
      <w:r w:rsidR="00FD44ED" w:rsidRPr="00E12183">
        <w:rPr>
          <w:rFonts w:cs="Arial"/>
        </w:rPr>
        <w:t xml:space="preserve"> </w:t>
      </w:r>
      <w:r w:rsidRPr="00E12183">
        <w:rPr>
          <w:rFonts w:cs="Arial"/>
        </w:rPr>
        <w:t>and Annex 6)</w:t>
      </w:r>
      <w:r w:rsidR="00C339F9">
        <w:rPr>
          <w:rFonts w:cs="Arial"/>
        </w:rPr>
        <w:t>.</w:t>
      </w:r>
    </w:p>
    <w:p w14:paraId="4A7F3511" w14:textId="1B0B1FB2" w:rsidR="00642C11" w:rsidRDefault="00AA3DAA" w:rsidP="00DF7C96">
      <w:pPr>
        <w:rPr>
          <w:rFonts w:cs="Arial"/>
        </w:rPr>
      </w:pPr>
      <w:r w:rsidRPr="00E12183">
        <w:rPr>
          <w:rFonts w:cs="Arial"/>
        </w:rPr>
        <w:t>Lessons from an assessment of 20 initiatives in the regional delivery of services in the Pacific have highlighted the problems of top-down, all-encompassing efforts to set up region-wide service pooling arrangements. A better approach is a bottom-up focus, starting at a sub-regional level where there are good chances of success. These elements include where the differences between cooperating countries are less, political support is evident, there is a clear economic demand for the service</w:t>
      </w:r>
      <w:r w:rsidR="00977A08">
        <w:rPr>
          <w:rFonts w:cs="Arial"/>
        </w:rPr>
        <w:t>,</w:t>
      </w:r>
      <w:r w:rsidRPr="00E12183">
        <w:rPr>
          <w:rFonts w:cs="Arial"/>
        </w:rPr>
        <w:t xml:space="preserve"> and good accountability practices are in place.</w:t>
      </w:r>
      <w:r w:rsidR="00974C0F">
        <w:rPr>
          <w:rFonts w:cs="Arial"/>
        </w:rPr>
        <w:t xml:space="preserve"> </w:t>
      </w:r>
      <w:r w:rsidR="00974C0F" w:rsidRPr="00974C0F">
        <w:rPr>
          <w:rFonts w:cs="Arial"/>
        </w:rPr>
        <w:t>These lessons need to be applied to how the APTC operates in specific countries. As noted above, major country differences exist in level of economic demand, TVET provision</w:t>
      </w:r>
      <w:r w:rsidR="00855EB1">
        <w:rPr>
          <w:rFonts w:cs="Arial"/>
        </w:rPr>
        <w:t>,</w:t>
      </w:r>
      <w:r w:rsidR="00974C0F" w:rsidRPr="00974C0F">
        <w:rPr>
          <w:rFonts w:cs="Arial"/>
        </w:rPr>
        <w:t xml:space="preserve"> country political support and potential for growth. Future planning for APTC needs to start from a better understanding of the different characteristics and stages of development of the five campus countries.</w:t>
      </w:r>
    </w:p>
    <w:p w14:paraId="552E4B9B" w14:textId="77777777" w:rsidR="00642C11" w:rsidRDefault="00642C11">
      <w:pPr>
        <w:spacing w:after="0"/>
        <w:rPr>
          <w:rFonts w:cs="Arial"/>
        </w:rPr>
      </w:pPr>
      <w:r>
        <w:rPr>
          <w:rFonts w:cs="Arial"/>
        </w:rPr>
        <w:br w:type="page"/>
      </w:r>
    </w:p>
    <w:p w14:paraId="39741FA3" w14:textId="4F9CB958" w:rsidR="00AA3DAA" w:rsidRPr="00E12183" w:rsidRDefault="00AA3DAA" w:rsidP="000D098E">
      <w:pPr>
        <w:pStyle w:val="Heading3"/>
      </w:pPr>
      <w:bookmarkStart w:id="101" w:name="_Toc278710573"/>
      <w:r w:rsidRPr="00E12183">
        <w:t>Guiding principles and lessons for APTC</w:t>
      </w:r>
      <w:bookmarkEnd w:id="101"/>
    </w:p>
    <w:p w14:paraId="2CCAEA9E" w14:textId="77777777" w:rsidR="00977A08" w:rsidRDefault="00AA3DAA" w:rsidP="00AA3DAA">
      <w:pPr>
        <w:rPr>
          <w:rFonts w:cs="Arial"/>
        </w:rPr>
      </w:pPr>
      <w:r w:rsidRPr="00E12183">
        <w:rPr>
          <w:rFonts w:cs="Arial"/>
        </w:rPr>
        <w:t>The principles of aid effectiveness suggest that APTC needs to</w:t>
      </w:r>
      <w:r w:rsidR="00977A08">
        <w:rPr>
          <w:rFonts w:cs="Arial"/>
        </w:rPr>
        <w:t>:</w:t>
      </w:r>
      <w:r w:rsidRPr="00E12183">
        <w:rPr>
          <w:rFonts w:cs="Arial"/>
        </w:rPr>
        <w:t xml:space="preserve"> </w:t>
      </w:r>
    </w:p>
    <w:p w14:paraId="188AF53F" w14:textId="46F7FC55" w:rsidR="00977A08" w:rsidRPr="00977A08" w:rsidRDefault="00AA3DAA" w:rsidP="00532FE2">
      <w:pPr>
        <w:pStyle w:val="ListParagraph"/>
        <w:numPr>
          <w:ilvl w:val="0"/>
          <w:numId w:val="36"/>
        </w:numPr>
        <w:rPr>
          <w:rFonts w:cs="Arial"/>
        </w:rPr>
      </w:pPr>
      <w:r w:rsidRPr="00977A08">
        <w:rPr>
          <w:rFonts w:cs="Arial"/>
        </w:rPr>
        <w:t>address development priorities in each country of the region</w:t>
      </w:r>
    </w:p>
    <w:p w14:paraId="3791651A" w14:textId="1213F789" w:rsidR="00977A08" w:rsidRPr="00AF4711" w:rsidRDefault="00AA3DAA" w:rsidP="00532FE2">
      <w:pPr>
        <w:pStyle w:val="ListParagraph"/>
        <w:numPr>
          <w:ilvl w:val="0"/>
          <w:numId w:val="36"/>
        </w:numPr>
        <w:rPr>
          <w:rFonts w:cs="Arial"/>
        </w:rPr>
      </w:pPr>
      <w:r w:rsidRPr="00AF4711">
        <w:rPr>
          <w:rFonts w:cs="Arial"/>
        </w:rPr>
        <w:t>provide solid evidence for its lasting results</w:t>
      </w:r>
    </w:p>
    <w:p w14:paraId="65E95560" w14:textId="34DFCF8F" w:rsidR="00977A08" w:rsidRPr="00A05903" w:rsidRDefault="00AA3DAA" w:rsidP="00532FE2">
      <w:pPr>
        <w:pStyle w:val="ListParagraph"/>
        <w:numPr>
          <w:ilvl w:val="0"/>
          <w:numId w:val="36"/>
        </w:numPr>
        <w:rPr>
          <w:rFonts w:cs="Arial"/>
        </w:rPr>
      </w:pPr>
      <w:r w:rsidRPr="00A05903">
        <w:rPr>
          <w:rFonts w:cs="Arial"/>
        </w:rPr>
        <w:t xml:space="preserve">work in close partnerships with governments, employers and </w:t>
      </w:r>
      <w:r w:rsidR="00AD74FF">
        <w:rPr>
          <w:rFonts w:cs="Arial"/>
        </w:rPr>
        <w:br/>
      </w:r>
      <w:r w:rsidRPr="00A05903">
        <w:rPr>
          <w:rFonts w:cs="Arial"/>
        </w:rPr>
        <w:t>other stakeholders</w:t>
      </w:r>
    </w:p>
    <w:p w14:paraId="34CC85EB" w14:textId="7D6E1CD7" w:rsidR="00977A08" w:rsidRPr="00977A08" w:rsidRDefault="00AA3DAA" w:rsidP="00532FE2">
      <w:pPr>
        <w:pStyle w:val="ListParagraph"/>
        <w:numPr>
          <w:ilvl w:val="0"/>
          <w:numId w:val="36"/>
        </w:numPr>
        <w:rPr>
          <w:rFonts w:cs="Arial"/>
        </w:rPr>
      </w:pPr>
      <w:r w:rsidRPr="00A05903">
        <w:rPr>
          <w:rFonts w:cs="Arial"/>
        </w:rPr>
        <w:t>be transparent and accountable to intended beneficiaries for its outcomes.</w:t>
      </w:r>
      <w:r w:rsidRPr="00E12183">
        <w:rPr>
          <w:rStyle w:val="FootnoteReference"/>
          <w:rFonts w:eastAsiaTheme="minorHAnsi"/>
          <w:lang w:val="en-AU"/>
        </w:rPr>
        <w:footnoteReference w:id="54"/>
      </w:r>
      <w:r w:rsidRPr="00977A08">
        <w:rPr>
          <w:rFonts w:cs="Arial"/>
        </w:rPr>
        <w:t xml:space="preserve"> </w:t>
      </w:r>
    </w:p>
    <w:p w14:paraId="6065E851" w14:textId="77777777" w:rsidR="00EA35DC" w:rsidRPr="00EA35DC" w:rsidRDefault="00EA35DC" w:rsidP="00EA35DC">
      <w:pPr>
        <w:spacing w:after="200" w:line="276" w:lineRule="auto"/>
        <w:rPr>
          <w:rFonts w:eastAsia="Calibri" w:cs="Arial"/>
          <w:szCs w:val="22"/>
        </w:rPr>
      </w:pPr>
      <w:r w:rsidRPr="00EA35DC">
        <w:rPr>
          <w:rFonts w:eastAsia="Calibri" w:cs="Arial"/>
          <w:szCs w:val="22"/>
        </w:rPr>
        <w:t xml:space="preserve">After eight years of delivery of Australian qualifications in the Pacific, what key principles and lessons should guide decisions about the future of APTC? </w:t>
      </w:r>
    </w:p>
    <w:p w14:paraId="408E50A7" w14:textId="18E627C3" w:rsidR="00EA35DC" w:rsidRPr="00EA35DC" w:rsidRDefault="00EA35DC" w:rsidP="00DF7C96">
      <w:pPr>
        <w:numPr>
          <w:ilvl w:val="0"/>
          <w:numId w:val="43"/>
        </w:numPr>
        <w:spacing w:after="200"/>
        <w:rPr>
          <w:rFonts w:eastAsia="Calibri" w:cs="Arial"/>
          <w:szCs w:val="22"/>
        </w:rPr>
      </w:pPr>
      <w:r w:rsidRPr="00EA35DC">
        <w:rPr>
          <w:rFonts w:eastAsia="Calibri" w:cs="Arial"/>
          <w:b/>
          <w:szCs w:val="22"/>
        </w:rPr>
        <w:t>Need for long</w:t>
      </w:r>
      <w:r w:rsidR="00642C11">
        <w:rPr>
          <w:rFonts w:eastAsia="Calibri" w:cs="Arial"/>
          <w:b/>
          <w:szCs w:val="22"/>
        </w:rPr>
        <w:t>-</w:t>
      </w:r>
      <w:r w:rsidRPr="00EA35DC">
        <w:rPr>
          <w:rFonts w:eastAsia="Calibri" w:cs="Arial"/>
          <w:b/>
          <w:szCs w:val="22"/>
        </w:rPr>
        <w:t>term perspective</w:t>
      </w:r>
      <w:r w:rsidRPr="00EA35DC">
        <w:rPr>
          <w:rFonts w:eastAsia="Calibri" w:cs="Arial"/>
          <w:szCs w:val="22"/>
        </w:rPr>
        <w:t>. One key lesson is the importan</w:t>
      </w:r>
      <w:r w:rsidR="00AD74FF">
        <w:rPr>
          <w:rFonts w:eastAsia="Calibri" w:cs="Arial"/>
          <w:szCs w:val="22"/>
        </w:rPr>
        <w:t xml:space="preserve">ce of a long time </w:t>
      </w:r>
      <w:r w:rsidRPr="00EA35DC">
        <w:rPr>
          <w:rFonts w:eastAsia="Calibri" w:cs="Arial"/>
          <w:szCs w:val="22"/>
        </w:rPr>
        <w:t>frame to implement a large program across a diverse geographical, political and social landscape. This underscores the necessity of a long</w:t>
      </w:r>
      <w:r w:rsidR="00F16EFF">
        <w:rPr>
          <w:rFonts w:eastAsia="Calibri" w:cs="Arial"/>
          <w:szCs w:val="22"/>
        </w:rPr>
        <w:t>-</w:t>
      </w:r>
      <w:r w:rsidRPr="00EA35DC">
        <w:rPr>
          <w:rFonts w:eastAsia="Calibri" w:cs="Arial"/>
          <w:szCs w:val="22"/>
        </w:rPr>
        <w:t>term perspective in planning APTC’s future. Finding: APTC has been limited by working in a planning environment aligned to the four</w:t>
      </w:r>
      <w:r w:rsidR="00B21EF3">
        <w:rPr>
          <w:rFonts w:eastAsia="Calibri" w:cs="Arial"/>
          <w:szCs w:val="22"/>
        </w:rPr>
        <w:t>-</w:t>
      </w:r>
      <w:r w:rsidRPr="00EA35DC">
        <w:rPr>
          <w:rFonts w:eastAsia="Calibri" w:cs="Arial"/>
          <w:szCs w:val="22"/>
        </w:rPr>
        <w:t>year contract and without a clear view provided by DFAT of a long</w:t>
      </w:r>
      <w:r w:rsidR="00B21EF3">
        <w:rPr>
          <w:rFonts w:eastAsia="Calibri" w:cs="Arial"/>
          <w:szCs w:val="22"/>
        </w:rPr>
        <w:t>-</w:t>
      </w:r>
      <w:r w:rsidRPr="00EA35DC">
        <w:rPr>
          <w:rFonts w:eastAsia="Calibri" w:cs="Arial"/>
          <w:szCs w:val="22"/>
        </w:rPr>
        <w:t xml:space="preserve">term vision for its future. Implication: APTC should operate within a strategic framework developed by DFAT that articulates the criteria and timelines by which the ultimate success of APTC can be judged. </w:t>
      </w:r>
      <w:r w:rsidR="00EC50E5">
        <w:rPr>
          <w:rFonts w:eastAsia="Calibri" w:cs="Arial"/>
          <w:szCs w:val="22"/>
        </w:rPr>
        <w:t xml:space="preserve">(See </w:t>
      </w:r>
      <w:r w:rsidR="00EC50E5">
        <w:rPr>
          <w:rFonts w:eastAsia="Calibri" w:cs="Arial"/>
          <w:b/>
          <w:szCs w:val="22"/>
        </w:rPr>
        <w:t>R</w:t>
      </w:r>
      <w:r w:rsidR="00AD74FF">
        <w:rPr>
          <w:rFonts w:eastAsia="Calibri" w:cs="Arial"/>
          <w:b/>
          <w:szCs w:val="22"/>
        </w:rPr>
        <w:t xml:space="preserve">ecommendation </w:t>
      </w:r>
      <w:r w:rsidR="00EC50E5">
        <w:rPr>
          <w:rFonts w:eastAsia="Calibri" w:cs="Arial"/>
          <w:b/>
          <w:szCs w:val="22"/>
        </w:rPr>
        <w:t xml:space="preserve">1 </w:t>
      </w:r>
      <w:r w:rsidR="00EC50E5">
        <w:rPr>
          <w:rFonts w:eastAsia="Calibri" w:cs="Arial"/>
          <w:szCs w:val="22"/>
        </w:rPr>
        <w:t>in section 7.)</w:t>
      </w:r>
    </w:p>
    <w:p w14:paraId="2EB8FFB8" w14:textId="7C23618B" w:rsidR="00EA35DC" w:rsidRPr="00EA35DC" w:rsidRDefault="00EA35DC" w:rsidP="00DF7C96">
      <w:pPr>
        <w:numPr>
          <w:ilvl w:val="0"/>
          <w:numId w:val="43"/>
        </w:numPr>
        <w:spacing w:after="200"/>
        <w:rPr>
          <w:rFonts w:eastAsia="Calibri" w:cs="Arial"/>
          <w:szCs w:val="22"/>
        </w:rPr>
      </w:pPr>
      <w:r w:rsidRPr="00EA35DC">
        <w:rPr>
          <w:rFonts w:eastAsia="Calibri" w:cs="Arial"/>
          <w:b/>
          <w:szCs w:val="22"/>
        </w:rPr>
        <w:t>Emphasis on outcomes</w:t>
      </w:r>
      <w:r w:rsidRPr="00EA35DC">
        <w:rPr>
          <w:rFonts w:eastAsia="Calibri" w:cs="Arial"/>
          <w:szCs w:val="22"/>
        </w:rPr>
        <w:t>. The need for a shift in emphasis from inputs/outputs to outcomes is noted in PESDA 2011 (p.10). Finding: The APTC program focuses on outputs (qualifications produced) not on labour market results and impact on enterprise productivity. As a result</w:t>
      </w:r>
      <w:r w:rsidR="00B21EF3">
        <w:rPr>
          <w:rFonts w:eastAsia="Calibri" w:cs="Arial"/>
          <w:szCs w:val="22"/>
        </w:rPr>
        <w:t>,</w:t>
      </w:r>
      <w:r w:rsidRPr="00EA35DC">
        <w:rPr>
          <w:rFonts w:eastAsia="Calibri" w:cs="Arial"/>
          <w:szCs w:val="22"/>
        </w:rPr>
        <w:t xml:space="preserve"> the evaluation could say relatively little about economic impact. In addition, the lack of evidence on employment outcomes</w:t>
      </w:r>
      <w:r w:rsidR="00B21EF3">
        <w:rPr>
          <w:rFonts w:eastAsia="Calibri" w:cs="Arial"/>
          <w:szCs w:val="22"/>
        </w:rPr>
        <w:t>,</w:t>
      </w:r>
      <w:r w:rsidRPr="00EA35DC">
        <w:rPr>
          <w:rFonts w:eastAsia="Calibri" w:cs="Arial"/>
          <w:szCs w:val="22"/>
        </w:rPr>
        <w:t xml:space="preserve"> such as wage rates and skills match by qualification and gender for each country</w:t>
      </w:r>
      <w:r w:rsidR="00B21EF3">
        <w:rPr>
          <w:rFonts w:eastAsia="Calibri" w:cs="Arial"/>
          <w:szCs w:val="22"/>
        </w:rPr>
        <w:t>,</w:t>
      </w:r>
      <w:r w:rsidRPr="00EA35DC">
        <w:rPr>
          <w:rFonts w:eastAsia="Calibri" w:cs="Arial"/>
          <w:szCs w:val="22"/>
        </w:rPr>
        <w:t xml:space="preserve"> has been a lost opportunity to show governments and other stakeholders the beneficial impact of investing in TVET. Implication: A carefully designed and adequately resourced evaluation system focused on outcomes has to be a key element in showing key stakeholders the value of investing in APTC and high quality TVET.</w:t>
      </w:r>
      <w:r w:rsidR="00AD74FF">
        <w:rPr>
          <w:rFonts w:eastAsia="Calibri" w:cs="Arial"/>
          <w:szCs w:val="22"/>
        </w:rPr>
        <w:t xml:space="preserve"> </w:t>
      </w:r>
      <w:r w:rsidR="00EC50E5">
        <w:rPr>
          <w:rFonts w:eastAsia="Calibri" w:cs="Arial"/>
          <w:szCs w:val="22"/>
        </w:rPr>
        <w:t>(</w:t>
      </w:r>
      <w:r w:rsidR="00EC50E5">
        <w:rPr>
          <w:rFonts w:eastAsia="Calibri" w:cs="Arial"/>
          <w:b/>
          <w:szCs w:val="22"/>
        </w:rPr>
        <w:t>R</w:t>
      </w:r>
      <w:r w:rsidR="00706D64">
        <w:rPr>
          <w:rFonts w:eastAsia="Calibri" w:cs="Arial"/>
          <w:b/>
          <w:szCs w:val="22"/>
        </w:rPr>
        <w:t xml:space="preserve">ecommendation </w:t>
      </w:r>
      <w:r w:rsidR="00EC50E5">
        <w:rPr>
          <w:rFonts w:eastAsia="Calibri" w:cs="Arial"/>
          <w:b/>
          <w:szCs w:val="22"/>
        </w:rPr>
        <w:t>15</w:t>
      </w:r>
      <w:r w:rsidR="00EC50E5">
        <w:rPr>
          <w:rFonts w:eastAsia="Calibri" w:cs="Arial"/>
          <w:szCs w:val="22"/>
        </w:rPr>
        <w:t>)</w:t>
      </w:r>
    </w:p>
    <w:p w14:paraId="0A3702A6" w14:textId="4CC029DF" w:rsidR="00EA35DC" w:rsidRPr="00EA35DC" w:rsidRDefault="00EA35DC" w:rsidP="00DF7C96">
      <w:pPr>
        <w:numPr>
          <w:ilvl w:val="0"/>
          <w:numId w:val="43"/>
        </w:numPr>
        <w:spacing w:after="200"/>
        <w:rPr>
          <w:rFonts w:eastAsia="Calibri" w:cs="Arial"/>
          <w:szCs w:val="22"/>
        </w:rPr>
      </w:pPr>
      <w:r w:rsidRPr="00EA35DC">
        <w:rPr>
          <w:rFonts w:eastAsia="Calibri" w:cs="Arial"/>
          <w:b/>
          <w:szCs w:val="22"/>
        </w:rPr>
        <w:t>Demand-driven</w:t>
      </w:r>
      <w:r w:rsidRPr="00EA35DC">
        <w:rPr>
          <w:rFonts w:eastAsia="Calibri" w:cs="Arial"/>
          <w:szCs w:val="22"/>
        </w:rPr>
        <w:t>. PESDA 2011 stated that APTC will provide demand-driven qualifications (p.9). Finding: Insufficient information is collected about labour market demand and employment outcomes. As a result, APTC risks oversupplying the market in some fields. Implication: APTC should</w:t>
      </w:r>
      <w:r w:rsidR="00B21EF3">
        <w:rPr>
          <w:rFonts w:eastAsia="Calibri" w:cs="Arial"/>
          <w:szCs w:val="22"/>
        </w:rPr>
        <w:t>:</w:t>
      </w:r>
      <w:r w:rsidRPr="00EA35DC">
        <w:rPr>
          <w:rFonts w:eastAsia="Calibri" w:cs="Arial"/>
          <w:szCs w:val="22"/>
        </w:rPr>
        <w:t xml:space="preserve"> (1) undertake systematic tracer studies by country, qualification and gender;</w:t>
      </w:r>
      <w:r w:rsidR="003C1463">
        <w:rPr>
          <w:rFonts w:eastAsia="Calibri" w:cs="Arial"/>
          <w:szCs w:val="22"/>
        </w:rPr>
        <w:t xml:space="preserve"> </w:t>
      </w:r>
      <w:r w:rsidR="00B21EF3">
        <w:rPr>
          <w:rFonts w:eastAsia="Calibri" w:cs="Arial"/>
          <w:szCs w:val="22"/>
        </w:rPr>
        <w:t xml:space="preserve">and </w:t>
      </w:r>
      <w:r w:rsidRPr="00EA35DC">
        <w:rPr>
          <w:rFonts w:eastAsia="Calibri" w:cs="Arial"/>
          <w:szCs w:val="22"/>
        </w:rPr>
        <w:t xml:space="preserve">(2) strengthen the collection and analysis of labour market information. </w:t>
      </w:r>
      <w:r w:rsidR="00EC50E5">
        <w:rPr>
          <w:rFonts w:eastAsia="Calibri" w:cs="Arial"/>
          <w:szCs w:val="22"/>
        </w:rPr>
        <w:t>(</w:t>
      </w:r>
      <w:r w:rsidR="00706D64">
        <w:rPr>
          <w:rFonts w:eastAsia="Calibri" w:cs="Arial"/>
          <w:b/>
          <w:szCs w:val="22"/>
        </w:rPr>
        <w:t xml:space="preserve">Recommendations </w:t>
      </w:r>
      <w:r w:rsidR="00EC50E5">
        <w:rPr>
          <w:rFonts w:eastAsia="Calibri" w:cs="Arial"/>
          <w:b/>
          <w:szCs w:val="22"/>
        </w:rPr>
        <w:t>16</w:t>
      </w:r>
      <w:r w:rsidR="00706D64">
        <w:rPr>
          <w:rFonts w:eastAsia="Calibri" w:cs="Arial"/>
          <w:b/>
          <w:szCs w:val="22"/>
        </w:rPr>
        <w:t xml:space="preserve"> and</w:t>
      </w:r>
      <w:r w:rsidR="00EC50E5">
        <w:rPr>
          <w:rFonts w:eastAsia="Calibri" w:cs="Arial"/>
          <w:b/>
          <w:szCs w:val="22"/>
        </w:rPr>
        <w:t>17</w:t>
      </w:r>
      <w:r w:rsidR="00EC50E5">
        <w:rPr>
          <w:rFonts w:eastAsia="Calibri" w:cs="Arial"/>
          <w:szCs w:val="22"/>
        </w:rPr>
        <w:t>)</w:t>
      </w:r>
      <w:r w:rsidRPr="00EA35DC">
        <w:rPr>
          <w:rFonts w:eastAsia="Calibri" w:cs="Arial"/>
          <w:szCs w:val="22"/>
        </w:rPr>
        <w:t xml:space="preserve">  </w:t>
      </w:r>
    </w:p>
    <w:p w14:paraId="7B6D54BF" w14:textId="310BD119" w:rsidR="00EA35DC" w:rsidRPr="00EA35DC" w:rsidRDefault="00EA35DC" w:rsidP="00DF7C96">
      <w:pPr>
        <w:numPr>
          <w:ilvl w:val="0"/>
          <w:numId w:val="43"/>
        </w:numPr>
        <w:spacing w:after="200"/>
        <w:rPr>
          <w:rFonts w:eastAsia="Calibri" w:cs="Arial"/>
          <w:szCs w:val="22"/>
        </w:rPr>
      </w:pPr>
      <w:r w:rsidRPr="00EA35DC">
        <w:rPr>
          <w:rFonts w:eastAsia="Calibri" w:cs="Arial"/>
          <w:b/>
          <w:szCs w:val="22"/>
        </w:rPr>
        <w:t>Placing quality first</w:t>
      </w:r>
      <w:r w:rsidRPr="00EA35DC">
        <w:rPr>
          <w:rFonts w:eastAsia="Calibri" w:cs="Arial"/>
          <w:szCs w:val="22"/>
        </w:rPr>
        <w:t xml:space="preserve">. Finding: APTC has succeeded in delivering Australian standards in the Pacific. It has done so </w:t>
      </w:r>
      <w:r w:rsidR="00B21EF3">
        <w:rPr>
          <w:rFonts w:eastAsia="Calibri" w:cs="Arial"/>
          <w:szCs w:val="22"/>
        </w:rPr>
        <w:t xml:space="preserve">by </w:t>
      </w:r>
      <w:r w:rsidRPr="00EA35DC">
        <w:rPr>
          <w:rFonts w:eastAsia="Calibri" w:cs="Arial"/>
          <w:szCs w:val="22"/>
        </w:rPr>
        <w:t>relying almost exclusively on Australian staff until recently. Implication: Sustaining high quality requires efforts at maintaining the professional currency of teaching staff</w:t>
      </w:r>
      <w:r w:rsidR="00B21EF3">
        <w:rPr>
          <w:rFonts w:eastAsia="Calibri" w:cs="Arial"/>
          <w:szCs w:val="22"/>
        </w:rPr>
        <w:t>,</w:t>
      </w:r>
      <w:r w:rsidRPr="00EA35DC">
        <w:rPr>
          <w:rFonts w:eastAsia="Calibri" w:cs="Arial"/>
          <w:szCs w:val="22"/>
        </w:rPr>
        <w:t xml:space="preserve"> particularly as nationalisation of staff accelerates. </w:t>
      </w:r>
      <w:r w:rsidR="00EC50E5">
        <w:rPr>
          <w:rFonts w:eastAsia="Calibri" w:cs="Arial"/>
          <w:szCs w:val="22"/>
        </w:rPr>
        <w:t>(</w:t>
      </w:r>
      <w:r w:rsidR="00706D64">
        <w:rPr>
          <w:rFonts w:eastAsia="Calibri" w:cs="Arial"/>
          <w:b/>
          <w:szCs w:val="22"/>
        </w:rPr>
        <w:t xml:space="preserve">Recommendations </w:t>
      </w:r>
      <w:r w:rsidR="00EC50E5">
        <w:rPr>
          <w:rFonts w:eastAsia="Calibri" w:cs="Arial"/>
          <w:b/>
          <w:szCs w:val="22"/>
        </w:rPr>
        <w:t>7</w:t>
      </w:r>
      <w:r w:rsidR="00706D64">
        <w:rPr>
          <w:rFonts w:eastAsia="Calibri" w:cs="Arial"/>
          <w:b/>
          <w:szCs w:val="22"/>
        </w:rPr>
        <w:t xml:space="preserve">and </w:t>
      </w:r>
      <w:r w:rsidR="00EA0F65">
        <w:rPr>
          <w:rFonts w:eastAsia="Calibri" w:cs="Arial"/>
          <w:b/>
          <w:szCs w:val="22"/>
        </w:rPr>
        <w:t>9</w:t>
      </w:r>
      <w:r w:rsidR="00EC50E5">
        <w:rPr>
          <w:rFonts w:eastAsia="Calibri" w:cs="Arial"/>
          <w:szCs w:val="22"/>
        </w:rPr>
        <w:t>)</w:t>
      </w:r>
    </w:p>
    <w:p w14:paraId="2C59174D" w14:textId="0E9B4018" w:rsidR="00EA35DC" w:rsidRPr="00EA35DC" w:rsidRDefault="00EA35DC" w:rsidP="00DF7C96">
      <w:pPr>
        <w:numPr>
          <w:ilvl w:val="0"/>
          <w:numId w:val="43"/>
        </w:numPr>
        <w:spacing w:after="200"/>
        <w:rPr>
          <w:rFonts w:eastAsia="Calibri" w:cs="Arial"/>
          <w:szCs w:val="22"/>
        </w:rPr>
      </w:pPr>
      <w:r w:rsidRPr="00EA35DC">
        <w:rPr>
          <w:rFonts w:eastAsia="Calibri" w:cs="Arial"/>
          <w:b/>
          <w:szCs w:val="22"/>
        </w:rPr>
        <w:t>Client orientation</w:t>
      </w:r>
      <w:r w:rsidRPr="00EA35DC">
        <w:rPr>
          <w:rFonts w:eastAsia="Calibri" w:cs="Arial"/>
          <w:szCs w:val="22"/>
        </w:rPr>
        <w:t xml:space="preserve">. Finding: APTC has focused primarily on being accountable to one client (DFAT) in its contractual obligations. </w:t>
      </w:r>
      <w:r w:rsidR="00AF568A" w:rsidRPr="00AF568A">
        <w:rPr>
          <w:rFonts w:eastAsia="Calibri" w:cs="Arial"/>
          <w:szCs w:val="22"/>
        </w:rPr>
        <w:t xml:space="preserve">The Advisory Group serves as a forum for communication rather than accountability to the members. </w:t>
      </w:r>
      <w:r w:rsidRPr="00EA35DC">
        <w:rPr>
          <w:rFonts w:eastAsia="Calibri" w:cs="Arial"/>
          <w:szCs w:val="22"/>
        </w:rPr>
        <w:t>Implication: APTC needs to place more emphasis on being accountable to other clients (employers, Pacific governments, students and graduates)</w:t>
      </w:r>
      <w:r w:rsidR="00CD254E">
        <w:rPr>
          <w:rFonts w:eastAsia="Calibri" w:cs="Arial"/>
          <w:szCs w:val="22"/>
        </w:rPr>
        <w:t>.</w:t>
      </w:r>
      <w:r w:rsidRPr="00EA35DC">
        <w:rPr>
          <w:rFonts w:eastAsia="Calibri" w:cs="Arial"/>
          <w:szCs w:val="22"/>
        </w:rPr>
        <w:t xml:space="preserve"> </w:t>
      </w:r>
      <w:r w:rsidR="00EC50E5">
        <w:rPr>
          <w:rFonts w:eastAsia="Calibri" w:cs="Arial"/>
          <w:szCs w:val="22"/>
        </w:rPr>
        <w:t>(</w:t>
      </w:r>
      <w:r w:rsidR="00706D64">
        <w:rPr>
          <w:rFonts w:eastAsia="Calibri" w:cs="Arial"/>
          <w:b/>
          <w:szCs w:val="22"/>
        </w:rPr>
        <w:t xml:space="preserve">Recommendation </w:t>
      </w:r>
      <w:r w:rsidR="00EC50E5" w:rsidRPr="00DF7C96">
        <w:rPr>
          <w:rFonts w:eastAsia="Calibri" w:cs="Arial"/>
          <w:b/>
          <w:szCs w:val="22"/>
        </w:rPr>
        <w:t>8</w:t>
      </w:r>
      <w:r w:rsidR="00EC50E5">
        <w:rPr>
          <w:rFonts w:eastAsia="Calibri" w:cs="Arial"/>
          <w:szCs w:val="22"/>
        </w:rPr>
        <w:t>)</w:t>
      </w:r>
    </w:p>
    <w:p w14:paraId="70DFBECF" w14:textId="2B749774" w:rsidR="00EA35DC" w:rsidRPr="00EA35DC" w:rsidRDefault="00EA35DC" w:rsidP="00DF7C96">
      <w:pPr>
        <w:numPr>
          <w:ilvl w:val="0"/>
          <w:numId w:val="43"/>
        </w:numPr>
        <w:spacing w:after="200"/>
        <w:rPr>
          <w:rFonts w:eastAsia="Calibri" w:cs="Arial"/>
          <w:szCs w:val="22"/>
        </w:rPr>
      </w:pPr>
      <w:r w:rsidRPr="00EA35DC">
        <w:rPr>
          <w:rFonts w:eastAsia="Calibri" w:cs="Arial"/>
          <w:b/>
          <w:szCs w:val="22"/>
        </w:rPr>
        <w:t>Country differentiation</w:t>
      </w:r>
      <w:r w:rsidRPr="00EA35DC">
        <w:rPr>
          <w:rFonts w:eastAsia="Calibri" w:cs="Arial"/>
          <w:szCs w:val="22"/>
        </w:rPr>
        <w:t xml:space="preserve">. </w:t>
      </w:r>
      <w:r w:rsidR="00FD06C5">
        <w:rPr>
          <w:rFonts w:eastAsia="Calibri" w:cs="Arial"/>
          <w:szCs w:val="22"/>
        </w:rPr>
        <w:t xml:space="preserve">The PEDF and Regional TVET Framework both recognise the varying development levels and contexts of TVET and labour market systems in the Pacific and both advocate a bottom-up approach to sector planning. </w:t>
      </w:r>
      <w:r w:rsidR="003C1463">
        <w:rPr>
          <w:rFonts w:eastAsia="Calibri" w:cs="Arial"/>
          <w:szCs w:val="22"/>
        </w:rPr>
        <w:t>Efficiencies from pooling delivery of services in a regional program need to be counter</w:t>
      </w:r>
      <w:r w:rsidR="00CD254E">
        <w:rPr>
          <w:rFonts w:eastAsia="Calibri" w:cs="Arial"/>
          <w:szCs w:val="22"/>
        </w:rPr>
        <w:t>-</w:t>
      </w:r>
      <w:r w:rsidR="003C1463">
        <w:rPr>
          <w:rFonts w:eastAsia="Calibri" w:cs="Arial"/>
          <w:szCs w:val="22"/>
        </w:rPr>
        <w:t xml:space="preserve">balanced with </w:t>
      </w:r>
      <w:r w:rsidR="003C1463" w:rsidRPr="003C1463">
        <w:rPr>
          <w:rFonts w:eastAsia="Calibri" w:cs="Arial"/>
          <w:szCs w:val="22"/>
        </w:rPr>
        <w:t xml:space="preserve">adaption to local needs. </w:t>
      </w:r>
      <w:r w:rsidRPr="00EA35DC">
        <w:rPr>
          <w:rFonts w:eastAsia="Calibri" w:cs="Arial"/>
          <w:szCs w:val="22"/>
        </w:rPr>
        <w:t xml:space="preserve">Finding: </w:t>
      </w:r>
      <w:r w:rsidR="00CD254E">
        <w:rPr>
          <w:rFonts w:eastAsia="Calibri" w:cs="Arial"/>
          <w:szCs w:val="22"/>
        </w:rPr>
        <w:t>M</w:t>
      </w:r>
      <w:r w:rsidRPr="00EA35DC">
        <w:rPr>
          <w:rFonts w:eastAsia="Calibri" w:cs="Arial"/>
          <w:szCs w:val="22"/>
        </w:rPr>
        <w:t xml:space="preserve">ajor country differences exist in </w:t>
      </w:r>
      <w:r w:rsidR="00115AD2">
        <w:rPr>
          <w:rFonts w:eastAsia="Calibri" w:cs="Arial"/>
          <w:szCs w:val="22"/>
        </w:rPr>
        <w:t xml:space="preserve">the </w:t>
      </w:r>
      <w:r w:rsidRPr="00EA35DC">
        <w:rPr>
          <w:rFonts w:eastAsia="Calibri" w:cs="Arial"/>
          <w:szCs w:val="22"/>
        </w:rPr>
        <w:t>level of economic demand and potential, TVET provision and country support. As APTC matures, the differences in potential and development of the campus countries are becoming increasingly clear. Implication: Planning for APTC should take into account the different characteristics and stages of development of the five campus countries</w:t>
      </w:r>
      <w:r w:rsidR="008A4069">
        <w:rPr>
          <w:rFonts w:eastAsia="Calibri" w:cs="Arial"/>
          <w:szCs w:val="22"/>
        </w:rPr>
        <w:t>,</w:t>
      </w:r>
      <w:r w:rsidRPr="00EA35DC">
        <w:rPr>
          <w:rFonts w:eastAsia="Calibri" w:cs="Arial"/>
          <w:szCs w:val="22"/>
        </w:rPr>
        <w:t xml:space="preserve"> as well as SIS. </w:t>
      </w:r>
      <w:r w:rsidR="00EC50E5">
        <w:rPr>
          <w:rFonts w:eastAsia="Calibri" w:cs="Arial"/>
          <w:szCs w:val="22"/>
        </w:rPr>
        <w:t>(</w:t>
      </w:r>
      <w:r w:rsidR="007F3811">
        <w:rPr>
          <w:rFonts w:eastAsia="Calibri" w:cs="Arial"/>
          <w:b/>
          <w:szCs w:val="22"/>
        </w:rPr>
        <w:t xml:space="preserve">Recommendation </w:t>
      </w:r>
      <w:r w:rsidR="00EC50E5">
        <w:rPr>
          <w:rFonts w:eastAsia="Calibri" w:cs="Arial"/>
          <w:b/>
          <w:szCs w:val="22"/>
        </w:rPr>
        <w:t>2</w:t>
      </w:r>
      <w:r w:rsidR="00EC50E5">
        <w:rPr>
          <w:rFonts w:eastAsia="Calibri" w:cs="Arial"/>
          <w:szCs w:val="22"/>
        </w:rPr>
        <w:t>)</w:t>
      </w:r>
    </w:p>
    <w:p w14:paraId="52A8033C" w14:textId="6ED6E790" w:rsidR="00EA35DC" w:rsidRPr="00EA35DC" w:rsidRDefault="00AF568A" w:rsidP="00DF7C96">
      <w:pPr>
        <w:numPr>
          <w:ilvl w:val="0"/>
          <w:numId w:val="43"/>
        </w:numPr>
        <w:spacing w:after="200"/>
        <w:rPr>
          <w:rFonts w:eastAsia="Calibri" w:cs="Arial"/>
          <w:szCs w:val="22"/>
        </w:rPr>
      </w:pPr>
      <w:r>
        <w:rPr>
          <w:rFonts w:eastAsia="Calibri" w:cs="Arial"/>
          <w:b/>
          <w:szCs w:val="22"/>
        </w:rPr>
        <w:t xml:space="preserve">Pacific government </w:t>
      </w:r>
      <w:r w:rsidR="00EA35DC" w:rsidRPr="00EA35DC">
        <w:rPr>
          <w:rFonts w:eastAsia="Calibri" w:cs="Arial"/>
          <w:b/>
          <w:szCs w:val="22"/>
        </w:rPr>
        <w:t>support, partnership and ownership</w:t>
      </w:r>
      <w:r w:rsidR="00EA35DC" w:rsidRPr="00EA35DC">
        <w:rPr>
          <w:rFonts w:eastAsia="Calibri" w:cs="Arial"/>
          <w:szCs w:val="22"/>
        </w:rPr>
        <w:t>. APTC’s success in Samoa shows the positives that result from strong government support for APTC. The Paris Principles for Aid Effectiveness call for greater partnership and country ownership of foreign assistance programs, and this is echoed in PESDA 2011. The review team found little or no interest in country ownership for APTC</w:t>
      </w:r>
      <w:r w:rsidR="00A74F62">
        <w:rPr>
          <w:rFonts w:eastAsia="Calibri" w:cs="Arial"/>
          <w:szCs w:val="22"/>
        </w:rPr>
        <w:t>,</w:t>
      </w:r>
      <w:r w:rsidR="00EA35DC" w:rsidRPr="00EA35DC">
        <w:rPr>
          <w:rFonts w:eastAsia="Calibri" w:cs="Arial"/>
          <w:szCs w:val="22"/>
        </w:rPr>
        <w:t xml:space="preserve"> other than in Samoa. More country participation in governance and, gradually, financing should be sought as a means to build local ownership. Implication: As a first step, the report recommends changing two things: (1) creating campus country-specific APTC strategies taking into account local developments and constraints</w:t>
      </w:r>
      <w:r w:rsidR="00A74F62">
        <w:rPr>
          <w:rFonts w:eastAsia="Calibri" w:cs="Arial"/>
          <w:szCs w:val="22"/>
        </w:rPr>
        <w:t>;</w:t>
      </w:r>
      <w:r w:rsidR="00EA35DC" w:rsidRPr="00EA35DC">
        <w:rPr>
          <w:rFonts w:eastAsia="Calibri" w:cs="Arial"/>
          <w:szCs w:val="22"/>
        </w:rPr>
        <w:t xml:space="preserve"> and (2)</w:t>
      </w:r>
      <w:r w:rsidR="00A74F62">
        <w:rPr>
          <w:rFonts w:eastAsia="Calibri" w:cs="Arial"/>
          <w:szCs w:val="22"/>
        </w:rPr>
        <w:t> </w:t>
      </w:r>
      <w:r w:rsidR="00EA35DC" w:rsidRPr="00EA35DC">
        <w:rPr>
          <w:rFonts w:eastAsia="Calibri" w:cs="Arial"/>
          <w:szCs w:val="22"/>
        </w:rPr>
        <w:t>creating campus country advisory groups to guide APTC operations, from which the regional advisory body would be formed.</w:t>
      </w:r>
      <w:r w:rsidR="00EC50E5">
        <w:rPr>
          <w:rFonts w:eastAsia="Calibri" w:cs="Arial"/>
          <w:szCs w:val="22"/>
        </w:rPr>
        <w:t xml:space="preserve"> (</w:t>
      </w:r>
      <w:r w:rsidR="007F3811">
        <w:rPr>
          <w:rFonts w:eastAsia="Calibri" w:cs="Arial"/>
          <w:b/>
          <w:szCs w:val="22"/>
        </w:rPr>
        <w:t xml:space="preserve">Recommendations </w:t>
      </w:r>
      <w:r w:rsidR="00EC50E5" w:rsidRPr="00DF7C96">
        <w:rPr>
          <w:rFonts w:eastAsia="Calibri" w:cs="Arial"/>
          <w:b/>
          <w:szCs w:val="22"/>
        </w:rPr>
        <w:t>2</w:t>
      </w:r>
      <w:r w:rsidR="007F3811">
        <w:rPr>
          <w:rFonts w:eastAsia="Calibri" w:cs="Arial"/>
          <w:b/>
          <w:szCs w:val="22"/>
        </w:rPr>
        <w:t xml:space="preserve"> and </w:t>
      </w:r>
      <w:r w:rsidR="00EC50E5" w:rsidRPr="00DF7C96">
        <w:rPr>
          <w:rFonts w:eastAsia="Calibri" w:cs="Arial"/>
          <w:b/>
          <w:szCs w:val="22"/>
        </w:rPr>
        <w:t>8</w:t>
      </w:r>
      <w:r w:rsidR="00EC50E5">
        <w:rPr>
          <w:rFonts w:eastAsia="Calibri" w:cs="Arial"/>
          <w:szCs w:val="22"/>
        </w:rPr>
        <w:t>)</w:t>
      </w:r>
    </w:p>
    <w:p w14:paraId="1290EE30" w14:textId="0EED6AB1" w:rsidR="00EA35DC" w:rsidRPr="00EA35DC" w:rsidRDefault="00EA35DC" w:rsidP="00DF7C96">
      <w:pPr>
        <w:numPr>
          <w:ilvl w:val="0"/>
          <w:numId w:val="43"/>
        </w:numPr>
        <w:spacing w:after="200"/>
        <w:rPr>
          <w:rFonts w:eastAsia="Calibri" w:cs="Arial"/>
          <w:szCs w:val="22"/>
        </w:rPr>
      </w:pPr>
      <w:r w:rsidRPr="00EA35DC">
        <w:rPr>
          <w:rFonts w:eastAsia="Calibri" w:cs="Arial"/>
          <w:b/>
          <w:szCs w:val="22"/>
        </w:rPr>
        <w:t>Promoting equity</w:t>
      </w:r>
      <w:r w:rsidRPr="00EA35DC">
        <w:rPr>
          <w:rFonts w:eastAsia="Calibri" w:cs="Arial"/>
          <w:szCs w:val="22"/>
        </w:rPr>
        <w:t xml:space="preserve">. Finding: APTC has a strong commitment and salient achievements in equity. However, </w:t>
      </w:r>
      <w:r w:rsidR="00222EAA">
        <w:rPr>
          <w:rFonts w:eastAsia="Calibri" w:cs="Arial"/>
          <w:szCs w:val="22"/>
        </w:rPr>
        <w:t>s</w:t>
      </w:r>
      <w:r w:rsidRPr="00EA35DC">
        <w:rPr>
          <w:rFonts w:eastAsia="Calibri" w:cs="Arial"/>
          <w:szCs w:val="22"/>
        </w:rPr>
        <w:t>tudents from PNG and Solomon Islands</w:t>
      </w:r>
      <w:r w:rsidR="00222EAA">
        <w:rPr>
          <w:rFonts w:eastAsia="Calibri" w:cs="Arial"/>
          <w:szCs w:val="22"/>
        </w:rPr>
        <w:t xml:space="preserve"> (</w:t>
      </w:r>
      <w:r w:rsidRPr="00EA35DC">
        <w:rPr>
          <w:rFonts w:eastAsia="Calibri" w:cs="Arial"/>
          <w:szCs w:val="22"/>
        </w:rPr>
        <w:t>the largest and third largest countries by population in APTC’s list of eligible countries</w:t>
      </w:r>
      <w:r w:rsidR="00222EAA">
        <w:rPr>
          <w:rFonts w:eastAsia="Calibri" w:cs="Arial"/>
          <w:szCs w:val="22"/>
        </w:rPr>
        <w:t>)</w:t>
      </w:r>
      <w:r w:rsidRPr="00EA35DC">
        <w:rPr>
          <w:rFonts w:eastAsia="Calibri" w:cs="Arial"/>
          <w:szCs w:val="22"/>
        </w:rPr>
        <w:t xml:space="preserve"> are proportionately under-represented in APTC enrolment relative to their populations. Female enrolments constitute about 40 per cent of the total, but little can be said about the labour market outcomes of female graduates due to the absence of Stage II tracer survey results by gender. APTC provides two training programs in disability, but enrols relatively few disabled students. Implications: Achieve economies of scale to expand enrolments of nationals from PNG and Solomon Islands based on economic demand. As stated above, carry out systematic tracer studies of graduate outcomes </w:t>
      </w:r>
      <w:r w:rsidR="00E83C58">
        <w:rPr>
          <w:rFonts w:eastAsia="Calibri" w:cs="Arial"/>
          <w:szCs w:val="22"/>
        </w:rPr>
        <w:t xml:space="preserve">by </w:t>
      </w:r>
      <w:r w:rsidRPr="00EA35DC">
        <w:rPr>
          <w:rFonts w:eastAsia="Calibri" w:cs="Arial"/>
          <w:szCs w:val="22"/>
        </w:rPr>
        <w:t xml:space="preserve">gender. Establish protocols for tracking participation of those with disabilities. </w:t>
      </w:r>
      <w:r w:rsidR="00EA0F65">
        <w:rPr>
          <w:rFonts w:eastAsia="Calibri" w:cs="Arial"/>
          <w:szCs w:val="22"/>
        </w:rPr>
        <w:t>(</w:t>
      </w:r>
      <w:r w:rsidR="007F3811">
        <w:rPr>
          <w:rFonts w:eastAsia="Calibri" w:cs="Arial"/>
          <w:b/>
          <w:szCs w:val="22"/>
        </w:rPr>
        <w:t xml:space="preserve">Recommendation </w:t>
      </w:r>
      <w:r w:rsidR="00EA0F65" w:rsidRPr="00DF7C96">
        <w:rPr>
          <w:rFonts w:eastAsia="Calibri" w:cs="Arial"/>
          <w:b/>
          <w:szCs w:val="22"/>
        </w:rPr>
        <w:t>10</w:t>
      </w:r>
      <w:r w:rsidR="00EA0F65">
        <w:rPr>
          <w:rFonts w:eastAsia="Calibri" w:cs="Arial"/>
          <w:szCs w:val="22"/>
        </w:rPr>
        <w:t>)</w:t>
      </w:r>
    </w:p>
    <w:p w14:paraId="5D0E75A9" w14:textId="50E753DC" w:rsidR="00EA35DC" w:rsidRPr="00EA35DC" w:rsidRDefault="00EA35DC" w:rsidP="00DF7C96">
      <w:pPr>
        <w:numPr>
          <w:ilvl w:val="0"/>
          <w:numId w:val="43"/>
        </w:numPr>
        <w:spacing w:after="200"/>
        <w:rPr>
          <w:rFonts w:eastAsia="Calibri" w:cs="Arial"/>
          <w:szCs w:val="22"/>
        </w:rPr>
      </w:pPr>
      <w:r w:rsidRPr="00EA35DC">
        <w:rPr>
          <w:rFonts w:eastAsia="Calibri" w:cs="Arial"/>
          <w:b/>
          <w:szCs w:val="22"/>
        </w:rPr>
        <w:t>Efficiency-reducing costs per output</w:t>
      </w:r>
      <w:r w:rsidRPr="00EA35DC">
        <w:rPr>
          <w:rFonts w:eastAsia="Calibri" w:cs="Arial"/>
          <w:szCs w:val="22"/>
        </w:rPr>
        <w:t xml:space="preserve">. </w:t>
      </w:r>
    </w:p>
    <w:p w14:paraId="0EC4C683" w14:textId="424D1225" w:rsidR="00EA35DC" w:rsidRPr="00EA35DC" w:rsidRDefault="00EA35DC" w:rsidP="00DF7C96">
      <w:pPr>
        <w:numPr>
          <w:ilvl w:val="0"/>
          <w:numId w:val="41"/>
        </w:numPr>
        <w:spacing w:after="200"/>
        <w:rPr>
          <w:rFonts w:eastAsia="Calibri" w:cs="Arial"/>
          <w:szCs w:val="22"/>
        </w:rPr>
      </w:pPr>
      <w:r w:rsidRPr="00EA35DC">
        <w:rPr>
          <w:rFonts w:eastAsia="Calibri" w:cs="Arial"/>
          <w:szCs w:val="22"/>
        </w:rPr>
        <w:t>Administrative efficiencies. Findings: Wh</w:t>
      </w:r>
      <w:r w:rsidR="007E109E">
        <w:rPr>
          <w:rFonts w:eastAsia="Calibri" w:cs="Arial"/>
          <w:szCs w:val="22"/>
        </w:rPr>
        <w:t>ile</w:t>
      </w:r>
      <w:r w:rsidRPr="00EA35DC">
        <w:rPr>
          <w:rFonts w:eastAsia="Calibri" w:cs="Arial"/>
          <w:szCs w:val="22"/>
        </w:rPr>
        <w:t xml:space="preserve"> having two RTOs involved in the operations of APTC may have had advantages at the time of establishment, after eight years this </w:t>
      </w:r>
      <w:r w:rsidR="007E109E">
        <w:rPr>
          <w:rFonts w:eastAsia="Calibri" w:cs="Arial"/>
          <w:szCs w:val="22"/>
        </w:rPr>
        <w:t xml:space="preserve">arrangement </w:t>
      </w:r>
      <w:r w:rsidRPr="00EA35DC">
        <w:rPr>
          <w:rFonts w:eastAsia="Calibri" w:cs="Arial"/>
          <w:szCs w:val="22"/>
        </w:rPr>
        <w:t xml:space="preserve">is </w:t>
      </w:r>
      <w:r w:rsidR="007E109E">
        <w:rPr>
          <w:rFonts w:eastAsia="Calibri" w:cs="Arial"/>
          <w:szCs w:val="22"/>
        </w:rPr>
        <w:t>now</w:t>
      </w:r>
      <w:r w:rsidRPr="00EA35DC">
        <w:rPr>
          <w:rFonts w:eastAsia="Calibri" w:cs="Arial"/>
          <w:szCs w:val="22"/>
        </w:rPr>
        <w:t xml:space="preserve"> at the expense of efficiency and effectiveness. The review team also noted the importance of proactive country managers in fostering close links with employers, NTIs and national TVET systems. Implications: Educational and administrative processes should be streamlined and simplified and delegations to the CEO and Country Managers maximised</w:t>
      </w:r>
      <w:r w:rsidR="007E109E">
        <w:rPr>
          <w:rFonts w:eastAsia="Calibri" w:cs="Arial"/>
          <w:szCs w:val="22"/>
        </w:rPr>
        <w:t>.</w:t>
      </w:r>
      <w:r w:rsidR="00EA0F65">
        <w:rPr>
          <w:rFonts w:eastAsia="Calibri" w:cs="Arial"/>
          <w:szCs w:val="22"/>
        </w:rPr>
        <w:t xml:space="preserve"> (</w:t>
      </w:r>
      <w:r w:rsidR="007F3811">
        <w:rPr>
          <w:rFonts w:eastAsia="Calibri" w:cs="Arial"/>
          <w:b/>
          <w:szCs w:val="22"/>
        </w:rPr>
        <w:t xml:space="preserve">Recommendations </w:t>
      </w:r>
      <w:r w:rsidR="00EA0F65">
        <w:rPr>
          <w:rFonts w:eastAsia="Calibri" w:cs="Arial"/>
          <w:b/>
          <w:szCs w:val="22"/>
        </w:rPr>
        <w:t xml:space="preserve">3, </w:t>
      </w:r>
      <w:r w:rsidR="007F3811">
        <w:rPr>
          <w:rFonts w:eastAsia="Calibri" w:cs="Arial"/>
          <w:b/>
          <w:szCs w:val="22"/>
        </w:rPr>
        <w:t xml:space="preserve">4, </w:t>
      </w:r>
      <w:r w:rsidR="00EA0F65">
        <w:rPr>
          <w:rFonts w:eastAsia="Calibri" w:cs="Arial"/>
          <w:b/>
          <w:szCs w:val="22"/>
        </w:rPr>
        <w:t>5</w:t>
      </w:r>
      <w:r w:rsidR="007F3811">
        <w:rPr>
          <w:rFonts w:eastAsia="Calibri" w:cs="Arial"/>
          <w:b/>
          <w:szCs w:val="22"/>
        </w:rPr>
        <w:t xml:space="preserve"> and </w:t>
      </w:r>
      <w:r w:rsidR="00EA0F65">
        <w:rPr>
          <w:rFonts w:eastAsia="Calibri" w:cs="Arial"/>
          <w:b/>
          <w:szCs w:val="22"/>
        </w:rPr>
        <w:t>18</w:t>
      </w:r>
      <w:r w:rsidR="00EA0F65">
        <w:rPr>
          <w:rFonts w:eastAsia="Calibri" w:cs="Arial"/>
          <w:szCs w:val="22"/>
        </w:rPr>
        <w:t>)</w:t>
      </w:r>
    </w:p>
    <w:p w14:paraId="2E005B92" w14:textId="11928C89" w:rsidR="00EA35DC" w:rsidRPr="00EA35DC" w:rsidRDefault="00EA35DC" w:rsidP="00DF7C96">
      <w:pPr>
        <w:numPr>
          <w:ilvl w:val="0"/>
          <w:numId w:val="41"/>
        </w:numPr>
        <w:spacing w:after="200"/>
        <w:rPr>
          <w:rFonts w:eastAsia="Calibri" w:cs="Arial"/>
          <w:szCs w:val="22"/>
        </w:rPr>
      </w:pPr>
      <w:r w:rsidRPr="00EA35DC">
        <w:rPr>
          <w:rFonts w:eastAsia="Calibri" w:cs="Arial"/>
          <w:szCs w:val="22"/>
        </w:rPr>
        <w:t>Nationalisation. Findings: Even taking into account the time taken to develop a fully qualified VET practitioner under the Australian system, APTC was slow to implement a nationalisation strategy. Now that it has been introduced, it is clear that there is much to be gained in terms of capability building and skills transfer</w:t>
      </w:r>
      <w:r w:rsidR="007F3811">
        <w:rPr>
          <w:rFonts w:eastAsia="Calibri" w:cs="Arial"/>
          <w:szCs w:val="22"/>
        </w:rPr>
        <w:t>,</w:t>
      </w:r>
      <w:r w:rsidRPr="00EA35DC">
        <w:rPr>
          <w:rFonts w:eastAsia="Calibri" w:cs="Arial"/>
          <w:szCs w:val="22"/>
        </w:rPr>
        <w:t xml:space="preserve"> as well as cost-effectiveness. Implication: APTC should aim for a largely nationalised staff, with expatriates employed only on a short</w:t>
      </w:r>
      <w:r w:rsidR="007E109E">
        <w:rPr>
          <w:rFonts w:eastAsia="Calibri" w:cs="Arial"/>
          <w:szCs w:val="22"/>
        </w:rPr>
        <w:t>-</w:t>
      </w:r>
      <w:r w:rsidRPr="00EA35DC">
        <w:rPr>
          <w:rFonts w:eastAsia="Calibri" w:cs="Arial"/>
          <w:szCs w:val="22"/>
        </w:rPr>
        <w:t>term adviser basis as specialists and/or mentors. The pace at which this occurs should give due account to the quality and sustainability risks involved</w:t>
      </w:r>
      <w:r w:rsidR="007E109E">
        <w:rPr>
          <w:rFonts w:eastAsia="Calibri" w:cs="Arial"/>
          <w:szCs w:val="22"/>
        </w:rPr>
        <w:t>,</w:t>
      </w:r>
      <w:r w:rsidRPr="00EA35DC">
        <w:rPr>
          <w:rFonts w:eastAsia="Calibri" w:cs="Arial"/>
          <w:szCs w:val="22"/>
        </w:rPr>
        <w:t xml:space="preserve"> as well as </w:t>
      </w:r>
      <w:r w:rsidR="007E109E">
        <w:rPr>
          <w:rFonts w:eastAsia="Calibri" w:cs="Arial"/>
          <w:szCs w:val="22"/>
        </w:rPr>
        <w:t xml:space="preserve">to </w:t>
      </w:r>
      <w:r w:rsidRPr="00EA35DC">
        <w:rPr>
          <w:rFonts w:eastAsia="Calibri" w:cs="Arial"/>
          <w:szCs w:val="22"/>
        </w:rPr>
        <w:t>the educational and financial benefits.</w:t>
      </w:r>
      <w:r w:rsidR="00EA0F65">
        <w:rPr>
          <w:rFonts w:eastAsia="Calibri" w:cs="Arial"/>
          <w:szCs w:val="22"/>
        </w:rPr>
        <w:t xml:space="preserve"> (</w:t>
      </w:r>
      <w:r w:rsidR="007F3811">
        <w:rPr>
          <w:rFonts w:eastAsia="Calibri" w:cs="Arial"/>
          <w:b/>
          <w:szCs w:val="22"/>
        </w:rPr>
        <w:t xml:space="preserve">Recommendation </w:t>
      </w:r>
      <w:r w:rsidR="00EA0F65">
        <w:rPr>
          <w:rFonts w:eastAsia="Calibri" w:cs="Arial"/>
          <w:b/>
          <w:szCs w:val="22"/>
        </w:rPr>
        <w:t>7</w:t>
      </w:r>
      <w:r w:rsidR="00EA0F65">
        <w:rPr>
          <w:rFonts w:eastAsia="Calibri" w:cs="Arial"/>
          <w:szCs w:val="22"/>
        </w:rPr>
        <w:t>)</w:t>
      </w:r>
    </w:p>
    <w:p w14:paraId="5EC5AA8E" w14:textId="4C96911F" w:rsidR="00EA35DC" w:rsidRPr="00EA35DC" w:rsidRDefault="00EA35DC" w:rsidP="00DF7C96">
      <w:pPr>
        <w:numPr>
          <w:ilvl w:val="0"/>
          <w:numId w:val="41"/>
        </w:numPr>
        <w:spacing w:after="200"/>
        <w:rPr>
          <w:rFonts w:eastAsia="Calibri" w:cs="Arial"/>
          <w:szCs w:val="22"/>
        </w:rPr>
      </w:pPr>
      <w:r w:rsidRPr="00EA35DC">
        <w:rPr>
          <w:rFonts w:eastAsia="Calibri" w:cs="Arial"/>
          <w:szCs w:val="22"/>
        </w:rPr>
        <w:t xml:space="preserve">Financial information. Findings: APTC has developed sound management information systems which can readily provide the data for analysing value for money (Annex 9). Implication: It will be in APTC’s best interests to develop robust impact measurement systems as well. </w:t>
      </w:r>
      <w:r w:rsidR="00EA0F65">
        <w:rPr>
          <w:rFonts w:eastAsia="Calibri" w:cs="Arial"/>
          <w:szCs w:val="22"/>
        </w:rPr>
        <w:t>(</w:t>
      </w:r>
      <w:r w:rsidR="008A4069">
        <w:rPr>
          <w:rFonts w:eastAsia="Calibri" w:cs="Arial"/>
          <w:b/>
          <w:szCs w:val="22"/>
        </w:rPr>
        <w:t xml:space="preserve">Recommendation </w:t>
      </w:r>
      <w:r w:rsidR="00EA0F65">
        <w:rPr>
          <w:rFonts w:eastAsia="Calibri" w:cs="Arial"/>
          <w:b/>
          <w:szCs w:val="22"/>
        </w:rPr>
        <w:t>15</w:t>
      </w:r>
      <w:r w:rsidR="00EA0F65">
        <w:rPr>
          <w:rFonts w:eastAsia="Calibri" w:cs="Arial"/>
          <w:szCs w:val="22"/>
        </w:rPr>
        <w:t>)</w:t>
      </w:r>
      <w:r w:rsidRPr="00EA35DC">
        <w:rPr>
          <w:rFonts w:eastAsia="Calibri" w:cs="Arial"/>
          <w:szCs w:val="22"/>
        </w:rPr>
        <w:t xml:space="preserve">  </w:t>
      </w:r>
    </w:p>
    <w:p w14:paraId="602D0477" w14:textId="77777777" w:rsidR="00EA35DC" w:rsidRPr="00EA35DC" w:rsidRDefault="00EA35DC" w:rsidP="00DF7C96">
      <w:pPr>
        <w:numPr>
          <w:ilvl w:val="0"/>
          <w:numId w:val="43"/>
        </w:numPr>
        <w:spacing w:after="0"/>
        <w:ind w:hanging="357"/>
        <w:rPr>
          <w:rFonts w:eastAsia="Calibri" w:cs="Arial"/>
          <w:szCs w:val="22"/>
        </w:rPr>
      </w:pPr>
      <w:r w:rsidRPr="00EA35DC">
        <w:rPr>
          <w:rFonts w:eastAsia="Calibri" w:cs="Arial"/>
          <w:b/>
          <w:szCs w:val="22"/>
        </w:rPr>
        <w:t>Cost-sharing</w:t>
      </w:r>
      <w:r w:rsidRPr="00EA35DC">
        <w:rPr>
          <w:rFonts w:eastAsia="Calibri" w:cs="Arial"/>
          <w:szCs w:val="22"/>
        </w:rPr>
        <w:t xml:space="preserve">. Finding: Reliance on DFAT funding and operating on a scholarship model is convenient for the contractor but is not sustainable in the long term. Greater efforts are called for to share the costs of APTC with beneficiaries – employers and trainees. Implications: </w:t>
      </w:r>
    </w:p>
    <w:p w14:paraId="3A11453D" w14:textId="77777777" w:rsidR="00EA35DC" w:rsidRPr="00EA35DC" w:rsidRDefault="00EA35DC" w:rsidP="00DF7C96">
      <w:pPr>
        <w:numPr>
          <w:ilvl w:val="0"/>
          <w:numId w:val="42"/>
        </w:numPr>
        <w:spacing w:after="0"/>
        <w:ind w:hanging="357"/>
        <w:rPr>
          <w:rFonts w:eastAsia="Calibri" w:cs="Arial"/>
          <w:szCs w:val="22"/>
        </w:rPr>
      </w:pPr>
      <w:r w:rsidRPr="00EA35DC">
        <w:rPr>
          <w:rFonts w:eastAsia="Calibri" w:cs="Arial"/>
          <w:szCs w:val="22"/>
        </w:rPr>
        <w:t xml:space="preserve">Targets for income generation should be increased to progressively reduce reliance on DFAT funding support. </w:t>
      </w:r>
    </w:p>
    <w:p w14:paraId="439A003D" w14:textId="069B6FD1" w:rsidR="00EA35DC" w:rsidRPr="00EA35DC" w:rsidRDefault="00EA35DC" w:rsidP="00DF7C96">
      <w:pPr>
        <w:numPr>
          <w:ilvl w:val="0"/>
          <w:numId w:val="42"/>
        </w:numPr>
        <w:spacing w:after="200"/>
        <w:rPr>
          <w:rFonts w:eastAsia="Calibri" w:cs="Arial"/>
          <w:szCs w:val="22"/>
        </w:rPr>
      </w:pPr>
      <w:r w:rsidRPr="00EA35DC">
        <w:rPr>
          <w:rFonts w:eastAsia="Calibri" w:cs="Arial"/>
          <w:szCs w:val="22"/>
        </w:rPr>
        <w:t>Explore other revenue sources to sustain APTC</w:t>
      </w:r>
      <w:r w:rsidR="007E109E">
        <w:rPr>
          <w:rFonts w:eastAsia="Calibri" w:cs="Arial"/>
          <w:szCs w:val="22"/>
        </w:rPr>
        <w:t>,</w:t>
      </w:r>
      <w:r w:rsidRPr="00EA35DC">
        <w:rPr>
          <w:rFonts w:eastAsia="Calibri" w:cs="Arial"/>
          <w:szCs w:val="22"/>
        </w:rPr>
        <w:t xml:space="preserve"> including replacing some scholarships with student loans to reduce the financial burden on Australia.</w:t>
      </w:r>
      <w:r w:rsidR="007E109E">
        <w:rPr>
          <w:rFonts w:eastAsia="Calibri" w:cs="Arial"/>
          <w:szCs w:val="22"/>
        </w:rPr>
        <w:t xml:space="preserve"> </w:t>
      </w:r>
      <w:r w:rsidR="00EA0F65">
        <w:rPr>
          <w:rFonts w:eastAsia="Calibri" w:cs="Arial"/>
          <w:szCs w:val="22"/>
        </w:rPr>
        <w:t>(</w:t>
      </w:r>
      <w:r w:rsidR="008A4069">
        <w:rPr>
          <w:rFonts w:eastAsia="Calibri" w:cs="Arial"/>
          <w:b/>
          <w:szCs w:val="22"/>
        </w:rPr>
        <w:t xml:space="preserve">Recommendation </w:t>
      </w:r>
      <w:r w:rsidR="00EA0F65">
        <w:rPr>
          <w:rFonts w:eastAsia="Calibri" w:cs="Arial"/>
          <w:b/>
          <w:szCs w:val="22"/>
        </w:rPr>
        <w:t>6</w:t>
      </w:r>
      <w:r w:rsidR="00EA0F65">
        <w:rPr>
          <w:rFonts w:eastAsia="Calibri" w:cs="Arial"/>
          <w:szCs w:val="22"/>
        </w:rPr>
        <w:t>)</w:t>
      </w:r>
    </w:p>
    <w:p w14:paraId="7BADD769" w14:textId="4F017F95" w:rsidR="00EA35DC" w:rsidRPr="001135AB" w:rsidRDefault="006B0FEC" w:rsidP="00DF7C96">
      <w:pPr>
        <w:numPr>
          <w:ilvl w:val="0"/>
          <w:numId w:val="43"/>
        </w:numPr>
        <w:spacing w:after="200"/>
        <w:rPr>
          <w:rFonts w:eastAsia="Calibri" w:cs="Arial"/>
          <w:szCs w:val="22"/>
        </w:rPr>
      </w:pPr>
      <w:r>
        <w:rPr>
          <w:rFonts w:eastAsia="Calibri" w:cs="Arial"/>
          <w:b/>
          <w:szCs w:val="22"/>
        </w:rPr>
        <w:t>Maximising benefits through l</w:t>
      </w:r>
      <w:r w:rsidR="00AF568A" w:rsidRPr="00DF7C96">
        <w:rPr>
          <w:rFonts w:eastAsia="Calibri" w:cs="Arial"/>
          <w:b/>
          <w:szCs w:val="22"/>
        </w:rPr>
        <w:t>abour mobility</w:t>
      </w:r>
      <w:r w:rsidR="00EA35DC" w:rsidRPr="00EA35DC">
        <w:rPr>
          <w:rFonts w:eastAsia="Calibri" w:cs="Arial"/>
          <w:szCs w:val="22"/>
        </w:rPr>
        <w:t xml:space="preserve">. </w:t>
      </w:r>
      <w:r w:rsidR="00EA35DC" w:rsidRPr="00B51C01">
        <w:rPr>
          <w:rFonts w:eastAsia="Calibri" w:cs="Arial"/>
          <w:szCs w:val="22"/>
        </w:rPr>
        <w:t xml:space="preserve">Labour mobility to Australia and New Zealand can produce strong benefits for Pacific </w:t>
      </w:r>
      <w:r w:rsidR="00190449">
        <w:rPr>
          <w:rFonts w:eastAsia="Calibri" w:cs="Arial"/>
          <w:szCs w:val="22"/>
        </w:rPr>
        <w:t>I</w:t>
      </w:r>
      <w:r w:rsidR="00EA35DC" w:rsidRPr="00B51C01">
        <w:rPr>
          <w:rFonts w:eastAsia="Calibri" w:cs="Arial"/>
          <w:szCs w:val="22"/>
        </w:rPr>
        <w:t xml:space="preserve">slanders in the form of remittances (as indicated by the Stage II hypothetical rates of return). </w:t>
      </w:r>
      <w:r w:rsidR="0061353A">
        <w:rPr>
          <w:rFonts w:eastAsia="Calibri" w:cs="Arial"/>
          <w:szCs w:val="22"/>
        </w:rPr>
        <w:t xml:space="preserve">Findings: </w:t>
      </w:r>
      <w:r w:rsidR="00EA35DC" w:rsidRPr="00B51C01">
        <w:rPr>
          <w:rFonts w:eastAsia="Calibri" w:cs="Arial"/>
          <w:szCs w:val="22"/>
        </w:rPr>
        <w:t xml:space="preserve"> </w:t>
      </w:r>
      <w:r w:rsidR="0061353A">
        <w:rPr>
          <w:rFonts w:eastAsia="Calibri" w:cs="Arial"/>
          <w:szCs w:val="22"/>
        </w:rPr>
        <w:t>Relatively few APTC graduates have migrated to high</w:t>
      </w:r>
      <w:r w:rsidR="00190449">
        <w:rPr>
          <w:rFonts w:eastAsia="Calibri" w:cs="Arial"/>
          <w:szCs w:val="22"/>
        </w:rPr>
        <w:t>-</w:t>
      </w:r>
      <w:r w:rsidR="0061353A">
        <w:rPr>
          <w:rFonts w:eastAsia="Calibri" w:cs="Arial"/>
          <w:szCs w:val="22"/>
        </w:rPr>
        <w:t xml:space="preserve">income countries. </w:t>
      </w:r>
      <w:r w:rsidR="00EA35DC" w:rsidRPr="00B51C01">
        <w:rPr>
          <w:rFonts w:eastAsia="Calibri" w:cs="Arial"/>
          <w:szCs w:val="22"/>
        </w:rPr>
        <w:t>Notwithstanding potential opposit</w:t>
      </w:r>
      <w:r w:rsidR="00EA35DC" w:rsidRPr="001135AB">
        <w:rPr>
          <w:rFonts w:eastAsia="Calibri" w:cs="Arial"/>
          <w:szCs w:val="22"/>
        </w:rPr>
        <w:t xml:space="preserve">ion to labour mobility </w:t>
      </w:r>
      <w:r w:rsidRPr="001135AB">
        <w:rPr>
          <w:rFonts w:eastAsia="Calibri" w:cs="Arial"/>
          <w:szCs w:val="22"/>
        </w:rPr>
        <w:t xml:space="preserve">for skilled workers from </w:t>
      </w:r>
      <w:r w:rsidR="00EA35DC" w:rsidRPr="001135AB">
        <w:rPr>
          <w:rFonts w:eastAsia="Calibri" w:cs="Arial"/>
          <w:szCs w:val="22"/>
        </w:rPr>
        <w:t>some national governments, ongoing uncertainty about APTC’s role in labour mobility has been detrimental. It has exposed APTC to criticism within Australia, and it has left students who wish to migrate without proper guidance. Implication: APTC’s role in labour mobility should be clarified and</w:t>
      </w:r>
      <w:r w:rsidR="0061353A">
        <w:rPr>
          <w:rFonts w:eastAsia="Calibri" w:cs="Arial"/>
          <w:szCs w:val="22"/>
        </w:rPr>
        <w:t xml:space="preserve"> support provided to potential migrants. I</w:t>
      </w:r>
      <w:r w:rsidR="00EA35DC" w:rsidRPr="00B51C01">
        <w:rPr>
          <w:rFonts w:eastAsia="Calibri" w:cs="Arial"/>
          <w:szCs w:val="22"/>
        </w:rPr>
        <w:t xml:space="preserve">f appropriate, labour mobility targets should be introduced, taking into account the constraints that exist in relation to Australian migration policy and cultural mores. </w:t>
      </w:r>
      <w:r w:rsidR="00EA0F65" w:rsidRPr="001135AB">
        <w:rPr>
          <w:rFonts w:eastAsia="Calibri" w:cs="Arial"/>
          <w:szCs w:val="22"/>
        </w:rPr>
        <w:t>(</w:t>
      </w:r>
      <w:r w:rsidR="008A4069">
        <w:rPr>
          <w:rFonts w:eastAsia="Calibri" w:cs="Arial"/>
          <w:b/>
          <w:szCs w:val="22"/>
        </w:rPr>
        <w:t xml:space="preserve">Recommendations </w:t>
      </w:r>
      <w:r w:rsidR="00EA0F65" w:rsidRPr="001135AB">
        <w:rPr>
          <w:rFonts w:eastAsia="Calibri" w:cs="Arial"/>
          <w:b/>
          <w:szCs w:val="22"/>
        </w:rPr>
        <w:t>11, 12, 13</w:t>
      </w:r>
      <w:r w:rsidR="008A4069">
        <w:rPr>
          <w:rFonts w:eastAsia="Calibri" w:cs="Arial"/>
          <w:b/>
          <w:szCs w:val="22"/>
        </w:rPr>
        <w:t xml:space="preserve"> and </w:t>
      </w:r>
      <w:r w:rsidR="0061353A" w:rsidRPr="001135AB">
        <w:rPr>
          <w:rFonts w:eastAsia="Calibri" w:cs="Arial"/>
          <w:b/>
          <w:szCs w:val="22"/>
        </w:rPr>
        <w:t>14</w:t>
      </w:r>
      <w:r w:rsidR="00EA0F65" w:rsidRPr="001135AB">
        <w:rPr>
          <w:rFonts w:eastAsia="Calibri" w:cs="Arial"/>
          <w:szCs w:val="22"/>
        </w:rPr>
        <w:t>)</w:t>
      </w:r>
    </w:p>
    <w:p w14:paraId="135DD215" w14:textId="335B23FF" w:rsidR="00EA35DC" w:rsidRPr="00EA35DC" w:rsidRDefault="00EA35DC" w:rsidP="00DF7C96">
      <w:pPr>
        <w:numPr>
          <w:ilvl w:val="0"/>
          <w:numId w:val="43"/>
        </w:numPr>
        <w:spacing w:after="200"/>
        <w:rPr>
          <w:rFonts w:eastAsia="Calibri" w:cs="Arial"/>
          <w:szCs w:val="22"/>
        </w:rPr>
      </w:pPr>
      <w:r w:rsidRPr="00EA35DC">
        <w:rPr>
          <w:rFonts w:eastAsia="Calibri" w:cs="Arial"/>
          <w:b/>
          <w:szCs w:val="22"/>
        </w:rPr>
        <w:t xml:space="preserve">Division of effort </w:t>
      </w:r>
      <w:r w:rsidR="005B15D9">
        <w:rPr>
          <w:rFonts w:eastAsia="Calibri" w:cs="Arial"/>
          <w:b/>
          <w:szCs w:val="22"/>
        </w:rPr>
        <w:t>–</w:t>
      </w:r>
      <w:r w:rsidRPr="00EA35DC">
        <w:rPr>
          <w:rFonts w:eastAsia="Calibri" w:cs="Arial"/>
          <w:b/>
          <w:szCs w:val="22"/>
        </w:rPr>
        <w:t xml:space="preserve"> Complementarity rather than competition</w:t>
      </w:r>
      <w:r w:rsidRPr="00EA35DC">
        <w:rPr>
          <w:rFonts w:eastAsia="Calibri" w:cs="Arial"/>
          <w:szCs w:val="22"/>
        </w:rPr>
        <w:t>. Finding: APTC has succeeded in complementing rather than competing with national providers. Implication: APTC should continue to attract student</w:t>
      </w:r>
      <w:r w:rsidR="00F96260">
        <w:rPr>
          <w:rFonts w:eastAsia="Calibri" w:cs="Arial"/>
          <w:szCs w:val="22"/>
        </w:rPr>
        <w:t>s</w:t>
      </w:r>
      <w:r w:rsidRPr="00EA35DC">
        <w:rPr>
          <w:rFonts w:eastAsia="Calibri" w:cs="Arial"/>
          <w:szCs w:val="22"/>
        </w:rPr>
        <w:t xml:space="preserve"> not targeted by national providers and otherwise avoid competition with national providers.</w:t>
      </w:r>
    </w:p>
    <w:p w14:paraId="745D0AB5" w14:textId="68E895DF" w:rsidR="00EA35DC" w:rsidRPr="001135AB" w:rsidRDefault="00EA35DC" w:rsidP="00DF7C96">
      <w:pPr>
        <w:numPr>
          <w:ilvl w:val="0"/>
          <w:numId w:val="43"/>
        </w:numPr>
        <w:spacing w:after="200"/>
        <w:rPr>
          <w:rFonts w:eastAsia="Calibri" w:cs="Arial"/>
          <w:szCs w:val="22"/>
        </w:rPr>
      </w:pPr>
      <w:r w:rsidRPr="00B51C01">
        <w:rPr>
          <w:rFonts w:eastAsia="Calibri" w:cs="Arial"/>
          <w:b/>
          <w:szCs w:val="22"/>
        </w:rPr>
        <w:t>Contrac</w:t>
      </w:r>
      <w:r w:rsidRPr="001135AB">
        <w:rPr>
          <w:rFonts w:eastAsia="Calibri" w:cs="Arial"/>
          <w:b/>
          <w:szCs w:val="22"/>
        </w:rPr>
        <w:t>t adaptation to local requirements</w:t>
      </w:r>
      <w:r w:rsidRPr="001135AB">
        <w:rPr>
          <w:rFonts w:eastAsia="Calibri" w:cs="Arial"/>
          <w:szCs w:val="22"/>
        </w:rPr>
        <w:t xml:space="preserve">. Finding: APTC operates within a unique and complex training environment </w:t>
      </w:r>
      <w:r w:rsidR="005B15D9">
        <w:rPr>
          <w:rFonts w:eastAsia="Calibri" w:cs="Arial"/>
          <w:szCs w:val="22"/>
        </w:rPr>
        <w:t>which</w:t>
      </w:r>
      <w:r w:rsidRPr="001135AB">
        <w:rPr>
          <w:rFonts w:eastAsia="Calibri" w:cs="Arial"/>
          <w:szCs w:val="22"/>
        </w:rPr>
        <w:t xml:space="preserve"> merit</w:t>
      </w:r>
      <w:r w:rsidR="005B15D9">
        <w:rPr>
          <w:rFonts w:eastAsia="Calibri" w:cs="Arial"/>
          <w:szCs w:val="22"/>
        </w:rPr>
        <w:t>s</w:t>
      </w:r>
      <w:r w:rsidRPr="001135AB">
        <w:rPr>
          <w:rFonts w:eastAsia="Calibri" w:cs="Arial"/>
          <w:szCs w:val="22"/>
        </w:rPr>
        <w:t xml:space="preserve"> purpose-designed working terms and conditions, not the application or adaptation of terms and conditions designed for Australian circumstances. Implication: APTC should have terms and conditions for trainers specifically designed to meet </w:t>
      </w:r>
      <w:r w:rsidR="005B15D9">
        <w:rPr>
          <w:rFonts w:eastAsia="Calibri" w:cs="Arial"/>
          <w:szCs w:val="22"/>
        </w:rPr>
        <w:t>its own</w:t>
      </w:r>
      <w:r w:rsidRPr="001135AB">
        <w:rPr>
          <w:rFonts w:eastAsia="Calibri" w:cs="Arial"/>
          <w:szCs w:val="22"/>
        </w:rPr>
        <w:t xml:space="preserve"> circumstances.</w:t>
      </w:r>
      <w:r w:rsidR="0061353A" w:rsidRPr="001135AB">
        <w:rPr>
          <w:rFonts w:eastAsia="Calibri" w:cs="Arial"/>
          <w:szCs w:val="22"/>
        </w:rPr>
        <w:t xml:space="preserve"> (</w:t>
      </w:r>
      <w:r w:rsidR="0013180A">
        <w:rPr>
          <w:rFonts w:eastAsia="Calibri" w:cs="Arial"/>
          <w:b/>
          <w:szCs w:val="22"/>
        </w:rPr>
        <w:t xml:space="preserve">Recommendation </w:t>
      </w:r>
      <w:r w:rsidR="0061353A" w:rsidRPr="001135AB">
        <w:rPr>
          <w:rFonts w:eastAsia="Calibri" w:cs="Arial"/>
          <w:b/>
          <w:szCs w:val="22"/>
        </w:rPr>
        <w:t>3</w:t>
      </w:r>
      <w:r w:rsidR="0061353A" w:rsidRPr="001135AB">
        <w:rPr>
          <w:rFonts w:eastAsia="Calibri" w:cs="Arial"/>
          <w:szCs w:val="22"/>
        </w:rPr>
        <w:t>)</w:t>
      </w:r>
    </w:p>
    <w:p w14:paraId="752AEFAC" w14:textId="58DC748E" w:rsidR="00AA3DAA" w:rsidRPr="00E12183" w:rsidRDefault="00AA3DAA" w:rsidP="000D098E">
      <w:pPr>
        <w:pStyle w:val="Heading2"/>
      </w:pPr>
      <w:bookmarkStart w:id="102" w:name="_Toc278710574"/>
      <w:r w:rsidRPr="00E12183">
        <w:t xml:space="preserve">Options for </w:t>
      </w:r>
      <w:r w:rsidR="00415790">
        <w:t xml:space="preserve">the </w:t>
      </w:r>
      <w:r w:rsidR="00415790" w:rsidRPr="00E12183">
        <w:t>long</w:t>
      </w:r>
      <w:r w:rsidR="00415790">
        <w:t>-</w:t>
      </w:r>
      <w:r w:rsidRPr="00E12183">
        <w:t>term success of the APTC</w:t>
      </w:r>
      <w:bookmarkEnd w:id="102"/>
    </w:p>
    <w:p w14:paraId="6F68BD85" w14:textId="1430E022" w:rsidR="00EA7FE6" w:rsidRDefault="00AA3DAA" w:rsidP="00AA3DAA">
      <w:pPr>
        <w:rPr>
          <w:rFonts w:cs="Arial"/>
        </w:rPr>
      </w:pPr>
      <w:r w:rsidRPr="00E12183">
        <w:rPr>
          <w:rFonts w:cs="Arial"/>
        </w:rPr>
        <w:t xml:space="preserve">DFAT needs to define what success would look like in the long term for APTC. </w:t>
      </w:r>
      <w:r w:rsidR="00190449">
        <w:rPr>
          <w:rFonts w:cs="Arial"/>
        </w:rPr>
        <w:t xml:space="preserve">The review team has provided eight </w:t>
      </w:r>
      <w:r w:rsidRPr="00E12183">
        <w:rPr>
          <w:rFonts w:cs="Arial"/>
        </w:rPr>
        <w:t>options</w:t>
      </w:r>
      <w:r w:rsidR="00354BC5">
        <w:rPr>
          <w:rFonts w:cs="Arial"/>
        </w:rPr>
        <w:t>,</w:t>
      </w:r>
      <w:r w:rsidRPr="00E12183">
        <w:rPr>
          <w:rFonts w:cs="Arial"/>
        </w:rPr>
        <w:t xml:space="preserve"> </w:t>
      </w:r>
      <w:r w:rsidR="00190449">
        <w:rPr>
          <w:rFonts w:cs="Arial"/>
        </w:rPr>
        <w:t>which are discussed below</w:t>
      </w:r>
      <w:r w:rsidRPr="00E12183">
        <w:rPr>
          <w:rFonts w:cs="Arial"/>
        </w:rPr>
        <w:t xml:space="preserve">. </w:t>
      </w:r>
    </w:p>
    <w:p w14:paraId="10AE452F" w14:textId="5696160D" w:rsidR="004C79C5" w:rsidRDefault="004C79C5" w:rsidP="00AA3DAA">
      <w:pPr>
        <w:rPr>
          <w:rFonts w:cs="Arial"/>
        </w:rPr>
      </w:pPr>
      <w:r w:rsidRPr="00DF7C96">
        <w:rPr>
          <w:rFonts w:cs="Arial"/>
          <w:b/>
        </w:rPr>
        <w:t>Option 1</w:t>
      </w:r>
      <w:r w:rsidR="00CC01B3">
        <w:rPr>
          <w:rFonts w:cs="Arial"/>
          <w:b/>
        </w:rPr>
        <w:t xml:space="preserve"> </w:t>
      </w:r>
      <w:r w:rsidR="00CC01B3">
        <w:rPr>
          <w:rFonts w:cs="Arial"/>
        </w:rPr>
        <w:t>–</w:t>
      </w:r>
      <w:r>
        <w:rPr>
          <w:rFonts w:cs="Arial"/>
        </w:rPr>
        <w:t xml:space="preserve"> </w:t>
      </w:r>
      <w:r w:rsidR="00CC01B3">
        <w:rPr>
          <w:rFonts w:cs="Arial"/>
        </w:rPr>
        <w:t>C</w:t>
      </w:r>
      <w:r>
        <w:rPr>
          <w:rFonts w:cs="Arial"/>
        </w:rPr>
        <w:t xml:space="preserve">lose APTC. </w:t>
      </w:r>
      <w:r w:rsidR="00BE594F">
        <w:rPr>
          <w:rFonts w:cs="Arial"/>
        </w:rPr>
        <w:t>One extreme</w:t>
      </w:r>
      <w:r w:rsidRPr="004C79C5">
        <w:rPr>
          <w:rFonts w:cs="Arial"/>
        </w:rPr>
        <w:t xml:space="preserve"> option would be to conclude that the costs of APTC have exceeded its outputs, and close APT</w:t>
      </w:r>
      <w:r w:rsidR="008051FD">
        <w:rPr>
          <w:rFonts w:cs="Arial"/>
        </w:rPr>
        <w:t xml:space="preserve">C </w:t>
      </w:r>
      <w:r w:rsidR="00BE594F" w:rsidRPr="00BE594F">
        <w:rPr>
          <w:rFonts w:cs="Arial"/>
        </w:rPr>
        <w:t>in mid-2015</w:t>
      </w:r>
      <w:r w:rsidR="00CC01B3">
        <w:rPr>
          <w:rFonts w:cs="Arial"/>
        </w:rPr>
        <w:t xml:space="preserve"> a</w:t>
      </w:r>
      <w:r w:rsidR="008051FD">
        <w:rPr>
          <w:rFonts w:cs="Arial"/>
        </w:rPr>
        <w:t>t the end of Stage II</w:t>
      </w:r>
      <w:r w:rsidRPr="004C79C5">
        <w:rPr>
          <w:rFonts w:cs="Arial"/>
        </w:rPr>
        <w:t>. In effect, there would be no long</w:t>
      </w:r>
      <w:r w:rsidR="00555D35">
        <w:rPr>
          <w:rFonts w:cs="Arial"/>
        </w:rPr>
        <w:t>-</w:t>
      </w:r>
      <w:r w:rsidRPr="004C79C5">
        <w:rPr>
          <w:rFonts w:cs="Arial"/>
        </w:rPr>
        <w:t xml:space="preserve">term future for APTC. This would save money for the Australian </w:t>
      </w:r>
      <w:r w:rsidR="00555D35">
        <w:rPr>
          <w:rFonts w:cs="Arial"/>
        </w:rPr>
        <w:t>G</w:t>
      </w:r>
      <w:r w:rsidRPr="004C79C5">
        <w:rPr>
          <w:rFonts w:cs="Arial"/>
        </w:rPr>
        <w:t xml:space="preserve">overnment and the aid program that could be allocated to other priorities. </w:t>
      </w:r>
      <w:r w:rsidR="00555D35">
        <w:rPr>
          <w:rFonts w:cs="Arial"/>
        </w:rPr>
        <w:t>However, i</w:t>
      </w:r>
      <w:r w:rsidRPr="004C79C5">
        <w:rPr>
          <w:rFonts w:cs="Arial"/>
        </w:rPr>
        <w:t>t</w:t>
      </w:r>
      <w:r w:rsidR="00555D35">
        <w:rPr>
          <w:rFonts w:cs="Arial"/>
        </w:rPr>
        <w:t> </w:t>
      </w:r>
      <w:r w:rsidRPr="004C79C5">
        <w:rPr>
          <w:rFonts w:cs="Arial"/>
        </w:rPr>
        <w:t xml:space="preserve">could prompt push back by employers who value APTC’s contributions to raising the domestic supply of skills. It would deprive NTIs </w:t>
      </w:r>
      <w:r w:rsidR="00BE594F">
        <w:rPr>
          <w:rFonts w:cs="Arial"/>
        </w:rPr>
        <w:t xml:space="preserve">of </w:t>
      </w:r>
      <w:r w:rsidRPr="004C79C5">
        <w:rPr>
          <w:rFonts w:cs="Arial"/>
        </w:rPr>
        <w:t xml:space="preserve">a source of support to build their standards and teaching capacities. </w:t>
      </w:r>
      <w:r w:rsidR="0061282D">
        <w:rPr>
          <w:rFonts w:cs="Arial"/>
        </w:rPr>
        <w:t>I</w:t>
      </w:r>
      <w:r w:rsidRPr="004C79C5">
        <w:rPr>
          <w:rFonts w:cs="Arial"/>
        </w:rPr>
        <w:t xml:space="preserve">t would </w:t>
      </w:r>
      <w:r w:rsidR="0061282D">
        <w:rPr>
          <w:rFonts w:cs="Arial"/>
        </w:rPr>
        <w:t xml:space="preserve">also </w:t>
      </w:r>
      <w:r w:rsidRPr="004C79C5">
        <w:rPr>
          <w:rFonts w:cs="Arial"/>
        </w:rPr>
        <w:t xml:space="preserve">deprive thousands of low-income Pacific </w:t>
      </w:r>
      <w:r w:rsidR="00190449">
        <w:rPr>
          <w:rFonts w:cs="Arial"/>
        </w:rPr>
        <w:t>I</w:t>
      </w:r>
      <w:r w:rsidRPr="004C79C5">
        <w:rPr>
          <w:rFonts w:cs="Arial"/>
        </w:rPr>
        <w:t>slanders the opportunity for better living standards through higher occupational qualif</w:t>
      </w:r>
      <w:r>
        <w:rPr>
          <w:rFonts w:cs="Arial"/>
        </w:rPr>
        <w:t>ications. Finally, such a move w</w:t>
      </w:r>
      <w:r w:rsidRPr="004C79C5">
        <w:rPr>
          <w:rFonts w:cs="Arial"/>
        </w:rPr>
        <w:t>ould entail loss of prestige and would deprive Australia of the continued diplomatic benefits of a visible, successful assistance program, not to mention the enthusiastic support of students and graduates. The negative consequences would far outweigh the benefits.</w:t>
      </w:r>
    </w:p>
    <w:p w14:paraId="0B399964" w14:textId="6833166D" w:rsidR="00AA3DAA" w:rsidRPr="00E12183" w:rsidRDefault="00EA7FE6" w:rsidP="00AA3DAA">
      <w:pPr>
        <w:rPr>
          <w:rFonts w:cs="Arial"/>
        </w:rPr>
      </w:pPr>
      <w:r w:rsidRPr="00DF7C96">
        <w:rPr>
          <w:rFonts w:cs="Arial"/>
          <w:b/>
        </w:rPr>
        <w:t>O</w:t>
      </w:r>
      <w:r w:rsidR="00AA3DAA" w:rsidRPr="00DF7C96">
        <w:rPr>
          <w:rFonts w:cs="Arial"/>
          <w:b/>
        </w:rPr>
        <w:t xml:space="preserve">ption </w:t>
      </w:r>
      <w:r w:rsidR="00A34DC0" w:rsidRPr="00DF7C96">
        <w:rPr>
          <w:rFonts w:cs="Arial"/>
          <w:b/>
        </w:rPr>
        <w:t>2</w:t>
      </w:r>
      <w:r>
        <w:rPr>
          <w:rFonts w:cs="Arial"/>
        </w:rPr>
        <w:t xml:space="preserve"> </w:t>
      </w:r>
      <w:r w:rsidR="00AA3DAA" w:rsidRPr="00E12183">
        <w:rPr>
          <w:rFonts w:cs="Arial"/>
        </w:rPr>
        <w:t>is a variation on the status quo. APTC would continue to be an Australian institution with one RTO managing its</w:t>
      </w:r>
      <w:r w:rsidR="00AF585C" w:rsidRPr="00AF585C">
        <w:rPr>
          <w:rFonts w:cs="Arial"/>
        </w:rPr>
        <w:t xml:space="preserve"> education programs and with its own employment arrangements tailored to its operating requirements</w:t>
      </w:r>
      <w:r w:rsidR="00AA3DAA" w:rsidRPr="00E12183">
        <w:rPr>
          <w:rFonts w:cs="Arial"/>
        </w:rPr>
        <w:t>. DFAT would continue to be the main financier of APTC, but with increasing revenue from fee-for-service and students via loans. Lower costs would be realised through nationalisation and other efficiency measures recommended in this report. However, APTC would cease to exist along with its legacy when DFAT funding ceases or phases out.</w:t>
      </w:r>
      <w:r w:rsidR="00735016" w:rsidRPr="00735016">
        <w:t xml:space="preserve"> </w:t>
      </w:r>
      <w:r w:rsidR="00735016" w:rsidRPr="00735016">
        <w:rPr>
          <w:rFonts w:cs="Arial"/>
        </w:rPr>
        <w:t>This option carries several risks: eventual aid fatigue; APT</w:t>
      </w:r>
      <w:r w:rsidR="0061282D">
        <w:rPr>
          <w:rFonts w:cs="Arial"/>
        </w:rPr>
        <w:t>C becomes</w:t>
      </w:r>
      <w:r w:rsidR="00BE594F">
        <w:rPr>
          <w:rFonts w:cs="Arial"/>
        </w:rPr>
        <w:t xml:space="preserve"> less relevant as NTI</w:t>
      </w:r>
      <w:r w:rsidR="00735016" w:rsidRPr="00735016">
        <w:rPr>
          <w:rFonts w:cs="Arial"/>
        </w:rPr>
        <w:t xml:space="preserve">s become capable of delivering the same kinds of qualifications; </w:t>
      </w:r>
      <w:r w:rsidR="0061282D">
        <w:rPr>
          <w:rFonts w:cs="Arial"/>
        </w:rPr>
        <w:t xml:space="preserve">and, </w:t>
      </w:r>
      <w:r w:rsidR="00735016" w:rsidRPr="00735016">
        <w:rPr>
          <w:rFonts w:cs="Arial"/>
        </w:rPr>
        <w:t>as an independent organisation</w:t>
      </w:r>
      <w:r w:rsidR="0061282D">
        <w:rPr>
          <w:rFonts w:cs="Arial"/>
        </w:rPr>
        <w:t>,</w:t>
      </w:r>
      <w:r w:rsidR="00735016" w:rsidRPr="00735016">
        <w:rPr>
          <w:rFonts w:cs="Arial"/>
        </w:rPr>
        <w:t xml:space="preserve"> APTC may become isolated from national priorities.</w:t>
      </w:r>
    </w:p>
    <w:p w14:paraId="3BBE4734" w14:textId="3D36BA66" w:rsidR="00AA3DAA" w:rsidRPr="00E12183" w:rsidRDefault="00EA7FE6" w:rsidP="00AA3DAA">
      <w:pPr>
        <w:rPr>
          <w:rFonts w:cs="Arial"/>
        </w:rPr>
      </w:pPr>
      <w:r w:rsidRPr="00DF7C96">
        <w:rPr>
          <w:rFonts w:cs="Arial"/>
          <w:b/>
        </w:rPr>
        <w:t xml:space="preserve">Option </w:t>
      </w:r>
      <w:r w:rsidR="00A34DC0" w:rsidRPr="00DF7C96">
        <w:rPr>
          <w:rFonts w:cs="Arial"/>
          <w:b/>
        </w:rPr>
        <w:t>3</w:t>
      </w:r>
      <w:r w:rsidR="00AA3DAA" w:rsidRPr="00E12183">
        <w:rPr>
          <w:rFonts w:cs="Arial"/>
        </w:rPr>
        <w:t xml:space="preserve"> would be for APTC to become an independent Technical College of the Pacific owned by participating Pacific government</w:t>
      </w:r>
      <w:r w:rsidR="004D545C">
        <w:rPr>
          <w:rFonts w:cs="Arial"/>
        </w:rPr>
        <w:t>s</w:t>
      </w:r>
      <w:r w:rsidR="00AA3DAA" w:rsidRPr="00E12183">
        <w:rPr>
          <w:rFonts w:cs="Arial"/>
        </w:rPr>
        <w:t xml:space="preserve">, and with its own regional administration. It would be analogous to the University of the South Pacific, but </w:t>
      </w:r>
      <w:r w:rsidR="0021524F" w:rsidRPr="00E12183">
        <w:rPr>
          <w:rFonts w:cs="Arial"/>
        </w:rPr>
        <w:t>provid</w:t>
      </w:r>
      <w:r w:rsidR="0021524F">
        <w:rPr>
          <w:rFonts w:cs="Arial"/>
        </w:rPr>
        <w:t>e</w:t>
      </w:r>
      <w:r w:rsidR="0021524F" w:rsidRPr="00E12183">
        <w:rPr>
          <w:rFonts w:cs="Arial"/>
        </w:rPr>
        <w:t xml:space="preserve"> </w:t>
      </w:r>
      <w:r w:rsidR="00AA3DAA" w:rsidRPr="00E12183">
        <w:rPr>
          <w:rFonts w:cs="Arial"/>
        </w:rPr>
        <w:t>high quality technical skills. Its independence would guarantee priority to technical skills. However, creation of a separate administration and perhaps infrastructure could be costly</w:t>
      </w:r>
      <w:r w:rsidR="00F10D84">
        <w:rPr>
          <w:rFonts w:cs="Arial"/>
        </w:rPr>
        <w:t xml:space="preserve">. </w:t>
      </w:r>
      <w:r w:rsidR="00AA3DAA" w:rsidRPr="00E12183">
        <w:rPr>
          <w:rFonts w:cs="Arial"/>
        </w:rPr>
        <w:t>Continued DFAT funding would be required but could be focused on delivery of specific outcomes</w:t>
      </w:r>
      <w:r w:rsidR="0021524F">
        <w:rPr>
          <w:rFonts w:cs="Arial"/>
        </w:rPr>
        <w:t>,</w:t>
      </w:r>
      <w:r w:rsidR="00AA3DAA" w:rsidRPr="00E12183">
        <w:rPr>
          <w:rFonts w:cs="Arial"/>
        </w:rPr>
        <w:t xml:space="preserve"> such as qualifications that meet external quality audits.</w:t>
      </w:r>
      <w:r w:rsidR="00F10D84" w:rsidRPr="00F10D84">
        <w:t xml:space="preserve"> </w:t>
      </w:r>
      <w:r w:rsidR="00F10D84" w:rsidRPr="00F10D84">
        <w:rPr>
          <w:rFonts w:cs="Arial"/>
        </w:rPr>
        <w:t>It is doubtful whether Pacific governments would fund this option and</w:t>
      </w:r>
      <w:r w:rsidR="00555D35">
        <w:rPr>
          <w:rFonts w:cs="Arial"/>
        </w:rPr>
        <w:t>,</w:t>
      </w:r>
      <w:r w:rsidR="00F10D84" w:rsidRPr="00F10D84">
        <w:rPr>
          <w:rFonts w:cs="Arial"/>
        </w:rPr>
        <w:t xml:space="preserve"> hence</w:t>
      </w:r>
      <w:r w:rsidR="00555D35">
        <w:rPr>
          <w:rFonts w:cs="Arial"/>
        </w:rPr>
        <w:t>,</w:t>
      </w:r>
      <w:r w:rsidR="00F10D84" w:rsidRPr="00F10D84">
        <w:rPr>
          <w:rFonts w:cs="Arial"/>
        </w:rPr>
        <w:t xml:space="preserve"> </w:t>
      </w:r>
      <w:r w:rsidR="00F96260">
        <w:rPr>
          <w:rFonts w:cs="Arial"/>
        </w:rPr>
        <w:t xml:space="preserve">it </w:t>
      </w:r>
      <w:r w:rsidR="00F10D84" w:rsidRPr="00F10D84">
        <w:rPr>
          <w:rFonts w:cs="Arial"/>
        </w:rPr>
        <w:t>would not have Pacific ownership.</w:t>
      </w:r>
      <w:r w:rsidR="00F96260" w:rsidRPr="00F96260">
        <w:t xml:space="preserve"> </w:t>
      </w:r>
      <w:r w:rsidR="00F96260" w:rsidRPr="00F96260">
        <w:rPr>
          <w:rFonts w:cs="Arial"/>
        </w:rPr>
        <w:t>Potential risks to quality would also need to be considered.</w:t>
      </w:r>
    </w:p>
    <w:p w14:paraId="0DBE605F" w14:textId="441EEBE5" w:rsidR="00AA3DAA" w:rsidRPr="00E12183" w:rsidRDefault="00EA7FE6" w:rsidP="00AA3DAA">
      <w:pPr>
        <w:rPr>
          <w:rFonts w:eastAsia="Calibri" w:cs="Arial"/>
        </w:rPr>
      </w:pPr>
      <w:r w:rsidRPr="00DF7C96">
        <w:rPr>
          <w:rFonts w:cs="Arial"/>
          <w:b/>
        </w:rPr>
        <w:t xml:space="preserve">Option </w:t>
      </w:r>
      <w:r w:rsidR="00A34DC0" w:rsidRPr="00DF7C96">
        <w:rPr>
          <w:rFonts w:cs="Arial"/>
          <w:b/>
        </w:rPr>
        <w:t>4</w:t>
      </w:r>
      <w:r w:rsidR="0021524F">
        <w:rPr>
          <w:rFonts w:cs="Arial"/>
        </w:rPr>
        <w:t xml:space="preserve"> is that</w:t>
      </w:r>
      <w:r w:rsidR="0021524F" w:rsidRPr="00E12183">
        <w:rPr>
          <w:rFonts w:cs="Arial"/>
        </w:rPr>
        <w:t xml:space="preserve"> </w:t>
      </w:r>
      <w:r w:rsidR="00AA3DAA" w:rsidRPr="00E12183">
        <w:rPr>
          <w:rFonts w:cs="Arial"/>
        </w:rPr>
        <w:t xml:space="preserve">the APTC could be taken over and integrated into an existing regional organisation, such as </w:t>
      </w:r>
      <w:r w:rsidR="000F01F7">
        <w:rPr>
          <w:rFonts w:cs="Arial"/>
        </w:rPr>
        <w:t>the University of the South Pacific</w:t>
      </w:r>
      <w:r w:rsidR="007158D3">
        <w:rPr>
          <w:rFonts w:cs="Arial"/>
        </w:rPr>
        <w:t xml:space="preserve"> </w:t>
      </w:r>
      <w:r w:rsidR="007158D3" w:rsidRPr="00E12183">
        <w:rPr>
          <w:rFonts w:cs="Arial"/>
        </w:rPr>
        <w:t>(USP)</w:t>
      </w:r>
      <w:r w:rsidR="003C2B52">
        <w:rPr>
          <w:rFonts w:cs="Arial"/>
        </w:rPr>
        <w:t xml:space="preserve">. </w:t>
      </w:r>
      <w:r w:rsidR="00AA3DAA" w:rsidRPr="00E12183">
        <w:rPr>
          <w:rFonts w:cs="Arial"/>
        </w:rPr>
        <w:t xml:space="preserve">APTC would cease to exist as a separate entity. There may be economies in APTC’s use of USP’s existing administration, infrastructure and facilities in several countries. </w:t>
      </w:r>
      <w:r w:rsidR="00AA3DAA" w:rsidRPr="00E12183">
        <w:rPr>
          <w:rFonts w:eastAsia="Calibri" w:cs="Arial"/>
        </w:rPr>
        <w:t>Indirect funding would still be required by DFAT through the regional institution, as it is likely it could not absorb the full costs. However, there is a risk that the parent regional organisation may not give sufficient priority to TVET. USP, for example, has little background, infrastructure or expertise in program delivery to support such an integration. APTC could lose its practical orientation. USP sees TVET as a fee-for-service activity that should not siphon off investment from the university’s core academic and research programs. Among the current USP Strategic Plan objectives</w:t>
      </w:r>
      <w:r w:rsidR="00AA3DAA" w:rsidRPr="00E12183">
        <w:rPr>
          <w:rFonts w:eastAsia="Calibri" w:cs="Arial"/>
          <w:vertAlign w:val="superscript"/>
        </w:rPr>
        <w:footnoteReference w:id="55"/>
      </w:r>
      <w:r w:rsidR="00AA3DAA" w:rsidRPr="00E12183">
        <w:rPr>
          <w:rFonts w:eastAsia="Calibri" w:cs="Arial"/>
        </w:rPr>
        <w:t>, TVET is number 20 out of 30. This set of circumstances does not augur well for a transfer to USP of APTC’s operations.</w:t>
      </w:r>
    </w:p>
    <w:p w14:paraId="5B83E51E" w14:textId="23F85C07" w:rsidR="00AA3DAA" w:rsidRPr="00E12183" w:rsidRDefault="00EA7FE6" w:rsidP="00AA3DAA">
      <w:pPr>
        <w:rPr>
          <w:rFonts w:eastAsia="Calibri" w:cs="Arial"/>
        </w:rPr>
      </w:pPr>
      <w:r w:rsidRPr="00DF7C96">
        <w:rPr>
          <w:rFonts w:eastAsia="Calibri" w:cs="Arial"/>
          <w:b/>
        </w:rPr>
        <w:t>O</w:t>
      </w:r>
      <w:r w:rsidR="00061F15" w:rsidRPr="00DF7C96">
        <w:rPr>
          <w:rFonts w:eastAsia="Calibri" w:cs="Arial"/>
          <w:b/>
        </w:rPr>
        <w:t xml:space="preserve">ption </w:t>
      </w:r>
      <w:r w:rsidR="00A34DC0" w:rsidRPr="00DF7C96">
        <w:rPr>
          <w:rFonts w:eastAsia="Calibri" w:cs="Arial"/>
          <w:b/>
        </w:rPr>
        <w:t>5</w:t>
      </w:r>
      <w:r>
        <w:rPr>
          <w:rFonts w:eastAsia="Calibri" w:cs="Arial"/>
        </w:rPr>
        <w:t xml:space="preserve"> </w:t>
      </w:r>
      <w:r w:rsidR="00C50C3D">
        <w:rPr>
          <w:rFonts w:eastAsia="Calibri" w:cs="Arial"/>
        </w:rPr>
        <w:t>is for</w:t>
      </w:r>
      <w:r w:rsidR="00C50C3D" w:rsidRPr="00E12183">
        <w:rPr>
          <w:rFonts w:eastAsia="Calibri" w:cs="Arial"/>
        </w:rPr>
        <w:t xml:space="preserve"> </w:t>
      </w:r>
      <w:r w:rsidR="00AA3DAA" w:rsidRPr="00E12183">
        <w:rPr>
          <w:rFonts w:eastAsia="Calibri" w:cs="Arial"/>
        </w:rPr>
        <w:t xml:space="preserve">APTC </w:t>
      </w:r>
      <w:r w:rsidR="00C50C3D">
        <w:rPr>
          <w:rFonts w:eastAsia="Calibri" w:cs="Arial"/>
        </w:rPr>
        <w:t>to</w:t>
      </w:r>
      <w:r w:rsidR="00C50C3D" w:rsidRPr="00E12183">
        <w:rPr>
          <w:rFonts w:eastAsia="Calibri" w:cs="Arial"/>
        </w:rPr>
        <w:t xml:space="preserve"> </w:t>
      </w:r>
      <w:r w:rsidR="00AA3DAA" w:rsidRPr="00E12183">
        <w:rPr>
          <w:rFonts w:eastAsia="Calibri" w:cs="Arial"/>
        </w:rPr>
        <w:t xml:space="preserve">be made a legal entity and be transferred by the Australian </w:t>
      </w:r>
      <w:r w:rsidR="00676170">
        <w:rPr>
          <w:rFonts w:eastAsia="Calibri" w:cs="Arial"/>
        </w:rPr>
        <w:t>G</w:t>
      </w:r>
      <w:r w:rsidR="00676170" w:rsidRPr="00E12183">
        <w:rPr>
          <w:rFonts w:eastAsia="Calibri" w:cs="Arial"/>
        </w:rPr>
        <w:t xml:space="preserve">overnment </w:t>
      </w:r>
      <w:r w:rsidR="00AA3DAA" w:rsidRPr="00E12183">
        <w:rPr>
          <w:rFonts w:eastAsia="Calibri" w:cs="Arial"/>
        </w:rPr>
        <w:t xml:space="preserve">to a third party. This could reduce or eventually eliminate Australian subsidies. However, the new legal entity could not become </w:t>
      </w:r>
      <w:r w:rsidR="0042694F">
        <w:rPr>
          <w:rFonts w:eastAsia="Calibri" w:cs="Arial"/>
        </w:rPr>
        <w:t>an</w:t>
      </w:r>
      <w:r w:rsidR="00AA3DAA" w:rsidRPr="00E12183">
        <w:rPr>
          <w:rFonts w:eastAsia="Calibri" w:cs="Arial"/>
        </w:rPr>
        <w:t xml:space="preserve"> Australian RTO under current regulations. Australian RTO support would still be necessary. </w:t>
      </w:r>
      <w:r w:rsidR="00397422" w:rsidRPr="00E12183">
        <w:rPr>
          <w:rFonts w:eastAsia="Calibri" w:cs="Arial"/>
        </w:rPr>
        <w:t>A</w:t>
      </w:r>
      <w:r w:rsidR="00397422">
        <w:rPr>
          <w:rFonts w:eastAsia="Calibri" w:cs="Arial"/>
        </w:rPr>
        <w:t> </w:t>
      </w:r>
      <w:r w:rsidR="00AA3DAA" w:rsidRPr="00E12183">
        <w:rPr>
          <w:rFonts w:eastAsia="Calibri" w:cs="Arial"/>
        </w:rPr>
        <w:t xml:space="preserve">decision would be needed on the country in which to establish the legal entity. </w:t>
      </w:r>
      <w:r w:rsidR="00397422" w:rsidRPr="00E12183">
        <w:rPr>
          <w:rFonts w:eastAsia="Calibri" w:cs="Arial"/>
        </w:rPr>
        <w:t>It</w:t>
      </w:r>
      <w:r w:rsidR="00397422">
        <w:rPr>
          <w:rFonts w:eastAsia="Calibri" w:cs="Arial"/>
        </w:rPr>
        <w:t> </w:t>
      </w:r>
      <w:r w:rsidR="00AA3DAA" w:rsidRPr="00E12183">
        <w:rPr>
          <w:rFonts w:eastAsia="Calibri" w:cs="Arial"/>
        </w:rPr>
        <w:t>would lose tax exemption, likely have less prestige and could face difficulties in attracting staff. The feasibility of this option appears remote at present because APTC is a money</w:t>
      </w:r>
      <w:r w:rsidR="00354BC5">
        <w:rPr>
          <w:rFonts w:eastAsia="Calibri" w:cs="Arial"/>
        </w:rPr>
        <w:t>-</w:t>
      </w:r>
      <w:r w:rsidR="00AA3DAA" w:rsidRPr="00E12183">
        <w:rPr>
          <w:rFonts w:eastAsia="Calibri" w:cs="Arial"/>
        </w:rPr>
        <w:t>losing operation from a strictly business view.</w:t>
      </w:r>
    </w:p>
    <w:p w14:paraId="6DF98A1C" w14:textId="08426E0E" w:rsidR="00AA3DAA" w:rsidRPr="00E12183" w:rsidRDefault="00604E27" w:rsidP="00AA3DAA">
      <w:pPr>
        <w:rPr>
          <w:rFonts w:eastAsia="Calibri" w:cs="Arial"/>
        </w:rPr>
      </w:pPr>
      <w:r w:rsidRPr="00DF7C96">
        <w:rPr>
          <w:rFonts w:eastAsia="Calibri" w:cs="Arial"/>
          <w:b/>
        </w:rPr>
        <w:t>O</w:t>
      </w:r>
      <w:r w:rsidR="00F009AF" w:rsidRPr="00DF7C96">
        <w:rPr>
          <w:rFonts w:eastAsia="Calibri" w:cs="Arial"/>
          <w:b/>
        </w:rPr>
        <w:t>ption</w:t>
      </w:r>
      <w:r w:rsidRPr="00DF7C96">
        <w:rPr>
          <w:rFonts w:eastAsia="Calibri" w:cs="Arial"/>
          <w:b/>
        </w:rPr>
        <w:t xml:space="preserve"> </w:t>
      </w:r>
      <w:r w:rsidR="00A34DC0" w:rsidRPr="00DF7C96">
        <w:rPr>
          <w:rFonts w:eastAsia="Calibri" w:cs="Arial"/>
          <w:b/>
        </w:rPr>
        <w:t>6</w:t>
      </w:r>
      <w:r w:rsidR="00F009AF">
        <w:rPr>
          <w:rFonts w:eastAsia="Calibri" w:cs="Arial"/>
        </w:rPr>
        <w:t xml:space="preserve"> (</w:t>
      </w:r>
      <w:r w:rsidR="00AA3DAA" w:rsidRPr="00E12183">
        <w:rPr>
          <w:rFonts w:eastAsia="Calibri" w:cs="Arial"/>
        </w:rPr>
        <w:t xml:space="preserve">a variant on the </w:t>
      </w:r>
      <w:r w:rsidR="00F009AF">
        <w:rPr>
          <w:rFonts w:eastAsia="Calibri" w:cs="Arial"/>
        </w:rPr>
        <w:t>previous one)</w:t>
      </w:r>
      <w:r w:rsidR="00AA3DAA" w:rsidRPr="00E12183">
        <w:rPr>
          <w:rFonts w:eastAsia="Calibri" w:cs="Arial"/>
        </w:rPr>
        <w:t xml:space="preserve"> </w:t>
      </w:r>
      <w:r w:rsidR="00F009AF">
        <w:rPr>
          <w:rFonts w:eastAsia="Calibri" w:cs="Arial"/>
        </w:rPr>
        <w:t>is</w:t>
      </w:r>
      <w:r w:rsidR="00AA3DAA" w:rsidRPr="00E12183">
        <w:rPr>
          <w:rFonts w:eastAsia="Calibri" w:cs="Arial"/>
        </w:rPr>
        <w:t xml:space="preserve"> for the Australian </w:t>
      </w:r>
      <w:r w:rsidR="00F009AF">
        <w:rPr>
          <w:rFonts w:eastAsia="Calibri" w:cs="Arial"/>
        </w:rPr>
        <w:t>G</w:t>
      </w:r>
      <w:r w:rsidR="00F009AF" w:rsidRPr="00E12183">
        <w:rPr>
          <w:rFonts w:eastAsia="Calibri" w:cs="Arial"/>
        </w:rPr>
        <w:t xml:space="preserve">overnment </w:t>
      </w:r>
      <w:r w:rsidR="00AA3DAA" w:rsidRPr="00E12183">
        <w:rPr>
          <w:rFonts w:eastAsia="Calibri" w:cs="Arial"/>
        </w:rPr>
        <w:t>to retain ownership of APTC but franchise its operations, i.e. allow a third party to use the name to offer training courses. The franchisee would likely need to be subsidised</w:t>
      </w:r>
      <w:r w:rsidR="004E567B" w:rsidRPr="004E567B">
        <w:t xml:space="preserve"> </w:t>
      </w:r>
      <w:r w:rsidR="004E567B" w:rsidRPr="004E567B">
        <w:rPr>
          <w:rFonts w:eastAsia="Calibri" w:cs="Arial"/>
        </w:rPr>
        <w:t>by Australian aid until it became self-funding which may take some time</w:t>
      </w:r>
      <w:r w:rsidR="004E567B">
        <w:rPr>
          <w:rFonts w:eastAsia="Calibri" w:cs="Arial"/>
        </w:rPr>
        <w:t>. T</w:t>
      </w:r>
      <w:r w:rsidR="00AA3DAA" w:rsidRPr="00E12183">
        <w:rPr>
          <w:rFonts w:eastAsia="Calibri" w:cs="Arial"/>
        </w:rPr>
        <w:t>he APTC would need to be made a legal entity with the same issues as above. Moreover, it is not clear what products APTC owns outright and could franchise.</w:t>
      </w:r>
    </w:p>
    <w:p w14:paraId="210BBF58" w14:textId="77777777" w:rsidR="00CF1386" w:rsidRDefault="00CF1386">
      <w:pPr>
        <w:spacing w:after="0"/>
        <w:rPr>
          <w:rFonts w:eastAsia="Calibri" w:cs="Arial"/>
          <w:b/>
        </w:rPr>
      </w:pPr>
      <w:r>
        <w:rPr>
          <w:rFonts w:eastAsia="Calibri" w:cs="Arial"/>
          <w:b/>
        </w:rPr>
        <w:br w:type="page"/>
      </w:r>
    </w:p>
    <w:p w14:paraId="193448B0" w14:textId="3684D5D3" w:rsidR="00AA3DAA" w:rsidRPr="00E12183" w:rsidRDefault="00604E27" w:rsidP="00AA3DAA">
      <w:pPr>
        <w:rPr>
          <w:rFonts w:eastAsia="Calibri" w:cs="Arial"/>
        </w:rPr>
      </w:pPr>
      <w:r w:rsidRPr="00DF7C96">
        <w:rPr>
          <w:rFonts w:eastAsia="Calibri" w:cs="Arial"/>
          <w:b/>
        </w:rPr>
        <w:t>O</w:t>
      </w:r>
      <w:r w:rsidR="005732F0" w:rsidRPr="00DF7C96">
        <w:rPr>
          <w:rFonts w:eastAsia="Calibri" w:cs="Arial"/>
          <w:b/>
        </w:rPr>
        <w:t xml:space="preserve">ption </w:t>
      </w:r>
      <w:r w:rsidR="00A34DC0" w:rsidRPr="00DF7C96">
        <w:rPr>
          <w:rFonts w:eastAsia="Calibri" w:cs="Arial"/>
          <w:b/>
        </w:rPr>
        <w:t>7</w:t>
      </w:r>
      <w:r>
        <w:rPr>
          <w:rFonts w:eastAsia="Calibri" w:cs="Arial"/>
        </w:rPr>
        <w:t xml:space="preserve"> </w:t>
      </w:r>
      <w:r w:rsidR="005732F0">
        <w:rPr>
          <w:rFonts w:eastAsia="Calibri" w:cs="Arial"/>
        </w:rPr>
        <w:t xml:space="preserve">is that </w:t>
      </w:r>
      <w:r w:rsidR="00AA3DAA" w:rsidRPr="00E12183">
        <w:rPr>
          <w:rFonts w:eastAsia="Calibri" w:cs="Arial"/>
        </w:rPr>
        <w:t xml:space="preserve">APTC could be integrated, </w:t>
      </w:r>
      <w:r w:rsidR="00A6050A" w:rsidRPr="00E12183">
        <w:rPr>
          <w:rFonts w:eastAsia="Calibri" w:cs="Arial"/>
        </w:rPr>
        <w:t>country</w:t>
      </w:r>
      <w:r w:rsidR="00A6050A">
        <w:rPr>
          <w:rFonts w:eastAsia="Calibri" w:cs="Arial"/>
        </w:rPr>
        <w:t>-</w:t>
      </w:r>
      <w:r w:rsidR="00A6050A" w:rsidRPr="00E12183">
        <w:rPr>
          <w:rFonts w:eastAsia="Calibri" w:cs="Arial"/>
        </w:rPr>
        <w:t>by</w:t>
      </w:r>
      <w:r w:rsidR="00A6050A">
        <w:rPr>
          <w:rFonts w:eastAsia="Calibri" w:cs="Arial"/>
        </w:rPr>
        <w:t>-</w:t>
      </w:r>
      <w:r w:rsidR="00AA3DAA" w:rsidRPr="00E12183">
        <w:rPr>
          <w:rFonts w:eastAsia="Calibri" w:cs="Arial"/>
        </w:rPr>
        <w:t>country, with national training institutions wishing to offer international qualifications when they are ready. During the field visits, when asked what long</w:t>
      </w:r>
      <w:r w:rsidR="00943E09">
        <w:rPr>
          <w:rFonts w:eastAsia="Calibri" w:cs="Arial"/>
        </w:rPr>
        <w:t>-</w:t>
      </w:r>
      <w:r w:rsidR="00AA3DAA" w:rsidRPr="00E12183">
        <w:rPr>
          <w:rFonts w:eastAsia="Calibri" w:cs="Arial"/>
        </w:rPr>
        <w:t>term success would look like, the APTC CEO put the answer succinctly: ‘To be successful we need to put ourselves out of business</w:t>
      </w:r>
      <w:r w:rsidR="00943E09">
        <w:rPr>
          <w:rFonts w:eastAsia="Calibri" w:cs="Arial"/>
        </w:rPr>
        <w:t>’</w:t>
      </w:r>
      <w:r w:rsidR="00AA3DAA" w:rsidRPr="00E12183">
        <w:rPr>
          <w:rFonts w:eastAsia="Calibri" w:cs="Arial"/>
        </w:rPr>
        <w:t>.</w:t>
      </w:r>
      <w:r w:rsidR="00AA3DAA" w:rsidRPr="00E12183">
        <w:rPr>
          <w:rFonts w:eastAsia="Calibri" w:cs="Arial"/>
          <w:vertAlign w:val="superscript"/>
        </w:rPr>
        <w:footnoteReference w:id="56"/>
      </w:r>
      <w:r w:rsidR="00AA3DAA" w:rsidRPr="00E12183">
        <w:rPr>
          <w:rFonts w:eastAsia="Calibri" w:cs="Arial"/>
        </w:rPr>
        <w:t xml:space="preserve"> The ultimate aim would be for national training institutions to be strengthened to the point where they could take over APTC’s delivery. This is clearly the best option from the viewpoint of national capacity building and integration with Pacific TVET systems. APTC would cease to exist as a separate entity. This option would require careful partnering by APTC with NTIs and clear strategies for building sufficient local capacities. Sustained DFAT financing would also be required but could focus on funding outcomes</w:t>
      </w:r>
      <w:r w:rsidR="00943E09">
        <w:rPr>
          <w:rFonts w:eastAsia="Calibri" w:cs="Arial"/>
        </w:rPr>
        <w:t>,</w:t>
      </w:r>
      <w:r w:rsidR="00AA3DAA" w:rsidRPr="00E12183">
        <w:rPr>
          <w:rFonts w:eastAsia="Calibri" w:cs="Arial"/>
        </w:rPr>
        <w:t xml:space="preserve"> such </w:t>
      </w:r>
      <w:r w:rsidR="00943E09">
        <w:rPr>
          <w:rFonts w:eastAsia="Calibri" w:cs="Arial"/>
        </w:rPr>
        <w:t xml:space="preserve">as </w:t>
      </w:r>
      <w:r w:rsidR="00AA3DAA" w:rsidRPr="00E12183">
        <w:rPr>
          <w:rFonts w:eastAsia="Calibri" w:cs="Arial"/>
        </w:rPr>
        <w:t>qualifications that meet external quality audits.</w:t>
      </w:r>
    </w:p>
    <w:p w14:paraId="4FE70734" w14:textId="182BF1BE" w:rsidR="004E567B" w:rsidRDefault="00F10D84" w:rsidP="00AA3DAA">
      <w:pPr>
        <w:rPr>
          <w:rFonts w:eastAsia="Calibri" w:cs="Arial"/>
        </w:rPr>
      </w:pPr>
      <w:r w:rsidRPr="00F10D84">
        <w:rPr>
          <w:rFonts w:eastAsia="Calibri" w:cs="Arial"/>
        </w:rPr>
        <w:t>This option also carries risks. Partnering with key NTIs has met resistan</w:t>
      </w:r>
      <w:r w:rsidR="00BE594F">
        <w:rPr>
          <w:rFonts w:eastAsia="Calibri" w:cs="Arial"/>
        </w:rPr>
        <w:t xml:space="preserve">ce in Fiji and Solomon Islands. </w:t>
      </w:r>
      <w:r w:rsidR="00BE594F" w:rsidRPr="00BE594F">
        <w:rPr>
          <w:rFonts w:eastAsia="Calibri" w:cs="Arial"/>
        </w:rPr>
        <w:t xml:space="preserve">These </w:t>
      </w:r>
      <w:r w:rsidR="00F96260">
        <w:rPr>
          <w:rFonts w:eastAsia="Calibri" w:cs="Arial"/>
        </w:rPr>
        <w:t xml:space="preserve">risks </w:t>
      </w:r>
      <w:r w:rsidR="00BE594F" w:rsidRPr="00BE594F">
        <w:rPr>
          <w:rFonts w:eastAsia="Calibri" w:cs="Arial"/>
        </w:rPr>
        <w:t xml:space="preserve">may be difficult to overcome, and it could happen elsewhere. </w:t>
      </w:r>
      <w:r w:rsidRPr="00F10D84">
        <w:rPr>
          <w:rFonts w:eastAsia="Calibri" w:cs="Arial"/>
        </w:rPr>
        <w:t xml:space="preserve">Another risk is the length of time required for NTIs to be fully capable of taking over APTC training. One aid official in a major Pacific country estimated it could take </w:t>
      </w:r>
      <w:r>
        <w:rPr>
          <w:rFonts w:eastAsia="Calibri" w:cs="Arial"/>
        </w:rPr>
        <w:t xml:space="preserve">decades </w:t>
      </w:r>
      <w:r w:rsidRPr="00F10D84">
        <w:rPr>
          <w:rFonts w:eastAsia="Calibri" w:cs="Arial"/>
        </w:rPr>
        <w:t>for national training institutions to assume APTC functions.</w:t>
      </w:r>
      <w:r>
        <w:rPr>
          <w:rFonts w:eastAsia="Calibri" w:cs="Arial"/>
        </w:rPr>
        <w:t xml:space="preserve"> On the other hand, t</w:t>
      </w:r>
      <w:r w:rsidR="004E567B" w:rsidRPr="004E567B">
        <w:rPr>
          <w:rFonts w:eastAsia="Calibri" w:cs="Arial"/>
        </w:rPr>
        <w:t>his option</w:t>
      </w:r>
      <w:r w:rsidR="004E567B">
        <w:rPr>
          <w:rFonts w:eastAsia="Calibri" w:cs="Arial"/>
        </w:rPr>
        <w:t xml:space="preserve"> </w:t>
      </w:r>
      <w:r w:rsidR="004E567B" w:rsidRPr="004E567B">
        <w:rPr>
          <w:rFonts w:eastAsia="Calibri" w:cs="Arial"/>
        </w:rPr>
        <w:t xml:space="preserve">offers the possibility of maximising the benefits from all the sunk costs of APTC, encouraging revenues from Pacific countries, increasing revenues from fee-paying students, reducing unit costs to acceptable levels, increasing </w:t>
      </w:r>
      <w:r w:rsidR="004E567B">
        <w:rPr>
          <w:rFonts w:eastAsia="Calibri" w:cs="Arial"/>
        </w:rPr>
        <w:t xml:space="preserve">the </w:t>
      </w:r>
      <w:r w:rsidR="004E567B" w:rsidRPr="004E567B">
        <w:rPr>
          <w:rFonts w:eastAsia="Calibri" w:cs="Arial"/>
        </w:rPr>
        <w:t>ERR to respectable levels, and creating a genuine sense of national ownership.</w:t>
      </w:r>
    </w:p>
    <w:p w14:paraId="05D54CCD" w14:textId="68E5C962" w:rsidR="00AA3DAA" w:rsidRPr="00E12183" w:rsidRDefault="00653495" w:rsidP="00AA3DAA">
      <w:pPr>
        <w:rPr>
          <w:rFonts w:eastAsia="Calibri" w:cs="Arial"/>
        </w:rPr>
      </w:pPr>
      <w:r w:rsidRPr="00DF7C96">
        <w:rPr>
          <w:rFonts w:eastAsia="Calibri" w:cs="Arial"/>
          <w:b/>
        </w:rPr>
        <w:t xml:space="preserve">Option </w:t>
      </w:r>
      <w:r w:rsidR="00A34DC0" w:rsidRPr="00DF7C96">
        <w:rPr>
          <w:rFonts w:eastAsia="Calibri" w:cs="Arial"/>
          <w:b/>
        </w:rPr>
        <w:t>8</w:t>
      </w:r>
      <w:r>
        <w:rPr>
          <w:rFonts w:eastAsia="Calibri" w:cs="Arial"/>
        </w:rPr>
        <w:t xml:space="preserve"> is that</w:t>
      </w:r>
      <w:r w:rsidR="00AA3DAA" w:rsidRPr="00E12183">
        <w:rPr>
          <w:rFonts w:eastAsia="Calibri" w:cs="Arial"/>
        </w:rPr>
        <w:t xml:space="preserve"> APTC could become a regional TVET support organisation. APTC would cease to deliver student training directly. Its role would change from a best practice provider of Australian qualifications to that of </w:t>
      </w:r>
      <w:r w:rsidR="00D5351E">
        <w:rPr>
          <w:rFonts w:eastAsia="Calibri" w:cs="Arial"/>
        </w:rPr>
        <w:t xml:space="preserve">a </w:t>
      </w:r>
      <w:r w:rsidR="00AA3DAA" w:rsidRPr="00E12183">
        <w:rPr>
          <w:rFonts w:eastAsia="Calibri" w:cs="Arial"/>
        </w:rPr>
        <w:t xml:space="preserve">much smaller enabler, or technical adviser, to Pacific TVET institutions and systems which want to offer international qualifications, addressing their needs and requirements.  </w:t>
      </w:r>
    </w:p>
    <w:p w14:paraId="7DDB57CB" w14:textId="04F66333" w:rsidR="004E567B" w:rsidRDefault="004E567B" w:rsidP="009C76A7">
      <w:pPr>
        <w:rPr>
          <w:rFonts w:eastAsia="Calibri" w:cs="Arial"/>
        </w:rPr>
      </w:pPr>
      <w:r w:rsidRPr="004E567B">
        <w:rPr>
          <w:rFonts w:eastAsia="Calibri" w:cs="Arial"/>
        </w:rPr>
        <w:t xml:space="preserve">This </w:t>
      </w:r>
      <w:r w:rsidR="007804F7">
        <w:rPr>
          <w:rFonts w:eastAsia="Calibri" w:cs="Arial"/>
        </w:rPr>
        <w:t>o</w:t>
      </w:r>
      <w:r w:rsidRPr="004E567B">
        <w:rPr>
          <w:rFonts w:eastAsia="Calibri" w:cs="Arial"/>
        </w:rPr>
        <w:t>ption could be c</w:t>
      </w:r>
      <w:r w:rsidR="00A34DC0">
        <w:rPr>
          <w:rFonts w:eastAsia="Calibri" w:cs="Arial"/>
        </w:rPr>
        <w:t>onsidered together with Option 7</w:t>
      </w:r>
      <w:r w:rsidRPr="004E567B">
        <w:rPr>
          <w:rFonts w:eastAsia="Calibri" w:cs="Arial"/>
        </w:rPr>
        <w:t xml:space="preserve">. </w:t>
      </w:r>
      <w:r>
        <w:rPr>
          <w:rFonts w:eastAsia="Calibri" w:cs="Arial"/>
        </w:rPr>
        <w:t xml:space="preserve">The TVET support organisation </w:t>
      </w:r>
      <w:r w:rsidR="00905268">
        <w:rPr>
          <w:rFonts w:eastAsia="Calibri" w:cs="Arial"/>
        </w:rPr>
        <w:t>would not need to be based in the Pacific to save on costs</w:t>
      </w:r>
      <w:r w:rsidR="007804F7">
        <w:rPr>
          <w:rFonts w:eastAsia="Calibri" w:cs="Arial"/>
        </w:rPr>
        <w:t>,</w:t>
      </w:r>
      <w:r w:rsidR="00905268">
        <w:rPr>
          <w:rFonts w:eastAsia="Calibri" w:cs="Arial"/>
        </w:rPr>
        <w:t xml:space="preserve"> provided it could respond to demands on short notice.</w:t>
      </w:r>
      <w:r w:rsidRPr="004E567B">
        <w:rPr>
          <w:rFonts w:eastAsia="Calibri" w:cs="Arial"/>
        </w:rPr>
        <w:t xml:space="preserve"> APTC as a support organisation could be linked to a TAFE </w:t>
      </w:r>
      <w:r w:rsidR="007804F7">
        <w:rPr>
          <w:rFonts w:eastAsia="Calibri" w:cs="Arial"/>
        </w:rPr>
        <w:t>i</w:t>
      </w:r>
      <w:r w:rsidRPr="004E567B">
        <w:rPr>
          <w:rFonts w:eastAsia="Calibri" w:cs="Arial"/>
        </w:rPr>
        <w:t>nstitute</w:t>
      </w:r>
      <w:r w:rsidR="00F96260">
        <w:rPr>
          <w:rFonts w:eastAsia="Calibri" w:cs="Arial"/>
        </w:rPr>
        <w:t>/VET provider</w:t>
      </w:r>
      <w:r w:rsidRPr="004E567B">
        <w:rPr>
          <w:rFonts w:eastAsia="Calibri" w:cs="Arial"/>
        </w:rPr>
        <w:t xml:space="preserve"> which </w:t>
      </w:r>
      <w:r w:rsidR="00F96260">
        <w:rPr>
          <w:rFonts w:eastAsia="Calibri" w:cs="Arial"/>
        </w:rPr>
        <w:t>accredits</w:t>
      </w:r>
      <w:r w:rsidRPr="004E567B">
        <w:rPr>
          <w:rFonts w:eastAsia="Calibri" w:cs="Arial"/>
        </w:rPr>
        <w:t xml:space="preserve"> the training it delivers to the staff of NTIs.</w:t>
      </w:r>
    </w:p>
    <w:p w14:paraId="25A6FD43" w14:textId="3F05ECB5" w:rsidR="00851E2E" w:rsidRDefault="00851E2E" w:rsidP="009C76A7">
      <w:pPr>
        <w:rPr>
          <w:rFonts w:eastAsia="Calibri" w:cs="Arial"/>
        </w:rPr>
      </w:pPr>
      <w:r>
        <w:rPr>
          <w:rFonts w:eastAsia="Calibri" w:cs="Arial"/>
        </w:rPr>
        <w:t xml:space="preserve">Except for the first option, none of the options would reduce the costs of APTC to the Australian aid program in the short term. All of the other options would require continued substantial Australian financial support. Option 5 could lead to a major reduction in Australian aid, but its feasibility is unlikely. Option 8 would reduce total costs in the long run. </w:t>
      </w:r>
    </w:p>
    <w:p w14:paraId="1165EC19" w14:textId="2292DCAD" w:rsidR="00D5351E" w:rsidRDefault="00851E2E" w:rsidP="009C76A7">
      <w:pPr>
        <w:rPr>
          <w:rFonts w:cs="Arial"/>
        </w:rPr>
      </w:pPr>
      <w:r>
        <w:rPr>
          <w:rFonts w:eastAsia="Calibri" w:cs="Arial"/>
        </w:rPr>
        <w:t>Except for the first, any of t</w:t>
      </w:r>
      <w:r w:rsidR="00AA3DAA" w:rsidRPr="00E12183">
        <w:rPr>
          <w:rFonts w:eastAsia="Calibri" w:cs="Arial"/>
        </w:rPr>
        <w:t xml:space="preserve">hese changes clearly would take time. They would also need to take into account the fact that there is no ‘one-size-fits-all’ for country campuses. Moreover, the options should not be seen as static. Developments can alter their viability. The more APTC can reduce its costs and raise revenue, the more viable other options become. That is, </w:t>
      </w:r>
      <w:r w:rsidR="00AA3DAA" w:rsidRPr="00E12183">
        <w:rPr>
          <w:rFonts w:cs="Arial"/>
        </w:rPr>
        <w:t xml:space="preserve">APTC’s reduced cost per student would affect all options not involving DFAT’s continuation of core funding. </w:t>
      </w:r>
    </w:p>
    <w:p w14:paraId="2D036BBC" w14:textId="6923944B" w:rsidR="00CF1386" w:rsidRDefault="00AA3DAA" w:rsidP="009C76A7">
      <w:pPr>
        <w:rPr>
          <w:rFonts w:eastAsia="Calibri" w:cs="Arial"/>
        </w:rPr>
      </w:pPr>
      <w:r w:rsidRPr="00E12183">
        <w:rPr>
          <w:rFonts w:cs="Arial"/>
        </w:rPr>
        <w:t>The review team sees o</w:t>
      </w:r>
      <w:r w:rsidRPr="00E12183">
        <w:rPr>
          <w:rFonts w:eastAsia="Calibri" w:cs="Arial"/>
        </w:rPr>
        <w:t xml:space="preserve">ptions </w:t>
      </w:r>
      <w:r w:rsidR="00A34DC0">
        <w:rPr>
          <w:rFonts w:eastAsia="Calibri" w:cs="Arial"/>
        </w:rPr>
        <w:t>3</w:t>
      </w:r>
      <w:r w:rsidR="00343048">
        <w:rPr>
          <w:rFonts w:eastAsia="Calibri" w:cs="Arial"/>
        </w:rPr>
        <w:t xml:space="preserve"> or</w:t>
      </w:r>
      <w:r w:rsidRPr="00E12183">
        <w:rPr>
          <w:rFonts w:eastAsia="Calibri" w:cs="Arial"/>
        </w:rPr>
        <w:t xml:space="preserve"> </w:t>
      </w:r>
      <w:r w:rsidR="00A34DC0">
        <w:rPr>
          <w:rFonts w:eastAsia="Calibri" w:cs="Arial"/>
        </w:rPr>
        <w:t>7</w:t>
      </w:r>
      <w:r w:rsidRPr="00E12183">
        <w:rPr>
          <w:rFonts w:eastAsia="Calibri" w:cs="Arial"/>
        </w:rPr>
        <w:t xml:space="preserve"> and </w:t>
      </w:r>
      <w:r w:rsidR="00A34DC0">
        <w:rPr>
          <w:rFonts w:eastAsia="Calibri" w:cs="Arial"/>
        </w:rPr>
        <w:t>8</w:t>
      </w:r>
      <w:r w:rsidRPr="00E12183">
        <w:rPr>
          <w:rFonts w:eastAsia="Calibri" w:cs="Arial"/>
        </w:rPr>
        <w:t xml:space="preserve"> as the preferable alternatives for </w:t>
      </w:r>
      <w:r w:rsidR="00A34DC0">
        <w:rPr>
          <w:rFonts w:eastAsia="Calibri" w:cs="Arial"/>
        </w:rPr>
        <w:t xml:space="preserve">a successful </w:t>
      </w:r>
      <w:r w:rsidRPr="00E12183">
        <w:rPr>
          <w:rFonts w:eastAsia="Calibri" w:cs="Arial"/>
        </w:rPr>
        <w:t>end point.</w:t>
      </w:r>
      <w:r w:rsidR="00851E2E">
        <w:rPr>
          <w:rFonts w:eastAsia="Calibri" w:cs="Arial"/>
        </w:rPr>
        <w:t xml:space="preserve"> These and other options would need to be the subject of a separate study.</w:t>
      </w:r>
    </w:p>
    <w:p w14:paraId="14FCF4DD" w14:textId="77777777" w:rsidR="00CF1386" w:rsidRDefault="00CF1386">
      <w:pPr>
        <w:spacing w:after="0"/>
        <w:rPr>
          <w:rFonts w:eastAsia="Calibri" w:cs="Arial"/>
        </w:rPr>
      </w:pPr>
      <w:r>
        <w:rPr>
          <w:rFonts w:eastAsia="Calibri" w:cs="Arial"/>
        </w:rPr>
        <w:br w:type="page"/>
      </w:r>
    </w:p>
    <w:p w14:paraId="7748E3B6" w14:textId="29D8085C" w:rsidR="00AF55E0" w:rsidRPr="00D5351E" w:rsidRDefault="00360F26" w:rsidP="009C76A7">
      <w:pPr>
        <w:pStyle w:val="Heading1"/>
      </w:pPr>
      <w:bookmarkStart w:id="103" w:name="_Toc278710575"/>
      <w:r w:rsidRPr="00D5351E">
        <w:t>R</w:t>
      </w:r>
      <w:r w:rsidR="00954135" w:rsidRPr="00D5351E">
        <w:t>ecommendations</w:t>
      </w:r>
      <w:bookmarkEnd w:id="103"/>
    </w:p>
    <w:p w14:paraId="4254A3D8" w14:textId="68C30B44" w:rsidR="00954135" w:rsidRDefault="000370BE" w:rsidP="00954135">
      <w:r>
        <w:t>T</w:t>
      </w:r>
      <w:r w:rsidR="00954135" w:rsidRPr="00954135">
        <w:t xml:space="preserve">he recommendations </w:t>
      </w:r>
      <w:r>
        <w:t xml:space="preserve">are organised </w:t>
      </w:r>
      <w:r w:rsidR="00065376">
        <w:t>in sequence</w:t>
      </w:r>
      <w:r>
        <w:t xml:space="preserve"> below</w:t>
      </w:r>
      <w:r w:rsidR="00065376">
        <w:t xml:space="preserve">, </w:t>
      </w:r>
      <w:r w:rsidR="00954135" w:rsidRPr="00954135">
        <w:t>by issues they address and by</w:t>
      </w:r>
      <w:r w:rsidR="00065376">
        <w:t xml:space="preserve"> phasing</w:t>
      </w:r>
      <w:r w:rsidR="00954135" w:rsidRPr="00954135">
        <w:t>.</w:t>
      </w:r>
      <w:r w:rsidR="003F2F0D" w:rsidRPr="003F2F0D">
        <w:t xml:space="preserve"> They are based on the terms of reference guiding this review and</w:t>
      </w:r>
      <w:r w:rsidR="007804F7">
        <w:t>,</w:t>
      </w:r>
      <w:r w:rsidR="003F2F0D" w:rsidRPr="003F2F0D">
        <w:t xml:space="preserve"> as such</w:t>
      </w:r>
      <w:r w:rsidR="007804F7">
        <w:t>,</w:t>
      </w:r>
      <w:r w:rsidR="003F2F0D" w:rsidRPr="003F2F0D">
        <w:t xml:space="preserve"> focus on the current performance, contribution and impact of APTC</w:t>
      </w:r>
      <w:r w:rsidR="003F2F0D">
        <w:t xml:space="preserve">. </w:t>
      </w:r>
      <w:r>
        <w:t xml:space="preserve">Each set of recommendations has a reference to the relevant chapter in this review. </w:t>
      </w:r>
    </w:p>
    <w:p w14:paraId="441E7082" w14:textId="77777777" w:rsidR="00CA6F37" w:rsidRDefault="00360F26">
      <w:pPr>
        <w:pStyle w:val="Heading2"/>
      </w:pPr>
      <w:bookmarkStart w:id="104" w:name="_Toc278710576"/>
      <w:r w:rsidRPr="00360F26">
        <w:t>Recommendations</w:t>
      </w:r>
      <w:r>
        <w:t xml:space="preserve"> in sequence</w:t>
      </w:r>
      <w:bookmarkEnd w:id="104"/>
    </w:p>
    <w:p w14:paraId="5ECEF94D" w14:textId="035672CF" w:rsidR="00360F26" w:rsidRPr="00391C5E" w:rsidRDefault="000370BE" w:rsidP="009C76A7">
      <w:pPr>
        <w:pStyle w:val="Heading3"/>
      </w:pPr>
      <w:bookmarkStart w:id="105" w:name="_Toc278710577"/>
      <w:r w:rsidRPr="009C76A7">
        <w:t xml:space="preserve">Recommendations related to </w:t>
      </w:r>
      <w:r w:rsidR="00360F26" w:rsidRPr="009C76A7">
        <w:t xml:space="preserve">Chapter </w:t>
      </w:r>
      <w:r w:rsidR="00D5351E" w:rsidRPr="009C76A7">
        <w:t>2</w:t>
      </w:r>
      <w:r w:rsidR="003A018A" w:rsidRPr="007168DD">
        <w:t>: TVET capacity</w:t>
      </w:r>
      <w:bookmarkEnd w:id="105"/>
      <w:r w:rsidR="00D5351E" w:rsidRPr="009C76A7">
        <w:t xml:space="preserve"> </w:t>
      </w:r>
    </w:p>
    <w:p w14:paraId="453EE327" w14:textId="60091890" w:rsidR="00360F26" w:rsidRPr="00360F26" w:rsidRDefault="00360F26" w:rsidP="00360F26">
      <w:pPr>
        <w:ind w:left="720" w:hanging="720"/>
        <w:rPr>
          <w:rFonts w:cs="Arial"/>
          <w:color w:val="000000" w:themeColor="text1"/>
        </w:rPr>
      </w:pPr>
      <w:r w:rsidRPr="00360F26">
        <w:rPr>
          <w:rFonts w:cs="Arial"/>
          <w:b/>
          <w:color w:val="76923C"/>
        </w:rPr>
        <w:t>R.1</w:t>
      </w:r>
      <w:r w:rsidRPr="00360F26">
        <w:rPr>
          <w:rFonts w:cs="Arial"/>
          <w:b/>
          <w:color w:val="76923C"/>
        </w:rPr>
        <w:tab/>
      </w:r>
      <w:r w:rsidRPr="00360F26">
        <w:rPr>
          <w:rFonts w:cs="Arial"/>
          <w:color w:val="000000" w:themeColor="text1"/>
        </w:rPr>
        <w:t xml:space="preserve">DFAT begins intensive consultation towards </w:t>
      </w:r>
      <w:r w:rsidR="004B3F9E">
        <w:rPr>
          <w:rFonts w:cs="Arial"/>
          <w:color w:val="000000" w:themeColor="text1"/>
        </w:rPr>
        <w:t xml:space="preserve">the </w:t>
      </w:r>
      <w:r w:rsidRPr="00360F26">
        <w:rPr>
          <w:rFonts w:cs="Arial"/>
          <w:color w:val="000000" w:themeColor="text1"/>
        </w:rPr>
        <w:t>development of an Australian regional TVET strategy; and within the context of this strategy</w:t>
      </w:r>
      <w:r w:rsidR="004B3F9E">
        <w:rPr>
          <w:rFonts w:cs="Arial"/>
          <w:color w:val="000000" w:themeColor="text1"/>
        </w:rPr>
        <w:t>,</w:t>
      </w:r>
      <w:r w:rsidRPr="00360F26">
        <w:rPr>
          <w:rFonts w:cs="Arial"/>
          <w:color w:val="000000" w:themeColor="text1"/>
        </w:rPr>
        <w:t xml:space="preserve"> DFAT defines its long-</w:t>
      </w:r>
      <w:r w:rsidR="00530FD0">
        <w:rPr>
          <w:rFonts w:cs="Arial"/>
          <w:color w:val="000000" w:themeColor="text1"/>
        </w:rPr>
        <w:t>term</w:t>
      </w:r>
      <w:r w:rsidRPr="00360F26">
        <w:rPr>
          <w:rFonts w:cs="Arial"/>
          <w:color w:val="000000" w:themeColor="text1"/>
        </w:rPr>
        <w:t xml:space="preserve"> vision for the APTC.</w:t>
      </w:r>
    </w:p>
    <w:p w14:paraId="189D2364" w14:textId="77777777" w:rsidR="00360F26" w:rsidRPr="00360F26" w:rsidRDefault="00360F26" w:rsidP="00360F26">
      <w:pPr>
        <w:ind w:left="720" w:hanging="720"/>
        <w:rPr>
          <w:rFonts w:cs="Arial"/>
          <w:color w:val="000000" w:themeColor="text1"/>
        </w:rPr>
      </w:pPr>
      <w:r w:rsidRPr="00360F26">
        <w:rPr>
          <w:rFonts w:cs="Arial"/>
          <w:b/>
          <w:color w:val="76923C"/>
        </w:rPr>
        <w:t>R.2</w:t>
      </w:r>
      <w:r w:rsidRPr="00360F26">
        <w:rPr>
          <w:rFonts w:cs="Arial"/>
          <w:b/>
          <w:color w:val="76923C"/>
        </w:rPr>
        <w:tab/>
      </w:r>
      <w:r w:rsidRPr="00360F26">
        <w:rPr>
          <w:rFonts w:cs="Arial"/>
        </w:rPr>
        <w:t>APTC</w:t>
      </w:r>
      <w:r w:rsidRPr="00360F26">
        <w:rPr>
          <w:rFonts w:cs="Arial"/>
          <w:b/>
          <w:color w:val="76923C"/>
        </w:rPr>
        <w:t xml:space="preserve"> </w:t>
      </w:r>
      <w:r w:rsidRPr="00360F26">
        <w:rPr>
          <w:rFonts w:cs="Arial"/>
        </w:rPr>
        <w:t xml:space="preserve">develops mid- and long-term strategic plans for each campus country, </w:t>
      </w:r>
      <w:r w:rsidRPr="00360F26">
        <w:rPr>
          <w:rFonts w:cs="Arial"/>
          <w:color w:val="000000" w:themeColor="text1"/>
        </w:rPr>
        <w:t>acknowledging their different stages of development,</w:t>
      </w:r>
      <w:r w:rsidRPr="00360F26">
        <w:rPr>
          <w:rFonts w:cs="Arial"/>
        </w:rPr>
        <w:t xml:space="preserve"> in line with the Australian Government’s vision and strategy for TVET assistance to the region; and APTC bases its regional plan on these country strategies. </w:t>
      </w:r>
    </w:p>
    <w:p w14:paraId="5F636D19" w14:textId="423A70D1" w:rsidR="00360F26" w:rsidRPr="00360F26" w:rsidRDefault="00360F26" w:rsidP="00360F26">
      <w:pPr>
        <w:ind w:left="720" w:hanging="720"/>
        <w:rPr>
          <w:rFonts w:eastAsiaTheme="minorEastAsia" w:cs="Arial"/>
        </w:rPr>
      </w:pPr>
      <w:r w:rsidRPr="00360F26">
        <w:rPr>
          <w:rFonts w:eastAsiaTheme="minorEastAsia" w:cs="Arial"/>
          <w:b/>
          <w:color w:val="76923C"/>
        </w:rPr>
        <w:t>R.3</w:t>
      </w:r>
      <w:r w:rsidRPr="00360F26">
        <w:rPr>
          <w:rFonts w:eastAsiaTheme="minorEastAsia" w:cs="Arial"/>
          <w:b/>
          <w:color w:val="76923C"/>
        </w:rPr>
        <w:tab/>
      </w:r>
      <w:r w:rsidRPr="00360F26">
        <w:rPr>
          <w:rFonts w:cs="Arial"/>
        </w:rPr>
        <w:t>DFAT</w:t>
      </w:r>
      <w:r w:rsidR="004B3F9E">
        <w:rPr>
          <w:rFonts w:cs="Arial"/>
        </w:rPr>
        <w:t>:</w:t>
      </w:r>
      <w:r w:rsidRPr="00360F26">
        <w:rPr>
          <w:rFonts w:cs="Arial"/>
        </w:rPr>
        <w:t xml:space="preserve"> a) contracts a single RTO to implement and be accountable for all aspects of program planning, delivery and quality assurance</w:t>
      </w:r>
      <w:r w:rsidR="004B3F9E">
        <w:rPr>
          <w:rFonts w:cs="Arial"/>
        </w:rPr>
        <w:t>;</w:t>
      </w:r>
      <w:r w:rsidRPr="00360F26">
        <w:rPr>
          <w:rFonts w:cs="Arial"/>
        </w:rPr>
        <w:t xml:space="preserve"> and b) requires a single set of administrative policies, procedures and processes for the APTC, including employment terms and conditions of staff, separate from Australian TAFE industrial awards.</w:t>
      </w:r>
    </w:p>
    <w:p w14:paraId="045D33A6" w14:textId="77777777" w:rsidR="00360F26" w:rsidRPr="00360F26" w:rsidRDefault="00360F26" w:rsidP="00360F26">
      <w:pPr>
        <w:ind w:left="720" w:hanging="720"/>
        <w:rPr>
          <w:rFonts w:cs="Arial"/>
          <w:color w:val="000000" w:themeColor="text1"/>
        </w:rPr>
      </w:pPr>
      <w:r w:rsidRPr="00360F26">
        <w:rPr>
          <w:rFonts w:eastAsiaTheme="minorEastAsia" w:cs="Arial"/>
          <w:b/>
          <w:color w:val="76923C"/>
        </w:rPr>
        <w:t>R.4</w:t>
      </w:r>
      <w:r w:rsidRPr="00360F26">
        <w:rPr>
          <w:rFonts w:eastAsiaTheme="minorEastAsia" w:cs="Arial"/>
          <w:b/>
          <w:color w:val="76923C"/>
        </w:rPr>
        <w:tab/>
      </w:r>
      <w:r w:rsidRPr="00360F26">
        <w:rPr>
          <w:rFonts w:eastAsiaTheme="minorEastAsia" w:cs="Arial"/>
        </w:rPr>
        <w:t xml:space="preserve">APTC strengthens delegation, ensuring that: a) all APTC staff are accountable to the CEO; and b) </w:t>
      </w:r>
      <w:r w:rsidRPr="00360F26">
        <w:rPr>
          <w:rFonts w:cs="Arial"/>
        </w:rPr>
        <w:t>country managers have sufficient authority to operate effectively and deliver on their country plans.</w:t>
      </w:r>
    </w:p>
    <w:p w14:paraId="06931970" w14:textId="77777777" w:rsidR="00360F26" w:rsidRPr="00360F26" w:rsidRDefault="00360F26" w:rsidP="00360F26">
      <w:pPr>
        <w:ind w:left="720" w:hanging="720"/>
        <w:rPr>
          <w:rFonts w:cs="Arial"/>
        </w:rPr>
      </w:pPr>
      <w:r w:rsidRPr="00360F26">
        <w:rPr>
          <w:rFonts w:eastAsiaTheme="minorEastAsia" w:cs="Arial"/>
          <w:b/>
          <w:color w:val="76923C"/>
        </w:rPr>
        <w:t>R.5</w:t>
      </w:r>
      <w:r w:rsidRPr="00360F26">
        <w:rPr>
          <w:rFonts w:eastAsiaTheme="minorEastAsia" w:cs="Arial"/>
          <w:b/>
          <w:color w:val="76923C"/>
        </w:rPr>
        <w:tab/>
      </w:r>
      <w:r w:rsidRPr="00360F26">
        <w:rPr>
          <w:rFonts w:eastAsiaTheme="minorEastAsia" w:cs="Arial"/>
        </w:rPr>
        <w:t>APTC rationalises the organisational structure and locations. Specifically, APTC:</w:t>
      </w:r>
    </w:p>
    <w:p w14:paraId="54437EA8" w14:textId="580038A8" w:rsidR="00360F26" w:rsidRPr="00360F26" w:rsidRDefault="00360F26" w:rsidP="00532FE2">
      <w:pPr>
        <w:numPr>
          <w:ilvl w:val="0"/>
          <w:numId w:val="19"/>
        </w:numPr>
        <w:rPr>
          <w:rFonts w:eastAsiaTheme="minorEastAsia" w:cs="Arial"/>
        </w:rPr>
      </w:pPr>
      <w:r w:rsidRPr="00360F26">
        <w:rPr>
          <w:rFonts w:eastAsiaTheme="minorEastAsia" w:cs="Arial"/>
        </w:rPr>
        <w:t xml:space="preserve">replaces two senior managers in shared roles in Fiji with one senior manager in charge of all aspects of teaching and learning, possibly at deputy CEO level, and one </w:t>
      </w:r>
      <w:r w:rsidR="00F72F13">
        <w:rPr>
          <w:rFonts w:eastAsiaTheme="minorEastAsia" w:cs="Arial"/>
        </w:rPr>
        <w:t>c</w:t>
      </w:r>
      <w:r w:rsidR="00F72F13" w:rsidRPr="00360F26">
        <w:rPr>
          <w:rFonts w:eastAsiaTheme="minorEastAsia" w:cs="Arial"/>
        </w:rPr>
        <w:t xml:space="preserve">ountry </w:t>
      </w:r>
      <w:r w:rsidR="00F72F13">
        <w:rPr>
          <w:rFonts w:eastAsiaTheme="minorEastAsia" w:cs="Arial"/>
        </w:rPr>
        <w:t>m</w:t>
      </w:r>
      <w:r w:rsidR="00F72F13" w:rsidRPr="00360F26">
        <w:rPr>
          <w:rFonts w:eastAsiaTheme="minorEastAsia" w:cs="Arial"/>
        </w:rPr>
        <w:t xml:space="preserve">anager </w:t>
      </w:r>
      <w:r w:rsidRPr="00360F26">
        <w:rPr>
          <w:rFonts w:eastAsiaTheme="minorEastAsia" w:cs="Arial"/>
        </w:rPr>
        <w:t>for Fiji</w:t>
      </w:r>
      <w:r w:rsidR="00530FD0">
        <w:rPr>
          <w:rFonts w:eastAsiaTheme="minorEastAsia" w:cs="Arial"/>
        </w:rPr>
        <w:t>,</w:t>
      </w:r>
      <w:r w:rsidRPr="00360F26">
        <w:rPr>
          <w:rFonts w:eastAsiaTheme="minorEastAsia" w:cs="Arial"/>
        </w:rPr>
        <w:t xml:space="preserve"> based in Suva</w:t>
      </w:r>
    </w:p>
    <w:p w14:paraId="3C5EC9E0" w14:textId="75442E40" w:rsidR="00360F26" w:rsidRPr="00360F26" w:rsidRDefault="00360F26" w:rsidP="00532FE2">
      <w:pPr>
        <w:numPr>
          <w:ilvl w:val="0"/>
          <w:numId w:val="19"/>
        </w:numPr>
        <w:rPr>
          <w:rFonts w:cs="Arial"/>
          <w:color w:val="000000" w:themeColor="text1"/>
        </w:rPr>
      </w:pPr>
      <w:r w:rsidRPr="00360F26">
        <w:rPr>
          <w:rFonts w:cs="Arial"/>
          <w:color w:val="000000" w:themeColor="text1"/>
        </w:rPr>
        <w:t>reviews manager positions in the APTC headquarters in Nadi with the aim of ascertaining whether some functions might be carried out more cost-effectively in Australia and others can be turned over to lower-cost national staff</w:t>
      </w:r>
    </w:p>
    <w:p w14:paraId="1B735DDC" w14:textId="53AF3DF1" w:rsidR="00360F26" w:rsidRPr="00360F26" w:rsidRDefault="00360F26" w:rsidP="00532FE2">
      <w:pPr>
        <w:numPr>
          <w:ilvl w:val="0"/>
          <w:numId w:val="19"/>
        </w:numPr>
        <w:rPr>
          <w:rFonts w:cs="Arial"/>
          <w:color w:val="000000" w:themeColor="text1"/>
        </w:rPr>
      </w:pPr>
      <w:r w:rsidRPr="00360F26">
        <w:rPr>
          <w:rFonts w:cs="Arial"/>
          <w:color w:val="000000" w:themeColor="text1"/>
        </w:rPr>
        <w:t>replaces two service managers and two RTO teams supporting the APTC in Australia with a single team liaising closely with Fiji-based staff</w:t>
      </w:r>
    </w:p>
    <w:p w14:paraId="33E47F57" w14:textId="77777777" w:rsidR="00360F26" w:rsidRPr="00360F26" w:rsidRDefault="00360F26" w:rsidP="00532FE2">
      <w:pPr>
        <w:numPr>
          <w:ilvl w:val="0"/>
          <w:numId w:val="19"/>
        </w:numPr>
        <w:rPr>
          <w:rFonts w:cs="Arial"/>
          <w:color w:val="000000" w:themeColor="text1"/>
        </w:rPr>
      </w:pPr>
      <w:r w:rsidRPr="00360F26">
        <w:rPr>
          <w:rFonts w:cs="Arial"/>
          <w:color w:val="000000" w:themeColor="text1"/>
        </w:rPr>
        <w:t>considers relocating the APTC headquarters to Suva, thereby consolidating in a single location all APTC operations in Fiji.</w:t>
      </w:r>
    </w:p>
    <w:p w14:paraId="5FF5EBD8" w14:textId="04E82796" w:rsidR="00360F26" w:rsidRPr="00360F26" w:rsidRDefault="00360F26" w:rsidP="00360F26">
      <w:pPr>
        <w:ind w:left="720" w:hanging="720"/>
        <w:rPr>
          <w:rFonts w:cs="Arial"/>
        </w:rPr>
      </w:pPr>
      <w:r w:rsidRPr="00360F26">
        <w:rPr>
          <w:rFonts w:cs="Arial"/>
          <w:b/>
          <w:color w:val="76923C"/>
        </w:rPr>
        <w:t>R.6</w:t>
      </w:r>
      <w:r w:rsidRPr="00360F26">
        <w:rPr>
          <w:rFonts w:cs="Arial"/>
          <w:b/>
          <w:color w:val="76923C"/>
        </w:rPr>
        <w:tab/>
      </w:r>
      <w:r w:rsidRPr="00360F26">
        <w:rPr>
          <w:rFonts w:cs="Arial"/>
        </w:rPr>
        <w:t>APTC</w:t>
      </w:r>
      <w:r w:rsidR="00BF2422">
        <w:rPr>
          <w:rFonts w:cs="Arial"/>
        </w:rPr>
        <w:t>:</w:t>
      </w:r>
      <w:r w:rsidRPr="00360F26">
        <w:rPr>
          <w:rFonts w:cs="Arial"/>
        </w:rPr>
        <w:t xml:space="preserve"> a) strengthens its business development strategy</w:t>
      </w:r>
      <w:r w:rsidR="00B653D0">
        <w:rPr>
          <w:rFonts w:cs="Arial"/>
        </w:rPr>
        <w:t>;</w:t>
      </w:r>
      <w:r w:rsidR="00B653D0" w:rsidRPr="00360F26">
        <w:rPr>
          <w:rFonts w:cs="Arial"/>
        </w:rPr>
        <w:t xml:space="preserve"> </w:t>
      </w:r>
      <w:r w:rsidRPr="00360F26">
        <w:rPr>
          <w:rFonts w:cs="Arial"/>
        </w:rPr>
        <w:t>b) pursues more vigorously fee-for-service contracts with industry, government and donors priced at 10 per cent above the level of full cost recovery; and c) ensures that each country campus has sufficient resources and capacity to achieve fee-for-service revenue targets.</w:t>
      </w:r>
    </w:p>
    <w:p w14:paraId="7865A2FE" w14:textId="090384E6" w:rsidR="00360F26" w:rsidRPr="00360F26" w:rsidRDefault="00360F26" w:rsidP="00360F26">
      <w:pPr>
        <w:ind w:left="720" w:hanging="720"/>
        <w:rPr>
          <w:rFonts w:cs="Arial"/>
          <w:color w:val="000000" w:themeColor="text1"/>
        </w:rPr>
      </w:pPr>
      <w:r w:rsidRPr="00360F26">
        <w:rPr>
          <w:rFonts w:cs="Arial"/>
          <w:b/>
          <w:color w:val="76923C"/>
        </w:rPr>
        <w:t>R.7</w:t>
      </w:r>
      <w:r w:rsidRPr="00360F26">
        <w:rPr>
          <w:rFonts w:cs="Arial"/>
          <w:color w:val="000000" w:themeColor="text1"/>
        </w:rPr>
        <w:tab/>
      </w:r>
      <w:r w:rsidRPr="00360F26">
        <w:rPr>
          <w:rFonts w:cs="Arial"/>
          <w:color w:val="000000"/>
          <w:lang w:val="en-GB"/>
        </w:rPr>
        <w:t xml:space="preserve">APTC reviews the </w:t>
      </w:r>
      <w:r w:rsidR="00450B44">
        <w:rPr>
          <w:rFonts w:cs="Arial"/>
          <w:color w:val="000000"/>
          <w:lang w:val="en-GB"/>
        </w:rPr>
        <w:t>n</w:t>
      </w:r>
      <w:r w:rsidR="00450B44" w:rsidRPr="00360F26">
        <w:rPr>
          <w:rFonts w:cs="Arial"/>
          <w:color w:val="000000"/>
          <w:lang w:val="en-GB"/>
        </w:rPr>
        <w:t xml:space="preserve">ationalisation </w:t>
      </w:r>
      <w:r w:rsidR="00450B44">
        <w:rPr>
          <w:rFonts w:cs="Arial"/>
          <w:color w:val="000000"/>
          <w:lang w:val="en-GB"/>
        </w:rPr>
        <w:t>s</w:t>
      </w:r>
      <w:r w:rsidR="00450B44" w:rsidRPr="00360F26">
        <w:rPr>
          <w:rFonts w:cs="Arial"/>
          <w:color w:val="000000"/>
          <w:lang w:val="en-GB"/>
        </w:rPr>
        <w:t xml:space="preserve">trategy </w:t>
      </w:r>
      <w:r w:rsidRPr="00360F26">
        <w:rPr>
          <w:rFonts w:cs="Arial"/>
          <w:color w:val="000000"/>
          <w:lang w:val="en-GB"/>
        </w:rPr>
        <w:t>to: a) adopt a risk management approach to the increase in national trainers; b) develop more cost-efficient ways of supervising new national trainers; c) plan for the reduction of resident expatriate trainers in favour of short-term visiting specialists; and d) incorporate into each country plan specific ways and means to support national trainers and tutors.</w:t>
      </w:r>
    </w:p>
    <w:p w14:paraId="6E2AEF32" w14:textId="6433EEE3" w:rsidR="00360F26" w:rsidRPr="00360F26" w:rsidRDefault="00360F26" w:rsidP="00360F26">
      <w:pPr>
        <w:ind w:left="720" w:hanging="720"/>
        <w:rPr>
          <w:rFonts w:eastAsiaTheme="minorEastAsia" w:cs="Arial"/>
        </w:rPr>
      </w:pPr>
      <w:r w:rsidRPr="00360F26">
        <w:rPr>
          <w:rFonts w:eastAsiaTheme="minorEastAsia" w:cs="Arial"/>
          <w:b/>
          <w:color w:val="76923C"/>
        </w:rPr>
        <w:t>R.8</w:t>
      </w:r>
      <w:r w:rsidRPr="00360F26">
        <w:rPr>
          <w:rFonts w:eastAsiaTheme="minorEastAsia" w:cs="Arial"/>
          <w:b/>
          <w:color w:val="76923C"/>
        </w:rPr>
        <w:tab/>
      </w:r>
      <w:r w:rsidRPr="00360F26">
        <w:rPr>
          <w:rFonts w:eastAsiaTheme="minorEastAsia" w:cs="Arial"/>
        </w:rPr>
        <w:t>DFAT</w:t>
      </w:r>
      <w:r w:rsidR="00450B44">
        <w:rPr>
          <w:rFonts w:eastAsiaTheme="minorEastAsia" w:cs="Arial"/>
        </w:rPr>
        <w:t>:</w:t>
      </w:r>
      <w:r w:rsidRPr="00360F26">
        <w:rPr>
          <w:rFonts w:eastAsiaTheme="minorEastAsia" w:cs="Arial"/>
        </w:rPr>
        <w:t xml:space="preserve"> a) establishes a Consultative Forum in each campus country; and </w:t>
      </w:r>
      <w:r w:rsidR="001A75C7">
        <w:rPr>
          <w:rFonts w:eastAsiaTheme="minorEastAsia" w:cs="Arial"/>
        </w:rPr>
        <w:br/>
      </w:r>
      <w:r w:rsidRPr="00360F26">
        <w:rPr>
          <w:rFonts w:eastAsiaTheme="minorEastAsia" w:cs="Arial"/>
        </w:rPr>
        <w:t xml:space="preserve">b) replaces the current APTC Advisory Group with a Pacific Consultative Forum drawing on the membership of the Country Forums. </w:t>
      </w:r>
    </w:p>
    <w:p w14:paraId="00273400" w14:textId="21B07901" w:rsidR="00360F26" w:rsidRPr="00360F26" w:rsidRDefault="00360F26" w:rsidP="00360F26">
      <w:pPr>
        <w:ind w:left="720" w:hanging="720"/>
        <w:rPr>
          <w:rFonts w:eastAsiaTheme="minorEastAsia" w:cs="Arial"/>
          <w:color w:val="000000" w:themeColor="text1"/>
        </w:rPr>
      </w:pPr>
      <w:r w:rsidRPr="00360F26">
        <w:rPr>
          <w:rFonts w:eastAsiaTheme="minorEastAsia" w:cs="Arial"/>
          <w:b/>
          <w:color w:val="76923C"/>
        </w:rPr>
        <w:t>R.9</w:t>
      </w:r>
      <w:r w:rsidRPr="00360F26">
        <w:rPr>
          <w:rFonts w:eastAsiaTheme="minorEastAsia" w:cs="Arial"/>
          <w:color w:val="76923C"/>
        </w:rPr>
        <w:tab/>
      </w:r>
      <w:r w:rsidRPr="00360F26">
        <w:rPr>
          <w:rFonts w:eastAsiaTheme="minorEastAsia" w:cs="Arial"/>
        </w:rPr>
        <w:t xml:space="preserve">APTC </w:t>
      </w:r>
      <w:r w:rsidRPr="00360F26">
        <w:rPr>
          <w:rFonts w:eastAsiaTheme="minorEastAsia" w:cs="Arial"/>
          <w:color w:val="000000" w:themeColor="text1"/>
        </w:rPr>
        <w:t>expands the Centre for Professional Development to strengthen the capability of partner institutions and APTC staff</w:t>
      </w:r>
      <w:r w:rsidR="00C26D5C">
        <w:rPr>
          <w:rFonts w:eastAsiaTheme="minorEastAsia" w:cs="Arial"/>
          <w:color w:val="000000" w:themeColor="text1"/>
        </w:rPr>
        <w:t>,</w:t>
      </w:r>
      <w:r w:rsidRPr="00360F26">
        <w:rPr>
          <w:rFonts w:eastAsiaTheme="minorEastAsia" w:cs="Arial"/>
          <w:color w:val="000000" w:themeColor="text1"/>
        </w:rPr>
        <w:t xml:space="preserve"> and achieve fee-for-service targets. </w:t>
      </w:r>
    </w:p>
    <w:p w14:paraId="7B028796" w14:textId="52CACCE8" w:rsidR="00CA6F37" w:rsidRDefault="00360F26">
      <w:pPr>
        <w:ind w:left="720" w:hanging="720"/>
        <w:rPr>
          <w:rFonts w:cs="Arial"/>
          <w:color w:val="000000" w:themeColor="text1"/>
        </w:rPr>
      </w:pPr>
      <w:r w:rsidRPr="00360F26">
        <w:rPr>
          <w:rFonts w:cs="Arial"/>
          <w:b/>
          <w:color w:val="76923C"/>
        </w:rPr>
        <w:t>R.10</w:t>
      </w:r>
      <w:r w:rsidRPr="00360F26">
        <w:rPr>
          <w:rFonts w:cs="Arial"/>
          <w:b/>
          <w:color w:val="76923C"/>
        </w:rPr>
        <w:tab/>
      </w:r>
      <w:r w:rsidRPr="00360F26">
        <w:rPr>
          <w:rFonts w:cs="Arial"/>
        </w:rPr>
        <w:t>APTC</w:t>
      </w:r>
      <w:r w:rsidR="00C26D5C">
        <w:rPr>
          <w:rFonts w:cs="Arial"/>
        </w:rPr>
        <w:t>: (1)</w:t>
      </w:r>
      <w:r w:rsidRPr="00360F26">
        <w:rPr>
          <w:rFonts w:cs="Arial"/>
        </w:rPr>
        <w:t xml:space="preserve"> </w:t>
      </w:r>
      <w:r w:rsidRPr="00360F26">
        <w:rPr>
          <w:rFonts w:cs="Arial"/>
          <w:color w:val="000000" w:themeColor="text1"/>
        </w:rPr>
        <w:t>creates more training places for individuals from PNG</w:t>
      </w:r>
      <w:r w:rsidR="00F62F8D">
        <w:rPr>
          <w:rStyle w:val="FootnoteReference"/>
          <w:rFonts w:cs="Arial"/>
        </w:rPr>
        <w:footnoteReference w:id="57"/>
      </w:r>
      <w:r w:rsidRPr="00360F26">
        <w:rPr>
          <w:rFonts w:cs="Arial"/>
          <w:color w:val="000000" w:themeColor="text1"/>
        </w:rPr>
        <w:t xml:space="preserve"> and Solomon Islands in qualifications justified by labour market demand</w:t>
      </w:r>
      <w:r w:rsidR="008F5BD8">
        <w:rPr>
          <w:rFonts w:cs="Arial"/>
          <w:color w:val="000000" w:themeColor="text1"/>
        </w:rPr>
        <w:t xml:space="preserve">; and </w:t>
      </w:r>
      <w:r w:rsidR="00C26D5C">
        <w:rPr>
          <w:rFonts w:cs="Arial"/>
          <w:color w:val="000000" w:themeColor="text1"/>
        </w:rPr>
        <w:t xml:space="preserve">(2) </w:t>
      </w:r>
      <w:r w:rsidR="008F5BD8">
        <w:rPr>
          <w:rFonts w:cs="Arial"/>
          <w:color w:val="000000" w:themeColor="text1"/>
        </w:rPr>
        <w:t xml:space="preserve">establishes </w:t>
      </w:r>
      <w:r w:rsidR="00513456">
        <w:rPr>
          <w:rFonts w:cs="Arial"/>
          <w:color w:val="000000" w:themeColor="text1"/>
        </w:rPr>
        <w:t xml:space="preserve">protocols </w:t>
      </w:r>
      <w:r w:rsidR="008F5BD8">
        <w:rPr>
          <w:rFonts w:cs="Arial"/>
          <w:color w:val="000000" w:themeColor="text1"/>
        </w:rPr>
        <w:t>for its enrolment of people with disabilities.</w:t>
      </w:r>
    </w:p>
    <w:p w14:paraId="2B18906A" w14:textId="670E1104" w:rsidR="00CA6F37" w:rsidRPr="007168DD" w:rsidRDefault="000370BE" w:rsidP="009C76A7">
      <w:pPr>
        <w:pStyle w:val="Heading3"/>
      </w:pPr>
      <w:bookmarkStart w:id="106" w:name="_Toc278710578"/>
      <w:r w:rsidRPr="009C76A7">
        <w:t xml:space="preserve">Recommendations related to </w:t>
      </w:r>
      <w:r w:rsidR="007D2506" w:rsidRPr="007168DD">
        <w:t xml:space="preserve">Chapter </w:t>
      </w:r>
      <w:r w:rsidRPr="007168DD">
        <w:t>3</w:t>
      </w:r>
      <w:r w:rsidR="003A018A" w:rsidRPr="009C76A7">
        <w:t>: Labour mobility</w:t>
      </w:r>
      <w:bookmarkEnd w:id="106"/>
    </w:p>
    <w:p w14:paraId="1C14FD2B" w14:textId="77777777" w:rsidR="00360F26" w:rsidRPr="00E12183" w:rsidRDefault="00360F26" w:rsidP="00360F26">
      <w:pPr>
        <w:ind w:left="709" w:hanging="709"/>
        <w:rPr>
          <w:rFonts w:cs="Arial"/>
        </w:rPr>
      </w:pPr>
      <w:r w:rsidRPr="00E12183">
        <w:rPr>
          <w:rFonts w:cs="Arial"/>
          <w:b/>
          <w:color w:val="76923C"/>
        </w:rPr>
        <w:t>R.1</w:t>
      </w:r>
      <w:r>
        <w:rPr>
          <w:rFonts w:cs="Arial"/>
          <w:b/>
          <w:color w:val="76923C"/>
        </w:rPr>
        <w:t>1</w:t>
      </w:r>
      <w:r w:rsidRPr="00E12183">
        <w:rPr>
          <w:rFonts w:cs="Arial"/>
          <w:b/>
          <w:color w:val="76923C"/>
        </w:rPr>
        <w:tab/>
      </w:r>
      <w:r w:rsidRPr="00E12183">
        <w:rPr>
          <w:rFonts w:cs="Arial"/>
        </w:rPr>
        <w:t xml:space="preserve">DFAT clarifies its expectations on the labour mobility objective of APTC and </w:t>
      </w:r>
      <w:r w:rsidRPr="00E12183">
        <w:rPr>
          <w:rFonts w:cs="Arial"/>
          <w:bCs/>
        </w:rPr>
        <w:t>engages with Australian immigration authorities to provide a coordinated approach to promoting labour mobility in the Pacific</w:t>
      </w:r>
      <w:r w:rsidRPr="00E12183">
        <w:rPr>
          <w:rFonts w:cs="Arial"/>
        </w:rPr>
        <w:t xml:space="preserve">.  </w:t>
      </w:r>
    </w:p>
    <w:p w14:paraId="6C412014" w14:textId="1C58A981" w:rsidR="00360F26" w:rsidRPr="00E12183" w:rsidRDefault="00360F26" w:rsidP="00360F26">
      <w:pPr>
        <w:spacing w:before="120"/>
        <w:ind w:left="709" w:hanging="709"/>
        <w:rPr>
          <w:rFonts w:cs="Arial"/>
        </w:rPr>
      </w:pPr>
      <w:r w:rsidRPr="00E12183">
        <w:rPr>
          <w:rFonts w:cs="Arial"/>
          <w:b/>
          <w:color w:val="76923C"/>
        </w:rPr>
        <w:t>R.1</w:t>
      </w:r>
      <w:r>
        <w:rPr>
          <w:rFonts w:cs="Arial"/>
          <w:b/>
          <w:color w:val="76923C"/>
        </w:rPr>
        <w:t>2</w:t>
      </w:r>
      <w:r w:rsidRPr="00E12183">
        <w:rPr>
          <w:rFonts w:cs="Arial"/>
          <w:lang w:eastAsia="zh-CN"/>
        </w:rPr>
        <w:tab/>
      </w:r>
      <w:r w:rsidRPr="00E12183">
        <w:rPr>
          <w:rFonts w:cs="Arial"/>
        </w:rPr>
        <w:t xml:space="preserve">APTC </w:t>
      </w:r>
      <w:r w:rsidRPr="00E12183">
        <w:rPr>
          <w:rFonts w:cs="Arial"/>
          <w:lang w:eastAsia="zh-CN"/>
        </w:rPr>
        <w:t>provides</w:t>
      </w:r>
      <w:r w:rsidR="006D36AA">
        <w:rPr>
          <w:rFonts w:cs="Arial"/>
          <w:lang w:eastAsia="zh-CN"/>
        </w:rPr>
        <w:t>, from publicly available</w:t>
      </w:r>
      <w:r w:rsidRPr="00E12183">
        <w:rPr>
          <w:rFonts w:cs="Arial"/>
          <w:lang w:eastAsia="zh-CN"/>
        </w:rPr>
        <w:t xml:space="preserve"> </w:t>
      </w:r>
      <w:r w:rsidR="006D36AA">
        <w:rPr>
          <w:rFonts w:cs="Arial"/>
          <w:lang w:eastAsia="zh-CN"/>
        </w:rPr>
        <w:t xml:space="preserve">official sources, </w:t>
      </w:r>
      <w:r w:rsidRPr="00E12183">
        <w:rPr>
          <w:rFonts w:cs="Arial"/>
          <w:lang w:eastAsia="zh-CN"/>
        </w:rPr>
        <w:t>information (through the APTC website, the APTC-to-Work program and other College channels) to students, prospective students, and graduates on:</w:t>
      </w:r>
    </w:p>
    <w:p w14:paraId="197887B8" w14:textId="376C3A44" w:rsidR="00360F26" w:rsidRPr="00E12183" w:rsidRDefault="00360F26" w:rsidP="00532FE2">
      <w:pPr>
        <w:numPr>
          <w:ilvl w:val="0"/>
          <w:numId w:val="20"/>
        </w:numPr>
        <w:spacing w:before="120"/>
        <w:contextualSpacing/>
        <w:rPr>
          <w:rFonts w:cs="Arial"/>
          <w:lang w:eastAsia="zh-CN"/>
        </w:rPr>
      </w:pPr>
      <w:r w:rsidRPr="00E12183">
        <w:rPr>
          <w:rFonts w:cs="Arial"/>
          <w:lang w:eastAsia="zh-CN"/>
        </w:rPr>
        <w:t xml:space="preserve">the process, requirements and costs of migration to Australia and </w:t>
      </w:r>
      <w:r w:rsidR="000C6091" w:rsidRPr="00E12183">
        <w:rPr>
          <w:rFonts w:cs="Arial"/>
          <w:lang w:eastAsia="zh-CN"/>
        </w:rPr>
        <w:t>New</w:t>
      </w:r>
      <w:r w:rsidR="000C6091">
        <w:rPr>
          <w:rFonts w:cs="Arial"/>
          <w:lang w:eastAsia="zh-CN"/>
        </w:rPr>
        <w:t> </w:t>
      </w:r>
      <w:r w:rsidRPr="00E12183">
        <w:rPr>
          <w:rFonts w:cs="Arial"/>
          <w:lang w:eastAsia="zh-CN"/>
        </w:rPr>
        <w:t>Zealand</w:t>
      </w:r>
    </w:p>
    <w:p w14:paraId="3FFB5969" w14:textId="3EDA8A4D" w:rsidR="00360F26" w:rsidRPr="00E12183" w:rsidRDefault="00360F26" w:rsidP="00532FE2">
      <w:pPr>
        <w:numPr>
          <w:ilvl w:val="0"/>
          <w:numId w:val="20"/>
        </w:numPr>
        <w:spacing w:before="120"/>
        <w:contextualSpacing/>
        <w:rPr>
          <w:rFonts w:cs="Arial"/>
          <w:lang w:eastAsia="zh-CN"/>
        </w:rPr>
      </w:pPr>
      <w:r w:rsidRPr="00E12183">
        <w:rPr>
          <w:rFonts w:cs="Arial"/>
          <w:lang w:eastAsia="zh-CN"/>
        </w:rPr>
        <w:t>qualifications that are eligible for skilled entry to Australia and New Zealand, including the links between specific Australian qualifications offered by APTC and current immigration requirements</w:t>
      </w:r>
    </w:p>
    <w:p w14:paraId="28A1FA7F" w14:textId="60F88FDA" w:rsidR="00360F26" w:rsidRPr="00E12183" w:rsidRDefault="00360F26" w:rsidP="00532FE2">
      <w:pPr>
        <w:numPr>
          <w:ilvl w:val="0"/>
          <w:numId w:val="20"/>
        </w:numPr>
        <w:spacing w:before="120"/>
        <w:contextualSpacing/>
        <w:rPr>
          <w:rFonts w:cs="Arial"/>
          <w:lang w:eastAsia="zh-CN"/>
        </w:rPr>
      </w:pPr>
      <w:r w:rsidRPr="00E12183">
        <w:rPr>
          <w:rFonts w:cs="Arial"/>
          <w:lang w:eastAsia="zh-CN"/>
        </w:rPr>
        <w:t>trends in employer demand</w:t>
      </w:r>
      <w:r w:rsidR="000C6091">
        <w:rPr>
          <w:rFonts w:cs="Arial"/>
          <w:lang w:eastAsia="zh-CN"/>
        </w:rPr>
        <w:t>,</w:t>
      </w:r>
      <w:r w:rsidRPr="00E12183">
        <w:rPr>
          <w:rFonts w:cs="Arial"/>
          <w:lang w:eastAsia="zh-CN"/>
        </w:rPr>
        <w:t xml:space="preserve"> based on the occupations of skilled migrants to Australia and New Zealand</w:t>
      </w:r>
    </w:p>
    <w:p w14:paraId="69139C72" w14:textId="77777777" w:rsidR="00360F26" w:rsidRPr="00E12183" w:rsidRDefault="00360F26" w:rsidP="00532FE2">
      <w:pPr>
        <w:numPr>
          <w:ilvl w:val="0"/>
          <w:numId w:val="20"/>
        </w:numPr>
        <w:spacing w:before="120"/>
        <w:ind w:left="1066" w:hanging="357"/>
        <w:rPr>
          <w:rFonts w:cs="Arial"/>
          <w:lang w:eastAsia="zh-CN"/>
        </w:rPr>
      </w:pPr>
      <w:r w:rsidRPr="00E12183">
        <w:rPr>
          <w:rFonts w:cs="Arial"/>
          <w:lang w:eastAsia="zh-CN"/>
        </w:rPr>
        <w:t>skills assessment and other requirements for migration to those countries, and how to access updated information online.</w:t>
      </w:r>
    </w:p>
    <w:p w14:paraId="3065B81A" w14:textId="3BBE8401" w:rsidR="00360F26" w:rsidRPr="00E12183" w:rsidRDefault="00360F26" w:rsidP="00360F26">
      <w:pPr>
        <w:spacing w:before="120"/>
        <w:ind w:left="709" w:hanging="709"/>
        <w:rPr>
          <w:rFonts w:cs="Arial"/>
          <w:lang w:eastAsia="zh-CN"/>
        </w:rPr>
      </w:pPr>
      <w:r w:rsidRPr="00E12183">
        <w:rPr>
          <w:rFonts w:cs="Arial"/>
          <w:b/>
          <w:color w:val="76923C"/>
        </w:rPr>
        <w:t>R.1</w:t>
      </w:r>
      <w:r>
        <w:rPr>
          <w:rFonts w:cs="Arial"/>
          <w:b/>
          <w:color w:val="76923C"/>
        </w:rPr>
        <w:t>3</w:t>
      </w:r>
      <w:r w:rsidRPr="00E12183">
        <w:rPr>
          <w:rFonts w:cs="Arial"/>
          <w:lang w:eastAsia="zh-CN"/>
        </w:rPr>
        <w:tab/>
        <w:t>APTC provides</w:t>
      </w:r>
      <w:r w:rsidR="007804F7">
        <w:rPr>
          <w:rFonts w:cs="Arial"/>
          <w:lang w:eastAsia="zh-CN"/>
        </w:rPr>
        <w:t>,</w:t>
      </w:r>
      <w:r w:rsidRPr="00E12183">
        <w:rPr>
          <w:rFonts w:cs="Arial"/>
          <w:lang w:eastAsia="zh-CN"/>
        </w:rPr>
        <w:t xml:space="preserve"> </w:t>
      </w:r>
      <w:r w:rsidR="0061282D" w:rsidRPr="0061282D">
        <w:rPr>
          <w:rFonts w:cs="Arial"/>
          <w:lang w:eastAsia="zh-CN"/>
        </w:rPr>
        <w:t>within existing resources</w:t>
      </w:r>
      <w:r w:rsidR="007804F7">
        <w:rPr>
          <w:rFonts w:cs="Arial"/>
          <w:lang w:eastAsia="zh-CN"/>
        </w:rPr>
        <w:t>,</w:t>
      </w:r>
      <w:r w:rsidR="0061282D" w:rsidRPr="0061282D">
        <w:rPr>
          <w:rFonts w:cs="Arial"/>
          <w:lang w:eastAsia="zh-CN"/>
        </w:rPr>
        <w:t xml:space="preserve"> </w:t>
      </w:r>
      <w:r w:rsidRPr="00E12183">
        <w:rPr>
          <w:rFonts w:cs="Arial"/>
          <w:lang w:eastAsia="zh-CN"/>
        </w:rPr>
        <w:t xml:space="preserve">counselling and support </w:t>
      </w:r>
      <w:r w:rsidR="006D36AA">
        <w:rPr>
          <w:rFonts w:cs="Arial"/>
          <w:lang w:eastAsia="zh-CN"/>
        </w:rPr>
        <w:t xml:space="preserve">based on publicly available information </w:t>
      </w:r>
      <w:r w:rsidRPr="00E12183">
        <w:rPr>
          <w:rFonts w:cs="Arial"/>
          <w:lang w:eastAsia="zh-CN"/>
        </w:rPr>
        <w:t>to students and graduates wishing to emigrate overseas for work</w:t>
      </w:r>
      <w:r w:rsidRPr="00E12183">
        <w:rPr>
          <w:rFonts w:cs="Arial"/>
          <w:vertAlign w:val="superscript"/>
          <w:lang w:eastAsia="zh-CN"/>
        </w:rPr>
        <w:footnoteReference w:id="58"/>
      </w:r>
      <w:r w:rsidRPr="00E12183">
        <w:rPr>
          <w:rFonts w:cs="Arial"/>
          <w:lang w:eastAsia="zh-CN"/>
        </w:rPr>
        <w:t xml:space="preserve">, including conducting on request the </w:t>
      </w:r>
      <w:r w:rsidRPr="00113832">
        <w:rPr>
          <w:rFonts w:cs="Arial"/>
          <w:szCs w:val="22"/>
        </w:rPr>
        <w:t xml:space="preserve">International English Language Testing System </w:t>
      </w:r>
      <w:r>
        <w:rPr>
          <w:rFonts w:cs="Arial"/>
          <w:szCs w:val="22"/>
        </w:rPr>
        <w:t>(</w:t>
      </w:r>
      <w:r w:rsidRPr="00E12183">
        <w:rPr>
          <w:rFonts w:cs="Arial"/>
          <w:lang w:eastAsia="zh-CN"/>
        </w:rPr>
        <w:t>IELTS</w:t>
      </w:r>
      <w:r>
        <w:rPr>
          <w:rFonts w:cs="Arial"/>
          <w:lang w:eastAsia="zh-CN"/>
        </w:rPr>
        <w:t>)</w:t>
      </w:r>
      <w:r w:rsidRPr="00E12183">
        <w:rPr>
          <w:rFonts w:cs="Arial"/>
          <w:lang w:eastAsia="zh-CN"/>
        </w:rPr>
        <w:t xml:space="preserve"> test for students near to</w:t>
      </w:r>
      <w:r w:rsidR="000C6091">
        <w:rPr>
          <w:rFonts w:cs="Arial"/>
          <w:lang w:eastAsia="zh-CN"/>
        </w:rPr>
        <w:t>,</w:t>
      </w:r>
      <w:r w:rsidRPr="00E12183">
        <w:rPr>
          <w:rFonts w:cs="Arial"/>
          <w:lang w:eastAsia="zh-CN"/>
        </w:rPr>
        <w:t xml:space="preserve"> or soon after</w:t>
      </w:r>
      <w:r w:rsidR="000C6091">
        <w:rPr>
          <w:rFonts w:cs="Arial"/>
          <w:lang w:eastAsia="zh-CN"/>
        </w:rPr>
        <w:t>,</w:t>
      </w:r>
      <w:r w:rsidRPr="00E12183">
        <w:rPr>
          <w:rFonts w:cs="Arial"/>
          <w:lang w:eastAsia="zh-CN"/>
        </w:rPr>
        <w:t xml:space="preserve"> graduation.</w:t>
      </w:r>
      <w:r w:rsidRPr="00E12183">
        <w:rPr>
          <w:rFonts w:cs="Arial"/>
          <w:vertAlign w:val="superscript"/>
          <w:lang w:eastAsia="zh-CN"/>
        </w:rPr>
        <w:footnoteReference w:id="59"/>
      </w:r>
      <w:r w:rsidRPr="00E12183">
        <w:rPr>
          <w:rFonts w:cs="Arial"/>
          <w:lang w:eastAsia="zh-CN"/>
        </w:rPr>
        <w:t xml:space="preserve"> </w:t>
      </w:r>
    </w:p>
    <w:p w14:paraId="49548C7F" w14:textId="77777777" w:rsidR="00360F26" w:rsidRPr="00E12183" w:rsidRDefault="00360F26" w:rsidP="00360F26">
      <w:pPr>
        <w:spacing w:before="120"/>
        <w:ind w:left="709" w:hanging="709"/>
        <w:rPr>
          <w:rFonts w:cs="Arial"/>
          <w:lang w:eastAsia="zh-CN"/>
        </w:rPr>
      </w:pPr>
      <w:r w:rsidRPr="00E12183">
        <w:rPr>
          <w:rFonts w:cs="Arial"/>
          <w:b/>
          <w:color w:val="76923C"/>
        </w:rPr>
        <w:t>R.1</w:t>
      </w:r>
      <w:r>
        <w:rPr>
          <w:rFonts w:cs="Arial"/>
          <w:b/>
          <w:color w:val="76923C"/>
        </w:rPr>
        <w:t>4</w:t>
      </w:r>
      <w:r w:rsidRPr="00E12183">
        <w:rPr>
          <w:rFonts w:cs="Arial"/>
          <w:lang w:eastAsia="zh-CN"/>
        </w:rPr>
        <w:tab/>
        <w:t>APTC establishes links, through industry associations, with employers from Australia and New Zealand (and also PNG), specifically:</w:t>
      </w:r>
    </w:p>
    <w:p w14:paraId="4B9EAFD0" w14:textId="53FC6B6D" w:rsidR="00360F26" w:rsidRPr="00E12183" w:rsidRDefault="00360F26" w:rsidP="0061282D">
      <w:pPr>
        <w:numPr>
          <w:ilvl w:val="0"/>
          <w:numId w:val="21"/>
        </w:numPr>
        <w:spacing w:before="120"/>
        <w:contextualSpacing/>
        <w:rPr>
          <w:rFonts w:cs="Arial"/>
          <w:lang w:eastAsia="zh-CN"/>
        </w:rPr>
      </w:pPr>
      <w:r w:rsidRPr="00E12183">
        <w:rPr>
          <w:rFonts w:cs="Arial"/>
          <w:lang w:eastAsia="zh-CN"/>
        </w:rPr>
        <w:t xml:space="preserve">inviting employers </w:t>
      </w:r>
      <w:r w:rsidR="0061282D" w:rsidRPr="0061282D">
        <w:rPr>
          <w:rFonts w:cs="Arial"/>
          <w:lang w:eastAsia="zh-CN"/>
        </w:rPr>
        <w:t xml:space="preserve">at their expense </w:t>
      </w:r>
      <w:r w:rsidRPr="00E12183">
        <w:rPr>
          <w:rFonts w:cs="Arial"/>
          <w:lang w:eastAsia="zh-CN"/>
        </w:rPr>
        <w:t>to visit APTC campuses and industry partner workplaces to assess for themselves the enthusiasm of the students, the quality of the training, and the performance standards of work-based qualifications</w:t>
      </w:r>
    </w:p>
    <w:p w14:paraId="21CBA9F0" w14:textId="12CB9A8A" w:rsidR="00360F26" w:rsidRPr="00E12183" w:rsidRDefault="00360F26" w:rsidP="00532FE2">
      <w:pPr>
        <w:numPr>
          <w:ilvl w:val="0"/>
          <w:numId w:val="21"/>
        </w:numPr>
        <w:spacing w:before="120"/>
        <w:contextualSpacing/>
        <w:rPr>
          <w:rFonts w:cs="Arial"/>
          <w:lang w:eastAsia="zh-CN"/>
        </w:rPr>
      </w:pPr>
      <w:r w:rsidRPr="00E12183">
        <w:rPr>
          <w:rFonts w:cs="Arial"/>
          <w:lang w:eastAsia="zh-CN"/>
        </w:rPr>
        <w:t>inviting employers to interview and select job applicants from a pool of eligible graduates who want to migrate, with eligibility as defined above</w:t>
      </w:r>
    </w:p>
    <w:p w14:paraId="1D431AD4" w14:textId="6340F8F4" w:rsidR="00360F26" w:rsidRPr="00E12183" w:rsidRDefault="00360F26" w:rsidP="00532FE2">
      <w:pPr>
        <w:numPr>
          <w:ilvl w:val="0"/>
          <w:numId w:val="21"/>
        </w:numPr>
        <w:spacing w:before="120"/>
        <w:contextualSpacing/>
        <w:rPr>
          <w:rFonts w:cs="Arial"/>
          <w:lang w:eastAsia="zh-CN"/>
        </w:rPr>
      </w:pPr>
      <w:r w:rsidRPr="00E12183">
        <w:rPr>
          <w:rFonts w:cs="Arial"/>
          <w:lang w:eastAsia="zh-CN"/>
        </w:rPr>
        <w:t xml:space="preserve">making the APTC-to-Work </w:t>
      </w:r>
      <w:r w:rsidR="00C22B77">
        <w:rPr>
          <w:rFonts w:cs="Arial"/>
          <w:lang w:eastAsia="zh-CN"/>
        </w:rPr>
        <w:t>t</w:t>
      </w:r>
      <w:r w:rsidR="00C22B77" w:rsidRPr="00E12183">
        <w:rPr>
          <w:rFonts w:cs="Arial"/>
          <w:lang w:eastAsia="zh-CN"/>
        </w:rPr>
        <w:t xml:space="preserve">utors </w:t>
      </w:r>
      <w:r w:rsidRPr="00E12183">
        <w:rPr>
          <w:rFonts w:cs="Arial"/>
          <w:lang w:eastAsia="zh-CN"/>
        </w:rPr>
        <w:t>the contact point for overseas employers interested in offering jobs to APTC graduates</w:t>
      </w:r>
    </w:p>
    <w:p w14:paraId="793D7389" w14:textId="39685C2B" w:rsidR="00974C0F" w:rsidRDefault="00360F26" w:rsidP="00532FE2">
      <w:pPr>
        <w:numPr>
          <w:ilvl w:val="0"/>
          <w:numId w:val="21"/>
        </w:numPr>
        <w:spacing w:before="120"/>
        <w:contextualSpacing/>
        <w:rPr>
          <w:rFonts w:cs="Arial"/>
          <w:lang w:eastAsia="zh-CN"/>
        </w:rPr>
      </w:pPr>
      <w:r w:rsidRPr="00E12183">
        <w:rPr>
          <w:rFonts w:cs="Arial"/>
          <w:lang w:eastAsia="zh-CN"/>
        </w:rPr>
        <w:t xml:space="preserve">encouraging trainers to offer employers endorsements of specific eligible graduates; </w:t>
      </w:r>
      <w:r w:rsidRPr="00C40EBD">
        <w:rPr>
          <w:rFonts w:cs="Arial"/>
          <w:lang w:eastAsia="zh-CN"/>
        </w:rPr>
        <w:t xml:space="preserve">hosting technical interviews by VETASSESS via </w:t>
      </w:r>
      <w:r w:rsidR="00C22B77">
        <w:rPr>
          <w:rFonts w:cs="Arial"/>
          <w:lang w:eastAsia="zh-CN"/>
        </w:rPr>
        <w:t>S</w:t>
      </w:r>
      <w:r w:rsidR="00C22B77" w:rsidRPr="00C40EBD">
        <w:rPr>
          <w:rFonts w:cs="Arial"/>
          <w:lang w:eastAsia="zh-CN"/>
        </w:rPr>
        <w:t>kype</w:t>
      </w:r>
      <w:r w:rsidR="003D0ECD">
        <w:rPr>
          <w:rFonts w:cs="Arial"/>
          <w:lang w:eastAsia="zh-CN"/>
        </w:rPr>
        <w:t>;</w:t>
      </w:r>
      <w:r w:rsidR="00C22B77" w:rsidRPr="00C40EBD">
        <w:rPr>
          <w:rFonts w:cs="Arial"/>
          <w:lang w:eastAsia="zh-CN"/>
        </w:rPr>
        <w:t xml:space="preserve"> </w:t>
      </w:r>
      <w:r w:rsidRPr="00C40EBD">
        <w:rPr>
          <w:rFonts w:cs="Arial"/>
          <w:lang w:eastAsia="zh-CN"/>
        </w:rPr>
        <w:t>and conducting RPL assessments where required</w:t>
      </w:r>
    </w:p>
    <w:p w14:paraId="02DDFD10" w14:textId="0376E0D7" w:rsidR="00065376" w:rsidRPr="002D6305" w:rsidRDefault="00974C0F" w:rsidP="00384AF9">
      <w:pPr>
        <w:numPr>
          <w:ilvl w:val="0"/>
          <w:numId w:val="21"/>
        </w:numPr>
        <w:tabs>
          <w:tab w:val="left" w:pos="0"/>
        </w:tabs>
        <w:spacing w:after="0"/>
        <w:contextualSpacing/>
        <w:rPr>
          <w:rFonts w:cs="Arial"/>
          <w:lang w:eastAsia="zh-CN"/>
        </w:rPr>
      </w:pPr>
      <w:r w:rsidRPr="002D6305">
        <w:rPr>
          <w:rFonts w:cs="Arial"/>
          <w:lang w:eastAsia="zh-CN"/>
        </w:rPr>
        <w:t>through its APTC</w:t>
      </w:r>
      <w:r w:rsidR="002C6D2E">
        <w:rPr>
          <w:rFonts w:cs="Arial"/>
          <w:lang w:eastAsia="zh-CN"/>
        </w:rPr>
        <w:t>-</w:t>
      </w:r>
      <w:r w:rsidRPr="002D6305">
        <w:rPr>
          <w:rFonts w:cs="Arial"/>
          <w:lang w:eastAsia="zh-CN"/>
        </w:rPr>
        <w:t>to</w:t>
      </w:r>
      <w:r w:rsidR="002C6D2E">
        <w:rPr>
          <w:rFonts w:cs="Arial"/>
          <w:lang w:eastAsia="zh-CN"/>
        </w:rPr>
        <w:t>-</w:t>
      </w:r>
      <w:r w:rsidRPr="002D6305">
        <w:rPr>
          <w:rFonts w:cs="Arial"/>
          <w:lang w:eastAsia="zh-CN"/>
        </w:rPr>
        <w:t>Work tutors, identify and act on opportunities for APTC g</w:t>
      </w:r>
      <w:r w:rsidRPr="00A94770">
        <w:rPr>
          <w:rFonts w:cs="Arial"/>
          <w:lang w:eastAsia="zh-CN"/>
        </w:rPr>
        <w:t>raduates in hospitality who are unemployed or under-employed in part-time or casual work to find work in Australia for up to six months in the accommodation trial of Australia’s Seasonal Worker Program.</w:t>
      </w:r>
    </w:p>
    <w:p w14:paraId="56AF58E8" w14:textId="776A8136" w:rsidR="00C22B77" w:rsidRDefault="00C22B77">
      <w:pPr>
        <w:spacing w:after="0"/>
        <w:rPr>
          <w:rFonts w:cs="Arial"/>
          <w:b/>
          <w:color w:val="000000" w:themeColor="text1"/>
          <w:highlight w:val="yellow"/>
        </w:rPr>
      </w:pPr>
    </w:p>
    <w:p w14:paraId="19420823" w14:textId="112EB526" w:rsidR="00360F26" w:rsidRPr="00680B34" w:rsidRDefault="000370BE" w:rsidP="009C76A7">
      <w:pPr>
        <w:pStyle w:val="Heading3"/>
        <w:rPr>
          <w:lang w:eastAsia="zh-CN"/>
        </w:rPr>
      </w:pPr>
      <w:bookmarkStart w:id="107" w:name="_Toc278710579"/>
      <w:r w:rsidRPr="009C76A7">
        <w:t>Recommendations related to</w:t>
      </w:r>
      <w:r w:rsidRPr="009C76A7">
        <w:rPr>
          <w:color w:val="000000" w:themeColor="text1"/>
        </w:rPr>
        <w:t xml:space="preserve"> </w:t>
      </w:r>
      <w:r w:rsidR="00360F26" w:rsidRPr="007168DD">
        <w:rPr>
          <w:lang w:eastAsia="zh-CN"/>
        </w:rPr>
        <w:t xml:space="preserve">Chapter </w:t>
      </w:r>
      <w:r w:rsidRPr="007168DD">
        <w:rPr>
          <w:lang w:eastAsia="zh-CN"/>
        </w:rPr>
        <w:t>4</w:t>
      </w:r>
      <w:r w:rsidR="00360F26" w:rsidRPr="00391C5E">
        <w:rPr>
          <w:lang w:eastAsia="zh-CN"/>
        </w:rPr>
        <w:t>:</w:t>
      </w:r>
      <w:r w:rsidR="00360F26" w:rsidRPr="006E2947">
        <w:rPr>
          <w:lang w:eastAsia="zh-CN"/>
        </w:rPr>
        <w:t xml:space="preserve"> </w:t>
      </w:r>
      <w:r w:rsidR="00CD297E" w:rsidRPr="00246BFC">
        <w:rPr>
          <w:lang w:eastAsia="zh-CN"/>
        </w:rPr>
        <w:t>Impact on graduates and employers</w:t>
      </w:r>
      <w:bookmarkEnd w:id="107"/>
    </w:p>
    <w:p w14:paraId="153ED879" w14:textId="47E832F2" w:rsidR="00360F26" w:rsidRPr="00E12183" w:rsidRDefault="00360F26" w:rsidP="00360F26">
      <w:pPr>
        <w:spacing w:before="120"/>
        <w:ind w:left="720" w:hanging="660"/>
        <w:contextualSpacing/>
        <w:rPr>
          <w:rFonts w:cs="Arial"/>
          <w:lang w:eastAsia="zh-CN"/>
        </w:rPr>
      </w:pPr>
      <w:r w:rsidRPr="00E12183">
        <w:rPr>
          <w:rFonts w:cs="Arial"/>
          <w:b/>
          <w:color w:val="76923C"/>
        </w:rPr>
        <w:t>R.1</w:t>
      </w:r>
      <w:r>
        <w:rPr>
          <w:rFonts w:cs="Arial"/>
          <w:b/>
          <w:color w:val="76923C"/>
        </w:rPr>
        <w:t>5</w:t>
      </w:r>
      <w:r w:rsidRPr="00E12183">
        <w:rPr>
          <w:rFonts w:cs="Arial"/>
          <w:color w:val="000000" w:themeColor="text1"/>
        </w:rPr>
        <w:tab/>
        <w:t xml:space="preserve">APTC give priority to </w:t>
      </w:r>
      <w:r>
        <w:rPr>
          <w:rFonts w:cs="Arial"/>
          <w:color w:val="000000" w:themeColor="text1"/>
        </w:rPr>
        <w:t xml:space="preserve">better </w:t>
      </w:r>
      <w:r w:rsidRPr="00E12183">
        <w:rPr>
          <w:rFonts w:cs="Arial"/>
          <w:color w:val="000000" w:themeColor="text1"/>
        </w:rPr>
        <w:t xml:space="preserve">identifying the economic impacts of </w:t>
      </w:r>
      <w:r w:rsidR="00E239C0">
        <w:rPr>
          <w:rFonts w:cs="Arial"/>
          <w:color w:val="000000" w:themeColor="text1"/>
        </w:rPr>
        <w:t>its</w:t>
      </w:r>
      <w:r w:rsidR="00E239C0" w:rsidRPr="00E12183">
        <w:rPr>
          <w:rFonts w:cs="Arial"/>
          <w:color w:val="000000" w:themeColor="text1"/>
        </w:rPr>
        <w:t xml:space="preserve"> </w:t>
      </w:r>
      <w:r w:rsidRPr="00E12183">
        <w:rPr>
          <w:rFonts w:cs="Arial"/>
          <w:color w:val="000000" w:themeColor="text1"/>
        </w:rPr>
        <w:t xml:space="preserve">outputs by: </w:t>
      </w:r>
    </w:p>
    <w:p w14:paraId="27035574" w14:textId="1D594634" w:rsidR="00360F26" w:rsidRPr="00E12183" w:rsidRDefault="00360F26" w:rsidP="00532FE2">
      <w:pPr>
        <w:numPr>
          <w:ilvl w:val="0"/>
          <w:numId w:val="22"/>
        </w:numPr>
        <w:contextualSpacing/>
        <w:rPr>
          <w:rFonts w:cs="Arial"/>
          <w:color w:val="000000" w:themeColor="text1"/>
        </w:rPr>
      </w:pPr>
      <w:r w:rsidRPr="00E12183">
        <w:rPr>
          <w:rFonts w:cs="Arial"/>
          <w:color w:val="000000" w:themeColor="text1"/>
        </w:rPr>
        <w:t>expanding the M&amp;E system</w:t>
      </w:r>
      <w:r>
        <w:rPr>
          <w:rStyle w:val="FootnoteReference"/>
          <w:rFonts w:cs="Arial"/>
        </w:rPr>
        <w:footnoteReference w:id="60"/>
      </w:r>
      <w:r w:rsidRPr="00E12183">
        <w:rPr>
          <w:rFonts w:cs="Arial"/>
          <w:color w:val="000000" w:themeColor="text1"/>
        </w:rPr>
        <w:t xml:space="preserve"> to collect robust and accurate information on employment </w:t>
      </w:r>
      <w:r w:rsidR="00974C0F">
        <w:rPr>
          <w:rFonts w:cs="Arial"/>
          <w:color w:val="000000" w:themeColor="text1"/>
        </w:rPr>
        <w:t xml:space="preserve">outcomes </w:t>
      </w:r>
      <w:r w:rsidRPr="00E12183">
        <w:rPr>
          <w:rFonts w:cs="Arial"/>
          <w:color w:val="000000" w:themeColor="text1"/>
        </w:rPr>
        <w:t>and wages from all APTC students before, during and after their APTC training</w:t>
      </w:r>
    </w:p>
    <w:p w14:paraId="45F1FF28" w14:textId="029C40DF" w:rsidR="00360F26" w:rsidRPr="00E12183" w:rsidRDefault="00360F26" w:rsidP="00384AF9">
      <w:pPr>
        <w:numPr>
          <w:ilvl w:val="0"/>
          <w:numId w:val="22"/>
        </w:numPr>
        <w:spacing w:after="0"/>
        <w:contextualSpacing/>
        <w:rPr>
          <w:rFonts w:cs="Arial"/>
          <w:color w:val="000000" w:themeColor="text1"/>
        </w:rPr>
      </w:pPr>
      <w:r w:rsidRPr="00E12183">
        <w:rPr>
          <w:rFonts w:cs="Arial"/>
          <w:color w:val="000000" w:themeColor="text1"/>
        </w:rPr>
        <w:t>assembling data methodically on the productivity of APTC graduates in the workplace</w:t>
      </w:r>
      <w:r w:rsidR="007804F7">
        <w:rPr>
          <w:rFonts w:cs="Arial"/>
          <w:color w:val="000000" w:themeColor="text1"/>
        </w:rPr>
        <w:t>,</w:t>
      </w:r>
      <w:r w:rsidR="000216C3">
        <w:rPr>
          <w:rFonts w:cs="Arial"/>
          <w:color w:val="000000" w:themeColor="text1"/>
        </w:rPr>
        <w:t xml:space="preserve"> including the replacement of foreign workers</w:t>
      </w:r>
      <w:r w:rsidR="002C6D2E">
        <w:rPr>
          <w:rFonts w:cs="Arial"/>
          <w:color w:val="000000" w:themeColor="text1"/>
        </w:rPr>
        <w:t xml:space="preserve"> in the region</w:t>
      </w:r>
      <w:r w:rsidRPr="00E12183">
        <w:rPr>
          <w:rFonts w:cs="Arial"/>
          <w:color w:val="000000" w:themeColor="text1"/>
        </w:rPr>
        <w:t xml:space="preserve">. </w:t>
      </w:r>
    </w:p>
    <w:p w14:paraId="6FD68E53" w14:textId="77777777" w:rsidR="00360F26" w:rsidRPr="00E12183" w:rsidRDefault="00360F26" w:rsidP="00B71D58">
      <w:pPr>
        <w:spacing w:after="0"/>
        <w:contextualSpacing/>
        <w:rPr>
          <w:rFonts w:cs="Arial"/>
          <w:color w:val="000000" w:themeColor="text1"/>
        </w:rPr>
      </w:pPr>
    </w:p>
    <w:p w14:paraId="151EFC78" w14:textId="77777777" w:rsidR="00360F26" w:rsidRPr="00E12183" w:rsidRDefault="00360F26" w:rsidP="00360F26">
      <w:pPr>
        <w:spacing w:before="120"/>
        <w:ind w:left="709" w:hanging="709"/>
        <w:rPr>
          <w:rFonts w:cs="Arial"/>
          <w:lang w:eastAsia="zh-CN"/>
        </w:rPr>
      </w:pPr>
      <w:r w:rsidRPr="00E12183">
        <w:rPr>
          <w:rFonts w:cs="Arial"/>
          <w:b/>
          <w:color w:val="76923C"/>
        </w:rPr>
        <w:t>R.1</w:t>
      </w:r>
      <w:r>
        <w:rPr>
          <w:rFonts w:cs="Arial"/>
          <w:b/>
          <w:color w:val="76923C"/>
        </w:rPr>
        <w:t>6</w:t>
      </w:r>
      <w:r w:rsidRPr="00E12183">
        <w:rPr>
          <w:rFonts w:cs="Arial"/>
          <w:lang w:eastAsia="zh-CN"/>
        </w:rPr>
        <w:tab/>
        <w:t xml:space="preserve">DFAT assesses systematically, as an essential part of </w:t>
      </w:r>
      <w:r>
        <w:rPr>
          <w:rFonts w:cs="Arial"/>
          <w:lang w:eastAsia="zh-CN"/>
        </w:rPr>
        <w:t xml:space="preserve">its </w:t>
      </w:r>
      <w:r w:rsidRPr="00E12183">
        <w:rPr>
          <w:rFonts w:cs="Arial"/>
          <w:lang w:eastAsia="zh-CN"/>
        </w:rPr>
        <w:t>regional TVET strategy, the economic demand for skills in the Pacific by:</w:t>
      </w:r>
    </w:p>
    <w:p w14:paraId="60C833E0" w14:textId="77042339" w:rsidR="00360F26" w:rsidRPr="00E12183" w:rsidRDefault="00360F26" w:rsidP="00532FE2">
      <w:pPr>
        <w:numPr>
          <w:ilvl w:val="0"/>
          <w:numId w:val="23"/>
        </w:numPr>
        <w:spacing w:before="120"/>
        <w:contextualSpacing/>
        <w:rPr>
          <w:rFonts w:cs="Arial"/>
          <w:lang w:eastAsia="zh-CN"/>
        </w:rPr>
      </w:pPr>
      <w:r w:rsidRPr="00E12183">
        <w:rPr>
          <w:rFonts w:cs="Arial"/>
          <w:lang w:eastAsia="zh-CN"/>
        </w:rPr>
        <w:t>adopting a low-cost, simple and reliable methodology</w:t>
      </w:r>
    </w:p>
    <w:p w14:paraId="7B7AFF9F" w14:textId="37581FD0" w:rsidR="00360F26" w:rsidRDefault="00360F26" w:rsidP="00DF7C96">
      <w:pPr>
        <w:numPr>
          <w:ilvl w:val="0"/>
          <w:numId w:val="23"/>
        </w:numPr>
        <w:spacing w:after="0"/>
        <w:ind w:left="1066" w:hanging="357"/>
        <w:contextualSpacing/>
        <w:rPr>
          <w:rFonts w:cs="Arial"/>
          <w:lang w:eastAsia="zh-CN"/>
        </w:rPr>
      </w:pPr>
      <w:r w:rsidRPr="00E12183">
        <w:rPr>
          <w:rFonts w:cs="Arial"/>
          <w:lang w:eastAsia="zh-CN"/>
        </w:rPr>
        <w:t>analysing census</w:t>
      </w:r>
      <w:r>
        <w:rPr>
          <w:rFonts w:cs="Arial"/>
          <w:lang w:eastAsia="zh-CN"/>
        </w:rPr>
        <w:t xml:space="preserve">, survey or administrative </w:t>
      </w:r>
      <w:r w:rsidRPr="00E12183">
        <w:rPr>
          <w:rFonts w:cs="Arial"/>
          <w:lang w:eastAsia="zh-CN"/>
        </w:rPr>
        <w:t xml:space="preserve">data available in all Pacific countries on the stock of workers by occupation </w:t>
      </w:r>
      <w:r w:rsidR="0061282D" w:rsidRPr="0061282D">
        <w:rPr>
          <w:rFonts w:cs="Arial"/>
          <w:lang w:eastAsia="zh-CN"/>
        </w:rPr>
        <w:t>and post</w:t>
      </w:r>
      <w:r w:rsidR="007804F7">
        <w:rPr>
          <w:rFonts w:cs="Arial"/>
          <w:lang w:eastAsia="zh-CN"/>
        </w:rPr>
        <w:t>-</w:t>
      </w:r>
      <w:r w:rsidR="0061282D" w:rsidRPr="0061282D">
        <w:rPr>
          <w:rFonts w:cs="Arial"/>
          <w:lang w:eastAsia="zh-CN"/>
        </w:rPr>
        <w:t>school qualification</w:t>
      </w:r>
      <w:r w:rsidR="0061282D">
        <w:rPr>
          <w:rFonts w:cs="Arial"/>
          <w:lang w:eastAsia="zh-CN"/>
        </w:rPr>
        <w:t>,</w:t>
      </w:r>
      <w:r w:rsidR="0061282D" w:rsidRPr="0061282D">
        <w:rPr>
          <w:rFonts w:cs="Arial"/>
          <w:lang w:eastAsia="zh-CN"/>
        </w:rPr>
        <w:t xml:space="preserve"> </w:t>
      </w:r>
      <w:r w:rsidRPr="00E12183">
        <w:rPr>
          <w:rFonts w:cs="Arial"/>
          <w:lang w:eastAsia="zh-CN"/>
        </w:rPr>
        <w:t>number of foreign workers by occupation and qualification, and foreign work permits issued</w:t>
      </w:r>
      <w:r w:rsidR="0061282D">
        <w:rPr>
          <w:rFonts w:cs="Arial"/>
          <w:lang w:eastAsia="zh-CN"/>
        </w:rPr>
        <w:t xml:space="preserve"> by occupation</w:t>
      </w:r>
    </w:p>
    <w:p w14:paraId="40BB567E" w14:textId="234841E3" w:rsidR="00973309" w:rsidRPr="00973309" w:rsidRDefault="00973309" w:rsidP="00DF7C96">
      <w:pPr>
        <w:pStyle w:val="ListParagraph"/>
        <w:numPr>
          <w:ilvl w:val="0"/>
          <w:numId w:val="23"/>
        </w:numPr>
        <w:spacing w:after="0"/>
        <w:ind w:left="1066" w:hanging="357"/>
        <w:rPr>
          <w:rFonts w:cs="Arial"/>
          <w:lang w:eastAsia="zh-CN"/>
        </w:rPr>
      </w:pPr>
      <w:r w:rsidRPr="00973309">
        <w:rPr>
          <w:rFonts w:cs="Arial"/>
          <w:lang w:eastAsia="zh-CN"/>
        </w:rPr>
        <w:t xml:space="preserve">supporting national tracer surveys of post-secondary graduates </w:t>
      </w:r>
    </w:p>
    <w:p w14:paraId="38AD8281" w14:textId="087786DC" w:rsidR="00360F26" w:rsidRPr="00E12183" w:rsidRDefault="00360F26" w:rsidP="00DF7C96">
      <w:pPr>
        <w:numPr>
          <w:ilvl w:val="0"/>
          <w:numId w:val="23"/>
        </w:numPr>
        <w:spacing w:after="0"/>
        <w:contextualSpacing/>
        <w:rPr>
          <w:rFonts w:cs="Arial"/>
          <w:lang w:eastAsia="zh-CN"/>
        </w:rPr>
      </w:pPr>
      <w:r w:rsidRPr="00E12183">
        <w:rPr>
          <w:rFonts w:cs="Arial"/>
          <w:lang w:eastAsia="zh-CN"/>
        </w:rPr>
        <w:t xml:space="preserve">funding employer surveys </w:t>
      </w:r>
      <w:r w:rsidR="000216C3">
        <w:rPr>
          <w:rFonts w:cs="Arial"/>
          <w:lang w:eastAsia="zh-CN"/>
        </w:rPr>
        <w:t xml:space="preserve">following a common template </w:t>
      </w:r>
      <w:r w:rsidRPr="00E12183">
        <w:rPr>
          <w:rFonts w:cs="Arial"/>
          <w:lang w:eastAsia="zh-CN"/>
        </w:rPr>
        <w:t xml:space="preserve">in each </w:t>
      </w:r>
      <w:r w:rsidR="000216C3">
        <w:rPr>
          <w:rFonts w:cs="Arial"/>
          <w:lang w:eastAsia="zh-CN"/>
        </w:rPr>
        <w:t xml:space="preserve">campus </w:t>
      </w:r>
      <w:r w:rsidRPr="00E12183">
        <w:rPr>
          <w:rFonts w:cs="Arial"/>
          <w:lang w:eastAsia="zh-CN"/>
        </w:rPr>
        <w:t>country on their skills needs and vacancies</w:t>
      </w:r>
    </w:p>
    <w:p w14:paraId="73745F8F" w14:textId="77777777" w:rsidR="00360F26" w:rsidRPr="00E12183" w:rsidRDefault="00360F26" w:rsidP="00532FE2">
      <w:pPr>
        <w:numPr>
          <w:ilvl w:val="0"/>
          <w:numId w:val="23"/>
        </w:numPr>
        <w:spacing w:before="120"/>
        <w:contextualSpacing/>
        <w:rPr>
          <w:rFonts w:cs="Arial"/>
          <w:lang w:eastAsia="zh-CN"/>
        </w:rPr>
      </w:pPr>
      <w:r w:rsidRPr="00E12183">
        <w:rPr>
          <w:rFonts w:cs="Arial"/>
          <w:lang w:eastAsia="zh-CN"/>
        </w:rPr>
        <w:t>identifying the skills implications of public, private and donor investment projects.</w:t>
      </w:r>
    </w:p>
    <w:p w14:paraId="5282E2D7" w14:textId="77777777" w:rsidR="00360F26" w:rsidRPr="00E12183" w:rsidRDefault="00360F26" w:rsidP="00B71D58">
      <w:pPr>
        <w:spacing w:after="0"/>
        <w:contextualSpacing/>
        <w:rPr>
          <w:rFonts w:cs="Arial"/>
          <w:lang w:eastAsia="zh-CN"/>
        </w:rPr>
      </w:pPr>
    </w:p>
    <w:p w14:paraId="02452F8C" w14:textId="4AC92F9A" w:rsidR="00360F26" w:rsidRPr="00E12183" w:rsidRDefault="00360F26" w:rsidP="00360F26">
      <w:pPr>
        <w:ind w:left="720" w:hanging="720"/>
        <w:rPr>
          <w:rFonts w:cs="Arial"/>
          <w:color w:val="000000" w:themeColor="text1"/>
        </w:rPr>
      </w:pPr>
      <w:r w:rsidRPr="00E12183">
        <w:rPr>
          <w:rFonts w:cs="Arial"/>
          <w:b/>
          <w:color w:val="76923C"/>
        </w:rPr>
        <w:t>R.</w:t>
      </w:r>
      <w:r>
        <w:rPr>
          <w:rFonts w:cs="Arial"/>
          <w:b/>
          <w:color w:val="76923C"/>
        </w:rPr>
        <w:t>17</w:t>
      </w:r>
      <w:r w:rsidRPr="00E12183">
        <w:rPr>
          <w:rFonts w:cs="Arial"/>
          <w:color w:val="000000" w:themeColor="text1"/>
        </w:rPr>
        <w:tab/>
        <w:t xml:space="preserve">DFAT provides APTC </w:t>
      </w:r>
      <w:r w:rsidR="00974C0F">
        <w:rPr>
          <w:rFonts w:cs="Arial"/>
          <w:color w:val="000000" w:themeColor="text1"/>
        </w:rPr>
        <w:t xml:space="preserve">with </w:t>
      </w:r>
      <w:r w:rsidRPr="00E12183">
        <w:rPr>
          <w:rFonts w:cs="Arial"/>
          <w:color w:val="000000" w:themeColor="text1"/>
        </w:rPr>
        <w:t xml:space="preserve">sufficient resources to undertake </w:t>
      </w:r>
      <w:r w:rsidR="00974C0F">
        <w:rPr>
          <w:rFonts w:cs="Arial"/>
          <w:color w:val="000000" w:themeColor="text1"/>
        </w:rPr>
        <w:t xml:space="preserve">appropriate </w:t>
      </w:r>
      <w:r w:rsidRPr="00E12183">
        <w:rPr>
          <w:rFonts w:cs="Arial"/>
          <w:color w:val="000000" w:themeColor="text1"/>
        </w:rPr>
        <w:t>labour market analysis and dissemination as a basis for determining and adjusting its training plan</w:t>
      </w:r>
      <w:r w:rsidR="00974C0F">
        <w:rPr>
          <w:rFonts w:cs="Arial"/>
          <w:color w:val="000000" w:themeColor="text1"/>
        </w:rPr>
        <w:t xml:space="preserve"> </w:t>
      </w:r>
      <w:r w:rsidR="00973309">
        <w:rPr>
          <w:rFonts w:cs="Arial"/>
          <w:color w:val="000000"/>
        </w:rPr>
        <w:t xml:space="preserve">and </w:t>
      </w:r>
      <w:r w:rsidR="00FF52FF">
        <w:rPr>
          <w:rFonts w:cs="Arial"/>
          <w:color w:val="000000"/>
        </w:rPr>
        <w:t xml:space="preserve">to </w:t>
      </w:r>
      <w:r w:rsidR="00973309">
        <w:rPr>
          <w:rFonts w:cs="Arial"/>
          <w:color w:val="000000"/>
        </w:rPr>
        <w:t>provide</w:t>
      </w:r>
      <w:r w:rsidR="00974C0F" w:rsidRPr="00974C0F">
        <w:rPr>
          <w:rFonts w:cs="Arial"/>
          <w:color w:val="000000"/>
        </w:rPr>
        <w:t xml:space="preserve"> information to prospective students, employers and governments on the economic demand for the qualifications it offers</w:t>
      </w:r>
      <w:r w:rsidRPr="00E12183">
        <w:rPr>
          <w:rFonts w:cs="Arial"/>
          <w:color w:val="000000" w:themeColor="text1"/>
        </w:rPr>
        <w:t>. Specifically, APTC:</w:t>
      </w:r>
    </w:p>
    <w:p w14:paraId="333DAE61" w14:textId="6E93D2EF" w:rsidR="00360F26" w:rsidRPr="00E12183" w:rsidRDefault="00360F26" w:rsidP="00973309">
      <w:pPr>
        <w:numPr>
          <w:ilvl w:val="0"/>
          <w:numId w:val="24"/>
        </w:numPr>
        <w:spacing w:after="200"/>
        <w:contextualSpacing/>
        <w:rPr>
          <w:rFonts w:cs="Arial"/>
          <w:color w:val="000000" w:themeColor="text1"/>
        </w:rPr>
      </w:pPr>
      <w:r w:rsidRPr="00E12183">
        <w:rPr>
          <w:rFonts w:cs="Arial"/>
          <w:color w:val="000000" w:themeColor="text1"/>
        </w:rPr>
        <w:t xml:space="preserve">prioritises graduate tracer surveys </w:t>
      </w:r>
      <w:r w:rsidR="00973309">
        <w:rPr>
          <w:rFonts w:cs="Arial"/>
          <w:color w:val="000000" w:themeColor="text1"/>
        </w:rPr>
        <w:t xml:space="preserve">to achieve </w:t>
      </w:r>
      <w:r w:rsidR="00973309" w:rsidRPr="00973309">
        <w:rPr>
          <w:rFonts w:cs="Arial"/>
          <w:color w:val="000000" w:themeColor="text1"/>
        </w:rPr>
        <w:t xml:space="preserve">response rates that are sufficient to provide robust results </w:t>
      </w:r>
      <w:r w:rsidRPr="00E12183">
        <w:rPr>
          <w:rFonts w:cs="Arial"/>
          <w:color w:val="000000" w:themeColor="text1"/>
        </w:rPr>
        <w:t>on employment outcomes by country</w:t>
      </w:r>
      <w:r w:rsidR="00973309">
        <w:rPr>
          <w:rFonts w:cs="Arial"/>
          <w:color w:val="000000" w:themeColor="text1"/>
        </w:rPr>
        <w:t>, gender</w:t>
      </w:r>
      <w:r w:rsidRPr="00E12183">
        <w:rPr>
          <w:rFonts w:cs="Arial"/>
          <w:color w:val="000000" w:themeColor="text1"/>
        </w:rPr>
        <w:t xml:space="preserve"> and level of qualification, in part by using alumni groups</w:t>
      </w:r>
    </w:p>
    <w:p w14:paraId="605792A2" w14:textId="27593B88" w:rsidR="00360F26" w:rsidRPr="00E12183" w:rsidRDefault="00360F26" w:rsidP="00532FE2">
      <w:pPr>
        <w:numPr>
          <w:ilvl w:val="0"/>
          <w:numId w:val="24"/>
        </w:numPr>
        <w:spacing w:after="200"/>
        <w:contextualSpacing/>
        <w:rPr>
          <w:rFonts w:cs="Arial"/>
          <w:color w:val="000000" w:themeColor="text1"/>
        </w:rPr>
      </w:pPr>
      <w:r w:rsidRPr="00E12183">
        <w:rPr>
          <w:rFonts w:cs="Arial"/>
          <w:color w:val="000000" w:themeColor="text1"/>
        </w:rPr>
        <w:t>establishes or strengthens databases of employers wanting to employ APTC graduates</w:t>
      </w:r>
    </w:p>
    <w:p w14:paraId="1AA14811" w14:textId="77777777" w:rsidR="00360F26" w:rsidRPr="00E12183" w:rsidRDefault="00360F26" w:rsidP="00532FE2">
      <w:pPr>
        <w:numPr>
          <w:ilvl w:val="0"/>
          <w:numId w:val="24"/>
        </w:numPr>
        <w:spacing w:after="200"/>
        <w:contextualSpacing/>
        <w:rPr>
          <w:rFonts w:cs="Arial"/>
          <w:color w:val="000000" w:themeColor="text1"/>
        </w:rPr>
      </w:pPr>
      <w:r w:rsidRPr="00E12183">
        <w:rPr>
          <w:rFonts w:cs="Arial"/>
          <w:color w:val="000000" w:themeColor="text1"/>
        </w:rPr>
        <w:t xml:space="preserve">ensures that students not in employment are given work placements that could lead to employment </w:t>
      </w:r>
    </w:p>
    <w:p w14:paraId="38566747" w14:textId="1126F6D6" w:rsidR="00360F26" w:rsidRPr="00E12183" w:rsidRDefault="00360F26" w:rsidP="00532FE2">
      <w:pPr>
        <w:numPr>
          <w:ilvl w:val="0"/>
          <w:numId w:val="24"/>
        </w:numPr>
        <w:spacing w:after="200"/>
        <w:contextualSpacing/>
        <w:rPr>
          <w:rFonts w:cs="Arial"/>
          <w:color w:val="000000" w:themeColor="text1"/>
        </w:rPr>
      </w:pPr>
      <w:r w:rsidRPr="00E12183">
        <w:rPr>
          <w:rFonts w:cs="Arial"/>
          <w:color w:val="000000" w:themeColor="text1"/>
        </w:rPr>
        <w:t>produces a job opportunity index, based on advertised job vacancies (Powell 2012, p</w:t>
      </w:r>
      <w:r w:rsidR="00742910">
        <w:rPr>
          <w:rFonts w:cs="Arial"/>
          <w:color w:val="000000" w:themeColor="text1"/>
        </w:rPr>
        <w:t>.</w:t>
      </w:r>
      <w:r w:rsidRPr="00E12183">
        <w:rPr>
          <w:rFonts w:cs="Arial"/>
          <w:color w:val="000000" w:themeColor="text1"/>
        </w:rPr>
        <w:t xml:space="preserve"> 13), using the International Standard Classification of Occupations (ISCO) </w:t>
      </w:r>
    </w:p>
    <w:p w14:paraId="65C4E3FC" w14:textId="3810024D" w:rsidR="00360F26" w:rsidRPr="00E12183" w:rsidRDefault="00360F26" w:rsidP="00384AF9">
      <w:pPr>
        <w:numPr>
          <w:ilvl w:val="0"/>
          <w:numId w:val="24"/>
        </w:numPr>
        <w:spacing w:after="0"/>
        <w:contextualSpacing/>
        <w:rPr>
          <w:rFonts w:cs="Arial"/>
          <w:lang w:eastAsia="zh-CN"/>
        </w:rPr>
      </w:pPr>
      <w:r w:rsidRPr="00E12183">
        <w:rPr>
          <w:rFonts w:cs="Arial"/>
          <w:color w:val="000000" w:themeColor="text1"/>
        </w:rPr>
        <w:t>disseminates information to students and graduates about employment rates and incomes by occupation</w:t>
      </w:r>
      <w:r w:rsidR="00A239F9">
        <w:rPr>
          <w:rFonts w:cs="Arial"/>
          <w:color w:val="000000" w:themeColor="text1"/>
        </w:rPr>
        <w:t xml:space="preserve"> </w:t>
      </w:r>
      <w:r w:rsidR="00973309">
        <w:rPr>
          <w:rFonts w:cs="Arial"/>
          <w:color w:val="000000" w:themeColor="text1"/>
        </w:rPr>
        <w:t xml:space="preserve">or qualification </w:t>
      </w:r>
      <w:r w:rsidR="00A239F9" w:rsidRPr="00A239F9">
        <w:rPr>
          <w:rFonts w:cs="Arial"/>
          <w:color w:val="000000"/>
        </w:rPr>
        <w:t>for each campus country</w:t>
      </w:r>
      <w:r w:rsidRPr="00E12183">
        <w:rPr>
          <w:rFonts w:cs="Arial"/>
          <w:color w:val="000000" w:themeColor="text1"/>
        </w:rPr>
        <w:t>.</w:t>
      </w:r>
    </w:p>
    <w:p w14:paraId="4D6B288B" w14:textId="77777777" w:rsidR="00360F26" w:rsidRDefault="00360F26" w:rsidP="00360F26">
      <w:pPr>
        <w:spacing w:after="0"/>
        <w:rPr>
          <w:rFonts w:cs="Arial"/>
        </w:rPr>
      </w:pPr>
    </w:p>
    <w:p w14:paraId="3D2B353B" w14:textId="622112B5" w:rsidR="006F16F9" w:rsidRPr="00A03FFC" w:rsidRDefault="006F16F9" w:rsidP="009C76A7">
      <w:pPr>
        <w:pStyle w:val="Heading3"/>
        <w:rPr>
          <w:lang w:eastAsia="zh-CN"/>
        </w:rPr>
      </w:pPr>
      <w:bookmarkStart w:id="108" w:name="_Toc278710580"/>
      <w:r w:rsidRPr="009C76A7">
        <w:t xml:space="preserve">Recommendations related to </w:t>
      </w:r>
      <w:r w:rsidRPr="007168DD">
        <w:rPr>
          <w:lang w:eastAsia="zh-CN"/>
        </w:rPr>
        <w:t xml:space="preserve">Chapter </w:t>
      </w:r>
      <w:r w:rsidRPr="00391C5E">
        <w:rPr>
          <w:lang w:eastAsia="zh-CN"/>
        </w:rPr>
        <w:t>5</w:t>
      </w:r>
      <w:r w:rsidRPr="006E2947">
        <w:rPr>
          <w:lang w:eastAsia="zh-CN"/>
        </w:rPr>
        <w:t>:</w:t>
      </w:r>
      <w:r w:rsidRPr="00246BFC">
        <w:rPr>
          <w:lang w:eastAsia="zh-CN"/>
        </w:rPr>
        <w:t xml:space="preserve"> </w:t>
      </w:r>
      <w:r w:rsidRPr="00BC195F">
        <w:rPr>
          <w:lang w:eastAsia="zh-CN"/>
        </w:rPr>
        <w:t>Value for money</w:t>
      </w:r>
      <w:bookmarkEnd w:id="108"/>
    </w:p>
    <w:p w14:paraId="31CEEA32" w14:textId="2721BAEA" w:rsidR="00360F26" w:rsidRPr="00E12183" w:rsidRDefault="00360F26" w:rsidP="00360F26">
      <w:pPr>
        <w:spacing w:before="120"/>
        <w:ind w:left="709" w:hanging="709"/>
        <w:rPr>
          <w:rFonts w:cs="Arial"/>
          <w:lang w:eastAsia="zh-CN"/>
        </w:rPr>
      </w:pPr>
      <w:r w:rsidRPr="00E12183">
        <w:rPr>
          <w:rFonts w:cs="Arial"/>
          <w:b/>
          <w:color w:val="76923C"/>
        </w:rPr>
        <w:t>R.</w:t>
      </w:r>
      <w:r>
        <w:rPr>
          <w:rFonts w:cs="Arial"/>
          <w:b/>
          <w:color w:val="76923C"/>
        </w:rPr>
        <w:t>18</w:t>
      </w:r>
      <w:r w:rsidRPr="00E12183">
        <w:rPr>
          <w:rFonts w:cs="Arial"/>
          <w:lang w:eastAsia="zh-CN"/>
        </w:rPr>
        <w:tab/>
        <w:t>In addition to R.</w:t>
      </w:r>
      <w:r>
        <w:rPr>
          <w:rFonts w:cs="Arial"/>
          <w:lang w:eastAsia="zh-CN"/>
        </w:rPr>
        <w:t>5</w:t>
      </w:r>
      <w:r w:rsidRPr="00E12183">
        <w:rPr>
          <w:rFonts w:cs="Arial"/>
          <w:lang w:eastAsia="zh-CN"/>
        </w:rPr>
        <w:t xml:space="preserve"> and R</w:t>
      </w:r>
      <w:r>
        <w:rPr>
          <w:rFonts w:cs="Arial"/>
          <w:lang w:eastAsia="zh-CN"/>
        </w:rPr>
        <w:t>.6</w:t>
      </w:r>
      <w:r w:rsidRPr="00E12183">
        <w:rPr>
          <w:rFonts w:cs="Arial"/>
          <w:lang w:eastAsia="zh-CN"/>
        </w:rPr>
        <w:t>, AP</w:t>
      </w:r>
      <w:r w:rsidR="00D97E5B">
        <w:rPr>
          <w:rFonts w:cs="Arial"/>
          <w:lang w:eastAsia="zh-CN"/>
        </w:rPr>
        <w:t>T</w:t>
      </w:r>
      <w:r w:rsidRPr="00E12183">
        <w:rPr>
          <w:rFonts w:cs="Arial"/>
          <w:lang w:eastAsia="zh-CN"/>
        </w:rPr>
        <w:t>C intensifies efforts at cutting costs and raising revenue by:</w:t>
      </w:r>
    </w:p>
    <w:p w14:paraId="69FB4013" w14:textId="1A6C31AC" w:rsidR="00360F26" w:rsidRPr="00E12183" w:rsidRDefault="00360F26" w:rsidP="00532FE2">
      <w:pPr>
        <w:numPr>
          <w:ilvl w:val="0"/>
          <w:numId w:val="26"/>
        </w:numPr>
        <w:spacing w:before="120"/>
        <w:contextualSpacing/>
        <w:rPr>
          <w:rFonts w:cs="Arial"/>
          <w:lang w:eastAsia="zh-CN"/>
        </w:rPr>
      </w:pPr>
      <w:r w:rsidRPr="00E12183">
        <w:rPr>
          <w:rFonts w:cs="Arial"/>
          <w:lang w:eastAsia="zh-CN"/>
        </w:rPr>
        <w:t>increasing double-blocking (running two or more courses in the same subject at the same time) where possible</w:t>
      </w:r>
    </w:p>
    <w:p w14:paraId="66D616C8" w14:textId="71A0E1DE" w:rsidR="00360F26" w:rsidRPr="00E12183" w:rsidRDefault="00360F26" w:rsidP="00532FE2">
      <w:pPr>
        <w:numPr>
          <w:ilvl w:val="0"/>
          <w:numId w:val="26"/>
        </w:numPr>
        <w:spacing w:before="120"/>
        <w:contextualSpacing/>
        <w:rPr>
          <w:rFonts w:cs="Arial"/>
          <w:lang w:eastAsia="zh-CN"/>
        </w:rPr>
      </w:pPr>
      <w:r w:rsidRPr="00E12183">
        <w:rPr>
          <w:rFonts w:cs="Arial"/>
          <w:lang w:eastAsia="en-GB"/>
        </w:rPr>
        <w:t>increasing the specialisation of course offerings by the five campus</w:t>
      </w:r>
      <w:r w:rsidR="00891279">
        <w:rPr>
          <w:rFonts w:cs="Arial"/>
          <w:lang w:eastAsia="en-GB"/>
        </w:rPr>
        <w:t xml:space="preserve"> </w:t>
      </w:r>
      <w:r w:rsidRPr="00E12183">
        <w:rPr>
          <w:rFonts w:cs="Arial"/>
          <w:lang w:eastAsia="en-GB"/>
        </w:rPr>
        <w:t>countries as a way raising student</w:t>
      </w:r>
      <w:r w:rsidR="00891279">
        <w:rPr>
          <w:rFonts w:cs="Arial"/>
          <w:lang w:eastAsia="en-GB"/>
        </w:rPr>
        <w:t>–</w:t>
      </w:r>
      <w:r w:rsidRPr="00E12183">
        <w:rPr>
          <w:rFonts w:cs="Arial"/>
          <w:lang w:eastAsia="en-GB"/>
        </w:rPr>
        <w:t xml:space="preserve">teacher ratios and reducing unit costs </w:t>
      </w:r>
    </w:p>
    <w:p w14:paraId="3E34D67D" w14:textId="4405FAF5" w:rsidR="00360F26" w:rsidRPr="00E12183" w:rsidRDefault="00360F26" w:rsidP="00532FE2">
      <w:pPr>
        <w:numPr>
          <w:ilvl w:val="0"/>
          <w:numId w:val="26"/>
        </w:numPr>
        <w:spacing w:before="120"/>
        <w:contextualSpacing/>
        <w:rPr>
          <w:rFonts w:cs="Arial"/>
          <w:lang w:eastAsia="zh-CN"/>
        </w:rPr>
      </w:pPr>
      <w:r w:rsidRPr="00E12183">
        <w:rPr>
          <w:rFonts w:cs="Arial"/>
          <w:lang w:eastAsia="zh-CN"/>
        </w:rPr>
        <w:t>adopting more ambitious nationalisation targets to be met over the course of the next five years</w:t>
      </w:r>
      <w:r w:rsidRPr="00E12183">
        <w:rPr>
          <w:vertAlign w:val="superscript"/>
          <w:lang w:eastAsia="zh-CN"/>
        </w:rPr>
        <w:footnoteReference w:id="61"/>
      </w:r>
    </w:p>
    <w:p w14:paraId="0C155F77" w14:textId="53B92A47" w:rsidR="00360F26" w:rsidRPr="00E12183" w:rsidRDefault="00360F26" w:rsidP="00532FE2">
      <w:pPr>
        <w:numPr>
          <w:ilvl w:val="0"/>
          <w:numId w:val="26"/>
        </w:numPr>
        <w:spacing w:before="120"/>
        <w:contextualSpacing/>
        <w:rPr>
          <w:rFonts w:cs="Arial"/>
          <w:lang w:eastAsia="zh-CN"/>
        </w:rPr>
      </w:pPr>
      <w:r w:rsidRPr="00E12183">
        <w:rPr>
          <w:rFonts w:cs="Arial"/>
          <w:lang w:eastAsia="en-GB"/>
        </w:rPr>
        <w:t xml:space="preserve">reducing the percentage of students given scholarships </w:t>
      </w:r>
      <w:r w:rsidR="004D5CD0">
        <w:rPr>
          <w:rFonts w:cs="Arial"/>
          <w:lang w:eastAsia="en-GB"/>
        </w:rPr>
        <w:t xml:space="preserve">with due regard to equity implications, </w:t>
      </w:r>
      <w:r w:rsidRPr="00E12183">
        <w:rPr>
          <w:rFonts w:cs="Arial"/>
          <w:lang w:eastAsia="en-GB"/>
        </w:rPr>
        <w:t>and increasing the percentage of students who pay (or whose employers pay) the notional tuition fees</w:t>
      </w:r>
    </w:p>
    <w:p w14:paraId="2AFC1AD8" w14:textId="5BCD0F9C" w:rsidR="00360F26" w:rsidRPr="00E12183" w:rsidRDefault="00360F26" w:rsidP="00532FE2">
      <w:pPr>
        <w:numPr>
          <w:ilvl w:val="0"/>
          <w:numId w:val="26"/>
        </w:numPr>
        <w:spacing w:before="120"/>
        <w:contextualSpacing/>
        <w:rPr>
          <w:rFonts w:cs="Arial"/>
          <w:lang w:eastAsia="zh-CN"/>
        </w:rPr>
      </w:pPr>
      <w:r w:rsidRPr="00E12183">
        <w:rPr>
          <w:rFonts w:cs="Arial"/>
          <w:lang w:eastAsia="zh-CN"/>
        </w:rPr>
        <w:t>conducting a feasibility study to assess the possibility for APTC to transition from a system of grants (scholarships) to a system of student loans, which could be made income-contingent.</w:t>
      </w:r>
    </w:p>
    <w:p w14:paraId="249E964E" w14:textId="77777777" w:rsidR="00360F26" w:rsidRPr="00E12183" w:rsidRDefault="00360F26" w:rsidP="00B71D58">
      <w:pPr>
        <w:spacing w:before="120" w:after="0"/>
        <w:contextualSpacing/>
        <w:rPr>
          <w:rFonts w:cs="Arial"/>
          <w:lang w:eastAsia="zh-CN"/>
        </w:rPr>
      </w:pPr>
      <w:r w:rsidRPr="00E12183">
        <w:rPr>
          <w:rFonts w:cs="Arial"/>
          <w:lang w:eastAsia="zh-CN"/>
        </w:rPr>
        <w:t xml:space="preserve"> </w:t>
      </w:r>
    </w:p>
    <w:p w14:paraId="72F8ECE6" w14:textId="4DB971EE" w:rsidR="00CA6F37" w:rsidRDefault="00360F26" w:rsidP="00384AF9">
      <w:pPr>
        <w:spacing w:after="0"/>
        <w:ind w:left="709" w:hanging="709"/>
        <w:contextualSpacing/>
        <w:rPr>
          <w:rFonts w:cs="Arial"/>
          <w:lang w:eastAsia="zh-CN"/>
        </w:rPr>
      </w:pPr>
      <w:r w:rsidRPr="00E12183">
        <w:rPr>
          <w:rFonts w:cs="Arial"/>
          <w:b/>
          <w:color w:val="76923C"/>
        </w:rPr>
        <w:t>R.</w:t>
      </w:r>
      <w:r>
        <w:rPr>
          <w:rFonts w:cs="Arial"/>
          <w:b/>
          <w:color w:val="76923C"/>
        </w:rPr>
        <w:t>19</w:t>
      </w:r>
      <w:r w:rsidRPr="00E12183">
        <w:rPr>
          <w:rFonts w:cs="Arial"/>
          <w:lang w:eastAsia="zh-CN"/>
        </w:rPr>
        <w:tab/>
        <w:t xml:space="preserve">DFAT bases its decision </w:t>
      </w:r>
      <w:r w:rsidR="001F00F1">
        <w:rPr>
          <w:rFonts w:cs="Arial"/>
          <w:lang w:eastAsia="zh-CN"/>
        </w:rPr>
        <w:t xml:space="preserve">regarding </w:t>
      </w:r>
      <w:r w:rsidRPr="00E12183">
        <w:rPr>
          <w:rFonts w:cs="Arial"/>
          <w:lang w:eastAsia="zh-CN"/>
        </w:rPr>
        <w:t>extension of funding for APTC</w:t>
      </w:r>
      <w:r w:rsidR="00B06386" w:rsidRPr="00B06386">
        <w:rPr>
          <w:rFonts w:cs="Arial"/>
          <w:lang w:eastAsia="zh-CN"/>
        </w:rPr>
        <w:t xml:space="preserve"> </w:t>
      </w:r>
      <w:r w:rsidR="00B06386">
        <w:rPr>
          <w:rFonts w:cs="Arial"/>
          <w:lang w:eastAsia="zh-CN"/>
        </w:rPr>
        <w:t xml:space="preserve">on </w:t>
      </w:r>
      <w:r w:rsidR="00B06386" w:rsidRPr="00E12183">
        <w:rPr>
          <w:rFonts w:cs="Arial"/>
          <w:lang w:eastAsia="zh-CN"/>
        </w:rPr>
        <w:t>a forward-looking ERR</w:t>
      </w:r>
      <w:r w:rsidRPr="00E12183">
        <w:rPr>
          <w:rFonts w:cs="Arial"/>
          <w:lang w:eastAsia="zh-CN"/>
        </w:rPr>
        <w:t xml:space="preserve"> that considers only future costs and benefits and treats the costs of </w:t>
      </w:r>
      <w:r w:rsidR="00B06386">
        <w:rPr>
          <w:rFonts w:cs="Arial"/>
          <w:lang w:eastAsia="zh-CN"/>
        </w:rPr>
        <w:t xml:space="preserve">both </w:t>
      </w:r>
      <w:r w:rsidRPr="00E12183">
        <w:rPr>
          <w:rFonts w:cs="Arial"/>
          <w:lang w:eastAsia="zh-CN"/>
        </w:rPr>
        <w:t>Stages I and II as sunk costs.</w:t>
      </w:r>
    </w:p>
    <w:p w14:paraId="52A52718" w14:textId="77777777" w:rsidR="00CA6F37" w:rsidRDefault="00CA6F37" w:rsidP="00B71D58">
      <w:pPr>
        <w:spacing w:after="0"/>
        <w:contextualSpacing/>
        <w:rPr>
          <w:rFonts w:cs="Arial"/>
          <w:lang w:eastAsia="zh-CN"/>
        </w:rPr>
      </w:pPr>
    </w:p>
    <w:p w14:paraId="69726B65" w14:textId="1DBD893D" w:rsidR="00B3579A" w:rsidRPr="00A03FFC" w:rsidRDefault="00B3579A" w:rsidP="009C76A7">
      <w:pPr>
        <w:pStyle w:val="Heading3"/>
        <w:rPr>
          <w:lang w:eastAsia="zh-CN"/>
        </w:rPr>
      </w:pPr>
      <w:bookmarkStart w:id="109" w:name="_Toc278710581"/>
      <w:r w:rsidRPr="009C76A7">
        <w:t>Recommendations related to</w:t>
      </w:r>
      <w:r w:rsidRPr="009C76A7">
        <w:rPr>
          <w:color w:val="000000" w:themeColor="text1"/>
        </w:rPr>
        <w:t xml:space="preserve"> </w:t>
      </w:r>
      <w:r w:rsidRPr="007168DD">
        <w:rPr>
          <w:lang w:eastAsia="zh-CN"/>
        </w:rPr>
        <w:t>Chapter 6</w:t>
      </w:r>
      <w:r w:rsidRPr="00391C5E">
        <w:rPr>
          <w:lang w:eastAsia="zh-CN"/>
        </w:rPr>
        <w:t xml:space="preserve">: </w:t>
      </w:r>
      <w:r w:rsidRPr="006E2947">
        <w:rPr>
          <w:lang w:eastAsia="zh-CN"/>
        </w:rPr>
        <w:t>The</w:t>
      </w:r>
      <w:r w:rsidRPr="00246BFC">
        <w:rPr>
          <w:lang w:eastAsia="zh-CN"/>
        </w:rPr>
        <w:t xml:space="preserve"> </w:t>
      </w:r>
      <w:r w:rsidRPr="00BC195F">
        <w:rPr>
          <w:lang w:eastAsia="zh-CN"/>
        </w:rPr>
        <w:t>future of APTC</w:t>
      </w:r>
      <w:bookmarkEnd w:id="109"/>
    </w:p>
    <w:p w14:paraId="4C08426A" w14:textId="2D66F60E" w:rsidR="00360F26" w:rsidRPr="00E12183" w:rsidRDefault="00360F26" w:rsidP="00360F26">
      <w:pPr>
        <w:ind w:left="720" w:hanging="720"/>
        <w:rPr>
          <w:rFonts w:cs="Arial"/>
        </w:rPr>
      </w:pPr>
      <w:r w:rsidRPr="00E12183">
        <w:rPr>
          <w:rFonts w:cs="Arial"/>
          <w:b/>
          <w:color w:val="76923C"/>
        </w:rPr>
        <w:t>R.</w:t>
      </w:r>
      <w:r>
        <w:rPr>
          <w:rFonts w:cs="Arial"/>
          <w:b/>
          <w:color w:val="76923C"/>
        </w:rPr>
        <w:t>20</w:t>
      </w:r>
      <w:r w:rsidRPr="00E12183">
        <w:rPr>
          <w:rFonts w:cs="Arial"/>
          <w:lang w:eastAsia="zh-CN"/>
        </w:rPr>
        <w:tab/>
        <w:t>APTC i</w:t>
      </w:r>
      <w:r w:rsidRPr="00E12183">
        <w:rPr>
          <w:rFonts w:cs="Arial"/>
        </w:rPr>
        <w:t>mplements short</w:t>
      </w:r>
      <w:r w:rsidR="00B3579A">
        <w:rPr>
          <w:rFonts w:cs="Arial"/>
        </w:rPr>
        <w:t>-</w:t>
      </w:r>
      <w:r w:rsidRPr="00E12183">
        <w:rPr>
          <w:rFonts w:cs="Arial"/>
        </w:rPr>
        <w:t xml:space="preserve">term actions to strengthen </w:t>
      </w:r>
      <w:r>
        <w:rPr>
          <w:rFonts w:cs="Arial"/>
        </w:rPr>
        <w:t>itself</w:t>
      </w:r>
      <w:r w:rsidRPr="00E12183">
        <w:rPr>
          <w:rFonts w:cs="Arial"/>
        </w:rPr>
        <w:t xml:space="preserve"> until the end of </w:t>
      </w:r>
      <w:r w:rsidR="00B3579A" w:rsidRPr="00E12183">
        <w:rPr>
          <w:rFonts w:cs="Arial"/>
        </w:rPr>
        <w:t>Stage</w:t>
      </w:r>
      <w:r w:rsidR="00B3579A">
        <w:rPr>
          <w:rFonts w:cs="Arial"/>
        </w:rPr>
        <w:t> </w:t>
      </w:r>
      <w:r w:rsidRPr="00E12183">
        <w:rPr>
          <w:rFonts w:cs="Arial"/>
        </w:rPr>
        <w:t>II, namely:</w:t>
      </w:r>
    </w:p>
    <w:p w14:paraId="73E8AFE6" w14:textId="61FA350D" w:rsidR="00360F26" w:rsidRPr="00E12183" w:rsidRDefault="00360F26" w:rsidP="00532FE2">
      <w:pPr>
        <w:numPr>
          <w:ilvl w:val="0"/>
          <w:numId w:val="27"/>
        </w:numPr>
        <w:spacing w:after="0" w:line="259" w:lineRule="auto"/>
        <w:contextualSpacing/>
        <w:rPr>
          <w:rFonts w:cs="Arial"/>
          <w:bCs/>
        </w:rPr>
      </w:pPr>
      <w:r w:rsidRPr="00E12183">
        <w:rPr>
          <w:rFonts w:cs="Arial"/>
          <w:bCs/>
        </w:rPr>
        <w:t>continue to eliminate duplication in the organisational structure</w:t>
      </w:r>
    </w:p>
    <w:p w14:paraId="40B11120" w14:textId="2BFF4615" w:rsidR="00360F26" w:rsidRPr="00E12183" w:rsidRDefault="00360F26" w:rsidP="00532FE2">
      <w:pPr>
        <w:numPr>
          <w:ilvl w:val="0"/>
          <w:numId w:val="27"/>
        </w:numPr>
        <w:spacing w:after="0" w:line="259" w:lineRule="auto"/>
        <w:contextualSpacing/>
        <w:rPr>
          <w:rFonts w:cs="Arial"/>
          <w:bCs/>
        </w:rPr>
      </w:pPr>
      <w:r w:rsidRPr="00E12183">
        <w:rPr>
          <w:rFonts w:cs="Arial"/>
          <w:bCs/>
        </w:rPr>
        <w:t xml:space="preserve">develop a </w:t>
      </w:r>
      <w:r w:rsidR="0038458A">
        <w:rPr>
          <w:rFonts w:cs="Arial"/>
          <w:bCs/>
        </w:rPr>
        <w:t>r</w:t>
      </w:r>
      <w:r w:rsidR="0038458A" w:rsidRPr="00E12183">
        <w:rPr>
          <w:rFonts w:cs="Arial"/>
          <w:bCs/>
        </w:rPr>
        <w:t xml:space="preserve">isk </w:t>
      </w:r>
      <w:r w:rsidR="0038458A">
        <w:rPr>
          <w:rFonts w:cs="Arial"/>
          <w:bCs/>
        </w:rPr>
        <w:t>m</w:t>
      </w:r>
      <w:r w:rsidR="0038458A" w:rsidRPr="00E12183">
        <w:rPr>
          <w:rFonts w:cs="Arial"/>
          <w:bCs/>
        </w:rPr>
        <w:t xml:space="preserve">anagement </w:t>
      </w:r>
      <w:r w:rsidR="0038458A">
        <w:rPr>
          <w:rFonts w:cs="Arial"/>
          <w:bCs/>
        </w:rPr>
        <w:t>p</w:t>
      </w:r>
      <w:r w:rsidR="0038458A" w:rsidRPr="00E12183">
        <w:rPr>
          <w:rFonts w:cs="Arial"/>
          <w:bCs/>
        </w:rPr>
        <w:t xml:space="preserve">lan </w:t>
      </w:r>
      <w:r w:rsidRPr="00E12183">
        <w:rPr>
          <w:rFonts w:cs="Arial"/>
          <w:bCs/>
        </w:rPr>
        <w:t xml:space="preserve">for the </w:t>
      </w:r>
      <w:r w:rsidR="0038458A">
        <w:rPr>
          <w:rFonts w:cs="Arial"/>
          <w:bCs/>
        </w:rPr>
        <w:t>n</w:t>
      </w:r>
      <w:r w:rsidR="0038458A" w:rsidRPr="00E12183">
        <w:rPr>
          <w:rFonts w:cs="Arial"/>
          <w:bCs/>
        </w:rPr>
        <w:t xml:space="preserve">ationalisation </w:t>
      </w:r>
      <w:r w:rsidR="0038458A">
        <w:rPr>
          <w:rFonts w:cs="Arial"/>
          <w:bCs/>
        </w:rPr>
        <w:t>s</w:t>
      </w:r>
      <w:r w:rsidR="0038458A" w:rsidRPr="00E12183">
        <w:rPr>
          <w:rFonts w:cs="Arial"/>
          <w:bCs/>
        </w:rPr>
        <w:t>trategy</w:t>
      </w:r>
    </w:p>
    <w:p w14:paraId="63EADB27" w14:textId="7B306C31" w:rsidR="00360F26" w:rsidRPr="00E12183" w:rsidRDefault="00360F26" w:rsidP="00532FE2">
      <w:pPr>
        <w:numPr>
          <w:ilvl w:val="0"/>
          <w:numId w:val="27"/>
        </w:numPr>
        <w:spacing w:after="0" w:line="259" w:lineRule="auto"/>
        <w:contextualSpacing/>
        <w:rPr>
          <w:rFonts w:cs="Arial"/>
          <w:bCs/>
        </w:rPr>
      </w:pPr>
      <w:r w:rsidRPr="00E12183">
        <w:rPr>
          <w:rFonts w:cs="Arial"/>
          <w:bCs/>
        </w:rPr>
        <w:t>complete the review of APTC-to-Work</w:t>
      </w:r>
    </w:p>
    <w:p w14:paraId="43E661E7" w14:textId="77777777" w:rsidR="00360F26" w:rsidRPr="00E12183" w:rsidRDefault="00360F26" w:rsidP="00532FE2">
      <w:pPr>
        <w:numPr>
          <w:ilvl w:val="0"/>
          <w:numId w:val="27"/>
        </w:numPr>
        <w:spacing w:line="259" w:lineRule="auto"/>
        <w:contextualSpacing/>
        <w:rPr>
          <w:rFonts w:cs="Arial"/>
          <w:bCs/>
        </w:rPr>
      </w:pPr>
      <w:r w:rsidRPr="00E12183">
        <w:rPr>
          <w:rFonts w:cs="Arial"/>
          <w:bCs/>
        </w:rPr>
        <w:t>address communication problems with staff</w:t>
      </w:r>
      <w:r>
        <w:rPr>
          <w:rFonts w:cs="Arial"/>
          <w:bCs/>
        </w:rPr>
        <w:t>.</w:t>
      </w:r>
    </w:p>
    <w:p w14:paraId="7846A29F" w14:textId="77777777" w:rsidR="00360F26" w:rsidRPr="00E12183" w:rsidRDefault="00360F26" w:rsidP="00360F26">
      <w:pPr>
        <w:spacing w:line="259" w:lineRule="auto"/>
        <w:contextualSpacing/>
        <w:rPr>
          <w:rFonts w:cs="Arial"/>
          <w:bCs/>
        </w:rPr>
      </w:pPr>
    </w:p>
    <w:p w14:paraId="48D9A772" w14:textId="66FC73CC" w:rsidR="00360F26" w:rsidRPr="00E12183" w:rsidRDefault="00360F26" w:rsidP="00DF7C96">
      <w:pPr>
        <w:keepNext/>
        <w:keepLines/>
        <w:ind w:left="720" w:hanging="720"/>
        <w:outlineLvl w:val="0"/>
        <w:rPr>
          <w:rFonts w:cs="Arial"/>
          <w:bCs/>
        </w:rPr>
      </w:pPr>
      <w:r w:rsidRPr="00E12183">
        <w:rPr>
          <w:rFonts w:cs="Arial"/>
          <w:b/>
          <w:color w:val="76923C"/>
        </w:rPr>
        <w:t>R.2</w:t>
      </w:r>
      <w:r>
        <w:rPr>
          <w:rFonts w:cs="Arial"/>
          <w:b/>
          <w:color w:val="76923C"/>
        </w:rPr>
        <w:t>1</w:t>
      </w:r>
      <w:r w:rsidR="00FF52FF">
        <w:rPr>
          <w:rFonts w:cs="Arial"/>
          <w:lang w:eastAsia="zh-CN"/>
        </w:rPr>
        <w:tab/>
      </w:r>
      <w:r w:rsidRPr="00E12183">
        <w:rPr>
          <w:rFonts w:cs="Arial"/>
          <w:lang w:eastAsia="zh-CN"/>
        </w:rPr>
        <w:t>DFAT i</w:t>
      </w:r>
      <w:r w:rsidRPr="00E12183">
        <w:rPr>
          <w:rFonts w:cs="Arial"/>
        </w:rPr>
        <w:t>mplements short</w:t>
      </w:r>
      <w:r w:rsidR="00527BDD">
        <w:rPr>
          <w:rFonts w:cs="Arial"/>
        </w:rPr>
        <w:t>-</w:t>
      </w:r>
      <w:r w:rsidRPr="00E12183">
        <w:rPr>
          <w:rFonts w:cs="Arial"/>
        </w:rPr>
        <w:t>term actions to strengthen APTC until the end of Stage</w:t>
      </w:r>
      <w:r w:rsidR="00742910">
        <w:rPr>
          <w:rFonts w:cs="Arial"/>
        </w:rPr>
        <w:t> </w:t>
      </w:r>
      <w:r w:rsidRPr="00E12183">
        <w:rPr>
          <w:rFonts w:cs="Arial"/>
        </w:rPr>
        <w:t xml:space="preserve">II, namely: </w:t>
      </w:r>
    </w:p>
    <w:p w14:paraId="60F999A7" w14:textId="0DA7575C" w:rsidR="00360F26" w:rsidRPr="00E12183" w:rsidRDefault="00360F26" w:rsidP="00532FE2">
      <w:pPr>
        <w:keepNext/>
        <w:keepLines/>
        <w:numPr>
          <w:ilvl w:val="0"/>
          <w:numId w:val="28"/>
        </w:numPr>
        <w:spacing w:after="0" w:line="259" w:lineRule="auto"/>
        <w:contextualSpacing/>
        <w:outlineLvl w:val="0"/>
        <w:rPr>
          <w:rFonts w:cs="Arial"/>
          <w:bCs/>
        </w:rPr>
      </w:pPr>
      <w:r w:rsidRPr="00E12183">
        <w:rPr>
          <w:rFonts w:cs="Arial"/>
          <w:bCs/>
        </w:rPr>
        <w:t xml:space="preserve">conduct consultations with Pacific governments and stakeholders and finalise a regional TVET strategy and a </w:t>
      </w:r>
      <w:r w:rsidR="00527BDD" w:rsidRPr="00E12183">
        <w:rPr>
          <w:rFonts w:cs="Arial"/>
          <w:bCs/>
        </w:rPr>
        <w:t>long</w:t>
      </w:r>
      <w:r w:rsidR="00527BDD">
        <w:rPr>
          <w:rFonts w:cs="Arial"/>
          <w:bCs/>
        </w:rPr>
        <w:t>-</w:t>
      </w:r>
      <w:r w:rsidRPr="00E12183">
        <w:rPr>
          <w:rFonts w:cs="Arial"/>
          <w:bCs/>
        </w:rPr>
        <w:t>term vision for APTC</w:t>
      </w:r>
    </w:p>
    <w:p w14:paraId="62888251" w14:textId="67CF19EB" w:rsidR="00360F26" w:rsidRPr="00E12183" w:rsidRDefault="00360F26" w:rsidP="00532FE2">
      <w:pPr>
        <w:keepNext/>
        <w:keepLines/>
        <w:numPr>
          <w:ilvl w:val="0"/>
          <w:numId w:val="28"/>
        </w:numPr>
        <w:spacing w:after="0" w:line="259" w:lineRule="auto"/>
        <w:contextualSpacing/>
        <w:outlineLvl w:val="0"/>
        <w:rPr>
          <w:rFonts w:cs="Arial"/>
          <w:bCs/>
        </w:rPr>
      </w:pPr>
      <w:r w:rsidRPr="00E12183">
        <w:rPr>
          <w:rFonts w:cs="Arial"/>
          <w:bCs/>
        </w:rPr>
        <w:t>design and fund a new M&amp;E system focused on economic impact</w:t>
      </w:r>
    </w:p>
    <w:p w14:paraId="29FC57C9" w14:textId="301A4982" w:rsidR="00360F26" w:rsidRPr="00E12183" w:rsidRDefault="00360F26" w:rsidP="00532FE2">
      <w:pPr>
        <w:keepNext/>
        <w:keepLines/>
        <w:numPr>
          <w:ilvl w:val="0"/>
          <w:numId w:val="28"/>
        </w:numPr>
        <w:spacing w:after="0" w:line="259" w:lineRule="auto"/>
        <w:contextualSpacing/>
        <w:outlineLvl w:val="0"/>
        <w:rPr>
          <w:rFonts w:cs="Arial"/>
          <w:bCs/>
        </w:rPr>
      </w:pPr>
      <w:r w:rsidRPr="00E12183">
        <w:rPr>
          <w:rFonts w:cs="Arial"/>
          <w:bCs/>
        </w:rPr>
        <w:t>develop a coordinated approach to labour mobility in the Pacific in consultation with Australian immigration authorities</w:t>
      </w:r>
      <w:r>
        <w:rPr>
          <w:rFonts w:cs="Arial"/>
          <w:bCs/>
        </w:rPr>
        <w:t>.</w:t>
      </w:r>
      <w:r w:rsidRPr="00E12183">
        <w:rPr>
          <w:rFonts w:cs="Arial"/>
          <w:bCs/>
        </w:rPr>
        <w:t xml:space="preserve">  </w:t>
      </w:r>
    </w:p>
    <w:p w14:paraId="50C0853F" w14:textId="77777777" w:rsidR="00360F26" w:rsidRPr="00E12183" w:rsidRDefault="00360F26" w:rsidP="00360F26">
      <w:pPr>
        <w:spacing w:before="120"/>
        <w:ind w:left="709" w:hanging="709"/>
        <w:rPr>
          <w:rFonts w:cs="Arial"/>
          <w:lang w:eastAsia="zh-CN"/>
        </w:rPr>
      </w:pPr>
      <w:r w:rsidRPr="00E12183">
        <w:rPr>
          <w:rFonts w:cs="Arial"/>
          <w:b/>
          <w:color w:val="76923C"/>
        </w:rPr>
        <w:t>R.2</w:t>
      </w:r>
      <w:r>
        <w:rPr>
          <w:rFonts w:cs="Arial"/>
          <w:b/>
          <w:color w:val="76923C"/>
        </w:rPr>
        <w:t>2</w:t>
      </w:r>
      <w:r w:rsidRPr="00E12183">
        <w:rPr>
          <w:rFonts w:cs="Arial"/>
          <w:lang w:eastAsia="zh-CN"/>
        </w:rPr>
        <w:tab/>
        <w:t>DFAT considers an interim funding extension of two years to design a Stage III during which:</w:t>
      </w:r>
    </w:p>
    <w:p w14:paraId="04C4A9D1" w14:textId="54BF0B8F" w:rsidR="00360F26" w:rsidRPr="00E12183" w:rsidRDefault="00360F26" w:rsidP="00532FE2">
      <w:pPr>
        <w:numPr>
          <w:ilvl w:val="0"/>
          <w:numId w:val="29"/>
        </w:numPr>
        <w:spacing w:before="120"/>
        <w:contextualSpacing/>
        <w:rPr>
          <w:rFonts w:cs="Arial"/>
          <w:lang w:eastAsia="zh-CN"/>
        </w:rPr>
      </w:pPr>
      <w:r w:rsidRPr="00E12183">
        <w:rPr>
          <w:rFonts w:cs="Arial"/>
          <w:lang w:eastAsia="zh-CN"/>
        </w:rPr>
        <w:t xml:space="preserve">DFAT develops </w:t>
      </w:r>
      <w:r w:rsidR="007168DD">
        <w:rPr>
          <w:rFonts w:cs="Arial"/>
          <w:lang w:eastAsia="zh-CN"/>
        </w:rPr>
        <w:t xml:space="preserve">a </w:t>
      </w:r>
      <w:r w:rsidRPr="00E12183">
        <w:rPr>
          <w:rFonts w:cs="Arial"/>
          <w:lang w:eastAsia="zh-CN"/>
        </w:rPr>
        <w:t xml:space="preserve">regional TVET plan and a </w:t>
      </w:r>
      <w:r w:rsidR="007168DD" w:rsidRPr="00E12183">
        <w:rPr>
          <w:rFonts w:cs="Arial"/>
          <w:lang w:eastAsia="zh-CN"/>
        </w:rPr>
        <w:t>long</w:t>
      </w:r>
      <w:r w:rsidR="007168DD">
        <w:rPr>
          <w:rFonts w:cs="Arial"/>
          <w:lang w:eastAsia="zh-CN"/>
        </w:rPr>
        <w:t>-</w:t>
      </w:r>
      <w:r w:rsidRPr="00E12183">
        <w:rPr>
          <w:rFonts w:cs="Arial"/>
          <w:lang w:eastAsia="zh-CN"/>
        </w:rPr>
        <w:t>term vision for APTC based on analysis of options</w:t>
      </w:r>
    </w:p>
    <w:p w14:paraId="07B367EF" w14:textId="7DF33485" w:rsidR="00360F26" w:rsidRPr="00E12183" w:rsidRDefault="00360F26" w:rsidP="00532FE2">
      <w:pPr>
        <w:numPr>
          <w:ilvl w:val="0"/>
          <w:numId w:val="29"/>
        </w:numPr>
        <w:spacing w:before="120"/>
        <w:contextualSpacing/>
        <w:rPr>
          <w:rFonts w:cs="Arial"/>
          <w:lang w:eastAsia="zh-CN"/>
        </w:rPr>
      </w:pPr>
      <w:r w:rsidRPr="00E12183">
        <w:rPr>
          <w:rFonts w:cs="Arial"/>
          <w:lang w:eastAsia="zh-CN"/>
        </w:rPr>
        <w:t>APTC prepares country-based and regional strategy</w:t>
      </w:r>
      <w:r w:rsidR="00742910">
        <w:rPr>
          <w:rFonts w:cs="Arial"/>
          <w:lang w:eastAsia="zh-CN"/>
        </w:rPr>
        <w:t xml:space="preserve"> plans</w:t>
      </w:r>
      <w:r w:rsidRPr="00E12183">
        <w:rPr>
          <w:rFonts w:cs="Arial"/>
          <w:lang w:eastAsia="zh-CN"/>
        </w:rPr>
        <w:t>; designs and introduces an improved M&amp;E system focused on economic impacts; introduces organisational efficiencies; increases nationalisation and prepares a realistic revenue plan.</w:t>
      </w:r>
    </w:p>
    <w:p w14:paraId="36D28C96" w14:textId="05543748" w:rsidR="00851E2E" w:rsidRDefault="00360F26" w:rsidP="00F364C9">
      <w:pPr>
        <w:spacing w:before="120"/>
        <w:ind w:left="709" w:hanging="709"/>
        <w:contextualSpacing/>
        <w:rPr>
          <w:rFonts w:cs="Arial"/>
          <w:b/>
          <w:bCs/>
          <w:color w:val="76923C"/>
          <w:sz w:val="24"/>
          <w:szCs w:val="28"/>
        </w:rPr>
      </w:pPr>
      <w:r w:rsidRPr="00E12183">
        <w:rPr>
          <w:rFonts w:cs="Arial"/>
          <w:b/>
          <w:color w:val="76923C"/>
        </w:rPr>
        <w:t>R.2</w:t>
      </w:r>
      <w:r>
        <w:rPr>
          <w:rFonts w:cs="Arial"/>
          <w:b/>
          <w:color w:val="76923C"/>
        </w:rPr>
        <w:t>3</w:t>
      </w:r>
      <w:r w:rsidRPr="00E12183">
        <w:rPr>
          <w:rFonts w:cs="Arial"/>
          <w:lang w:eastAsia="zh-CN"/>
        </w:rPr>
        <w:tab/>
        <w:t xml:space="preserve">DFAT bases the decision about a full third stage on an </w:t>
      </w:r>
      <w:r w:rsidR="007168DD">
        <w:rPr>
          <w:rFonts w:cs="Arial"/>
          <w:lang w:eastAsia="zh-CN"/>
        </w:rPr>
        <w:t>external</w:t>
      </w:r>
      <w:r w:rsidR="007168DD" w:rsidRPr="00E12183">
        <w:rPr>
          <w:rFonts w:cs="Arial"/>
          <w:lang w:eastAsia="zh-CN"/>
        </w:rPr>
        <w:t xml:space="preserve"> </w:t>
      </w:r>
      <w:r w:rsidRPr="00E12183">
        <w:rPr>
          <w:rFonts w:cs="Arial"/>
          <w:lang w:eastAsia="zh-CN"/>
        </w:rPr>
        <w:t xml:space="preserve">assessment </w:t>
      </w:r>
      <w:r w:rsidR="007168DD">
        <w:rPr>
          <w:rFonts w:cs="Arial"/>
          <w:lang w:eastAsia="zh-CN"/>
        </w:rPr>
        <w:br/>
      </w:r>
      <w:r w:rsidRPr="00E12183">
        <w:rPr>
          <w:rFonts w:cs="Arial"/>
          <w:lang w:eastAsia="zh-CN"/>
        </w:rPr>
        <w:t>of the strategic plan and APTC vision.</w:t>
      </w:r>
      <w:r w:rsidRPr="00E12183">
        <w:rPr>
          <w:rFonts w:cs="Arial"/>
          <w:vertAlign w:val="superscript"/>
          <w:lang w:eastAsia="zh-CN"/>
        </w:rPr>
        <w:footnoteReference w:id="62"/>
      </w:r>
    </w:p>
    <w:p w14:paraId="6741DA9C" w14:textId="05C02185" w:rsidR="00AF55E0" w:rsidRDefault="00954135" w:rsidP="009C76A7">
      <w:pPr>
        <w:pStyle w:val="Heading2"/>
      </w:pPr>
      <w:bookmarkStart w:id="110" w:name="_Toc278710582"/>
      <w:r w:rsidRPr="00954135">
        <w:t>Recommendations by issue</w:t>
      </w:r>
      <w:bookmarkEnd w:id="110"/>
    </w:p>
    <w:p w14:paraId="403193AF" w14:textId="687F86BD" w:rsidR="006E2947" w:rsidRPr="006E2947" w:rsidRDefault="006E2947" w:rsidP="009C76A7">
      <w:r>
        <w:t xml:space="preserve">The following table identifies each issue </w:t>
      </w:r>
      <w:r w:rsidR="00BC195F">
        <w:t xml:space="preserve">facing APTC </w:t>
      </w:r>
      <w:r>
        <w:t>and the review’s recommendations to address that issue.</w:t>
      </w:r>
    </w:p>
    <w:p w14:paraId="646C7A72" w14:textId="7124CD77" w:rsidR="00AF55E0" w:rsidRDefault="00954135" w:rsidP="009C76A7">
      <w:pPr>
        <w:pStyle w:val="Tableheading"/>
      </w:pPr>
      <w:bookmarkStart w:id="111" w:name="_Toc274832809"/>
      <w:r w:rsidRPr="00954135">
        <w:t xml:space="preserve">Table </w:t>
      </w:r>
      <w:r w:rsidR="00391C5E">
        <w:t>4</w:t>
      </w:r>
      <w:r w:rsidR="007624A3">
        <w:t>:</w:t>
      </w:r>
      <w:r w:rsidR="007624A3" w:rsidRPr="00954135">
        <w:t xml:space="preserve"> </w:t>
      </w:r>
      <w:r w:rsidRPr="00954135">
        <w:t>Issues and linked recommendations</w:t>
      </w:r>
      <w:bookmarkEnd w:id="111"/>
    </w:p>
    <w:tbl>
      <w:tblPr>
        <w:tblStyle w:val="TableGrid1"/>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6108"/>
      </w:tblGrid>
      <w:tr w:rsidR="00954135" w:rsidRPr="00CA6F37" w14:paraId="7A7CF7DF" w14:textId="77777777" w:rsidTr="00773FEA">
        <w:tc>
          <w:tcPr>
            <w:tcW w:w="2178" w:type="dxa"/>
            <w:shd w:val="clear" w:color="auto" w:fill="C5E0B3" w:themeFill="accent6" w:themeFillTint="66"/>
          </w:tcPr>
          <w:p w14:paraId="30A25735" w14:textId="2BEB4751" w:rsidR="00954135" w:rsidRPr="00CA6F37" w:rsidRDefault="00954135" w:rsidP="009C76A7">
            <w:pPr>
              <w:spacing w:before="40" w:after="40"/>
              <w:rPr>
                <w:rFonts w:eastAsia="Calibri" w:cs="Arial"/>
                <w:b/>
                <w:sz w:val="18"/>
                <w:szCs w:val="20"/>
                <w:lang w:val="en-AU"/>
              </w:rPr>
            </w:pPr>
            <w:r w:rsidRPr="00CA6F37">
              <w:rPr>
                <w:rFonts w:eastAsia="Calibri" w:cs="Arial"/>
                <w:b/>
                <w:sz w:val="18"/>
                <w:szCs w:val="20"/>
                <w:lang w:val="en-AU"/>
              </w:rPr>
              <w:t>Issue</w:t>
            </w:r>
          </w:p>
        </w:tc>
        <w:tc>
          <w:tcPr>
            <w:tcW w:w="6537" w:type="dxa"/>
            <w:shd w:val="clear" w:color="auto" w:fill="C5E0B3" w:themeFill="accent6" w:themeFillTint="66"/>
          </w:tcPr>
          <w:p w14:paraId="5EF86664" w14:textId="77777777" w:rsidR="00954135" w:rsidRPr="00CA6F37" w:rsidRDefault="00954135" w:rsidP="009C76A7">
            <w:pPr>
              <w:spacing w:before="40" w:after="40"/>
              <w:rPr>
                <w:rFonts w:eastAsia="Calibri" w:cs="Arial"/>
                <w:b/>
                <w:sz w:val="18"/>
                <w:szCs w:val="20"/>
                <w:lang w:val="en-AU"/>
              </w:rPr>
            </w:pPr>
            <w:r w:rsidRPr="00CA6F37">
              <w:rPr>
                <w:rFonts w:eastAsia="Calibri" w:cs="Arial"/>
                <w:b/>
                <w:sz w:val="18"/>
                <w:szCs w:val="20"/>
                <w:lang w:val="en-AU"/>
              </w:rPr>
              <w:t xml:space="preserve">Recommendations </w:t>
            </w:r>
            <w:r w:rsidRPr="00CA6F37">
              <w:rPr>
                <w:rFonts w:eastAsia="Calibri" w:cs="Arial"/>
                <w:sz w:val="18"/>
                <w:szCs w:val="20"/>
                <w:lang w:val="en-AU"/>
              </w:rPr>
              <w:t>(number in bold)</w:t>
            </w:r>
          </w:p>
        </w:tc>
      </w:tr>
      <w:tr w:rsidR="00954135" w:rsidRPr="00CA6F37" w14:paraId="62B1806F" w14:textId="77777777" w:rsidTr="00773FEA">
        <w:trPr>
          <w:trHeight w:val="1410"/>
        </w:trPr>
        <w:tc>
          <w:tcPr>
            <w:tcW w:w="2178" w:type="dxa"/>
            <w:tcBorders>
              <w:bottom w:val="single" w:sz="4" w:space="0" w:color="C5E0B3" w:themeColor="accent6" w:themeTint="66"/>
            </w:tcBorders>
          </w:tcPr>
          <w:p w14:paraId="273E1548" w14:textId="77777777"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Inadequate identification of labour market requirements and economic impact</w:t>
            </w:r>
          </w:p>
        </w:tc>
        <w:tc>
          <w:tcPr>
            <w:tcW w:w="6537" w:type="dxa"/>
            <w:tcBorders>
              <w:bottom w:val="single" w:sz="4" w:space="0" w:color="C5E0B3" w:themeColor="accent6" w:themeTint="66"/>
            </w:tcBorders>
          </w:tcPr>
          <w:p w14:paraId="13C33AF5" w14:textId="77777777" w:rsidR="00954135" w:rsidRPr="00CA6F37" w:rsidRDefault="00954135" w:rsidP="002607F4">
            <w:pPr>
              <w:numPr>
                <w:ilvl w:val="0"/>
                <w:numId w:val="6"/>
              </w:numPr>
              <w:spacing w:before="80" w:after="0"/>
              <w:ind w:left="357" w:hanging="357"/>
              <w:rPr>
                <w:rFonts w:eastAsia="Calibri" w:cs="Arial"/>
                <w:sz w:val="18"/>
                <w:szCs w:val="20"/>
                <w:lang w:val="en-AU"/>
              </w:rPr>
            </w:pPr>
            <w:r w:rsidRPr="00CA6F37">
              <w:rPr>
                <w:rFonts w:eastAsia="Calibri" w:cs="Arial"/>
                <w:sz w:val="18"/>
                <w:szCs w:val="20"/>
                <w:lang w:val="en-AU"/>
              </w:rPr>
              <w:t xml:space="preserve">APTC gives priority to identifying economic impact of its activities and outputs </w:t>
            </w:r>
            <w:r w:rsidRPr="00CA6F37">
              <w:rPr>
                <w:rFonts w:eastAsia="Calibri" w:cs="Arial"/>
                <w:b/>
                <w:sz w:val="18"/>
                <w:szCs w:val="20"/>
                <w:lang w:val="en-AU"/>
              </w:rPr>
              <w:t>R18</w:t>
            </w:r>
          </w:p>
          <w:p w14:paraId="43B98DA3" w14:textId="7C1BB647" w:rsidR="00954135" w:rsidRPr="00CA6F37" w:rsidRDefault="00954135" w:rsidP="00954135">
            <w:pPr>
              <w:numPr>
                <w:ilvl w:val="0"/>
                <w:numId w:val="6"/>
              </w:numPr>
              <w:spacing w:after="0"/>
              <w:contextualSpacing/>
              <w:rPr>
                <w:rFonts w:eastAsia="Calibri" w:cs="Arial"/>
                <w:sz w:val="18"/>
                <w:szCs w:val="20"/>
                <w:lang w:val="en-AU"/>
              </w:rPr>
            </w:pPr>
            <w:r w:rsidRPr="00CA6F37">
              <w:rPr>
                <w:rFonts w:eastAsia="Calibri" w:cs="Arial"/>
                <w:sz w:val="18"/>
                <w:szCs w:val="20"/>
                <w:lang w:val="en-AU"/>
              </w:rPr>
              <w:t xml:space="preserve">DFAT provides sufficient resources for proper labour market analysis </w:t>
            </w:r>
            <w:r w:rsidR="005D397A" w:rsidRPr="00CA6F37">
              <w:rPr>
                <w:rFonts w:eastAsia="Calibri" w:cs="Arial"/>
                <w:b/>
                <w:sz w:val="18"/>
                <w:szCs w:val="20"/>
                <w:lang w:val="en-AU"/>
              </w:rPr>
              <w:t>R</w:t>
            </w:r>
            <w:r w:rsidR="005D397A">
              <w:rPr>
                <w:rFonts w:eastAsia="Calibri" w:cs="Arial"/>
                <w:b/>
                <w:sz w:val="18"/>
                <w:szCs w:val="20"/>
                <w:lang w:val="en-AU"/>
              </w:rPr>
              <w:t>17</w:t>
            </w:r>
            <w:r w:rsidR="005D397A" w:rsidRPr="00CA6F37">
              <w:rPr>
                <w:rFonts w:eastAsia="Calibri" w:cs="Arial"/>
                <w:b/>
                <w:sz w:val="18"/>
                <w:szCs w:val="20"/>
                <w:lang w:val="en-AU"/>
              </w:rPr>
              <w:t xml:space="preserve"> </w:t>
            </w:r>
          </w:p>
          <w:p w14:paraId="407B8EBD" w14:textId="75F02EE4" w:rsidR="00954135" w:rsidRPr="00CA6F37" w:rsidRDefault="00954135" w:rsidP="00954135">
            <w:pPr>
              <w:numPr>
                <w:ilvl w:val="0"/>
                <w:numId w:val="6"/>
              </w:numPr>
              <w:spacing w:after="0"/>
              <w:contextualSpacing/>
              <w:rPr>
                <w:rFonts w:eastAsia="Calibri" w:cs="Arial"/>
                <w:sz w:val="18"/>
                <w:szCs w:val="20"/>
                <w:lang w:val="en-AU"/>
              </w:rPr>
            </w:pPr>
            <w:r w:rsidRPr="00CA6F37">
              <w:rPr>
                <w:rFonts w:eastAsia="Calibri" w:cs="Arial"/>
                <w:sz w:val="18"/>
                <w:szCs w:val="20"/>
                <w:lang w:val="en-AU"/>
              </w:rPr>
              <w:t xml:space="preserve">APTC prioritises graduate tracer studies on </w:t>
            </w:r>
            <w:r w:rsidR="00EE4DFB">
              <w:rPr>
                <w:rFonts w:eastAsia="Calibri" w:cs="Arial"/>
                <w:sz w:val="18"/>
                <w:szCs w:val="20"/>
                <w:lang w:val="en-AU"/>
              </w:rPr>
              <w:t xml:space="preserve">employment </w:t>
            </w:r>
            <w:r w:rsidRPr="00CA6F37">
              <w:rPr>
                <w:rFonts w:eastAsia="Calibri" w:cs="Arial"/>
                <w:sz w:val="18"/>
                <w:szCs w:val="20"/>
                <w:lang w:val="en-AU"/>
              </w:rPr>
              <w:t>outcomes by qualification</w:t>
            </w:r>
            <w:r w:rsidR="00EE4DFB">
              <w:rPr>
                <w:rFonts w:eastAsia="Calibri" w:cs="Arial"/>
                <w:sz w:val="18"/>
                <w:szCs w:val="20"/>
                <w:lang w:val="en-AU"/>
              </w:rPr>
              <w:t xml:space="preserve"> gender and nationality</w:t>
            </w:r>
            <w:r w:rsidRPr="00CA6F37">
              <w:rPr>
                <w:rFonts w:eastAsia="Calibri" w:cs="Arial"/>
                <w:sz w:val="18"/>
                <w:szCs w:val="20"/>
                <w:lang w:val="en-AU"/>
              </w:rPr>
              <w:t xml:space="preserve"> </w:t>
            </w:r>
            <w:r w:rsidR="005D397A" w:rsidRPr="00CA6F37">
              <w:rPr>
                <w:rFonts w:eastAsia="Calibri" w:cs="Arial"/>
                <w:b/>
                <w:sz w:val="18"/>
                <w:szCs w:val="20"/>
                <w:lang w:val="en-AU"/>
              </w:rPr>
              <w:t>R</w:t>
            </w:r>
            <w:r w:rsidR="005D397A">
              <w:rPr>
                <w:rFonts w:eastAsia="Calibri" w:cs="Arial"/>
                <w:b/>
                <w:sz w:val="18"/>
                <w:szCs w:val="20"/>
                <w:lang w:val="en-AU"/>
              </w:rPr>
              <w:t>17</w:t>
            </w:r>
            <w:r w:rsidR="005D397A" w:rsidRPr="00CA6F37">
              <w:rPr>
                <w:rFonts w:eastAsia="Calibri" w:cs="Arial"/>
                <w:b/>
                <w:sz w:val="18"/>
                <w:szCs w:val="20"/>
                <w:lang w:val="en-AU"/>
              </w:rPr>
              <w:t xml:space="preserve"> </w:t>
            </w:r>
          </w:p>
          <w:p w14:paraId="5F1FD169" w14:textId="1FB3D402" w:rsidR="00954135" w:rsidRPr="00CA6F37" w:rsidRDefault="00954135" w:rsidP="005D397A">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strengthens employer databases and provides more support for unemployed graduates </w:t>
            </w:r>
            <w:r w:rsidR="005D397A" w:rsidRPr="00CA6F37">
              <w:rPr>
                <w:rFonts w:eastAsia="Calibri" w:cs="Arial"/>
                <w:b/>
                <w:sz w:val="18"/>
                <w:szCs w:val="20"/>
                <w:lang w:val="en-AU"/>
              </w:rPr>
              <w:t>R</w:t>
            </w:r>
            <w:r w:rsidR="005D397A">
              <w:rPr>
                <w:rFonts w:eastAsia="Calibri" w:cs="Arial"/>
                <w:b/>
                <w:sz w:val="18"/>
                <w:szCs w:val="20"/>
                <w:lang w:val="en-AU"/>
              </w:rPr>
              <w:t>17</w:t>
            </w:r>
          </w:p>
        </w:tc>
      </w:tr>
      <w:tr w:rsidR="00954135" w:rsidRPr="00CA6F37" w14:paraId="0DC00D9B" w14:textId="77777777" w:rsidTr="00773FEA">
        <w:tc>
          <w:tcPr>
            <w:tcW w:w="2178" w:type="dxa"/>
            <w:tcBorders>
              <w:top w:val="single" w:sz="4" w:space="0" w:color="C5E0B3" w:themeColor="accent6" w:themeTint="66"/>
              <w:bottom w:val="single" w:sz="4" w:space="0" w:color="C5E0B3" w:themeColor="accent6" w:themeTint="66"/>
            </w:tcBorders>
          </w:tcPr>
          <w:p w14:paraId="4E99139D" w14:textId="470CCB3F"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 xml:space="preserve">Lack of labour mobility among </w:t>
            </w:r>
            <w:r w:rsidR="004866BA">
              <w:rPr>
                <w:rFonts w:eastAsia="Calibri" w:cs="Arial"/>
                <w:b/>
                <w:sz w:val="18"/>
                <w:szCs w:val="20"/>
              </w:rPr>
              <w:br/>
            </w:r>
            <w:r w:rsidRPr="009C76A7">
              <w:rPr>
                <w:rFonts w:eastAsia="Calibri" w:cs="Arial"/>
                <w:b/>
                <w:sz w:val="18"/>
                <w:szCs w:val="20"/>
              </w:rPr>
              <w:t>APTC graduates</w:t>
            </w:r>
          </w:p>
        </w:tc>
        <w:tc>
          <w:tcPr>
            <w:tcW w:w="6537" w:type="dxa"/>
            <w:tcBorders>
              <w:top w:val="single" w:sz="4" w:space="0" w:color="C5E0B3" w:themeColor="accent6" w:themeTint="66"/>
              <w:bottom w:val="single" w:sz="4" w:space="0" w:color="C5E0B3" w:themeColor="accent6" w:themeTint="66"/>
            </w:tcBorders>
          </w:tcPr>
          <w:p w14:paraId="61926073" w14:textId="4262608E" w:rsidR="00954135" w:rsidRPr="00CA6F37" w:rsidRDefault="0080480E" w:rsidP="002607F4">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DFAT</w:t>
            </w:r>
            <w:r w:rsidR="007A0782" w:rsidRPr="00CA6F37">
              <w:rPr>
                <w:rFonts w:eastAsia="Calibri" w:cs="Arial"/>
                <w:sz w:val="18"/>
                <w:szCs w:val="20"/>
                <w:lang w:val="en-AU"/>
              </w:rPr>
              <w:t xml:space="preserve"> </w:t>
            </w:r>
            <w:r w:rsidRPr="00CA6F37">
              <w:rPr>
                <w:rFonts w:eastAsia="Calibri" w:cs="Arial"/>
                <w:sz w:val="18"/>
                <w:szCs w:val="20"/>
                <w:lang w:val="en-AU"/>
              </w:rPr>
              <w:t>clarifies</w:t>
            </w:r>
            <w:r w:rsidR="00954135" w:rsidRPr="00CA6F37">
              <w:rPr>
                <w:rFonts w:eastAsia="Calibri" w:cs="Arial"/>
                <w:sz w:val="18"/>
                <w:szCs w:val="20"/>
                <w:lang w:val="en-AU"/>
              </w:rPr>
              <w:t xml:space="preserve"> its expectations of APTC on labour mobility</w:t>
            </w:r>
            <w:r w:rsidR="00954135" w:rsidRPr="00CA6F37">
              <w:rPr>
                <w:rFonts w:eastAsia="Calibri" w:cs="Arial"/>
                <w:sz w:val="18"/>
                <w:lang w:val="en-AU"/>
              </w:rPr>
              <w:t xml:space="preserve"> </w:t>
            </w:r>
            <w:r w:rsidR="00954135" w:rsidRPr="00CA6F37">
              <w:rPr>
                <w:rFonts w:eastAsia="Calibri" w:cs="Arial"/>
                <w:sz w:val="18"/>
                <w:szCs w:val="20"/>
                <w:lang w:val="en-AU"/>
              </w:rPr>
              <w:t xml:space="preserve">and engages with Australian immigration authorities to reach a coordinated approach to promoting labour mobility in the Pacific </w:t>
            </w:r>
            <w:r w:rsidR="00954135" w:rsidRPr="00CA6F37">
              <w:rPr>
                <w:rFonts w:eastAsia="Calibri" w:cs="Arial"/>
                <w:b/>
                <w:sz w:val="18"/>
                <w:szCs w:val="20"/>
                <w:lang w:val="en-AU"/>
              </w:rPr>
              <w:t>R1</w:t>
            </w:r>
            <w:r w:rsidR="005D397A">
              <w:rPr>
                <w:rFonts w:eastAsia="Calibri" w:cs="Arial"/>
                <w:b/>
                <w:sz w:val="18"/>
                <w:szCs w:val="20"/>
                <w:lang w:val="en-AU"/>
              </w:rPr>
              <w:t>1</w:t>
            </w:r>
          </w:p>
          <w:p w14:paraId="478B03A1" w14:textId="531EFF40"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information to students and graduates about migration processes, requirements and costs, including eligible qualifications </w:t>
            </w:r>
            <w:r w:rsidRPr="00CA6F37">
              <w:rPr>
                <w:rFonts w:eastAsia="Calibri" w:cs="Arial"/>
                <w:b/>
                <w:sz w:val="18"/>
                <w:szCs w:val="20"/>
                <w:lang w:val="en-AU"/>
              </w:rPr>
              <w:t>R1</w:t>
            </w:r>
            <w:r w:rsidR="005D397A">
              <w:rPr>
                <w:rFonts w:eastAsia="Calibri" w:cs="Arial"/>
                <w:b/>
                <w:sz w:val="18"/>
                <w:szCs w:val="20"/>
                <w:lang w:val="en-AU"/>
              </w:rPr>
              <w:t>2</w:t>
            </w:r>
          </w:p>
          <w:p w14:paraId="3B1707E3" w14:textId="67332805"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support to students/graduates wishing to migrate, in part through language testing </w:t>
            </w:r>
            <w:r w:rsidRPr="00CA6F37">
              <w:rPr>
                <w:rFonts w:eastAsia="Calibri" w:cs="Arial"/>
                <w:b/>
                <w:sz w:val="18"/>
                <w:szCs w:val="20"/>
                <w:lang w:val="en-AU"/>
              </w:rPr>
              <w:t>R1</w:t>
            </w:r>
            <w:r w:rsidR="005D397A">
              <w:rPr>
                <w:rFonts w:eastAsia="Calibri" w:cs="Arial"/>
                <w:b/>
                <w:sz w:val="18"/>
                <w:szCs w:val="20"/>
                <w:lang w:val="en-AU"/>
              </w:rPr>
              <w:t>3</w:t>
            </w:r>
          </w:p>
          <w:p w14:paraId="7D96657B" w14:textId="309325A1"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provides links with employers in Australia and New Zealand </w:t>
            </w:r>
            <w:r w:rsidRPr="00CA6F37">
              <w:rPr>
                <w:rFonts w:eastAsia="Calibri" w:cs="Arial"/>
                <w:b/>
                <w:sz w:val="18"/>
                <w:szCs w:val="20"/>
                <w:lang w:val="en-AU"/>
              </w:rPr>
              <w:t>R1</w:t>
            </w:r>
            <w:r w:rsidR="005D397A">
              <w:rPr>
                <w:rFonts w:eastAsia="Calibri" w:cs="Arial"/>
                <w:b/>
                <w:sz w:val="18"/>
                <w:szCs w:val="20"/>
                <w:lang w:val="en-AU"/>
              </w:rPr>
              <w:t>4</w:t>
            </w:r>
          </w:p>
        </w:tc>
      </w:tr>
      <w:tr w:rsidR="00954135" w:rsidRPr="00CA6F37" w14:paraId="697A2B72" w14:textId="77777777" w:rsidTr="00773FEA">
        <w:trPr>
          <w:trHeight w:val="347"/>
        </w:trPr>
        <w:tc>
          <w:tcPr>
            <w:tcW w:w="2178" w:type="dxa"/>
            <w:tcBorders>
              <w:top w:val="single" w:sz="4" w:space="0" w:color="C5E0B3" w:themeColor="accent6" w:themeTint="66"/>
              <w:bottom w:val="single" w:sz="4" w:space="0" w:color="C5E0B3" w:themeColor="accent6" w:themeTint="66"/>
            </w:tcBorders>
          </w:tcPr>
          <w:p w14:paraId="1BD6B8C5" w14:textId="77777777"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 xml:space="preserve">Geographical inequities </w:t>
            </w:r>
          </w:p>
        </w:tc>
        <w:tc>
          <w:tcPr>
            <w:tcW w:w="6537" w:type="dxa"/>
            <w:tcBorders>
              <w:top w:val="single" w:sz="4" w:space="0" w:color="C5E0B3" w:themeColor="accent6" w:themeTint="66"/>
              <w:bottom w:val="single" w:sz="4" w:space="0" w:color="C5E0B3" w:themeColor="accent6" w:themeTint="66"/>
            </w:tcBorders>
          </w:tcPr>
          <w:p w14:paraId="177B1FA8" w14:textId="181754DA" w:rsidR="00954135" w:rsidRPr="00CA6F37" w:rsidRDefault="00954135" w:rsidP="002607F4">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APTC creates more training places for PNG and S</w:t>
            </w:r>
            <w:r w:rsidR="007A0782" w:rsidRPr="00CA6F37">
              <w:rPr>
                <w:rFonts w:eastAsia="Calibri" w:cs="Arial"/>
                <w:sz w:val="18"/>
                <w:szCs w:val="20"/>
                <w:lang w:val="en-AU"/>
              </w:rPr>
              <w:t xml:space="preserve">olomon </w:t>
            </w:r>
            <w:r w:rsidRPr="00CA6F37">
              <w:rPr>
                <w:rFonts w:eastAsia="Calibri" w:cs="Arial"/>
                <w:sz w:val="18"/>
                <w:szCs w:val="20"/>
                <w:lang w:val="en-AU"/>
              </w:rPr>
              <w:t>I</w:t>
            </w:r>
            <w:r w:rsidR="007A0782" w:rsidRPr="00CA6F37">
              <w:rPr>
                <w:rFonts w:eastAsia="Calibri" w:cs="Arial"/>
                <w:sz w:val="18"/>
                <w:szCs w:val="20"/>
                <w:lang w:val="en-AU"/>
              </w:rPr>
              <w:t>slands</w:t>
            </w:r>
            <w:r w:rsidRPr="00CA6F37">
              <w:rPr>
                <w:rFonts w:eastAsia="Calibri" w:cs="Arial"/>
                <w:sz w:val="18"/>
                <w:szCs w:val="20"/>
                <w:lang w:val="en-AU"/>
              </w:rPr>
              <w:t xml:space="preserve"> nationals </w:t>
            </w:r>
            <w:r w:rsidRPr="00CA6F37">
              <w:rPr>
                <w:rFonts w:eastAsia="Calibri" w:cs="Arial"/>
                <w:b/>
                <w:sz w:val="18"/>
                <w:szCs w:val="20"/>
                <w:lang w:val="en-AU"/>
              </w:rPr>
              <w:t>R1</w:t>
            </w:r>
            <w:r w:rsidR="00593193">
              <w:rPr>
                <w:rFonts w:eastAsia="Calibri" w:cs="Arial"/>
                <w:b/>
                <w:sz w:val="18"/>
                <w:szCs w:val="20"/>
                <w:lang w:val="en-AU"/>
              </w:rPr>
              <w:t>0</w:t>
            </w:r>
          </w:p>
        </w:tc>
      </w:tr>
      <w:tr w:rsidR="00954135" w:rsidRPr="00CA6F37" w14:paraId="5967DA62" w14:textId="77777777" w:rsidTr="00773FEA">
        <w:tc>
          <w:tcPr>
            <w:tcW w:w="2178" w:type="dxa"/>
            <w:tcBorders>
              <w:top w:val="single" w:sz="4" w:space="0" w:color="C5E0B3" w:themeColor="accent6" w:themeTint="66"/>
              <w:bottom w:val="single" w:sz="4" w:space="0" w:color="C5E0B3" w:themeColor="accent6" w:themeTint="66"/>
            </w:tcBorders>
          </w:tcPr>
          <w:p w14:paraId="0EE1B631" w14:textId="77777777"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 xml:space="preserve">Weak strategic planning regionally and by campus country </w:t>
            </w:r>
          </w:p>
        </w:tc>
        <w:tc>
          <w:tcPr>
            <w:tcW w:w="6537" w:type="dxa"/>
            <w:tcBorders>
              <w:top w:val="single" w:sz="4" w:space="0" w:color="C5E0B3" w:themeColor="accent6" w:themeTint="66"/>
              <w:bottom w:val="single" w:sz="4" w:space="0" w:color="C5E0B3" w:themeColor="accent6" w:themeTint="66"/>
            </w:tcBorders>
          </w:tcPr>
          <w:p w14:paraId="0417405C" w14:textId="5A3D5F20" w:rsidR="00954135" w:rsidRPr="00CA6F37" w:rsidRDefault="00954135" w:rsidP="002607F4">
            <w:pPr>
              <w:numPr>
                <w:ilvl w:val="0"/>
                <w:numId w:val="4"/>
              </w:numPr>
              <w:spacing w:before="80" w:after="0"/>
              <w:ind w:left="357" w:hanging="357"/>
              <w:rPr>
                <w:rFonts w:eastAsia="Calibri" w:cs="Arial"/>
                <w:sz w:val="18"/>
                <w:szCs w:val="20"/>
                <w:lang w:val="en-AU"/>
              </w:rPr>
            </w:pPr>
            <w:r w:rsidRPr="00CA6F37">
              <w:rPr>
                <w:rFonts w:eastAsia="Calibri" w:cs="Arial"/>
                <w:sz w:val="18"/>
                <w:szCs w:val="20"/>
                <w:lang w:val="en-AU"/>
              </w:rPr>
              <w:t>DFAT consults with stakeholders on a regional TVET strategy and defines its long-</w:t>
            </w:r>
            <w:r w:rsidR="00DD73F8">
              <w:rPr>
                <w:rFonts w:eastAsia="Calibri" w:cs="Arial"/>
                <w:sz w:val="18"/>
                <w:szCs w:val="20"/>
                <w:lang w:val="en-AU"/>
              </w:rPr>
              <w:t>term</w:t>
            </w:r>
            <w:r w:rsidRPr="00CA6F37">
              <w:rPr>
                <w:rFonts w:eastAsia="Calibri" w:cs="Arial"/>
                <w:sz w:val="18"/>
                <w:szCs w:val="20"/>
                <w:lang w:val="en-AU"/>
              </w:rPr>
              <w:t xml:space="preserve"> vision and strategy for APTC </w:t>
            </w:r>
            <w:r w:rsidRPr="00CA6F37">
              <w:rPr>
                <w:rFonts w:eastAsia="Calibri" w:cs="Arial"/>
                <w:b/>
                <w:sz w:val="18"/>
                <w:szCs w:val="20"/>
                <w:lang w:val="en-AU"/>
              </w:rPr>
              <w:t>R1</w:t>
            </w:r>
          </w:p>
          <w:p w14:paraId="0B0CB2A3" w14:textId="521EEDFC" w:rsidR="00954135" w:rsidRPr="00CA6F37" w:rsidRDefault="00954135" w:rsidP="00954135">
            <w:pPr>
              <w:numPr>
                <w:ilvl w:val="0"/>
                <w:numId w:val="4"/>
              </w:numPr>
              <w:spacing w:after="0"/>
              <w:contextualSpacing/>
              <w:rPr>
                <w:rFonts w:eastAsia="Calibri" w:cs="Arial"/>
                <w:sz w:val="18"/>
                <w:szCs w:val="20"/>
                <w:lang w:val="en-AU"/>
              </w:rPr>
            </w:pPr>
            <w:r w:rsidRPr="00CA6F37">
              <w:rPr>
                <w:rFonts w:eastAsia="Calibri" w:cs="Arial"/>
                <w:sz w:val="18"/>
                <w:szCs w:val="20"/>
                <w:lang w:val="en-AU"/>
              </w:rPr>
              <w:t xml:space="preserve">DFAT assesses the economic demand for skills as part of the regional strategy </w:t>
            </w:r>
            <w:r w:rsidRPr="00CA6F37">
              <w:rPr>
                <w:rFonts w:eastAsia="Calibri" w:cs="Arial"/>
                <w:b/>
                <w:sz w:val="18"/>
                <w:szCs w:val="20"/>
                <w:lang w:val="en-AU"/>
              </w:rPr>
              <w:t>R</w:t>
            </w:r>
            <w:r w:rsidR="00593193">
              <w:rPr>
                <w:rFonts w:eastAsia="Calibri" w:cs="Arial"/>
                <w:b/>
                <w:sz w:val="18"/>
                <w:szCs w:val="20"/>
                <w:lang w:val="en-AU"/>
              </w:rPr>
              <w:t>21</w:t>
            </w:r>
          </w:p>
          <w:p w14:paraId="012DC6F3" w14:textId="77777777"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prepares country-specific strategic plans </w:t>
            </w:r>
            <w:r w:rsidRPr="00CA6F37">
              <w:rPr>
                <w:rFonts w:eastAsia="Calibri" w:cs="Arial"/>
                <w:b/>
                <w:sz w:val="18"/>
                <w:szCs w:val="20"/>
                <w:lang w:val="en-AU"/>
              </w:rPr>
              <w:t>R2</w:t>
            </w:r>
          </w:p>
          <w:p w14:paraId="54360070" w14:textId="079CBEA2"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DFAT establishes Country Consultative Forums </w:t>
            </w:r>
            <w:r w:rsidR="002C2BE0" w:rsidRPr="00CA6F37">
              <w:rPr>
                <w:rFonts w:eastAsia="Calibri" w:cs="Arial"/>
                <w:b/>
                <w:sz w:val="18"/>
                <w:szCs w:val="20"/>
                <w:lang w:val="en-AU"/>
              </w:rPr>
              <w:t>R</w:t>
            </w:r>
            <w:r w:rsidR="002C2BE0">
              <w:rPr>
                <w:rFonts w:eastAsia="Calibri" w:cs="Arial"/>
                <w:b/>
                <w:sz w:val="18"/>
                <w:szCs w:val="20"/>
                <w:lang w:val="en-AU"/>
              </w:rPr>
              <w:t>8</w:t>
            </w:r>
          </w:p>
          <w:p w14:paraId="36BBB051" w14:textId="4D1D99D6" w:rsidR="00954135" w:rsidRPr="00CA6F37" w:rsidRDefault="00954135" w:rsidP="00593193">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DFAT draws regional forum members from </w:t>
            </w:r>
            <w:r w:rsidR="00593193">
              <w:rPr>
                <w:rFonts w:eastAsia="Calibri" w:cs="Arial"/>
                <w:sz w:val="18"/>
                <w:szCs w:val="20"/>
                <w:lang w:val="en-AU"/>
              </w:rPr>
              <w:t>C</w:t>
            </w:r>
            <w:r w:rsidR="00593193" w:rsidRPr="00CA6F37">
              <w:rPr>
                <w:rFonts w:eastAsia="Calibri" w:cs="Arial"/>
                <w:sz w:val="18"/>
                <w:szCs w:val="20"/>
                <w:lang w:val="en-AU"/>
              </w:rPr>
              <w:t xml:space="preserve">ountry </w:t>
            </w:r>
            <w:r w:rsidR="00593193">
              <w:rPr>
                <w:rFonts w:eastAsia="Calibri" w:cs="Arial"/>
                <w:sz w:val="18"/>
                <w:szCs w:val="20"/>
                <w:lang w:val="en-AU"/>
              </w:rPr>
              <w:t>F</w:t>
            </w:r>
            <w:r w:rsidR="00593193" w:rsidRPr="00CA6F37">
              <w:rPr>
                <w:rFonts w:eastAsia="Calibri" w:cs="Arial"/>
                <w:sz w:val="18"/>
                <w:szCs w:val="20"/>
                <w:lang w:val="en-AU"/>
              </w:rPr>
              <w:t xml:space="preserve">orums </w:t>
            </w:r>
            <w:r w:rsidRPr="00CA6F37">
              <w:rPr>
                <w:rFonts w:eastAsia="Calibri" w:cs="Arial"/>
                <w:b/>
                <w:sz w:val="18"/>
                <w:szCs w:val="20"/>
                <w:lang w:val="en-AU"/>
              </w:rPr>
              <w:t>R</w:t>
            </w:r>
            <w:r w:rsidR="002C2BE0">
              <w:rPr>
                <w:rFonts w:eastAsia="Calibri" w:cs="Arial"/>
                <w:b/>
                <w:sz w:val="18"/>
                <w:szCs w:val="20"/>
                <w:lang w:val="en-AU"/>
              </w:rPr>
              <w:t>8</w:t>
            </w:r>
          </w:p>
        </w:tc>
      </w:tr>
      <w:tr w:rsidR="00954135" w:rsidRPr="00CA6F37" w14:paraId="3A85DFC1" w14:textId="77777777" w:rsidTr="00773FEA">
        <w:tc>
          <w:tcPr>
            <w:tcW w:w="2178" w:type="dxa"/>
            <w:tcBorders>
              <w:top w:val="single" w:sz="4" w:space="0" w:color="C5E0B3" w:themeColor="accent6" w:themeTint="66"/>
              <w:bottom w:val="single" w:sz="4" w:space="0" w:color="C5E0B3" w:themeColor="accent6" w:themeTint="66"/>
            </w:tcBorders>
          </w:tcPr>
          <w:p w14:paraId="0031BBF8" w14:textId="77777777"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Organisational inefficiencies</w:t>
            </w:r>
          </w:p>
        </w:tc>
        <w:tc>
          <w:tcPr>
            <w:tcW w:w="6537" w:type="dxa"/>
            <w:tcBorders>
              <w:top w:val="single" w:sz="4" w:space="0" w:color="C5E0B3" w:themeColor="accent6" w:themeTint="66"/>
              <w:bottom w:val="single" w:sz="4" w:space="0" w:color="C5E0B3" w:themeColor="accent6" w:themeTint="66"/>
            </w:tcBorders>
          </w:tcPr>
          <w:p w14:paraId="0F04CED2" w14:textId="4C9B5007" w:rsidR="00954135" w:rsidRPr="00CA6F37" w:rsidRDefault="00954135" w:rsidP="002607F4">
            <w:pPr>
              <w:numPr>
                <w:ilvl w:val="0"/>
                <w:numId w:val="5"/>
              </w:numPr>
              <w:spacing w:before="80" w:after="0"/>
              <w:ind w:left="357" w:hanging="357"/>
              <w:rPr>
                <w:rFonts w:eastAsia="Calibri" w:cs="Arial"/>
                <w:sz w:val="18"/>
                <w:szCs w:val="20"/>
                <w:lang w:val="en-AU"/>
              </w:rPr>
            </w:pPr>
            <w:r w:rsidRPr="00CA6F37">
              <w:rPr>
                <w:rFonts w:eastAsia="Calibri" w:cs="Arial"/>
                <w:sz w:val="18"/>
                <w:szCs w:val="20"/>
                <w:lang w:val="en-AU"/>
              </w:rPr>
              <w:t>DFAT contracts with a single RTO</w:t>
            </w:r>
            <w:r w:rsidR="008F4232" w:rsidRPr="00CA6F37">
              <w:rPr>
                <w:rFonts w:eastAsia="Calibri" w:cs="Arial"/>
                <w:sz w:val="18"/>
                <w:szCs w:val="20"/>
                <w:lang w:val="en-AU"/>
              </w:rPr>
              <w:t xml:space="preserve"> to</w:t>
            </w:r>
            <w:r w:rsidR="007D2506" w:rsidRPr="00CA6F37">
              <w:rPr>
                <w:rFonts w:eastAsia="Calibri" w:cs="Arial"/>
                <w:sz w:val="18"/>
                <w:szCs w:val="20"/>
              </w:rPr>
              <w:t xml:space="preserve"> implement a single set of educational policies, procedures and processes and separates the administrative/</w:t>
            </w:r>
            <w:r w:rsidR="00BC195F">
              <w:rPr>
                <w:rFonts w:eastAsia="Calibri" w:cs="Arial"/>
                <w:sz w:val="18"/>
                <w:szCs w:val="20"/>
              </w:rPr>
              <w:t xml:space="preserve"> </w:t>
            </w:r>
            <w:r w:rsidR="007D2506" w:rsidRPr="00CA6F37">
              <w:rPr>
                <w:rFonts w:eastAsia="Calibri" w:cs="Arial"/>
                <w:sz w:val="18"/>
                <w:szCs w:val="20"/>
              </w:rPr>
              <w:t>employment funct</w:t>
            </w:r>
            <w:r w:rsidR="00624088">
              <w:rPr>
                <w:rFonts w:eastAsia="Calibri" w:cs="Arial"/>
                <w:sz w:val="18"/>
                <w:szCs w:val="20"/>
              </w:rPr>
              <w:t>ion from the education function</w:t>
            </w:r>
            <w:r w:rsidRPr="00CA6F37">
              <w:rPr>
                <w:rFonts w:eastAsia="Calibri" w:cs="Arial"/>
                <w:sz w:val="18"/>
                <w:szCs w:val="20"/>
                <w:lang w:val="en-AU"/>
              </w:rPr>
              <w:t xml:space="preserve"> </w:t>
            </w:r>
            <w:r w:rsidRPr="00CA6F37">
              <w:rPr>
                <w:rFonts w:eastAsia="Calibri" w:cs="Arial"/>
                <w:b/>
                <w:sz w:val="18"/>
                <w:szCs w:val="20"/>
                <w:lang w:val="en-AU"/>
              </w:rPr>
              <w:t>R3</w:t>
            </w:r>
          </w:p>
          <w:p w14:paraId="467F0AD5" w14:textId="03A3951E" w:rsidR="00954135" w:rsidRPr="00CA6F37" w:rsidRDefault="00954135" w:rsidP="00954135">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strengthens the authority of the CEO and country managers </w:t>
            </w:r>
            <w:r w:rsidR="00524ED8" w:rsidRPr="00CA6F37">
              <w:rPr>
                <w:rFonts w:eastAsia="Calibri" w:cs="Arial"/>
                <w:b/>
                <w:sz w:val="18"/>
                <w:szCs w:val="20"/>
                <w:lang w:val="en-AU"/>
              </w:rPr>
              <w:t>R</w:t>
            </w:r>
            <w:r w:rsidR="00524ED8">
              <w:rPr>
                <w:rFonts w:eastAsia="Calibri" w:cs="Arial"/>
                <w:b/>
                <w:sz w:val="18"/>
                <w:szCs w:val="20"/>
                <w:lang w:val="en-AU"/>
              </w:rPr>
              <w:t>4</w:t>
            </w:r>
          </w:p>
          <w:p w14:paraId="12CF6C99" w14:textId="359C425E" w:rsidR="00954135" w:rsidRPr="00CA6F37" w:rsidRDefault="00954135" w:rsidP="00524ED8">
            <w:pPr>
              <w:numPr>
                <w:ilvl w:val="0"/>
                <w:numId w:val="5"/>
              </w:numPr>
              <w:spacing w:after="0"/>
              <w:contextualSpacing/>
              <w:rPr>
                <w:rFonts w:eastAsia="Calibri" w:cs="Arial"/>
                <w:sz w:val="18"/>
                <w:szCs w:val="20"/>
                <w:lang w:val="en-AU"/>
              </w:rPr>
            </w:pPr>
            <w:r w:rsidRPr="00CA6F37">
              <w:rPr>
                <w:rFonts w:eastAsia="Calibri" w:cs="Arial"/>
                <w:sz w:val="18"/>
                <w:szCs w:val="20"/>
                <w:lang w:val="en-AU"/>
              </w:rPr>
              <w:t xml:space="preserve">APTC rationalises the organisational structure and locations to eliminate duplications </w:t>
            </w:r>
            <w:r w:rsidR="00524ED8" w:rsidRPr="00CA6F37">
              <w:rPr>
                <w:rFonts w:eastAsia="Calibri" w:cs="Arial"/>
                <w:b/>
                <w:sz w:val="18"/>
                <w:szCs w:val="20"/>
                <w:lang w:val="en-AU"/>
              </w:rPr>
              <w:t>R</w:t>
            </w:r>
            <w:r w:rsidR="00524ED8">
              <w:rPr>
                <w:rFonts w:eastAsia="Calibri" w:cs="Arial"/>
                <w:b/>
                <w:sz w:val="18"/>
                <w:szCs w:val="20"/>
                <w:lang w:val="en-AU"/>
              </w:rPr>
              <w:t>5</w:t>
            </w:r>
          </w:p>
        </w:tc>
      </w:tr>
      <w:tr w:rsidR="00954135" w:rsidRPr="00CA6F37" w14:paraId="611DABC2" w14:textId="77777777" w:rsidTr="00773FEA">
        <w:tc>
          <w:tcPr>
            <w:tcW w:w="2178" w:type="dxa"/>
            <w:tcBorders>
              <w:top w:val="single" w:sz="4" w:space="0" w:color="C5E0B3" w:themeColor="accent6" w:themeTint="66"/>
              <w:bottom w:val="single" w:sz="4" w:space="0" w:color="C5E0B3" w:themeColor="accent6" w:themeTint="66"/>
            </w:tcBorders>
          </w:tcPr>
          <w:p w14:paraId="3CE5D577" w14:textId="77777777" w:rsidR="00954135" w:rsidRPr="009C76A7" w:rsidRDefault="00954135" w:rsidP="002607F4">
            <w:pPr>
              <w:spacing w:before="80" w:after="80"/>
              <w:rPr>
                <w:rFonts w:eastAsia="Calibri" w:cs="Arial"/>
                <w:b/>
                <w:sz w:val="18"/>
                <w:szCs w:val="20"/>
                <w:lang w:val="en-AU"/>
              </w:rPr>
            </w:pPr>
            <w:r w:rsidRPr="009C76A7">
              <w:rPr>
                <w:rFonts w:eastAsia="Calibri" w:cs="Arial"/>
                <w:b/>
                <w:sz w:val="18"/>
                <w:szCs w:val="20"/>
              </w:rPr>
              <w:t>High unit costs</w:t>
            </w:r>
          </w:p>
          <w:p w14:paraId="583B14B7" w14:textId="77777777" w:rsidR="00954135" w:rsidRPr="009C76A7" w:rsidRDefault="00954135" w:rsidP="002607F4">
            <w:pPr>
              <w:spacing w:before="80" w:after="80"/>
              <w:rPr>
                <w:rFonts w:eastAsia="Calibri" w:cs="Arial"/>
                <w:b/>
                <w:sz w:val="18"/>
                <w:szCs w:val="20"/>
                <w:lang w:val="en-AU"/>
              </w:rPr>
            </w:pPr>
          </w:p>
        </w:tc>
        <w:tc>
          <w:tcPr>
            <w:tcW w:w="6537" w:type="dxa"/>
            <w:tcBorders>
              <w:top w:val="single" w:sz="4" w:space="0" w:color="C5E0B3" w:themeColor="accent6" w:themeTint="66"/>
              <w:bottom w:val="single" w:sz="4" w:space="0" w:color="C5E0B3" w:themeColor="accent6" w:themeTint="66"/>
            </w:tcBorders>
          </w:tcPr>
          <w:p w14:paraId="6D968C31" w14:textId="46AAD8E7" w:rsidR="00954135" w:rsidRPr="00CA6F37" w:rsidRDefault="00954135" w:rsidP="002607F4">
            <w:pPr>
              <w:spacing w:before="80" w:after="0"/>
              <w:rPr>
                <w:rFonts w:eastAsia="Calibri" w:cs="Arial"/>
                <w:b/>
                <w:sz w:val="18"/>
                <w:szCs w:val="20"/>
                <w:lang w:val="en-AU"/>
              </w:rPr>
            </w:pPr>
            <w:r w:rsidRPr="00CA6F37">
              <w:rPr>
                <w:rFonts w:eastAsia="Calibri" w:cs="Arial"/>
                <w:sz w:val="18"/>
                <w:szCs w:val="20"/>
                <w:lang w:val="en-AU"/>
              </w:rPr>
              <w:t xml:space="preserve">APTC intensifies efforts, in addition to </w:t>
            </w:r>
            <w:r w:rsidR="00524ED8" w:rsidRPr="00CA6F37">
              <w:rPr>
                <w:rFonts w:eastAsia="Calibri" w:cs="Arial"/>
                <w:b/>
                <w:sz w:val="18"/>
                <w:szCs w:val="20"/>
                <w:lang w:val="en-AU"/>
              </w:rPr>
              <w:t>R</w:t>
            </w:r>
            <w:r w:rsidR="00524ED8">
              <w:rPr>
                <w:rFonts w:eastAsia="Calibri" w:cs="Arial"/>
                <w:b/>
                <w:sz w:val="18"/>
                <w:szCs w:val="20"/>
                <w:lang w:val="en-AU"/>
              </w:rPr>
              <w:t>5</w:t>
            </w:r>
            <w:r w:rsidRPr="00CA6F37">
              <w:rPr>
                <w:rFonts w:eastAsia="Calibri" w:cs="Arial"/>
                <w:sz w:val="18"/>
                <w:szCs w:val="20"/>
                <w:lang w:val="en-AU"/>
              </w:rPr>
              <w:t>, to reduce costs by:</w:t>
            </w:r>
            <w:r w:rsidRPr="00CA6F37">
              <w:rPr>
                <w:rFonts w:eastAsia="Calibri" w:cs="Arial"/>
                <w:b/>
                <w:sz w:val="18"/>
                <w:szCs w:val="20"/>
                <w:lang w:val="en-AU"/>
              </w:rPr>
              <w:t xml:space="preserve"> </w:t>
            </w:r>
          </w:p>
          <w:p w14:paraId="438D1A3A" w14:textId="4ED2BE72" w:rsidR="00954135" w:rsidRPr="00CA6F37" w:rsidRDefault="00954135" w:rsidP="00532FE2">
            <w:pPr>
              <w:numPr>
                <w:ilvl w:val="0"/>
                <w:numId w:val="31"/>
              </w:numPr>
              <w:contextualSpacing/>
              <w:rPr>
                <w:rFonts w:eastAsia="Calibri" w:cs="Arial"/>
                <w:sz w:val="18"/>
                <w:szCs w:val="20"/>
                <w:lang w:val="en-AU"/>
              </w:rPr>
            </w:pPr>
            <w:r w:rsidRPr="00CA6F37">
              <w:rPr>
                <w:rFonts w:eastAsia="Calibri" w:cs="Arial"/>
                <w:sz w:val="18"/>
                <w:szCs w:val="20"/>
                <w:lang w:val="en-AU"/>
              </w:rPr>
              <w:t xml:space="preserve">accelerating </w:t>
            </w:r>
            <w:r w:rsidR="00A03FFC" w:rsidRPr="00CA6F37">
              <w:rPr>
                <w:rFonts w:eastAsia="Calibri" w:cs="Arial"/>
                <w:sz w:val="18"/>
                <w:szCs w:val="20"/>
                <w:lang w:val="en-AU"/>
              </w:rPr>
              <w:t>nationali</w:t>
            </w:r>
            <w:r w:rsidR="00A03FFC">
              <w:rPr>
                <w:rFonts w:eastAsia="Calibri" w:cs="Arial"/>
                <w:sz w:val="18"/>
                <w:szCs w:val="20"/>
                <w:lang w:val="en-AU"/>
              </w:rPr>
              <w:t>s</w:t>
            </w:r>
            <w:r w:rsidR="00A03FFC" w:rsidRPr="00CA6F37">
              <w:rPr>
                <w:rFonts w:eastAsia="Calibri" w:cs="Arial"/>
                <w:sz w:val="18"/>
                <w:szCs w:val="20"/>
                <w:lang w:val="en-AU"/>
              </w:rPr>
              <w:t xml:space="preserve">ation </w:t>
            </w:r>
            <w:r w:rsidRPr="00CA6F37">
              <w:rPr>
                <w:rFonts w:eastAsia="Calibri" w:cs="Arial"/>
                <w:sz w:val="18"/>
                <w:szCs w:val="20"/>
                <w:lang w:val="en-AU"/>
              </w:rPr>
              <w:t xml:space="preserve">of APTC staff </w:t>
            </w:r>
          </w:p>
          <w:p w14:paraId="1734089A" w14:textId="7EA726C5" w:rsidR="00954135" w:rsidRPr="00CA6F37" w:rsidRDefault="00954135" w:rsidP="00532FE2">
            <w:pPr>
              <w:numPr>
                <w:ilvl w:val="0"/>
                <w:numId w:val="31"/>
              </w:numPr>
              <w:contextualSpacing/>
              <w:rPr>
                <w:rFonts w:eastAsia="Calibri" w:cs="Arial"/>
                <w:sz w:val="18"/>
                <w:szCs w:val="20"/>
                <w:lang w:val="en-AU"/>
              </w:rPr>
            </w:pPr>
            <w:r w:rsidRPr="00CA6F37">
              <w:rPr>
                <w:rFonts w:eastAsia="Calibri" w:cs="Arial"/>
                <w:sz w:val="18"/>
                <w:szCs w:val="20"/>
                <w:lang w:val="en-AU"/>
              </w:rPr>
              <w:t>double</w:t>
            </w:r>
            <w:r w:rsidR="00624088">
              <w:rPr>
                <w:rFonts w:eastAsia="Calibri" w:cs="Arial"/>
                <w:sz w:val="18"/>
                <w:szCs w:val="20"/>
                <w:lang w:val="en-AU"/>
              </w:rPr>
              <w:t>-</w:t>
            </w:r>
            <w:r w:rsidRPr="00CA6F37">
              <w:rPr>
                <w:rFonts w:eastAsia="Calibri" w:cs="Arial"/>
                <w:sz w:val="18"/>
                <w:szCs w:val="20"/>
                <w:lang w:val="en-AU"/>
              </w:rPr>
              <w:t>blocking where possible</w:t>
            </w:r>
          </w:p>
          <w:p w14:paraId="423AB424" w14:textId="194EC990" w:rsidR="00954135" w:rsidRPr="00CA6F37" w:rsidRDefault="00954135" w:rsidP="00532FE2">
            <w:pPr>
              <w:numPr>
                <w:ilvl w:val="0"/>
                <w:numId w:val="31"/>
              </w:numPr>
              <w:contextualSpacing/>
              <w:rPr>
                <w:rFonts w:eastAsia="Calibri" w:cs="Arial"/>
                <w:sz w:val="18"/>
                <w:szCs w:val="20"/>
                <w:lang w:val="en-AU"/>
              </w:rPr>
            </w:pPr>
            <w:r w:rsidRPr="00CA6F37">
              <w:rPr>
                <w:rFonts w:eastAsia="Calibri" w:cs="Arial"/>
                <w:sz w:val="18"/>
                <w:szCs w:val="20"/>
                <w:lang w:val="en-AU"/>
              </w:rPr>
              <w:t>increasing course specialisation by campus</w:t>
            </w:r>
            <w:r w:rsidRPr="00CA6F37">
              <w:rPr>
                <w:rFonts w:eastAsia="Calibri" w:cs="Arial"/>
                <w:b/>
                <w:sz w:val="18"/>
                <w:szCs w:val="20"/>
                <w:lang w:val="en-AU"/>
              </w:rPr>
              <w:t xml:space="preserve"> </w:t>
            </w:r>
            <w:r w:rsidR="00524ED8" w:rsidRPr="00CA6F37">
              <w:rPr>
                <w:rFonts w:eastAsia="Calibri" w:cs="Arial"/>
                <w:b/>
                <w:sz w:val="18"/>
                <w:szCs w:val="20"/>
                <w:lang w:val="en-AU"/>
              </w:rPr>
              <w:t>R</w:t>
            </w:r>
            <w:r w:rsidR="00524ED8">
              <w:rPr>
                <w:rFonts w:eastAsia="Calibri" w:cs="Arial"/>
                <w:b/>
                <w:sz w:val="18"/>
                <w:szCs w:val="20"/>
                <w:lang w:val="en-AU"/>
              </w:rPr>
              <w:t>18</w:t>
            </w:r>
            <w:r w:rsidR="00524ED8" w:rsidRPr="00CA6F37">
              <w:rPr>
                <w:rFonts w:eastAsia="Calibri" w:cs="Arial"/>
                <w:sz w:val="18"/>
                <w:szCs w:val="20"/>
                <w:lang w:val="en-AU"/>
              </w:rPr>
              <w:t xml:space="preserve">  </w:t>
            </w:r>
          </w:p>
        </w:tc>
      </w:tr>
      <w:tr w:rsidR="00954135" w:rsidRPr="00CA6F37" w14:paraId="3F16233F" w14:textId="77777777" w:rsidTr="00773FEA">
        <w:tc>
          <w:tcPr>
            <w:tcW w:w="2178" w:type="dxa"/>
            <w:tcBorders>
              <w:top w:val="single" w:sz="4" w:space="0" w:color="C5E0B3" w:themeColor="accent6" w:themeTint="66"/>
              <w:bottom w:val="single" w:sz="4" w:space="0" w:color="C5E0B3" w:themeColor="accent6" w:themeTint="66"/>
            </w:tcBorders>
          </w:tcPr>
          <w:p w14:paraId="4A5313C8" w14:textId="77777777" w:rsidR="00954135" w:rsidRPr="009C76A7" w:rsidRDefault="00954135" w:rsidP="002607F4">
            <w:pPr>
              <w:spacing w:before="80" w:after="80"/>
              <w:rPr>
                <w:rFonts w:eastAsia="Calibri" w:cs="Arial"/>
                <w:b/>
                <w:sz w:val="18"/>
                <w:szCs w:val="20"/>
              </w:rPr>
            </w:pPr>
            <w:r w:rsidRPr="009C76A7">
              <w:rPr>
                <w:rFonts w:eastAsia="Calibri" w:cs="Arial"/>
                <w:b/>
                <w:sz w:val="18"/>
                <w:szCs w:val="20"/>
              </w:rPr>
              <w:t xml:space="preserve">Low sustainability </w:t>
            </w:r>
          </w:p>
        </w:tc>
        <w:tc>
          <w:tcPr>
            <w:tcW w:w="6537" w:type="dxa"/>
            <w:tcBorders>
              <w:top w:val="single" w:sz="4" w:space="0" w:color="C5E0B3" w:themeColor="accent6" w:themeTint="66"/>
              <w:bottom w:val="single" w:sz="4" w:space="0" w:color="C5E0B3" w:themeColor="accent6" w:themeTint="66"/>
            </w:tcBorders>
          </w:tcPr>
          <w:p w14:paraId="702AC57B" w14:textId="5E2DBAA2" w:rsidR="00954135" w:rsidRPr="00CA6F37" w:rsidRDefault="00954135" w:rsidP="00532FE2">
            <w:pPr>
              <w:numPr>
                <w:ilvl w:val="0"/>
                <w:numId w:val="32"/>
              </w:numPr>
              <w:spacing w:before="80" w:after="0"/>
              <w:ind w:left="357" w:hanging="357"/>
              <w:rPr>
                <w:rFonts w:eastAsia="Calibri" w:cs="Arial"/>
                <w:sz w:val="18"/>
                <w:szCs w:val="20"/>
              </w:rPr>
            </w:pPr>
            <w:r w:rsidRPr="00CA6F37">
              <w:rPr>
                <w:rFonts w:eastAsia="Calibri" w:cs="Arial"/>
                <w:sz w:val="18"/>
                <w:szCs w:val="20"/>
              </w:rPr>
              <w:t xml:space="preserve">In addition to </w:t>
            </w:r>
            <w:r w:rsidR="00524ED8" w:rsidRPr="00CA6F37">
              <w:rPr>
                <w:rFonts w:eastAsia="Calibri" w:cs="Arial"/>
                <w:b/>
                <w:sz w:val="18"/>
                <w:szCs w:val="20"/>
              </w:rPr>
              <w:t>R</w:t>
            </w:r>
            <w:r w:rsidR="00524ED8">
              <w:rPr>
                <w:rFonts w:eastAsia="Calibri" w:cs="Arial"/>
                <w:b/>
                <w:sz w:val="18"/>
                <w:szCs w:val="20"/>
              </w:rPr>
              <w:t>6</w:t>
            </w:r>
            <w:r w:rsidRPr="00CA6F37">
              <w:rPr>
                <w:rFonts w:eastAsia="Calibri" w:cs="Arial"/>
                <w:sz w:val="18"/>
                <w:szCs w:val="20"/>
              </w:rPr>
              <w:t>, APTC</w:t>
            </w:r>
            <w:r w:rsidRPr="00CA6F37">
              <w:rPr>
                <w:rFonts w:eastAsia="Calibri" w:cs="Arial"/>
                <w:sz w:val="18"/>
                <w:szCs w:val="20"/>
                <w:lang w:val="en-AU"/>
              </w:rPr>
              <w:t xml:space="preserve"> reduces the percentage of students on scholarships </w:t>
            </w:r>
            <w:r w:rsidR="00524ED8" w:rsidRPr="00CA6F37">
              <w:rPr>
                <w:rFonts w:eastAsia="Calibri" w:cs="Arial"/>
                <w:b/>
                <w:sz w:val="18"/>
                <w:szCs w:val="20"/>
                <w:lang w:val="en-AU"/>
              </w:rPr>
              <w:t>R</w:t>
            </w:r>
            <w:r w:rsidR="00524ED8">
              <w:rPr>
                <w:rFonts w:eastAsia="Calibri" w:cs="Arial"/>
                <w:b/>
                <w:sz w:val="18"/>
                <w:szCs w:val="20"/>
                <w:lang w:val="en-AU"/>
              </w:rPr>
              <w:t>18</w:t>
            </w:r>
            <w:r w:rsidR="00524ED8" w:rsidRPr="00CA6F37">
              <w:rPr>
                <w:rFonts w:eastAsia="Calibri" w:cs="Arial"/>
                <w:sz w:val="18"/>
                <w:szCs w:val="20"/>
              </w:rPr>
              <w:t xml:space="preserve"> </w:t>
            </w:r>
          </w:p>
          <w:p w14:paraId="33E6FA1E" w14:textId="1B5DB0D2" w:rsidR="00954135" w:rsidRPr="00CA6F37" w:rsidRDefault="00954135" w:rsidP="00532FE2">
            <w:pPr>
              <w:numPr>
                <w:ilvl w:val="0"/>
                <w:numId w:val="32"/>
              </w:numPr>
              <w:spacing w:after="0"/>
              <w:contextualSpacing/>
              <w:rPr>
                <w:rFonts w:eastAsia="Calibri" w:cs="Arial"/>
                <w:sz w:val="18"/>
                <w:szCs w:val="20"/>
              </w:rPr>
            </w:pPr>
            <w:r w:rsidRPr="00CA6F37">
              <w:rPr>
                <w:rFonts w:eastAsia="Calibri" w:cs="Arial"/>
                <w:sz w:val="18"/>
                <w:szCs w:val="20"/>
              </w:rPr>
              <w:t xml:space="preserve">APTC considers introducing student loans </w:t>
            </w:r>
            <w:r w:rsidRPr="00CA6F37">
              <w:rPr>
                <w:rFonts w:eastAsia="Calibri" w:cs="Arial"/>
                <w:b/>
                <w:sz w:val="18"/>
                <w:szCs w:val="20"/>
              </w:rPr>
              <w:t>R</w:t>
            </w:r>
            <w:r w:rsidR="00126869">
              <w:rPr>
                <w:rFonts w:eastAsia="Calibri" w:cs="Arial"/>
                <w:b/>
                <w:sz w:val="18"/>
                <w:szCs w:val="20"/>
              </w:rPr>
              <w:t>18</w:t>
            </w:r>
          </w:p>
        </w:tc>
      </w:tr>
    </w:tbl>
    <w:p w14:paraId="4F52F344" w14:textId="77777777" w:rsidR="00954135" w:rsidRPr="00954135" w:rsidRDefault="00954135" w:rsidP="00954135">
      <w:pPr>
        <w:rPr>
          <w:rFonts w:eastAsia="Calibri" w:cs="Arial"/>
        </w:rPr>
      </w:pPr>
    </w:p>
    <w:p w14:paraId="6C5C2358" w14:textId="77777777" w:rsidR="00391C5E" w:rsidRDefault="00391C5E">
      <w:pPr>
        <w:spacing w:after="0"/>
        <w:rPr>
          <w:rFonts w:cs="Arial"/>
          <w:b/>
          <w:bCs/>
          <w:color w:val="76923C"/>
          <w:sz w:val="24"/>
          <w:szCs w:val="28"/>
        </w:rPr>
      </w:pPr>
      <w:r>
        <w:br w:type="page"/>
      </w:r>
    </w:p>
    <w:p w14:paraId="3C4B4734" w14:textId="7A0A132B" w:rsidR="00AF55E0" w:rsidRDefault="00954135" w:rsidP="009C76A7">
      <w:pPr>
        <w:pStyle w:val="Heading2"/>
      </w:pPr>
      <w:bookmarkStart w:id="112" w:name="_Toc278710583"/>
      <w:r w:rsidRPr="00954135">
        <w:t>P</w:t>
      </w:r>
      <w:r w:rsidR="00DF1179">
        <w:t>riorities and p</w:t>
      </w:r>
      <w:r w:rsidRPr="00954135">
        <w:t>hasing of recommendations</w:t>
      </w:r>
      <w:bookmarkEnd w:id="112"/>
    </w:p>
    <w:p w14:paraId="6F8E5FB7" w14:textId="2174D5E1" w:rsidR="00DF1179" w:rsidRDefault="00DF1179" w:rsidP="00954135">
      <w:r>
        <w:t xml:space="preserve">Priority </w:t>
      </w:r>
      <w:r w:rsidRPr="00DF7C96">
        <w:rPr>
          <w:i/>
        </w:rPr>
        <w:t>strategic</w:t>
      </w:r>
      <w:r>
        <w:t xml:space="preserve"> recommendations include </w:t>
      </w:r>
      <w:r w:rsidRPr="00DF7C96">
        <w:rPr>
          <w:b/>
        </w:rPr>
        <w:t>R1</w:t>
      </w:r>
      <w:r w:rsidRPr="00B51C01">
        <w:t>,</w:t>
      </w:r>
      <w:r w:rsidRPr="00DF7C96">
        <w:rPr>
          <w:b/>
        </w:rPr>
        <w:t xml:space="preserve"> R2</w:t>
      </w:r>
      <w:r w:rsidRPr="00B51C01">
        <w:t>,</w:t>
      </w:r>
      <w:r w:rsidRPr="00DF7C96">
        <w:rPr>
          <w:b/>
        </w:rPr>
        <w:t xml:space="preserve"> R11 </w:t>
      </w:r>
      <w:r w:rsidRPr="00B51C01">
        <w:t>and</w:t>
      </w:r>
      <w:r w:rsidRPr="00DF7C96">
        <w:rPr>
          <w:b/>
        </w:rPr>
        <w:t xml:space="preserve"> R15</w:t>
      </w:r>
      <w:r>
        <w:t xml:space="preserve">. Operational priorities include </w:t>
      </w:r>
      <w:r w:rsidRPr="00DF7C96">
        <w:rPr>
          <w:b/>
        </w:rPr>
        <w:t>R3</w:t>
      </w:r>
      <w:r w:rsidRPr="00B51C01">
        <w:t>,</w:t>
      </w:r>
      <w:r w:rsidRPr="00B51C01">
        <w:rPr>
          <w:b/>
        </w:rPr>
        <w:t xml:space="preserve"> </w:t>
      </w:r>
      <w:r w:rsidRPr="00DF7C96">
        <w:rPr>
          <w:b/>
        </w:rPr>
        <w:t>R6</w:t>
      </w:r>
      <w:r w:rsidRPr="00B51C01">
        <w:t>,</w:t>
      </w:r>
      <w:r w:rsidRPr="00DF7C96">
        <w:rPr>
          <w:b/>
        </w:rPr>
        <w:t xml:space="preserve"> R7 and R17</w:t>
      </w:r>
      <w:r>
        <w:t>.</w:t>
      </w:r>
    </w:p>
    <w:p w14:paraId="25D1AA3A" w14:textId="77777777" w:rsidR="00851E2E" w:rsidRPr="00954135" w:rsidRDefault="00851E2E" w:rsidP="00851E2E">
      <w:bookmarkStart w:id="113" w:name="_Toc274832810"/>
      <w:r w:rsidRPr="00954135">
        <w:t xml:space="preserve">Recommendations cannot and need not be implemented </w:t>
      </w:r>
      <w:r>
        <w:t xml:space="preserve">all </w:t>
      </w:r>
      <w:r w:rsidRPr="00954135">
        <w:t xml:space="preserve">at the same time. The following </w:t>
      </w:r>
      <w:r>
        <w:t xml:space="preserve">table and </w:t>
      </w:r>
      <w:r w:rsidRPr="00954135">
        <w:t>section indicate a possible sequence of recommended actions by responsibility.</w:t>
      </w:r>
    </w:p>
    <w:p w14:paraId="63EB1D19" w14:textId="47D1DB1E" w:rsidR="00AF55E0" w:rsidRDefault="00954135" w:rsidP="009C76A7">
      <w:pPr>
        <w:pStyle w:val="Tableheading"/>
      </w:pPr>
      <w:r w:rsidRPr="00954135">
        <w:t xml:space="preserve">Table </w:t>
      </w:r>
      <w:r w:rsidR="00680B34">
        <w:t>5</w:t>
      </w:r>
      <w:r w:rsidR="002B3D46">
        <w:t>:</w:t>
      </w:r>
      <w:r w:rsidR="002B3D46" w:rsidRPr="00954135">
        <w:t xml:space="preserve"> </w:t>
      </w:r>
      <w:r w:rsidR="00680B34">
        <w:t>P</w:t>
      </w:r>
      <w:r w:rsidRPr="00954135">
        <w:t>riorities and phasing</w:t>
      </w:r>
      <w:r w:rsidR="00680B34">
        <w:t xml:space="preserve"> of r</w:t>
      </w:r>
      <w:r w:rsidR="00680B34" w:rsidRPr="00954135">
        <w:t>ecommendations</w:t>
      </w:r>
      <w:bookmarkEnd w:id="113"/>
    </w:p>
    <w:tbl>
      <w:tblPr>
        <w:tblStyle w:val="TableGrid2"/>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170"/>
        <w:gridCol w:w="1170"/>
      </w:tblGrid>
      <w:tr w:rsidR="00851E2E" w:rsidRPr="00263597" w14:paraId="64DDA756" w14:textId="77777777" w:rsidTr="00851E2E">
        <w:tc>
          <w:tcPr>
            <w:tcW w:w="6840" w:type="dxa"/>
            <w:vMerge w:val="restart"/>
            <w:shd w:val="clear" w:color="auto" w:fill="C5E0B3" w:themeFill="accent6" w:themeFillTint="66"/>
            <w:vAlign w:val="center"/>
          </w:tcPr>
          <w:p w14:paraId="232FF8C3" w14:textId="77777777" w:rsidR="00851E2E" w:rsidRPr="00263597" w:rsidRDefault="00851E2E" w:rsidP="00851E2E">
            <w:pPr>
              <w:spacing w:before="20" w:after="20"/>
              <w:jc w:val="center"/>
              <w:rPr>
                <w:b/>
                <w:sz w:val="18"/>
                <w:lang w:eastAsia="en-AU"/>
              </w:rPr>
            </w:pPr>
          </w:p>
          <w:p w14:paraId="02670CA3" w14:textId="77777777" w:rsidR="00851E2E" w:rsidRPr="00263597" w:rsidRDefault="00851E2E" w:rsidP="00851E2E">
            <w:pPr>
              <w:spacing w:before="20" w:after="20"/>
              <w:jc w:val="center"/>
              <w:rPr>
                <w:b/>
                <w:sz w:val="18"/>
                <w:lang w:eastAsia="en-AU"/>
              </w:rPr>
            </w:pPr>
            <w:r w:rsidRPr="00263597">
              <w:rPr>
                <w:b/>
                <w:sz w:val="18"/>
                <w:lang w:eastAsia="en-AU"/>
              </w:rPr>
              <w:t>Recommendations (priorities in bold)</w:t>
            </w:r>
          </w:p>
        </w:tc>
        <w:tc>
          <w:tcPr>
            <w:tcW w:w="2340" w:type="dxa"/>
            <w:gridSpan w:val="2"/>
            <w:shd w:val="clear" w:color="auto" w:fill="C5E0B3" w:themeFill="accent6" w:themeFillTint="66"/>
          </w:tcPr>
          <w:p w14:paraId="465C7ABE" w14:textId="77777777" w:rsidR="00851E2E" w:rsidRPr="00263597" w:rsidRDefault="00851E2E" w:rsidP="00694967">
            <w:pPr>
              <w:spacing w:before="20" w:after="20"/>
              <w:jc w:val="center"/>
              <w:rPr>
                <w:b/>
                <w:sz w:val="18"/>
                <w:lang w:eastAsia="en-AU"/>
              </w:rPr>
            </w:pPr>
            <w:r w:rsidRPr="00263597">
              <w:rPr>
                <w:b/>
                <w:sz w:val="18"/>
                <w:lang w:eastAsia="en-AU"/>
              </w:rPr>
              <w:t>Completed by</w:t>
            </w:r>
          </w:p>
        </w:tc>
      </w:tr>
      <w:tr w:rsidR="00851E2E" w:rsidRPr="00263597" w14:paraId="37FCC38D" w14:textId="77777777" w:rsidTr="00851E2E">
        <w:tc>
          <w:tcPr>
            <w:tcW w:w="6840" w:type="dxa"/>
            <w:vMerge/>
            <w:shd w:val="clear" w:color="auto" w:fill="C5E0B3" w:themeFill="accent6" w:themeFillTint="66"/>
          </w:tcPr>
          <w:p w14:paraId="266976B2" w14:textId="77777777" w:rsidR="00851E2E" w:rsidRPr="00263597" w:rsidRDefault="00851E2E" w:rsidP="00694967">
            <w:pPr>
              <w:spacing w:before="20" w:after="20"/>
              <w:rPr>
                <w:b/>
                <w:sz w:val="18"/>
                <w:lang w:eastAsia="en-AU"/>
              </w:rPr>
            </w:pPr>
          </w:p>
        </w:tc>
        <w:tc>
          <w:tcPr>
            <w:tcW w:w="1170" w:type="dxa"/>
            <w:shd w:val="clear" w:color="auto" w:fill="C5E0B3" w:themeFill="accent6" w:themeFillTint="66"/>
            <w:vAlign w:val="bottom"/>
          </w:tcPr>
          <w:p w14:paraId="36FB4615" w14:textId="77777777" w:rsidR="00851E2E" w:rsidRPr="00263597" w:rsidRDefault="00851E2E" w:rsidP="00694967">
            <w:pPr>
              <w:spacing w:before="20" w:after="20"/>
              <w:jc w:val="center"/>
              <w:rPr>
                <w:b/>
                <w:sz w:val="18"/>
                <w:lang w:eastAsia="en-AU"/>
              </w:rPr>
            </w:pPr>
            <w:r w:rsidRPr="00263597">
              <w:rPr>
                <w:b/>
                <w:sz w:val="18"/>
                <w:lang w:eastAsia="en-AU"/>
              </w:rPr>
              <w:t>End of Stage II (mid- 2015)</w:t>
            </w:r>
          </w:p>
        </w:tc>
        <w:tc>
          <w:tcPr>
            <w:tcW w:w="1170" w:type="dxa"/>
            <w:shd w:val="clear" w:color="auto" w:fill="C5E0B3" w:themeFill="accent6" w:themeFillTint="66"/>
          </w:tcPr>
          <w:p w14:paraId="60BC6F0A" w14:textId="77777777" w:rsidR="00851E2E" w:rsidRPr="00263597" w:rsidRDefault="00851E2E" w:rsidP="00694967">
            <w:pPr>
              <w:spacing w:before="20" w:after="20"/>
              <w:jc w:val="center"/>
              <w:rPr>
                <w:b/>
                <w:sz w:val="18"/>
                <w:lang w:eastAsia="en-AU"/>
              </w:rPr>
            </w:pPr>
            <w:r w:rsidRPr="00263597">
              <w:rPr>
                <w:b/>
                <w:sz w:val="18"/>
                <w:lang w:eastAsia="en-AU"/>
              </w:rPr>
              <w:t>End of two-year extension (mid-2017)</w:t>
            </w:r>
          </w:p>
        </w:tc>
      </w:tr>
      <w:tr w:rsidR="00851E2E" w:rsidRPr="00263597" w14:paraId="1C27CA02" w14:textId="77777777" w:rsidTr="005A0B65">
        <w:tc>
          <w:tcPr>
            <w:tcW w:w="6840" w:type="dxa"/>
            <w:shd w:val="clear" w:color="auto" w:fill="E2EFD9" w:themeFill="accent6" w:themeFillTint="33"/>
          </w:tcPr>
          <w:p w14:paraId="76E6C7CB" w14:textId="24C5421A" w:rsidR="00851E2E" w:rsidRPr="00263597" w:rsidRDefault="005A0B65" w:rsidP="00694967">
            <w:pPr>
              <w:spacing w:before="20" w:after="20"/>
              <w:rPr>
                <w:b/>
                <w:sz w:val="18"/>
                <w:lang w:eastAsia="en-AU"/>
              </w:rPr>
            </w:pPr>
            <w:r>
              <w:rPr>
                <w:b/>
                <w:sz w:val="18"/>
                <w:lang w:eastAsia="en-AU"/>
              </w:rPr>
              <w:t>R</w:t>
            </w:r>
            <w:r w:rsidR="00851E2E" w:rsidRPr="00263597">
              <w:rPr>
                <w:b/>
                <w:sz w:val="18"/>
                <w:lang w:eastAsia="en-AU"/>
              </w:rPr>
              <w:t xml:space="preserve">1- Regional TVET strategy and long-term APTC plan completed by DFAT </w:t>
            </w:r>
          </w:p>
        </w:tc>
        <w:tc>
          <w:tcPr>
            <w:tcW w:w="1170" w:type="dxa"/>
            <w:shd w:val="clear" w:color="auto" w:fill="E2EFD9" w:themeFill="accent6" w:themeFillTint="33"/>
            <w:vAlign w:val="center"/>
          </w:tcPr>
          <w:p w14:paraId="0E8BB335" w14:textId="77777777" w:rsidR="00851E2E" w:rsidRPr="00263597" w:rsidRDefault="00851E2E" w:rsidP="00694967">
            <w:pPr>
              <w:spacing w:before="20" w:after="20"/>
              <w:jc w:val="center"/>
              <w:rPr>
                <w:sz w:val="18"/>
                <w:lang w:eastAsia="en-AU"/>
              </w:rPr>
            </w:pPr>
          </w:p>
        </w:tc>
        <w:tc>
          <w:tcPr>
            <w:tcW w:w="1170" w:type="dxa"/>
            <w:shd w:val="clear" w:color="auto" w:fill="E2EFD9" w:themeFill="accent6" w:themeFillTint="33"/>
            <w:vAlign w:val="center"/>
          </w:tcPr>
          <w:p w14:paraId="2066A07E" w14:textId="68E6B7CA"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0AB5112A" w14:textId="77777777" w:rsidTr="005A0B65">
        <w:tc>
          <w:tcPr>
            <w:tcW w:w="6840" w:type="dxa"/>
            <w:shd w:val="clear" w:color="auto" w:fill="E2EFD9" w:themeFill="accent6" w:themeFillTint="33"/>
          </w:tcPr>
          <w:p w14:paraId="3D7D6619" w14:textId="2C8308A3" w:rsidR="00851E2E" w:rsidRPr="00263597" w:rsidRDefault="005A0B65" w:rsidP="00694967">
            <w:pPr>
              <w:spacing w:before="20" w:after="20"/>
              <w:rPr>
                <w:b/>
                <w:sz w:val="18"/>
                <w:lang w:eastAsia="en-AU"/>
              </w:rPr>
            </w:pPr>
            <w:r>
              <w:rPr>
                <w:b/>
                <w:sz w:val="18"/>
                <w:lang w:eastAsia="en-AU"/>
              </w:rPr>
              <w:t xml:space="preserve">R2- </w:t>
            </w:r>
            <w:r w:rsidR="00851E2E" w:rsidRPr="00263597">
              <w:rPr>
                <w:b/>
                <w:sz w:val="18"/>
                <w:lang w:eastAsia="en-AU"/>
              </w:rPr>
              <w:t>Country strategies completed</w:t>
            </w:r>
          </w:p>
        </w:tc>
        <w:tc>
          <w:tcPr>
            <w:tcW w:w="1170" w:type="dxa"/>
            <w:shd w:val="clear" w:color="auto" w:fill="E2EFD9" w:themeFill="accent6" w:themeFillTint="33"/>
            <w:vAlign w:val="center"/>
          </w:tcPr>
          <w:p w14:paraId="0EC2AFD7" w14:textId="77777777" w:rsidR="00851E2E" w:rsidRPr="00263597" w:rsidRDefault="00851E2E" w:rsidP="00694967">
            <w:pPr>
              <w:spacing w:before="20" w:after="20"/>
              <w:jc w:val="center"/>
              <w:rPr>
                <w:sz w:val="18"/>
                <w:lang w:eastAsia="en-AU"/>
              </w:rPr>
            </w:pPr>
          </w:p>
        </w:tc>
        <w:tc>
          <w:tcPr>
            <w:tcW w:w="1170" w:type="dxa"/>
            <w:shd w:val="clear" w:color="auto" w:fill="E2EFD9" w:themeFill="accent6" w:themeFillTint="33"/>
            <w:vAlign w:val="center"/>
          </w:tcPr>
          <w:p w14:paraId="5DE08E04" w14:textId="1C25B812"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47B4149E" w14:textId="77777777" w:rsidTr="005A0B65">
        <w:tc>
          <w:tcPr>
            <w:tcW w:w="6840" w:type="dxa"/>
            <w:shd w:val="clear" w:color="auto" w:fill="E2EFD9" w:themeFill="accent6" w:themeFillTint="33"/>
          </w:tcPr>
          <w:p w14:paraId="5F602656" w14:textId="6920C53B" w:rsidR="00851E2E" w:rsidRPr="00263597" w:rsidRDefault="00851E2E" w:rsidP="00694967">
            <w:pPr>
              <w:spacing w:before="20" w:after="20"/>
              <w:rPr>
                <w:b/>
                <w:sz w:val="18"/>
                <w:lang w:eastAsia="en-AU"/>
              </w:rPr>
            </w:pPr>
            <w:r w:rsidRPr="00263597">
              <w:rPr>
                <w:b/>
                <w:sz w:val="18"/>
                <w:lang w:eastAsia="en-AU"/>
              </w:rPr>
              <w:t xml:space="preserve">R3- </w:t>
            </w:r>
            <w:r w:rsidRPr="00833A97">
              <w:rPr>
                <w:b/>
                <w:sz w:val="18"/>
                <w:lang w:eastAsia="en-AU"/>
              </w:rPr>
              <w:t xml:space="preserve">Contract for single RTO responsible for education function prepared and  </w:t>
            </w:r>
            <w:r>
              <w:rPr>
                <w:b/>
                <w:sz w:val="18"/>
                <w:lang w:eastAsia="en-AU"/>
              </w:rPr>
              <w:br/>
              <w:t xml:space="preserve">       </w:t>
            </w:r>
            <w:r w:rsidRPr="00833A97">
              <w:rPr>
                <w:b/>
                <w:sz w:val="18"/>
                <w:lang w:eastAsia="en-AU"/>
              </w:rPr>
              <w:t xml:space="preserve">separate education and administrative policies/ procedures adopted </w:t>
            </w:r>
          </w:p>
        </w:tc>
        <w:tc>
          <w:tcPr>
            <w:tcW w:w="1170" w:type="dxa"/>
            <w:shd w:val="clear" w:color="auto" w:fill="E2EFD9" w:themeFill="accent6" w:themeFillTint="33"/>
            <w:vAlign w:val="center"/>
          </w:tcPr>
          <w:p w14:paraId="06ABA649" w14:textId="1CA89E42" w:rsidR="00851E2E" w:rsidRPr="00263597" w:rsidRDefault="00A65E6F" w:rsidP="00694967">
            <w:pPr>
              <w:spacing w:before="20" w:after="20"/>
              <w:jc w:val="center"/>
              <w:rPr>
                <w:sz w:val="18"/>
                <w:lang w:eastAsia="en-AU"/>
              </w:rPr>
            </w:pPr>
            <w:r w:rsidRPr="00A65E6F">
              <w:rPr>
                <w:sz w:val="16"/>
                <w:lang w:eastAsia="en-AU"/>
              </w:rPr>
              <w:sym w:font="Zapf Dingbats" w:char="F06C"/>
            </w:r>
            <w:r w:rsidR="00851E2E">
              <w:rPr>
                <w:sz w:val="18"/>
                <w:lang w:eastAsia="en-AU"/>
              </w:rPr>
              <w:t xml:space="preserve"> </w:t>
            </w:r>
          </w:p>
          <w:p w14:paraId="0216E75C" w14:textId="77777777" w:rsidR="00851E2E" w:rsidRPr="00263597" w:rsidRDefault="00851E2E" w:rsidP="00694967">
            <w:pPr>
              <w:spacing w:before="20" w:after="20"/>
              <w:jc w:val="center"/>
              <w:rPr>
                <w:sz w:val="18"/>
                <w:lang w:eastAsia="en-AU"/>
              </w:rPr>
            </w:pPr>
          </w:p>
        </w:tc>
        <w:tc>
          <w:tcPr>
            <w:tcW w:w="1170" w:type="dxa"/>
            <w:shd w:val="clear" w:color="auto" w:fill="E2EFD9" w:themeFill="accent6" w:themeFillTint="33"/>
            <w:vAlign w:val="center"/>
          </w:tcPr>
          <w:p w14:paraId="43B667AC" w14:textId="77777777" w:rsidR="00851E2E" w:rsidRPr="00263597" w:rsidRDefault="00851E2E" w:rsidP="00694967">
            <w:pPr>
              <w:spacing w:before="20" w:after="20"/>
              <w:jc w:val="center"/>
              <w:rPr>
                <w:sz w:val="18"/>
                <w:lang w:eastAsia="en-AU"/>
              </w:rPr>
            </w:pPr>
          </w:p>
        </w:tc>
      </w:tr>
      <w:tr w:rsidR="00851E2E" w:rsidRPr="00263597" w14:paraId="212C7277" w14:textId="77777777" w:rsidTr="00851E2E">
        <w:tc>
          <w:tcPr>
            <w:tcW w:w="6840" w:type="dxa"/>
          </w:tcPr>
          <w:p w14:paraId="6287C7CA" w14:textId="77777777" w:rsidR="00851E2E" w:rsidRPr="00263597" w:rsidRDefault="00851E2E" w:rsidP="00694967">
            <w:pPr>
              <w:spacing w:before="20" w:after="20"/>
              <w:rPr>
                <w:sz w:val="18"/>
                <w:lang w:eastAsia="en-AU"/>
              </w:rPr>
            </w:pPr>
            <w:r w:rsidRPr="00263597">
              <w:rPr>
                <w:sz w:val="18"/>
                <w:lang w:eastAsia="en-AU"/>
              </w:rPr>
              <w:t>R4- Delegation to CEO and country managers increased</w:t>
            </w:r>
          </w:p>
        </w:tc>
        <w:tc>
          <w:tcPr>
            <w:tcW w:w="1170" w:type="dxa"/>
            <w:vAlign w:val="center"/>
          </w:tcPr>
          <w:p w14:paraId="0E087AC9" w14:textId="4B94FEB3"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vAlign w:val="center"/>
          </w:tcPr>
          <w:p w14:paraId="765B21CB" w14:textId="77777777" w:rsidR="00851E2E" w:rsidRPr="00263597" w:rsidRDefault="00851E2E" w:rsidP="00694967">
            <w:pPr>
              <w:spacing w:before="20" w:after="20"/>
              <w:jc w:val="center"/>
              <w:rPr>
                <w:sz w:val="18"/>
                <w:lang w:eastAsia="en-AU"/>
              </w:rPr>
            </w:pPr>
          </w:p>
        </w:tc>
      </w:tr>
      <w:tr w:rsidR="00851E2E" w:rsidRPr="00263597" w14:paraId="44133A6D" w14:textId="77777777" w:rsidTr="00851E2E">
        <w:tc>
          <w:tcPr>
            <w:tcW w:w="6840" w:type="dxa"/>
          </w:tcPr>
          <w:p w14:paraId="413013AD" w14:textId="77777777" w:rsidR="00851E2E" w:rsidRPr="00263597" w:rsidRDefault="00851E2E" w:rsidP="00694967">
            <w:pPr>
              <w:spacing w:before="20" w:after="20"/>
              <w:rPr>
                <w:sz w:val="18"/>
                <w:lang w:eastAsia="en-AU"/>
              </w:rPr>
            </w:pPr>
            <w:r w:rsidRPr="00263597">
              <w:rPr>
                <w:sz w:val="18"/>
                <w:lang w:eastAsia="en-AU"/>
              </w:rPr>
              <w:t>R5- APTC structure and locations rationalised</w:t>
            </w:r>
          </w:p>
        </w:tc>
        <w:tc>
          <w:tcPr>
            <w:tcW w:w="1170" w:type="dxa"/>
            <w:vAlign w:val="center"/>
          </w:tcPr>
          <w:p w14:paraId="6C6FA285" w14:textId="36E5D1B5"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vAlign w:val="center"/>
          </w:tcPr>
          <w:p w14:paraId="11BABDE2" w14:textId="77777777" w:rsidR="00851E2E" w:rsidRPr="00263597" w:rsidRDefault="00851E2E" w:rsidP="00694967">
            <w:pPr>
              <w:spacing w:before="20" w:after="20"/>
              <w:jc w:val="center"/>
              <w:rPr>
                <w:sz w:val="18"/>
                <w:lang w:eastAsia="en-AU"/>
              </w:rPr>
            </w:pPr>
          </w:p>
        </w:tc>
      </w:tr>
      <w:tr w:rsidR="00851E2E" w:rsidRPr="00263597" w14:paraId="5FD6FEC9" w14:textId="77777777" w:rsidTr="005A0B65">
        <w:tc>
          <w:tcPr>
            <w:tcW w:w="6840" w:type="dxa"/>
            <w:shd w:val="clear" w:color="auto" w:fill="E2EFD9" w:themeFill="accent6" w:themeFillTint="33"/>
          </w:tcPr>
          <w:p w14:paraId="30B551B3" w14:textId="785EA2F8" w:rsidR="00851E2E" w:rsidRPr="00263597" w:rsidRDefault="005A0B65" w:rsidP="00694967">
            <w:pPr>
              <w:spacing w:before="20" w:after="20"/>
              <w:rPr>
                <w:b/>
                <w:sz w:val="18"/>
                <w:lang w:eastAsia="en-AU"/>
              </w:rPr>
            </w:pPr>
            <w:r>
              <w:rPr>
                <w:b/>
                <w:sz w:val="18"/>
                <w:lang w:eastAsia="en-AU"/>
              </w:rPr>
              <w:t xml:space="preserve">R6- </w:t>
            </w:r>
            <w:r w:rsidR="00851E2E" w:rsidRPr="00263597">
              <w:rPr>
                <w:b/>
                <w:sz w:val="18"/>
                <w:lang w:eastAsia="en-AU"/>
              </w:rPr>
              <w:t>Business development plan strengthened</w:t>
            </w:r>
          </w:p>
        </w:tc>
        <w:tc>
          <w:tcPr>
            <w:tcW w:w="1170" w:type="dxa"/>
            <w:shd w:val="clear" w:color="auto" w:fill="E2EFD9" w:themeFill="accent6" w:themeFillTint="33"/>
            <w:vAlign w:val="center"/>
          </w:tcPr>
          <w:p w14:paraId="370BFB4C" w14:textId="77777777" w:rsidR="00851E2E" w:rsidRPr="00263597" w:rsidRDefault="00851E2E" w:rsidP="00694967">
            <w:pPr>
              <w:spacing w:before="20" w:after="20"/>
              <w:jc w:val="center"/>
              <w:rPr>
                <w:b/>
                <w:sz w:val="18"/>
                <w:lang w:eastAsia="en-AU"/>
              </w:rPr>
            </w:pPr>
          </w:p>
        </w:tc>
        <w:tc>
          <w:tcPr>
            <w:tcW w:w="1170" w:type="dxa"/>
            <w:shd w:val="clear" w:color="auto" w:fill="E2EFD9" w:themeFill="accent6" w:themeFillTint="33"/>
            <w:vAlign w:val="center"/>
          </w:tcPr>
          <w:p w14:paraId="61B46015" w14:textId="7732C399"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1049AFE9" w14:textId="77777777" w:rsidTr="005A0B65">
        <w:tc>
          <w:tcPr>
            <w:tcW w:w="6840" w:type="dxa"/>
            <w:shd w:val="clear" w:color="auto" w:fill="E2EFD9" w:themeFill="accent6" w:themeFillTint="33"/>
          </w:tcPr>
          <w:p w14:paraId="55F95A35" w14:textId="77777777" w:rsidR="00851E2E" w:rsidRPr="00263597" w:rsidRDefault="00851E2E" w:rsidP="00694967">
            <w:pPr>
              <w:spacing w:before="20" w:after="20"/>
              <w:rPr>
                <w:b/>
                <w:sz w:val="18"/>
                <w:lang w:eastAsia="en-AU"/>
              </w:rPr>
            </w:pPr>
            <w:r w:rsidRPr="00263597">
              <w:rPr>
                <w:b/>
                <w:sz w:val="18"/>
                <w:lang w:eastAsia="en-AU"/>
              </w:rPr>
              <w:t>R7- Risk management plan completed for nationalisation</w:t>
            </w:r>
          </w:p>
        </w:tc>
        <w:tc>
          <w:tcPr>
            <w:tcW w:w="1170" w:type="dxa"/>
            <w:shd w:val="clear" w:color="auto" w:fill="E2EFD9" w:themeFill="accent6" w:themeFillTint="33"/>
            <w:vAlign w:val="center"/>
          </w:tcPr>
          <w:p w14:paraId="5A068063" w14:textId="5BFE5CF4"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shd w:val="clear" w:color="auto" w:fill="E2EFD9" w:themeFill="accent6" w:themeFillTint="33"/>
            <w:vAlign w:val="center"/>
          </w:tcPr>
          <w:p w14:paraId="46784DB3" w14:textId="77777777" w:rsidR="00851E2E" w:rsidRPr="00263597" w:rsidRDefault="00851E2E" w:rsidP="00694967">
            <w:pPr>
              <w:spacing w:before="20" w:after="20"/>
              <w:jc w:val="center"/>
              <w:rPr>
                <w:sz w:val="18"/>
                <w:lang w:eastAsia="en-AU"/>
              </w:rPr>
            </w:pPr>
          </w:p>
        </w:tc>
      </w:tr>
      <w:tr w:rsidR="00851E2E" w:rsidRPr="00263597" w14:paraId="0124A643" w14:textId="77777777" w:rsidTr="00851E2E">
        <w:tc>
          <w:tcPr>
            <w:tcW w:w="6840" w:type="dxa"/>
          </w:tcPr>
          <w:p w14:paraId="75EE35FD" w14:textId="77777777" w:rsidR="00851E2E" w:rsidRPr="00263597" w:rsidRDefault="00851E2E" w:rsidP="00694967">
            <w:pPr>
              <w:spacing w:before="20" w:after="20"/>
              <w:ind w:left="360" w:hanging="360"/>
              <w:rPr>
                <w:sz w:val="18"/>
                <w:lang w:eastAsia="en-AU"/>
              </w:rPr>
            </w:pPr>
            <w:r w:rsidRPr="00263597">
              <w:rPr>
                <w:sz w:val="18"/>
                <w:lang w:eastAsia="en-AU"/>
              </w:rPr>
              <w:t>R8- Country Consultative Forums established, regional Advisory Group restructured</w:t>
            </w:r>
          </w:p>
        </w:tc>
        <w:tc>
          <w:tcPr>
            <w:tcW w:w="1170" w:type="dxa"/>
            <w:vAlign w:val="center"/>
          </w:tcPr>
          <w:p w14:paraId="4E9A1B87" w14:textId="77777777" w:rsidR="00851E2E" w:rsidRPr="00263597" w:rsidRDefault="00851E2E" w:rsidP="00694967">
            <w:pPr>
              <w:spacing w:before="20" w:after="20"/>
              <w:jc w:val="center"/>
              <w:rPr>
                <w:sz w:val="18"/>
                <w:lang w:eastAsia="en-AU"/>
              </w:rPr>
            </w:pPr>
          </w:p>
        </w:tc>
        <w:tc>
          <w:tcPr>
            <w:tcW w:w="1170" w:type="dxa"/>
            <w:vAlign w:val="center"/>
          </w:tcPr>
          <w:p w14:paraId="091EE42F" w14:textId="5B4098DE"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673E9CF0" w14:textId="77777777" w:rsidTr="00851E2E">
        <w:tc>
          <w:tcPr>
            <w:tcW w:w="6840" w:type="dxa"/>
          </w:tcPr>
          <w:p w14:paraId="760AFAE1" w14:textId="77777777" w:rsidR="00851E2E" w:rsidRPr="00263597" w:rsidRDefault="00851E2E" w:rsidP="00694967">
            <w:pPr>
              <w:spacing w:before="20" w:after="20"/>
              <w:rPr>
                <w:sz w:val="18"/>
                <w:lang w:eastAsia="en-AU"/>
              </w:rPr>
            </w:pPr>
            <w:r w:rsidRPr="00263597">
              <w:rPr>
                <w:sz w:val="18"/>
                <w:lang w:eastAsia="en-AU"/>
              </w:rPr>
              <w:t>R9- Centre for Professional Development expanded</w:t>
            </w:r>
          </w:p>
        </w:tc>
        <w:tc>
          <w:tcPr>
            <w:tcW w:w="1170" w:type="dxa"/>
            <w:vAlign w:val="center"/>
          </w:tcPr>
          <w:p w14:paraId="1E477FD4" w14:textId="77777777" w:rsidR="00851E2E" w:rsidRPr="00263597" w:rsidRDefault="00851E2E" w:rsidP="00694967">
            <w:pPr>
              <w:spacing w:before="20" w:after="20"/>
              <w:jc w:val="center"/>
              <w:rPr>
                <w:sz w:val="18"/>
                <w:lang w:eastAsia="en-AU"/>
              </w:rPr>
            </w:pPr>
          </w:p>
        </w:tc>
        <w:tc>
          <w:tcPr>
            <w:tcW w:w="1170" w:type="dxa"/>
            <w:vAlign w:val="center"/>
          </w:tcPr>
          <w:p w14:paraId="37FFB139" w14:textId="12ED37F2"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1CAB3B99" w14:textId="77777777" w:rsidTr="00851E2E">
        <w:tc>
          <w:tcPr>
            <w:tcW w:w="6840" w:type="dxa"/>
          </w:tcPr>
          <w:p w14:paraId="68179D18" w14:textId="77777777" w:rsidR="00851E2E" w:rsidRPr="00263597" w:rsidRDefault="00851E2E" w:rsidP="00694967">
            <w:pPr>
              <w:spacing w:before="20" w:after="20"/>
              <w:rPr>
                <w:sz w:val="18"/>
                <w:lang w:eastAsia="en-AU"/>
              </w:rPr>
            </w:pPr>
            <w:r w:rsidRPr="00263597">
              <w:rPr>
                <w:sz w:val="18"/>
                <w:lang w:eastAsia="en-AU"/>
              </w:rPr>
              <w:t>R10- Enrolment expanded for PNG and SI nationals</w:t>
            </w:r>
          </w:p>
        </w:tc>
        <w:tc>
          <w:tcPr>
            <w:tcW w:w="1170" w:type="dxa"/>
            <w:vAlign w:val="center"/>
          </w:tcPr>
          <w:p w14:paraId="6CF28FDC" w14:textId="77777777" w:rsidR="00851E2E" w:rsidRPr="00263597" w:rsidRDefault="00851E2E" w:rsidP="00694967">
            <w:pPr>
              <w:spacing w:before="20" w:after="20"/>
              <w:jc w:val="center"/>
              <w:rPr>
                <w:sz w:val="18"/>
                <w:lang w:eastAsia="en-AU"/>
              </w:rPr>
            </w:pPr>
          </w:p>
        </w:tc>
        <w:tc>
          <w:tcPr>
            <w:tcW w:w="1170" w:type="dxa"/>
            <w:vAlign w:val="center"/>
          </w:tcPr>
          <w:p w14:paraId="3085EB93" w14:textId="47EEF20D"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4ACB6A4F" w14:textId="77777777" w:rsidTr="005A0B65">
        <w:tc>
          <w:tcPr>
            <w:tcW w:w="6840" w:type="dxa"/>
            <w:shd w:val="clear" w:color="auto" w:fill="E2EFD9" w:themeFill="accent6" w:themeFillTint="33"/>
          </w:tcPr>
          <w:p w14:paraId="701A2436" w14:textId="77777777" w:rsidR="00851E2E" w:rsidRPr="00263597" w:rsidRDefault="00851E2E" w:rsidP="00694967">
            <w:pPr>
              <w:spacing w:before="20" w:after="20"/>
              <w:rPr>
                <w:b/>
                <w:sz w:val="18"/>
                <w:lang w:eastAsia="en-AU"/>
              </w:rPr>
            </w:pPr>
            <w:r w:rsidRPr="00263597">
              <w:rPr>
                <w:b/>
                <w:sz w:val="18"/>
                <w:lang w:eastAsia="en-AU"/>
              </w:rPr>
              <w:t>R11- DFAT expectations clarified on regional labour mobility</w:t>
            </w:r>
          </w:p>
        </w:tc>
        <w:tc>
          <w:tcPr>
            <w:tcW w:w="1170" w:type="dxa"/>
            <w:shd w:val="clear" w:color="auto" w:fill="E2EFD9" w:themeFill="accent6" w:themeFillTint="33"/>
            <w:vAlign w:val="center"/>
          </w:tcPr>
          <w:p w14:paraId="35EC1E55" w14:textId="77777777" w:rsidR="00851E2E" w:rsidRPr="00263597" w:rsidRDefault="00851E2E" w:rsidP="00694967">
            <w:pPr>
              <w:spacing w:before="20" w:after="20"/>
              <w:jc w:val="center"/>
              <w:rPr>
                <w:sz w:val="18"/>
                <w:lang w:eastAsia="en-AU"/>
              </w:rPr>
            </w:pPr>
          </w:p>
        </w:tc>
        <w:tc>
          <w:tcPr>
            <w:tcW w:w="1170" w:type="dxa"/>
            <w:shd w:val="clear" w:color="auto" w:fill="E2EFD9" w:themeFill="accent6" w:themeFillTint="33"/>
            <w:vAlign w:val="center"/>
          </w:tcPr>
          <w:p w14:paraId="3E548051" w14:textId="135580E2"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2D6716DC" w14:textId="77777777" w:rsidTr="00851E2E">
        <w:tc>
          <w:tcPr>
            <w:tcW w:w="6840" w:type="dxa"/>
          </w:tcPr>
          <w:p w14:paraId="78BA2C17" w14:textId="2C2149E0" w:rsidR="00851E2E" w:rsidRPr="00263597" w:rsidRDefault="00851E2E" w:rsidP="00694967">
            <w:pPr>
              <w:spacing w:before="20" w:after="20"/>
              <w:ind w:left="432" w:hanging="432"/>
              <w:rPr>
                <w:sz w:val="18"/>
                <w:lang w:eastAsia="en-AU"/>
              </w:rPr>
            </w:pPr>
            <w:r w:rsidRPr="00263597">
              <w:rPr>
                <w:sz w:val="18"/>
                <w:lang w:eastAsia="en-AU"/>
              </w:rPr>
              <w:t xml:space="preserve">R12- System established to compile and update information for those </w:t>
            </w:r>
            <w:r w:rsidR="00395370">
              <w:rPr>
                <w:sz w:val="18"/>
                <w:lang w:eastAsia="en-AU"/>
              </w:rPr>
              <w:br/>
            </w:r>
            <w:r w:rsidRPr="00263597">
              <w:rPr>
                <w:sz w:val="18"/>
                <w:lang w:eastAsia="en-AU"/>
              </w:rPr>
              <w:t>wishing to migrate</w:t>
            </w:r>
          </w:p>
        </w:tc>
        <w:tc>
          <w:tcPr>
            <w:tcW w:w="1170" w:type="dxa"/>
            <w:vAlign w:val="center"/>
          </w:tcPr>
          <w:p w14:paraId="193A74EE" w14:textId="7E78EFED"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vAlign w:val="center"/>
          </w:tcPr>
          <w:p w14:paraId="72A48AA0" w14:textId="77777777" w:rsidR="00851E2E" w:rsidRPr="00263597" w:rsidRDefault="00851E2E" w:rsidP="00694967">
            <w:pPr>
              <w:spacing w:before="20" w:after="20"/>
              <w:jc w:val="center"/>
              <w:rPr>
                <w:sz w:val="18"/>
                <w:lang w:eastAsia="en-AU"/>
              </w:rPr>
            </w:pPr>
          </w:p>
        </w:tc>
      </w:tr>
      <w:tr w:rsidR="00851E2E" w:rsidRPr="00263597" w14:paraId="652371D1" w14:textId="77777777" w:rsidTr="00851E2E">
        <w:tc>
          <w:tcPr>
            <w:tcW w:w="6840" w:type="dxa"/>
          </w:tcPr>
          <w:p w14:paraId="66E4BDC7" w14:textId="77777777" w:rsidR="00851E2E" w:rsidRPr="00263597" w:rsidRDefault="00851E2E" w:rsidP="00694967">
            <w:pPr>
              <w:spacing w:before="20" w:after="20"/>
              <w:rPr>
                <w:sz w:val="18"/>
                <w:lang w:eastAsia="en-AU"/>
              </w:rPr>
            </w:pPr>
            <w:r w:rsidRPr="00263597">
              <w:rPr>
                <w:sz w:val="18"/>
                <w:lang w:eastAsia="en-AU"/>
              </w:rPr>
              <w:t xml:space="preserve">R13- Support provided to those wishing to migrate </w:t>
            </w:r>
          </w:p>
        </w:tc>
        <w:tc>
          <w:tcPr>
            <w:tcW w:w="1170" w:type="dxa"/>
            <w:vAlign w:val="center"/>
          </w:tcPr>
          <w:p w14:paraId="70515C8C" w14:textId="1266FCCC"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vAlign w:val="center"/>
          </w:tcPr>
          <w:p w14:paraId="7C585E37" w14:textId="77777777" w:rsidR="00851E2E" w:rsidRPr="00263597" w:rsidRDefault="00851E2E" w:rsidP="00694967">
            <w:pPr>
              <w:spacing w:before="20" w:after="20"/>
              <w:jc w:val="center"/>
              <w:rPr>
                <w:sz w:val="18"/>
                <w:lang w:eastAsia="en-AU"/>
              </w:rPr>
            </w:pPr>
          </w:p>
        </w:tc>
      </w:tr>
      <w:tr w:rsidR="00851E2E" w:rsidRPr="00263597" w14:paraId="2E8D6F81" w14:textId="77777777" w:rsidTr="00851E2E">
        <w:tc>
          <w:tcPr>
            <w:tcW w:w="6840" w:type="dxa"/>
          </w:tcPr>
          <w:p w14:paraId="1BD25949" w14:textId="77777777" w:rsidR="00851E2E" w:rsidRPr="00263597" w:rsidRDefault="00851E2E" w:rsidP="00694967">
            <w:pPr>
              <w:spacing w:before="20" w:after="20"/>
              <w:rPr>
                <w:sz w:val="18"/>
                <w:lang w:eastAsia="en-AU"/>
              </w:rPr>
            </w:pPr>
            <w:r w:rsidRPr="00263597">
              <w:rPr>
                <w:sz w:val="18"/>
                <w:lang w:eastAsia="en-AU"/>
              </w:rPr>
              <w:t>R14- Links established with Australian industry associations</w:t>
            </w:r>
          </w:p>
        </w:tc>
        <w:tc>
          <w:tcPr>
            <w:tcW w:w="1170" w:type="dxa"/>
            <w:vAlign w:val="center"/>
          </w:tcPr>
          <w:p w14:paraId="6FB810BF" w14:textId="77777777" w:rsidR="00851E2E" w:rsidRPr="00263597" w:rsidRDefault="00851E2E" w:rsidP="00694967">
            <w:pPr>
              <w:spacing w:before="20" w:after="20"/>
              <w:jc w:val="center"/>
              <w:rPr>
                <w:sz w:val="18"/>
                <w:lang w:eastAsia="en-AU"/>
              </w:rPr>
            </w:pPr>
          </w:p>
        </w:tc>
        <w:tc>
          <w:tcPr>
            <w:tcW w:w="1170" w:type="dxa"/>
            <w:vAlign w:val="center"/>
          </w:tcPr>
          <w:p w14:paraId="03675751" w14:textId="3490D148"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0EE7687A" w14:textId="77777777" w:rsidTr="005A0B65">
        <w:tc>
          <w:tcPr>
            <w:tcW w:w="6840" w:type="dxa"/>
            <w:shd w:val="clear" w:color="auto" w:fill="E2EFD9" w:themeFill="accent6" w:themeFillTint="33"/>
          </w:tcPr>
          <w:p w14:paraId="02FB80BB" w14:textId="77777777" w:rsidR="00851E2E" w:rsidRPr="00263597" w:rsidRDefault="00851E2E" w:rsidP="00694967">
            <w:pPr>
              <w:spacing w:before="20" w:after="20"/>
              <w:rPr>
                <w:b/>
                <w:sz w:val="18"/>
                <w:lang w:eastAsia="en-AU"/>
              </w:rPr>
            </w:pPr>
            <w:r w:rsidRPr="00263597">
              <w:rPr>
                <w:b/>
                <w:sz w:val="18"/>
                <w:lang w:eastAsia="en-AU"/>
              </w:rPr>
              <w:t>R15- M&amp;E system strengthened to evaluate APTC’s economic impact</w:t>
            </w:r>
          </w:p>
        </w:tc>
        <w:tc>
          <w:tcPr>
            <w:tcW w:w="1170" w:type="dxa"/>
            <w:shd w:val="clear" w:color="auto" w:fill="E2EFD9" w:themeFill="accent6" w:themeFillTint="33"/>
            <w:vAlign w:val="center"/>
          </w:tcPr>
          <w:p w14:paraId="058649BF" w14:textId="77777777" w:rsidR="00851E2E" w:rsidRPr="00263597" w:rsidRDefault="00851E2E" w:rsidP="00694967">
            <w:pPr>
              <w:spacing w:before="20" w:after="20"/>
              <w:jc w:val="center"/>
              <w:rPr>
                <w:sz w:val="18"/>
                <w:lang w:eastAsia="en-AU"/>
              </w:rPr>
            </w:pPr>
          </w:p>
        </w:tc>
        <w:tc>
          <w:tcPr>
            <w:tcW w:w="1170" w:type="dxa"/>
            <w:shd w:val="clear" w:color="auto" w:fill="E2EFD9" w:themeFill="accent6" w:themeFillTint="33"/>
            <w:vAlign w:val="center"/>
          </w:tcPr>
          <w:p w14:paraId="0BC7E6A1" w14:textId="10B4FE13"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33A38DC5" w14:textId="77777777" w:rsidTr="00851E2E">
        <w:tc>
          <w:tcPr>
            <w:tcW w:w="6840" w:type="dxa"/>
          </w:tcPr>
          <w:p w14:paraId="5E9FCB2A" w14:textId="77777777" w:rsidR="00851E2E" w:rsidRPr="00263597" w:rsidRDefault="00851E2E" w:rsidP="00694967">
            <w:pPr>
              <w:spacing w:before="20" w:after="20"/>
              <w:rPr>
                <w:sz w:val="18"/>
                <w:lang w:eastAsia="en-AU"/>
              </w:rPr>
            </w:pPr>
            <w:r w:rsidRPr="00263597">
              <w:rPr>
                <w:sz w:val="18"/>
                <w:lang w:eastAsia="en-AU"/>
              </w:rPr>
              <w:t>R16- Economic demand assessed for skills as part of TVET plan</w:t>
            </w:r>
          </w:p>
        </w:tc>
        <w:tc>
          <w:tcPr>
            <w:tcW w:w="1170" w:type="dxa"/>
            <w:vAlign w:val="center"/>
          </w:tcPr>
          <w:p w14:paraId="33420212" w14:textId="77777777" w:rsidR="00851E2E" w:rsidRPr="00263597" w:rsidRDefault="00851E2E" w:rsidP="00694967">
            <w:pPr>
              <w:spacing w:before="20" w:after="20"/>
              <w:jc w:val="center"/>
              <w:rPr>
                <w:sz w:val="18"/>
                <w:lang w:eastAsia="en-AU"/>
              </w:rPr>
            </w:pPr>
          </w:p>
        </w:tc>
        <w:tc>
          <w:tcPr>
            <w:tcW w:w="1170" w:type="dxa"/>
            <w:vAlign w:val="center"/>
          </w:tcPr>
          <w:p w14:paraId="06563107" w14:textId="0035CD61"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5A0B65" w14:paraId="73FFDC78" w14:textId="77777777" w:rsidTr="005A0B65">
        <w:tc>
          <w:tcPr>
            <w:tcW w:w="6840" w:type="dxa"/>
            <w:shd w:val="clear" w:color="auto" w:fill="E2EFD9" w:themeFill="accent6" w:themeFillTint="33"/>
          </w:tcPr>
          <w:p w14:paraId="24828932" w14:textId="3F00055E" w:rsidR="00851E2E" w:rsidRPr="005A0B65" w:rsidRDefault="00851E2E" w:rsidP="00B95A4E">
            <w:pPr>
              <w:spacing w:before="20" w:after="20"/>
              <w:rPr>
                <w:b/>
                <w:sz w:val="18"/>
                <w:lang w:eastAsia="en-AU"/>
              </w:rPr>
            </w:pPr>
            <w:r w:rsidRPr="005A0B65">
              <w:rPr>
                <w:b/>
                <w:sz w:val="18"/>
                <w:lang w:eastAsia="en-AU"/>
              </w:rPr>
              <w:t xml:space="preserve">R17- </w:t>
            </w:r>
            <w:r w:rsidR="00B95A4E">
              <w:rPr>
                <w:b/>
                <w:sz w:val="18"/>
                <w:lang w:eastAsia="en-AU"/>
              </w:rPr>
              <w:t>B</w:t>
            </w:r>
            <w:r w:rsidRPr="005A0B65">
              <w:rPr>
                <w:b/>
                <w:sz w:val="18"/>
                <w:lang w:eastAsia="en-AU"/>
              </w:rPr>
              <w:t xml:space="preserve">etter labour market assessment undertaken, especially </w:t>
            </w:r>
            <w:r w:rsidR="005A0B65">
              <w:rPr>
                <w:b/>
                <w:sz w:val="18"/>
                <w:lang w:eastAsia="en-AU"/>
              </w:rPr>
              <w:br/>
              <w:t xml:space="preserve">         </w:t>
            </w:r>
            <w:r w:rsidRPr="005A0B65">
              <w:rPr>
                <w:b/>
                <w:sz w:val="18"/>
                <w:lang w:eastAsia="en-AU"/>
              </w:rPr>
              <w:t>graduate tracer studies by country, occupation and gender</w:t>
            </w:r>
          </w:p>
        </w:tc>
        <w:tc>
          <w:tcPr>
            <w:tcW w:w="1170" w:type="dxa"/>
            <w:shd w:val="clear" w:color="auto" w:fill="E2EFD9" w:themeFill="accent6" w:themeFillTint="33"/>
            <w:vAlign w:val="center"/>
          </w:tcPr>
          <w:p w14:paraId="3ED619B5" w14:textId="77777777" w:rsidR="00851E2E" w:rsidRPr="005A0B65" w:rsidRDefault="00851E2E" w:rsidP="00694967">
            <w:pPr>
              <w:spacing w:before="20" w:after="20"/>
              <w:jc w:val="center"/>
              <w:rPr>
                <w:b/>
                <w:sz w:val="18"/>
                <w:lang w:eastAsia="en-AU"/>
              </w:rPr>
            </w:pPr>
          </w:p>
        </w:tc>
        <w:tc>
          <w:tcPr>
            <w:tcW w:w="1170" w:type="dxa"/>
            <w:shd w:val="clear" w:color="auto" w:fill="E2EFD9" w:themeFill="accent6" w:themeFillTint="33"/>
            <w:vAlign w:val="center"/>
          </w:tcPr>
          <w:p w14:paraId="36A506BA" w14:textId="51502466" w:rsidR="00851E2E" w:rsidRPr="005A0B65" w:rsidRDefault="00A65E6F" w:rsidP="00694967">
            <w:pPr>
              <w:spacing w:before="20" w:after="20"/>
              <w:jc w:val="center"/>
              <w:rPr>
                <w:b/>
                <w:sz w:val="18"/>
                <w:lang w:eastAsia="en-AU"/>
              </w:rPr>
            </w:pPr>
            <w:r w:rsidRPr="00A65E6F">
              <w:rPr>
                <w:sz w:val="16"/>
                <w:lang w:eastAsia="en-AU"/>
              </w:rPr>
              <w:sym w:font="Zapf Dingbats" w:char="F06C"/>
            </w:r>
          </w:p>
        </w:tc>
      </w:tr>
      <w:tr w:rsidR="00851E2E" w:rsidRPr="00263597" w14:paraId="7C40A68B" w14:textId="77777777" w:rsidTr="00851E2E">
        <w:tc>
          <w:tcPr>
            <w:tcW w:w="6840" w:type="dxa"/>
          </w:tcPr>
          <w:p w14:paraId="39B9CBB3" w14:textId="295B5963" w:rsidR="00851E2E" w:rsidRPr="00263597" w:rsidRDefault="00851E2E" w:rsidP="00B95A4E">
            <w:pPr>
              <w:spacing w:before="20" w:after="20"/>
              <w:rPr>
                <w:sz w:val="18"/>
                <w:lang w:eastAsia="en-AU"/>
              </w:rPr>
            </w:pPr>
            <w:r w:rsidRPr="00263597">
              <w:rPr>
                <w:sz w:val="18"/>
                <w:lang w:eastAsia="en-AU"/>
              </w:rPr>
              <w:t>R18- Cost</w:t>
            </w:r>
            <w:r w:rsidR="00B95A4E">
              <w:rPr>
                <w:sz w:val="18"/>
                <w:lang w:eastAsia="en-AU"/>
              </w:rPr>
              <w:t>-</w:t>
            </w:r>
            <w:r w:rsidRPr="00263597">
              <w:rPr>
                <w:sz w:val="18"/>
                <w:lang w:eastAsia="en-AU"/>
              </w:rPr>
              <w:t>cutting intensified and sustainability increased</w:t>
            </w:r>
          </w:p>
        </w:tc>
        <w:tc>
          <w:tcPr>
            <w:tcW w:w="1170" w:type="dxa"/>
            <w:vAlign w:val="center"/>
          </w:tcPr>
          <w:p w14:paraId="27C85F48" w14:textId="77777777" w:rsidR="00851E2E" w:rsidRPr="00263597" w:rsidRDefault="00851E2E" w:rsidP="00694967">
            <w:pPr>
              <w:spacing w:before="20" w:after="20"/>
              <w:jc w:val="center"/>
              <w:rPr>
                <w:sz w:val="18"/>
                <w:lang w:eastAsia="en-AU"/>
              </w:rPr>
            </w:pPr>
          </w:p>
        </w:tc>
        <w:tc>
          <w:tcPr>
            <w:tcW w:w="1170" w:type="dxa"/>
            <w:vAlign w:val="center"/>
          </w:tcPr>
          <w:p w14:paraId="4CFC0B0C" w14:textId="01AE6CF4"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12C1D6FB" w14:textId="77777777" w:rsidTr="00851E2E">
        <w:tc>
          <w:tcPr>
            <w:tcW w:w="6840" w:type="dxa"/>
          </w:tcPr>
          <w:p w14:paraId="574224DF" w14:textId="77777777" w:rsidR="00851E2E" w:rsidRPr="00263597" w:rsidRDefault="00851E2E" w:rsidP="00694967">
            <w:pPr>
              <w:spacing w:before="20" w:after="20"/>
              <w:rPr>
                <w:sz w:val="18"/>
                <w:lang w:eastAsia="en-AU"/>
              </w:rPr>
            </w:pPr>
            <w:r w:rsidRPr="00263597">
              <w:rPr>
                <w:sz w:val="18"/>
                <w:lang w:eastAsia="en-AU"/>
              </w:rPr>
              <w:t>R19- Forward-looking ERR calculated from perspective of July 2017</w:t>
            </w:r>
          </w:p>
        </w:tc>
        <w:tc>
          <w:tcPr>
            <w:tcW w:w="1170" w:type="dxa"/>
            <w:vAlign w:val="center"/>
          </w:tcPr>
          <w:p w14:paraId="1F8D5AF3" w14:textId="77777777" w:rsidR="00851E2E" w:rsidRPr="00263597" w:rsidRDefault="00851E2E" w:rsidP="00694967">
            <w:pPr>
              <w:spacing w:before="20" w:after="20"/>
              <w:jc w:val="center"/>
              <w:rPr>
                <w:sz w:val="18"/>
                <w:lang w:eastAsia="en-AU"/>
              </w:rPr>
            </w:pPr>
          </w:p>
        </w:tc>
        <w:tc>
          <w:tcPr>
            <w:tcW w:w="1170" w:type="dxa"/>
            <w:vAlign w:val="center"/>
          </w:tcPr>
          <w:p w14:paraId="0CE6F140" w14:textId="748D754C" w:rsidR="00851E2E" w:rsidRPr="00263597" w:rsidRDefault="00A65E6F" w:rsidP="00694967">
            <w:pPr>
              <w:spacing w:before="20" w:after="20"/>
              <w:jc w:val="center"/>
              <w:rPr>
                <w:sz w:val="18"/>
                <w:lang w:eastAsia="en-AU"/>
              </w:rPr>
            </w:pPr>
            <w:r w:rsidRPr="00A65E6F">
              <w:rPr>
                <w:sz w:val="16"/>
                <w:lang w:eastAsia="en-AU"/>
              </w:rPr>
              <w:sym w:font="Zapf Dingbats" w:char="F06C"/>
            </w:r>
          </w:p>
        </w:tc>
      </w:tr>
      <w:tr w:rsidR="00851E2E" w:rsidRPr="00263597" w14:paraId="7058DA02" w14:textId="77777777" w:rsidTr="00851E2E">
        <w:tc>
          <w:tcPr>
            <w:tcW w:w="6840" w:type="dxa"/>
          </w:tcPr>
          <w:p w14:paraId="31610D89" w14:textId="77777777" w:rsidR="00851E2E" w:rsidRPr="00263597" w:rsidRDefault="00851E2E" w:rsidP="00694967">
            <w:pPr>
              <w:spacing w:before="20" w:after="20"/>
              <w:rPr>
                <w:sz w:val="18"/>
                <w:lang w:eastAsia="en-AU"/>
              </w:rPr>
            </w:pPr>
            <w:r w:rsidRPr="00263597">
              <w:rPr>
                <w:sz w:val="18"/>
                <w:lang w:eastAsia="en-AU"/>
              </w:rPr>
              <w:t xml:space="preserve">R22- Two-year extension adopted </w:t>
            </w:r>
          </w:p>
        </w:tc>
        <w:tc>
          <w:tcPr>
            <w:tcW w:w="1170" w:type="dxa"/>
            <w:vAlign w:val="center"/>
          </w:tcPr>
          <w:p w14:paraId="73511D01" w14:textId="433F6D78" w:rsidR="00851E2E" w:rsidRPr="00263597" w:rsidRDefault="00A65E6F" w:rsidP="00694967">
            <w:pPr>
              <w:spacing w:before="20" w:after="20"/>
              <w:jc w:val="center"/>
              <w:rPr>
                <w:sz w:val="18"/>
                <w:lang w:eastAsia="en-AU"/>
              </w:rPr>
            </w:pPr>
            <w:r w:rsidRPr="00A65E6F">
              <w:rPr>
                <w:sz w:val="16"/>
                <w:lang w:eastAsia="en-AU"/>
              </w:rPr>
              <w:sym w:font="Zapf Dingbats" w:char="F06C"/>
            </w:r>
          </w:p>
        </w:tc>
        <w:tc>
          <w:tcPr>
            <w:tcW w:w="1170" w:type="dxa"/>
            <w:vAlign w:val="center"/>
          </w:tcPr>
          <w:p w14:paraId="09D2A035" w14:textId="77777777" w:rsidR="00851E2E" w:rsidRPr="00263597" w:rsidRDefault="00851E2E" w:rsidP="00694967">
            <w:pPr>
              <w:spacing w:before="20" w:after="20"/>
              <w:jc w:val="center"/>
              <w:rPr>
                <w:sz w:val="18"/>
                <w:lang w:eastAsia="en-AU"/>
              </w:rPr>
            </w:pPr>
          </w:p>
        </w:tc>
      </w:tr>
      <w:tr w:rsidR="00851E2E" w:rsidRPr="00263597" w14:paraId="43CFE8F1" w14:textId="77777777" w:rsidTr="00851E2E">
        <w:tc>
          <w:tcPr>
            <w:tcW w:w="6840" w:type="dxa"/>
            <w:tcBorders>
              <w:bottom w:val="single" w:sz="4" w:space="0" w:color="A8D08D" w:themeColor="accent6" w:themeTint="99"/>
            </w:tcBorders>
          </w:tcPr>
          <w:p w14:paraId="1BB066E1" w14:textId="3080E4BC" w:rsidR="00851E2E" w:rsidRPr="00263597" w:rsidRDefault="00851E2E" w:rsidP="00694967">
            <w:pPr>
              <w:spacing w:before="20" w:after="20"/>
              <w:rPr>
                <w:sz w:val="18"/>
                <w:lang w:eastAsia="en-AU"/>
              </w:rPr>
            </w:pPr>
            <w:r w:rsidRPr="00263597">
              <w:rPr>
                <w:sz w:val="18"/>
                <w:lang w:eastAsia="en-AU"/>
              </w:rPr>
              <w:t xml:space="preserve">R23- External assessment of two-year interim period completed and decision taken </w:t>
            </w:r>
            <w:r w:rsidR="00B95A4E">
              <w:rPr>
                <w:sz w:val="18"/>
                <w:lang w:eastAsia="en-AU"/>
              </w:rPr>
              <w:br/>
              <w:t xml:space="preserve">         </w:t>
            </w:r>
            <w:r w:rsidRPr="00263597">
              <w:rPr>
                <w:sz w:val="18"/>
                <w:lang w:eastAsia="en-AU"/>
              </w:rPr>
              <w:t>in regard to any Stage III</w:t>
            </w:r>
          </w:p>
        </w:tc>
        <w:tc>
          <w:tcPr>
            <w:tcW w:w="1170" w:type="dxa"/>
            <w:tcBorders>
              <w:bottom w:val="single" w:sz="4" w:space="0" w:color="A8D08D" w:themeColor="accent6" w:themeTint="99"/>
            </w:tcBorders>
            <w:vAlign w:val="center"/>
          </w:tcPr>
          <w:p w14:paraId="59678BCC" w14:textId="77777777" w:rsidR="00851E2E" w:rsidRPr="00263597" w:rsidRDefault="00851E2E" w:rsidP="00694967">
            <w:pPr>
              <w:spacing w:before="20" w:after="20"/>
              <w:jc w:val="center"/>
              <w:rPr>
                <w:sz w:val="18"/>
                <w:lang w:eastAsia="en-AU"/>
              </w:rPr>
            </w:pPr>
          </w:p>
        </w:tc>
        <w:tc>
          <w:tcPr>
            <w:tcW w:w="1170" w:type="dxa"/>
            <w:tcBorders>
              <w:bottom w:val="single" w:sz="4" w:space="0" w:color="A8D08D" w:themeColor="accent6" w:themeTint="99"/>
            </w:tcBorders>
            <w:vAlign w:val="center"/>
          </w:tcPr>
          <w:p w14:paraId="746AE494" w14:textId="4FB8AAE6" w:rsidR="00851E2E" w:rsidRPr="00263597" w:rsidRDefault="00A65E6F" w:rsidP="00694967">
            <w:pPr>
              <w:spacing w:before="20" w:after="20"/>
              <w:jc w:val="center"/>
              <w:rPr>
                <w:sz w:val="18"/>
                <w:lang w:eastAsia="en-AU"/>
              </w:rPr>
            </w:pPr>
            <w:r w:rsidRPr="00A65E6F">
              <w:rPr>
                <w:sz w:val="16"/>
                <w:lang w:eastAsia="en-AU"/>
              </w:rPr>
              <w:sym w:font="Zapf Dingbats" w:char="F06C"/>
            </w:r>
          </w:p>
        </w:tc>
      </w:tr>
    </w:tbl>
    <w:p w14:paraId="1A28440A" w14:textId="14C4F145" w:rsidR="00851E2E" w:rsidRPr="00263597" w:rsidRDefault="00851E2E" w:rsidP="00851E2E">
      <w:pPr>
        <w:spacing w:after="0"/>
        <w:rPr>
          <w:sz w:val="18"/>
          <w:szCs w:val="18"/>
          <w:u w:val="single"/>
        </w:rPr>
      </w:pPr>
      <w:r>
        <w:rPr>
          <w:sz w:val="18"/>
          <w:szCs w:val="18"/>
          <w:u w:val="single"/>
        </w:rPr>
        <w:br/>
      </w:r>
      <w:r w:rsidRPr="00263597">
        <w:rPr>
          <w:sz w:val="18"/>
          <w:szCs w:val="18"/>
          <w:u w:val="single"/>
        </w:rPr>
        <w:t xml:space="preserve">Note </w:t>
      </w:r>
    </w:p>
    <w:p w14:paraId="15C6E8FC" w14:textId="77777777" w:rsidR="00851E2E" w:rsidRPr="00263597" w:rsidRDefault="00851E2E" w:rsidP="00851E2E">
      <w:pPr>
        <w:spacing w:after="0"/>
        <w:rPr>
          <w:sz w:val="18"/>
          <w:szCs w:val="18"/>
        </w:rPr>
      </w:pPr>
      <w:r w:rsidRPr="00263597">
        <w:rPr>
          <w:b/>
          <w:sz w:val="18"/>
          <w:szCs w:val="18"/>
        </w:rPr>
        <w:t>R1</w:t>
      </w:r>
      <w:r w:rsidRPr="00263597">
        <w:rPr>
          <w:sz w:val="18"/>
          <w:szCs w:val="18"/>
        </w:rPr>
        <w:t xml:space="preserve">-In order to be completed by mid-2017, work on the regional TVET strategy and long-term APTC plan would need to begin before the end of Stage II, as well as </w:t>
      </w:r>
      <w:r w:rsidRPr="00263597">
        <w:rPr>
          <w:b/>
          <w:sz w:val="18"/>
          <w:szCs w:val="18"/>
        </w:rPr>
        <w:t>R15</w:t>
      </w:r>
      <w:r w:rsidRPr="00263597">
        <w:rPr>
          <w:sz w:val="18"/>
          <w:szCs w:val="18"/>
        </w:rPr>
        <w:t xml:space="preserve"> work on strengthening the M&amp;E system. </w:t>
      </w:r>
      <w:r w:rsidRPr="00263597">
        <w:rPr>
          <w:b/>
          <w:sz w:val="18"/>
          <w:szCs w:val="18"/>
        </w:rPr>
        <w:t>R20</w:t>
      </w:r>
      <w:r w:rsidRPr="00263597">
        <w:rPr>
          <w:sz w:val="18"/>
          <w:szCs w:val="18"/>
        </w:rPr>
        <w:t xml:space="preserve"> and </w:t>
      </w:r>
      <w:r w:rsidRPr="00263597">
        <w:rPr>
          <w:b/>
          <w:sz w:val="18"/>
          <w:szCs w:val="18"/>
        </w:rPr>
        <w:t>R21</w:t>
      </w:r>
      <w:r w:rsidRPr="00263597">
        <w:rPr>
          <w:sz w:val="18"/>
          <w:szCs w:val="18"/>
        </w:rPr>
        <w:t xml:space="preserve"> are by definition actions to be taken in the short term and are not included above. </w:t>
      </w:r>
    </w:p>
    <w:p w14:paraId="62689033" w14:textId="77777777" w:rsidR="00851E2E" w:rsidRDefault="00851E2E" w:rsidP="00851E2E"/>
    <w:p w14:paraId="0AE4CB9D" w14:textId="77777777" w:rsidR="00851E2E" w:rsidRPr="00954135" w:rsidRDefault="00851E2E" w:rsidP="00851E2E">
      <w:r w:rsidRPr="00954135">
        <w:t>Before the end of the current contract (mid-2015):</w:t>
      </w:r>
    </w:p>
    <w:p w14:paraId="06640521" w14:textId="77777777" w:rsidR="00851E2E" w:rsidRPr="00954135" w:rsidRDefault="00851E2E" w:rsidP="00851E2E">
      <w:pPr>
        <w:ind w:left="720"/>
      </w:pPr>
      <w:r w:rsidRPr="00954135">
        <w:t>DFAT contracts a single RTO</w:t>
      </w:r>
      <w:r>
        <w:t xml:space="preserve"> for implementation and</w:t>
      </w:r>
      <w:r w:rsidRPr="004A077A">
        <w:t xml:space="preserve"> separate</w:t>
      </w:r>
      <w:r>
        <w:t>s</w:t>
      </w:r>
      <w:r w:rsidRPr="004A077A">
        <w:t xml:space="preserve"> education and administrative policies/procedures</w:t>
      </w:r>
      <w:r>
        <w:t xml:space="preserve"> </w:t>
      </w:r>
      <w:r w:rsidRPr="00954135">
        <w:t>(</w:t>
      </w:r>
      <w:r w:rsidRPr="00954135">
        <w:rPr>
          <w:b/>
        </w:rPr>
        <w:t>R3</w:t>
      </w:r>
      <w:r w:rsidRPr="00954135">
        <w:t xml:space="preserve">), </w:t>
      </w:r>
      <w:r>
        <w:t xml:space="preserve">adopts </w:t>
      </w:r>
      <w:r w:rsidRPr="00954135">
        <w:t>a two-year extension (</w:t>
      </w:r>
      <w:r w:rsidRPr="00954135">
        <w:rPr>
          <w:b/>
        </w:rPr>
        <w:t>R22)</w:t>
      </w:r>
      <w:r w:rsidRPr="00954135">
        <w:t>, and undertakes other short-term actions (</w:t>
      </w:r>
      <w:r w:rsidRPr="00954135">
        <w:rPr>
          <w:b/>
        </w:rPr>
        <w:t>R21</w:t>
      </w:r>
      <w:r w:rsidRPr="00954135">
        <w:t>).</w:t>
      </w:r>
    </w:p>
    <w:p w14:paraId="46257437" w14:textId="77777777" w:rsidR="00851E2E" w:rsidRPr="00954135" w:rsidRDefault="00851E2E" w:rsidP="00851E2E">
      <w:pPr>
        <w:ind w:left="720"/>
      </w:pPr>
      <w:r w:rsidRPr="00954135">
        <w:t>APTC integrates policies and procedures (</w:t>
      </w:r>
      <w:r w:rsidRPr="00954135">
        <w:rPr>
          <w:b/>
        </w:rPr>
        <w:t>R3</w:t>
      </w:r>
      <w:r w:rsidRPr="00954135">
        <w:t>), increases delegations to country managers (</w:t>
      </w:r>
      <w:r w:rsidRPr="00954135">
        <w:rPr>
          <w:b/>
        </w:rPr>
        <w:t>R4</w:t>
      </w:r>
      <w:r w:rsidRPr="00954135">
        <w:t>), rationalises the structure and locations (</w:t>
      </w:r>
      <w:r w:rsidRPr="00954135">
        <w:rPr>
          <w:b/>
        </w:rPr>
        <w:t>R5</w:t>
      </w:r>
      <w:r w:rsidRPr="00954135">
        <w:t>), prepares a risk management plan on nationalisation (</w:t>
      </w:r>
      <w:r w:rsidRPr="00954135">
        <w:rPr>
          <w:b/>
        </w:rPr>
        <w:t>R7</w:t>
      </w:r>
      <w:r w:rsidRPr="00954135">
        <w:t xml:space="preserve">), provides </w:t>
      </w:r>
      <w:r>
        <w:t xml:space="preserve">information and </w:t>
      </w:r>
      <w:r w:rsidRPr="00954135">
        <w:t>support for potential migrants (</w:t>
      </w:r>
      <w:r>
        <w:rPr>
          <w:b/>
        </w:rPr>
        <w:t xml:space="preserve">R12 </w:t>
      </w:r>
      <w:r w:rsidRPr="00343AE9">
        <w:t xml:space="preserve">and </w:t>
      </w:r>
      <w:r>
        <w:rPr>
          <w:b/>
        </w:rPr>
        <w:t>R13</w:t>
      </w:r>
      <w:r w:rsidRPr="00954135">
        <w:t>), and undertakes other short-term actions (</w:t>
      </w:r>
      <w:r w:rsidRPr="00954135">
        <w:rPr>
          <w:b/>
        </w:rPr>
        <w:t>R20</w:t>
      </w:r>
      <w:r w:rsidRPr="00954135">
        <w:t>).</w:t>
      </w:r>
    </w:p>
    <w:p w14:paraId="25E848C9" w14:textId="77777777" w:rsidR="00851E2E" w:rsidRPr="00954135" w:rsidRDefault="00851E2E" w:rsidP="00851E2E">
      <w:r w:rsidRPr="00954135">
        <w:t>Before the end of any two-year extension (mid-2017)</w:t>
      </w:r>
      <w:r>
        <w:t>:</w:t>
      </w:r>
    </w:p>
    <w:p w14:paraId="5B3D0296" w14:textId="5BCEB7DB" w:rsidR="00851E2E" w:rsidRPr="00954135" w:rsidRDefault="00851E2E" w:rsidP="00851E2E">
      <w:pPr>
        <w:ind w:left="720"/>
      </w:pPr>
      <w:r w:rsidRPr="00395370">
        <w:rPr>
          <w:b/>
        </w:rPr>
        <w:t xml:space="preserve">DFAT </w:t>
      </w:r>
      <w:r w:rsidRPr="00954135">
        <w:t>prepares a regional TVET strategy and long-term vision/plan for APTC (</w:t>
      </w:r>
      <w:r w:rsidRPr="00954135">
        <w:rPr>
          <w:b/>
        </w:rPr>
        <w:t>R1</w:t>
      </w:r>
      <w:r w:rsidRPr="00954135">
        <w:t>), establishes country consultative forums and restructures the regional advisory group (</w:t>
      </w:r>
      <w:r w:rsidRPr="00954135">
        <w:rPr>
          <w:b/>
        </w:rPr>
        <w:t>R8</w:t>
      </w:r>
      <w:r w:rsidRPr="00954135">
        <w:t>), clarifies its expectations on regional labour mobility and adopts a coordinated approach to immigration (</w:t>
      </w:r>
      <w:r w:rsidRPr="00954135">
        <w:rPr>
          <w:b/>
        </w:rPr>
        <w:t>R11</w:t>
      </w:r>
      <w:r w:rsidRPr="00954135">
        <w:t>), strengthens M&amp;E on economic impact (</w:t>
      </w:r>
      <w:r w:rsidRPr="009C76A7">
        <w:rPr>
          <w:b/>
        </w:rPr>
        <w:t>R15</w:t>
      </w:r>
      <w:r w:rsidRPr="00954135">
        <w:t>), assesses economic demand for skills (</w:t>
      </w:r>
      <w:r w:rsidRPr="00954135">
        <w:rPr>
          <w:b/>
        </w:rPr>
        <w:t>R16</w:t>
      </w:r>
      <w:r w:rsidRPr="00954135">
        <w:t xml:space="preserve">), calculates a forward-looking ERR for any Stage III </w:t>
      </w:r>
      <w:r>
        <w:t>(</w:t>
      </w:r>
      <w:r w:rsidRPr="00954135">
        <w:t>treating costs during Stages I and II as sunk costs</w:t>
      </w:r>
      <w:r>
        <w:t>)</w:t>
      </w:r>
      <w:r w:rsidRPr="00954135">
        <w:t xml:space="preserve"> (</w:t>
      </w:r>
      <w:r w:rsidRPr="00954135">
        <w:rPr>
          <w:b/>
        </w:rPr>
        <w:t>R19</w:t>
      </w:r>
      <w:r w:rsidRPr="00954135">
        <w:t xml:space="preserve">), and arranges an </w:t>
      </w:r>
      <w:r>
        <w:t>external</w:t>
      </w:r>
      <w:r w:rsidRPr="00954135">
        <w:t xml:space="preserve"> assessment of any Stage III design (</w:t>
      </w:r>
      <w:r w:rsidRPr="00954135">
        <w:rPr>
          <w:b/>
        </w:rPr>
        <w:t>R</w:t>
      </w:r>
      <w:r>
        <w:rPr>
          <w:b/>
        </w:rPr>
        <w:t>23</w:t>
      </w:r>
      <w:r w:rsidRPr="00954135">
        <w:t>).</w:t>
      </w:r>
    </w:p>
    <w:p w14:paraId="4E991DD7" w14:textId="54D0B889" w:rsidR="00851E2E" w:rsidRPr="00954135" w:rsidRDefault="00851E2E" w:rsidP="00851E2E">
      <w:pPr>
        <w:ind w:left="720"/>
      </w:pPr>
      <w:r w:rsidRPr="00395370">
        <w:rPr>
          <w:b/>
        </w:rPr>
        <w:t>APTC</w:t>
      </w:r>
      <w:r w:rsidRPr="00954135">
        <w:t xml:space="preserve"> prepares country strategies (</w:t>
      </w:r>
      <w:r w:rsidRPr="00954135">
        <w:rPr>
          <w:b/>
        </w:rPr>
        <w:t>R2</w:t>
      </w:r>
      <w:r w:rsidRPr="00954135">
        <w:t>), strengthens the business development plan (</w:t>
      </w:r>
      <w:r w:rsidRPr="00954135">
        <w:rPr>
          <w:b/>
        </w:rPr>
        <w:t>R6</w:t>
      </w:r>
      <w:r w:rsidRPr="00954135">
        <w:t>), expands the CPD (</w:t>
      </w:r>
      <w:r w:rsidRPr="00954135">
        <w:rPr>
          <w:b/>
        </w:rPr>
        <w:t>R9</w:t>
      </w:r>
      <w:r w:rsidRPr="00954135">
        <w:t>), increases participation by nationals from PNG and SI (</w:t>
      </w:r>
      <w:r w:rsidRPr="00954135">
        <w:rPr>
          <w:b/>
        </w:rPr>
        <w:t>R10</w:t>
      </w:r>
      <w:r w:rsidRPr="00954135">
        <w:t>), establishes links with overseas employers (</w:t>
      </w:r>
      <w:r w:rsidRPr="00954135">
        <w:rPr>
          <w:b/>
        </w:rPr>
        <w:t>R14</w:t>
      </w:r>
      <w:r w:rsidRPr="00954135">
        <w:t>),</w:t>
      </w:r>
      <w:r>
        <w:t xml:space="preserve"> </w:t>
      </w:r>
      <w:r w:rsidRPr="00954135">
        <w:t xml:space="preserve">undertakes </w:t>
      </w:r>
      <w:r>
        <w:t xml:space="preserve">appropriate </w:t>
      </w:r>
      <w:r w:rsidR="0085369A">
        <w:t>l</w:t>
      </w:r>
      <w:r w:rsidRPr="00954135">
        <w:t>abour market assessment as a basis for adjusting the training plan (</w:t>
      </w:r>
      <w:r w:rsidRPr="00954135">
        <w:rPr>
          <w:b/>
        </w:rPr>
        <w:t>R17</w:t>
      </w:r>
      <w:r w:rsidRPr="00954135">
        <w:t>)</w:t>
      </w:r>
      <w:r>
        <w:t xml:space="preserve">, </w:t>
      </w:r>
      <w:r w:rsidRPr="00954135">
        <w:t>and intensifies cost</w:t>
      </w:r>
      <w:r>
        <w:t>-</w:t>
      </w:r>
      <w:r w:rsidRPr="00954135">
        <w:t>cutting steps to increase sustainability (</w:t>
      </w:r>
      <w:r w:rsidRPr="00954135">
        <w:rPr>
          <w:b/>
        </w:rPr>
        <w:t>R18</w:t>
      </w:r>
      <w:r w:rsidRPr="00954135">
        <w:t>).</w:t>
      </w:r>
    </w:p>
    <w:p w14:paraId="130DCDAA" w14:textId="49276457" w:rsidR="00954135" w:rsidRDefault="00900D40" w:rsidP="009C76A7">
      <w:pPr>
        <w:pStyle w:val="Heading2"/>
      </w:pPr>
      <w:bookmarkStart w:id="114" w:name="_Toc278710584"/>
      <w:r>
        <w:t>Conclusion</w:t>
      </w:r>
      <w:bookmarkEnd w:id="114"/>
    </w:p>
    <w:p w14:paraId="07414BAE" w14:textId="11FD572F" w:rsidR="00900D40" w:rsidRPr="00900D40" w:rsidRDefault="00900D40" w:rsidP="004D545C">
      <w:r>
        <w:t xml:space="preserve">As noted in this review, APTC has achieved </w:t>
      </w:r>
      <w:r w:rsidR="00A01A97">
        <w:t xml:space="preserve">substantial </w:t>
      </w:r>
      <w:r>
        <w:t xml:space="preserve">outcomes </w:t>
      </w:r>
      <w:r w:rsidR="00470E99">
        <w:t xml:space="preserve">while operating </w:t>
      </w:r>
      <w:r>
        <w:t xml:space="preserve">in a </w:t>
      </w:r>
      <w:r w:rsidR="004939BA">
        <w:t xml:space="preserve">highly </w:t>
      </w:r>
      <w:r>
        <w:t xml:space="preserve">complex, regional environment. These achievements include high completion rates, a supply of graduates with Australian qualifications, employer satisfaction with graduates, high female participation and the </w:t>
      </w:r>
      <w:r w:rsidR="006D389D">
        <w:t xml:space="preserve">recent start on </w:t>
      </w:r>
      <w:r>
        <w:t xml:space="preserve">nationalisation of teaching staff. APTC has enhanced the skills of existing workers, offering a second chance to this group </w:t>
      </w:r>
      <w:r w:rsidR="006D389D">
        <w:t xml:space="preserve">without </w:t>
      </w:r>
      <w:r>
        <w:t>competing with NTIs in the region.</w:t>
      </w:r>
      <w:r w:rsidR="004939BA" w:rsidRPr="004939BA">
        <w:t xml:space="preserve"> Its graduates are often effusive in their praise and gratitude to APTC for the opportunity afforded them. </w:t>
      </w:r>
      <w:r>
        <w:t xml:space="preserve">APTC is likely to have </w:t>
      </w:r>
      <w:r w:rsidR="006D389D">
        <w:t xml:space="preserve">some </w:t>
      </w:r>
      <w:r>
        <w:t xml:space="preserve">long-term impact on </w:t>
      </w:r>
      <w:r w:rsidR="006D389D">
        <w:t xml:space="preserve">raising </w:t>
      </w:r>
      <w:r>
        <w:t>the quality of TVET training in the Pacific.</w:t>
      </w:r>
      <w:r w:rsidR="004939BA">
        <w:t xml:space="preserve"> </w:t>
      </w:r>
      <w:r w:rsidR="004939BA" w:rsidRPr="004939BA">
        <w:t>The body of this report and the annexes outline the extent of these impressive achievements in detail.</w:t>
      </w:r>
      <w:r>
        <w:t xml:space="preserve"> </w:t>
      </w:r>
    </w:p>
    <w:p w14:paraId="4E9220BF" w14:textId="141BEE92" w:rsidR="00900D40" w:rsidRDefault="00294CCE" w:rsidP="009C76A7">
      <w:pPr>
        <w:rPr>
          <w:rFonts w:cs="Arial"/>
        </w:rPr>
      </w:pPr>
      <w:r>
        <w:rPr>
          <w:rFonts w:cs="Arial"/>
        </w:rPr>
        <w:t>The review team has identified t</w:t>
      </w:r>
      <w:r w:rsidR="00544D5E">
        <w:rPr>
          <w:rFonts w:cs="Arial"/>
        </w:rPr>
        <w:t>he shortcomings and issues faced by APTC. These include</w:t>
      </w:r>
      <w:r w:rsidR="00395370">
        <w:rPr>
          <w:rFonts w:cs="Arial"/>
        </w:rPr>
        <w:t>:</w:t>
      </w:r>
      <w:r w:rsidR="00544D5E">
        <w:rPr>
          <w:rFonts w:cs="Arial"/>
        </w:rPr>
        <w:t xml:space="preserve"> </w:t>
      </w:r>
      <w:r>
        <w:rPr>
          <w:rFonts w:cs="Arial"/>
        </w:rPr>
        <w:t>inadequate labour market analysis</w:t>
      </w:r>
      <w:r w:rsidR="00832AAF">
        <w:rPr>
          <w:rFonts w:cs="Arial"/>
        </w:rPr>
        <w:t>;</w:t>
      </w:r>
      <w:r>
        <w:rPr>
          <w:rFonts w:cs="Arial"/>
        </w:rPr>
        <w:t xml:space="preserve"> </w:t>
      </w:r>
      <w:r w:rsidR="00BF576C">
        <w:rPr>
          <w:rFonts w:cs="Arial"/>
        </w:rPr>
        <w:t>low</w:t>
      </w:r>
      <w:r w:rsidR="006D389D">
        <w:rPr>
          <w:rFonts w:cs="Arial"/>
        </w:rPr>
        <w:t>er</w:t>
      </w:r>
      <w:r w:rsidR="00BF576C">
        <w:rPr>
          <w:rFonts w:cs="Arial"/>
        </w:rPr>
        <w:t xml:space="preserve"> rates of graduate employment in some fields</w:t>
      </w:r>
      <w:r w:rsidR="002D1961">
        <w:rPr>
          <w:rFonts w:cs="Arial"/>
        </w:rPr>
        <w:t>;</w:t>
      </w:r>
      <w:r w:rsidR="00BF576C">
        <w:rPr>
          <w:rFonts w:cs="Arial"/>
        </w:rPr>
        <w:t xml:space="preserve"> inadequate support for labour migration</w:t>
      </w:r>
      <w:r w:rsidR="002D1961">
        <w:rPr>
          <w:rFonts w:cs="Arial"/>
        </w:rPr>
        <w:t>;</w:t>
      </w:r>
      <w:r w:rsidR="00B43329">
        <w:rPr>
          <w:rFonts w:cs="Arial"/>
        </w:rPr>
        <w:t xml:space="preserve"> very high unit costs</w:t>
      </w:r>
      <w:r w:rsidR="002D1961">
        <w:rPr>
          <w:rFonts w:cs="Arial"/>
        </w:rPr>
        <w:t>;</w:t>
      </w:r>
      <w:r w:rsidR="00B43329">
        <w:rPr>
          <w:rFonts w:cs="Arial"/>
        </w:rPr>
        <w:t xml:space="preserve"> a dependence on expatriate staff</w:t>
      </w:r>
      <w:r w:rsidR="002D1961">
        <w:rPr>
          <w:rFonts w:cs="Arial"/>
        </w:rPr>
        <w:t>;</w:t>
      </w:r>
      <w:r w:rsidR="00832AAF">
        <w:rPr>
          <w:rFonts w:cs="Arial"/>
        </w:rPr>
        <w:t xml:space="preserve"> and </w:t>
      </w:r>
      <w:r w:rsidR="00B43329">
        <w:rPr>
          <w:rFonts w:cs="Arial"/>
        </w:rPr>
        <w:t>inefficiencies in implementing the program</w:t>
      </w:r>
      <w:r w:rsidR="009B5992">
        <w:rPr>
          <w:rFonts w:cs="Arial"/>
        </w:rPr>
        <w:t xml:space="preserve">. Additionally, </w:t>
      </w:r>
      <w:r w:rsidR="00B43329">
        <w:rPr>
          <w:rFonts w:cs="Arial"/>
        </w:rPr>
        <w:t>APTC operates in a strategic vacuum.</w:t>
      </w:r>
    </w:p>
    <w:p w14:paraId="4040B93D" w14:textId="186FB23D" w:rsidR="002D1961" w:rsidRDefault="002D1961" w:rsidP="00900D40">
      <w:pPr>
        <w:rPr>
          <w:rFonts w:cs="Arial"/>
        </w:rPr>
      </w:pPr>
      <w:r>
        <w:rPr>
          <w:rFonts w:cs="Arial"/>
        </w:rPr>
        <w:t xml:space="preserve">Ex-post analyses concluded that rates of return fell below the cost of capital, but looking ahead </w:t>
      </w:r>
      <w:r w:rsidR="0074368F">
        <w:rPr>
          <w:rFonts w:cs="Arial"/>
        </w:rPr>
        <w:t xml:space="preserve">from the end of Stage II, </w:t>
      </w:r>
      <w:r>
        <w:rPr>
          <w:rFonts w:cs="Arial"/>
        </w:rPr>
        <w:t xml:space="preserve">returns could be positive under certain assumptions and </w:t>
      </w:r>
      <w:r w:rsidR="0074368F">
        <w:rPr>
          <w:rFonts w:cs="Arial"/>
        </w:rPr>
        <w:t xml:space="preserve">given the </w:t>
      </w:r>
      <w:r>
        <w:rPr>
          <w:rFonts w:cs="Arial"/>
        </w:rPr>
        <w:t xml:space="preserve">implementation of </w:t>
      </w:r>
      <w:r w:rsidR="0074368F">
        <w:rPr>
          <w:rFonts w:cs="Arial"/>
        </w:rPr>
        <w:t xml:space="preserve">cost-saving </w:t>
      </w:r>
      <w:r>
        <w:rPr>
          <w:rFonts w:cs="Arial"/>
        </w:rPr>
        <w:t xml:space="preserve">recommendations. </w:t>
      </w:r>
    </w:p>
    <w:p w14:paraId="1260C44A" w14:textId="00026377" w:rsidR="00900D40" w:rsidRPr="00E12183" w:rsidRDefault="00900D40" w:rsidP="00900D40">
      <w:pPr>
        <w:rPr>
          <w:rFonts w:eastAsia="Calibri" w:cs="Arial"/>
        </w:rPr>
      </w:pPr>
      <w:r w:rsidRPr="00E12183">
        <w:rPr>
          <w:rFonts w:cs="Arial"/>
        </w:rPr>
        <w:t xml:space="preserve">DFAT needs to define what success would look like in the long term for APTC. The review identified seven long-term options for APTC, ranging from a variation on the status quo to a College owned by Pacific governments or the integration of APTC campuses with national training institutions when they are ready. </w:t>
      </w:r>
      <w:r w:rsidRPr="00E12183">
        <w:rPr>
          <w:rFonts w:eastAsia="Calibri" w:cs="Arial"/>
        </w:rPr>
        <w:t xml:space="preserve">The alternatives should be analysed further to create a long-term vision and plan for APTC. </w:t>
      </w:r>
      <w:r w:rsidR="002D1961">
        <w:rPr>
          <w:rFonts w:eastAsia="Calibri" w:cs="Arial"/>
        </w:rPr>
        <w:t xml:space="preserve">In the medium term, however, </w:t>
      </w:r>
      <w:r w:rsidR="009339DE">
        <w:rPr>
          <w:rFonts w:eastAsia="Calibri" w:cs="Arial"/>
        </w:rPr>
        <w:t>APTC</w:t>
      </w:r>
      <w:r w:rsidR="002D1961">
        <w:rPr>
          <w:rFonts w:eastAsia="Calibri" w:cs="Arial"/>
        </w:rPr>
        <w:t xml:space="preserve"> will remain dependent on substantial Australian assistance.</w:t>
      </w:r>
    </w:p>
    <w:p w14:paraId="56FF11F5" w14:textId="10159A5E" w:rsidR="00900D40" w:rsidRDefault="001E299C" w:rsidP="009C76A7">
      <w:pPr>
        <w:rPr>
          <w:rFonts w:cs="Arial"/>
        </w:rPr>
      </w:pPr>
      <w:r>
        <w:rPr>
          <w:rFonts w:cs="Arial"/>
        </w:rPr>
        <w:t xml:space="preserve">The review </w:t>
      </w:r>
      <w:r w:rsidR="00392008">
        <w:rPr>
          <w:rFonts w:cs="Arial"/>
        </w:rPr>
        <w:t xml:space="preserve">has </w:t>
      </w:r>
      <w:r>
        <w:rPr>
          <w:rFonts w:cs="Arial"/>
        </w:rPr>
        <w:t xml:space="preserve">provided </w:t>
      </w:r>
      <w:r w:rsidRPr="00B51C01">
        <w:rPr>
          <w:rFonts w:cs="Arial"/>
        </w:rPr>
        <w:t>23</w:t>
      </w:r>
      <w:r>
        <w:rPr>
          <w:rFonts w:cs="Arial"/>
        </w:rPr>
        <w:t xml:space="preserve"> recommendations for consideration. The recommendations have been separated out by area and issue, along with suggestions for phasing and timing. With the current contract due to finish in mid-2015, the review recommends a two-year interim extension during which DFAT and APTC can </w:t>
      </w:r>
      <w:r w:rsidR="006D389D">
        <w:rPr>
          <w:rFonts w:cs="Arial"/>
        </w:rPr>
        <w:t xml:space="preserve">make organisational </w:t>
      </w:r>
      <w:r w:rsidR="00C326BC">
        <w:rPr>
          <w:rFonts w:cs="Arial"/>
        </w:rPr>
        <w:t xml:space="preserve">improvements </w:t>
      </w:r>
      <w:r w:rsidR="006D389D">
        <w:rPr>
          <w:rFonts w:cs="Arial"/>
        </w:rPr>
        <w:t xml:space="preserve">and </w:t>
      </w:r>
      <w:r>
        <w:rPr>
          <w:rFonts w:cs="Arial"/>
        </w:rPr>
        <w:t xml:space="preserve">prepare strategies for </w:t>
      </w:r>
      <w:r w:rsidR="0074368F">
        <w:rPr>
          <w:rFonts w:cs="Arial"/>
        </w:rPr>
        <w:t xml:space="preserve">achieving </w:t>
      </w:r>
      <w:r>
        <w:rPr>
          <w:rFonts w:cs="Arial"/>
        </w:rPr>
        <w:t>the long-term vision of APTC.</w:t>
      </w:r>
    </w:p>
    <w:p w14:paraId="07D073E6" w14:textId="77777777" w:rsidR="002215ED" w:rsidRDefault="002215ED">
      <w:pPr>
        <w:spacing w:after="0"/>
      </w:pPr>
      <w:r>
        <w:br w:type="page"/>
      </w:r>
    </w:p>
    <w:p w14:paraId="14829040" w14:textId="597565D5" w:rsidR="003F17DD" w:rsidRPr="00837BF5" w:rsidRDefault="003F17DD" w:rsidP="003F17DD">
      <w:pPr>
        <w:spacing w:after="0"/>
      </w:pPr>
      <w:r>
        <w:t>In short, t</w:t>
      </w:r>
      <w:r w:rsidRPr="00837BF5">
        <w:t xml:space="preserve">he APTC program </w:t>
      </w:r>
      <w:r>
        <w:t xml:space="preserve">has been highly successful in producing Australian qualifications, </w:t>
      </w:r>
      <w:r w:rsidR="000950AB">
        <w:t xml:space="preserve">it has been largely </w:t>
      </w:r>
      <w:r>
        <w:t>successful in meeting its equity objectives</w:t>
      </w:r>
      <w:r w:rsidR="000950AB">
        <w:t>,</w:t>
      </w:r>
      <w:r>
        <w:t xml:space="preserve"> and </w:t>
      </w:r>
      <w:r w:rsidR="000950AB">
        <w:t xml:space="preserve">it </w:t>
      </w:r>
      <w:r>
        <w:t xml:space="preserve">has contributed to </w:t>
      </w:r>
      <w:r w:rsidR="000950AB">
        <w:t xml:space="preserve">the </w:t>
      </w:r>
      <w:r>
        <w:t xml:space="preserve">development of national training institutions. </w:t>
      </w:r>
      <w:r w:rsidR="00F5267C">
        <w:t xml:space="preserve">APTC </w:t>
      </w:r>
      <w:r w:rsidRPr="00837BF5">
        <w:t xml:space="preserve">faces </w:t>
      </w:r>
      <w:r>
        <w:t xml:space="preserve">a formidable </w:t>
      </w:r>
      <w:r w:rsidRPr="00837BF5">
        <w:t>set of challenges</w:t>
      </w:r>
      <w:r>
        <w:t>, to:</w:t>
      </w:r>
    </w:p>
    <w:p w14:paraId="6FE4B15A" w14:textId="1869F4A0" w:rsidR="003F17DD" w:rsidRPr="00837BF5" w:rsidRDefault="00973309" w:rsidP="00973309">
      <w:pPr>
        <w:numPr>
          <w:ilvl w:val="0"/>
          <w:numId w:val="40"/>
        </w:numPr>
        <w:spacing w:after="0"/>
      </w:pPr>
      <w:r>
        <w:t xml:space="preserve">identify better the </w:t>
      </w:r>
      <w:r w:rsidRPr="00973309">
        <w:t xml:space="preserve">demand for skills and market absorption of graduates </w:t>
      </w:r>
    </w:p>
    <w:p w14:paraId="206445E5" w14:textId="72235244" w:rsidR="003F17DD" w:rsidRPr="00837BF5" w:rsidRDefault="003F17DD" w:rsidP="00DF7C96">
      <w:pPr>
        <w:pStyle w:val="ListParagraph"/>
        <w:numPr>
          <w:ilvl w:val="0"/>
          <w:numId w:val="40"/>
        </w:numPr>
        <w:spacing w:after="0"/>
      </w:pPr>
      <w:r>
        <w:t>expand enrolments</w:t>
      </w:r>
      <w:r w:rsidR="00973309" w:rsidRPr="00973309">
        <w:t xml:space="preserve"> and balance student int</w:t>
      </w:r>
      <w:r w:rsidR="00973309">
        <w:t xml:space="preserve">ake to give more weight to </w:t>
      </w:r>
      <w:r w:rsidR="00A52C4F">
        <w:t>PNG</w:t>
      </w:r>
      <w:r w:rsidR="00A52C4F">
        <w:br/>
        <w:t xml:space="preserve">      </w:t>
      </w:r>
      <w:r w:rsidR="00973309">
        <w:t>and</w:t>
      </w:r>
      <w:r w:rsidR="00973309" w:rsidRPr="00973309">
        <w:t xml:space="preserve"> Solomon Islands </w:t>
      </w:r>
      <w:r w:rsidRPr="00837BF5">
        <w:t>– to multiply the impact</w:t>
      </w:r>
      <w:r>
        <w:t xml:space="preserve"> and achieve scale economies</w:t>
      </w:r>
    </w:p>
    <w:p w14:paraId="41DA2E78" w14:textId="635C5A28" w:rsidR="003F17DD" w:rsidRPr="00837BF5" w:rsidRDefault="003F17DD" w:rsidP="003F17DD">
      <w:pPr>
        <w:numPr>
          <w:ilvl w:val="0"/>
          <w:numId w:val="40"/>
        </w:numPr>
        <w:spacing w:after="0"/>
      </w:pPr>
      <w:r>
        <w:t>m</w:t>
      </w:r>
      <w:r w:rsidR="00DE5EA1">
        <w:t>aintain quality (neutralis</w:t>
      </w:r>
      <w:r w:rsidRPr="00837BF5">
        <w:t>e risks to quality under nationalisation of staff)</w:t>
      </w:r>
    </w:p>
    <w:p w14:paraId="6A3587FC" w14:textId="77777777" w:rsidR="003F17DD" w:rsidRDefault="003F17DD" w:rsidP="003F17DD">
      <w:pPr>
        <w:numPr>
          <w:ilvl w:val="0"/>
          <w:numId w:val="40"/>
        </w:numPr>
        <w:spacing w:after="0"/>
      </w:pPr>
      <w:r>
        <w:t>synchronise better with Australian immigration requirements</w:t>
      </w:r>
    </w:p>
    <w:p w14:paraId="22AEB8F2" w14:textId="77777777" w:rsidR="003F17DD" w:rsidRPr="00837BF5" w:rsidRDefault="003F17DD" w:rsidP="003F17DD">
      <w:pPr>
        <w:numPr>
          <w:ilvl w:val="0"/>
          <w:numId w:val="40"/>
        </w:numPr>
        <w:spacing w:after="0"/>
      </w:pPr>
      <w:r>
        <w:t>s</w:t>
      </w:r>
      <w:r w:rsidRPr="00837BF5">
        <w:t>treamline administration and reduce unit costs</w:t>
      </w:r>
    </w:p>
    <w:p w14:paraId="23F9F30F" w14:textId="2EB9B13F" w:rsidR="003F17DD" w:rsidRPr="00837BF5" w:rsidRDefault="003F17DD" w:rsidP="004939BA">
      <w:pPr>
        <w:numPr>
          <w:ilvl w:val="0"/>
          <w:numId w:val="40"/>
        </w:numPr>
        <w:spacing w:after="0"/>
      </w:pPr>
      <w:r>
        <w:t>s</w:t>
      </w:r>
      <w:r w:rsidRPr="00837BF5">
        <w:t xml:space="preserve">erve employers better through </w:t>
      </w:r>
      <w:r>
        <w:t xml:space="preserve">provision of </w:t>
      </w:r>
      <w:r w:rsidR="004939BA" w:rsidRPr="004939BA">
        <w:t>more flexible forms of training</w:t>
      </w:r>
      <w:r w:rsidR="00A52C4F">
        <w:t>,</w:t>
      </w:r>
      <w:r w:rsidR="004939BA" w:rsidRPr="004939BA">
        <w:t xml:space="preserve"> </w:t>
      </w:r>
      <w:r w:rsidR="00A52C4F">
        <w:br/>
        <w:t xml:space="preserve">      </w:t>
      </w:r>
      <w:r w:rsidR="008E16F4">
        <w:t xml:space="preserve">such as </w:t>
      </w:r>
      <w:r>
        <w:t xml:space="preserve">short courses and </w:t>
      </w:r>
      <w:r w:rsidRPr="00837BF5">
        <w:t xml:space="preserve">skill sets  </w:t>
      </w:r>
    </w:p>
    <w:p w14:paraId="46EE4371" w14:textId="257C70D5" w:rsidR="003F17DD" w:rsidRPr="00837BF5" w:rsidRDefault="003F17DD" w:rsidP="004939BA">
      <w:pPr>
        <w:numPr>
          <w:ilvl w:val="0"/>
          <w:numId w:val="40"/>
        </w:numPr>
        <w:spacing w:after="0"/>
      </w:pPr>
      <w:r>
        <w:t>m</w:t>
      </w:r>
      <w:r w:rsidRPr="00837BF5">
        <w:t xml:space="preserve">obilise greater resources from </w:t>
      </w:r>
      <w:r w:rsidR="004939BA" w:rsidRPr="004939BA">
        <w:t xml:space="preserve">industry and </w:t>
      </w:r>
      <w:r w:rsidRPr="00837BF5">
        <w:t>enterprises</w:t>
      </w:r>
    </w:p>
    <w:p w14:paraId="3D9E1A58" w14:textId="41F0543D" w:rsidR="003F17DD" w:rsidRPr="00837BF5" w:rsidRDefault="003F17DD" w:rsidP="003F17DD">
      <w:pPr>
        <w:numPr>
          <w:ilvl w:val="0"/>
          <w:numId w:val="40"/>
        </w:numPr>
        <w:spacing w:after="0"/>
      </w:pPr>
      <w:r>
        <w:t xml:space="preserve">increase </w:t>
      </w:r>
      <w:r w:rsidR="008E16F4">
        <w:t xml:space="preserve">its </w:t>
      </w:r>
      <w:r w:rsidRPr="00837BF5">
        <w:t xml:space="preserve">impact on Pacific TVET systems </w:t>
      </w:r>
    </w:p>
    <w:p w14:paraId="75658911" w14:textId="77777777" w:rsidR="003F17DD" w:rsidRPr="00837BF5" w:rsidRDefault="003F17DD" w:rsidP="003F17DD">
      <w:pPr>
        <w:numPr>
          <w:ilvl w:val="0"/>
          <w:numId w:val="40"/>
        </w:numPr>
        <w:spacing w:after="0"/>
      </w:pPr>
      <w:r>
        <w:t>s</w:t>
      </w:r>
      <w:r w:rsidRPr="00837BF5">
        <w:t xml:space="preserve">ecure </w:t>
      </w:r>
      <w:r>
        <w:t>stronger Pacific government</w:t>
      </w:r>
      <w:r w:rsidRPr="00837BF5">
        <w:t xml:space="preserve"> buy-in</w:t>
      </w:r>
      <w:r>
        <w:t>.</w:t>
      </w:r>
    </w:p>
    <w:p w14:paraId="12D30D7A" w14:textId="77777777" w:rsidR="003F17DD" w:rsidRDefault="003F17DD" w:rsidP="009C76A7">
      <w:pPr>
        <w:rPr>
          <w:rFonts w:cs="Arial"/>
        </w:rPr>
      </w:pPr>
    </w:p>
    <w:p w14:paraId="2344698D" w14:textId="3BDC896B" w:rsidR="004450A7" w:rsidRPr="00E12183" w:rsidRDefault="004450A7" w:rsidP="009C76A7">
      <w:pPr>
        <w:rPr>
          <w:rFonts w:cs="Arial"/>
        </w:rPr>
      </w:pPr>
      <w:r w:rsidRPr="004450A7">
        <w:rPr>
          <w:rFonts w:cs="Arial"/>
        </w:rPr>
        <w:t>The challenge for DFAT is to update it</w:t>
      </w:r>
      <w:r>
        <w:rPr>
          <w:rFonts w:cs="Arial"/>
        </w:rPr>
        <w:t>s</w:t>
      </w:r>
      <w:r w:rsidRPr="004450A7">
        <w:rPr>
          <w:rFonts w:cs="Arial"/>
        </w:rPr>
        <w:t xml:space="preserve"> TVET strategy for the region</w:t>
      </w:r>
      <w:r>
        <w:rPr>
          <w:rFonts w:cs="Arial"/>
        </w:rPr>
        <w:t xml:space="preserve">, </w:t>
      </w:r>
      <w:r w:rsidRPr="004450A7">
        <w:rPr>
          <w:rFonts w:cs="Arial"/>
        </w:rPr>
        <w:t>articulate its long</w:t>
      </w:r>
      <w:r w:rsidR="00C96339">
        <w:rPr>
          <w:rFonts w:cs="Arial"/>
        </w:rPr>
        <w:t>-</w:t>
      </w:r>
      <w:r w:rsidRPr="004450A7">
        <w:rPr>
          <w:rFonts w:cs="Arial"/>
        </w:rPr>
        <w:t>term vision for APTC</w:t>
      </w:r>
      <w:r>
        <w:rPr>
          <w:rFonts w:cs="Arial"/>
        </w:rPr>
        <w:t xml:space="preserve"> and build a</w:t>
      </w:r>
      <w:r w:rsidR="000950AB">
        <w:rPr>
          <w:rFonts w:cs="Arial"/>
        </w:rPr>
        <w:t>n</w:t>
      </w:r>
      <w:r>
        <w:rPr>
          <w:rFonts w:cs="Arial"/>
        </w:rPr>
        <w:t xml:space="preserve"> M&amp;E system focused on outcomes</w:t>
      </w:r>
      <w:r w:rsidRPr="004450A7">
        <w:rPr>
          <w:rFonts w:cs="Arial"/>
        </w:rPr>
        <w:t>.</w:t>
      </w:r>
    </w:p>
    <w:sectPr w:rsidR="004450A7" w:rsidRPr="00E12183" w:rsidSect="009B3DE5">
      <w:headerReference w:type="first" r:id="rId13"/>
      <w:footerReference w:type="first" r:id="rId14"/>
      <w:pgSz w:w="11901" w:h="16834"/>
      <w:pgMar w:top="1440" w:right="1701" w:bottom="1440"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1A448" w14:textId="77777777" w:rsidR="00B71D58" w:rsidRDefault="00B71D58" w:rsidP="00A91FF7">
      <w:r>
        <w:separator/>
      </w:r>
    </w:p>
  </w:endnote>
  <w:endnote w:type="continuationSeparator" w:id="0">
    <w:p w14:paraId="37B07000" w14:textId="77777777" w:rsidR="00B71D58" w:rsidRDefault="00B71D58" w:rsidP="00A9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 Dingbats">
    <w:altName w:val="Zapf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272919"/>
      <w:docPartObj>
        <w:docPartGallery w:val="Page Numbers (Bottom of Page)"/>
        <w:docPartUnique/>
      </w:docPartObj>
    </w:sdtPr>
    <w:sdtEndPr/>
    <w:sdtContent>
      <w:p w14:paraId="756C2BC0" w14:textId="1E2052FC" w:rsidR="00B71D58" w:rsidRDefault="00B71D58" w:rsidP="00826DB4">
        <w:pPr>
          <w:pStyle w:val="Footer"/>
          <w:pBdr>
            <w:top w:val="single" w:sz="8" w:space="1" w:color="70AD47" w:themeColor="accent6"/>
          </w:pBdr>
          <w:spacing w:after="0"/>
          <w:rPr>
            <w:rStyle w:val="PageNumber"/>
            <w:b w:val="0"/>
            <w:color w:val="auto"/>
            <w:sz w:val="22"/>
          </w:rPr>
        </w:pPr>
        <w:r>
          <w:t xml:space="preserve">Page </w:t>
        </w:r>
        <w:r>
          <w:fldChar w:fldCharType="begin"/>
        </w:r>
        <w:r>
          <w:instrText xml:space="preserve"> PAGE   \* MERGEFORMAT </w:instrText>
        </w:r>
        <w:r>
          <w:fldChar w:fldCharType="separate"/>
        </w:r>
        <w:r w:rsidR="008E3831">
          <w:rPr>
            <w:noProof/>
          </w:rPr>
          <w:t>22</w:t>
        </w:r>
        <w:r>
          <w:rPr>
            <w:noProof/>
          </w:rPr>
          <w:fldChar w:fldCharType="end"/>
        </w:r>
        <w:r>
          <w:rPr>
            <w:noProof/>
          </w:rPr>
          <w:t xml:space="preserve"> </w:t>
        </w:r>
      </w:p>
      <w:p w14:paraId="51D75A63" w14:textId="77777777" w:rsidR="00B71D58" w:rsidRDefault="008E3831" w:rsidP="00D02B1A">
        <w:pPr>
          <w:pStyle w:val="Footer"/>
          <w:pBdr>
            <w:top w:val="single" w:sz="8" w:space="1" w:color="70AD47" w:themeColor="accent6"/>
          </w:pBdr>
          <w:spacing w:after="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3E00" w14:textId="0FBF5D41" w:rsidR="00B71D58" w:rsidRPr="009B3DE5" w:rsidRDefault="00B71D58" w:rsidP="009B3DE5">
    <w:pPr>
      <w:pStyle w:val="Footer"/>
      <w:pBdr>
        <w:top w:val="single" w:sz="8" w:space="1" w:color="70AD47" w:themeColor="accent6"/>
      </w:pBdr>
      <w:spacing w:after="0"/>
      <w:rPr>
        <w:b w:val="0"/>
        <w:color w:val="auto"/>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09882"/>
      <w:docPartObj>
        <w:docPartGallery w:val="Page Numbers (Bottom of Page)"/>
        <w:docPartUnique/>
      </w:docPartObj>
    </w:sdtPr>
    <w:sdtEndPr/>
    <w:sdtContent>
      <w:p w14:paraId="17BB022B" w14:textId="5F6AD549" w:rsidR="00B71D58" w:rsidRDefault="00B71D58" w:rsidP="009B3DE5">
        <w:pPr>
          <w:pStyle w:val="Footer"/>
          <w:pBdr>
            <w:top w:val="single" w:sz="8" w:space="1" w:color="70AD47" w:themeColor="accent6"/>
          </w:pBdr>
          <w:spacing w:after="0"/>
          <w:rPr>
            <w:rStyle w:val="PageNumber"/>
            <w:b w:val="0"/>
            <w:color w:val="auto"/>
            <w:sz w:val="22"/>
          </w:rPr>
        </w:pPr>
        <w:r>
          <w:t xml:space="preserve">Page </w:t>
        </w:r>
        <w:r>
          <w:fldChar w:fldCharType="begin"/>
        </w:r>
        <w:r>
          <w:instrText xml:space="preserve"> PAGE   \* MERGEFORMAT </w:instrText>
        </w:r>
        <w:r>
          <w:fldChar w:fldCharType="separate"/>
        </w:r>
        <w:r w:rsidR="008E3831">
          <w:rPr>
            <w:noProof/>
          </w:rPr>
          <w:t>1</w:t>
        </w:r>
        <w:r>
          <w:rPr>
            <w:noProof/>
          </w:rPr>
          <w:fldChar w:fldCharType="end"/>
        </w:r>
        <w:r>
          <w:rPr>
            <w:noProof/>
          </w:rPr>
          <w:t xml:space="preserve"> </w:t>
        </w:r>
      </w:p>
      <w:p w14:paraId="7C4EEFE1" w14:textId="77777777" w:rsidR="00B71D58" w:rsidRPr="009B3DE5" w:rsidRDefault="008E3831" w:rsidP="009B3DE5">
        <w:pPr>
          <w:pStyle w:val="Footer"/>
          <w:pBdr>
            <w:top w:val="single" w:sz="8" w:space="1" w:color="70AD47" w:themeColor="accent6"/>
          </w:pBdr>
          <w:spacing w:after="0"/>
          <w:rPr>
            <w:b w:val="0"/>
            <w:color w:val="auto"/>
            <w:sz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1E1D1" w14:textId="77777777" w:rsidR="00B71D58" w:rsidRDefault="00B71D58" w:rsidP="00A91FF7">
      <w:r>
        <w:separator/>
      </w:r>
    </w:p>
  </w:footnote>
  <w:footnote w:type="continuationSeparator" w:id="0">
    <w:p w14:paraId="551FE7DC" w14:textId="77777777" w:rsidR="00B71D58" w:rsidRDefault="00B71D58" w:rsidP="00A91FF7">
      <w:r>
        <w:continuationSeparator/>
      </w:r>
    </w:p>
  </w:footnote>
  <w:footnote w:id="1">
    <w:p w14:paraId="2919FDEC" w14:textId="16909EDF" w:rsidR="00B71D58" w:rsidRPr="00DF7C96" w:rsidRDefault="00B71D58" w:rsidP="00DF7C96">
      <w:pPr>
        <w:pStyle w:val="FootnoteText"/>
        <w:spacing w:after="40"/>
        <w:rPr>
          <w:lang w:val="en-US"/>
        </w:rPr>
      </w:pPr>
      <w:r>
        <w:rPr>
          <w:rStyle w:val="FootnoteReference"/>
        </w:rPr>
        <w:footnoteRef/>
      </w:r>
      <w:r>
        <w:t xml:space="preserve"> </w:t>
      </w:r>
      <w:r>
        <w:rPr>
          <w:lang w:val="en-US"/>
        </w:rPr>
        <w:t>PESDA 2011 provides a general strategy for Australian assistance to education and training in the Pacific, but needs to be updated and expanded to provide strategic guidance and a long-term vision for APTC.</w:t>
      </w:r>
    </w:p>
  </w:footnote>
  <w:footnote w:id="2">
    <w:p w14:paraId="22C7EF4A" w14:textId="02C171E5" w:rsidR="00B71D58" w:rsidRPr="009C76A7" w:rsidRDefault="00B71D58" w:rsidP="00DF7C96">
      <w:pPr>
        <w:pStyle w:val="FootnoteText"/>
        <w:spacing w:after="40"/>
        <w:rPr>
          <w:rFonts w:cs="Arial"/>
          <w:lang w:val="en-AU"/>
        </w:rPr>
      </w:pPr>
      <w:r w:rsidRPr="00257E91">
        <w:rPr>
          <w:rStyle w:val="FootnoteReference"/>
          <w:rFonts w:eastAsiaTheme="minorHAnsi"/>
          <w:sz w:val="20"/>
          <w:szCs w:val="20"/>
          <w:lang w:val="en-AU"/>
        </w:rPr>
        <w:footnoteRef/>
      </w:r>
      <w:r w:rsidRPr="00257E91">
        <w:rPr>
          <w:rFonts w:cs="Arial"/>
          <w:sz w:val="20"/>
          <w:lang w:val="en-AU"/>
        </w:rPr>
        <w:t xml:space="preserve"> </w:t>
      </w:r>
      <w:r w:rsidRPr="009C76A7">
        <w:rPr>
          <w:rFonts w:cs="Arial"/>
          <w:lang w:val="en-AU"/>
        </w:rPr>
        <w:t xml:space="preserve">Australian Government Department of Foreign Affairs and Trade. (2014). Australian </w:t>
      </w:r>
      <w:r>
        <w:rPr>
          <w:rFonts w:cs="Arial"/>
          <w:lang w:val="en-AU"/>
        </w:rPr>
        <w:t>A</w:t>
      </w:r>
      <w:r w:rsidRPr="009C76A7">
        <w:rPr>
          <w:rFonts w:cs="Arial"/>
          <w:lang w:val="en-AU"/>
        </w:rPr>
        <w:t xml:space="preserve">id, </w:t>
      </w:r>
      <w:r>
        <w:rPr>
          <w:rFonts w:cs="Arial"/>
          <w:lang w:val="en-AU"/>
        </w:rPr>
        <w:t>P</w:t>
      </w:r>
      <w:r w:rsidRPr="009C76A7">
        <w:rPr>
          <w:rFonts w:cs="Arial"/>
          <w:lang w:val="en-AU"/>
        </w:rPr>
        <w:t xml:space="preserve">romoting </w:t>
      </w:r>
      <w:r>
        <w:rPr>
          <w:rFonts w:cs="Arial"/>
          <w:lang w:val="en-AU"/>
        </w:rPr>
        <w:t>P</w:t>
      </w:r>
      <w:r w:rsidRPr="009C76A7">
        <w:rPr>
          <w:rFonts w:cs="Arial"/>
          <w:lang w:val="en-AU"/>
        </w:rPr>
        <w:t xml:space="preserve">rosperity, </w:t>
      </w:r>
      <w:r>
        <w:rPr>
          <w:rFonts w:cs="Arial"/>
          <w:lang w:val="en-AU"/>
        </w:rPr>
        <w:t>R</w:t>
      </w:r>
      <w:r w:rsidRPr="009C76A7">
        <w:rPr>
          <w:rFonts w:cs="Arial"/>
          <w:lang w:val="en-AU"/>
        </w:rPr>
        <w:t xml:space="preserve">educing </w:t>
      </w:r>
      <w:r>
        <w:rPr>
          <w:rFonts w:cs="Arial"/>
          <w:lang w:val="en-AU"/>
        </w:rPr>
        <w:t>P</w:t>
      </w:r>
      <w:r w:rsidRPr="009C76A7">
        <w:rPr>
          <w:rFonts w:cs="Arial"/>
          <w:lang w:val="en-AU"/>
        </w:rPr>
        <w:t xml:space="preserve">overty, </w:t>
      </w:r>
      <w:r>
        <w:rPr>
          <w:rFonts w:cs="Arial"/>
          <w:lang w:val="en-AU"/>
        </w:rPr>
        <w:t>E</w:t>
      </w:r>
      <w:r w:rsidRPr="009C76A7">
        <w:rPr>
          <w:rFonts w:cs="Arial"/>
          <w:lang w:val="en-AU"/>
        </w:rPr>
        <w:t xml:space="preserve">nhancing </w:t>
      </w:r>
      <w:r>
        <w:rPr>
          <w:rFonts w:cs="Arial"/>
          <w:lang w:val="en-AU"/>
        </w:rPr>
        <w:t>S</w:t>
      </w:r>
      <w:r w:rsidRPr="009C76A7">
        <w:rPr>
          <w:rFonts w:cs="Arial"/>
          <w:lang w:val="en-AU"/>
        </w:rPr>
        <w:t>tability. R</w:t>
      </w:r>
      <w:r>
        <w:rPr>
          <w:rFonts w:cs="Arial"/>
          <w:lang w:val="en-AU"/>
        </w:rPr>
        <w:t>etrieved from</w:t>
      </w:r>
      <w:r w:rsidRPr="009C76A7">
        <w:rPr>
          <w:rFonts w:cs="Arial"/>
          <w:lang w:val="en-AU"/>
        </w:rPr>
        <w:t xml:space="preserve"> </w:t>
      </w:r>
      <w:hyperlink r:id="rId1" w:history="1">
        <w:r w:rsidRPr="009C76A7">
          <w:rPr>
            <w:rStyle w:val="Hyperlink1"/>
            <w:rFonts w:cs="Arial"/>
            <w:color w:val="auto"/>
            <w:u w:val="none"/>
            <w:lang w:val="en-AU"/>
          </w:rPr>
          <w:t>http://aid.dfat.gov.au/aidpolicy/Pages/home.aspx</w:t>
        </w:r>
      </w:hyperlink>
    </w:p>
  </w:footnote>
  <w:footnote w:id="3">
    <w:p w14:paraId="6B33A227" w14:textId="654D1F29" w:rsidR="00B71D58" w:rsidRPr="009C76A7" w:rsidRDefault="00B71D58" w:rsidP="00DF7C96">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Pacific Islands Forum, </w:t>
      </w:r>
      <w:r w:rsidRPr="009C76A7">
        <w:rPr>
          <w:i/>
          <w:lang w:val="en-AU"/>
        </w:rPr>
        <w:t>Forum Communiqué 25</w:t>
      </w:r>
      <w:r>
        <w:rPr>
          <w:i/>
          <w:lang w:val="en-AU"/>
        </w:rPr>
        <w:t>–</w:t>
      </w:r>
      <w:r w:rsidRPr="009C76A7">
        <w:rPr>
          <w:i/>
          <w:lang w:val="en-AU"/>
        </w:rPr>
        <w:t>27 October 2005</w:t>
      </w:r>
      <w:r w:rsidRPr="009C76A7">
        <w:rPr>
          <w:lang w:val="en-AU"/>
        </w:rPr>
        <w:t xml:space="preserve">, </w:t>
      </w:r>
      <w:r>
        <w:rPr>
          <w:lang w:val="en-AU"/>
        </w:rPr>
        <w:t xml:space="preserve">36th </w:t>
      </w:r>
      <w:r w:rsidRPr="009C76A7">
        <w:rPr>
          <w:lang w:val="en-AU"/>
        </w:rPr>
        <w:t xml:space="preserve">Pacific Islands Forum, PIFS(05)12, </w:t>
      </w:r>
      <w:r>
        <w:rPr>
          <w:lang w:val="en-AU"/>
        </w:rPr>
        <w:br/>
        <w:t>paragraph 4</w:t>
      </w:r>
    </w:p>
  </w:footnote>
  <w:footnote w:id="4">
    <w:p w14:paraId="36E09BD1" w14:textId="112EF19E" w:rsidR="00B71D58" w:rsidRPr="009C76A7" w:rsidRDefault="00B71D58" w:rsidP="00DF7C96">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rFonts w:cs="Arial"/>
          <w:i/>
          <w:lang w:val="en-AU"/>
        </w:rPr>
        <w:t>APTC Concept Paper</w:t>
      </w:r>
      <w:r>
        <w:rPr>
          <w:rFonts w:cs="Arial"/>
          <w:lang w:val="en-AU"/>
        </w:rPr>
        <w:t>, 2006, pp. 2–3</w:t>
      </w:r>
    </w:p>
  </w:footnote>
  <w:footnote w:id="5">
    <w:p w14:paraId="61C67F42" w14:textId="507C920F" w:rsidR="00B71D58" w:rsidRPr="009C76A7" w:rsidRDefault="00B71D58" w:rsidP="00DF7C96">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Austra</w:t>
      </w:r>
      <w:r>
        <w:rPr>
          <w:lang w:val="en-AU"/>
        </w:rPr>
        <w:t xml:space="preserve">lia–Pacific Technical College, </w:t>
      </w:r>
      <w:r w:rsidRPr="009C76A7">
        <w:rPr>
          <w:lang w:val="en-AU"/>
        </w:rPr>
        <w:t>Coordination Of</w:t>
      </w:r>
      <w:r>
        <w:rPr>
          <w:lang w:val="en-AU"/>
        </w:rPr>
        <w:t>fice and Country Program Design</w:t>
      </w:r>
      <w:r w:rsidRPr="009C76A7">
        <w:rPr>
          <w:lang w:val="en-AU"/>
        </w:rPr>
        <w:t>, Final Report, 14 February 2007, p. 3. Other specific design reports provided the same statement.</w:t>
      </w:r>
    </w:p>
  </w:footnote>
  <w:footnote w:id="6">
    <w:p w14:paraId="170CFB1E" w14:textId="67832D5F" w:rsidR="00B71D58" w:rsidRPr="009C76A7" w:rsidRDefault="00B71D58" w:rsidP="00DF7C96">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i/>
          <w:lang w:val="en-AU"/>
        </w:rPr>
        <w:t xml:space="preserve">APTC Mid-Term Review, </w:t>
      </w:r>
      <w:r w:rsidRPr="009C76A7">
        <w:rPr>
          <w:lang w:val="en-AU"/>
        </w:rPr>
        <w:t>22 June 2009, p.</w:t>
      </w:r>
      <w:r>
        <w:rPr>
          <w:lang w:val="en-AU"/>
        </w:rPr>
        <w:t xml:space="preserve"> 2</w:t>
      </w:r>
    </w:p>
  </w:footnote>
  <w:footnote w:id="7">
    <w:p w14:paraId="680A7634" w14:textId="28ADBEB7" w:rsidR="00B71D58" w:rsidRPr="009C76A7" w:rsidRDefault="00B71D58" w:rsidP="00DF7C96">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Airline schedules limited the time in Solomon Islands to two working days for two team members. Coverage by the team in other countries was as follows: PNG – three team members for an average of four working days each; Vanuatu – two members spent four working days; Samoa – four members for an average of four days each; Fiji – four members for an average of five working days. </w:t>
      </w:r>
    </w:p>
  </w:footnote>
  <w:footnote w:id="8">
    <w:p w14:paraId="2088064C" w14:textId="58A3E291" w:rsidR="00B71D58" w:rsidRDefault="00B71D58" w:rsidP="00DF7C96">
      <w:pPr>
        <w:pStyle w:val="FootnoteText"/>
        <w:spacing w:after="40"/>
        <w:rPr>
          <w:sz w:val="20"/>
          <w:lang w:val="en-AU"/>
        </w:rPr>
      </w:pPr>
      <w:r w:rsidRPr="00257E91">
        <w:rPr>
          <w:rStyle w:val="FootnoteReference"/>
          <w:sz w:val="20"/>
          <w:szCs w:val="20"/>
          <w:lang w:val="en-AU"/>
        </w:rPr>
        <w:footnoteRef/>
      </w:r>
      <w:r w:rsidRPr="00257E91">
        <w:rPr>
          <w:sz w:val="20"/>
          <w:lang w:val="en-AU"/>
        </w:rPr>
        <w:t xml:space="preserve"> </w:t>
      </w:r>
      <w:r w:rsidRPr="009C76A7">
        <w:rPr>
          <w:lang w:val="en-AU"/>
        </w:rPr>
        <w:t>As noted in the Design of Stage II (p.</w:t>
      </w:r>
      <w:r>
        <w:rPr>
          <w:lang w:val="en-AU"/>
        </w:rPr>
        <w:t xml:space="preserve"> 32)</w:t>
      </w:r>
    </w:p>
  </w:footnote>
  <w:footnote w:id="9">
    <w:p w14:paraId="47F845D1" w14:textId="77777777" w:rsidR="00B71D58" w:rsidRPr="00740B8B" w:rsidRDefault="00B71D58" w:rsidP="00DF7C96">
      <w:pPr>
        <w:pStyle w:val="FootnoteText"/>
        <w:spacing w:after="40"/>
        <w:rPr>
          <w:lang w:val="en-US"/>
        </w:rPr>
      </w:pPr>
      <w:r>
        <w:rPr>
          <w:rStyle w:val="FootnoteReference"/>
        </w:rPr>
        <w:footnoteRef/>
      </w:r>
      <w:r>
        <w:t xml:space="preserve"> In addition, access to DFAT program initiatives under preparation was limited, as noted in section 1.8</w:t>
      </w:r>
      <w:r w:rsidRPr="00643AC2">
        <w:t>.</w:t>
      </w:r>
    </w:p>
  </w:footnote>
  <w:footnote w:id="10">
    <w:p w14:paraId="75DEA6C2" w14:textId="41739F32" w:rsidR="00B71D58" w:rsidRPr="00E51945" w:rsidRDefault="00B71D58" w:rsidP="00DF7C96">
      <w:pPr>
        <w:pStyle w:val="FootnoteText"/>
        <w:spacing w:after="40"/>
        <w:rPr>
          <w:lang w:val="en-US"/>
        </w:rPr>
      </w:pPr>
      <w:r>
        <w:rPr>
          <w:rStyle w:val="FootnoteReference"/>
        </w:rPr>
        <w:footnoteRef/>
      </w:r>
      <w:r>
        <w:t xml:space="preserve"> </w:t>
      </w:r>
      <w:r>
        <w:rPr>
          <w:lang w:val="en-US"/>
        </w:rPr>
        <w:t>As the 2009 MTR stated, ‘</w:t>
      </w:r>
      <w:r w:rsidRPr="00ED2532">
        <w:t>APTC has few of the characteristics of a traditional aid activity</w:t>
      </w:r>
      <w:r>
        <w:rPr>
          <w:lang w:val="en-US"/>
        </w:rPr>
        <w:t>’. (p. 9)</w:t>
      </w:r>
    </w:p>
  </w:footnote>
  <w:footnote w:id="11">
    <w:p w14:paraId="79B060AD" w14:textId="0F25521A" w:rsidR="00B71D58" w:rsidRPr="005F44B6" w:rsidRDefault="00B71D58" w:rsidP="00DF7C96">
      <w:pPr>
        <w:pStyle w:val="FootnoteText"/>
        <w:spacing w:after="40"/>
        <w:rPr>
          <w:lang w:val="en-US"/>
        </w:rPr>
      </w:pPr>
      <w:r>
        <w:rPr>
          <w:rStyle w:val="FootnoteReference"/>
        </w:rPr>
        <w:footnoteRef/>
      </w:r>
      <w:r>
        <w:t xml:space="preserve"> </w:t>
      </w:r>
      <w:r>
        <w:rPr>
          <w:i/>
          <w:lang w:val="en-US"/>
        </w:rPr>
        <w:t>Skilling the Pacific</w:t>
      </w:r>
      <w:r>
        <w:rPr>
          <w:lang w:val="en-US"/>
        </w:rPr>
        <w:t>, Chapter 1</w:t>
      </w:r>
    </w:p>
  </w:footnote>
  <w:footnote w:id="12">
    <w:p w14:paraId="7E79C4F4" w14:textId="76EB1079" w:rsidR="00B71D58" w:rsidRPr="00254A0A" w:rsidRDefault="00B71D58" w:rsidP="00DF7C96">
      <w:pPr>
        <w:pStyle w:val="FootnoteText"/>
        <w:spacing w:after="40"/>
        <w:rPr>
          <w:lang w:val="en-US"/>
        </w:rPr>
      </w:pPr>
      <w:r>
        <w:rPr>
          <w:rStyle w:val="FootnoteReference"/>
        </w:rPr>
        <w:footnoteRef/>
      </w:r>
      <w:r>
        <w:t xml:space="preserve"> Amanda Alampi </w:t>
      </w:r>
      <w:r w:rsidRPr="0056426F">
        <w:t>et. al.</w:t>
      </w:r>
      <w:r>
        <w:rPr>
          <w:i/>
        </w:rPr>
        <w:t xml:space="preserve"> </w:t>
      </w:r>
      <w:r>
        <w:t xml:space="preserve">2013, </w:t>
      </w:r>
      <w:r w:rsidRPr="00254A0A">
        <w:rPr>
          <w:i/>
        </w:rPr>
        <w:t>Beyond Skill Visibility</w:t>
      </w:r>
      <w:r>
        <w:rPr>
          <w:i/>
        </w:rPr>
        <w:t>: A New Framework for Migration and Immigration Policy</w:t>
      </w:r>
      <w:r>
        <w:t xml:space="preserve">, </w:t>
      </w:r>
      <w:r>
        <w:rPr>
          <w:lang w:val="en-US"/>
        </w:rPr>
        <w:t>p. 32</w:t>
      </w:r>
    </w:p>
  </w:footnote>
  <w:footnote w:id="13">
    <w:p w14:paraId="2085CB70" w14:textId="77777777" w:rsidR="00B71D58" w:rsidRPr="00382616" w:rsidRDefault="00B71D58" w:rsidP="00DF7C96">
      <w:pPr>
        <w:pStyle w:val="FootnoteText"/>
        <w:spacing w:after="40"/>
        <w:rPr>
          <w:lang w:val="en-US"/>
        </w:rPr>
      </w:pPr>
      <w:r>
        <w:rPr>
          <w:rStyle w:val="FootnoteReference"/>
        </w:rPr>
        <w:footnoteRef/>
      </w:r>
      <w:r>
        <w:t xml:space="preserve"> 2009 </w:t>
      </w:r>
      <w:r>
        <w:rPr>
          <w:lang w:val="en-US"/>
        </w:rPr>
        <w:t>MTR, p.9</w:t>
      </w:r>
    </w:p>
  </w:footnote>
  <w:footnote w:id="14">
    <w:p w14:paraId="47DA58D6" w14:textId="07DBBA3B" w:rsidR="00B71D58" w:rsidRPr="00382616" w:rsidRDefault="00B71D58" w:rsidP="00DF7C96">
      <w:pPr>
        <w:pStyle w:val="FootnoteText"/>
        <w:spacing w:after="40"/>
        <w:rPr>
          <w:i/>
          <w:lang w:val="en-US"/>
        </w:rPr>
      </w:pPr>
      <w:r>
        <w:rPr>
          <w:rStyle w:val="FootnoteReference"/>
        </w:rPr>
        <w:footnoteRef/>
      </w:r>
      <w:r>
        <w:t xml:space="preserve"> </w:t>
      </w:r>
      <w:r>
        <w:rPr>
          <w:i/>
          <w:lang w:val="en-US"/>
        </w:rPr>
        <w:t>Ibid</w:t>
      </w:r>
    </w:p>
  </w:footnote>
  <w:footnote w:id="15">
    <w:p w14:paraId="39D36332" w14:textId="09B22FDD" w:rsidR="00B71D58" w:rsidRPr="00DF7C96" w:rsidRDefault="00B71D58" w:rsidP="002C27A3">
      <w:pPr>
        <w:pStyle w:val="FootnoteText"/>
        <w:spacing w:after="40"/>
        <w:rPr>
          <w:lang w:val="en-US"/>
        </w:rPr>
      </w:pPr>
      <w:r>
        <w:rPr>
          <w:rStyle w:val="FootnoteReference"/>
        </w:rPr>
        <w:footnoteRef/>
      </w:r>
      <w:r>
        <w:t xml:space="preserve"> </w:t>
      </w:r>
      <w:r>
        <w:rPr>
          <w:lang w:val="en-US"/>
        </w:rPr>
        <w:t>PIFS, 2009. Pacific Education Development Framework 2009–2015, p. 9</w:t>
      </w:r>
    </w:p>
  </w:footnote>
  <w:footnote w:id="16">
    <w:p w14:paraId="650178D8" w14:textId="3F556469" w:rsidR="00B71D58" w:rsidRPr="00DF7C96" w:rsidRDefault="00B71D58" w:rsidP="002C27A3">
      <w:pPr>
        <w:pStyle w:val="FootnoteText"/>
        <w:spacing w:after="40"/>
        <w:rPr>
          <w:lang w:val="en-US"/>
        </w:rPr>
      </w:pPr>
      <w:r>
        <w:rPr>
          <w:rStyle w:val="FootnoteReference"/>
        </w:rPr>
        <w:footnoteRef/>
      </w:r>
      <w:r>
        <w:t xml:space="preserve"> </w:t>
      </w:r>
      <w:r>
        <w:rPr>
          <w:lang w:val="en-US"/>
        </w:rPr>
        <w:t xml:space="preserve">PIFS, 2012. </w:t>
      </w:r>
      <w:r>
        <w:rPr>
          <w:i/>
          <w:lang w:val="en-US"/>
        </w:rPr>
        <w:t xml:space="preserve">A Regional Framework for Technical and Vocational Education and Training (TVET) Development in Pacific Island Countries: 2012–2015. </w:t>
      </w:r>
      <w:r>
        <w:rPr>
          <w:lang w:val="en-US"/>
        </w:rPr>
        <w:t>PIEF (12) FEdMM.08</w:t>
      </w:r>
    </w:p>
  </w:footnote>
  <w:footnote w:id="17">
    <w:p w14:paraId="1E8ED8B8" w14:textId="12560873" w:rsidR="00B71D58" w:rsidRPr="00DD4AB9" w:rsidRDefault="00B71D58" w:rsidP="002C27A3">
      <w:pPr>
        <w:pStyle w:val="FootnoteText"/>
        <w:spacing w:after="40"/>
        <w:rPr>
          <w:lang w:val="en-US"/>
        </w:rPr>
      </w:pPr>
      <w:r>
        <w:rPr>
          <w:rStyle w:val="FootnoteReference"/>
        </w:rPr>
        <w:footnoteRef/>
      </w:r>
      <w:r>
        <w:t xml:space="preserve"> Australian Government, </w:t>
      </w:r>
      <w:r w:rsidRPr="00DD4AB9">
        <w:rPr>
          <w:i/>
          <w:lang w:val="en-US"/>
        </w:rPr>
        <w:t>Pacific Education</w:t>
      </w:r>
      <w:r>
        <w:rPr>
          <w:i/>
          <w:lang w:val="en-US"/>
        </w:rPr>
        <w:t xml:space="preserve"> and Skills Development Agenda, </w:t>
      </w:r>
      <w:r>
        <w:rPr>
          <w:lang w:val="en-US"/>
        </w:rPr>
        <w:t>June 2011, p.1</w:t>
      </w:r>
    </w:p>
  </w:footnote>
  <w:footnote w:id="18">
    <w:p w14:paraId="691CCF8D" w14:textId="4D0110B2" w:rsidR="00B71D58" w:rsidRPr="00DD4AB9" w:rsidRDefault="00B71D58" w:rsidP="002C27A3">
      <w:pPr>
        <w:pStyle w:val="FootnoteText"/>
        <w:spacing w:after="40"/>
        <w:rPr>
          <w:lang w:val="en-US"/>
        </w:rPr>
      </w:pPr>
      <w:r>
        <w:rPr>
          <w:rStyle w:val="FootnoteReference"/>
        </w:rPr>
        <w:footnoteRef/>
      </w:r>
      <w:r>
        <w:t xml:space="preserve"> </w:t>
      </w:r>
      <w:r>
        <w:rPr>
          <w:lang w:val="en-US"/>
        </w:rPr>
        <w:t>Ibid., p. 3</w:t>
      </w:r>
    </w:p>
  </w:footnote>
  <w:footnote w:id="19">
    <w:p w14:paraId="115343B8" w14:textId="3CEA6484" w:rsidR="00B71D58" w:rsidRPr="00DD4AB9" w:rsidRDefault="00B71D58" w:rsidP="002C27A3">
      <w:pPr>
        <w:pStyle w:val="FootnoteText"/>
        <w:spacing w:after="40"/>
        <w:rPr>
          <w:lang w:val="en-US"/>
        </w:rPr>
      </w:pPr>
      <w:r>
        <w:rPr>
          <w:rStyle w:val="FootnoteReference"/>
        </w:rPr>
        <w:footnoteRef/>
      </w:r>
      <w:r>
        <w:t xml:space="preserve"> </w:t>
      </w:r>
      <w:r>
        <w:rPr>
          <w:lang w:val="en-US"/>
        </w:rPr>
        <w:t>Ibid., p. 6</w:t>
      </w:r>
    </w:p>
  </w:footnote>
  <w:footnote w:id="20">
    <w:p w14:paraId="4259A81C" w14:textId="071F035C" w:rsidR="00B71D58" w:rsidRPr="00E51945" w:rsidRDefault="00B71D58" w:rsidP="002C27A3">
      <w:pPr>
        <w:pStyle w:val="FootnoteText"/>
        <w:spacing w:after="40"/>
        <w:rPr>
          <w:lang w:val="en-US"/>
        </w:rPr>
      </w:pPr>
      <w:r>
        <w:rPr>
          <w:rStyle w:val="FootnoteReference"/>
        </w:rPr>
        <w:footnoteRef/>
      </w:r>
      <w:r>
        <w:t xml:space="preserve"> </w:t>
      </w:r>
      <w:r>
        <w:rPr>
          <w:lang w:val="en-US"/>
        </w:rPr>
        <w:t>Ibid., p. 7</w:t>
      </w:r>
    </w:p>
  </w:footnote>
  <w:footnote w:id="21">
    <w:p w14:paraId="049311D8" w14:textId="4BD08702" w:rsidR="00B71D58" w:rsidRPr="00E51945" w:rsidRDefault="00B71D58" w:rsidP="002C27A3">
      <w:pPr>
        <w:pStyle w:val="FootnoteText"/>
        <w:spacing w:after="40"/>
        <w:rPr>
          <w:lang w:val="en-US"/>
        </w:rPr>
      </w:pPr>
      <w:r>
        <w:rPr>
          <w:rStyle w:val="FootnoteReference"/>
        </w:rPr>
        <w:footnoteRef/>
      </w:r>
      <w:r>
        <w:t xml:space="preserve"> </w:t>
      </w:r>
      <w:r>
        <w:rPr>
          <w:lang w:val="en-US"/>
        </w:rPr>
        <w:t>Ibid., p. 9</w:t>
      </w:r>
    </w:p>
  </w:footnote>
  <w:footnote w:id="22">
    <w:p w14:paraId="74A73805" w14:textId="3FCEC538" w:rsidR="00B71D58" w:rsidRPr="00740B8B" w:rsidRDefault="00B71D58" w:rsidP="002C27A3">
      <w:pPr>
        <w:pStyle w:val="FootnoteText"/>
        <w:spacing w:after="40"/>
        <w:rPr>
          <w:rFonts w:cs="Arial"/>
          <w:lang w:val="en-AU"/>
        </w:rPr>
      </w:pPr>
      <w:r w:rsidRPr="00740B8B">
        <w:rPr>
          <w:rStyle w:val="FootnoteReference"/>
          <w:sz w:val="20"/>
          <w:lang w:val="en-AU"/>
        </w:rPr>
        <w:footnoteRef/>
      </w:r>
      <w:r w:rsidRPr="00740B8B">
        <w:rPr>
          <w:rFonts w:cs="Arial"/>
          <w:lang w:val="en-AU"/>
        </w:rPr>
        <w:t xml:space="preserve"> Australian Government Department of Foreign Affairs and Trade. (2014). </w:t>
      </w:r>
      <w:r w:rsidRPr="00F54214">
        <w:rPr>
          <w:rFonts w:cs="Arial"/>
          <w:lang w:val="en-AU"/>
        </w:rPr>
        <w:t>Australian Aid, Promoting Prosperity, Reducing Poverty, Enhancing Stability. R</w:t>
      </w:r>
      <w:r w:rsidRPr="00740B8B">
        <w:rPr>
          <w:rFonts w:cs="Arial"/>
          <w:lang w:val="en-AU"/>
        </w:rPr>
        <w:t xml:space="preserve">etrieved from </w:t>
      </w:r>
      <w:hyperlink r:id="rId2" w:history="1">
        <w:r w:rsidRPr="00740B8B">
          <w:rPr>
            <w:rStyle w:val="Hyperlink1"/>
            <w:rFonts w:cs="Arial"/>
            <w:lang w:val="en-AU"/>
          </w:rPr>
          <w:t>http://aid.dfat.gov.au/aidpolicy/Pages/home.aspx</w:t>
        </w:r>
      </w:hyperlink>
      <w:r w:rsidRPr="00740B8B">
        <w:rPr>
          <w:rFonts w:cs="Arial"/>
          <w:lang w:val="en-AU"/>
        </w:rPr>
        <w:t xml:space="preserve"> </w:t>
      </w:r>
    </w:p>
  </w:footnote>
  <w:footnote w:id="23">
    <w:p w14:paraId="76EF94A2" w14:textId="020D22EA" w:rsidR="00B71D58" w:rsidRPr="00740B8B" w:rsidRDefault="00B71D58" w:rsidP="002C27A3">
      <w:pPr>
        <w:pStyle w:val="FootnoteText"/>
        <w:spacing w:after="40"/>
        <w:rPr>
          <w:rFonts w:cs="Arial"/>
          <w:lang w:val="en-AU"/>
        </w:rPr>
      </w:pPr>
      <w:r w:rsidRPr="00740B8B">
        <w:rPr>
          <w:rStyle w:val="FootnoteReference"/>
          <w:sz w:val="20"/>
          <w:lang w:val="en-AU"/>
        </w:rPr>
        <w:footnoteRef/>
      </w:r>
      <w:r w:rsidRPr="00740B8B">
        <w:rPr>
          <w:rFonts w:cs="Arial"/>
          <w:lang w:val="en-AU"/>
        </w:rPr>
        <w:t xml:space="preserve"> Ibid</w:t>
      </w:r>
      <w:r>
        <w:rPr>
          <w:rFonts w:cs="Arial"/>
          <w:lang w:val="en-AU"/>
        </w:rPr>
        <w:t xml:space="preserve">., p. </w:t>
      </w:r>
      <w:r w:rsidRPr="00740B8B">
        <w:rPr>
          <w:rFonts w:cs="Arial"/>
          <w:lang w:val="en-AU"/>
        </w:rPr>
        <w:t>19</w:t>
      </w:r>
    </w:p>
  </w:footnote>
  <w:footnote w:id="24">
    <w:p w14:paraId="19202C84" w14:textId="0F9C8E2E" w:rsidR="00B71D58" w:rsidRPr="00717D5C" w:rsidRDefault="00B71D58" w:rsidP="00177CCC">
      <w:pPr>
        <w:pStyle w:val="FootnoteText"/>
        <w:spacing w:after="40"/>
        <w:rPr>
          <w:lang w:val="en-US"/>
        </w:rPr>
      </w:pPr>
      <w:r>
        <w:rPr>
          <w:rStyle w:val="FootnoteReference"/>
        </w:rPr>
        <w:footnoteRef/>
      </w:r>
      <w:r>
        <w:t xml:space="preserve"> </w:t>
      </w:r>
      <w:r>
        <w:rPr>
          <w:lang w:val="en-US"/>
        </w:rPr>
        <w:t>Skilling Youth in the Pacific, Labour Mobility Initiative</w:t>
      </w:r>
    </w:p>
  </w:footnote>
  <w:footnote w:id="25">
    <w:p w14:paraId="76F5DEDA" w14:textId="0AD9BC52" w:rsidR="00B71D58" w:rsidRPr="00257E91" w:rsidRDefault="00B71D58" w:rsidP="00177CCC">
      <w:pPr>
        <w:pStyle w:val="FootnoteText"/>
        <w:spacing w:after="40"/>
        <w:rPr>
          <w:sz w:val="20"/>
          <w:lang w:val="en-AU"/>
        </w:rPr>
      </w:pPr>
      <w:r w:rsidRPr="00257E91">
        <w:rPr>
          <w:rStyle w:val="FootnoteReference"/>
          <w:sz w:val="20"/>
          <w:szCs w:val="20"/>
          <w:lang w:val="en-AU"/>
        </w:rPr>
        <w:footnoteRef/>
      </w:r>
      <w:r w:rsidRPr="00257E91">
        <w:rPr>
          <w:sz w:val="20"/>
          <w:lang w:val="en-AU"/>
        </w:rPr>
        <w:t xml:space="preserve"> </w:t>
      </w:r>
      <w:r w:rsidRPr="009C76A7">
        <w:rPr>
          <w:lang w:val="en-AU"/>
        </w:rPr>
        <w:t>This section should be read in conjunction with Annex 4</w:t>
      </w:r>
      <w:r>
        <w:rPr>
          <w:lang w:val="en-AU"/>
        </w:rPr>
        <w:t>:</w:t>
      </w:r>
      <w:r w:rsidRPr="009C76A7">
        <w:rPr>
          <w:lang w:val="en-AU"/>
        </w:rPr>
        <w:t xml:space="preserve"> APTC </w:t>
      </w:r>
      <w:r>
        <w:rPr>
          <w:lang w:val="en-AU"/>
        </w:rPr>
        <w:t>S</w:t>
      </w:r>
      <w:r w:rsidRPr="009C76A7">
        <w:rPr>
          <w:lang w:val="en-AU"/>
        </w:rPr>
        <w:t xml:space="preserve">tatistical </w:t>
      </w:r>
      <w:r>
        <w:rPr>
          <w:lang w:val="en-AU"/>
        </w:rPr>
        <w:t>p</w:t>
      </w:r>
      <w:r w:rsidRPr="009C76A7">
        <w:rPr>
          <w:lang w:val="en-AU"/>
        </w:rPr>
        <w:t>rofile and Annex 6</w:t>
      </w:r>
      <w:r>
        <w:rPr>
          <w:lang w:val="en-AU"/>
        </w:rPr>
        <w:t>:</w:t>
      </w:r>
      <w:r w:rsidRPr="009C76A7">
        <w:rPr>
          <w:lang w:val="en-AU"/>
        </w:rPr>
        <w:t xml:space="preserve"> TVET capacity.</w:t>
      </w:r>
    </w:p>
  </w:footnote>
  <w:footnote w:id="26">
    <w:p w14:paraId="1C14C5C3" w14:textId="20C75AD2" w:rsidR="00B71D58" w:rsidRPr="00740B8B" w:rsidRDefault="00B71D58" w:rsidP="00177CCC">
      <w:pPr>
        <w:pStyle w:val="FootnoteText"/>
        <w:spacing w:after="40"/>
        <w:rPr>
          <w:lang w:val="en-AU"/>
        </w:rPr>
      </w:pPr>
      <w:r w:rsidRPr="006F6E13">
        <w:rPr>
          <w:rStyle w:val="FootnoteReference"/>
        </w:rPr>
        <w:footnoteRef/>
      </w:r>
      <w:r w:rsidRPr="00353D62">
        <w:t xml:space="preserve"> </w:t>
      </w:r>
      <w:r w:rsidRPr="00DF7C96">
        <w:t>’</w:t>
      </w:r>
      <w:r w:rsidRPr="00DF7C96">
        <w:rPr>
          <w:lang w:val="en-AU"/>
        </w:rPr>
        <w:t>Fee-for-service’ covers full payment for</w:t>
      </w:r>
      <w:r>
        <w:rPr>
          <w:lang w:val="en-AU"/>
        </w:rPr>
        <w:t>,</w:t>
      </w:r>
      <w:r w:rsidRPr="00DF7C96">
        <w:rPr>
          <w:lang w:val="en-AU"/>
        </w:rPr>
        <w:t xml:space="preserve"> or negotiated co-contribution to</w:t>
      </w:r>
      <w:r>
        <w:rPr>
          <w:lang w:val="en-AU"/>
        </w:rPr>
        <w:t>,</w:t>
      </w:r>
      <w:r w:rsidRPr="00DF7C96">
        <w:rPr>
          <w:lang w:val="en-AU"/>
        </w:rPr>
        <w:t xml:space="preserve"> the tuition fees for a complete qualification as well as full payment for</w:t>
      </w:r>
      <w:r>
        <w:rPr>
          <w:lang w:val="en-AU"/>
        </w:rPr>
        <w:t>,</w:t>
      </w:r>
      <w:r w:rsidRPr="00DF7C96">
        <w:rPr>
          <w:lang w:val="en-AU"/>
        </w:rPr>
        <w:t xml:space="preserve"> or negotiated co-contribution to</w:t>
      </w:r>
      <w:r>
        <w:rPr>
          <w:lang w:val="en-AU"/>
        </w:rPr>
        <w:t>,</w:t>
      </w:r>
      <w:r w:rsidRPr="00DF7C96">
        <w:rPr>
          <w:lang w:val="en-AU"/>
        </w:rPr>
        <w:t xml:space="preserve"> the cost of any other training program or service, either offered by APTC or requested by an enterprise/stakeholder.</w:t>
      </w:r>
    </w:p>
  </w:footnote>
  <w:footnote w:id="27">
    <w:p w14:paraId="6694ACFA" w14:textId="1AF3F1B3" w:rsidR="00B71D58" w:rsidRPr="005740B5" w:rsidRDefault="00B71D58" w:rsidP="00177CCC">
      <w:pPr>
        <w:pStyle w:val="FootnoteText"/>
        <w:spacing w:after="40"/>
        <w:rPr>
          <w:lang w:val="en-AU"/>
        </w:rPr>
      </w:pPr>
      <w:r>
        <w:rPr>
          <w:rStyle w:val="FootnoteReference"/>
        </w:rPr>
        <w:footnoteRef/>
      </w:r>
      <w:r>
        <w:t xml:space="preserve"> </w:t>
      </w:r>
      <w:r w:rsidRPr="005740B5">
        <w:rPr>
          <w:lang w:val="en-AU"/>
        </w:rPr>
        <w:t>New industry entrants are students with Certificate II level qualifications, who meet the theory requirements for entry into a course but have limited to no practical work experience</w:t>
      </w:r>
      <w:r>
        <w:rPr>
          <w:lang w:val="en-AU"/>
        </w:rPr>
        <w:t>. (</w:t>
      </w:r>
      <w:r w:rsidRPr="005740B5">
        <w:rPr>
          <w:lang w:val="en-AU"/>
        </w:rPr>
        <w:t>See Schedule</w:t>
      </w:r>
      <w:r w:rsidRPr="005740B5">
        <w:rPr>
          <w:bCs/>
          <w:lang w:val="en-AU"/>
        </w:rPr>
        <w:t xml:space="preserve"> 1: Scope of Services Australia</w:t>
      </w:r>
      <w:r>
        <w:rPr>
          <w:bCs/>
          <w:lang w:val="en-AU"/>
        </w:rPr>
        <w:t>–</w:t>
      </w:r>
      <w:r w:rsidRPr="005740B5">
        <w:rPr>
          <w:bCs/>
          <w:lang w:val="en-AU"/>
        </w:rPr>
        <w:t>Pacific Technical College Stage II, p 1. See also APTC Stage II Design: 25 November 2010, p</w:t>
      </w:r>
      <w:r>
        <w:rPr>
          <w:bCs/>
          <w:lang w:val="en-AU"/>
        </w:rPr>
        <w:t>.</w:t>
      </w:r>
      <w:r w:rsidRPr="005740B5">
        <w:rPr>
          <w:bCs/>
          <w:lang w:val="en-AU"/>
        </w:rPr>
        <w:t xml:space="preserve"> 14.</w:t>
      </w:r>
      <w:r>
        <w:rPr>
          <w:bCs/>
          <w:lang w:val="en-AU"/>
        </w:rPr>
        <w:t>)</w:t>
      </w:r>
    </w:p>
  </w:footnote>
  <w:footnote w:id="28">
    <w:p w14:paraId="51733AEB" w14:textId="78C4C801" w:rsidR="00B71D58" w:rsidRPr="00257E91" w:rsidRDefault="00B71D58" w:rsidP="00177CCC">
      <w:pPr>
        <w:pStyle w:val="FootnoteText"/>
        <w:spacing w:after="40"/>
        <w:rPr>
          <w:sz w:val="20"/>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See Annex 5, </w:t>
      </w:r>
      <w:r>
        <w:rPr>
          <w:lang w:val="en-AU"/>
        </w:rPr>
        <w:t>Q</w:t>
      </w:r>
      <w:r w:rsidRPr="009C76A7">
        <w:rPr>
          <w:lang w:val="en-AU"/>
        </w:rPr>
        <w:t>uestionnaire results, for details about student, teacher and graduate responses.</w:t>
      </w:r>
    </w:p>
  </w:footnote>
  <w:footnote w:id="29">
    <w:p w14:paraId="1D818802" w14:textId="4AE5E398" w:rsidR="00B71D58" w:rsidRPr="00DF7C96" w:rsidRDefault="00B71D58" w:rsidP="00177CCC">
      <w:pPr>
        <w:pStyle w:val="FootnoteText"/>
        <w:spacing w:after="40"/>
        <w:rPr>
          <w:lang w:val="en-US"/>
        </w:rPr>
      </w:pPr>
      <w:r>
        <w:rPr>
          <w:rStyle w:val="FootnoteReference"/>
        </w:rPr>
        <w:footnoteRef/>
      </w:r>
      <w:r>
        <w:t xml:space="preserve"> With income from agreements already signed, APTC management projects that revenue will meet 97 per cent of targets by the end of Stage II (Annex 6, section 2.3)</w:t>
      </w:r>
    </w:p>
  </w:footnote>
  <w:footnote w:id="30">
    <w:p w14:paraId="4CA82E99" w14:textId="705910DD" w:rsidR="00B71D58" w:rsidRPr="009C76A7" w:rsidRDefault="00B71D58" w:rsidP="00177CCC">
      <w:pPr>
        <w:pStyle w:val="FootnoteText"/>
        <w:spacing w:after="40"/>
        <w:rPr>
          <w:rFonts w:cs="Arial"/>
          <w:lang w:val="en-AU" w:eastAsia="zh-CN"/>
        </w:rPr>
      </w:pPr>
      <w:r w:rsidRPr="00257E91">
        <w:rPr>
          <w:rStyle w:val="FootnoteReference"/>
          <w:rFonts w:cs="Arial"/>
          <w:sz w:val="20"/>
          <w:szCs w:val="20"/>
          <w:lang w:val="en-AU" w:eastAsia="zh-CN"/>
        </w:rPr>
        <w:footnoteRef/>
      </w:r>
      <w:r w:rsidRPr="00257E91">
        <w:rPr>
          <w:rFonts w:cs="Arial"/>
          <w:sz w:val="20"/>
          <w:lang w:val="en-AU" w:eastAsia="zh-CN"/>
        </w:rPr>
        <w:t xml:space="preserve"> </w:t>
      </w:r>
      <w:r w:rsidRPr="009C76A7">
        <w:rPr>
          <w:rFonts w:cs="Arial"/>
          <w:lang w:val="en-AU" w:eastAsia="zh-CN"/>
        </w:rPr>
        <w:t>Australia–Pacific Technical College Stage II: 2011–2015, Design Document, 25 November 2010, p. 11</w:t>
      </w:r>
    </w:p>
  </w:footnote>
  <w:footnote w:id="31">
    <w:p w14:paraId="17B3F43D" w14:textId="170EFF26" w:rsidR="00B71D58" w:rsidRPr="00DF7C96" w:rsidRDefault="00B71D58" w:rsidP="00030F25">
      <w:pPr>
        <w:pStyle w:val="FootnoteText"/>
        <w:spacing w:after="40"/>
        <w:rPr>
          <w:lang w:val="en-US"/>
        </w:rPr>
      </w:pPr>
      <w:r>
        <w:rPr>
          <w:rStyle w:val="FootnoteReference"/>
        </w:rPr>
        <w:footnoteRef/>
      </w:r>
      <w:r w:rsidRPr="0007405C">
        <w:t xml:space="preserve">It has to be kept in mind that APTC upgrades those already in the labour force, either existing workers or </w:t>
      </w:r>
      <w:r>
        <w:t>new industry entrants</w:t>
      </w:r>
      <w:r w:rsidRPr="0007405C">
        <w:t>. The apparently low proportion of enrolments may reflect the low proportion of persons with disabilities in APTC-type occupations in the labour force.</w:t>
      </w:r>
      <w:r>
        <w:t xml:space="preserve"> </w:t>
      </w:r>
    </w:p>
  </w:footnote>
  <w:footnote w:id="32">
    <w:p w14:paraId="2886BE98" w14:textId="7CE89249" w:rsidR="00B71D58" w:rsidRPr="00DF7C96" w:rsidRDefault="00B71D58" w:rsidP="00DB7926">
      <w:pPr>
        <w:pStyle w:val="FootnoteText"/>
        <w:rPr>
          <w:lang w:val="en-US"/>
        </w:rPr>
      </w:pPr>
      <w:r>
        <w:rPr>
          <w:rStyle w:val="FootnoteReference"/>
        </w:rPr>
        <w:footnoteRef/>
      </w:r>
      <w:r>
        <w:t xml:space="preserve"> </w:t>
      </w:r>
      <w:r w:rsidRPr="00BA713F">
        <w:t xml:space="preserve">PESDA 2011 </w:t>
      </w:r>
      <w:r>
        <w:t xml:space="preserve">is </w:t>
      </w:r>
      <w:r w:rsidRPr="00BA713F">
        <w:t>a general strategy for Australian assistance to education and training in the Pacific</w:t>
      </w:r>
      <w:r>
        <w:t>. It does not attempt to provide long-term strategic guidance for APTC. Questions of vision and strategy for APTC seem only to arise during mid-term reviews. The review team considers this an important ’strategic gap’ at present that hinders APTC planning and development.</w:t>
      </w:r>
      <w:r w:rsidRPr="00952F7D">
        <w:t xml:space="preserve"> DFAT needs to update and expand its regional </w:t>
      </w:r>
      <w:r>
        <w:t xml:space="preserve">plan </w:t>
      </w:r>
      <w:r w:rsidRPr="00952F7D">
        <w:t>to provide a strategic framework and a long</w:t>
      </w:r>
      <w:r>
        <w:t>-</w:t>
      </w:r>
      <w:r w:rsidRPr="00952F7D">
        <w:t>term vision for APTC.</w:t>
      </w:r>
    </w:p>
  </w:footnote>
  <w:footnote w:id="33">
    <w:p w14:paraId="6B108CA1" w14:textId="0A10AEA5" w:rsidR="00B71D58" w:rsidRPr="009C76A7" w:rsidRDefault="00B71D58" w:rsidP="0097387C">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For detai</w:t>
      </w:r>
      <w:r>
        <w:rPr>
          <w:lang w:val="en-AU"/>
        </w:rPr>
        <w:t>ls see Annex 7: Labour mobility</w:t>
      </w:r>
    </w:p>
  </w:footnote>
  <w:footnote w:id="34">
    <w:p w14:paraId="74EFEFA6" w14:textId="77777777" w:rsidR="00B71D58" w:rsidRPr="009C76A7" w:rsidRDefault="00B71D58" w:rsidP="0097387C">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Other evidence of the importance of meeting Australian requirements is clear from Paragraph 5.24, Stage II SoS: The Contractor will also investigate partnerships with Australian industry bodies, such as the Master Plumbers Association and Electrical Contractors Association, and industry interlocutors, such as the Australian Chamber of Commerce and Industry, to review viability, and if appropriate, obtain sponsorship for any necessary in-Australia workplace training for Australian registration requirements. This is in an effort to facilitate access to Australian employment for those trades which are restricted by national and state registration requirements. </w:t>
      </w:r>
    </w:p>
  </w:footnote>
  <w:footnote w:id="35">
    <w:p w14:paraId="33C9BA8D" w14:textId="44CA0419" w:rsidR="00B71D58" w:rsidRPr="009C76A7" w:rsidRDefault="00B71D58" w:rsidP="0097387C">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Australia–Pacific Technical College Stage II: 2011–20</w:t>
      </w:r>
      <w:r>
        <w:rPr>
          <w:lang w:val="en-AU"/>
        </w:rPr>
        <w:t>15, Design Document, 2010, p. 3</w:t>
      </w:r>
    </w:p>
  </w:footnote>
  <w:footnote w:id="36">
    <w:p w14:paraId="5D0687D1" w14:textId="3654CE4C" w:rsidR="00B71D58" w:rsidRPr="009C76A7" w:rsidRDefault="00B71D58" w:rsidP="0097387C">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The Stage II Design Document did, however, highlight the significance for APTC’s ERR if 25 per cent of graduates found work in Australia soon after graduation (</w:t>
      </w:r>
      <w:r>
        <w:rPr>
          <w:lang w:val="en-AU"/>
        </w:rPr>
        <w:t>APTC</w:t>
      </w:r>
      <w:r w:rsidRPr="009C76A7">
        <w:rPr>
          <w:lang w:val="en-AU"/>
        </w:rPr>
        <w:t xml:space="preserve"> Stage II: 2011–2015, Design Document, 2010, p. 3).</w:t>
      </w:r>
    </w:p>
  </w:footnote>
  <w:footnote w:id="37">
    <w:p w14:paraId="7A2DD4C0" w14:textId="37E1DEF1" w:rsidR="00B71D58" w:rsidRPr="00413C49" w:rsidRDefault="00B71D58" w:rsidP="0097387C">
      <w:pPr>
        <w:pStyle w:val="FootnoteText"/>
        <w:spacing w:after="40"/>
        <w:rPr>
          <w:lang w:val="en-AU"/>
        </w:rPr>
      </w:pPr>
      <w:r>
        <w:rPr>
          <w:rStyle w:val="FootnoteReference"/>
        </w:rPr>
        <w:footnoteRef/>
      </w:r>
      <w:r>
        <w:t xml:space="preserve"> New industry entrants are </w:t>
      </w:r>
      <w:r w:rsidRPr="00413C49">
        <w:rPr>
          <w:lang w:val="en-AU"/>
        </w:rPr>
        <w:t>students with Certificate II level qualifications, who mee</w:t>
      </w:r>
      <w:r>
        <w:rPr>
          <w:lang w:val="en-AU"/>
        </w:rPr>
        <w:t>t</w:t>
      </w:r>
      <w:r w:rsidRPr="00413C49">
        <w:rPr>
          <w:lang w:val="en-AU"/>
        </w:rPr>
        <w:t xml:space="preserve"> the theory requirements for entry into a course but have limited to no practical work experience</w:t>
      </w:r>
      <w:r>
        <w:rPr>
          <w:lang w:val="en-AU"/>
        </w:rPr>
        <w:t xml:space="preserve"> See </w:t>
      </w:r>
      <w:r w:rsidRPr="00413C49">
        <w:rPr>
          <w:lang w:val="en-AU"/>
        </w:rPr>
        <w:t>Schedule</w:t>
      </w:r>
      <w:r w:rsidRPr="00413C49">
        <w:rPr>
          <w:bCs/>
          <w:lang w:val="en-AU"/>
        </w:rPr>
        <w:t xml:space="preserve"> 1</w:t>
      </w:r>
      <w:r>
        <w:rPr>
          <w:bCs/>
          <w:lang w:val="en-AU"/>
        </w:rPr>
        <w:t xml:space="preserve">: </w:t>
      </w:r>
      <w:r w:rsidRPr="00413C49">
        <w:rPr>
          <w:bCs/>
          <w:lang w:val="en-AU"/>
        </w:rPr>
        <w:t xml:space="preserve">Scope </w:t>
      </w:r>
      <w:r>
        <w:rPr>
          <w:bCs/>
          <w:lang w:val="en-AU"/>
        </w:rPr>
        <w:t>o</w:t>
      </w:r>
      <w:r w:rsidRPr="00413C49">
        <w:rPr>
          <w:bCs/>
          <w:lang w:val="en-AU"/>
        </w:rPr>
        <w:t>f Services</w:t>
      </w:r>
      <w:r>
        <w:rPr>
          <w:bCs/>
          <w:lang w:val="en-AU"/>
        </w:rPr>
        <w:t xml:space="preserve"> </w:t>
      </w:r>
      <w:r w:rsidRPr="00413C49">
        <w:rPr>
          <w:bCs/>
          <w:lang w:val="en-AU"/>
        </w:rPr>
        <w:t>Australia-Pa</w:t>
      </w:r>
      <w:r>
        <w:rPr>
          <w:bCs/>
          <w:lang w:val="en-AU"/>
        </w:rPr>
        <w:t xml:space="preserve">cific Technical College Stage II, p 1. See also </w:t>
      </w:r>
      <w:r w:rsidRPr="00D71956">
        <w:rPr>
          <w:bCs/>
          <w:lang w:val="en-AU"/>
        </w:rPr>
        <w:t>APTC St</w:t>
      </w:r>
      <w:r>
        <w:rPr>
          <w:bCs/>
          <w:lang w:val="en-AU"/>
        </w:rPr>
        <w:t>age II Design: 25 November 2010, p. 14.</w:t>
      </w:r>
    </w:p>
  </w:footnote>
  <w:footnote w:id="38">
    <w:p w14:paraId="0B99FAA0" w14:textId="05E84074" w:rsidR="00B71D58" w:rsidRPr="00DF7C96" w:rsidRDefault="00B71D58" w:rsidP="007F6758">
      <w:pPr>
        <w:pStyle w:val="FootnoteText"/>
        <w:spacing w:after="40"/>
        <w:rPr>
          <w:lang w:val="en-US"/>
        </w:rPr>
      </w:pPr>
      <w:r>
        <w:rPr>
          <w:rStyle w:val="FootnoteReference"/>
        </w:rPr>
        <w:footnoteRef/>
      </w:r>
      <w:r w:rsidRPr="006B1476">
        <w:t xml:space="preserve">  The increased role of employers in the selection process is shown by the introduction by the Department of Immigration of the Skilled Migrant Selection Model called SkillSelect in July 2012 which requires prospective applicants for skill migrant entry to first submit an expression of interest before being invited to make a visa application. </w:t>
      </w:r>
      <w:r>
        <w:t>(</w:t>
      </w:r>
      <w:r w:rsidRPr="006B1476">
        <w:t xml:space="preserve">See Phillips &amp; Spinks 2012: </w:t>
      </w:r>
      <w:r>
        <w:t xml:space="preserve">pp. 5–6) </w:t>
      </w:r>
    </w:p>
  </w:footnote>
  <w:footnote w:id="39">
    <w:p w14:paraId="3D425DFA" w14:textId="67B99B8A" w:rsidR="00B71D58" w:rsidRPr="00740B8B" w:rsidRDefault="00B71D58" w:rsidP="007F6758">
      <w:pPr>
        <w:pStyle w:val="FootnoteText"/>
        <w:spacing w:after="40"/>
        <w:rPr>
          <w:lang w:val="en-AU"/>
        </w:rPr>
      </w:pPr>
      <w:r>
        <w:rPr>
          <w:rStyle w:val="FootnoteReference"/>
        </w:rPr>
        <w:footnoteRef/>
      </w:r>
      <w:r>
        <w:t xml:space="preserve"> </w:t>
      </w:r>
      <w:r w:rsidRPr="003712F7">
        <w:rPr>
          <w:lang w:val="en-AU"/>
        </w:rPr>
        <w:t>Australia</w:t>
      </w:r>
      <w:r>
        <w:rPr>
          <w:lang w:val="en-AU"/>
        </w:rPr>
        <w:t>–</w:t>
      </w:r>
      <w:r w:rsidRPr="003712F7">
        <w:rPr>
          <w:lang w:val="en-AU"/>
        </w:rPr>
        <w:t>Pacific Technical College Stage II: 2011</w:t>
      </w:r>
      <w:r>
        <w:rPr>
          <w:lang w:val="en-AU"/>
        </w:rPr>
        <w:t>–</w:t>
      </w:r>
      <w:r w:rsidRPr="003712F7">
        <w:rPr>
          <w:lang w:val="en-AU"/>
        </w:rPr>
        <w:t>2015 Desig</w:t>
      </w:r>
      <w:r>
        <w:rPr>
          <w:lang w:val="en-AU"/>
        </w:rPr>
        <w:t xml:space="preserve">n Document, 25 November 2010, p. </w:t>
      </w:r>
      <w:r w:rsidRPr="003712F7">
        <w:rPr>
          <w:lang w:val="en-AU"/>
        </w:rPr>
        <w:t>11</w:t>
      </w:r>
    </w:p>
  </w:footnote>
  <w:footnote w:id="40">
    <w:p w14:paraId="5E953989" w14:textId="42BDB695" w:rsidR="00B71D58" w:rsidRPr="009C76A7" w:rsidRDefault="00B71D58" w:rsidP="005E2EA3">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Pr>
          <w:lang w:val="en-AU"/>
        </w:rPr>
        <w:t>For elaboration, s</w:t>
      </w:r>
      <w:r w:rsidRPr="009C76A7">
        <w:rPr>
          <w:lang w:val="en-AU"/>
        </w:rPr>
        <w:t>ee Annex 8: Im</w:t>
      </w:r>
      <w:r>
        <w:rPr>
          <w:lang w:val="en-AU"/>
        </w:rPr>
        <w:t>pact on graduates and employers</w:t>
      </w:r>
    </w:p>
  </w:footnote>
  <w:footnote w:id="41">
    <w:p w14:paraId="6140FC29" w14:textId="2599875D" w:rsidR="00B71D58" w:rsidRPr="00740B8B" w:rsidRDefault="00B71D58" w:rsidP="005E2EA3">
      <w:pPr>
        <w:pStyle w:val="FootnoteText"/>
        <w:spacing w:after="40"/>
        <w:rPr>
          <w:lang w:val="en-AU"/>
        </w:rPr>
      </w:pPr>
      <w:r>
        <w:rPr>
          <w:rStyle w:val="FootnoteReference"/>
        </w:rPr>
        <w:footnoteRef/>
      </w:r>
      <w:r>
        <w:t xml:space="preserve"> See </w:t>
      </w:r>
      <w:r w:rsidRPr="00916331">
        <w:rPr>
          <w:lang w:val="en-AU"/>
        </w:rPr>
        <w:t>Para 1: Evidence of APTC impact on graduates in Annex 8: Impact on graduates and employers</w:t>
      </w:r>
      <w:r>
        <w:rPr>
          <w:lang w:val="en-AU"/>
        </w:rPr>
        <w:t xml:space="preserve"> and in Table 2.</w:t>
      </w:r>
    </w:p>
  </w:footnote>
  <w:footnote w:id="42">
    <w:p w14:paraId="1DCD2A18" w14:textId="77777777" w:rsidR="00B71D58" w:rsidRPr="009C76A7" w:rsidRDefault="00B71D58" w:rsidP="005E2EA3">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Annex 9: Value for money provides the details on which this chapter is based. </w:t>
      </w:r>
    </w:p>
  </w:footnote>
  <w:footnote w:id="43">
    <w:p w14:paraId="62D48EB8" w14:textId="77777777" w:rsidR="00B71D58" w:rsidRPr="009C76A7" w:rsidRDefault="00B71D58" w:rsidP="005E2EA3">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Actually, the review team’s unit cost estimate for the eight years of Stages I and II is a bit lower than this.</w:t>
      </w:r>
    </w:p>
  </w:footnote>
  <w:footnote w:id="44">
    <w:p w14:paraId="0C53D870" w14:textId="0A554CBF" w:rsidR="00B71D58" w:rsidRPr="00740B8B" w:rsidRDefault="00B71D58" w:rsidP="005E2EA3">
      <w:pPr>
        <w:pStyle w:val="FootnoteText"/>
        <w:spacing w:after="40"/>
        <w:rPr>
          <w:lang w:val="en-US"/>
        </w:rPr>
      </w:pPr>
      <w:r>
        <w:rPr>
          <w:rStyle w:val="FootnoteReference"/>
        </w:rPr>
        <w:footnoteRef/>
      </w:r>
      <w:r>
        <w:t xml:space="preserve"> </w:t>
      </w:r>
      <w:r>
        <w:rPr>
          <w:lang w:val="en-US"/>
        </w:rPr>
        <w:t>These figures refer to the duration of courses from start to finish (including work placement segments), not ‘delivery time’ (i.e. the time a student spends studying at an APTC campus).</w:t>
      </w:r>
    </w:p>
  </w:footnote>
  <w:footnote w:id="45">
    <w:p w14:paraId="1E03D0E6" w14:textId="66A7F78D" w:rsidR="00B71D58" w:rsidRPr="006E65BB" w:rsidRDefault="00B71D58" w:rsidP="005E2EA3">
      <w:pPr>
        <w:pStyle w:val="FootnoteText"/>
        <w:spacing w:after="40"/>
      </w:pPr>
      <w:r>
        <w:rPr>
          <w:rStyle w:val="FootnoteReference"/>
        </w:rPr>
        <w:footnoteRef/>
      </w:r>
      <w:r>
        <w:t xml:space="preserve"> The sizeable differential can be attributed to a number of factors: higher transportation costs including, for many APTC students, international air travel; food and lodging costs for most APTC students, whereas many more students attending Australian TAFE institutions attend as day students; smaller class sizes, meaning a higher teacher-student ratio; expatriate staff allowances/benefits that are not paid in Australia; and longer courses, including LLN instruction, needed to compensate for the fact that English is not the first language of most APTC students.</w:t>
      </w:r>
    </w:p>
  </w:footnote>
  <w:footnote w:id="46">
    <w:p w14:paraId="7853F998" w14:textId="2EFDE378" w:rsidR="00B71D58" w:rsidRPr="00740B8B" w:rsidRDefault="00B71D58" w:rsidP="005E2EA3">
      <w:pPr>
        <w:pStyle w:val="FootnoteText"/>
        <w:spacing w:after="40"/>
        <w:rPr>
          <w:lang w:val="en-US"/>
        </w:rPr>
      </w:pPr>
      <w:r>
        <w:rPr>
          <w:rStyle w:val="FootnoteReference"/>
        </w:rPr>
        <w:footnoteRef/>
      </w:r>
      <w:r>
        <w:t xml:space="preserve"> </w:t>
      </w:r>
      <w:r>
        <w:rPr>
          <w:lang w:val="en-US"/>
        </w:rPr>
        <w:t>A DFAT reviewer asked whether remittances sent back home to the Pacific should be counted as the benefit of APTC rather than additional earnings. While it is true that those living at home will be better off the greater the remittances sent back, the rate of return is properly based on the additional earnings of graduates, regardless of where these earnings occur or are consumed. Even if a migrating graduate consumes all of the additional earnings abroad and remits nothing to relatives back home, these additional earnings are still a return to the APTC investment.</w:t>
      </w:r>
    </w:p>
  </w:footnote>
  <w:footnote w:id="47">
    <w:p w14:paraId="097D35CE" w14:textId="614A129C" w:rsidR="00B71D58" w:rsidRPr="00740B8B" w:rsidRDefault="00B71D58" w:rsidP="005E2EA3">
      <w:pPr>
        <w:pStyle w:val="FootnoteText"/>
        <w:spacing w:after="40"/>
        <w:rPr>
          <w:lang w:val="en-US"/>
        </w:rPr>
      </w:pPr>
      <w:r>
        <w:rPr>
          <w:rStyle w:val="FootnoteReference"/>
        </w:rPr>
        <w:footnoteRef/>
      </w:r>
      <w:r>
        <w:t xml:space="preserve"> This independent review benefited from thorough comments provided by four peer reviewers appointed by DFAT, two of whom were DFAT staff members while the other two were external consultants. One of the four peer reviewers disagreed with the CBA in which past costs are treated as sunk costs and excluded from the ERR calculations.</w:t>
      </w:r>
    </w:p>
  </w:footnote>
  <w:footnote w:id="48">
    <w:p w14:paraId="5A554716" w14:textId="77835A05" w:rsidR="00B71D58" w:rsidRPr="00740B8B" w:rsidRDefault="00B71D58" w:rsidP="005E2EA3">
      <w:pPr>
        <w:pStyle w:val="FootnoteText"/>
        <w:spacing w:after="40"/>
        <w:rPr>
          <w:lang w:val="en-US"/>
        </w:rPr>
      </w:pPr>
      <w:r>
        <w:rPr>
          <w:rStyle w:val="FootnoteReference"/>
        </w:rPr>
        <w:footnoteRef/>
      </w:r>
      <w:r>
        <w:t xml:space="preserve"> </w:t>
      </w:r>
      <w:r>
        <w:rPr>
          <w:lang w:val="en-US"/>
        </w:rPr>
        <w:t>Email to the review team from APTC’s CEO, 3 November 2014</w:t>
      </w:r>
    </w:p>
  </w:footnote>
  <w:footnote w:id="49">
    <w:p w14:paraId="0F7404EF" w14:textId="379FE151" w:rsidR="00B71D58" w:rsidRPr="009C76A7" w:rsidRDefault="00B71D58" w:rsidP="009C76A7">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Some graduates may have been confused about the reporting period asked for in the survey (e.g., a fortnight or a week). Other graduates not in work with a regular wage may not have understood how to answer a question about what they earned </w:t>
      </w:r>
      <w:r>
        <w:rPr>
          <w:lang w:val="en-AU"/>
        </w:rPr>
        <w:t>‘</w:t>
      </w:r>
      <w:r w:rsidRPr="009C76A7">
        <w:rPr>
          <w:lang w:val="en-AU"/>
        </w:rPr>
        <w:t>in the last week</w:t>
      </w:r>
      <w:r>
        <w:rPr>
          <w:lang w:val="en-AU"/>
        </w:rPr>
        <w:t>’</w:t>
      </w:r>
      <w:r w:rsidRPr="009C76A7">
        <w:rPr>
          <w:lang w:val="en-AU"/>
        </w:rPr>
        <w:t xml:space="preserve"> when they had not received any payment in the week before they were surveyed.</w:t>
      </w:r>
    </w:p>
  </w:footnote>
  <w:footnote w:id="50">
    <w:p w14:paraId="70EE015D" w14:textId="029C55C8" w:rsidR="00B71D58" w:rsidRPr="009C76A7" w:rsidRDefault="00B71D58" w:rsidP="0026776E">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For elaboration, please refer to Annex 10</w:t>
      </w:r>
      <w:r>
        <w:rPr>
          <w:rFonts w:cs="Arial"/>
          <w:lang w:val="en-AU"/>
        </w:rPr>
        <w:t>: Future of the APTC</w:t>
      </w:r>
    </w:p>
  </w:footnote>
  <w:footnote w:id="51">
    <w:p w14:paraId="75B743FE" w14:textId="3A5B3709" w:rsidR="00B71D58" w:rsidRPr="009C76A7" w:rsidRDefault="00B71D58" w:rsidP="0026776E">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Pr>
          <w:sz w:val="20"/>
          <w:lang w:val="en-AU"/>
        </w:rPr>
        <w:t>‘</w:t>
      </w:r>
      <w:r w:rsidRPr="009C76A7">
        <w:rPr>
          <w:lang w:val="en-AU"/>
        </w:rPr>
        <w:t xml:space="preserve">Eligible graduates’ excludes those who were with the same employer before, during and after their APTC training. </w:t>
      </w:r>
    </w:p>
  </w:footnote>
  <w:footnote w:id="52">
    <w:p w14:paraId="12B8672E" w14:textId="192C606B" w:rsidR="00B71D58" w:rsidRPr="009C76A7" w:rsidRDefault="00B71D58" w:rsidP="0026776E">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 xml:space="preserve">Australian Government Department of Foreign Affairs and Trade. (2014). Australian </w:t>
      </w:r>
      <w:r>
        <w:rPr>
          <w:rFonts w:cs="Arial"/>
          <w:lang w:val="en-AU"/>
        </w:rPr>
        <w:t>A</w:t>
      </w:r>
      <w:r w:rsidRPr="009C76A7">
        <w:rPr>
          <w:rFonts w:cs="Arial"/>
          <w:lang w:val="en-AU"/>
        </w:rPr>
        <w:t xml:space="preserve">id, </w:t>
      </w:r>
      <w:r>
        <w:rPr>
          <w:rFonts w:cs="Arial"/>
          <w:lang w:val="en-AU"/>
        </w:rPr>
        <w:t>P</w:t>
      </w:r>
      <w:r w:rsidRPr="009C76A7">
        <w:rPr>
          <w:rFonts w:cs="Arial"/>
          <w:lang w:val="en-AU"/>
        </w:rPr>
        <w:t xml:space="preserve">romoting </w:t>
      </w:r>
      <w:r>
        <w:rPr>
          <w:rFonts w:cs="Arial"/>
          <w:lang w:val="en-AU"/>
        </w:rPr>
        <w:t>P</w:t>
      </w:r>
      <w:r w:rsidRPr="009C76A7">
        <w:rPr>
          <w:rFonts w:cs="Arial"/>
          <w:lang w:val="en-AU"/>
        </w:rPr>
        <w:t xml:space="preserve">rosperity, </w:t>
      </w:r>
      <w:r>
        <w:rPr>
          <w:rFonts w:cs="Arial"/>
          <w:lang w:val="en-AU"/>
        </w:rPr>
        <w:t>R</w:t>
      </w:r>
      <w:r w:rsidRPr="009C76A7">
        <w:rPr>
          <w:rFonts w:cs="Arial"/>
          <w:lang w:val="en-AU"/>
        </w:rPr>
        <w:t xml:space="preserve">educing </w:t>
      </w:r>
      <w:r>
        <w:rPr>
          <w:rFonts w:cs="Arial"/>
          <w:lang w:val="en-AU"/>
        </w:rPr>
        <w:t>P</w:t>
      </w:r>
      <w:r w:rsidRPr="009C76A7">
        <w:rPr>
          <w:rFonts w:cs="Arial"/>
          <w:lang w:val="en-AU"/>
        </w:rPr>
        <w:t xml:space="preserve">overty, </w:t>
      </w:r>
      <w:r>
        <w:rPr>
          <w:rFonts w:cs="Arial"/>
          <w:lang w:val="en-AU"/>
        </w:rPr>
        <w:t>E</w:t>
      </w:r>
      <w:r w:rsidRPr="009C76A7">
        <w:rPr>
          <w:rFonts w:cs="Arial"/>
          <w:lang w:val="en-AU"/>
        </w:rPr>
        <w:t xml:space="preserve">nhancing </w:t>
      </w:r>
      <w:r>
        <w:rPr>
          <w:rFonts w:cs="Arial"/>
          <w:lang w:val="en-AU"/>
        </w:rPr>
        <w:t>Stability. Retrieved from</w:t>
      </w:r>
      <w:r w:rsidRPr="009C76A7">
        <w:rPr>
          <w:rFonts w:cs="Arial"/>
          <w:lang w:val="en-AU"/>
        </w:rPr>
        <w:t xml:space="preserve"> </w:t>
      </w:r>
      <w:hyperlink r:id="rId3" w:history="1">
        <w:r w:rsidRPr="009C76A7">
          <w:rPr>
            <w:rStyle w:val="Hyperlink1"/>
            <w:rFonts w:cs="Arial"/>
            <w:color w:val="auto"/>
            <w:u w:val="none"/>
            <w:lang w:val="en-AU"/>
          </w:rPr>
          <w:t>http://aid.dfat.gov.au/aidpolicy/Pages/home.aspx</w:t>
        </w:r>
      </w:hyperlink>
    </w:p>
  </w:footnote>
  <w:footnote w:id="53">
    <w:p w14:paraId="475B0596" w14:textId="575DDEB9" w:rsidR="00B71D58" w:rsidRPr="009C76A7" w:rsidRDefault="00B71D58" w:rsidP="0026776E">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26776E">
        <w:rPr>
          <w:rFonts w:cs="Arial"/>
          <w:lang w:val="en-AU"/>
        </w:rPr>
        <w:t>Ibid.,</w:t>
      </w:r>
      <w:r w:rsidRPr="009C76A7">
        <w:rPr>
          <w:rFonts w:cs="Arial"/>
          <w:lang w:val="en-AU"/>
        </w:rPr>
        <w:t xml:space="preserve"> p. 19</w:t>
      </w:r>
    </w:p>
  </w:footnote>
  <w:footnote w:id="54">
    <w:p w14:paraId="09F215F9" w14:textId="378A01C1" w:rsidR="00B71D58" w:rsidRPr="009C76A7" w:rsidRDefault="00B71D58" w:rsidP="0026776E">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9C76A7">
        <w:rPr>
          <w:lang w:val="en-AU"/>
        </w:rPr>
        <w:t xml:space="preserve">Fourth High Level Forum on Aid Effectiveness, Busan </w:t>
      </w:r>
      <w:r>
        <w:rPr>
          <w:lang w:val="en-AU"/>
        </w:rPr>
        <w:t>P</w:t>
      </w:r>
      <w:r w:rsidRPr="009C76A7">
        <w:rPr>
          <w:lang w:val="en-AU"/>
        </w:rPr>
        <w:t xml:space="preserve">artnership for </w:t>
      </w:r>
      <w:r>
        <w:rPr>
          <w:lang w:val="en-AU"/>
        </w:rPr>
        <w:t>E</w:t>
      </w:r>
      <w:r w:rsidRPr="009C76A7">
        <w:rPr>
          <w:lang w:val="en-AU"/>
        </w:rPr>
        <w:t xml:space="preserve">ffective </w:t>
      </w:r>
      <w:r>
        <w:rPr>
          <w:lang w:val="en-AU"/>
        </w:rPr>
        <w:t>D</w:t>
      </w:r>
      <w:r w:rsidRPr="009C76A7">
        <w:rPr>
          <w:lang w:val="en-AU"/>
        </w:rPr>
        <w:t xml:space="preserve">evelopment </w:t>
      </w:r>
      <w:r>
        <w:rPr>
          <w:lang w:val="en-AU"/>
        </w:rPr>
        <w:t>C</w:t>
      </w:r>
      <w:r w:rsidRPr="009C76A7">
        <w:rPr>
          <w:lang w:val="en-AU"/>
        </w:rPr>
        <w:t>o-operation, Busan, Republic of Korea, 29 November–1 December 2011</w:t>
      </w:r>
    </w:p>
  </w:footnote>
  <w:footnote w:id="55">
    <w:p w14:paraId="2741BA10" w14:textId="05207F94" w:rsidR="00B71D58" w:rsidRPr="009C76A7" w:rsidRDefault="00B71D58" w:rsidP="00B1321D">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USP Strategic Plan 2013–18: p. 27</w:t>
      </w:r>
    </w:p>
  </w:footnote>
  <w:footnote w:id="56">
    <w:p w14:paraId="1F8BD207" w14:textId="4ACB13E7" w:rsidR="00B71D58" w:rsidRPr="009C76A7" w:rsidRDefault="00B71D58" w:rsidP="00B1321D">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Evaluation team interview with APTC CEO, 20/8/2014</w:t>
      </w:r>
    </w:p>
  </w:footnote>
  <w:footnote w:id="57">
    <w:p w14:paraId="28B41370" w14:textId="6BC7552A" w:rsidR="00B71D58" w:rsidRPr="00DF7C96" w:rsidRDefault="00B71D58" w:rsidP="00B1321D">
      <w:pPr>
        <w:pStyle w:val="FootnoteText"/>
        <w:spacing w:after="40"/>
        <w:rPr>
          <w:lang w:val="en-US"/>
        </w:rPr>
      </w:pPr>
      <w:r>
        <w:rPr>
          <w:rStyle w:val="FootnoteReference"/>
        </w:rPr>
        <w:footnoteRef/>
      </w:r>
      <w:r>
        <w:t xml:space="preserve"> Given the high cost structure in the PNG campus (Annex 9 section 4.3), APTC management will have to consider the balance between expansion in PNG or sending PNG nationals to lower-cost campuses</w:t>
      </w:r>
      <w:r w:rsidRPr="0061282D">
        <w:t xml:space="preserve"> by reducing the intake of students from countries which are over-represented</w:t>
      </w:r>
      <w:r>
        <w:t>.</w:t>
      </w:r>
    </w:p>
  </w:footnote>
  <w:footnote w:id="58">
    <w:p w14:paraId="520524B1" w14:textId="77777777" w:rsidR="00B71D58" w:rsidRPr="009C76A7" w:rsidRDefault="00B71D58" w:rsidP="00B1321D">
      <w:pPr>
        <w:pStyle w:val="FootnoteText"/>
        <w:spacing w:after="40"/>
        <w:rPr>
          <w:rFonts w:cs="Arial"/>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Only students and graduates who are not working for the same employer prior to APTC should be eligible for this support. This is to protect employers’ investment in their employees.</w:t>
      </w:r>
    </w:p>
  </w:footnote>
  <w:footnote w:id="59">
    <w:p w14:paraId="2A5D8573" w14:textId="77777777" w:rsidR="00B71D58" w:rsidRPr="009C76A7" w:rsidRDefault="00B71D58" w:rsidP="00B1321D">
      <w:pPr>
        <w:pStyle w:val="FootnoteText"/>
        <w:spacing w:after="40"/>
        <w:rPr>
          <w:lang w:val="en-AU"/>
        </w:rPr>
      </w:pPr>
      <w:r w:rsidRPr="00257E91">
        <w:rPr>
          <w:rStyle w:val="FootnoteReference"/>
          <w:rFonts w:cs="Arial"/>
          <w:sz w:val="20"/>
          <w:szCs w:val="20"/>
          <w:lang w:val="en-AU"/>
        </w:rPr>
        <w:footnoteRef/>
      </w:r>
      <w:r w:rsidRPr="00257E91">
        <w:rPr>
          <w:rFonts w:cs="Arial"/>
          <w:sz w:val="20"/>
          <w:lang w:val="en-AU"/>
        </w:rPr>
        <w:t xml:space="preserve"> </w:t>
      </w:r>
      <w:r w:rsidRPr="009C76A7">
        <w:rPr>
          <w:rFonts w:cs="Arial"/>
          <w:lang w:val="en-AU"/>
        </w:rPr>
        <w:t>This can provide an external assessment of the language support given to students during their training. Where students fail to meet this external standard, APTC should, if requested, provide additional support through existing language, literacy and numeracy (LLN) staff.</w:t>
      </w:r>
    </w:p>
  </w:footnote>
  <w:footnote w:id="60">
    <w:p w14:paraId="60D55CE0" w14:textId="7FDC3B56" w:rsidR="00B71D58" w:rsidRPr="009C76A7" w:rsidRDefault="00B71D58" w:rsidP="00D87DE5">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Pr>
          <w:lang w:val="en-AU"/>
        </w:rPr>
        <w:t xml:space="preserve">Annex 8, Attachment 1, </w:t>
      </w:r>
      <w:r w:rsidRPr="009C76A7">
        <w:rPr>
          <w:lang w:val="en-AU"/>
        </w:rPr>
        <w:t xml:space="preserve">Program </w:t>
      </w:r>
      <w:r>
        <w:rPr>
          <w:lang w:val="en-AU"/>
        </w:rPr>
        <w:t>E</w:t>
      </w:r>
      <w:r w:rsidRPr="009C76A7">
        <w:rPr>
          <w:lang w:val="en-AU"/>
        </w:rPr>
        <w:t>valuation</w:t>
      </w:r>
      <w:r>
        <w:rPr>
          <w:lang w:val="en-AU"/>
        </w:rPr>
        <w:t>,</w:t>
      </w:r>
      <w:r w:rsidRPr="009C76A7">
        <w:rPr>
          <w:lang w:val="en-AU"/>
        </w:rPr>
        <w:t xml:space="preserve"> elaborates on the types of information that should be collected for evaluation of APTC’s economic impact.</w:t>
      </w:r>
    </w:p>
  </w:footnote>
  <w:footnote w:id="61">
    <w:p w14:paraId="7458DDE1" w14:textId="77777777" w:rsidR="00B71D58" w:rsidRPr="003C5C96" w:rsidRDefault="00B71D58" w:rsidP="00B4207B">
      <w:pPr>
        <w:pStyle w:val="FootnoteText"/>
        <w:spacing w:after="40"/>
        <w:rPr>
          <w:rFonts w:cs="Arial"/>
          <w:lang w:val="en-AU"/>
        </w:rPr>
      </w:pPr>
      <w:r w:rsidRPr="00257E91">
        <w:rPr>
          <w:rStyle w:val="FootnoteReference"/>
          <w:sz w:val="20"/>
          <w:szCs w:val="20"/>
          <w:lang w:val="en-AU"/>
        </w:rPr>
        <w:footnoteRef/>
      </w:r>
      <w:r w:rsidRPr="00257E91">
        <w:rPr>
          <w:sz w:val="20"/>
          <w:lang w:val="en-AU"/>
        </w:rPr>
        <w:t xml:space="preserve"> </w:t>
      </w:r>
      <w:r w:rsidRPr="003C5C96">
        <w:rPr>
          <w:rFonts w:cs="Arial"/>
          <w:lang w:val="en-AU"/>
        </w:rPr>
        <w:t>The CEO of APTC has suggested the following as targets that could be met by the middle of 2019: 81 per cent of trainer positions and 64 per cent of management positions to be filled by Pacific Island nationals.</w:t>
      </w:r>
    </w:p>
  </w:footnote>
  <w:footnote w:id="62">
    <w:p w14:paraId="1044FF25" w14:textId="77777777" w:rsidR="00B71D58" w:rsidRPr="007624A3" w:rsidRDefault="00B71D58" w:rsidP="00D87DE5">
      <w:pPr>
        <w:pStyle w:val="FootnoteText"/>
        <w:spacing w:after="40"/>
        <w:rPr>
          <w:lang w:val="en-AU"/>
        </w:rPr>
      </w:pPr>
      <w:r w:rsidRPr="00257E91">
        <w:rPr>
          <w:rStyle w:val="FootnoteReference"/>
          <w:sz w:val="20"/>
          <w:szCs w:val="20"/>
          <w:lang w:val="en-AU"/>
        </w:rPr>
        <w:footnoteRef/>
      </w:r>
      <w:r w:rsidRPr="00257E91">
        <w:rPr>
          <w:sz w:val="20"/>
          <w:lang w:val="en-AU"/>
        </w:rPr>
        <w:t xml:space="preserve"> </w:t>
      </w:r>
      <w:r w:rsidRPr="007624A3">
        <w:rPr>
          <w:rFonts w:cs="Arial"/>
          <w:lang w:val="en-AU" w:eastAsia="zh-CN"/>
        </w:rPr>
        <w:t xml:space="preserve">If funding for APTC is extended, DFAT decides on funding for any </w:t>
      </w:r>
      <w:r w:rsidRPr="007624A3">
        <w:rPr>
          <w:rFonts w:cs="Arial"/>
          <w:i/>
          <w:lang w:val="en-AU" w:eastAsia="zh-CN"/>
        </w:rPr>
        <w:t>subsequent</w:t>
      </w:r>
      <w:r w:rsidRPr="007624A3">
        <w:rPr>
          <w:rFonts w:cs="Arial"/>
          <w:lang w:val="en-AU" w:eastAsia="zh-CN"/>
        </w:rPr>
        <w:t xml:space="preserve"> phase at least one year in advance, to give APTC’s management and Board time to plan ahead efficiently.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334CB" w14:textId="0AFCDCEF" w:rsidR="00B71D58" w:rsidRPr="00F66BF7" w:rsidRDefault="00B71D58" w:rsidP="00872ED4">
    <w:pPr>
      <w:pStyle w:val="Header"/>
      <w:pBdr>
        <w:bottom w:val="single" w:sz="8" w:space="1" w:color="70AD47" w:themeColor="accent6"/>
      </w:pBdr>
      <w:jc w:val="right"/>
      <w:rPr>
        <w:b/>
        <w:i/>
        <w:color w:val="9BBB59"/>
        <w:sz w:val="18"/>
      </w:rPr>
    </w:pPr>
    <w:r>
      <w:rPr>
        <w:b/>
        <w:i/>
        <w:color w:val="9BBB59"/>
        <w:sz w:val="16"/>
      </w:rPr>
      <w:t>Independent review of APTC</w:t>
    </w:r>
    <w:r w:rsidRPr="00F66BF7">
      <w:rPr>
        <w:b/>
        <w:i/>
        <w:color w:val="9BBB59"/>
        <w:sz w:val="16"/>
      </w:rPr>
      <w:t xml:space="preserve"> </w:t>
    </w:r>
  </w:p>
  <w:p w14:paraId="146D40D1" w14:textId="77777777" w:rsidR="00B71D58" w:rsidRDefault="00B71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4438" w14:textId="597D7B42" w:rsidR="00B71D58" w:rsidRPr="00F66BF7" w:rsidRDefault="00B71D58" w:rsidP="009B3DE5">
    <w:pPr>
      <w:pStyle w:val="Header"/>
      <w:pBdr>
        <w:bottom w:val="single" w:sz="8" w:space="1" w:color="70AD47" w:themeColor="accent6"/>
      </w:pBdr>
      <w:jc w:val="right"/>
      <w:rPr>
        <w:b/>
        <w:i/>
        <w:color w:val="9BBB59"/>
        <w:sz w:val="18"/>
      </w:rPr>
    </w:pPr>
    <w:r>
      <w:rPr>
        <w:b/>
        <w:i/>
        <w:color w:val="9BBB59"/>
        <w:sz w:val="16"/>
      </w:rPr>
      <w:t>.</w:t>
    </w:r>
    <w:r w:rsidRPr="00F66BF7">
      <w:rPr>
        <w:b/>
        <w:i/>
        <w:color w:val="9BBB59"/>
        <w:sz w:val="16"/>
      </w:rPr>
      <w:t xml:space="preserve"> </w:t>
    </w:r>
  </w:p>
  <w:p w14:paraId="66E17B8E" w14:textId="77777777" w:rsidR="00B71D58" w:rsidRDefault="00B71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24BB" w14:textId="77777777" w:rsidR="00B71D58" w:rsidRPr="00F66BF7" w:rsidRDefault="00B71D58" w:rsidP="009B3DE5">
    <w:pPr>
      <w:pStyle w:val="Header"/>
      <w:pBdr>
        <w:bottom w:val="single" w:sz="8" w:space="1" w:color="70AD47" w:themeColor="accent6"/>
      </w:pBdr>
      <w:jc w:val="right"/>
      <w:rPr>
        <w:b/>
        <w:i/>
        <w:color w:val="9BBB59"/>
        <w:sz w:val="18"/>
      </w:rPr>
    </w:pPr>
    <w:r>
      <w:rPr>
        <w:b/>
        <w:i/>
        <w:color w:val="9BBB59"/>
        <w:sz w:val="16"/>
      </w:rPr>
      <w:t>Independent review of APTC</w:t>
    </w:r>
    <w:r w:rsidRPr="00F66BF7">
      <w:rPr>
        <w:b/>
        <w:i/>
        <w:color w:val="9BBB59"/>
        <w:sz w:val="16"/>
      </w:rPr>
      <w:t xml:space="preserve"> </w:t>
    </w:r>
  </w:p>
  <w:p w14:paraId="24D5F965" w14:textId="77777777" w:rsidR="00B71D58" w:rsidRDefault="00B71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22D"/>
    <w:multiLevelType w:val="hybridMultilevel"/>
    <w:tmpl w:val="E37CBD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E3B4F"/>
    <w:multiLevelType w:val="hybridMultilevel"/>
    <w:tmpl w:val="FF9A7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C24499"/>
    <w:multiLevelType w:val="hybridMultilevel"/>
    <w:tmpl w:val="D3BE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F80A49"/>
    <w:multiLevelType w:val="hybridMultilevel"/>
    <w:tmpl w:val="72907C82"/>
    <w:lvl w:ilvl="0" w:tplc="F95275D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1F3A5B"/>
    <w:multiLevelType w:val="hybridMultilevel"/>
    <w:tmpl w:val="F05A4970"/>
    <w:lvl w:ilvl="0" w:tplc="E27C2B1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27C869C7"/>
    <w:multiLevelType w:val="hybridMultilevel"/>
    <w:tmpl w:val="7BBA2126"/>
    <w:lvl w:ilvl="0" w:tplc="7D884794">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FE721C"/>
    <w:multiLevelType w:val="hybridMultilevel"/>
    <w:tmpl w:val="EE909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053EFD"/>
    <w:multiLevelType w:val="hybridMultilevel"/>
    <w:tmpl w:val="CCDEF108"/>
    <w:lvl w:ilvl="0" w:tplc="731688DE">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DD03A7"/>
    <w:multiLevelType w:val="multilevel"/>
    <w:tmpl w:val="B04014A2"/>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9">
    <w:nsid w:val="2C224B73"/>
    <w:multiLevelType w:val="hybridMultilevel"/>
    <w:tmpl w:val="A3BAB754"/>
    <w:lvl w:ilvl="0" w:tplc="FFFFFFFF">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Arial"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Arial"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2D500ACE"/>
    <w:multiLevelType w:val="hybridMultilevel"/>
    <w:tmpl w:val="797AD4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7701E1"/>
    <w:multiLevelType w:val="hybridMultilevel"/>
    <w:tmpl w:val="8684D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6753B9"/>
    <w:multiLevelType w:val="hybridMultilevel"/>
    <w:tmpl w:val="CC2A19FE"/>
    <w:lvl w:ilvl="0" w:tplc="40320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1C2D78"/>
    <w:multiLevelType w:val="hybridMultilevel"/>
    <w:tmpl w:val="0DAE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D954449"/>
    <w:multiLevelType w:val="hybridMultilevel"/>
    <w:tmpl w:val="A7B082D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E22DFB"/>
    <w:multiLevelType w:val="hybridMultilevel"/>
    <w:tmpl w:val="807C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F41A5E"/>
    <w:multiLevelType w:val="hybridMultilevel"/>
    <w:tmpl w:val="2480955C"/>
    <w:lvl w:ilvl="0" w:tplc="7B2CC48E">
      <w:start w:val="1"/>
      <w:numFmt w:val="decimal"/>
      <w:pStyle w:val="Numberedstyle"/>
      <w:lvlText w:val="%1."/>
      <w:lvlJc w:val="left"/>
      <w:pPr>
        <w:tabs>
          <w:tab w:val="num" w:pos="851"/>
        </w:tabs>
        <w:ind w:left="851" w:hanging="284"/>
      </w:pPr>
      <w:rPr>
        <w:rFonts w:hint="default"/>
        <w:b/>
        <w:i w:val="0"/>
      </w:rPr>
    </w:lvl>
    <w:lvl w:ilvl="1" w:tplc="0C090003" w:tentative="1">
      <w:start w:val="1"/>
      <w:numFmt w:val="bullet"/>
      <w:lvlText w:val="o"/>
      <w:lvlJc w:val="left"/>
      <w:pPr>
        <w:ind w:left="1648" w:hanging="360"/>
      </w:pPr>
      <w:rPr>
        <w:rFonts w:ascii="Courier New" w:hAnsi="Courier New" w:cs="Arial Bold"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Arial Bold"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Arial Bold" w:hint="default"/>
      </w:rPr>
    </w:lvl>
    <w:lvl w:ilvl="8" w:tplc="0C090005" w:tentative="1">
      <w:start w:val="1"/>
      <w:numFmt w:val="bullet"/>
      <w:lvlText w:val=""/>
      <w:lvlJc w:val="left"/>
      <w:pPr>
        <w:ind w:left="6688" w:hanging="360"/>
      </w:pPr>
      <w:rPr>
        <w:rFonts w:ascii="Wingdings" w:hAnsi="Wingdings" w:hint="default"/>
      </w:rPr>
    </w:lvl>
  </w:abstractNum>
  <w:abstractNum w:abstractNumId="17">
    <w:nsid w:val="458F3264"/>
    <w:multiLevelType w:val="hybridMultilevel"/>
    <w:tmpl w:val="C8EED8B0"/>
    <w:lvl w:ilvl="0" w:tplc="0B02B446">
      <w:start w:val="1"/>
      <w:numFmt w:val="lowerLetter"/>
      <w:lvlText w:val="%1)"/>
      <w:lvlJc w:val="left"/>
      <w:pPr>
        <w:ind w:left="10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8">
    <w:nsid w:val="466428EE"/>
    <w:multiLevelType w:val="hybridMultilevel"/>
    <w:tmpl w:val="7370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8B0F50"/>
    <w:multiLevelType w:val="hybridMultilevel"/>
    <w:tmpl w:val="5A74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BC3FB2"/>
    <w:multiLevelType w:val="hybridMultilevel"/>
    <w:tmpl w:val="BE9E26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A17D6"/>
    <w:multiLevelType w:val="hybridMultilevel"/>
    <w:tmpl w:val="9F0E8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356C71"/>
    <w:multiLevelType w:val="hybridMultilevel"/>
    <w:tmpl w:val="738E83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FC50880"/>
    <w:multiLevelType w:val="hybridMultilevel"/>
    <w:tmpl w:val="3834A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A733D0"/>
    <w:multiLevelType w:val="hybridMultilevel"/>
    <w:tmpl w:val="C8701D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28A4D81"/>
    <w:multiLevelType w:val="hybridMultilevel"/>
    <w:tmpl w:val="8EF01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902CDC"/>
    <w:multiLevelType w:val="hybridMultilevel"/>
    <w:tmpl w:val="685E58B6"/>
    <w:lvl w:ilvl="0" w:tplc="731688DE">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54465693"/>
    <w:multiLevelType w:val="hybridMultilevel"/>
    <w:tmpl w:val="019C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5C65BB"/>
    <w:multiLevelType w:val="hybridMultilevel"/>
    <w:tmpl w:val="A4DE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C267C2"/>
    <w:multiLevelType w:val="hybridMultilevel"/>
    <w:tmpl w:val="2DAA4DE2"/>
    <w:lvl w:ilvl="0" w:tplc="40320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8522B4"/>
    <w:multiLevelType w:val="hybridMultilevel"/>
    <w:tmpl w:val="2EF24306"/>
    <w:lvl w:ilvl="0" w:tplc="FFFFFFFF">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E5A5D58"/>
    <w:multiLevelType w:val="hybridMultilevel"/>
    <w:tmpl w:val="0C322684"/>
    <w:lvl w:ilvl="0" w:tplc="8D7E7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34D7A"/>
    <w:multiLevelType w:val="multilevel"/>
    <w:tmpl w:val="CDF263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1891FD3"/>
    <w:multiLevelType w:val="multilevel"/>
    <w:tmpl w:val="CDF263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2CA203C"/>
    <w:multiLevelType w:val="hybridMultilevel"/>
    <w:tmpl w:val="3824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AA16D0"/>
    <w:multiLevelType w:val="hybridMultilevel"/>
    <w:tmpl w:val="CEC621A0"/>
    <w:lvl w:ilvl="0" w:tplc="731688D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64B70102"/>
    <w:multiLevelType w:val="multilevel"/>
    <w:tmpl w:val="64C422B2"/>
    <w:name w:val="Numbered list 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828"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nsid w:val="6B015A9C"/>
    <w:multiLevelType w:val="hybridMultilevel"/>
    <w:tmpl w:val="DC16C1CA"/>
    <w:lvl w:ilvl="0" w:tplc="40F455C4">
      <w:start w:val="1"/>
      <w:numFmt w:val="bullet"/>
      <w:pStyle w:val="ColorfulList-Accent1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A04021"/>
    <w:multiLevelType w:val="hybridMultilevel"/>
    <w:tmpl w:val="CA12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671B1A"/>
    <w:multiLevelType w:val="hybridMultilevel"/>
    <w:tmpl w:val="C142B0E8"/>
    <w:lvl w:ilvl="0" w:tplc="FFFFFFFF">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0937A0B"/>
    <w:multiLevelType w:val="hybridMultilevel"/>
    <w:tmpl w:val="7DA6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973230"/>
    <w:multiLevelType w:val="hybridMultilevel"/>
    <w:tmpl w:val="2DC41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1424A8E"/>
    <w:multiLevelType w:val="hybridMultilevel"/>
    <w:tmpl w:val="CC9060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79147C7"/>
    <w:multiLevelType w:val="hybridMultilevel"/>
    <w:tmpl w:val="E3525498"/>
    <w:lvl w:ilvl="0" w:tplc="D564F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44457"/>
    <w:multiLevelType w:val="hybridMultilevel"/>
    <w:tmpl w:val="1D606F3C"/>
    <w:lvl w:ilvl="0" w:tplc="FFFFFFFF">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Arial"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Arial" w:hint="default"/>
      </w:rPr>
    </w:lvl>
    <w:lvl w:ilvl="8" w:tplc="08090005" w:tentative="1">
      <w:start w:val="1"/>
      <w:numFmt w:val="bullet"/>
      <w:lvlText w:val=""/>
      <w:lvlJc w:val="left"/>
      <w:pPr>
        <w:ind w:left="6829" w:hanging="360"/>
      </w:pPr>
      <w:rPr>
        <w:rFonts w:ascii="Wingdings" w:hAnsi="Wingdings" w:hint="default"/>
      </w:rPr>
    </w:lvl>
  </w:abstractNum>
  <w:abstractNum w:abstractNumId="45">
    <w:nsid w:val="7E100CE6"/>
    <w:multiLevelType w:val="hybridMultilevel"/>
    <w:tmpl w:val="04BCE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3"/>
  </w:num>
  <w:num w:numId="3">
    <w:abstractNumId w:val="37"/>
  </w:num>
  <w:num w:numId="4">
    <w:abstractNumId w:val="41"/>
  </w:num>
  <w:num w:numId="5">
    <w:abstractNumId w:val="23"/>
  </w:num>
  <w:num w:numId="6">
    <w:abstractNumId w:val="13"/>
  </w:num>
  <w:num w:numId="7">
    <w:abstractNumId w:val="1"/>
  </w:num>
  <w:num w:numId="8">
    <w:abstractNumId w:val="21"/>
  </w:num>
  <w:num w:numId="9">
    <w:abstractNumId w:val="34"/>
  </w:num>
  <w:num w:numId="10">
    <w:abstractNumId w:val="19"/>
  </w:num>
  <w:num w:numId="11">
    <w:abstractNumId w:val="6"/>
  </w:num>
  <w:num w:numId="12">
    <w:abstractNumId w:val="25"/>
  </w:num>
  <w:num w:numId="13">
    <w:abstractNumId w:val="29"/>
  </w:num>
  <w:num w:numId="14">
    <w:abstractNumId w:val="12"/>
  </w:num>
  <w:num w:numId="15">
    <w:abstractNumId w:val="38"/>
  </w:num>
  <w:num w:numId="16">
    <w:abstractNumId w:val="2"/>
  </w:num>
  <w:num w:numId="17">
    <w:abstractNumId w:val="18"/>
  </w:num>
  <w:num w:numId="18">
    <w:abstractNumId w:val="45"/>
  </w:num>
  <w:num w:numId="19">
    <w:abstractNumId w:val="7"/>
  </w:num>
  <w:num w:numId="20">
    <w:abstractNumId w:val="44"/>
  </w:num>
  <w:num w:numId="21">
    <w:abstractNumId w:val="9"/>
  </w:num>
  <w:num w:numId="22">
    <w:abstractNumId w:val="17"/>
  </w:num>
  <w:num w:numId="23">
    <w:abstractNumId w:val="5"/>
  </w:num>
  <w:num w:numId="24">
    <w:abstractNumId w:val="4"/>
  </w:num>
  <w:num w:numId="25">
    <w:abstractNumId w:val="0"/>
  </w:num>
  <w:num w:numId="26">
    <w:abstractNumId w:val="26"/>
  </w:num>
  <w:num w:numId="27">
    <w:abstractNumId w:val="30"/>
  </w:num>
  <w:num w:numId="28">
    <w:abstractNumId w:val="39"/>
  </w:num>
  <w:num w:numId="29">
    <w:abstractNumId w:val="35"/>
  </w:num>
  <w:num w:numId="30">
    <w:abstractNumId w:val="14"/>
  </w:num>
  <w:num w:numId="31">
    <w:abstractNumId w:val="11"/>
  </w:num>
  <w:num w:numId="32">
    <w:abstractNumId w:val="42"/>
  </w:num>
  <w:num w:numId="33">
    <w:abstractNumId w:val="43"/>
  </w:num>
  <w:num w:numId="34">
    <w:abstractNumId w:val="20"/>
  </w:num>
  <w:num w:numId="35">
    <w:abstractNumId w:val="31"/>
  </w:num>
  <w:num w:numId="36">
    <w:abstractNumId w:val="10"/>
  </w:num>
  <w:num w:numId="37">
    <w:abstractNumId w:val="28"/>
  </w:num>
  <w:num w:numId="38">
    <w:abstractNumId w:val="27"/>
  </w:num>
  <w:num w:numId="39">
    <w:abstractNumId w:val="24"/>
  </w:num>
  <w:num w:numId="40">
    <w:abstractNumId w:val="8"/>
  </w:num>
  <w:num w:numId="41">
    <w:abstractNumId w:val="40"/>
  </w:num>
  <w:num w:numId="42">
    <w:abstractNumId w:val="15"/>
  </w:num>
  <w:num w:numId="43">
    <w:abstractNumId w:val="22"/>
  </w:num>
  <w:num w:numId="44">
    <w:abstractNumId w:val="3"/>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10241"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85"/>
    <w:rsid w:val="00000D44"/>
    <w:rsid w:val="00001EC3"/>
    <w:rsid w:val="000022F4"/>
    <w:rsid w:val="0000266F"/>
    <w:rsid w:val="00003B05"/>
    <w:rsid w:val="0001182C"/>
    <w:rsid w:val="0001251E"/>
    <w:rsid w:val="000139AA"/>
    <w:rsid w:val="00020D6A"/>
    <w:rsid w:val="00020DAC"/>
    <w:rsid w:val="000212F7"/>
    <w:rsid w:val="000216C3"/>
    <w:rsid w:val="000246C7"/>
    <w:rsid w:val="00026FF4"/>
    <w:rsid w:val="0002768F"/>
    <w:rsid w:val="00027774"/>
    <w:rsid w:val="00030E98"/>
    <w:rsid w:val="00030F25"/>
    <w:rsid w:val="00033CF9"/>
    <w:rsid w:val="0003657F"/>
    <w:rsid w:val="000370BE"/>
    <w:rsid w:val="000379DD"/>
    <w:rsid w:val="000442F2"/>
    <w:rsid w:val="000577A2"/>
    <w:rsid w:val="0005798B"/>
    <w:rsid w:val="000611AE"/>
    <w:rsid w:val="00061F15"/>
    <w:rsid w:val="0006295F"/>
    <w:rsid w:val="000630AC"/>
    <w:rsid w:val="00064A53"/>
    <w:rsid w:val="00065376"/>
    <w:rsid w:val="00066C97"/>
    <w:rsid w:val="00067D9C"/>
    <w:rsid w:val="000705BF"/>
    <w:rsid w:val="0007247C"/>
    <w:rsid w:val="000729BD"/>
    <w:rsid w:val="00072E02"/>
    <w:rsid w:val="00073810"/>
    <w:rsid w:val="00073A4D"/>
    <w:rsid w:val="0007405C"/>
    <w:rsid w:val="000768E0"/>
    <w:rsid w:val="000805BF"/>
    <w:rsid w:val="000806E9"/>
    <w:rsid w:val="00081D45"/>
    <w:rsid w:val="000847FB"/>
    <w:rsid w:val="000850FF"/>
    <w:rsid w:val="000928D7"/>
    <w:rsid w:val="00092BFB"/>
    <w:rsid w:val="000950AB"/>
    <w:rsid w:val="00096F74"/>
    <w:rsid w:val="000979CC"/>
    <w:rsid w:val="000A12CF"/>
    <w:rsid w:val="000B460E"/>
    <w:rsid w:val="000C0967"/>
    <w:rsid w:val="000C3C9B"/>
    <w:rsid w:val="000C5B0A"/>
    <w:rsid w:val="000C6091"/>
    <w:rsid w:val="000C682C"/>
    <w:rsid w:val="000D00EE"/>
    <w:rsid w:val="000D098E"/>
    <w:rsid w:val="000D6784"/>
    <w:rsid w:val="000D6830"/>
    <w:rsid w:val="000E632F"/>
    <w:rsid w:val="000E634A"/>
    <w:rsid w:val="000F01F7"/>
    <w:rsid w:val="000F6E29"/>
    <w:rsid w:val="001052BD"/>
    <w:rsid w:val="00107181"/>
    <w:rsid w:val="00107FAB"/>
    <w:rsid w:val="001116A2"/>
    <w:rsid w:val="001132DA"/>
    <w:rsid w:val="001135AB"/>
    <w:rsid w:val="00113832"/>
    <w:rsid w:val="00115AD2"/>
    <w:rsid w:val="00115EED"/>
    <w:rsid w:val="0012085E"/>
    <w:rsid w:val="00121561"/>
    <w:rsid w:val="00121C69"/>
    <w:rsid w:val="00123B95"/>
    <w:rsid w:val="0012639A"/>
    <w:rsid w:val="00126869"/>
    <w:rsid w:val="0012730B"/>
    <w:rsid w:val="0013180A"/>
    <w:rsid w:val="001360F3"/>
    <w:rsid w:val="00137DDB"/>
    <w:rsid w:val="00141992"/>
    <w:rsid w:val="0014276D"/>
    <w:rsid w:val="001452B2"/>
    <w:rsid w:val="00146009"/>
    <w:rsid w:val="00147FD6"/>
    <w:rsid w:val="00150221"/>
    <w:rsid w:val="00163EC6"/>
    <w:rsid w:val="0016533C"/>
    <w:rsid w:val="00170011"/>
    <w:rsid w:val="00170926"/>
    <w:rsid w:val="001721A4"/>
    <w:rsid w:val="001735AF"/>
    <w:rsid w:val="001747D1"/>
    <w:rsid w:val="0017492D"/>
    <w:rsid w:val="00174C60"/>
    <w:rsid w:val="00174CE0"/>
    <w:rsid w:val="0017713C"/>
    <w:rsid w:val="00177397"/>
    <w:rsid w:val="00177CCC"/>
    <w:rsid w:val="00177E55"/>
    <w:rsid w:val="00186631"/>
    <w:rsid w:val="0018758B"/>
    <w:rsid w:val="00190449"/>
    <w:rsid w:val="001905C1"/>
    <w:rsid w:val="00190A35"/>
    <w:rsid w:val="00192434"/>
    <w:rsid w:val="0019279C"/>
    <w:rsid w:val="0019342A"/>
    <w:rsid w:val="00194BEE"/>
    <w:rsid w:val="001A0E68"/>
    <w:rsid w:val="001A75C7"/>
    <w:rsid w:val="001B3069"/>
    <w:rsid w:val="001B6844"/>
    <w:rsid w:val="001B7C1E"/>
    <w:rsid w:val="001C0944"/>
    <w:rsid w:val="001C1B1B"/>
    <w:rsid w:val="001C1E5A"/>
    <w:rsid w:val="001C23F1"/>
    <w:rsid w:val="001C6FF5"/>
    <w:rsid w:val="001C7978"/>
    <w:rsid w:val="001D04C2"/>
    <w:rsid w:val="001D18A4"/>
    <w:rsid w:val="001D319A"/>
    <w:rsid w:val="001D354D"/>
    <w:rsid w:val="001D4646"/>
    <w:rsid w:val="001D5181"/>
    <w:rsid w:val="001E0418"/>
    <w:rsid w:val="001E14FE"/>
    <w:rsid w:val="001E20A2"/>
    <w:rsid w:val="001E299C"/>
    <w:rsid w:val="001E2A64"/>
    <w:rsid w:val="001E2E4D"/>
    <w:rsid w:val="001E4AA3"/>
    <w:rsid w:val="001E710F"/>
    <w:rsid w:val="001E79A4"/>
    <w:rsid w:val="001F00F1"/>
    <w:rsid w:val="001F4AA1"/>
    <w:rsid w:val="001F70CA"/>
    <w:rsid w:val="001F7A20"/>
    <w:rsid w:val="00200610"/>
    <w:rsid w:val="00206492"/>
    <w:rsid w:val="00210B57"/>
    <w:rsid w:val="00212A7C"/>
    <w:rsid w:val="002144B3"/>
    <w:rsid w:val="0021524F"/>
    <w:rsid w:val="002215ED"/>
    <w:rsid w:val="0022193A"/>
    <w:rsid w:val="00222EAA"/>
    <w:rsid w:val="0022356E"/>
    <w:rsid w:val="002239C3"/>
    <w:rsid w:val="0022654D"/>
    <w:rsid w:val="00226D86"/>
    <w:rsid w:val="0023100E"/>
    <w:rsid w:val="00232F0D"/>
    <w:rsid w:val="00236E9D"/>
    <w:rsid w:val="00240F5A"/>
    <w:rsid w:val="00243352"/>
    <w:rsid w:val="00243D62"/>
    <w:rsid w:val="00246060"/>
    <w:rsid w:val="00246796"/>
    <w:rsid w:val="00246BFC"/>
    <w:rsid w:val="00247829"/>
    <w:rsid w:val="00251814"/>
    <w:rsid w:val="002568B3"/>
    <w:rsid w:val="00257E91"/>
    <w:rsid w:val="00260587"/>
    <w:rsid w:val="00260783"/>
    <w:rsid w:val="002607F4"/>
    <w:rsid w:val="00260BF9"/>
    <w:rsid w:val="00262BDA"/>
    <w:rsid w:val="00264DA1"/>
    <w:rsid w:val="0026776E"/>
    <w:rsid w:val="00270862"/>
    <w:rsid w:val="00270F2C"/>
    <w:rsid w:val="00273DE0"/>
    <w:rsid w:val="00275416"/>
    <w:rsid w:val="00276A93"/>
    <w:rsid w:val="00282114"/>
    <w:rsid w:val="002862E8"/>
    <w:rsid w:val="00290157"/>
    <w:rsid w:val="002901C3"/>
    <w:rsid w:val="00293E80"/>
    <w:rsid w:val="00294CCE"/>
    <w:rsid w:val="0029564A"/>
    <w:rsid w:val="002979F2"/>
    <w:rsid w:val="002A0D71"/>
    <w:rsid w:val="002A2F23"/>
    <w:rsid w:val="002B1306"/>
    <w:rsid w:val="002B3655"/>
    <w:rsid w:val="002B3D46"/>
    <w:rsid w:val="002B4C02"/>
    <w:rsid w:val="002C27A3"/>
    <w:rsid w:val="002C2BE0"/>
    <w:rsid w:val="002C2C67"/>
    <w:rsid w:val="002C6D2E"/>
    <w:rsid w:val="002D1961"/>
    <w:rsid w:val="002D301C"/>
    <w:rsid w:val="002D43FE"/>
    <w:rsid w:val="002D6305"/>
    <w:rsid w:val="002D6407"/>
    <w:rsid w:val="002D6556"/>
    <w:rsid w:val="002E3F9C"/>
    <w:rsid w:val="002E5577"/>
    <w:rsid w:val="002E5F81"/>
    <w:rsid w:val="002E5FFE"/>
    <w:rsid w:val="002E659B"/>
    <w:rsid w:val="002E688F"/>
    <w:rsid w:val="002F090D"/>
    <w:rsid w:val="002F1CC9"/>
    <w:rsid w:val="002F62B3"/>
    <w:rsid w:val="002F6B94"/>
    <w:rsid w:val="003059A0"/>
    <w:rsid w:val="00306B60"/>
    <w:rsid w:val="003075DF"/>
    <w:rsid w:val="00310333"/>
    <w:rsid w:val="003113E8"/>
    <w:rsid w:val="003129D0"/>
    <w:rsid w:val="00314F1F"/>
    <w:rsid w:val="00316C39"/>
    <w:rsid w:val="00322146"/>
    <w:rsid w:val="003271D2"/>
    <w:rsid w:val="0032744F"/>
    <w:rsid w:val="003309FA"/>
    <w:rsid w:val="003310DA"/>
    <w:rsid w:val="003346AA"/>
    <w:rsid w:val="00336222"/>
    <w:rsid w:val="00342AA7"/>
    <w:rsid w:val="00342D40"/>
    <w:rsid w:val="00343048"/>
    <w:rsid w:val="00343EFF"/>
    <w:rsid w:val="00344E79"/>
    <w:rsid w:val="00344F45"/>
    <w:rsid w:val="00345266"/>
    <w:rsid w:val="00352E6E"/>
    <w:rsid w:val="00353D62"/>
    <w:rsid w:val="0035413E"/>
    <w:rsid w:val="0035467B"/>
    <w:rsid w:val="003547C5"/>
    <w:rsid w:val="00354BC5"/>
    <w:rsid w:val="003565AD"/>
    <w:rsid w:val="00357F1A"/>
    <w:rsid w:val="00360F26"/>
    <w:rsid w:val="0036349C"/>
    <w:rsid w:val="00363EDE"/>
    <w:rsid w:val="003827D2"/>
    <w:rsid w:val="0038458A"/>
    <w:rsid w:val="00384AF9"/>
    <w:rsid w:val="00385097"/>
    <w:rsid w:val="0038535C"/>
    <w:rsid w:val="00386997"/>
    <w:rsid w:val="00391C5E"/>
    <w:rsid w:val="00392008"/>
    <w:rsid w:val="0039260A"/>
    <w:rsid w:val="0039282D"/>
    <w:rsid w:val="003936C8"/>
    <w:rsid w:val="00394750"/>
    <w:rsid w:val="0039515B"/>
    <w:rsid w:val="00395370"/>
    <w:rsid w:val="00395FC0"/>
    <w:rsid w:val="00396283"/>
    <w:rsid w:val="00397422"/>
    <w:rsid w:val="003A018A"/>
    <w:rsid w:val="003A0D14"/>
    <w:rsid w:val="003A4523"/>
    <w:rsid w:val="003A5063"/>
    <w:rsid w:val="003A5E21"/>
    <w:rsid w:val="003B01A5"/>
    <w:rsid w:val="003B0C98"/>
    <w:rsid w:val="003B343B"/>
    <w:rsid w:val="003B594E"/>
    <w:rsid w:val="003B7483"/>
    <w:rsid w:val="003C014D"/>
    <w:rsid w:val="003C1463"/>
    <w:rsid w:val="003C1814"/>
    <w:rsid w:val="003C1F05"/>
    <w:rsid w:val="003C2B52"/>
    <w:rsid w:val="003C4C61"/>
    <w:rsid w:val="003C5C96"/>
    <w:rsid w:val="003D0ECD"/>
    <w:rsid w:val="003D4DB1"/>
    <w:rsid w:val="003E4336"/>
    <w:rsid w:val="003F00C1"/>
    <w:rsid w:val="003F17DD"/>
    <w:rsid w:val="003F290F"/>
    <w:rsid w:val="003F2F0D"/>
    <w:rsid w:val="003F62DF"/>
    <w:rsid w:val="003F6BF6"/>
    <w:rsid w:val="003F6E00"/>
    <w:rsid w:val="003F7582"/>
    <w:rsid w:val="003F78D8"/>
    <w:rsid w:val="00404BAA"/>
    <w:rsid w:val="00404CFC"/>
    <w:rsid w:val="00415790"/>
    <w:rsid w:val="00422315"/>
    <w:rsid w:val="00423E42"/>
    <w:rsid w:val="0042694F"/>
    <w:rsid w:val="00427732"/>
    <w:rsid w:val="0043347E"/>
    <w:rsid w:val="0043413A"/>
    <w:rsid w:val="00436A30"/>
    <w:rsid w:val="00442885"/>
    <w:rsid w:val="00444495"/>
    <w:rsid w:val="004445E3"/>
    <w:rsid w:val="00444B6E"/>
    <w:rsid w:val="004450A7"/>
    <w:rsid w:val="00450B44"/>
    <w:rsid w:val="004538B4"/>
    <w:rsid w:val="00455482"/>
    <w:rsid w:val="0045784A"/>
    <w:rsid w:val="0046285F"/>
    <w:rsid w:val="004635DF"/>
    <w:rsid w:val="00464728"/>
    <w:rsid w:val="00467CD6"/>
    <w:rsid w:val="00470E99"/>
    <w:rsid w:val="0047346E"/>
    <w:rsid w:val="004734FE"/>
    <w:rsid w:val="004743F2"/>
    <w:rsid w:val="00475C23"/>
    <w:rsid w:val="0047668F"/>
    <w:rsid w:val="004811AA"/>
    <w:rsid w:val="004814A9"/>
    <w:rsid w:val="00483F88"/>
    <w:rsid w:val="00485926"/>
    <w:rsid w:val="004866BA"/>
    <w:rsid w:val="004869CC"/>
    <w:rsid w:val="00490290"/>
    <w:rsid w:val="004939BA"/>
    <w:rsid w:val="00493A26"/>
    <w:rsid w:val="004A077A"/>
    <w:rsid w:val="004A4C7E"/>
    <w:rsid w:val="004A4CFC"/>
    <w:rsid w:val="004A5E42"/>
    <w:rsid w:val="004A6E01"/>
    <w:rsid w:val="004B11FA"/>
    <w:rsid w:val="004B16DE"/>
    <w:rsid w:val="004B3F9E"/>
    <w:rsid w:val="004B53AC"/>
    <w:rsid w:val="004B5B7E"/>
    <w:rsid w:val="004B7875"/>
    <w:rsid w:val="004B79B2"/>
    <w:rsid w:val="004B7B29"/>
    <w:rsid w:val="004C7520"/>
    <w:rsid w:val="004C79C5"/>
    <w:rsid w:val="004D0374"/>
    <w:rsid w:val="004D0D04"/>
    <w:rsid w:val="004D12F4"/>
    <w:rsid w:val="004D30A5"/>
    <w:rsid w:val="004D419F"/>
    <w:rsid w:val="004D437B"/>
    <w:rsid w:val="004D545C"/>
    <w:rsid w:val="004D5CD0"/>
    <w:rsid w:val="004E178F"/>
    <w:rsid w:val="004E4281"/>
    <w:rsid w:val="004E567B"/>
    <w:rsid w:val="004E653D"/>
    <w:rsid w:val="004E6A68"/>
    <w:rsid w:val="004E6E46"/>
    <w:rsid w:val="004F411D"/>
    <w:rsid w:val="004F4AF8"/>
    <w:rsid w:val="004F4DF1"/>
    <w:rsid w:val="00500418"/>
    <w:rsid w:val="00501B3B"/>
    <w:rsid w:val="005049C1"/>
    <w:rsid w:val="00506AF4"/>
    <w:rsid w:val="00507223"/>
    <w:rsid w:val="00513456"/>
    <w:rsid w:val="0051500D"/>
    <w:rsid w:val="005160D3"/>
    <w:rsid w:val="005162A5"/>
    <w:rsid w:val="00520D20"/>
    <w:rsid w:val="00524ED8"/>
    <w:rsid w:val="005267C4"/>
    <w:rsid w:val="00527BDD"/>
    <w:rsid w:val="005301C1"/>
    <w:rsid w:val="005309FC"/>
    <w:rsid w:val="00530FD0"/>
    <w:rsid w:val="005324B9"/>
    <w:rsid w:val="00532FE2"/>
    <w:rsid w:val="005331B7"/>
    <w:rsid w:val="0053336A"/>
    <w:rsid w:val="00533F3B"/>
    <w:rsid w:val="00534925"/>
    <w:rsid w:val="005409D7"/>
    <w:rsid w:val="00540C20"/>
    <w:rsid w:val="00540F04"/>
    <w:rsid w:val="0054272E"/>
    <w:rsid w:val="005440FA"/>
    <w:rsid w:val="00544D5E"/>
    <w:rsid w:val="00546E52"/>
    <w:rsid w:val="00550892"/>
    <w:rsid w:val="005525F9"/>
    <w:rsid w:val="00552F43"/>
    <w:rsid w:val="00554139"/>
    <w:rsid w:val="00555B7E"/>
    <w:rsid w:val="00555D35"/>
    <w:rsid w:val="005570D0"/>
    <w:rsid w:val="00557B13"/>
    <w:rsid w:val="0056119E"/>
    <w:rsid w:val="005636FD"/>
    <w:rsid w:val="00563A39"/>
    <w:rsid w:val="00563B6E"/>
    <w:rsid w:val="00563E0D"/>
    <w:rsid w:val="0056426F"/>
    <w:rsid w:val="00567B07"/>
    <w:rsid w:val="00567BCA"/>
    <w:rsid w:val="005728BE"/>
    <w:rsid w:val="005732F0"/>
    <w:rsid w:val="005773E8"/>
    <w:rsid w:val="00580EA9"/>
    <w:rsid w:val="00581A5B"/>
    <w:rsid w:val="00581EB5"/>
    <w:rsid w:val="00582D86"/>
    <w:rsid w:val="00584B48"/>
    <w:rsid w:val="00586904"/>
    <w:rsid w:val="00586C4B"/>
    <w:rsid w:val="00591611"/>
    <w:rsid w:val="00591B05"/>
    <w:rsid w:val="00593193"/>
    <w:rsid w:val="00593326"/>
    <w:rsid w:val="0059344A"/>
    <w:rsid w:val="005940FC"/>
    <w:rsid w:val="00595213"/>
    <w:rsid w:val="00595E46"/>
    <w:rsid w:val="0059641D"/>
    <w:rsid w:val="005A0B65"/>
    <w:rsid w:val="005A1209"/>
    <w:rsid w:val="005A4750"/>
    <w:rsid w:val="005A4E9E"/>
    <w:rsid w:val="005B069E"/>
    <w:rsid w:val="005B15D9"/>
    <w:rsid w:val="005B434D"/>
    <w:rsid w:val="005B4D80"/>
    <w:rsid w:val="005B64B3"/>
    <w:rsid w:val="005C173C"/>
    <w:rsid w:val="005C29E3"/>
    <w:rsid w:val="005C41F3"/>
    <w:rsid w:val="005C4468"/>
    <w:rsid w:val="005C468D"/>
    <w:rsid w:val="005C47A6"/>
    <w:rsid w:val="005C4A78"/>
    <w:rsid w:val="005D1BC2"/>
    <w:rsid w:val="005D2488"/>
    <w:rsid w:val="005D397A"/>
    <w:rsid w:val="005D3F41"/>
    <w:rsid w:val="005D6EA4"/>
    <w:rsid w:val="005E1068"/>
    <w:rsid w:val="005E1903"/>
    <w:rsid w:val="005E22FC"/>
    <w:rsid w:val="005E2EA3"/>
    <w:rsid w:val="005E3C1B"/>
    <w:rsid w:val="005F0F2D"/>
    <w:rsid w:val="006002A3"/>
    <w:rsid w:val="006023F4"/>
    <w:rsid w:val="006049DD"/>
    <w:rsid w:val="00604B32"/>
    <w:rsid w:val="00604E27"/>
    <w:rsid w:val="006054D7"/>
    <w:rsid w:val="00605690"/>
    <w:rsid w:val="006062F2"/>
    <w:rsid w:val="00606A68"/>
    <w:rsid w:val="0061273C"/>
    <w:rsid w:val="0061282D"/>
    <w:rsid w:val="0061353A"/>
    <w:rsid w:val="00616C77"/>
    <w:rsid w:val="0062032A"/>
    <w:rsid w:val="00620475"/>
    <w:rsid w:val="00620746"/>
    <w:rsid w:val="00624088"/>
    <w:rsid w:val="0062411D"/>
    <w:rsid w:val="00624A74"/>
    <w:rsid w:val="006255FD"/>
    <w:rsid w:val="00625CFB"/>
    <w:rsid w:val="00633EF4"/>
    <w:rsid w:val="00634019"/>
    <w:rsid w:val="0063494C"/>
    <w:rsid w:val="0063503C"/>
    <w:rsid w:val="00636931"/>
    <w:rsid w:val="00637D93"/>
    <w:rsid w:val="00642C11"/>
    <w:rsid w:val="00643641"/>
    <w:rsid w:val="00643AC2"/>
    <w:rsid w:val="00643B34"/>
    <w:rsid w:val="00643FB0"/>
    <w:rsid w:val="006454B9"/>
    <w:rsid w:val="006469F4"/>
    <w:rsid w:val="006513B4"/>
    <w:rsid w:val="006517CF"/>
    <w:rsid w:val="0065278A"/>
    <w:rsid w:val="00653495"/>
    <w:rsid w:val="00653C21"/>
    <w:rsid w:val="006549D6"/>
    <w:rsid w:val="0066176A"/>
    <w:rsid w:val="006624BD"/>
    <w:rsid w:val="00663FC8"/>
    <w:rsid w:val="0066609B"/>
    <w:rsid w:val="00670BF9"/>
    <w:rsid w:val="00676170"/>
    <w:rsid w:val="006800A1"/>
    <w:rsid w:val="00680907"/>
    <w:rsid w:val="00680B34"/>
    <w:rsid w:val="00685064"/>
    <w:rsid w:val="0068541C"/>
    <w:rsid w:val="00685F19"/>
    <w:rsid w:val="006861F4"/>
    <w:rsid w:val="0068765F"/>
    <w:rsid w:val="00690AD5"/>
    <w:rsid w:val="00691DA8"/>
    <w:rsid w:val="00694967"/>
    <w:rsid w:val="0069509F"/>
    <w:rsid w:val="00695F7B"/>
    <w:rsid w:val="006A1680"/>
    <w:rsid w:val="006A2519"/>
    <w:rsid w:val="006A28FA"/>
    <w:rsid w:val="006A6958"/>
    <w:rsid w:val="006A6BA0"/>
    <w:rsid w:val="006B00FD"/>
    <w:rsid w:val="006B0FEC"/>
    <w:rsid w:val="006B1476"/>
    <w:rsid w:val="006B1BE0"/>
    <w:rsid w:val="006B670E"/>
    <w:rsid w:val="006B7AAC"/>
    <w:rsid w:val="006C51F8"/>
    <w:rsid w:val="006C696A"/>
    <w:rsid w:val="006C69F0"/>
    <w:rsid w:val="006C7AB9"/>
    <w:rsid w:val="006D36AA"/>
    <w:rsid w:val="006D389D"/>
    <w:rsid w:val="006D526B"/>
    <w:rsid w:val="006D6CFE"/>
    <w:rsid w:val="006E0A29"/>
    <w:rsid w:val="006E1BCE"/>
    <w:rsid w:val="006E234C"/>
    <w:rsid w:val="006E2947"/>
    <w:rsid w:val="006E3EE5"/>
    <w:rsid w:val="006E540E"/>
    <w:rsid w:val="006E542B"/>
    <w:rsid w:val="006E5C8A"/>
    <w:rsid w:val="006E5D44"/>
    <w:rsid w:val="006E7837"/>
    <w:rsid w:val="006F16F9"/>
    <w:rsid w:val="006F2371"/>
    <w:rsid w:val="006F27E8"/>
    <w:rsid w:val="006F37CE"/>
    <w:rsid w:val="006F6705"/>
    <w:rsid w:val="006F6E13"/>
    <w:rsid w:val="006F7060"/>
    <w:rsid w:val="00700179"/>
    <w:rsid w:val="007015E2"/>
    <w:rsid w:val="00702573"/>
    <w:rsid w:val="0070614A"/>
    <w:rsid w:val="00706481"/>
    <w:rsid w:val="00706639"/>
    <w:rsid w:val="00706D64"/>
    <w:rsid w:val="00710498"/>
    <w:rsid w:val="00710E70"/>
    <w:rsid w:val="0071393F"/>
    <w:rsid w:val="00715447"/>
    <w:rsid w:val="007158D3"/>
    <w:rsid w:val="007168DD"/>
    <w:rsid w:val="0072056E"/>
    <w:rsid w:val="00720E4D"/>
    <w:rsid w:val="00721C08"/>
    <w:rsid w:val="007226BA"/>
    <w:rsid w:val="00723A1B"/>
    <w:rsid w:val="00723A3A"/>
    <w:rsid w:val="00726256"/>
    <w:rsid w:val="0072725F"/>
    <w:rsid w:val="00727BC9"/>
    <w:rsid w:val="007330B1"/>
    <w:rsid w:val="00733CDD"/>
    <w:rsid w:val="00735016"/>
    <w:rsid w:val="00736ED4"/>
    <w:rsid w:val="00741253"/>
    <w:rsid w:val="00742910"/>
    <w:rsid w:val="00742BBC"/>
    <w:rsid w:val="0074368F"/>
    <w:rsid w:val="00743A61"/>
    <w:rsid w:val="0075237C"/>
    <w:rsid w:val="0075291C"/>
    <w:rsid w:val="0075440C"/>
    <w:rsid w:val="00760244"/>
    <w:rsid w:val="00761BA3"/>
    <w:rsid w:val="00761CCE"/>
    <w:rsid w:val="00762159"/>
    <w:rsid w:val="007624A3"/>
    <w:rsid w:val="00765A74"/>
    <w:rsid w:val="00766961"/>
    <w:rsid w:val="00766B3F"/>
    <w:rsid w:val="007709F4"/>
    <w:rsid w:val="00773997"/>
    <w:rsid w:val="00773FEA"/>
    <w:rsid w:val="00775CB8"/>
    <w:rsid w:val="00776A40"/>
    <w:rsid w:val="007804F7"/>
    <w:rsid w:val="007867BE"/>
    <w:rsid w:val="00787679"/>
    <w:rsid w:val="00787C69"/>
    <w:rsid w:val="007906E8"/>
    <w:rsid w:val="007932FD"/>
    <w:rsid w:val="007938B4"/>
    <w:rsid w:val="00794874"/>
    <w:rsid w:val="00797DC7"/>
    <w:rsid w:val="007A018D"/>
    <w:rsid w:val="007A0782"/>
    <w:rsid w:val="007A0930"/>
    <w:rsid w:val="007A1468"/>
    <w:rsid w:val="007A47AA"/>
    <w:rsid w:val="007A5D70"/>
    <w:rsid w:val="007B484E"/>
    <w:rsid w:val="007B4CB9"/>
    <w:rsid w:val="007C10A7"/>
    <w:rsid w:val="007C32EC"/>
    <w:rsid w:val="007C3D5A"/>
    <w:rsid w:val="007D2158"/>
    <w:rsid w:val="007D243F"/>
    <w:rsid w:val="007D2506"/>
    <w:rsid w:val="007D5019"/>
    <w:rsid w:val="007D578F"/>
    <w:rsid w:val="007D5BEE"/>
    <w:rsid w:val="007E0EEE"/>
    <w:rsid w:val="007E109E"/>
    <w:rsid w:val="007E2FD9"/>
    <w:rsid w:val="007E53EB"/>
    <w:rsid w:val="007E5E6E"/>
    <w:rsid w:val="007E7BA5"/>
    <w:rsid w:val="007F17B6"/>
    <w:rsid w:val="007F3811"/>
    <w:rsid w:val="007F5495"/>
    <w:rsid w:val="007F6758"/>
    <w:rsid w:val="00800080"/>
    <w:rsid w:val="008009D4"/>
    <w:rsid w:val="00800A6B"/>
    <w:rsid w:val="008027AC"/>
    <w:rsid w:val="008035E0"/>
    <w:rsid w:val="0080480E"/>
    <w:rsid w:val="008051FD"/>
    <w:rsid w:val="0081367F"/>
    <w:rsid w:val="00815D2A"/>
    <w:rsid w:val="00816E4E"/>
    <w:rsid w:val="00817513"/>
    <w:rsid w:val="00817618"/>
    <w:rsid w:val="00817D44"/>
    <w:rsid w:val="00820A89"/>
    <w:rsid w:val="00822D06"/>
    <w:rsid w:val="00823118"/>
    <w:rsid w:val="00826DB4"/>
    <w:rsid w:val="00827D20"/>
    <w:rsid w:val="00827E77"/>
    <w:rsid w:val="00832AAF"/>
    <w:rsid w:val="00835425"/>
    <w:rsid w:val="00837BF5"/>
    <w:rsid w:val="00837CB4"/>
    <w:rsid w:val="008412E7"/>
    <w:rsid w:val="00841D48"/>
    <w:rsid w:val="00843F5A"/>
    <w:rsid w:val="008469F2"/>
    <w:rsid w:val="00851E2E"/>
    <w:rsid w:val="0085267F"/>
    <w:rsid w:val="0085369A"/>
    <w:rsid w:val="00853D96"/>
    <w:rsid w:val="00855325"/>
    <w:rsid w:val="00855EB1"/>
    <w:rsid w:val="0085782F"/>
    <w:rsid w:val="00861119"/>
    <w:rsid w:val="00865469"/>
    <w:rsid w:val="008662EA"/>
    <w:rsid w:val="00870307"/>
    <w:rsid w:val="00870D27"/>
    <w:rsid w:val="00871982"/>
    <w:rsid w:val="00872ED4"/>
    <w:rsid w:val="0087353E"/>
    <w:rsid w:val="008745C8"/>
    <w:rsid w:val="008748A0"/>
    <w:rsid w:val="00883620"/>
    <w:rsid w:val="00886FFF"/>
    <w:rsid w:val="00887272"/>
    <w:rsid w:val="008907B2"/>
    <w:rsid w:val="00891279"/>
    <w:rsid w:val="008A01C2"/>
    <w:rsid w:val="008A1E7F"/>
    <w:rsid w:val="008A4069"/>
    <w:rsid w:val="008B1293"/>
    <w:rsid w:val="008B17D3"/>
    <w:rsid w:val="008C0158"/>
    <w:rsid w:val="008C1764"/>
    <w:rsid w:val="008C1775"/>
    <w:rsid w:val="008C219C"/>
    <w:rsid w:val="008C6A04"/>
    <w:rsid w:val="008D0656"/>
    <w:rsid w:val="008D0670"/>
    <w:rsid w:val="008D0EA2"/>
    <w:rsid w:val="008D5724"/>
    <w:rsid w:val="008D63DB"/>
    <w:rsid w:val="008D7209"/>
    <w:rsid w:val="008E092C"/>
    <w:rsid w:val="008E13DD"/>
    <w:rsid w:val="008E16F4"/>
    <w:rsid w:val="008E1A64"/>
    <w:rsid w:val="008E2986"/>
    <w:rsid w:val="008E3831"/>
    <w:rsid w:val="008E4000"/>
    <w:rsid w:val="008F0E82"/>
    <w:rsid w:val="008F117B"/>
    <w:rsid w:val="008F2C11"/>
    <w:rsid w:val="008F3641"/>
    <w:rsid w:val="008F4232"/>
    <w:rsid w:val="008F5BD8"/>
    <w:rsid w:val="008F602D"/>
    <w:rsid w:val="008F64D5"/>
    <w:rsid w:val="00900D40"/>
    <w:rsid w:val="00902E39"/>
    <w:rsid w:val="009038E9"/>
    <w:rsid w:val="00904CB8"/>
    <w:rsid w:val="0090502F"/>
    <w:rsid w:val="00905268"/>
    <w:rsid w:val="00907FD9"/>
    <w:rsid w:val="00911DDF"/>
    <w:rsid w:val="00912BA5"/>
    <w:rsid w:val="00920351"/>
    <w:rsid w:val="00924DC2"/>
    <w:rsid w:val="00927877"/>
    <w:rsid w:val="00930D94"/>
    <w:rsid w:val="00932788"/>
    <w:rsid w:val="009339DE"/>
    <w:rsid w:val="00935558"/>
    <w:rsid w:val="00935D9D"/>
    <w:rsid w:val="0094075F"/>
    <w:rsid w:val="009407E1"/>
    <w:rsid w:val="009425BA"/>
    <w:rsid w:val="00942924"/>
    <w:rsid w:val="00943E09"/>
    <w:rsid w:val="00947A38"/>
    <w:rsid w:val="0095085E"/>
    <w:rsid w:val="00953ABA"/>
    <w:rsid w:val="00954135"/>
    <w:rsid w:val="00954284"/>
    <w:rsid w:val="00954CCB"/>
    <w:rsid w:val="009551B7"/>
    <w:rsid w:val="009556EA"/>
    <w:rsid w:val="00955B2D"/>
    <w:rsid w:val="009562E8"/>
    <w:rsid w:val="009617A8"/>
    <w:rsid w:val="00962DD5"/>
    <w:rsid w:val="00962E35"/>
    <w:rsid w:val="009657DD"/>
    <w:rsid w:val="009674BB"/>
    <w:rsid w:val="00971D06"/>
    <w:rsid w:val="009727AF"/>
    <w:rsid w:val="00973123"/>
    <w:rsid w:val="00973309"/>
    <w:rsid w:val="0097387C"/>
    <w:rsid w:val="00973A95"/>
    <w:rsid w:val="00973CEB"/>
    <w:rsid w:val="00974320"/>
    <w:rsid w:val="00974C0F"/>
    <w:rsid w:val="0097565A"/>
    <w:rsid w:val="009758A0"/>
    <w:rsid w:val="00976964"/>
    <w:rsid w:val="00977A08"/>
    <w:rsid w:val="00977D44"/>
    <w:rsid w:val="00980E14"/>
    <w:rsid w:val="00981360"/>
    <w:rsid w:val="009847DB"/>
    <w:rsid w:val="009849EB"/>
    <w:rsid w:val="00985D45"/>
    <w:rsid w:val="009912F7"/>
    <w:rsid w:val="00995F29"/>
    <w:rsid w:val="009A1889"/>
    <w:rsid w:val="009A1F02"/>
    <w:rsid w:val="009A6BCB"/>
    <w:rsid w:val="009B2E41"/>
    <w:rsid w:val="009B3DE5"/>
    <w:rsid w:val="009B5992"/>
    <w:rsid w:val="009B642C"/>
    <w:rsid w:val="009C026F"/>
    <w:rsid w:val="009C2FE4"/>
    <w:rsid w:val="009C5FAC"/>
    <w:rsid w:val="009C76A7"/>
    <w:rsid w:val="009C79CA"/>
    <w:rsid w:val="009D0D30"/>
    <w:rsid w:val="009D1E5A"/>
    <w:rsid w:val="009D3C44"/>
    <w:rsid w:val="009D766F"/>
    <w:rsid w:val="009D7B53"/>
    <w:rsid w:val="009D7C94"/>
    <w:rsid w:val="009E3001"/>
    <w:rsid w:val="009E3EE5"/>
    <w:rsid w:val="009E66E3"/>
    <w:rsid w:val="009E6BCF"/>
    <w:rsid w:val="009F0B72"/>
    <w:rsid w:val="009F0D2E"/>
    <w:rsid w:val="00A002FB"/>
    <w:rsid w:val="00A01A97"/>
    <w:rsid w:val="00A03583"/>
    <w:rsid w:val="00A03D75"/>
    <w:rsid w:val="00A03FFC"/>
    <w:rsid w:val="00A04E1F"/>
    <w:rsid w:val="00A05903"/>
    <w:rsid w:val="00A07C76"/>
    <w:rsid w:val="00A10F05"/>
    <w:rsid w:val="00A146D5"/>
    <w:rsid w:val="00A14C75"/>
    <w:rsid w:val="00A21989"/>
    <w:rsid w:val="00A23708"/>
    <w:rsid w:val="00A239F9"/>
    <w:rsid w:val="00A25E2E"/>
    <w:rsid w:val="00A31FD4"/>
    <w:rsid w:val="00A348A7"/>
    <w:rsid w:val="00A34DC0"/>
    <w:rsid w:val="00A35C90"/>
    <w:rsid w:val="00A40A8E"/>
    <w:rsid w:val="00A411DC"/>
    <w:rsid w:val="00A43487"/>
    <w:rsid w:val="00A45BC8"/>
    <w:rsid w:val="00A46528"/>
    <w:rsid w:val="00A46BBF"/>
    <w:rsid w:val="00A47BD7"/>
    <w:rsid w:val="00A52C4F"/>
    <w:rsid w:val="00A552FB"/>
    <w:rsid w:val="00A560B8"/>
    <w:rsid w:val="00A6050A"/>
    <w:rsid w:val="00A60E28"/>
    <w:rsid w:val="00A63BB4"/>
    <w:rsid w:val="00A653D0"/>
    <w:rsid w:val="00A65E6F"/>
    <w:rsid w:val="00A70C5F"/>
    <w:rsid w:val="00A717F1"/>
    <w:rsid w:val="00A74F62"/>
    <w:rsid w:val="00A74F92"/>
    <w:rsid w:val="00A756F8"/>
    <w:rsid w:val="00A761D1"/>
    <w:rsid w:val="00A76241"/>
    <w:rsid w:val="00A7704E"/>
    <w:rsid w:val="00A802FE"/>
    <w:rsid w:val="00A83041"/>
    <w:rsid w:val="00A90190"/>
    <w:rsid w:val="00A901CF"/>
    <w:rsid w:val="00A90A98"/>
    <w:rsid w:val="00A90B1B"/>
    <w:rsid w:val="00A916BE"/>
    <w:rsid w:val="00A91FF7"/>
    <w:rsid w:val="00A92980"/>
    <w:rsid w:val="00A94770"/>
    <w:rsid w:val="00A94C62"/>
    <w:rsid w:val="00A953E0"/>
    <w:rsid w:val="00A96DA9"/>
    <w:rsid w:val="00AA2370"/>
    <w:rsid w:val="00AA25D5"/>
    <w:rsid w:val="00AA38E6"/>
    <w:rsid w:val="00AA3DAA"/>
    <w:rsid w:val="00AA733E"/>
    <w:rsid w:val="00AB04C2"/>
    <w:rsid w:val="00AB1027"/>
    <w:rsid w:val="00AB1BA8"/>
    <w:rsid w:val="00AB1F5E"/>
    <w:rsid w:val="00AB276A"/>
    <w:rsid w:val="00AB3206"/>
    <w:rsid w:val="00AB3520"/>
    <w:rsid w:val="00AB5D80"/>
    <w:rsid w:val="00AB69E3"/>
    <w:rsid w:val="00AB7DCD"/>
    <w:rsid w:val="00AC2814"/>
    <w:rsid w:val="00AC7B43"/>
    <w:rsid w:val="00AC7D48"/>
    <w:rsid w:val="00AD232E"/>
    <w:rsid w:val="00AD5DC2"/>
    <w:rsid w:val="00AD664D"/>
    <w:rsid w:val="00AD74FF"/>
    <w:rsid w:val="00AE0293"/>
    <w:rsid w:val="00AE13FA"/>
    <w:rsid w:val="00AE41D4"/>
    <w:rsid w:val="00AE5036"/>
    <w:rsid w:val="00AF4711"/>
    <w:rsid w:val="00AF55E0"/>
    <w:rsid w:val="00AF568A"/>
    <w:rsid w:val="00AF585C"/>
    <w:rsid w:val="00AF6517"/>
    <w:rsid w:val="00AF6B7C"/>
    <w:rsid w:val="00AF6CB8"/>
    <w:rsid w:val="00B01904"/>
    <w:rsid w:val="00B02475"/>
    <w:rsid w:val="00B02541"/>
    <w:rsid w:val="00B03058"/>
    <w:rsid w:val="00B05763"/>
    <w:rsid w:val="00B06386"/>
    <w:rsid w:val="00B1165A"/>
    <w:rsid w:val="00B11F53"/>
    <w:rsid w:val="00B1321D"/>
    <w:rsid w:val="00B1348B"/>
    <w:rsid w:val="00B14918"/>
    <w:rsid w:val="00B15822"/>
    <w:rsid w:val="00B208BF"/>
    <w:rsid w:val="00B21D60"/>
    <w:rsid w:val="00B21EF3"/>
    <w:rsid w:val="00B22D48"/>
    <w:rsid w:val="00B2699F"/>
    <w:rsid w:val="00B272CE"/>
    <w:rsid w:val="00B348AF"/>
    <w:rsid w:val="00B3579A"/>
    <w:rsid w:val="00B3592F"/>
    <w:rsid w:val="00B37E72"/>
    <w:rsid w:val="00B40C75"/>
    <w:rsid w:val="00B4207B"/>
    <w:rsid w:val="00B4220F"/>
    <w:rsid w:val="00B42230"/>
    <w:rsid w:val="00B4243B"/>
    <w:rsid w:val="00B43105"/>
    <w:rsid w:val="00B43329"/>
    <w:rsid w:val="00B43A2C"/>
    <w:rsid w:val="00B44E69"/>
    <w:rsid w:val="00B45D38"/>
    <w:rsid w:val="00B469B8"/>
    <w:rsid w:val="00B47567"/>
    <w:rsid w:val="00B475D5"/>
    <w:rsid w:val="00B47BCB"/>
    <w:rsid w:val="00B51C01"/>
    <w:rsid w:val="00B52A9B"/>
    <w:rsid w:val="00B52B14"/>
    <w:rsid w:val="00B5381E"/>
    <w:rsid w:val="00B53D1F"/>
    <w:rsid w:val="00B568CF"/>
    <w:rsid w:val="00B61320"/>
    <w:rsid w:val="00B62440"/>
    <w:rsid w:val="00B6354E"/>
    <w:rsid w:val="00B6386E"/>
    <w:rsid w:val="00B653D0"/>
    <w:rsid w:val="00B659ED"/>
    <w:rsid w:val="00B67610"/>
    <w:rsid w:val="00B71D58"/>
    <w:rsid w:val="00B727F4"/>
    <w:rsid w:val="00B7768A"/>
    <w:rsid w:val="00B80351"/>
    <w:rsid w:val="00B870CF"/>
    <w:rsid w:val="00B9322F"/>
    <w:rsid w:val="00B94C20"/>
    <w:rsid w:val="00B95A4E"/>
    <w:rsid w:val="00B96CFC"/>
    <w:rsid w:val="00BA1B9E"/>
    <w:rsid w:val="00BA3B22"/>
    <w:rsid w:val="00BA713F"/>
    <w:rsid w:val="00BB121F"/>
    <w:rsid w:val="00BB126A"/>
    <w:rsid w:val="00BB24C8"/>
    <w:rsid w:val="00BB4F94"/>
    <w:rsid w:val="00BB5773"/>
    <w:rsid w:val="00BB5EE0"/>
    <w:rsid w:val="00BB7ED2"/>
    <w:rsid w:val="00BC0A7C"/>
    <w:rsid w:val="00BC0F97"/>
    <w:rsid w:val="00BC195F"/>
    <w:rsid w:val="00BC1A27"/>
    <w:rsid w:val="00BC1D54"/>
    <w:rsid w:val="00BC373C"/>
    <w:rsid w:val="00BC399D"/>
    <w:rsid w:val="00BC521C"/>
    <w:rsid w:val="00BC5A19"/>
    <w:rsid w:val="00BC752F"/>
    <w:rsid w:val="00BD01F2"/>
    <w:rsid w:val="00BD3218"/>
    <w:rsid w:val="00BE4154"/>
    <w:rsid w:val="00BE456B"/>
    <w:rsid w:val="00BE594F"/>
    <w:rsid w:val="00BF2422"/>
    <w:rsid w:val="00BF576C"/>
    <w:rsid w:val="00C00EBD"/>
    <w:rsid w:val="00C04B77"/>
    <w:rsid w:val="00C115B5"/>
    <w:rsid w:val="00C11EB1"/>
    <w:rsid w:val="00C121DF"/>
    <w:rsid w:val="00C16CC8"/>
    <w:rsid w:val="00C16E78"/>
    <w:rsid w:val="00C203B9"/>
    <w:rsid w:val="00C21AE7"/>
    <w:rsid w:val="00C22B77"/>
    <w:rsid w:val="00C250FB"/>
    <w:rsid w:val="00C26D5C"/>
    <w:rsid w:val="00C27FC9"/>
    <w:rsid w:val="00C326BC"/>
    <w:rsid w:val="00C339F9"/>
    <w:rsid w:val="00C3584E"/>
    <w:rsid w:val="00C36225"/>
    <w:rsid w:val="00C36A69"/>
    <w:rsid w:val="00C40267"/>
    <w:rsid w:val="00C40EBD"/>
    <w:rsid w:val="00C43B5C"/>
    <w:rsid w:val="00C47302"/>
    <w:rsid w:val="00C47585"/>
    <w:rsid w:val="00C50C3D"/>
    <w:rsid w:val="00C51AA8"/>
    <w:rsid w:val="00C52635"/>
    <w:rsid w:val="00C61C08"/>
    <w:rsid w:val="00C663DE"/>
    <w:rsid w:val="00C70979"/>
    <w:rsid w:val="00C7137B"/>
    <w:rsid w:val="00C71873"/>
    <w:rsid w:val="00C74982"/>
    <w:rsid w:val="00C74A62"/>
    <w:rsid w:val="00C7666D"/>
    <w:rsid w:val="00C82A0A"/>
    <w:rsid w:val="00C84B4C"/>
    <w:rsid w:val="00C86D56"/>
    <w:rsid w:val="00C876B2"/>
    <w:rsid w:val="00C90D5A"/>
    <w:rsid w:val="00C91B28"/>
    <w:rsid w:val="00C9247F"/>
    <w:rsid w:val="00C95F21"/>
    <w:rsid w:val="00C96339"/>
    <w:rsid w:val="00C96B56"/>
    <w:rsid w:val="00CA1D7C"/>
    <w:rsid w:val="00CA4646"/>
    <w:rsid w:val="00CA567C"/>
    <w:rsid w:val="00CA5D2E"/>
    <w:rsid w:val="00CA66D1"/>
    <w:rsid w:val="00CA6F37"/>
    <w:rsid w:val="00CB4045"/>
    <w:rsid w:val="00CB431A"/>
    <w:rsid w:val="00CB5583"/>
    <w:rsid w:val="00CC01B3"/>
    <w:rsid w:val="00CC117C"/>
    <w:rsid w:val="00CC2B84"/>
    <w:rsid w:val="00CC3B91"/>
    <w:rsid w:val="00CC65C3"/>
    <w:rsid w:val="00CC7DBA"/>
    <w:rsid w:val="00CD0453"/>
    <w:rsid w:val="00CD1A7E"/>
    <w:rsid w:val="00CD254E"/>
    <w:rsid w:val="00CD297E"/>
    <w:rsid w:val="00CD41B9"/>
    <w:rsid w:val="00CD5B57"/>
    <w:rsid w:val="00CD6950"/>
    <w:rsid w:val="00CE3AE2"/>
    <w:rsid w:val="00CE59DD"/>
    <w:rsid w:val="00CE5E62"/>
    <w:rsid w:val="00CE5E79"/>
    <w:rsid w:val="00CE5F7D"/>
    <w:rsid w:val="00CE75F6"/>
    <w:rsid w:val="00CE7CF1"/>
    <w:rsid w:val="00CF1386"/>
    <w:rsid w:val="00D02B1A"/>
    <w:rsid w:val="00D02EF6"/>
    <w:rsid w:val="00D065A7"/>
    <w:rsid w:val="00D06B2A"/>
    <w:rsid w:val="00D12150"/>
    <w:rsid w:val="00D14CBB"/>
    <w:rsid w:val="00D14CED"/>
    <w:rsid w:val="00D14D30"/>
    <w:rsid w:val="00D14E31"/>
    <w:rsid w:val="00D22A08"/>
    <w:rsid w:val="00D25C1B"/>
    <w:rsid w:val="00D25E3B"/>
    <w:rsid w:val="00D27D8D"/>
    <w:rsid w:val="00D35406"/>
    <w:rsid w:val="00D35BCC"/>
    <w:rsid w:val="00D35D2B"/>
    <w:rsid w:val="00D41020"/>
    <w:rsid w:val="00D42079"/>
    <w:rsid w:val="00D505D3"/>
    <w:rsid w:val="00D51811"/>
    <w:rsid w:val="00D5351E"/>
    <w:rsid w:val="00D556F5"/>
    <w:rsid w:val="00D568EC"/>
    <w:rsid w:val="00D60A31"/>
    <w:rsid w:val="00D6114A"/>
    <w:rsid w:val="00D622B1"/>
    <w:rsid w:val="00D635FA"/>
    <w:rsid w:val="00D66A16"/>
    <w:rsid w:val="00D677D0"/>
    <w:rsid w:val="00D7205B"/>
    <w:rsid w:val="00D738A9"/>
    <w:rsid w:val="00D74F3A"/>
    <w:rsid w:val="00D75B07"/>
    <w:rsid w:val="00D827B5"/>
    <w:rsid w:val="00D83588"/>
    <w:rsid w:val="00D87DE5"/>
    <w:rsid w:val="00D91546"/>
    <w:rsid w:val="00D9185D"/>
    <w:rsid w:val="00D97E5B"/>
    <w:rsid w:val="00DA1EC0"/>
    <w:rsid w:val="00DB0AE5"/>
    <w:rsid w:val="00DB74C7"/>
    <w:rsid w:val="00DB7926"/>
    <w:rsid w:val="00DC1CB7"/>
    <w:rsid w:val="00DC2A6B"/>
    <w:rsid w:val="00DC3076"/>
    <w:rsid w:val="00DC578A"/>
    <w:rsid w:val="00DC59D8"/>
    <w:rsid w:val="00DC5F8E"/>
    <w:rsid w:val="00DC70DC"/>
    <w:rsid w:val="00DD3AC2"/>
    <w:rsid w:val="00DD4F57"/>
    <w:rsid w:val="00DD73F8"/>
    <w:rsid w:val="00DD78C5"/>
    <w:rsid w:val="00DE0208"/>
    <w:rsid w:val="00DE2F05"/>
    <w:rsid w:val="00DE39FD"/>
    <w:rsid w:val="00DE3CF8"/>
    <w:rsid w:val="00DE4F96"/>
    <w:rsid w:val="00DE55D7"/>
    <w:rsid w:val="00DE5EA1"/>
    <w:rsid w:val="00DE70CD"/>
    <w:rsid w:val="00DE7CC8"/>
    <w:rsid w:val="00DF1179"/>
    <w:rsid w:val="00DF2B94"/>
    <w:rsid w:val="00DF555A"/>
    <w:rsid w:val="00DF57A8"/>
    <w:rsid w:val="00DF5D01"/>
    <w:rsid w:val="00DF7C96"/>
    <w:rsid w:val="00E02B9E"/>
    <w:rsid w:val="00E03945"/>
    <w:rsid w:val="00E065A4"/>
    <w:rsid w:val="00E07628"/>
    <w:rsid w:val="00E1386D"/>
    <w:rsid w:val="00E1480C"/>
    <w:rsid w:val="00E154C4"/>
    <w:rsid w:val="00E16FF4"/>
    <w:rsid w:val="00E21085"/>
    <w:rsid w:val="00E239C0"/>
    <w:rsid w:val="00E24959"/>
    <w:rsid w:val="00E25461"/>
    <w:rsid w:val="00E256CD"/>
    <w:rsid w:val="00E268FC"/>
    <w:rsid w:val="00E30A5E"/>
    <w:rsid w:val="00E325A7"/>
    <w:rsid w:val="00E34634"/>
    <w:rsid w:val="00E34C25"/>
    <w:rsid w:val="00E35210"/>
    <w:rsid w:val="00E376D9"/>
    <w:rsid w:val="00E4088C"/>
    <w:rsid w:val="00E42E88"/>
    <w:rsid w:val="00E43AB6"/>
    <w:rsid w:val="00E46CD7"/>
    <w:rsid w:val="00E47513"/>
    <w:rsid w:val="00E50DF9"/>
    <w:rsid w:val="00E51087"/>
    <w:rsid w:val="00E634A2"/>
    <w:rsid w:val="00E63DD3"/>
    <w:rsid w:val="00E65CA6"/>
    <w:rsid w:val="00E668E1"/>
    <w:rsid w:val="00E66DA2"/>
    <w:rsid w:val="00E730F4"/>
    <w:rsid w:val="00E753C6"/>
    <w:rsid w:val="00E75F76"/>
    <w:rsid w:val="00E81B75"/>
    <w:rsid w:val="00E81BBB"/>
    <w:rsid w:val="00E83C58"/>
    <w:rsid w:val="00E8423E"/>
    <w:rsid w:val="00E844F7"/>
    <w:rsid w:val="00E84D67"/>
    <w:rsid w:val="00E8590D"/>
    <w:rsid w:val="00E8721E"/>
    <w:rsid w:val="00E87B03"/>
    <w:rsid w:val="00E87EDD"/>
    <w:rsid w:val="00E907D5"/>
    <w:rsid w:val="00E91045"/>
    <w:rsid w:val="00E96914"/>
    <w:rsid w:val="00E97633"/>
    <w:rsid w:val="00E97E7B"/>
    <w:rsid w:val="00EA0B8F"/>
    <w:rsid w:val="00EA0F65"/>
    <w:rsid w:val="00EA2BA6"/>
    <w:rsid w:val="00EA35DC"/>
    <w:rsid w:val="00EA36E9"/>
    <w:rsid w:val="00EA7FE6"/>
    <w:rsid w:val="00EB1014"/>
    <w:rsid w:val="00EB11B5"/>
    <w:rsid w:val="00EB7660"/>
    <w:rsid w:val="00EC11EE"/>
    <w:rsid w:val="00EC1CA9"/>
    <w:rsid w:val="00EC4491"/>
    <w:rsid w:val="00EC50E5"/>
    <w:rsid w:val="00EC77C6"/>
    <w:rsid w:val="00ED1357"/>
    <w:rsid w:val="00ED2FEC"/>
    <w:rsid w:val="00ED42CD"/>
    <w:rsid w:val="00ED4862"/>
    <w:rsid w:val="00ED7B45"/>
    <w:rsid w:val="00EE2839"/>
    <w:rsid w:val="00EE4DFB"/>
    <w:rsid w:val="00EE53E9"/>
    <w:rsid w:val="00EE58A3"/>
    <w:rsid w:val="00EE5D28"/>
    <w:rsid w:val="00EE63A0"/>
    <w:rsid w:val="00EE6947"/>
    <w:rsid w:val="00EF0477"/>
    <w:rsid w:val="00EF09D1"/>
    <w:rsid w:val="00EF59E3"/>
    <w:rsid w:val="00EF61B8"/>
    <w:rsid w:val="00F009AF"/>
    <w:rsid w:val="00F00B45"/>
    <w:rsid w:val="00F062CF"/>
    <w:rsid w:val="00F06FF3"/>
    <w:rsid w:val="00F102A1"/>
    <w:rsid w:val="00F10D84"/>
    <w:rsid w:val="00F121C8"/>
    <w:rsid w:val="00F14874"/>
    <w:rsid w:val="00F155EF"/>
    <w:rsid w:val="00F16EFF"/>
    <w:rsid w:val="00F17856"/>
    <w:rsid w:val="00F17ABF"/>
    <w:rsid w:val="00F20A43"/>
    <w:rsid w:val="00F21DF6"/>
    <w:rsid w:val="00F3005F"/>
    <w:rsid w:val="00F35610"/>
    <w:rsid w:val="00F35B0C"/>
    <w:rsid w:val="00F364C9"/>
    <w:rsid w:val="00F37C44"/>
    <w:rsid w:val="00F434C6"/>
    <w:rsid w:val="00F45CC1"/>
    <w:rsid w:val="00F4695C"/>
    <w:rsid w:val="00F469D0"/>
    <w:rsid w:val="00F509B2"/>
    <w:rsid w:val="00F5267C"/>
    <w:rsid w:val="00F54151"/>
    <w:rsid w:val="00F54214"/>
    <w:rsid w:val="00F55E16"/>
    <w:rsid w:val="00F55E80"/>
    <w:rsid w:val="00F60035"/>
    <w:rsid w:val="00F62543"/>
    <w:rsid w:val="00F629F3"/>
    <w:rsid w:val="00F62F8D"/>
    <w:rsid w:val="00F63B5B"/>
    <w:rsid w:val="00F641FD"/>
    <w:rsid w:val="00F649F2"/>
    <w:rsid w:val="00F677AC"/>
    <w:rsid w:val="00F714DB"/>
    <w:rsid w:val="00F723BB"/>
    <w:rsid w:val="00F72F13"/>
    <w:rsid w:val="00F74A97"/>
    <w:rsid w:val="00F75B20"/>
    <w:rsid w:val="00F776FB"/>
    <w:rsid w:val="00F8024D"/>
    <w:rsid w:val="00F81F21"/>
    <w:rsid w:val="00F84612"/>
    <w:rsid w:val="00F85A96"/>
    <w:rsid w:val="00F87C65"/>
    <w:rsid w:val="00F904F6"/>
    <w:rsid w:val="00F90DD8"/>
    <w:rsid w:val="00F910C2"/>
    <w:rsid w:val="00F92484"/>
    <w:rsid w:val="00F93D74"/>
    <w:rsid w:val="00F9401B"/>
    <w:rsid w:val="00F96260"/>
    <w:rsid w:val="00F9685E"/>
    <w:rsid w:val="00FA394F"/>
    <w:rsid w:val="00FA3B08"/>
    <w:rsid w:val="00FA456F"/>
    <w:rsid w:val="00FB1A0A"/>
    <w:rsid w:val="00FB3B46"/>
    <w:rsid w:val="00FB4DC7"/>
    <w:rsid w:val="00FB645D"/>
    <w:rsid w:val="00FB66AB"/>
    <w:rsid w:val="00FB6B41"/>
    <w:rsid w:val="00FC4383"/>
    <w:rsid w:val="00FC6882"/>
    <w:rsid w:val="00FC7A36"/>
    <w:rsid w:val="00FC7DFF"/>
    <w:rsid w:val="00FD06C5"/>
    <w:rsid w:val="00FD15FF"/>
    <w:rsid w:val="00FD17FC"/>
    <w:rsid w:val="00FD44ED"/>
    <w:rsid w:val="00FE24F0"/>
    <w:rsid w:val="00FE3C5E"/>
    <w:rsid w:val="00FE4C1D"/>
    <w:rsid w:val="00FE70D8"/>
    <w:rsid w:val="00FF10BC"/>
    <w:rsid w:val="00FF2F54"/>
    <w:rsid w:val="00FF3432"/>
    <w:rsid w:val="00FF414E"/>
    <w:rsid w:val="00FF4464"/>
    <w:rsid w:val="00FF52FF"/>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o:shapelayout v:ext="edit">
      <o:idmap v:ext="edit" data="1"/>
    </o:shapelayout>
  </w:shapeDefaults>
  <w:decimalSymbol w:val="."/>
  <w:listSeparator w:val=","/>
  <w14:docId w14:val="4204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qFormat="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iPriority="99"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uiPriority="73"/>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F1741"/>
    <w:pPr>
      <w:spacing w:after="120"/>
    </w:pPr>
    <w:rPr>
      <w:rFonts w:ascii="Arial" w:hAnsi="Arial"/>
      <w:sz w:val="22"/>
      <w:lang w:eastAsia="en-US"/>
    </w:rPr>
  </w:style>
  <w:style w:type="paragraph" w:styleId="Heading1">
    <w:name w:val="heading 1"/>
    <w:basedOn w:val="Normal"/>
    <w:next w:val="Normal"/>
    <w:link w:val="Heading1Char"/>
    <w:qFormat/>
    <w:rsid w:val="00F17ABF"/>
    <w:pPr>
      <w:keepNext/>
      <w:keepLines/>
      <w:numPr>
        <w:numId w:val="2"/>
      </w:numPr>
      <w:spacing w:before="480"/>
      <w:ind w:left="851" w:hanging="851"/>
      <w:outlineLvl w:val="0"/>
    </w:pPr>
    <w:rPr>
      <w:rFonts w:cs="Arial"/>
      <w:b/>
      <w:bCs/>
      <w:color w:val="76923C"/>
      <w:sz w:val="28"/>
      <w:szCs w:val="28"/>
    </w:rPr>
  </w:style>
  <w:style w:type="paragraph" w:styleId="Heading2">
    <w:name w:val="heading 2"/>
    <w:basedOn w:val="Heading1"/>
    <w:next w:val="Normal"/>
    <w:link w:val="Heading2Char"/>
    <w:qFormat/>
    <w:rsid w:val="00546E52"/>
    <w:pPr>
      <w:numPr>
        <w:ilvl w:val="1"/>
      </w:numPr>
      <w:spacing w:before="240"/>
      <w:ind w:left="851" w:hanging="851"/>
      <w:outlineLvl w:val="1"/>
    </w:pPr>
    <w:rPr>
      <w:sz w:val="24"/>
    </w:rPr>
  </w:style>
  <w:style w:type="paragraph" w:styleId="Heading3">
    <w:name w:val="heading 3"/>
    <w:basedOn w:val="Heading2"/>
    <w:next w:val="Normal"/>
    <w:link w:val="Heading3Char"/>
    <w:qFormat/>
    <w:rsid w:val="00CA1D7C"/>
    <w:pPr>
      <w:numPr>
        <w:ilvl w:val="2"/>
      </w:numPr>
      <w:tabs>
        <w:tab w:val="left" w:pos="284"/>
      </w:tabs>
      <w:ind w:left="851" w:hanging="851"/>
      <w:outlineLvl w:val="2"/>
    </w:pPr>
    <w:rPr>
      <w:sz w:val="22"/>
    </w:rPr>
  </w:style>
  <w:style w:type="paragraph" w:styleId="Heading4">
    <w:name w:val="heading 4"/>
    <w:basedOn w:val="Heading3"/>
    <w:next w:val="Normal"/>
    <w:link w:val="Heading4Char"/>
    <w:qFormat/>
    <w:rsid w:val="00CA1D7C"/>
    <w:pPr>
      <w:numPr>
        <w:ilvl w:val="3"/>
      </w:numPr>
      <w:ind w:left="851" w:hanging="851"/>
      <w:outlineLvl w:val="3"/>
    </w:pPr>
    <w:rPr>
      <w:rFonts w:cs="Cambria"/>
      <w:iCs/>
      <w:sz w:val="20"/>
    </w:rPr>
  </w:style>
  <w:style w:type="paragraph" w:styleId="Heading5">
    <w:name w:val="heading 5"/>
    <w:basedOn w:val="Normal"/>
    <w:next w:val="Normal"/>
    <w:link w:val="Heading5Char"/>
    <w:qFormat/>
    <w:rsid w:val="000B198F"/>
    <w:pPr>
      <w:keepNext/>
      <w:keepLines/>
      <w:numPr>
        <w:ilvl w:val="4"/>
        <w:numId w:val="2"/>
      </w:numPr>
      <w:spacing w:before="200" w:after="0"/>
      <w:outlineLvl w:val="4"/>
    </w:pPr>
    <w:rPr>
      <w:rFonts w:ascii="Cambria" w:hAnsi="Cambria"/>
      <w:color w:val="3B491E"/>
    </w:rPr>
  </w:style>
  <w:style w:type="paragraph" w:styleId="Heading6">
    <w:name w:val="heading 6"/>
    <w:basedOn w:val="Normal"/>
    <w:next w:val="Normal"/>
    <w:link w:val="Heading6Char"/>
    <w:qFormat/>
    <w:rsid w:val="000B198F"/>
    <w:pPr>
      <w:keepNext/>
      <w:keepLines/>
      <w:numPr>
        <w:ilvl w:val="5"/>
        <w:numId w:val="2"/>
      </w:numPr>
      <w:spacing w:before="200" w:after="0"/>
      <w:outlineLvl w:val="5"/>
    </w:pPr>
    <w:rPr>
      <w:rFonts w:ascii="Cambria" w:hAnsi="Cambria"/>
      <w:i/>
      <w:iCs/>
      <w:color w:val="3B491E"/>
    </w:rPr>
  </w:style>
  <w:style w:type="paragraph" w:styleId="Heading7">
    <w:name w:val="heading 7"/>
    <w:basedOn w:val="Normal"/>
    <w:next w:val="Normal"/>
    <w:link w:val="Heading7Char"/>
    <w:qFormat/>
    <w:rsid w:val="000B198F"/>
    <w:pPr>
      <w:keepNext/>
      <w:keepLines/>
      <w:numPr>
        <w:ilvl w:val="6"/>
        <w:numId w:val="2"/>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0B198F"/>
    <w:pPr>
      <w:keepNext/>
      <w:keepLines/>
      <w:numPr>
        <w:ilvl w:val="7"/>
        <w:numId w:val="2"/>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0B198F"/>
    <w:pPr>
      <w:keepNext/>
      <w:keepLines/>
      <w:numPr>
        <w:ilvl w:val="8"/>
        <w:numId w:val="2"/>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7ABF"/>
    <w:rPr>
      <w:rFonts w:ascii="Arial" w:hAnsi="Arial" w:cs="Arial"/>
      <w:b/>
      <w:bCs/>
      <w:color w:val="76923C"/>
      <w:sz w:val="28"/>
      <w:szCs w:val="28"/>
      <w:lang w:eastAsia="en-US"/>
    </w:rPr>
  </w:style>
  <w:style w:type="character" w:customStyle="1" w:styleId="Heading2Char">
    <w:name w:val="Heading 2 Char"/>
    <w:basedOn w:val="DefaultParagraphFont"/>
    <w:link w:val="Heading2"/>
    <w:locked/>
    <w:rsid w:val="00546E52"/>
    <w:rPr>
      <w:rFonts w:ascii="Arial" w:hAnsi="Arial" w:cs="Arial"/>
      <w:b/>
      <w:bCs/>
      <w:color w:val="76923C"/>
      <w:szCs w:val="28"/>
      <w:lang w:eastAsia="en-US"/>
    </w:rPr>
  </w:style>
  <w:style w:type="character" w:customStyle="1" w:styleId="Heading3Char">
    <w:name w:val="Heading 3 Char"/>
    <w:basedOn w:val="DefaultParagraphFont"/>
    <w:link w:val="Heading3"/>
    <w:locked/>
    <w:rsid w:val="00CA1D7C"/>
    <w:rPr>
      <w:rFonts w:ascii="Arial" w:hAnsi="Arial" w:cs="Arial"/>
      <w:b/>
      <w:bCs/>
      <w:color w:val="76923C"/>
      <w:sz w:val="22"/>
      <w:szCs w:val="28"/>
      <w:lang w:eastAsia="en-US"/>
    </w:rPr>
  </w:style>
  <w:style w:type="character" w:customStyle="1" w:styleId="Heading4Char">
    <w:name w:val="Heading 4 Char"/>
    <w:basedOn w:val="DefaultParagraphFont"/>
    <w:link w:val="Heading4"/>
    <w:locked/>
    <w:rsid w:val="00CA1D7C"/>
    <w:rPr>
      <w:rFonts w:ascii="Arial" w:hAnsi="Arial" w:cs="Cambria"/>
      <w:b/>
      <w:bCs/>
      <w:iCs/>
      <w:color w:val="76923C"/>
      <w:sz w:val="20"/>
      <w:szCs w:val="28"/>
      <w:lang w:eastAsia="en-US"/>
    </w:rPr>
  </w:style>
  <w:style w:type="character" w:customStyle="1" w:styleId="Heading5Char">
    <w:name w:val="Heading 5 Char"/>
    <w:basedOn w:val="DefaultParagraphFont"/>
    <w:link w:val="Heading5"/>
    <w:rsid w:val="000B198F"/>
    <w:rPr>
      <w:rFonts w:ascii="Cambria" w:hAnsi="Cambria"/>
      <w:color w:val="3B491E"/>
      <w:sz w:val="22"/>
      <w:lang w:eastAsia="en-US"/>
    </w:rPr>
  </w:style>
  <w:style w:type="character" w:customStyle="1" w:styleId="Heading6Char">
    <w:name w:val="Heading 6 Char"/>
    <w:basedOn w:val="DefaultParagraphFont"/>
    <w:link w:val="Heading6"/>
    <w:rsid w:val="000B198F"/>
    <w:rPr>
      <w:rFonts w:ascii="Cambria" w:hAnsi="Cambria"/>
      <w:i/>
      <w:iCs/>
      <w:color w:val="3B491E"/>
      <w:sz w:val="22"/>
      <w:lang w:eastAsia="en-US"/>
    </w:rPr>
  </w:style>
  <w:style w:type="character" w:customStyle="1" w:styleId="Heading7Char">
    <w:name w:val="Heading 7 Char"/>
    <w:link w:val="Heading7"/>
    <w:rsid w:val="000B198F"/>
    <w:rPr>
      <w:rFonts w:ascii="Cambria" w:hAnsi="Cambria"/>
      <w:i/>
      <w:iCs/>
      <w:color w:val="404040"/>
      <w:sz w:val="20"/>
      <w:lang w:eastAsia="en-US"/>
    </w:rPr>
  </w:style>
  <w:style w:type="character" w:customStyle="1" w:styleId="Heading8Char">
    <w:name w:val="Heading 8 Char"/>
    <w:basedOn w:val="DefaultParagraphFont"/>
    <w:link w:val="Heading8"/>
    <w:rsid w:val="000B198F"/>
    <w:rPr>
      <w:rFonts w:ascii="Cambria" w:hAnsi="Cambria"/>
      <w:color w:val="363636"/>
      <w:sz w:val="20"/>
      <w:szCs w:val="20"/>
      <w:lang w:eastAsia="en-US"/>
    </w:rPr>
  </w:style>
  <w:style w:type="character" w:customStyle="1" w:styleId="Heading9Char">
    <w:name w:val="Heading 9 Char"/>
    <w:basedOn w:val="DefaultParagraphFont"/>
    <w:link w:val="Heading9"/>
    <w:rsid w:val="000B198F"/>
    <w:rPr>
      <w:rFonts w:ascii="Cambria" w:hAnsi="Cambria"/>
      <w:i/>
      <w:iCs/>
      <w:color w:val="363636"/>
      <w:sz w:val="20"/>
      <w:szCs w:val="20"/>
      <w:lang w:eastAsia="en-US"/>
    </w:rPr>
  </w:style>
  <w:style w:type="paragraph" w:styleId="BalloonText">
    <w:name w:val="Balloon Text"/>
    <w:basedOn w:val="Normal"/>
    <w:link w:val="BalloonTextChar"/>
    <w:uiPriority w:val="99"/>
    <w:semiHidden/>
    <w:rsid w:val="006410B5"/>
    <w:rPr>
      <w:rFonts w:ascii="Tahoma" w:hAnsi="Tahoma" w:cs="Tahoma"/>
      <w:sz w:val="16"/>
      <w:szCs w:val="16"/>
    </w:rPr>
  </w:style>
  <w:style w:type="character" w:customStyle="1" w:styleId="BalloonTextChar">
    <w:name w:val="Balloon Text Char"/>
    <w:basedOn w:val="DefaultParagraphFont"/>
    <w:link w:val="BalloonText"/>
    <w:uiPriority w:val="99"/>
    <w:locked/>
    <w:rsid w:val="006410B5"/>
    <w:rPr>
      <w:rFonts w:ascii="Tahoma" w:hAnsi="Tahoma" w:cs="Tahoma"/>
      <w:sz w:val="16"/>
      <w:szCs w:val="16"/>
      <w:lang w:eastAsia="en-US"/>
    </w:rPr>
  </w:style>
  <w:style w:type="paragraph" w:customStyle="1" w:styleId="ColorfulList-Accent11">
    <w:name w:val="Colorful List - Accent 11"/>
    <w:aliases w:val="List Paragraph - Dani,List Paragraph 1 - Dani"/>
    <w:basedOn w:val="Normal"/>
    <w:uiPriority w:val="34"/>
    <w:qFormat/>
    <w:rsid w:val="002F1741"/>
    <w:pPr>
      <w:numPr>
        <w:numId w:val="3"/>
      </w:numPr>
      <w:ind w:left="851" w:hanging="284"/>
      <w:contextualSpacing/>
    </w:pPr>
    <w:rPr>
      <w:rFonts w:cs="Arial"/>
      <w:szCs w:val="22"/>
    </w:rPr>
  </w:style>
  <w:style w:type="table" w:styleId="TableGrid">
    <w:name w:val="Table Grid"/>
    <w:basedOn w:val="TableNormal"/>
    <w:uiPriority w:val="59"/>
    <w:rsid w:val="00FB05B4"/>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qFormat/>
    <w:rsid w:val="00C43B5C"/>
    <w:pPr>
      <w:spacing w:after="80"/>
    </w:pPr>
    <w:rPr>
      <w:sz w:val="16"/>
      <w:szCs w:val="20"/>
      <w:lang w:val="sv-SE" w:eastAsia="sv-SE"/>
    </w:rPr>
  </w:style>
  <w:style w:type="character" w:customStyle="1" w:styleId="FootnoteTextChar">
    <w:name w:val="Footnote Text Char"/>
    <w:basedOn w:val="DefaultParagraphFont"/>
    <w:link w:val="FootnoteText"/>
    <w:uiPriority w:val="99"/>
    <w:locked/>
    <w:rsid w:val="00C43B5C"/>
    <w:rPr>
      <w:rFonts w:ascii="Arial" w:hAnsi="Arial"/>
      <w:sz w:val="16"/>
      <w:szCs w:val="20"/>
      <w:lang w:val="sv-SE" w:eastAsia="sv-SE"/>
    </w:rPr>
  </w:style>
  <w:style w:type="character" w:styleId="FootnoteReference">
    <w:name w:val="footnote reference"/>
    <w:basedOn w:val="FootnoteTextChar"/>
    <w:uiPriority w:val="99"/>
    <w:rsid w:val="00652437"/>
    <w:rPr>
      <w:rFonts w:ascii="Arial" w:hAnsi="Arial"/>
      <w:color w:val="auto"/>
      <w:spacing w:val="0"/>
      <w:position w:val="0"/>
      <w:sz w:val="22"/>
      <w:szCs w:val="16"/>
      <w:vertAlign w:val="superscript"/>
      <w:lang w:val="sv-SE" w:eastAsia="sv-SE"/>
    </w:rPr>
  </w:style>
  <w:style w:type="paragraph" w:styleId="Footer">
    <w:name w:val="footer"/>
    <w:basedOn w:val="Normal"/>
    <w:link w:val="FooterChar"/>
    <w:uiPriority w:val="99"/>
    <w:rsid w:val="00355721"/>
    <w:pPr>
      <w:tabs>
        <w:tab w:val="center" w:pos="4513"/>
        <w:tab w:val="right" w:pos="9026"/>
      </w:tabs>
      <w:jc w:val="right"/>
    </w:pPr>
    <w:rPr>
      <w:b/>
      <w:color w:val="76923C"/>
      <w:sz w:val="16"/>
    </w:rPr>
  </w:style>
  <w:style w:type="character" w:customStyle="1" w:styleId="FooterChar">
    <w:name w:val="Footer Char"/>
    <w:basedOn w:val="DefaultParagraphFont"/>
    <w:link w:val="Footer"/>
    <w:uiPriority w:val="99"/>
    <w:locked/>
    <w:rsid w:val="00355721"/>
    <w:rPr>
      <w:rFonts w:ascii="Arial" w:hAnsi="Arial"/>
      <w:b/>
      <w:color w:val="76923C"/>
      <w:sz w:val="16"/>
      <w:szCs w:val="24"/>
      <w:lang w:val="en-AU"/>
    </w:rPr>
  </w:style>
  <w:style w:type="paragraph" w:customStyle="1" w:styleId="GridTable31">
    <w:name w:val="Grid Table 31"/>
    <w:basedOn w:val="Heading1"/>
    <w:next w:val="Normal"/>
    <w:uiPriority w:val="39"/>
    <w:qFormat/>
    <w:rsid w:val="00DE5AF4"/>
    <w:pPr>
      <w:numPr>
        <w:numId w:val="0"/>
      </w:numPr>
      <w:spacing w:line="276" w:lineRule="auto"/>
      <w:outlineLvl w:val="9"/>
    </w:pPr>
    <w:rPr>
      <w:lang w:val="en-US"/>
    </w:rPr>
  </w:style>
  <w:style w:type="paragraph" w:styleId="TOC1">
    <w:name w:val="toc 1"/>
    <w:basedOn w:val="Normal"/>
    <w:next w:val="Normal"/>
    <w:autoRedefine/>
    <w:uiPriority w:val="39"/>
    <w:rsid w:val="00027774"/>
    <w:pPr>
      <w:tabs>
        <w:tab w:val="left" w:pos="351"/>
        <w:tab w:val="right" w:leader="dot" w:pos="8489"/>
      </w:tabs>
      <w:spacing w:before="80" w:after="20"/>
    </w:pPr>
    <w:rPr>
      <w:b/>
      <w:sz w:val="20"/>
    </w:rPr>
  </w:style>
  <w:style w:type="paragraph" w:styleId="TOC2">
    <w:name w:val="toc 2"/>
    <w:basedOn w:val="Normal"/>
    <w:next w:val="Normal"/>
    <w:autoRedefine/>
    <w:uiPriority w:val="39"/>
    <w:rsid w:val="006B00AC"/>
    <w:pPr>
      <w:spacing w:after="0"/>
    </w:pPr>
    <w:rPr>
      <w:rFonts w:ascii="Calibri" w:hAnsi="Calibri"/>
      <w:szCs w:val="22"/>
    </w:rPr>
  </w:style>
  <w:style w:type="character" w:styleId="CommentReference">
    <w:name w:val="annotation reference"/>
    <w:basedOn w:val="DefaultParagraphFont"/>
    <w:uiPriority w:val="99"/>
    <w:rsid w:val="00893519"/>
    <w:rPr>
      <w:sz w:val="16"/>
      <w:szCs w:val="16"/>
    </w:rPr>
  </w:style>
  <w:style w:type="paragraph" w:styleId="CommentText">
    <w:name w:val="annotation text"/>
    <w:basedOn w:val="Normal"/>
    <w:link w:val="CommentTextChar"/>
    <w:uiPriority w:val="99"/>
    <w:semiHidden/>
    <w:rsid w:val="00893519"/>
    <w:rPr>
      <w:sz w:val="20"/>
      <w:szCs w:val="20"/>
    </w:rPr>
  </w:style>
  <w:style w:type="character" w:customStyle="1" w:styleId="CommentTextChar">
    <w:name w:val="Comment Text Char"/>
    <w:basedOn w:val="DefaultParagraphFont"/>
    <w:link w:val="CommentText"/>
    <w:uiPriority w:val="99"/>
    <w:semiHidden/>
    <w:rsid w:val="00CC3880"/>
    <w:rPr>
      <w:sz w:val="20"/>
      <w:szCs w:val="20"/>
      <w:lang w:val="en-AU"/>
    </w:rPr>
  </w:style>
  <w:style w:type="paragraph" w:styleId="CommentSubject">
    <w:name w:val="annotation subject"/>
    <w:basedOn w:val="CommentText"/>
    <w:next w:val="CommentText"/>
    <w:link w:val="CommentSubjectChar"/>
    <w:uiPriority w:val="99"/>
    <w:semiHidden/>
    <w:rsid w:val="00893519"/>
    <w:rPr>
      <w:b/>
      <w:bCs/>
    </w:rPr>
  </w:style>
  <w:style w:type="character" w:customStyle="1" w:styleId="CommentSubjectChar">
    <w:name w:val="Comment Subject Char"/>
    <w:basedOn w:val="CommentTextChar"/>
    <w:link w:val="CommentSubject"/>
    <w:uiPriority w:val="99"/>
    <w:semiHidden/>
    <w:rsid w:val="00CC3880"/>
    <w:rPr>
      <w:b/>
      <w:bCs/>
      <w:sz w:val="20"/>
      <w:szCs w:val="20"/>
      <w:lang w:val="en-AU"/>
    </w:rPr>
  </w:style>
  <w:style w:type="paragraph" w:styleId="BodyTextIndent">
    <w:name w:val="Body Text Indent"/>
    <w:basedOn w:val="Normal"/>
    <w:link w:val="BodyTextIndentChar"/>
    <w:uiPriority w:val="99"/>
    <w:semiHidden/>
    <w:unhideWhenUsed/>
    <w:rsid w:val="008A19E7"/>
    <w:pPr>
      <w:ind w:left="283"/>
    </w:pPr>
  </w:style>
  <w:style w:type="character" w:customStyle="1" w:styleId="BodyTextIndentChar">
    <w:name w:val="Body Text Indent Char"/>
    <w:basedOn w:val="DefaultParagraphFont"/>
    <w:link w:val="BodyTextIndent"/>
    <w:uiPriority w:val="99"/>
    <w:semiHidden/>
    <w:rsid w:val="008A19E7"/>
    <w:rPr>
      <w:sz w:val="24"/>
      <w:szCs w:val="24"/>
      <w:lang w:val="en-AU"/>
    </w:rPr>
  </w:style>
  <w:style w:type="paragraph" w:customStyle="1" w:styleId="Boxheading">
    <w:name w:val="Box heading"/>
    <w:basedOn w:val="Normal"/>
    <w:qFormat/>
    <w:rsid w:val="00CB69FA"/>
    <w:pPr>
      <w:spacing w:before="120"/>
    </w:pPr>
    <w:rPr>
      <w:rFonts w:cs="Arial"/>
      <w:b/>
      <w:szCs w:val="22"/>
    </w:rPr>
  </w:style>
  <w:style w:type="paragraph" w:styleId="TableofFigures">
    <w:name w:val="table of figures"/>
    <w:basedOn w:val="Normal"/>
    <w:next w:val="Normal"/>
    <w:uiPriority w:val="99"/>
    <w:rsid w:val="0052395C"/>
    <w:pPr>
      <w:spacing w:after="0"/>
    </w:pPr>
  </w:style>
  <w:style w:type="paragraph" w:customStyle="1" w:styleId="Numberedstyle">
    <w:name w:val="Numbered style"/>
    <w:basedOn w:val="ColorfulList-Accent11"/>
    <w:link w:val="NumberedstyleChar"/>
    <w:rsid w:val="00A6097B"/>
    <w:pPr>
      <w:numPr>
        <w:numId w:val="1"/>
      </w:numPr>
      <w:tabs>
        <w:tab w:val="clear" w:pos="851"/>
      </w:tabs>
    </w:pPr>
    <w:rPr>
      <w:rFonts w:cs="Times New Roman"/>
      <w:szCs w:val="20"/>
    </w:rPr>
  </w:style>
  <w:style w:type="character" w:customStyle="1" w:styleId="NumberedstyleChar">
    <w:name w:val="Numbered style Char"/>
    <w:link w:val="Numberedstyle"/>
    <w:rsid w:val="00A6097B"/>
    <w:rPr>
      <w:rFonts w:ascii="Arial" w:hAnsi="Arial"/>
      <w:sz w:val="22"/>
      <w:szCs w:val="20"/>
      <w:lang w:eastAsia="en-US"/>
    </w:rPr>
  </w:style>
  <w:style w:type="paragraph" w:customStyle="1" w:styleId="Tableheading">
    <w:name w:val="Table heading"/>
    <w:basedOn w:val="Normal"/>
    <w:link w:val="TableheadingChar"/>
    <w:qFormat/>
    <w:rsid w:val="00357F1A"/>
    <w:pPr>
      <w:spacing w:before="400"/>
    </w:pPr>
    <w:rPr>
      <w:rFonts w:cs="Arial"/>
      <w:b/>
      <w:color w:val="76923C"/>
      <w:szCs w:val="22"/>
    </w:rPr>
  </w:style>
  <w:style w:type="character" w:customStyle="1" w:styleId="TableheadingChar">
    <w:name w:val="Table heading Char"/>
    <w:basedOn w:val="NumberedstyleChar"/>
    <w:link w:val="Tableheading"/>
    <w:rsid w:val="00357F1A"/>
    <w:rPr>
      <w:rFonts w:ascii="Arial" w:hAnsi="Arial" w:cs="Arial"/>
      <w:b/>
      <w:color w:val="76923C"/>
      <w:sz w:val="22"/>
      <w:szCs w:val="22"/>
      <w:lang w:eastAsia="en-US"/>
    </w:rPr>
  </w:style>
  <w:style w:type="paragraph" w:styleId="EndnoteText">
    <w:name w:val="endnote text"/>
    <w:basedOn w:val="Normal"/>
    <w:link w:val="EndnoteTextChar"/>
    <w:uiPriority w:val="99"/>
    <w:semiHidden/>
    <w:unhideWhenUsed/>
    <w:rsid w:val="006B3EE5"/>
    <w:rPr>
      <w:sz w:val="20"/>
      <w:szCs w:val="20"/>
    </w:rPr>
  </w:style>
  <w:style w:type="character" w:customStyle="1" w:styleId="EndnoteTextChar">
    <w:name w:val="Endnote Text Char"/>
    <w:basedOn w:val="DefaultParagraphFont"/>
    <w:link w:val="EndnoteText"/>
    <w:uiPriority w:val="99"/>
    <w:semiHidden/>
    <w:rsid w:val="006B3EE5"/>
    <w:rPr>
      <w:sz w:val="20"/>
      <w:szCs w:val="20"/>
      <w:lang w:val="en-AU"/>
    </w:rPr>
  </w:style>
  <w:style w:type="character" w:styleId="EndnoteReference">
    <w:name w:val="endnote reference"/>
    <w:basedOn w:val="DefaultParagraphFont"/>
    <w:uiPriority w:val="99"/>
    <w:semiHidden/>
    <w:unhideWhenUsed/>
    <w:rsid w:val="006B3EE5"/>
    <w:rPr>
      <w:vertAlign w:val="superscript"/>
    </w:rPr>
  </w:style>
  <w:style w:type="paragraph" w:customStyle="1" w:styleId="ERFTitleHeading">
    <w:name w:val="ERF Title Heading"/>
    <w:basedOn w:val="GridTable31"/>
    <w:qFormat/>
    <w:rsid w:val="00DE5AF4"/>
    <w:pPr>
      <w:jc w:val="center"/>
    </w:pPr>
    <w:rPr>
      <w:sz w:val="40"/>
      <w:szCs w:val="40"/>
    </w:rPr>
  </w:style>
  <w:style w:type="paragraph" w:customStyle="1" w:styleId="ERFHeading">
    <w:name w:val="ERF Heading"/>
    <w:basedOn w:val="GridTable31"/>
    <w:link w:val="ERFHeadingChar"/>
    <w:qFormat/>
    <w:rsid w:val="00DE5AF4"/>
    <w:pPr>
      <w:tabs>
        <w:tab w:val="left" w:pos="851"/>
      </w:tabs>
      <w:spacing w:before="200" w:after="200" w:line="240" w:lineRule="auto"/>
      <w:ind w:left="284" w:hanging="284"/>
    </w:pPr>
  </w:style>
  <w:style w:type="character" w:customStyle="1" w:styleId="ERFHeadingChar">
    <w:name w:val="ERF Heading Char"/>
    <w:basedOn w:val="DefaultParagraphFont"/>
    <w:link w:val="ERFHeading"/>
    <w:rsid w:val="00DE5AF4"/>
    <w:rPr>
      <w:rFonts w:ascii="Arial" w:hAnsi="Arial" w:cs="Arial"/>
      <w:b/>
      <w:bCs/>
      <w:color w:val="76923C"/>
      <w:sz w:val="28"/>
      <w:szCs w:val="28"/>
    </w:rPr>
  </w:style>
  <w:style w:type="paragraph" w:styleId="Header">
    <w:name w:val="header"/>
    <w:basedOn w:val="Normal"/>
    <w:link w:val="HeaderChar"/>
    <w:uiPriority w:val="99"/>
    <w:rsid w:val="000B198F"/>
    <w:pPr>
      <w:tabs>
        <w:tab w:val="center" w:pos="4320"/>
        <w:tab w:val="right" w:pos="8640"/>
      </w:tabs>
      <w:spacing w:after="0"/>
    </w:pPr>
    <w:rPr>
      <w:color w:val="76923C"/>
    </w:rPr>
  </w:style>
  <w:style w:type="character" w:customStyle="1" w:styleId="HeaderChar">
    <w:name w:val="Header Char"/>
    <w:basedOn w:val="DefaultParagraphFont"/>
    <w:link w:val="Header"/>
    <w:uiPriority w:val="99"/>
    <w:rsid w:val="000B198F"/>
    <w:rPr>
      <w:rFonts w:ascii="Arial" w:hAnsi="Arial"/>
      <w:color w:val="76923C"/>
      <w:szCs w:val="24"/>
      <w:lang w:val="en-AU"/>
    </w:rPr>
  </w:style>
  <w:style w:type="paragraph" w:styleId="TOC3">
    <w:name w:val="toc 3"/>
    <w:basedOn w:val="Normal"/>
    <w:next w:val="Normal"/>
    <w:autoRedefine/>
    <w:uiPriority w:val="39"/>
    <w:rsid w:val="006D6BDB"/>
    <w:pPr>
      <w:ind w:left="440"/>
    </w:pPr>
  </w:style>
  <w:style w:type="paragraph" w:styleId="ListParagraph">
    <w:name w:val="List Paragraph"/>
    <w:basedOn w:val="Normal"/>
    <w:uiPriority w:val="34"/>
    <w:qFormat/>
    <w:rsid w:val="00EF59E3"/>
    <w:pPr>
      <w:ind w:left="720"/>
      <w:contextualSpacing/>
    </w:pPr>
  </w:style>
  <w:style w:type="table" w:customStyle="1" w:styleId="TableGrid1">
    <w:name w:val="Table Grid1"/>
    <w:basedOn w:val="TableNormal"/>
    <w:next w:val="TableGrid"/>
    <w:uiPriority w:val="59"/>
    <w:rsid w:val="00EF59E3"/>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F59E3"/>
    <w:rPr>
      <w:color w:val="0563C1"/>
      <w:u w:val="single"/>
    </w:rPr>
  </w:style>
  <w:style w:type="character" w:customStyle="1" w:styleId="CommentTextChar1">
    <w:name w:val="Comment Text Char1"/>
    <w:basedOn w:val="DefaultParagraphFont"/>
    <w:uiPriority w:val="99"/>
    <w:semiHidden/>
    <w:rsid w:val="00AA3DAA"/>
    <w:rPr>
      <w:sz w:val="20"/>
      <w:szCs w:val="20"/>
      <w:lang w:val="en-AU"/>
    </w:rPr>
  </w:style>
  <w:style w:type="paragraph" w:styleId="Revision">
    <w:name w:val="Revision"/>
    <w:hidden/>
    <w:semiHidden/>
    <w:rsid w:val="00192434"/>
    <w:rPr>
      <w:rFonts w:ascii="Arial" w:hAnsi="Arial"/>
      <w:sz w:val="22"/>
      <w:lang w:eastAsia="en-US"/>
    </w:rPr>
  </w:style>
  <w:style w:type="table" w:styleId="ColorfulGrid-Accent1">
    <w:name w:val="Colorful Grid Accent 1"/>
    <w:basedOn w:val="TableNormal"/>
    <w:uiPriority w:val="73"/>
    <w:rsid w:val="0005798B"/>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PageNumber">
    <w:name w:val="page number"/>
    <w:basedOn w:val="DefaultParagraphFont"/>
    <w:rsid w:val="005D2488"/>
  </w:style>
  <w:style w:type="table" w:customStyle="1" w:styleId="TableGrid2">
    <w:name w:val="Table Grid2"/>
    <w:basedOn w:val="TableNormal"/>
    <w:next w:val="TableGrid"/>
    <w:uiPriority w:val="59"/>
    <w:rsid w:val="00851E2E"/>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qFormat="1"/>
    <w:lsdException w:name="annotation text" w:uiPriority="99" w:unhideWhenUsed="1"/>
    <w:lsdException w:name="header" w:unhideWhenUsed="1"/>
    <w:lsdException w:name="footer" w:uiPriority="99" w:unhideWhenUsed="1"/>
    <w:lsdException w:name="index heading" w:unhideWhenUsed="1"/>
    <w:lsdException w:name="caption" w:unhideWhenUsed="1"/>
    <w:lsdException w:name="table of figures" w:uiPriority="99"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uiPriority="73"/>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F1741"/>
    <w:pPr>
      <w:spacing w:after="120"/>
    </w:pPr>
    <w:rPr>
      <w:rFonts w:ascii="Arial" w:hAnsi="Arial"/>
      <w:sz w:val="22"/>
      <w:lang w:eastAsia="en-US"/>
    </w:rPr>
  </w:style>
  <w:style w:type="paragraph" w:styleId="Heading1">
    <w:name w:val="heading 1"/>
    <w:basedOn w:val="Normal"/>
    <w:next w:val="Normal"/>
    <w:link w:val="Heading1Char"/>
    <w:qFormat/>
    <w:rsid w:val="00F17ABF"/>
    <w:pPr>
      <w:keepNext/>
      <w:keepLines/>
      <w:numPr>
        <w:numId w:val="2"/>
      </w:numPr>
      <w:spacing w:before="480"/>
      <w:ind w:left="851" w:hanging="851"/>
      <w:outlineLvl w:val="0"/>
    </w:pPr>
    <w:rPr>
      <w:rFonts w:cs="Arial"/>
      <w:b/>
      <w:bCs/>
      <w:color w:val="76923C"/>
      <w:sz w:val="28"/>
      <w:szCs w:val="28"/>
    </w:rPr>
  </w:style>
  <w:style w:type="paragraph" w:styleId="Heading2">
    <w:name w:val="heading 2"/>
    <w:basedOn w:val="Heading1"/>
    <w:next w:val="Normal"/>
    <w:link w:val="Heading2Char"/>
    <w:qFormat/>
    <w:rsid w:val="00546E52"/>
    <w:pPr>
      <w:numPr>
        <w:ilvl w:val="1"/>
      </w:numPr>
      <w:spacing w:before="240"/>
      <w:ind w:left="851" w:hanging="851"/>
      <w:outlineLvl w:val="1"/>
    </w:pPr>
    <w:rPr>
      <w:sz w:val="24"/>
    </w:rPr>
  </w:style>
  <w:style w:type="paragraph" w:styleId="Heading3">
    <w:name w:val="heading 3"/>
    <w:basedOn w:val="Heading2"/>
    <w:next w:val="Normal"/>
    <w:link w:val="Heading3Char"/>
    <w:qFormat/>
    <w:rsid w:val="00CA1D7C"/>
    <w:pPr>
      <w:numPr>
        <w:ilvl w:val="2"/>
      </w:numPr>
      <w:tabs>
        <w:tab w:val="left" w:pos="284"/>
      </w:tabs>
      <w:ind w:left="851" w:hanging="851"/>
      <w:outlineLvl w:val="2"/>
    </w:pPr>
    <w:rPr>
      <w:sz w:val="22"/>
    </w:rPr>
  </w:style>
  <w:style w:type="paragraph" w:styleId="Heading4">
    <w:name w:val="heading 4"/>
    <w:basedOn w:val="Heading3"/>
    <w:next w:val="Normal"/>
    <w:link w:val="Heading4Char"/>
    <w:qFormat/>
    <w:rsid w:val="00CA1D7C"/>
    <w:pPr>
      <w:numPr>
        <w:ilvl w:val="3"/>
      </w:numPr>
      <w:ind w:left="851" w:hanging="851"/>
      <w:outlineLvl w:val="3"/>
    </w:pPr>
    <w:rPr>
      <w:rFonts w:cs="Cambria"/>
      <w:iCs/>
      <w:sz w:val="20"/>
    </w:rPr>
  </w:style>
  <w:style w:type="paragraph" w:styleId="Heading5">
    <w:name w:val="heading 5"/>
    <w:basedOn w:val="Normal"/>
    <w:next w:val="Normal"/>
    <w:link w:val="Heading5Char"/>
    <w:qFormat/>
    <w:rsid w:val="000B198F"/>
    <w:pPr>
      <w:keepNext/>
      <w:keepLines/>
      <w:numPr>
        <w:ilvl w:val="4"/>
        <w:numId w:val="2"/>
      </w:numPr>
      <w:spacing w:before="200" w:after="0"/>
      <w:outlineLvl w:val="4"/>
    </w:pPr>
    <w:rPr>
      <w:rFonts w:ascii="Cambria" w:hAnsi="Cambria"/>
      <w:color w:val="3B491E"/>
    </w:rPr>
  </w:style>
  <w:style w:type="paragraph" w:styleId="Heading6">
    <w:name w:val="heading 6"/>
    <w:basedOn w:val="Normal"/>
    <w:next w:val="Normal"/>
    <w:link w:val="Heading6Char"/>
    <w:qFormat/>
    <w:rsid w:val="000B198F"/>
    <w:pPr>
      <w:keepNext/>
      <w:keepLines/>
      <w:numPr>
        <w:ilvl w:val="5"/>
        <w:numId w:val="2"/>
      </w:numPr>
      <w:spacing w:before="200" w:after="0"/>
      <w:outlineLvl w:val="5"/>
    </w:pPr>
    <w:rPr>
      <w:rFonts w:ascii="Cambria" w:hAnsi="Cambria"/>
      <w:i/>
      <w:iCs/>
      <w:color w:val="3B491E"/>
    </w:rPr>
  </w:style>
  <w:style w:type="paragraph" w:styleId="Heading7">
    <w:name w:val="heading 7"/>
    <w:basedOn w:val="Normal"/>
    <w:next w:val="Normal"/>
    <w:link w:val="Heading7Char"/>
    <w:qFormat/>
    <w:rsid w:val="000B198F"/>
    <w:pPr>
      <w:keepNext/>
      <w:keepLines/>
      <w:numPr>
        <w:ilvl w:val="6"/>
        <w:numId w:val="2"/>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0B198F"/>
    <w:pPr>
      <w:keepNext/>
      <w:keepLines/>
      <w:numPr>
        <w:ilvl w:val="7"/>
        <w:numId w:val="2"/>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0B198F"/>
    <w:pPr>
      <w:keepNext/>
      <w:keepLines/>
      <w:numPr>
        <w:ilvl w:val="8"/>
        <w:numId w:val="2"/>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7ABF"/>
    <w:rPr>
      <w:rFonts w:ascii="Arial" w:hAnsi="Arial" w:cs="Arial"/>
      <w:b/>
      <w:bCs/>
      <w:color w:val="76923C"/>
      <w:sz w:val="28"/>
      <w:szCs w:val="28"/>
      <w:lang w:eastAsia="en-US"/>
    </w:rPr>
  </w:style>
  <w:style w:type="character" w:customStyle="1" w:styleId="Heading2Char">
    <w:name w:val="Heading 2 Char"/>
    <w:basedOn w:val="DefaultParagraphFont"/>
    <w:link w:val="Heading2"/>
    <w:locked/>
    <w:rsid w:val="00546E52"/>
    <w:rPr>
      <w:rFonts w:ascii="Arial" w:hAnsi="Arial" w:cs="Arial"/>
      <w:b/>
      <w:bCs/>
      <w:color w:val="76923C"/>
      <w:szCs w:val="28"/>
      <w:lang w:eastAsia="en-US"/>
    </w:rPr>
  </w:style>
  <w:style w:type="character" w:customStyle="1" w:styleId="Heading3Char">
    <w:name w:val="Heading 3 Char"/>
    <w:basedOn w:val="DefaultParagraphFont"/>
    <w:link w:val="Heading3"/>
    <w:locked/>
    <w:rsid w:val="00CA1D7C"/>
    <w:rPr>
      <w:rFonts w:ascii="Arial" w:hAnsi="Arial" w:cs="Arial"/>
      <w:b/>
      <w:bCs/>
      <w:color w:val="76923C"/>
      <w:sz w:val="22"/>
      <w:szCs w:val="28"/>
      <w:lang w:eastAsia="en-US"/>
    </w:rPr>
  </w:style>
  <w:style w:type="character" w:customStyle="1" w:styleId="Heading4Char">
    <w:name w:val="Heading 4 Char"/>
    <w:basedOn w:val="DefaultParagraphFont"/>
    <w:link w:val="Heading4"/>
    <w:locked/>
    <w:rsid w:val="00CA1D7C"/>
    <w:rPr>
      <w:rFonts w:ascii="Arial" w:hAnsi="Arial" w:cs="Cambria"/>
      <w:b/>
      <w:bCs/>
      <w:iCs/>
      <w:color w:val="76923C"/>
      <w:sz w:val="20"/>
      <w:szCs w:val="28"/>
      <w:lang w:eastAsia="en-US"/>
    </w:rPr>
  </w:style>
  <w:style w:type="character" w:customStyle="1" w:styleId="Heading5Char">
    <w:name w:val="Heading 5 Char"/>
    <w:basedOn w:val="DefaultParagraphFont"/>
    <w:link w:val="Heading5"/>
    <w:rsid w:val="000B198F"/>
    <w:rPr>
      <w:rFonts w:ascii="Cambria" w:hAnsi="Cambria"/>
      <w:color w:val="3B491E"/>
      <w:sz w:val="22"/>
      <w:lang w:eastAsia="en-US"/>
    </w:rPr>
  </w:style>
  <w:style w:type="character" w:customStyle="1" w:styleId="Heading6Char">
    <w:name w:val="Heading 6 Char"/>
    <w:basedOn w:val="DefaultParagraphFont"/>
    <w:link w:val="Heading6"/>
    <w:rsid w:val="000B198F"/>
    <w:rPr>
      <w:rFonts w:ascii="Cambria" w:hAnsi="Cambria"/>
      <w:i/>
      <w:iCs/>
      <w:color w:val="3B491E"/>
      <w:sz w:val="22"/>
      <w:lang w:eastAsia="en-US"/>
    </w:rPr>
  </w:style>
  <w:style w:type="character" w:customStyle="1" w:styleId="Heading7Char">
    <w:name w:val="Heading 7 Char"/>
    <w:link w:val="Heading7"/>
    <w:rsid w:val="000B198F"/>
    <w:rPr>
      <w:rFonts w:ascii="Cambria" w:hAnsi="Cambria"/>
      <w:i/>
      <w:iCs/>
      <w:color w:val="404040"/>
      <w:sz w:val="20"/>
      <w:lang w:eastAsia="en-US"/>
    </w:rPr>
  </w:style>
  <w:style w:type="character" w:customStyle="1" w:styleId="Heading8Char">
    <w:name w:val="Heading 8 Char"/>
    <w:basedOn w:val="DefaultParagraphFont"/>
    <w:link w:val="Heading8"/>
    <w:rsid w:val="000B198F"/>
    <w:rPr>
      <w:rFonts w:ascii="Cambria" w:hAnsi="Cambria"/>
      <w:color w:val="363636"/>
      <w:sz w:val="20"/>
      <w:szCs w:val="20"/>
      <w:lang w:eastAsia="en-US"/>
    </w:rPr>
  </w:style>
  <w:style w:type="character" w:customStyle="1" w:styleId="Heading9Char">
    <w:name w:val="Heading 9 Char"/>
    <w:basedOn w:val="DefaultParagraphFont"/>
    <w:link w:val="Heading9"/>
    <w:rsid w:val="000B198F"/>
    <w:rPr>
      <w:rFonts w:ascii="Cambria" w:hAnsi="Cambria"/>
      <w:i/>
      <w:iCs/>
      <w:color w:val="363636"/>
      <w:sz w:val="20"/>
      <w:szCs w:val="20"/>
      <w:lang w:eastAsia="en-US"/>
    </w:rPr>
  </w:style>
  <w:style w:type="paragraph" w:styleId="BalloonText">
    <w:name w:val="Balloon Text"/>
    <w:basedOn w:val="Normal"/>
    <w:link w:val="BalloonTextChar"/>
    <w:uiPriority w:val="99"/>
    <w:semiHidden/>
    <w:rsid w:val="006410B5"/>
    <w:rPr>
      <w:rFonts w:ascii="Tahoma" w:hAnsi="Tahoma" w:cs="Tahoma"/>
      <w:sz w:val="16"/>
      <w:szCs w:val="16"/>
    </w:rPr>
  </w:style>
  <w:style w:type="character" w:customStyle="1" w:styleId="BalloonTextChar">
    <w:name w:val="Balloon Text Char"/>
    <w:basedOn w:val="DefaultParagraphFont"/>
    <w:link w:val="BalloonText"/>
    <w:uiPriority w:val="99"/>
    <w:locked/>
    <w:rsid w:val="006410B5"/>
    <w:rPr>
      <w:rFonts w:ascii="Tahoma" w:hAnsi="Tahoma" w:cs="Tahoma"/>
      <w:sz w:val="16"/>
      <w:szCs w:val="16"/>
      <w:lang w:eastAsia="en-US"/>
    </w:rPr>
  </w:style>
  <w:style w:type="paragraph" w:customStyle="1" w:styleId="ColorfulList-Accent11">
    <w:name w:val="Colorful List - Accent 11"/>
    <w:aliases w:val="List Paragraph - Dani,List Paragraph 1 - Dani"/>
    <w:basedOn w:val="Normal"/>
    <w:uiPriority w:val="34"/>
    <w:qFormat/>
    <w:rsid w:val="002F1741"/>
    <w:pPr>
      <w:numPr>
        <w:numId w:val="3"/>
      </w:numPr>
      <w:ind w:left="851" w:hanging="284"/>
      <w:contextualSpacing/>
    </w:pPr>
    <w:rPr>
      <w:rFonts w:cs="Arial"/>
      <w:szCs w:val="22"/>
    </w:rPr>
  </w:style>
  <w:style w:type="table" w:styleId="TableGrid">
    <w:name w:val="Table Grid"/>
    <w:basedOn w:val="TableNormal"/>
    <w:uiPriority w:val="59"/>
    <w:rsid w:val="00FB05B4"/>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qFormat/>
    <w:rsid w:val="00C43B5C"/>
    <w:pPr>
      <w:spacing w:after="80"/>
    </w:pPr>
    <w:rPr>
      <w:sz w:val="16"/>
      <w:szCs w:val="20"/>
      <w:lang w:val="sv-SE" w:eastAsia="sv-SE"/>
    </w:rPr>
  </w:style>
  <w:style w:type="character" w:customStyle="1" w:styleId="FootnoteTextChar">
    <w:name w:val="Footnote Text Char"/>
    <w:basedOn w:val="DefaultParagraphFont"/>
    <w:link w:val="FootnoteText"/>
    <w:uiPriority w:val="99"/>
    <w:locked/>
    <w:rsid w:val="00C43B5C"/>
    <w:rPr>
      <w:rFonts w:ascii="Arial" w:hAnsi="Arial"/>
      <w:sz w:val="16"/>
      <w:szCs w:val="20"/>
      <w:lang w:val="sv-SE" w:eastAsia="sv-SE"/>
    </w:rPr>
  </w:style>
  <w:style w:type="character" w:styleId="FootnoteReference">
    <w:name w:val="footnote reference"/>
    <w:basedOn w:val="FootnoteTextChar"/>
    <w:uiPriority w:val="99"/>
    <w:rsid w:val="00652437"/>
    <w:rPr>
      <w:rFonts w:ascii="Arial" w:hAnsi="Arial"/>
      <w:color w:val="auto"/>
      <w:spacing w:val="0"/>
      <w:position w:val="0"/>
      <w:sz w:val="22"/>
      <w:szCs w:val="16"/>
      <w:vertAlign w:val="superscript"/>
      <w:lang w:val="sv-SE" w:eastAsia="sv-SE"/>
    </w:rPr>
  </w:style>
  <w:style w:type="paragraph" w:styleId="Footer">
    <w:name w:val="footer"/>
    <w:basedOn w:val="Normal"/>
    <w:link w:val="FooterChar"/>
    <w:uiPriority w:val="99"/>
    <w:rsid w:val="00355721"/>
    <w:pPr>
      <w:tabs>
        <w:tab w:val="center" w:pos="4513"/>
        <w:tab w:val="right" w:pos="9026"/>
      </w:tabs>
      <w:jc w:val="right"/>
    </w:pPr>
    <w:rPr>
      <w:b/>
      <w:color w:val="76923C"/>
      <w:sz w:val="16"/>
    </w:rPr>
  </w:style>
  <w:style w:type="character" w:customStyle="1" w:styleId="FooterChar">
    <w:name w:val="Footer Char"/>
    <w:basedOn w:val="DefaultParagraphFont"/>
    <w:link w:val="Footer"/>
    <w:uiPriority w:val="99"/>
    <w:locked/>
    <w:rsid w:val="00355721"/>
    <w:rPr>
      <w:rFonts w:ascii="Arial" w:hAnsi="Arial"/>
      <w:b/>
      <w:color w:val="76923C"/>
      <w:sz w:val="16"/>
      <w:szCs w:val="24"/>
      <w:lang w:val="en-AU"/>
    </w:rPr>
  </w:style>
  <w:style w:type="paragraph" w:customStyle="1" w:styleId="GridTable31">
    <w:name w:val="Grid Table 31"/>
    <w:basedOn w:val="Heading1"/>
    <w:next w:val="Normal"/>
    <w:uiPriority w:val="39"/>
    <w:qFormat/>
    <w:rsid w:val="00DE5AF4"/>
    <w:pPr>
      <w:numPr>
        <w:numId w:val="0"/>
      </w:numPr>
      <w:spacing w:line="276" w:lineRule="auto"/>
      <w:outlineLvl w:val="9"/>
    </w:pPr>
    <w:rPr>
      <w:lang w:val="en-US"/>
    </w:rPr>
  </w:style>
  <w:style w:type="paragraph" w:styleId="TOC1">
    <w:name w:val="toc 1"/>
    <w:basedOn w:val="Normal"/>
    <w:next w:val="Normal"/>
    <w:autoRedefine/>
    <w:uiPriority w:val="39"/>
    <w:rsid w:val="00027774"/>
    <w:pPr>
      <w:tabs>
        <w:tab w:val="left" w:pos="351"/>
        <w:tab w:val="right" w:leader="dot" w:pos="8489"/>
      </w:tabs>
      <w:spacing w:before="80" w:after="20"/>
    </w:pPr>
    <w:rPr>
      <w:b/>
      <w:sz w:val="20"/>
    </w:rPr>
  </w:style>
  <w:style w:type="paragraph" w:styleId="TOC2">
    <w:name w:val="toc 2"/>
    <w:basedOn w:val="Normal"/>
    <w:next w:val="Normal"/>
    <w:autoRedefine/>
    <w:uiPriority w:val="39"/>
    <w:rsid w:val="006B00AC"/>
    <w:pPr>
      <w:spacing w:after="0"/>
    </w:pPr>
    <w:rPr>
      <w:rFonts w:ascii="Calibri" w:hAnsi="Calibri"/>
      <w:szCs w:val="22"/>
    </w:rPr>
  </w:style>
  <w:style w:type="character" w:styleId="CommentReference">
    <w:name w:val="annotation reference"/>
    <w:basedOn w:val="DefaultParagraphFont"/>
    <w:uiPriority w:val="99"/>
    <w:rsid w:val="00893519"/>
    <w:rPr>
      <w:sz w:val="16"/>
      <w:szCs w:val="16"/>
    </w:rPr>
  </w:style>
  <w:style w:type="paragraph" w:styleId="CommentText">
    <w:name w:val="annotation text"/>
    <w:basedOn w:val="Normal"/>
    <w:link w:val="CommentTextChar"/>
    <w:uiPriority w:val="99"/>
    <w:semiHidden/>
    <w:rsid w:val="00893519"/>
    <w:rPr>
      <w:sz w:val="20"/>
      <w:szCs w:val="20"/>
    </w:rPr>
  </w:style>
  <w:style w:type="character" w:customStyle="1" w:styleId="CommentTextChar">
    <w:name w:val="Comment Text Char"/>
    <w:basedOn w:val="DefaultParagraphFont"/>
    <w:link w:val="CommentText"/>
    <w:uiPriority w:val="99"/>
    <w:semiHidden/>
    <w:rsid w:val="00CC3880"/>
    <w:rPr>
      <w:sz w:val="20"/>
      <w:szCs w:val="20"/>
      <w:lang w:val="en-AU"/>
    </w:rPr>
  </w:style>
  <w:style w:type="paragraph" w:styleId="CommentSubject">
    <w:name w:val="annotation subject"/>
    <w:basedOn w:val="CommentText"/>
    <w:next w:val="CommentText"/>
    <w:link w:val="CommentSubjectChar"/>
    <w:uiPriority w:val="99"/>
    <w:semiHidden/>
    <w:rsid w:val="00893519"/>
    <w:rPr>
      <w:b/>
      <w:bCs/>
    </w:rPr>
  </w:style>
  <w:style w:type="character" w:customStyle="1" w:styleId="CommentSubjectChar">
    <w:name w:val="Comment Subject Char"/>
    <w:basedOn w:val="CommentTextChar"/>
    <w:link w:val="CommentSubject"/>
    <w:uiPriority w:val="99"/>
    <w:semiHidden/>
    <w:rsid w:val="00CC3880"/>
    <w:rPr>
      <w:b/>
      <w:bCs/>
      <w:sz w:val="20"/>
      <w:szCs w:val="20"/>
      <w:lang w:val="en-AU"/>
    </w:rPr>
  </w:style>
  <w:style w:type="paragraph" w:styleId="BodyTextIndent">
    <w:name w:val="Body Text Indent"/>
    <w:basedOn w:val="Normal"/>
    <w:link w:val="BodyTextIndentChar"/>
    <w:uiPriority w:val="99"/>
    <w:semiHidden/>
    <w:unhideWhenUsed/>
    <w:rsid w:val="008A19E7"/>
    <w:pPr>
      <w:ind w:left="283"/>
    </w:pPr>
  </w:style>
  <w:style w:type="character" w:customStyle="1" w:styleId="BodyTextIndentChar">
    <w:name w:val="Body Text Indent Char"/>
    <w:basedOn w:val="DefaultParagraphFont"/>
    <w:link w:val="BodyTextIndent"/>
    <w:uiPriority w:val="99"/>
    <w:semiHidden/>
    <w:rsid w:val="008A19E7"/>
    <w:rPr>
      <w:sz w:val="24"/>
      <w:szCs w:val="24"/>
      <w:lang w:val="en-AU"/>
    </w:rPr>
  </w:style>
  <w:style w:type="paragraph" w:customStyle="1" w:styleId="Boxheading">
    <w:name w:val="Box heading"/>
    <w:basedOn w:val="Normal"/>
    <w:qFormat/>
    <w:rsid w:val="00CB69FA"/>
    <w:pPr>
      <w:spacing w:before="120"/>
    </w:pPr>
    <w:rPr>
      <w:rFonts w:cs="Arial"/>
      <w:b/>
      <w:szCs w:val="22"/>
    </w:rPr>
  </w:style>
  <w:style w:type="paragraph" w:styleId="TableofFigures">
    <w:name w:val="table of figures"/>
    <w:basedOn w:val="Normal"/>
    <w:next w:val="Normal"/>
    <w:uiPriority w:val="99"/>
    <w:rsid w:val="0052395C"/>
    <w:pPr>
      <w:spacing w:after="0"/>
    </w:pPr>
  </w:style>
  <w:style w:type="paragraph" w:customStyle="1" w:styleId="Numberedstyle">
    <w:name w:val="Numbered style"/>
    <w:basedOn w:val="ColorfulList-Accent11"/>
    <w:link w:val="NumberedstyleChar"/>
    <w:rsid w:val="00A6097B"/>
    <w:pPr>
      <w:numPr>
        <w:numId w:val="1"/>
      </w:numPr>
      <w:tabs>
        <w:tab w:val="clear" w:pos="851"/>
      </w:tabs>
    </w:pPr>
    <w:rPr>
      <w:rFonts w:cs="Times New Roman"/>
      <w:szCs w:val="20"/>
    </w:rPr>
  </w:style>
  <w:style w:type="character" w:customStyle="1" w:styleId="NumberedstyleChar">
    <w:name w:val="Numbered style Char"/>
    <w:link w:val="Numberedstyle"/>
    <w:rsid w:val="00A6097B"/>
    <w:rPr>
      <w:rFonts w:ascii="Arial" w:hAnsi="Arial"/>
      <w:sz w:val="22"/>
      <w:szCs w:val="20"/>
      <w:lang w:eastAsia="en-US"/>
    </w:rPr>
  </w:style>
  <w:style w:type="paragraph" w:customStyle="1" w:styleId="Tableheading">
    <w:name w:val="Table heading"/>
    <w:basedOn w:val="Normal"/>
    <w:link w:val="TableheadingChar"/>
    <w:qFormat/>
    <w:rsid w:val="00357F1A"/>
    <w:pPr>
      <w:spacing w:before="400"/>
    </w:pPr>
    <w:rPr>
      <w:rFonts w:cs="Arial"/>
      <w:b/>
      <w:color w:val="76923C"/>
      <w:szCs w:val="22"/>
    </w:rPr>
  </w:style>
  <w:style w:type="character" w:customStyle="1" w:styleId="TableheadingChar">
    <w:name w:val="Table heading Char"/>
    <w:basedOn w:val="NumberedstyleChar"/>
    <w:link w:val="Tableheading"/>
    <w:rsid w:val="00357F1A"/>
    <w:rPr>
      <w:rFonts w:ascii="Arial" w:hAnsi="Arial" w:cs="Arial"/>
      <w:b/>
      <w:color w:val="76923C"/>
      <w:sz w:val="22"/>
      <w:szCs w:val="22"/>
      <w:lang w:eastAsia="en-US"/>
    </w:rPr>
  </w:style>
  <w:style w:type="paragraph" w:styleId="EndnoteText">
    <w:name w:val="endnote text"/>
    <w:basedOn w:val="Normal"/>
    <w:link w:val="EndnoteTextChar"/>
    <w:uiPriority w:val="99"/>
    <w:semiHidden/>
    <w:unhideWhenUsed/>
    <w:rsid w:val="006B3EE5"/>
    <w:rPr>
      <w:sz w:val="20"/>
      <w:szCs w:val="20"/>
    </w:rPr>
  </w:style>
  <w:style w:type="character" w:customStyle="1" w:styleId="EndnoteTextChar">
    <w:name w:val="Endnote Text Char"/>
    <w:basedOn w:val="DefaultParagraphFont"/>
    <w:link w:val="EndnoteText"/>
    <w:uiPriority w:val="99"/>
    <w:semiHidden/>
    <w:rsid w:val="006B3EE5"/>
    <w:rPr>
      <w:sz w:val="20"/>
      <w:szCs w:val="20"/>
      <w:lang w:val="en-AU"/>
    </w:rPr>
  </w:style>
  <w:style w:type="character" w:styleId="EndnoteReference">
    <w:name w:val="endnote reference"/>
    <w:basedOn w:val="DefaultParagraphFont"/>
    <w:uiPriority w:val="99"/>
    <w:semiHidden/>
    <w:unhideWhenUsed/>
    <w:rsid w:val="006B3EE5"/>
    <w:rPr>
      <w:vertAlign w:val="superscript"/>
    </w:rPr>
  </w:style>
  <w:style w:type="paragraph" w:customStyle="1" w:styleId="ERFTitleHeading">
    <w:name w:val="ERF Title Heading"/>
    <w:basedOn w:val="GridTable31"/>
    <w:qFormat/>
    <w:rsid w:val="00DE5AF4"/>
    <w:pPr>
      <w:jc w:val="center"/>
    </w:pPr>
    <w:rPr>
      <w:sz w:val="40"/>
      <w:szCs w:val="40"/>
    </w:rPr>
  </w:style>
  <w:style w:type="paragraph" w:customStyle="1" w:styleId="ERFHeading">
    <w:name w:val="ERF Heading"/>
    <w:basedOn w:val="GridTable31"/>
    <w:link w:val="ERFHeadingChar"/>
    <w:qFormat/>
    <w:rsid w:val="00DE5AF4"/>
    <w:pPr>
      <w:tabs>
        <w:tab w:val="left" w:pos="851"/>
      </w:tabs>
      <w:spacing w:before="200" w:after="200" w:line="240" w:lineRule="auto"/>
      <w:ind w:left="284" w:hanging="284"/>
    </w:pPr>
  </w:style>
  <w:style w:type="character" w:customStyle="1" w:styleId="ERFHeadingChar">
    <w:name w:val="ERF Heading Char"/>
    <w:basedOn w:val="DefaultParagraphFont"/>
    <w:link w:val="ERFHeading"/>
    <w:rsid w:val="00DE5AF4"/>
    <w:rPr>
      <w:rFonts w:ascii="Arial" w:hAnsi="Arial" w:cs="Arial"/>
      <w:b/>
      <w:bCs/>
      <w:color w:val="76923C"/>
      <w:sz w:val="28"/>
      <w:szCs w:val="28"/>
    </w:rPr>
  </w:style>
  <w:style w:type="paragraph" w:styleId="Header">
    <w:name w:val="header"/>
    <w:basedOn w:val="Normal"/>
    <w:link w:val="HeaderChar"/>
    <w:uiPriority w:val="99"/>
    <w:rsid w:val="000B198F"/>
    <w:pPr>
      <w:tabs>
        <w:tab w:val="center" w:pos="4320"/>
        <w:tab w:val="right" w:pos="8640"/>
      </w:tabs>
      <w:spacing w:after="0"/>
    </w:pPr>
    <w:rPr>
      <w:color w:val="76923C"/>
    </w:rPr>
  </w:style>
  <w:style w:type="character" w:customStyle="1" w:styleId="HeaderChar">
    <w:name w:val="Header Char"/>
    <w:basedOn w:val="DefaultParagraphFont"/>
    <w:link w:val="Header"/>
    <w:uiPriority w:val="99"/>
    <w:rsid w:val="000B198F"/>
    <w:rPr>
      <w:rFonts w:ascii="Arial" w:hAnsi="Arial"/>
      <w:color w:val="76923C"/>
      <w:szCs w:val="24"/>
      <w:lang w:val="en-AU"/>
    </w:rPr>
  </w:style>
  <w:style w:type="paragraph" w:styleId="TOC3">
    <w:name w:val="toc 3"/>
    <w:basedOn w:val="Normal"/>
    <w:next w:val="Normal"/>
    <w:autoRedefine/>
    <w:uiPriority w:val="39"/>
    <w:rsid w:val="006D6BDB"/>
    <w:pPr>
      <w:ind w:left="440"/>
    </w:pPr>
  </w:style>
  <w:style w:type="paragraph" w:styleId="ListParagraph">
    <w:name w:val="List Paragraph"/>
    <w:basedOn w:val="Normal"/>
    <w:uiPriority w:val="34"/>
    <w:qFormat/>
    <w:rsid w:val="00EF59E3"/>
    <w:pPr>
      <w:ind w:left="720"/>
      <w:contextualSpacing/>
    </w:pPr>
  </w:style>
  <w:style w:type="table" w:customStyle="1" w:styleId="TableGrid1">
    <w:name w:val="Table Grid1"/>
    <w:basedOn w:val="TableNormal"/>
    <w:next w:val="TableGrid"/>
    <w:uiPriority w:val="59"/>
    <w:rsid w:val="00EF59E3"/>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F59E3"/>
    <w:rPr>
      <w:color w:val="0563C1"/>
      <w:u w:val="single"/>
    </w:rPr>
  </w:style>
  <w:style w:type="character" w:customStyle="1" w:styleId="CommentTextChar1">
    <w:name w:val="Comment Text Char1"/>
    <w:basedOn w:val="DefaultParagraphFont"/>
    <w:uiPriority w:val="99"/>
    <w:semiHidden/>
    <w:rsid w:val="00AA3DAA"/>
    <w:rPr>
      <w:sz w:val="20"/>
      <w:szCs w:val="20"/>
      <w:lang w:val="en-AU"/>
    </w:rPr>
  </w:style>
  <w:style w:type="paragraph" w:styleId="Revision">
    <w:name w:val="Revision"/>
    <w:hidden/>
    <w:semiHidden/>
    <w:rsid w:val="00192434"/>
    <w:rPr>
      <w:rFonts w:ascii="Arial" w:hAnsi="Arial"/>
      <w:sz w:val="22"/>
      <w:lang w:eastAsia="en-US"/>
    </w:rPr>
  </w:style>
  <w:style w:type="table" w:styleId="ColorfulGrid-Accent1">
    <w:name w:val="Colorful Grid Accent 1"/>
    <w:basedOn w:val="TableNormal"/>
    <w:uiPriority w:val="73"/>
    <w:rsid w:val="0005798B"/>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PageNumber">
    <w:name w:val="page number"/>
    <w:basedOn w:val="DefaultParagraphFont"/>
    <w:rsid w:val="005D2488"/>
  </w:style>
  <w:style w:type="table" w:customStyle="1" w:styleId="TableGrid2">
    <w:name w:val="Table Grid2"/>
    <w:basedOn w:val="TableNormal"/>
    <w:next w:val="TableGrid"/>
    <w:uiPriority w:val="59"/>
    <w:rsid w:val="00851E2E"/>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2429">
      <w:bodyDiv w:val="1"/>
      <w:marLeft w:val="0"/>
      <w:marRight w:val="0"/>
      <w:marTop w:val="0"/>
      <w:marBottom w:val="0"/>
      <w:divBdr>
        <w:top w:val="none" w:sz="0" w:space="0" w:color="auto"/>
        <w:left w:val="none" w:sz="0" w:space="0" w:color="auto"/>
        <w:bottom w:val="none" w:sz="0" w:space="0" w:color="auto"/>
        <w:right w:val="none" w:sz="0" w:space="0" w:color="auto"/>
      </w:divBdr>
    </w:div>
    <w:div w:id="244461170">
      <w:bodyDiv w:val="1"/>
      <w:marLeft w:val="0"/>
      <w:marRight w:val="0"/>
      <w:marTop w:val="0"/>
      <w:marBottom w:val="0"/>
      <w:divBdr>
        <w:top w:val="none" w:sz="0" w:space="0" w:color="auto"/>
        <w:left w:val="none" w:sz="0" w:space="0" w:color="auto"/>
        <w:bottom w:val="none" w:sz="0" w:space="0" w:color="auto"/>
        <w:right w:val="none" w:sz="0" w:space="0" w:color="auto"/>
      </w:divBdr>
    </w:div>
    <w:div w:id="395055249">
      <w:bodyDiv w:val="1"/>
      <w:marLeft w:val="0"/>
      <w:marRight w:val="0"/>
      <w:marTop w:val="0"/>
      <w:marBottom w:val="0"/>
      <w:divBdr>
        <w:top w:val="none" w:sz="0" w:space="0" w:color="auto"/>
        <w:left w:val="none" w:sz="0" w:space="0" w:color="auto"/>
        <w:bottom w:val="none" w:sz="0" w:space="0" w:color="auto"/>
        <w:right w:val="none" w:sz="0" w:space="0" w:color="auto"/>
      </w:divBdr>
    </w:div>
    <w:div w:id="630482670">
      <w:bodyDiv w:val="1"/>
      <w:marLeft w:val="0"/>
      <w:marRight w:val="0"/>
      <w:marTop w:val="0"/>
      <w:marBottom w:val="0"/>
      <w:divBdr>
        <w:top w:val="none" w:sz="0" w:space="0" w:color="auto"/>
        <w:left w:val="none" w:sz="0" w:space="0" w:color="auto"/>
        <w:bottom w:val="none" w:sz="0" w:space="0" w:color="auto"/>
        <w:right w:val="none" w:sz="0" w:space="0" w:color="auto"/>
      </w:divBdr>
    </w:div>
    <w:div w:id="1048839968">
      <w:bodyDiv w:val="1"/>
      <w:marLeft w:val="0"/>
      <w:marRight w:val="0"/>
      <w:marTop w:val="0"/>
      <w:marBottom w:val="0"/>
      <w:divBdr>
        <w:top w:val="none" w:sz="0" w:space="0" w:color="auto"/>
        <w:left w:val="none" w:sz="0" w:space="0" w:color="auto"/>
        <w:bottom w:val="none" w:sz="0" w:space="0" w:color="auto"/>
        <w:right w:val="none" w:sz="0" w:space="0" w:color="auto"/>
      </w:divBdr>
    </w:div>
    <w:div w:id="1295212789">
      <w:bodyDiv w:val="1"/>
      <w:marLeft w:val="0"/>
      <w:marRight w:val="0"/>
      <w:marTop w:val="0"/>
      <w:marBottom w:val="0"/>
      <w:divBdr>
        <w:top w:val="none" w:sz="0" w:space="0" w:color="auto"/>
        <w:left w:val="none" w:sz="0" w:space="0" w:color="auto"/>
        <w:bottom w:val="none" w:sz="0" w:space="0" w:color="auto"/>
        <w:right w:val="none" w:sz="0" w:space="0" w:color="auto"/>
      </w:divBdr>
    </w:div>
    <w:div w:id="132824085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aid.dfat.gov.au/aidpolicy/Pages/home.aspx" TargetMode="External"/><Relationship Id="rId2" Type="http://schemas.openxmlformats.org/officeDocument/2006/relationships/hyperlink" Target="http://aid.dfat.gov.au/aidpolicy/Pages/home.aspx" TargetMode="External"/><Relationship Id="rId1" Type="http://schemas.openxmlformats.org/officeDocument/2006/relationships/hyperlink" Target="http://aid.dfat.gov.au/aidpolicy/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tzhenry\AppData\Local\Microsoft\Windows\Temporary%20Internet%20Files\Content.Outlook\0GBXEIKE\Service%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87882-53F4-4491-A844-DD640808CE9E}"/>
</file>

<file path=customXml/itemProps2.xml><?xml version="1.0" encoding="utf-8"?>
<ds:datastoreItem xmlns:ds="http://schemas.openxmlformats.org/officeDocument/2006/customXml" ds:itemID="{2175B244-8586-466A-84C6-94BF22B5F605}"/>
</file>

<file path=customXml/itemProps3.xml><?xml version="1.0" encoding="utf-8"?>
<ds:datastoreItem xmlns:ds="http://schemas.openxmlformats.org/officeDocument/2006/customXml" ds:itemID="{EC04C31F-72BB-4337-AB41-DB4E5CC95212}"/>
</file>

<file path=customXml/itemProps4.xml><?xml version="1.0" encoding="utf-8"?>
<ds:datastoreItem xmlns:ds="http://schemas.openxmlformats.org/officeDocument/2006/customXml" ds:itemID="{58F73C07-A44B-4FFF-97DA-38F4C0FD803E}"/>
</file>

<file path=docProps/app.xml><?xml version="1.0" encoding="utf-8"?>
<Properties xmlns="http://schemas.openxmlformats.org/officeDocument/2006/extended-properties" xmlns:vt="http://schemas.openxmlformats.org/officeDocument/2006/docPropsVTypes">
  <Template>Service Order Template</Template>
  <TotalTime>1</TotalTime>
  <Pages>39</Pages>
  <Words>30654</Words>
  <Characters>169359</Characters>
  <Application>Microsoft Office Word</Application>
  <DocSecurity>0</DocSecurity>
  <Lines>3465</Lines>
  <Paragraphs>1330</Paragraphs>
  <ScaleCrop>false</ScaleCrop>
  <HeadingPairs>
    <vt:vector size="2" baseType="variant">
      <vt:variant>
        <vt:lpstr>Title</vt:lpstr>
      </vt:variant>
      <vt:variant>
        <vt:i4>1</vt:i4>
      </vt:variant>
    </vt:vector>
  </HeadingPairs>
  <TitlesOfParts>
    <vt:vector size="1" baseType="lpstr">
      <vt:lpstr>RESPONSE TO REQUEST FOR PROPOSAL No</vt:lpstr>
    </vt:vector>
  </TitlesOfParts>
  <Company>RTM International</Company>
  <LinksUpToDate>false</LinksUpToDate>
  <CharactersWithSpaces>199429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REQUEST FOR PROPOSAL No</dc:title>
  <dc:creator>Laura Fitzhenry</dc:creator>
  <cp:lastModifiedBy>Seniloli, Tina</cp:lastModifiedBy>
  <cp:revision>2</cp:revision>
  <cp:lastPrinted>2015-01-27T21:20:00Z</cp:lastPrinted>
  <dcterms:created xsi:type="dcterms:W3CDTF">2015-09-09T03:17:00Z</dcterms:created>
  <dcterms:modified xsi:type="dcterms:W3CDTF">2015-09-09T03:17:00Z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972000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